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98E12">
      <w:pPr>
        <w:spacing w:line="300" w:lineRule="auto"/>
        <w:jc w:val="center"/>
        <w:rPr>
          <w:rFonts w:ascii="宋体" w:hAnsi="宋体" w:cs="宋体"/>
          <w:b/>
          <w:color w:val="auto"/>
          <w:sz w:val="52"/>
          <w:highlight w:val="none"/>
        </w:rPr>
      </w:pPr>
    </w:p>
    <w:p w14:paraId="684C871E">
      <w:pPr>
        <w:spacing w:line="300" w:lineRule="auto"/>
        <w:jc w:val="center"/>
        <w:rPr>
          <w:rFonts w:hint="eastAsia" w:ascii="宋体" w:hAnsi="宋体" w:cs="宋体"/>
          <w:b/>
          <w:color w:val="auto"/>
          <w:sz w:val="52"/>
          <w:highlight w:val="none"/>
          <w:lang w:eastAsia="zh-CN"/>
        </w:rPr>
      </w:pPr>
      <w:r>
        <w:rPr>
          <w:rFonts w:hint="eastAsia" w:ascii="宋体" w:hAnsi="宋体" w:cs="宋体"/>
          <w:b/>
          <w:color w:val="auto"/>
          <w:sz w:val="52"/>
          <w:highlight w:val="none"/>
          <w:lang w:eastAsia="zh-CN"/>
        </w:rPr>
        <w:t>天河智慧城核心区AT0305119地块</w:t>
      </w:r>
    </w:p>
    <w:p w14:paraId="2D9D399E">
      <w:pPr>
        <w:spacing w:line="300" w:lineRule="auto"/>
        <w:jc w:val="center"/>
        <w:rPr>
          <w:rFonts w:hint="eastAsia" w:ascii="宋体" w:hAnsi="宋体" w:eastAsia="宋体" w:cs="宋体"/>
          <w:b/>
          <w:color w:val="auto"/>
          <w:sz w:val="52"/>
          <w:highlight w:val="none"/>
          <w:lang w:eastAsia="zh-CN"/>
        </w:rPr>
      </w:pPr>
      <w:r>
        <w:rPr>
          <w:rFonts w:hint="eastAsia" w:ascii="宋体" w:hAnsi="宋体" w:cs="宋体"/>
          <w:b/>
          <w:color w:val="auto"/>
          <w:sz w:val="52"/>
          <w:highlight w:val="none"/>
          <w:lang w:eastAsia="zh-CN"/>
        </w:rPr>
        <w:t>建设工程项目监理</w:t>
      </w:r>
    </w:p>
    <w:p w14:paraId="0A858413">
      <w:pPr>
        <w:spacing w:line="360" w:lineRule="auto"/>
        <w:rPr>
          <w:rFonts w:ascii="宋体" w:hAnsi="宋体"/>
          <w:color w:val="auto"/>
          <w:highlight w:val="none"/>
        </w:rPr>
      </w:pPr>
    </w:p>
    <w:p w14:paraId="4417504C">
      <w:pPr>
        <w:spacing w:line="360" w:lineRule="auto"/>
        <w:jc w:val="right"/>
        <w:rPr>
          <w:rFonts w:ascii="宋体" w:hAnsi="宋体"/>
          <w:color w:val="auto"/>
          <w:highlight w:val="none"/>
        </w:rPr>
      </w:pPr>
    </w:p>
    <w:p w14:paraId="1CE26244">
      <w:pPr>
        <w:spacing w:line="360" w:lineRule="auto"/>
        <w:rPr>
          <w:rFonts w:ascii="宋体" w:hAnsi="宋体"/>
          <w:color w:val="auto"/>
          <w:sz w:val="28"/>
          <w:szCs w:val="28"/>
          <w:highlight w:val="none"/>
        </w:rPr>
      </w:pPr>
    </w:p>
    <w:p w14:paraId="6D2E8140">
      <w:pPr>
        <w:spacing w:line="360" w:lineRule="auto"/>
        <w:rPr>
          <w:rFonts w:ascii="宋体" w:hAnsi="宋体"/>
          <w:color w:val="auto"/>
          <w:sz w:val="28"/>
          <w:highlight w:val="none"/>
        </w:rPr>
      </w:pPr>
    </w:p>
    <w:p w14:paraId="45D736D2">
      <w:pPr>
        <w:spacing w:line="300" w:lineRule="auto"/>
        <w:jc w:val="center"/>
        <w:rPr>
          <w:rFonts w:ascii="宋体" w:hAnsi="宋体" w:cs="宋体"/>
          <w:b/>
          <w:color w:val="auto"/>
          <w:spacing w:val="26"/>
          <w:sz w:val="110"/>
          <w:highlight w:val="none"/>
        </w:rPr>
      </w:pPr>
      <w:r>
        <w:rPr>
          <w:rFonts w:hint="eastAsia" w:ascii="宋体" w:hAnsi="宋体" w:cs="宋体"/>
          <w:b/>
          <w:color w:val="auto"/>
          <w:spacing w:val="26"/>
          <w:sz w:val="110"/>
          <w:highlight w:val="none"/>
        </w:rPr>
        <w:t>招标公告</w:t>
      </w:r>
    </w:p>
    <w:p w14:paraId="5072A798">
      <w:pPr>
        <w:spacing w:line="360" w:lineRule="auto"/>
        <w:rPr>
          <w:rFonts w:ascii="宋体" w:hAnsi="宋体"/>
          <w:color w:val="auto"/>
          <w:highlight w:val="none"/>
        </w:rPr>
      </w:pPr>
    </w:p>
    <w:p w14:paraId="167381D4">
      <w:pPr>
        <w:spacing w:line="360" w:lineRule="auto"/>
        <w:rPr>
          <w:rFonts w:ascii="宋体" w:hAnsi="宋体"/>
          <w:color w:val="auto"/>
          <w:highlight w:val="none"/>
        </w:rPr>
      </w:pPr>
    </w:p>
    <w:p w14:paraId="5237EFD9">
      <w:pPr>
        <w:spacing w:line="360" w:lineRule="auto"/>
        <w:rPr>
          <w:rFonts w:ascii="宋体" w:hAnsi="宋体"/>
          <w:color w:val="auto"/>
          <w:highlight w:val="none"/>
        </w:rPr>
      </w:pPr>
    </w:p>
    <w:p w14:paraId="567887CE">
      <w:pPr>
        <w:spacing w:line="360" w:lineRule="auto"/>
        <w:rPr>
          <w:rFonts w:ascii="宋体" w:hAnsi="宋体"/>
          <w:color w:val="auto"/>
          <w:highlight w:val="none"/>
        </w:rPr>
      </w:pPr>
    </w:p>
    <w:p w14:paraId="3A25F472">
      <w:pPr>
        <w:spacing w:line="360" w:lineRule="auto"/>
        <w:rPr>
          <w:rFonts w:ascii="宋体" w:hAnsi="宋体"/>
          <w:color w:val="auto"/>
          <w:highlight w:val="none"/>
        </w:rPr>
      </w:pPr>
    </w:p>
    <w:p w14:paraId="57201436">
      <w:pPr>
        <w:spacing w:line="360" w:lineRule="auto"/>
        <w:rPr>
          <w:rFonts w:ascii="宋体" w:hAnsi="宋体"/>
          <w:color w:val="auto"/>
          <w:highlight w:val="none"/>
        </w:rPr>
      </w:pPr>
    </w:p>
    <w:p w14:paraId="2E6482E2">
      <w:pPr>
        <w:spacing w:line="360" w:lineRule="auto"/>
        <w:rPr>
          <w:rFonts w:ascii="宋体" w:hAnsi="宋体"/>
          <w:color w:val="auto"/>
          <w:highlight w:val="none"/>
        </w:rPr>
      </w:pPr>
    </w:p>
    <w:p w14:paraId="23E52131">
      <w:pPr>
        <w:spacing w:line="360" w:lineRule="auto"/>
        <w:ind w:firstLine="945"/>
        <w:rPr>
          <w:rFonts w:ascii="宋体" w:hAnsi="宋体" w:cs="宋体"/>
          <w:color w:val="auto"/>
          <w:sz w:val="30"/>
          <w:highlight w:val="none"/>
        </w:rPr>
      </w:pPr>
    </w:p>
    <w:p w14:paraId="6930D3D0">
      <w:pPr>
        <w:spacing w:line="360" w:lineRule="auto"/>
        <w:ind w:firstLine="945"/>
        <w:rPr>
          <w:rFonts w:ascii="宋体" w:hAnsi="宋体" w:cs="宋体"/>
          <w:color w:val="auto"/>
          <w:sz w:val="30"/>
          <w:highlight w:val="none"/>
        </w:rPr>
      </w:pPr>
    </w:p>
    <w:p w14:paraId="1F954341">
      <w:pPr>
        <w:spacing w:line="360" w:lineRule="auto"/>
        <w:ind w:firstLine="945"/>
        <w:rPr>
          <w:rFonts w:ascii="宋体" w:hAnsi="宋体" w:cs="宋体"/>
          <w:color w:val="auto"/>
          <w:sz w:val="30"/>
          <w:highlight w:val="none"/>
          <w:u w:val="single"/>
        </w:rPr>
      </w:pPr>
      <w:r>
        <w:rPr>
          <w:rFonts w:hint="eastAsia" w:ascii="宋体" w:hAnsi="宋体" w:cs="宋体"/>
          <w:color w:val="auto"/>
          <w:sz w:val="30"/>
          <w:highlight w:val="none"/>
        </w:rPr>
        <w:t>招   标   人：</w:t>
      </w:r>
      <w:r>
        <w:rPr>
          <w:rFonts w:hint="eastAsia" w:ascii="宋体" w:hAnsi="宋体" w:cs="宋体"/>
          <w:color w:val="auto"/>
          <w:sz w:val="30"/>
          <w:highlight w:val="none"/>
          <w:u w:val="single"/>
        </w:rPr>
        <w:t>广州程锦房地产开发有限公司</w:t>
      </w:r>
    </w:p>
    <w:p w14:paraId="39DA7E3F">
      <w:pPr>
        <w:spacing w:line="360" w:lineRule="auto"/>
        <w:ind w:firstLine="945"/>
        <w:rPr>
          <w:rFonts w:ascii="宋体" w:hAnsi="宋体" w:cs="宋体"/>
          <w:color w:val="auto"/>
          <w:sz w:val="30"/>
          <w:highlight w:val="none"/>
          <w:u w:val="single"/>
        </w:rPr>
      </w:pPr>
      <w:r>
        <w:rPr>
          <w:rFonts w:hint="eastAsia" w:ascii="宋体" w:hAnsi="宋体" w:cs="宋体"/>
          <w:color w:val="auto"/>
          <w:sz w:val="30"/>
          <w:highlight w:val="none"/>
        </w:rPr>
        <w:t>招标代理机构：</w:t>
      </w:r>
      <w:r>
        <w:rPr>
          <w:rFonts w:hint="eastAsia" w:ascii="宋体" w:hAnsi="宋体" w:cs="宋体"/>
          <w:color w:val="auto"/>
          <w:sz w:val="30"/>
          <w:highlight w:val="none"/>
          <w:u w:val="single"/>
        </w:rPr>
        <w:t>广州市嘉悦技术咨询有限公司</w:t>
      </w:r>
    </w:p>
    <w:p w14:paraId="403766A4">
      <w:pPr>
        <w:spacing w:line="360" w:lineRule="auto"/>
        <w:ind w:firstLine="945"/>
        <w:jc w:val="left"/>
        <w:rPr>
          <w:rFonts w:ascii="宋体" w:hAnsi="宋体"/>
          <w:b/>
          <w:color w:val="auto"/>
          <w:sz w:val="28"/>
          <w:szCs w:val="28"/>
          <w:highlight w:val="none"/>
        </w:rPr>
      </w:pPr>
      <w:r>
        <w:rPr>
          <w:rFonts w:hint="eastAsia" w:ascii="宋体" w:hAnsi="宋体" w:cs="宋体"/>
          <w:color w:val="auto"/>
          <w:sz w:val="32"/>
          <w:highlight w:val="none"/>
        </w:rPr>
        <w:t>日       期：</w:t>
      </w:r>
      <w:r>
        <w:rPr>
          <w:rFonts w:hint="eastAsia" w:ascii="宋体" w:hAnsi="宋体" w:cs="宋体"/>
          <w:color w:val="auto"/>
          <w:sz w:val="32"/>
          <w:highlight w:val="none"/>
          <w:u w:val="single"/>
        </w:rPr>
        <w:t>2025年</w:t>
      </w:r>
      <w:r>
        <w:rPr>
          <w:rFonts w:hint="eastAsia" w:ascii="宋体" w:hAnsi="宋体" w:cs="宋体"/>
          <w:color w:val="auto"/>
          <w:sz w:val="32"/>
          <w:highlight w:val="none"/>
          <w:u w:val="single"/>
          <w:lang w:val="en-US" w:eastAsia="zh-CN"/>
        </w:rPr>
        <w:t>4</w:t>
      </w:r>
      <w:r>
        <w:rPr>
          <w:rFonts w:hint="eastAsia" w:ascii="宋体" w:hAnsi="宋体" w:cs="宋体"/>
          <w:color w:val="auto"/>
          <w:sz w:val="32"/>
          <w:highlight w:val="none"/>
          <w:u w:val="single"/>
        </w:rPr>
        <w:t>月</w:t>
      </w:r>
    </w:p>
    <w:p w14:paraId="46346F4A">
      <w:pPr>
        <w:pStyle w:val="9"/>
        <w:rPr>
          <w:rFonts w:hAnsi="宋体"/>
          <w:b/>
          <w:color w:val="auto"/>
          <w:sz w:val="28"/>
          <w:szCs w:val="28"/>
          <w:highlight w:val="none"/>
        </w:rPr>
      </w:pPr>
    </w:p>
    <w:p w14:paraId="0BB24693">
      <w:pPr>
        <w:autoSpaceDE w:val="0"/>
        <w:autoSpaceDN w:val="0"/>
        <w:adjustRightInd w:val="0"/>
        <w:spacing w:line="360" w:lineRule="auto"/>
        <w:jc w:val="center"/>
        <w:rPr>
          <w:rFonts w:ascii="宋体" w:hAnsi="宋体"/>
          <w:b/>
          <w:color w:val="auto"/>
          <w:sz w:val="40"/>
          <w:szCs w:val="36"/>
          <w:highlight w:val="none"/>
        </w:rPr>
        <w:sectPr>
          <w:pgSz w:w="11906" w:h="16838"/>
          <w:pgMar w:top="1417" w:right="1701" w:bottom="1134" w:left="1701" w:header="851" w:footer="992" w:gutter="0"/>
          <w:cols w:space="425" w:num="1"/>
          <w:docGrid w:type="lines" w:linePitch="312" w:charSpace="0"/>
        </w:sectPr>
      </w:pPr>
    </w:p>
    <w:p w14:paraId="322630A3">
      <w:pPr>
        <w:autoSpaceDE w:val="0"/>
        <w:autoSpaceDN w:val="0"/>
        <w:adjustRightInd w:val="0"/>
        <w:spacing w:line="360" w:lineRule="auto"/>
        <w:jc w:val="center"/>
        <w:rPr>
          <w:rFonts w:ascii="宋体" w:hAnsi="宋体" w:cs="宋体"/>
          <w:b/>
          <w:color w:val="auto"/>
          <w:sz w:val="36"/>
          <w:szCs w:val="36"/>
          <w:highlight w:val="none"/>
        </w:rPr>
      </w:pPr>
      <w:r>
        <w:rPr>
          <w:rFonts w:hint="eastAsia" w:ascii="宋体" w:hAnsi="宋体"/>
          <w:b/>
          <w:color w:val="auto"/>
          <w:sz w:val="40"/>
          <w:szCs w:val="36"/>
          <w:highlight w:val="none"/>
          <w:lang w:eastAsia="zh-CN"/>
        </w:rPr>
        <w:t>天河智慧城核心区AT0305119地块建设工程项目监理</w:t>
      </w:r>
      <w:r>
        <w:rPr>
          <w:rFonts w:hint="eastAsia" w:ascii="宋体" w:hAnsi="宋体"/>
          <w:b/>
          <w:color w:val="auto"/>
          <w:kern w:val="44"/>
          <w:sz w:val="36"/>
          <w:szCs w:val="36"/>
          <w:highlight w:val="none"/>
        </w:rPr>
        <w:t>招标公告</w:t>
      </w:r>
    </w:p>
    <w:p w14:paraId="786B7E0B">
      <w:pPr>
        <w:pStyle w:val="2"/>
        <w:spacing w:line="360" w:lineRule="auto"/>
        <w:jc w:val="left"/>
        <w:rPr>
          <w:rFonts w:ascii="宋体" w:hAnsi="宋体" w:eastAsia="宋体" w:cs="宋体"/>
          <w:color w:val="auto"/>
          <w:highlight w:val="none"/>
        </w:rPr>
      </w:pPr>
      <w:bookmarkStart w:id="0" w:name="_Toc511557025"/>
      <w:bookmarkStart w:id="1" w:name="_Toc529196504"/>
      <w:bookmarkStart w:id="2" w:name="_Toc535938695"/>
      <w:bookmarkStart w:id="3" w:name="_Toc529196507"/>
      <w:bookmarkStart w:id="4" w:name="_Toc511557028"/>
      <w:r>
        <w:rPr>
          <w:rFonts w:hint="eastAsia" w:ascii="宋体" w:hAnsi="宋体" w:eastAsia="宋体" w:cs="宋体"/>
          <w:color w:val="auto"/>
          <w:highlight w:val="none"/>
        </w:rPr>
        <w:t>1.招标条件</w:t>
      </w:r>
      <w:bookmarkEnd w:id="0"/>
      <w:bookmarkEnd w:id="1"/>
      <w:bookmarkEnd w:id="2"/>
    </w:p>
    <w:p w14:paraId="62BAEC6F">
      <w:pPr>
        <w:tabs>
          <w:tab w:val="left" w:pos="7513"/>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本招标项目</w:t>
      </w:r>
      <w:r>
        <w:rPr>
          <w:rFonts w:hint="eastAsia" w:ascii="宋体" w:hAnsi="宋体" w:cs="宋体"/>
          <w:color w:val="auto"/>
          <w:sz w:val="24"/>
          <w:szCs w:val="24"/>
          <w:highlight w:val="none"/>
          <w:u w:val="single"/>
        </w:rPr>
        <w:t>天河智慧城</w:t>
      </w:r>
      <w:r>
        <w:rPr>
          <w:rFonts w:hint="eastAsia" w:ascii="宋体" w:hAnsi="宋体" w:cs="宋体"/>
          <w:color w:val="auto"/>
          <w:sz w:val="24"/>
          <w:szCs w:val="24"/>
          <w:highlight w:val="none"/>
          <w:u w:val="single"/>
          <w:lang w:val="en-US" w:eastAsia="zh-CN"/>
        </w:rPr>
        <w:t>核心区</w:t>
      </w:r>
      <w:r>
        <w:rPr>
          <w:rFonts w:hint="eastAsia" w:ascii="宋体" w:hAnsi="宋体" w:cs="宋体"/>
          <w:color w:val="auto"/>
          <w:sz w:val="24"/>
          <w:szCs w:val="24"/>
          <w:highlight w:val="none"/>
          <w:u w:val="single"/>
        </w:rPr>
        <w:t>AT0305119地块</w:t>
      </w:r>
      <w:r>
        <w:rPr>
          <w:rFonts w:hint="eastAsia" w:ascii="宋体" w:hAnsi="宋体" w:cs="宋体"/>
          <w:color w:val="auto"/>
          <w:sz w:val="24"/>
          <w:szCs w:val="24"/>
          <w:highlight w:val="none"/>
        </w:rPr>
        <w:t>已由</w:t>
      </w:r>
      <w:r>
        <w:rPr>
          <w:rFonts w:hint="eastAsia" w:ascii="宋体" w:hAnsi="宋体" w:cs="宋体"/>
          <w:color w:val="auto"/>
          <w:sz w:val="24"/>
          <w:szCs w:val="24"/>
          <w:highlight w:val="none"/>
          <w:u w:val="single"/>
        </w:rPr>
        <w:t>广州市天河区发展和改革局（备案项目代码：2411-440106-04-01-458968）</w:t>
      </w:r>
      <w:r>
        <w:rPr>
          <w:rFonts w:hint="eastAsia" w:ascii="宋体" w:hAnsi="宋体" w:cs="宋体"/>
          <w:color w:val="auto"/>
          <w:sz w:val="24"/>
          <w:szCs w:val="24"/>
          <w:highlight w:val="none"/>
        </w:rPr>
        <w:t>登记备案，项目业主为</w:t>
      </w:r>
      <w:r>
        <w:rPr>
          <w:rFonts w:hint="eastAsia" w:ascii="宋体" w:hAnsi="宋体" w:cs="宋体"/>
          <w:color w:val="auto"/>
          <w:sz w:val="24"/>
          <w:szCs w:val="24"/>
          <w:highlight w:val="none"/>
          <w:u w:val="single"/>
        </w:rPr>
        <w:t>广州程锦房地产开发有限公司</w:t>
      </w:r>
      <w:r>
        <w:rPr>
          <w:rFonts w:hint="eastAsia" w:ascii="宋体" w:hAnsi="宋体" w:cs="宋体"/>
          <w:color w:val="auto"/>
          <w:sz w:val="24"/>
          <w:szCs w:val="24"/>
          <w:highlight w:val="none"/>
        </w:rPr>
        <w:t>，建设资金来自</w:t>
      </w:r>
      <w:r>
        <w:rPr>
          <w:rFonts w:hint="eastAsia" w:ascii="宋体" w:hAnsi="宋体" w:cs="宋体"/>
          <w:color w:val="auto"/>
          <w:sz w:val="24"/>
          <w:szCs w:val="24"/>
          <w:highlight w:val="none"/>
          <w:u w:val="single"/>
        </w:rPr>
        <w:t>企业自筹</w:t>
      </w:r>
      <w:r>
        <w:rPr>
          <w:rFonts w:hint="eastAsia" w:ascii="宋体" w:hAnsi="宋体" w:cs="宋体"/>
          <w:color w:val="auto"/>
          <w:sz w:val="24"/>
          <w:szCs w:val="24"/>
          <w:highlight w:val="none"/>
        </w:rPr>
        <w:t>，出资比例为</w:t>
      </w:r>
      <w:r>
        <w:rPr>
          <w:rFonts w:hint="eastAsia" w:ascii="宋体" w:hAnsi="宋体" w:cs="宋体"/>
          <w:color w:val="auto"/>
          <w:sz w:val="24"/>
          <w:szCs w:val="24"/>
          <w:highlight w:val="none"/>
          <w:u w:val="single"/>
        </w:rPr>
        <w:t>100%</w:t>
      </w:r>
      <w:r>
        <w:rPr>
          <w:rFonts w:hint="eastAsia" w:ascii="宋体" w:hAnsi="宋体" w:cs="宋体"/>
          <w:color w:val="auto"/>
          <w:sz w:val="24"/>
          <w:szCs w:val="24"/>
          <w:highlight w:val="none"/>
        </w:rPr>
        <w:t>，招标人为</w:t>
      </w:r>
      <w:r>
        <w:rPr>
          <w:rFonts w:hint="eastAsia" w:ascii="宋体" w:hAnsi="宋体" w:cs="宋体"/>
          <w:color w:val="auto"/>
          <w:sz w:val="24"/>
          <w:szCs w:val="24"/>
          <w:highlight w:val="none"/>
          <w:u w:val="single"/>
        </w:rPr>
        <w:t>广州程锦房地产开发有限公司</w:t>
      </w:r>
      <w:r>
        <w:rPr>
          <w:rFonts w:hint="eastAsia" w:ascii="宋体" w:hAnsi="宋体" w:cs="宋体"/>
          <w:color w:val="auto"/>
          <w:sz w:val="24"/>
          <w:szCs w:val="24"/>
          <w:highlight w:val="none"/>
        </w:rPr>
        <w:t>。项目已具备招标条件，现对该项目的</w:t>
      </w:r>
      <w:r>
        <w:rPr>
          <w:rFonts w:hint="eastAsia" w:ascii="宋体" w:hAnsi="宋体" w:cs="宋体"/>
          <w:color w:val="auto"/>
          <w:sz w:val="24"/>
          <w:szCs w:val="24"/>
          <w:highlight w:val="none"/>
          <w:u w:val="single"/>
        </w:rPr>
        <w:t>监理</w:t>
      </w:r>
      <w:r>
        <w:rPr>
          <w:rFonts w:hint="eastAsia" w:ascii="宋体" w:hAnsi="宋体" w:cs="宋体"/>
          <w:color w:val="auto"/>
          <w:sz w:val="24"/>
          <w:szCs w:val="24"/>
          <w:highlight w:val="none"/>
        </w:rPr>
        <w:t>进行公开招标。</w:t>
      </w:r>
    </w:p>
    <w:p w14:paraId="307B929B">
      <w:pPr>
        <w:pStyle w:val="2"/>
        <w:tabs>
          <w:tab w:val="left" w:pos="606"/>
        </w:tabs>
        <w:spacing w:line="360" w:lineRule="auto"/>
        <w:jc w:val="left"/>
        <w:rPr>
          <w:rFonts w:ascii="宋体" w:hAnsi="宋体" w:eastAsia="宋体" w:cs="宋体"/>
          <w:color w:val="auto"/>
          <w:highlight w:val="none"/>
        </w:rPr>
      </w:pPr>
      <w:bookmarkStart w:id="5" w:name="_Toc511557026"/>
      <w:bookmarkStart w:id="6" w:name="_Toc535938696"/>
      <w:bookmarkStart w:id="7" w:name="_Toc529196505"/>
      <w:r>
        <w:rPr>
          <w:rFonts w:hint="eastAsia" w:ascii="宋体" w:hAnsi="宋体" w:eastAsia="宋体" w:cs="宋体"/>
          <w:color w:val="auto"/>
          <w:highlight w:val="none"/>
        </w:rPr>
        <w:t>2.项目概况与招标范围</w:t>
      </w:r>
      <w:bookmarkEnd w:id="5"/>
      <w:bookmarkEnd w:id="6"/>
      <w:bookmarkEnd w:id="7"/>
    </w:p>
    <w:p w14:paraId="519E30DC">
      <w:pPr>
        <w:tabs>
          <w:tab w:val="left" w:pos="7513"/>
        </w:tabs>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2.1招标项目概况</w:t>
      </w:r>
    </w:p>
    <w:p w14:paraId="38FA6425">
      <w:pPr>
        <w:tabs>
          <w:tab w:val="left" w:pos="7513"/>
        </w:tabs>
        <w:spacing w:line="360" w:lineRule="auto"/>
        <w:ind w:firstLine="480" w:firstLineChars="200"/>
        <w:jc w:val="left"/>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2.1.1招标项目名称：</w:t>
      </w:r>
      <w:r>
        <w:rPr>
          <w:rFonts w:hint="eastAsia" w:ascii="宋体" w:hAnsi="宋体" w:cs="宋体"/>
          <w:color w:val="auto"/>
          <w:sz w:val="24"/>
          <w:szCs w:val="24"/>
          <w:highlight w:val="none"/>
          <w:u w:val="single"/>
          <w:lang w:eastAsia="zh-CN"/>
        </w:rPr>
        <w:t>天河智慧城核心区AT0305119地块建设工程项目监理</w:t>
      </w:r>
    </w:p>
    <w:p w14:paraId="2472026A">
      <w:pPr>
        <w:widowControl/>
        <w:numPr>
          <w:ilvl w:val="255"/>
          <w:numId w:val="0"/>
        </w:numPr>
        <w:spacing w:line="36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2.1.2</w:t>
      </w:r>
      <w:r>
        <w:rPr>
          <w:rFonts w:hint="eastAsia" w:ascii="宋体" w:hAnsi="宋体" w:cs="宋体"/>
          <w:bCs/>
          <w:color w:val="auto"/>
          <w:sz w:val="24"/>
          <w:szCs w:val="24"/>
          <w:highlight w:val="none"/>
        </w:rPr>
        <w:t>工程建设规模</w:t>
      </w:r>
      <w:r>
        <w:rPr>
          <w:rFonts w:hint="eastAsia" w:ascii="宋体" w:hAnsi="宋体" w:cs="宋体"/>
          <w:color w:val="auto"/>
          <w:sz w:val="24"/>
          <w:szCs w:val="24"/>
          <w:highlight w:val="none"/>
        </w:rPr>
        <w:t>：</w:t>
      </w:r>
      <w:r>
        <w:rPr>
          <w:rFonts w:hint="eastAsia" w:ascii="宋体" w:hAnsi="宋体" w:cs="宋体"/>
          <w:bCs/>
          <w:color w:val="auto"/>
          <w:kern w:val="2"/>
          <w:sz w:val="24"/>
          <w:szCs w:val="24"/>
          <w:highlight w:val="none"/>
          <w:u w:val="single"/>
          <w:lang w:bidi="ar"/>
        </w:rPr>
        <w:t>项目可建设用地面积33320.47平方米，总规划建筑面积129242.69平方米，新建住宅楼4栋32层、建筑高度100米，4栋15层、建筑高度54米，公建配套幼儿园、物业管理用房、垃圾站（含再生资源回收点）、商业、地下室等</w:t>
      </w:r>
      <w:r>
        <w:rPr>
          <w:rFonts w:hint="eastAsia" w:ascii="宋体" w:hAnsi="宋体" w:cs="宋体"/>
          <w:bCs/>
          <w:color w:val="auto"/>
          <w:sz w:val="24"/>
          <w:szCs w:val="24"/>
          <w:highlight w:val="none"/>
          <w:u w:val="single"/>
          <w:lang w:eastAsia="zh-CN"/>
        </w:rPr>
        <w:t>（</w:t>
      </w:r>
      <w:r>
        <w:rPr>
          <w:rFonts w:hint="eastAsia" w:ascii="宋体" w:hAnsi="宋体" w:cs="宋体"/>
          <w:bCs/>
          <w:color w:val="auto"/>
          <w:sz w:val="24"/>
          <w:szCs w:val="24"/>
          <w:highlight w:val="none"/>
          <w:u w:val="single"/>
          <w:lang w:val="en-US" w:eastAsia="zh-CN"/>
        </w:rPr>
        <w:t>最终以</w:t>
      </w:r>
      <w:r>
        <w:rPr>
          <w:rFonts w:hint="eastAsia" w:ascii="宋体" w:hAnsi="宋体" w:eastAsia="宋体" w:cs="宋体"/>
          <w:bCs/>
          <w:color w:val="auto"/>
          <w:sz w:val="24"/>
          <w:szCs w:val="24"/>
          <w:highlight w:val="none"/>
          <w:u w:val="single"/>
        </w:rPr>
        <w:t>工程规划许可证为准</w:t>
      </w:r>
      <w:r>
        <w:rPr>
          <w:rFonts w:hint="eastAsia" w:ascii="宋体" w:hAnsi="宋体" w:cs="宋体"/>
          <w:bCs/>
          <w:color w:val="auto"/>
          <w:sz w:val="24"/>
          <w:szCs w:val="24"/>
          <w:highlight w:val="none"/>
          <w:u w:val="single"/>
          <w:lang w:eastAsia="zh-CN"/>
        </w:rPr>
        <w:t>）</w:t>
      </w:r>
      <w:r>
        <w:rPr>
          <w:rFonts w:hint="eastAsia" w:ascii="宋体" w:hAnsi="宋体" w:cs="宋体"/>
          <w:bCs/>
          <w:color w:val="auto"/>
          <w:sz w:val="24"/>
          <w:szCs w:val="24"/>
          <w:highlight w:val="none"/>
          <w:u w:val="single"/>
          <w:lang w:bidi="ar"/>
        </w:rPr>
        <w:t>。</w:t>
      </w:r>
    </w:p>
    <w:p w14:paraId="37B1E8BC">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2.1.3工程建设地点：</w:t>
      </w:r>
      <w:r>
        <w:rPr>
          <w:rFonts w:hint="eastAsia" w:ascii="宋体" w:hAnsi="宋体" w:cs="宋体"/>
          <w:bCs/>
          <w:color w:val="auto"/>
          <w:kern w:val="2"/>
          <w:sz w:val="24"/>
          <w:szCs w:val="24"/>
          <w:highlight w:val="none"/>
          <w:u w:val="single"/>
          <w:lang w:bidi="ar"/>
        </w:rPr>
        <w:t>广州市天河区华观路以北，高唐路以东</w:t>
      </w:r>
      <w:r>
        <w:rPr>
          <w:rFonts w:hint="eastAsia" w:ascii="宋体" w:hAnsi="宋体" w:cs="宋体"/>
          <w:color w:val="auto"/>
          <w:sz w:val="24"/>
          <w:szCs w:val="24"/>
          <w:highlight w:val="none"/>
          <w:u w:val="single"/>
        </w:rPr>
        <w:t>。</w:t>
      </w:r>
    </w:p>
    <w:p w14:paraId="3A543C72">
      <w:pPr>
        <w:tabs>
          <w:tab w:val="left" w:pos="7513"/>
        </w:tabs>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2.2招标范围</w:t>
      </w:r>
    </w:p>
    <w:p w14:paraId="383321BC">
      <w:pPr>
        <w:tabs>
          <w:tab w:val="left" w:pos="7513"/>
        </w:tabs>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2.2.1</w:t>
      </w:r>
      <w:r>
        <w:rPr>
          <w:rFonts w:hint="eastAsia" w:ascii="宋体" w:hAnsi="宋体" w:cs="宋体"/>
          <w:bCs/>
          <w:color w:val="auto"/>
          <w:sz w:val="24"/>
          <w:szCs w:val="24"/>
          <w:highlight w:val="none"/>
        </w:rPr>
        <w:t>标段划分：</w:t>
      </w:r>
      <w:r>
        <w:rPr>
          <w:rFonts w:hint="eastAsia" w:ascii="宋体" w:hAnsi="宋体" w:cs="宋体"/>
          <w:color w:val="auto"/>
          <w:sz w:val="24"/>
          <w:szCs w:val="24"/>
          <w:highlight w:val="none"/>
          <w:u w:val="single"/>
        </w:rPr>
        <w:t>本项目设1个标段。</w:t>
      </w:r>
    </w:p>
    <w:p w14:paraId="68F1AF0E">
      <w:pPr>
        <w:tabs>
          <w:tab w:val="left" w:pos="7513"/>
        </w:tabs>
        <w:spacing w:line="36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2.2.2监理范围:</w:t>
      </w:r>
      <w:r>
        <w:rPr>
          <w:rFonts w:hint="eastAsia" w:ascii="宋体" w:hAnsi="宋体" w:cs="宋体"/>
          <w:color w:val="auto"/>
          <w:sz w:val="24"/>
          <w:szCs w:val="24"/>
          <w:highlight w:val="none"/>
          <w:u w:val="single"/>
        </w:rPr>
        <w:t>包括但不限于以下工程的监理：土建工程（含地下室）、机电工程（给水排水系统、消防系统、高低压变配电系统、通风空调系统、供水供电工程、临电迁移工程、通信(含有线电视)光纤到户工程）、电梯工程、煤气工程）、装修工程（含精装修）、建筑智能化系统工程、园林绿化工程、室外配套工程等。工作内容包括建设项目施工准备阶段、施工阶段、工程收尾阶段（包括竣工验收、整改、工程移交及工程结算）及工程质量保修期阶段的质量控制，安全生产监督管理、进度控制、合同管理、信息收集管理、组织协调等全过程监理工作。</w:t>
      </w:r>
    </w:p>
    <w:p w14:paraId="75AAD7D4">
      <w:pPr>
        <w:tabs>
          <w:tab w:val="left" w:pos="7513"/>
        </w:tabs>
        <w:spacing w:line="36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2.2.3监理服务期限：</w:t>
      </w:r>
      <w:r>
        <w:rPr>
          <w:rFonts w:hint="eastAsia" w:ascii="宋体" w:hAnsi="宋体" w:cs="宋体"/>
          <w:color w:val="auto"/>
          <w:sz w:val="24"/>
          <w:szCs w:val="24"/>
          <w:highlight w:val="none"/>
          <w:u w:val="single"/>
        </w:rPr>
        <w:t>以监理人实际派驻人员之日始，至监理服务缺陷责任期结束止。具体以</w:t>
      </w:r>
      <w:r>
        <w:rPr>
          <w:rFonts w:hint="eastAsia" w:ascii="宋体" w:hAnsi="宋体" w:cs="宋体"/>
          <w:color w:val="auto"/>
          <w:sz w:val="24"/>
          <w:szCs w:val="24"/>
          <w:highlight w:val="none"/>
          <w:u w:val="single"/>
          <w:lang w:val="en-US" w:eastAsia="zh-CN"/>
        </w:rPr>
        <w:t>监理</w:t>
      </w:r>
      <w:r>
        <w:rPr>
          <w:rFonts w:hint="eastAsia" w:ascii="宋体" w:hAnsi="宋体" w:cs="宋体"/>
          <w:color w:val="auto"/>
          <w:sz w:val="24"/>
          <w:szCs w:val="24"/>
          <w:highlight w:val="none"/>
          <w:u w:val="single"/>
        </w:rPr>
        <w:t>合同要求为准。</w:t>
      </w:r>
    </w:p>
    <w:p w14:paraId="515EC3CD">
      <w:pPr>
        <w:tabs>
          <w:tab w:val="left" w:pos="7513"/>
        </w:tabs>
        <w:spacing w:line="360" w:lineRule="auto"/>
        <w:ind w:firstLine="482" w:firstLineChars="200"/>
        <w:jc w:val="left"/>
        <w:rPr>
          <w:rFonts w:ascii="宋体" w:hAnsi="宋体" w:cs="宋体"/>
          <w:bCs/>
          <w:color w:val="auto"/>
          <w:sz w:val="24"/>
          <w:szCs w:val="24"/>
          <w:highlight w:val="none"/>
          <w:u w:val="single"/>
        </w:rPr>
      </w:pPr>
      <w:r>
        <w:rPr>
          <w:rFonts w:hint="eastAsia" w:ascii="宋体" w:hAnsi="宋体" w:cs="宋体"/>
          <w:b/>
          <w:bCs w:val="0"/>
          <w:color w:val="auto"/>
          <w:sz w:val="24"/>
          <w:szCs w:val="24"/>
          <w:highlight w:val="none"/>
        </w:rPr>
        <w:t>2.3最高投标限价</w:t>
      </w:r>
      <w:r>
        <w:rPr>
          <w:rFonts w:hint="eastAsia" w:ascii="宋体" w:hAnsi="宋体" w:cs="宋体"/>
          <w:bCs/>
          <w:color w:val="auto"/>
          <w:sz w:val="24"/>
          <w:szCs w:val="24"/>
          <w:highlight w:val="none"/>
        </w:rPr>
        <w:t>：人民币</w:t>
      </w:r>
      <w:r>
        <w:rPr>
          <w:rFonts w:hint="eastAsia" w:ascii="宋体" w:hAnsi="宋体" w:cs="宋体"/>
          <w:bCs/>
          <w:color w:val="auto"/>
          <w:sz w:val="24"/>
          <w:szCs w:val="24"/>
          <w:highlight w:val="none"/>
          <w:u w:val="single"/>
          <w:lang w:val="en-US" w:eastAsia="zh-CN"/>
        </w:rPr>
        <w:t>419.9095</w:t>
      </w:r>
      <w:r>
        <w:rPr>
          <w:rFonts w:hint="eastAsia" w:ascii="宋体" w:hAnsi="宋体" w:cs="宋体"/>
          <w:bCs/>
          <w:color w:val="auto"/>
          <w:sz w:val="24"/>
          <w:szCs w:val="24"/>
          <w:highlight w:val="none"/>
        </w:rPr>
        <w:t>万元</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u w:val="single"/>
          <w:lang w:val="en-US" w:eastAsia="zh-CN"/>
        </w:rPr>
        <w:t>其中含税单价最高限价为</w:t>
      </w:r>
      <w:r>
        <w:rPr>
          <w:rFonts w:hint="eastAsia" w:ascii="宋体" w:hAnsi="宋体" w:cs="宋体"/>
          <w:bCs/>
          <w:color w:val="auto"/>
          <w:sz w:val="24"/>
          <w:szCs w:val="24"/>
          <w:highlight w:val="none"/>
          <w:u w:val="single"/>
        </w:rPr>
        <w:t>人民币</w:t>
      </w:r>
      <w:r>
        <w:rPr>
          <w:rFonts w:hint="eastAsia" w:ascii="宋体" w:hAnsi="宋体" w:cs="宋体"/>
          <w:bCs/>
          <w:color w:val="auto"/>
          <w:sz w:val="24"/>
          <w:szCs w:val="24"/>
          <w:highlight w:val="none"/>
          <w:u w:val="single"/>
          <w:lang w:val="en-US" w:eastAsia="zh-CN"/>
        </w:rPr>
        <w:t>32.49</w:t>
      </w:r>
      <w:r>
        <w:rPr>
          <w:rFonts w:hint="eastAsia" w:ascii="宋体" w:hAnsi="宋体" w:cs="宋体"/>
          <w:bCs/>
          <w:color w:val="auto"/>
          <w:sz w:val="24"/>
          <w:szCs w:val="24"/>
          <w:highlight w:val="none"/>
          <w:u w:val="single"/>
        </w:rPr>
        <w:t>元</w:t>
      </w:r>
      <w:r>
        <w:rPr>
          <w:rFonts w:hint="eastAsia" w:ascii="宋体" w:hAnsi="宋体" w:cs="宋体"/>
          <w:bCs/>
          <w:color w:val="auto"/>
          <w:sz w:val="24"/>
          <w:szCs w:val="24"/>
          <w:highlight w:val="none"/>
          <w:u w:val="single"/>
          <w:lang w:val="en-US" w:eastAsia="zh-CN"/>
        </w:rPr>
        <w:t>/平方米（不含投资控制）</w:t>
      </w:r>
      <w:r>
        <w:rPr>
          <w:rFonts w:hint="eastAsia" w:ascii="宋体" w:hAnsi="宋体" w:cs="宋体"/>
          <w:bCs/>
          <w:color w:val="auto"/>
          <w:sz w:val="24"/>
          <w:szCs w:val="24"/>
          <w:highlight w:val="none"/>
        </w:rPr>
        <w:t>。</w:t>
      </w:r>
    </w:p>
    <w:p w14:paraId="7C43C7FC">
      <w:pPr>
        <w:pStyle w:val="2"/>
        <w:spacing w:line="360" w:lineRule="auto"/>
        <w:jc w:val="left"/>
        <w:rPr>
          <w:rFonts w:ascii="宋体" w:hAnsi="宋体" w:eastAsia="宋体" w:cs="宋体"/>
          <w:color w:val="auto"/>
          <w:highlight w:val="none"/>
        </w:rPr>
      </w:pPr>
      <w:bookmarkStart w:id="8" w:name="_Toc535938697"/>
      <w:bookmarkStart w:id="9" w:name="_Toc511557027"/>
      <w:bookmarkStart w:id="10" w:name="_Toc529196506"/>
      <w:r>
        <w:rPr>
          <w:rFonts w:hint="eastAsia" w:ascii="宋体" w:hAnsi="宋体" w:eastAsia="宋体" w:cs="宋体"/>
          <w:color w:val="auto"/>
          <w:highlight w:val="none"/>
        </w:rPr>
        <w:t>3. 投标人资格要求</w:t>
      </w:r>
      <w:bookmarkEnd w:id="8"/>
      <w:bookmarkEnd w:id="9"/>
      <w:bookmarkEnd w:id="10"/>
    </w:p>
    <w:p w14:paraId="38204DE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 投标人须具备建设行政主管部门颁发的</w:t>
      </w:r>
      <w:r>
        <w:rPr>
          <w:rFonts w:hint="eastAsia" w:ascii="宋体" w:hAnsi="宋体" w:cs="宋体"/>
          <w:color w:val="auto"/>
          <w:sz w:val="24"/>
          <w:highlight w:val="none"/>
          <w:u w:val="single"/>
        </w:rPr>
        <w:t>有效期内</w:t>
      </w:r>
      <w:r>
        <w:rPr>
          <w:rFonts w:hint="eastAsia" w:ascii="宋体" w:hAnsi="宋体" w:cs="宋体"/>
          <w:color w:val="auto"/>
          <w:sz w:val="24"/>
          <w:szCs w:val="24"/>
          <w:highlight w:val="none"/>
          <w:u w:val="single"/>
        </w:rPr>
        <w:t>的工程监理综合资质或房屋建筑工程监理</w:t>
      </w:r>
      <w:r>
        <w:rPr>
          <w:rFonts w:hint="eastAsia" w:ascii="宋体" w:hAnsi="宋体" w:cs="宋体"/>
          <w:color w:val="auto"/>
          <w:sz w:val="24"/>
          <w:szCs w:val="24"/>
          <w:highlight w:val="none"/>
          <w:u w:val="single"/>
          <w:lang w:val="en-US" w:eastAsia="zh-CN"/>
        </w:rPr>
        <w:t>甲</w:t>
      </w:r>
      <w:r>
        <w:rPr>
          <w:rFonts w:hint="eastAsia" w:ascii="宋体" w:hAnsi="宋体" w:cs="宋体"/>
          <w:color w:val="auto"/>
          <w:sz w:val="24"/>
          <w:szCs w:val="24"/>
          <w:highlight w:val="none"/>
          <w:u w:val="single"/>
        </w:rPr>
        <w:t>级</w:t>
      </w:r>
      <w:r>
        <w:rPr>
          <w:rFonts w:hint="eastAsia" w:ascii="宋体" w:hAnsi="宋体" w:cs="宋体"/>
          <w:color w:val="auto"/>
          <w:sz w:val="24"/>
          <w:szCs w:val="24"/>
          <w:highlight w:val="none"/>
        </w:rPr>
        <w:t>资质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rPr>
        <w:t>香港企业参加投标的，须在广东省住房和城乡建设主管部门备案且备案的业务范围满足本项目资质要求。</w:t>
      </w:r>
    </w:p>
    <w:p w14:paraId="67F8A971">
      <w:pPr>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4"/>
          <w:highlight w:val="none"/>
        </w:rPr>
        <w:t>注：</w:t>
      </w:r>
      <w:r>
        <w:rPr>
          <w:rFonts w:hint="eastAsia" w:ascii="宋体" w:hAnsi="宋体" w:cs="楷体"/>
          <w:color w:val="auto"/>
          <w:sz w:val="24"/>
          <w:szCs w:val="24"/>
          <w:highlight w:val="none"/>
        </w:rPr>
        <w:t>①投标人应当符合《住房和城乡建设部办公厅关于做好建筑业“证照分离”改革衔接有关工作的通知》（建办市〔2021〕30号）、《住房和城乡建设部办公厅关于建设工程企业资质有关事宜的通知》（建办市函〔2022〕361号）和《广东省住房和城乡建设厅关于建设工程企业资质有关事宜的通知》（粤建许函〔2022〕846号）</w:t>
      </w:r>
      <w:r>
        <w:rPr>
          <w:rFonts w:hint="eastAsia" w:ascii="宋体" w:hAnsi="宋体" w:cs="宋体"/>
          <w:color w:val="auto"/>
          <w:sz w:val="24"/>
          <w:highlight w:val="none"/>
        </w:rPr>
        <w:t>、《住房城乡建设部建筑市场监管司关于建设工程企业资质延续有关事项的通知》（建司局函市〔</w:t>
      </w:r>
      <w:r>
        <w:rPr>
          <w:rFonts w:ascii="宋体" w:hAnsi="宋体" w:cs="宋体"/>
          <w:color w:val="auto"/>
          <w:sz w:val="24"/>
          <w:highlight w:val="none"/>
        </w:rPr>
        <w:t>2023</w:t>
      </w:r>
      <w:r>
        <w:rPr>
          <w:rFonts w:hint="eastAsia" w:ascii="宋体" w:hAnsi="宋体" w:cs="宋体"/>
          <w:color w:val="auto"/>
          <w:sz w:val="24"/>
          <w:highlight w:val="none"/>
        </w:rPr>
        <w:t>〕</w:t>
      </w:r>
      <w:r>
        <w:rPr>
          <w:rFonts w:ascii="宋体" w:hAnsi="宋体" w:cs="宋体"/>
          <w:color w:val="auto"/>
          <w:sz w:val="24"/>
          <w:highlight w:val="none"/>
        </w:rPr>
        <w:t>116</w:t>
      </w:r>
      <w:r>
        <w:rPr>
          <w:rFonts w:hint="eastAsia" w:ascii="宋体" w:hAnsi="宋体" w:cs="宋体"/>
          <w:color w:val="auto"/>
          <w:sz w:val="24"/>
          <w:highlight w:val="none"/>
        </w:rPr>
        <w:t>号）、《广东省住房和城乡建设厅关于建设工程企业资质延续有关事项的通知》（粤建许函〔</w:t>
      </w:r>
      <w:r>
        <w:rPr>
          <w:rFonts w:ascii="宋体" w:hAnsi="宋体" w:cs="宋体"/>
          <w:color w:val="auto"/>
          <w:sz w:val="24"/>
          <w:highlight w:val="none"/>
        </w:rPr>
        <w:t>2023</w:t>
      </w:r>
      <w:r>
        <w:rPr>
          <w:rFonts w:hint="eastAsia" w:ascii="宋体" w:hAnsi="宋体" w:cs="宋体"/>
          <w:color w:val="auto"/>
          <w:sz w:val="24"/>
          <w:highlight w:val="none"/>
        </w:rPr>
        <w:t>〕</w:t>
      </w:r>
      <w:r>
        <w:rPr>
          <w:rFonts w:ascii="宋体" w:hAnsi="宋体" w:cs="宋体"/>
          <w:color w:val="auto"/>
          <w:sz w:val="24"/>
          <w:highlight w:val="none"/>
        </w:rPr>
        <w:t>820</w:t>
      </w:r>
      <w:r>
        <w:rPr>
          <w:rFonts w:hint="eastAsia" w:ascii="宋体" w:hAnsi="宋体" w:cs="宋体"/>
          <w:color w:val="auto"/>
          <w:sz w:val="24"/>
          <w:highlight w:val="none"/>
        </w:rPr>
        <w:t>号）等相关规定。根据上述文件的要求，申请人需办理企业资质有效期延续的，应当按照相关规定及时办理。</w:t>
      </w:r>
    </w:p>
    <w:p w14:paraId="7AA07755">
      <w:pPr>
        <w:spacing w:line="360" w:lineRule="auto"/>
        <w:ind w:firstLine="456" w:firstLineChars="200"/>
        <w:rPr>
          <w:color w:val="auto"/>
          <w:spacing w:val="-6"/>
          <w:highlight w:val="none"/>
        </w:rPr>
      </w:pPr>
      <w:r>
        <w:rPr>
          <w:rFonts w:hint="eastAsia" w:ascii="宋体" w:hAnsi="宋体" w:cs="宋体"/>
          <w:color w:val="auto"/>
          <w:spacing w:val="-6"/>
          <w:sz w:val="24"/>
          <w:szCs w:val="24"/>
          <w:highlight w:val="none"/>
        </w:rPr>
        <w:t>②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香港企业须提供满足招标文件要求的相应资质证书及备案证明资料扫描件。</w:t>
      </w:r>
    </w:p>
    <w:p w14:paraId="0F7A95B1">
      <w:pPr>
        <w:spacing w:line="360" w:lineRule="auto"/>
        <w:ind w:left="900" w:leftChars="200" w:hanging="480" w:hangingChars="200"/>
        <w:rPr>
          <w:rFonts w:ascii="宋体" w:hAnsi="宋体" w:cs="宋体"/>
          <w:color w:val="auto"/>
          <w:sz w:val="24"/>
          <w:szCs w:val="24"/>
          <w:highlight w:val="none"/>
          <w:u w:val="single"/>
        </w:rPr>
      </w:pPr>
      <w:r>
        <w:rPr>
          <w:rFonts w:hint="eastAsia" w:ascii="宋体" w:hAnsi="宋体" w:cs="宋体"/>
          <w:color w:val="auto"/>
          <w:sz w:val="24"/>
          <w:szCs w:val="24"/>
          <w:highlight w:val="none"/>
        </w:rPr>
        <w:t>3.2 本次招标</w:t>
      </w:r>
      <w:r>
        <w:rPr>
          <w:rFonts w:hint="eastAsia" w:ascii="宋体" w:hAnsi="宋体" w:cs="宋体"/>
          <w:color w:val="auto"/>
          <w:sz w:val="24"/>
          <w:szCs w:val="24"/>
          <w:highlight w:val="none"/>
          <w:u w:val="single"/>
        </w:rPr>
        <w:t xml:space="preserve"> 不接受 </w:t>
      </w:r>
      <w:r>
        <w:rPr>
          <w:rFonts w:hint="eastAsia" w:ascii="宋体" w:hAnsi="宋体" w:cs="宋体"/>
          <w:color w:val="auto"/>
          <w:sz w:val="24"/>
          <w:szCs w:val="24"/>
          <w:highlight w:val="none"/>
        </w:rPr>
        <w:t>联合体投标。</w:t>
      </w:r>
    </w:p>
    <w:p w14:paraId="1ECC2E87">
      <w:pPr>
        <w:spacing w:line="360" w:lineRule="auto"/>
        <w:ind w:firstLine="437"/>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3.3 拟派总监理工程师须具备：</w:t>
      </w:r>
      <w:r>
        <w:rPr>
          <w:rFonts w:hint="eastAsia" w:ascii="宋体" w:hAnsi="宋体" w:cs="宋体"/>
          <w:color w:val="auto"/>
          <w:sz w:val="24"/>
          <w:szCs w:val="24"/>
          <w:highlight w:val="none"/>
          <w:u w:val="single"/>
        </w:rPr>
        <w:t>建设部2006年4月1日后颁发的中华人民共和国注册监理工程师注册执业证书，且其注册专业为房屋建筑工程，注册执业单位为本公司,并具备本科或以上学历；或在广东省住房和城乡建设主管部门备案且备案的资格满足本项目总监理工程师的资格要求的香港专业人士。</w:t>
      </w:r>
    </w:p>
    <w:p w14:paraId="7A46AFE8">
      <w:pPr>
        <w:pStyle w:val="4"/>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val="en-US"/>
        </w:rPr>
        <w:t>注：依据《广东省住房和城乡建设厅关于印发香港工程建设咨询企业和专业人士在粤港澳大湾区内地城市开业执业试点管理暂行办法的通知》（粤建规范〔</w:t>
      </w:r>
      <w:r>
        <w:rPr>
          <w:rFonts w:ascii="宋体" w:hAnsi="宋体" w:cs="宋体"/>
          <w:color w:val="auto"/>
          <w:sz w:val="24"/>
          <w:szCs w:val="24"/>
          <w:highlight w:val="none"/>
          <w:lang w:val="en-US"/>
        </w:rPr>
        <w:t>2020〕1号，详见链接：http://zfcxjst.gd.gov.cn/xxgk/wjtz/content/post_3137220.html），自2021年1月1日起，允许经备案且备案的业务范围满足招标文件要求的香港专业人士担任勘</w:t>
      </w:r>
      <w:r>
        <w:rPr>
          <w:rFonts w:hint="eastAsia" w:ascii="宋体" w:hAnsi="宋体" w:cs="宋体"/>
          <w:color w:val="auto"/>
          <w:sz w:val="24"/>
          <w:szCs w:val="24"/>
          <w:highlight w:val="none"/>
          <w:lang w:val="en-US"/>
        </w:rPr>
        <w:t>察、设计和监理项目管理团队中的相应职务。满足前述内容的香港企业及香港专业人士参与本次投标的，应按招标文件要求提供满足评审的相关证明文件。</w:t>
      </w:r>
    </w:p>
    <w:p w14:paraId="045A05CB">
      <w:pPr>
        <w:spacing w:line="360" w:lineRule="auto"/>
        <w:ind w:left="2357" w:leftChars="208" w:hanging="1920" w:hangingChars="800"/>
        <w:jc w:val="left"/>
        <w:rPr>
          <w:rFonts w:ascii="宋体" w:hAnsi="宋体" w:cs="宋体"/>
          <w:color w:val="auto"/>
          <w:sz w:val="24"/>
          <w:szCs w:val="24"/>
          <w:highlight w:val="none"/>
        </w:rPr>
      </w:pPr>
      <w:r>
        <w:rPr>
          <w:rFonts w:ascii="宋体" w:hAnsi="宋体" w:cs="宋体"/>
          <w:color w:val="auto"/>
          <w:sz w:val="24"/>
          <w:szCs w:val="24"/>
          <w:highlight w:val="none"/>
        </w:rPr>
        <w:t>3.4其他要求：</w:t>
      </w:r>
    </w:p>
    <w:p w14:paraId="0285663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3.4.1投标人参加投标的意思表达清楚，投标人代表被授权有效。</w:t>
      </w:r>
    </w:p>
    <w:p w14:paraId="5C92167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3.4.2投标人必须具有独立法人资格，持有有效的工商行政</w:t>
      </w:r>
      <w:r>
        <w:rPr>
          <w:rFonts w:hint="eastAsia" w:ascii="宋体" w:hAnsi="宋体" w:cs="宋体"/>
          <w:color w:val="auto"/>
          <w:sz w:val="24"/>
          <w:szCs w:val="24"/>
          <w:highlight w:val="none"/>
          <w:u w:val="single"/>
        </w:rPr>
        <w:t>（市场监督）</w:t>
      </w:r>
      <w:r>
        <w:rPr>
          <w:rFonts w:hint="eastAsia" w:ascii="宋体" w:hAnsi="宋体" w:cs="宋体"/>
          <w:color w:val="auto"/>
          <w:sz w:val="24"/>
          <w:szCs w:val="24"/>
          <w:highlight w:val="none"/>
        </w:rPr>
        <w:t>管理部门核发的法人营业执照</w:t>
      </w:r>
      <w:r>
        <w:rPr>
          <w:rFonts w:ascii="宋体" w:hAnsi="宋体" w:cs="宋体"/>
          <w:color w:val="auto"/>
          <w:sz w:val="24"/>
          <w:szCs w:val="24"/>
          <w:highlight w:val="none"/>
        </w:rPr>
        <w:t>或各级政府事业单位登记管理机关颁发的事业单位法人证书</w:t>
      </w:r>
      <w:r>
        <w:rPr>
          <w:rFonts w:hint="eastAsia" w:ascii="宋体" w:hAnsi="宋体" w:cs="宋体"/>
          <w:color w:val="auto"/>
          <w:sz w:val="24"/>
          <w:szCs w:val="24"/>
          <w:highlight w:val="none"/>
        </w:rPr>
        <w:t>，按国家法律经营；</w:t>
      </w:r>
      <w:r>
        <w:rPr>
          <w:rFonts w:hint="eastAsia" w:ascii="宋体" w:hAnsi="宋体" w:cs="宋体"/>
          <w:color w:val="auto"/>
          <w:spacing w:val="7"/>
          <w:sz w:val="24"/>
          <w:highlight w:val="none"/>
        </w:rPr>
        <w:t>香港企业提供在香港进行商业登记的证明文书。</w:t>
      </w:r>
    </w:p>
    <w:p w14:paraId="2A7DEE3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3.4.3投标人已在广州市住房和城乡建设局建立了企业信用档案，且拟担任本项目的总监理工程师须是本企业信用档案中的在册人员。</w:t>
      </w:r>
    </w:p>
    <w:p w14:paraId="107F4910">
      <w:pPr>
        <w:spacing w:line="360" w:lineRule="auto"/>
        <w:ind w:firstLine="537" w:firstLineChars="224"/>
        <w:jc w:val="left"/>
        <w:rPr>
          <w:color w:val="auto"/>
          <w:sz w:val="24"/>
          <w:szCs w:val="24"/>
          <w:highlight w:val="none"/>
        </w:rPr>
      </w:pPr>
      <w:r>
        <w:rPr>
          <w:rFonts w:hint="eastAsia" w:ascii="宋体" w:hAnsi="宋体" w:cs="宋体"/>
          <w:color w:val="auto"/>
          <w:sz w:val="24"/>
          <w:szCs w:val="24"/>
          <w:highlight w:val="none"/>
        </w:rPr>
        <w:t>注：</w:t>
      </w:r>
      <w:r>
        <w:rPr>
          <w:rFonts w:hint="eastAsia" w:ascii="宋体" w:hAnsi="宋体" w:cs="宋体"/>
          <w:color w:val="auto"/>
          <w:sz w:val="24"/>
          <w:highlight w:val="none"/>
        </w:rPr>
        <w:t>企业信用档案取自投标截止时间投标人在信用管理平台的信息，投标人无需提交相关资料，若招标人延长递交投标文件截止时间的，信用档案信息的评审时点也相应延长。（信用档案办理详见《广州市住建行业信用管理平台监理企业信息录入指引》</w:t>
      </w:r>
      <w:r>
        <w:rPr>
          <w:rFonts w:hint="eastAsia"/>
          <w:color w:val="auto"/>
          <w:sz w:val="24"/>
          <w:szCs w:val="24"/>
          <w:highlight w:val="none"/>
        </w:rPr>
        <w:t>http://zfcj.gz.gov.cn/zwgk/zsdwxxgkzl/gzsjzyglfwzx/bszy/content/post_8073953.html）。</w:t>
      </w:r>
    </w:p>
    <w:p w14:paraId="3597EADC">
      <w:pPr>
        <w:pStyle w:val="12"/>
        <w:spacing w:before="0" w:beforeAutospacing="0" w:after="0" w:afterAutospacing="0" w:line="360" w:lineRule="auto"/>
        <w:ind w:firstLine="480" w:firstLineChars="200"/>
        <w:rPr>
          <w:color w:val="auto"/>
          <w:kern w:val="2"/>
          <w:highlight w:val="none"/>
        </w:rPr>
      </w:pPr>
      <w:r>
        <w:rPr>
          <w:rFonts w:hint="eastAsia"/>
          <w:color w:val="auto"/>
          <w:kern w:val="2"/>
          <w:highlight w:val="none"/>
        </w:rPr>
        <w:t>3.4.4投标人已按规定格式签名盖章《投标人声明》（格式详见本招标公告附件）。</w:t>
      </w:r>
    </w:p>
    <w:p w14:paraId="29037F3F">
      <w:pPr>
        <w:spacing w:line="360" w:lineRule="auto"/>
        <w:ind w:firstLine="480" w:firstLineChars="200"/>
        <w:jc w:val="left"/>
        <w:rPr>
          <w:rFonts w:ascii="宋体" w:cs="宋体"/>
          <w:color w:val="auto"/>
          <w:sz w:val="24"/>
          <w:szCs w:val="24"/>
          <w:highlight w:val="none"/>
        </w:rPr>
      </w:pPr>
      <w:r>
        <w:rPr>
          <w:rFonts w:ascii="宋体" w:hAnsi="宋体" w:cs="宋体"/>
          <w:color w:val="auto"/>
          <w:sz w:val="24"/>
          <w:szCs w:val="24"/>
          <w:highlight w:val="none"/>
        </w:rPr>
        <w:t>3.4.5</w:t>
      </w:r>
      <w:r>
        <w:rPr>
          <w:rFonts w:hint="eastAsia"/>
          <w:color w:val="auto"/>
          <w:sz w:val="24"/>
          <w:szCs w:val="24"/>
          <w:highlight w:val="none"/>
        </w:rPr>
        <w:t>投标人未被列入拖欠农民工工资失信联合惩戒对象名单（本项评审投标人无需提供资料，按</w:t>
      </w:r>
      <w:r>
        <w:rPr>
          <w:rFonts w:hint="eastAsia" w:ascii="宋体" w:hAnsi="宋体" w:cs="宋体"/>
          <w:color w:val="auto"/>
          <w:sz w:val="24"/>
          <w:szCs w:val="24"/>
          <w:highlight w:val="none"/>
          <w:u w:val="single"/>
          <w:lang w:val="en-US" w:eastAsia="zh-CN"/>
        </w:rPr>
        <w:t>投标截止时间</w:t>
      </w:r>
      <w:r>
        <w:rPr>
          <w:rFonts w:hint="eastAsia"/>
          <w:color w:val="auto"/>
          <w:sz w:val="24"/>
          <w:szCs w:val="24"/>
          <w:highlight w:val="none"/>
          <w:u w:val="single"/>
        </w:rPr>
        <w:t>广州交易集团有限公司（广州公共资源交易中心）</w:t>
      </w:r>
      <w:r>
        <w:rPr>
          <w:rFonts w:hint="eastAsia"/>
          <w:color w:val="auto"/>
          <w:sz w:val="24"/>
          <w:szCs w:val="24"/>
          <w:highlight w:val="none"/>
        </w:rPr>
        <w:t>交易系统比对的结果进行评审。）</w:t>
      </w:r>
    </w:p>
    <w:p w14:paraId="3F9DDE9C">
      <w:pPr>
        <w:spacing w:line="360" w:lineRule="auto"/>
        <w:ind w:firstLine="480" w:firstLineChars="200"/>
        <w:jc w:val="left"/>
        <w:rPr>
          <w:color w:val="auto"/>
          <w:sz w:val="24"/>
          <w:szCs w:val="24"/>
          <w:highlight w:val="none"/>
        </w:rPr>
      </w:pPr>
      <w:r>
        <w:rPr>
          <w:rFonts w:ascii="宋体" w:hAnsi="宋体" w:cs="宋体"/>
          <w:color w:val="auto"/>
          <w:sz w:val="24"/>
          <w:szCs w:val="24"/>
          <w:highlight w:val="none"/>
        </w:rPr>
        <w:t>3.4.6</w:t>
      </w:r>
      <w:r>
        <w:rPr>
          <w:rFonts w:hint="eastAsia"/>
          <w:color w:val="auto"/>
          <w:sz w:val="24"/>
          <w:szCs w:val="24"/>
          <w:highlight w:val="none"/>
        </w:rPr>
        <w:t>投标人未出现以下情形：与其它投标人的单位负责人为同一人或者存在控股、管理关系的（按投标人提供的《投标人声明》第六条内容进行评审）。如不同投标人出现单位负责人为同一人或者存在控股、管理关系的情形，则相关投标均无效。</w:t>
      </w:r>
    </w:p>
    <w:p w14:paraId="48768D7D">
      <w:pPr>
        <w:spacing w:line="360" w:lineRule="auto"/>
        <w:jc w:val="left"/>
        <w:outlineLvl w:val="1"/>
        <w:rPr>
          <w:rFonts w:ascii="宋体" w:hAnsi="宋体" w:cs="宋体"/>
          <w:b/>
          <w:color w:val="auto"/>
          <w:sz w:val="32"/>
          <w:szCs w:val="20"/>
          <w:highlight w:val="none"/>
        </w:rPr>
      </w:pPr>
      <w:r>
        <w:rPr>
          <w:rFonts w:hint="eastAsia"/>
          <w:color w:val="auto"/>
          <w:sz w:val="24"/>
          <w:szCs w:val="24"/>
          <w:highlight w:val="none"/>
        </w:rPr>
        <w:t>注：未在招标公告第3条单列的投标人资格要求条件，不作为资审不合格的依据。</w:t>
      </w:r>
      <w:bookmarkStart w:id="11" w:name="_Toc535938699"/>
    </w:p>
    <w:p w14:paraId="75E7AED4">
      <w:pPr>
        <w:rPr>
          <w:rFonts w:ascii="宋体" w:hAnsi="宋体" w:cs="宋体"/>
          <w:b/>
          <w:color w:val="auto"/>
          <w:sz w:val="32"/>
          <w:szCs w:val="20"/>
          <w:highlight w:val="none"/>
        </w:rPr>
      </w:pPr>
      <w:r>
        <w:rPr>
          <w:rFonts w:hint="eastAsia" w:ascii="宋体" w:hAnsi="宋体" w:cs="宋体"/>
          <w:b/>
          <w:color w:val="auto"/>
          <w:sz w:val="32"/>
          <w:szCs w:val="20"/>
          <w:highlight w:val="none"/>
        </w:rPr>
        <w:t>4.招标文件的获取</w:t>
      </w:r>
    </w:p>
    <w:p w14:paraId="447AEB6E">
      <w:pPr>
        <w:spacing w:line="360" w:lineRule="auto"/>
        <w:ind w:firstLine="480" w:firstLineChars="200"/>
        <w:jc w:val="left"/>
        <w:rPr>
          <w:rFonts w:ascii="宋体" w:hAnsi="宋体" w:cs="宋体"/>
          <w:color w:val="auto"/>
          <w:sz w:val="24"/>
          <w:szCs w:val="24"/>
          <w:highlight w:val="none"/>
          <w:u w:val="single"/>
        </w:rPr>
      </w:pPr>
      <w:bookmarkStart w:id="12" w:name="_Toc514099628"/>
      <w:bookmarkStart w:id="13" w:name="_Toc3471142"/>
      <w:r>
        <w:rPr>
          <w:rFonts w:hint="eastAsia" w:ascii="宋体" w:hAnsi="宋体" w:cs="宋体"/>
          <w:color w:val="auto"/>
          <w:sz w:val="24"/>
          <w:szCs w:val="24"/>
          <w:highlight w:val="none"/>
        </w:rPr>
        <w:t>4.1凡有意参加投标者，请于</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16</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分至</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rPr>
        <w:t>分（北京时间，下同），登录</w:t>
      </w:r>
      <w:r>
        <w:rPr>
          <w:rFonts w:hint="eastAsia" w:ascii="宋体" w:hAnsi="宋体" w:cs="宋体"/>
          <w:color w:val="auto"/>
          <w:sz w:val="24"/>
          <w:szCs w:val="24"/>
          <w:highlight w:val="none"/>
          <w:u w:val="single"/>
        </w:rPr>
        <w:t>广州交易集团有限公司（广州公共资源交易中心）网站（网址：http://www.gzggzy.cn）</w:t>
      </w:r>
      <w:r>
        <w:rPr>
          <w:rFonts w:hint="eastAsia" w:ascii="宋体" w:hAnsi="宋体" w:cs="宋体"/>
          <w:color w:val="auto"/>
          <w:sz w:val="24"/>
          <w:szCs w:val="24"/>
          <w:highlight w:val="none"/>
        </w:rPr>
        <w:t>下载电子招标文件。</w:t>
      </w:r>
    </w:p>
    <w:p w14:paraId="3CE94EF1">
      <w:pPr>
        <w:spacing w:line="360" w:lineRule="auto"/>
        <w:ind w:firstLine="480" w:firstLineChars="200"/>
        <w:jc w:val="left"/>
        <w:rPr>
          <w:rFonts w:ascii="宋体" w:hAnsi="宋体" w:cs="宋体"/>
          <w:color w:val="auto"/>
          <w:sz w:val="24"/>
          <w:szCs w:val="24"/>
          <w:highlight w:val="none"/>
        </w:rPr>
      </w:pPr>
      <w:bookmarkStart w:id="14" w:name="_Toc511557030"/>
      <w:r>
        <w:rPr>
          <w:rFonts w:hint="eastAsia" w:ascii="宋体" w:hAnsi="宋体" w:cs="宋体"/>
          <w:color w:val="auto"/>
          <w:sz w:val="24"/>
          <w:szCs w:val="24"/>
          <w:highlight w:val="none"/>
        </w:rPr>
        <w:t>4.2 发布招标公告时间（含本日）：</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16</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分至</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rPr>
        <w:t>分。</w:t>
      </w:r>
    </w:p>
    <w:p w14:paraId="508D620B">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注：发布招标公告的时间为招标公告发出之日起至递交投标文件截止时间止。</w:t>
      </w:r>
    </w:p>
    <w:p w14:paraId="55102215">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 xml:space="preserve">4.3 </w:t>
      </w:r>
      <w:r>
        <w:rPr>
          <w:rFonts w:hint="eastAsia" w:ascii="宋体" w:hAnsi="宋体" w:cs="宋体"/>
          <w:color w:val="auto"/>
          <w:kern w:val="0"/>
          <w:sz w:val="24"/>
          <w:szCs w:val="24"/>
          <w:highlight w:val="none"/>
        </w:rPr>
        <w:t>本项目设立投标登记环节，采取</w:t>
      </w:r>
      <w:r>
        <w:rPr>
          <w:rFonts w:hint="eastAsia" w:ascii="宋体" w:hAnsi="宋体" w:cs="宋体"/>
          <w:color w:val="auto"/>
          <w:sz w:val="24"/>
          <w:szCs w:val="24"/>
          <w:highlight w:val="none"/>
        </w:rPr>
        <w:t>广州交易集团有限公司（广州公共资源交易中心）</w:t>
      </w:r>
      <w:r>
        <w:rPr>
          <w:rFonts w:hint="eastAsia" w:ascii="宋体" w:hAnsi="宋体" w:cs="宋体"/>
          <w:color w:val="auto"/>
          <w:kern w:val="0"/>
          <w:sz w:val="24"/>
          <w:szCs w:val="24"/>
          <w:highlight w:val="none"/>
          <w:u w:val="single"/>
        </w:rPr>
        <w:t>网上投标登记</w:t>
      </w:r>
      <w:r>
        <w:rPr>
          <w:rFonts w:hint="eastAsia" w:ascii="宋体" w:hAnsi="宋体" w:cs="宋体"/>
          <w:color w:val="auto"/>
          <w:kern w:val="0"/>
          <w:sz w:val="24"/>
          <w:szCs w:val="24"/>
          <w:highlight w:val="none"/>
        </w:rPr>
        <w:t>方式进行投标登记，不接受现场投标登记（参加投标登记之前，投标人应查询本企业在</w:t>
      </w:r>
      <w:r>
        <w:rPr>
          <w:rFonts w:hint="eastAsia" w:ascii="宋体" w:hAnsi="宋体" w:cs="宋体"/>
          <w:color w:val="auto"/>
          <w:sz w:val="24"/>
          <w:szCs w:val="24"/>
          <w:highlight w:val="none"/>
        </w:rPr>
        <w:t>广州交易集团有限公司（广州公共资源交易中心）</w:t>
      </w:r>
      <w:r>
        <w:rPr>
          <w:rFonts w:hint="eastAsia" w:ascii="宋体" w:hAnsi="宋体" w:cs="宋体"/>
          <w:color w:val="auto"/>
          <w:kern w:val="0"/>
          <w:sz w:val="24"/>
          <w:szCs w:val="24"/>
          <w:highlight w:val="none"/>
        </w:rPr>
        <w:t>的信息登记的状态，确保一切信息都是真实的、在有效期内的，以免出现相关信息不能被使用。上述情况有可能导致投标信息无法录入</w:t>
      </w:r>
      <w:r>
        <w:rPr>
          <w:rFonts w:hint="eastAsia" w:ascii="宋体" w:hAnsi="宋体" w:cs="宋体"/>
          <w:color w:val="auto"/>
          <w:sz w:val="24"/>
          <w:szCs w:val="24"/>
          <w:highlight w:val="none"/>
        </w:rPr>
        <w:t>广州交易集团有限公司（广州公共资源交易中心）</w:t>
      </w:r>
      <w:r>
        <w:rPr>
          <w:rFonts w:hint="eastAsia" w:ascii="宋体" w:hAnsi="宋体" w:cs="宋体"/>
          <w:color w:val="auto"/>
          <w:kern w:val="0"/>
          <w:sz w:val="24"/>
          <w:szCs w:val="24"/>
          <w:highlight w:val="none"/>
        </w:rPr>
        <w:t>信息系统。如出现上述情况，投标人有可能失去投标机会，因其可能所引起的一切后果由投标人承担。电子招投标操作流程详见</w:t>
      </w:r>
      <w:r>
        <w:rPr>
          <w:rFonts w:hint="eastAsia" w:ascii="宋体" w:hAnsi="宋体" w:cs="宋体"/>
          <w:color w:val="auto"/>
          <w:sz w:val="24"/>
          <w:szCs w:val="24"/>
          <w:highlight w:val="none"/>
        </w:rPr>
        <w:t>广州交易集团有限公司（广州公共资源交易中心）</w:t>
      </w:r>
      <w:r>
        <w:rPr>
          <w:rFonts w:hint="eastAsia" w:ascii="宋体" w:hAnsi="宋体" w:cs="宋体"/>
          <w:color w:val="auto"/>
          <w:kern w:val="0"/>
          <w:sz w:val="24"/>
          <w:szCs w:val="24"/>
          <w:highlight w:val="none"/>
        </w:rPr>
        <w:t>网站发布的最新版操作指引）。</w:t>
      </w:r>
    </w:p>
    <w:p w14:paraId="1D60C659">
      <w:pPr>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投标登记时间：</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16</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分至</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rPr>
        <w:t>分。</w:t>
      </w:r>
    </w:p>
    <w:p w14:paraId="5812B9CC">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4.4 本项目采用资格后审方式。</w:t>
      </w:r>
    </w:p>
    <w:bookmarkEnd w:id="12"/>
    <w:bookmarkEnd w:id="13"/>
    <w:bookmarkEnd w:id="14"/>
    <w:p w14:paraId="63DDEEDA">
      <w:pPr>
        <w:pStyle w:val="2"/>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5.投标文件的递交</w:t>
      </w:r>
      <w:bookmarkEnd w:id="11"/>
    </w:p>
    <w:p w14:paraId="4BA98A18">
      <w:pPr>
        <w:pStyle w:val="17"/>
        <w:spacing w:line="440" w:lineRule="exact"/>
        <w:ind w:firstLine="480" w:firstLineChars="200"/>
        <w:rPr>
          <w:rFonts w:ascii="宋体" w:hAnsi="宋体" w:eastAsia="宋体" w:cs="宋体"/>
          <w:color w:val="auto"/>
          <w:kern w:val="2"/>
          <w:sz w:val="24"/>
          <w:szCs w:val="24"/>
          <w:highlight w:val="none"/>
        </w:rPr>
      </w:pPr>
      <w:r>
        <w:rPr>
          <w:rFonts w:ascii="宋体" w:hAnsi="宋体" w:eastAsia="宋体" w:cs="宋体"/>
          <w:color w:val="auto"/>
          <w:kern w:val="2"/>
          <w:sz w:val="24"/>
          <w:szCs w:val="24"/>
          <w:highlight w:val="none"/>
        </w:rPr>
        <w:t>5.1 投标文件递交的截止时间（投标截止时间，下同）为</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rPr>
        <w:t>分</w:t>
      </w:r>
      <w:r>
        <w:rPr>
          <w:rFonts w:ascii="宋体" w:hAnsi="宋体" w:eastAsia="宋体" w:cs="宋体"/>
          <w:color w:val="auto"/>
          <w:kern w:val="2"/>
          <w:sz w:val="24"/>
          <w:szCs w:val="24"/>
          <w:highlight w:val="none"/>
        </w:rPr>
        <w:t>，投标人应在截止时间前通过</w:t>
      </w:r>
      <w:r>
        <w:rPr>
          <w:rFonts w:ascii="宋体" w:hAnsi="宋体" w:eastAsia="宋体" w:cs="宋体"/>
          <w:color w:val="auto"/>
          <w:kern w:val="2"/>
          <w:sz w:val="24"/>
          <w:szCs w:val="24"/>
          <w:highlight w:val="none"/>
          <w:u w:val="single"/>
        </w:rPr>
        <w:t>广州交易集团有限公司（广州公共资源交易中心）</w:t>
      </w:r>
      <w:r>
        <w:rPr>
          <w:rFonts w:hint="eastAsia" w:ascii="宋体" w:hAnsi="宋体" w:eastAsia="宋体" w:cs="宋体"/>
          <w:color w:val="auto"/>
          <w:kern w:val="2"/>
          <w:sz w:val="24"/>
          <w:szCs w:val="24"/>
          <w:highlight w:val="none"/>
          <w:u w:val="single"/>
        </w:rPr>
        <w:t>网站</w:t>
      </w:r>
      <w:r>
        <w:rPr>
          <w:rFonts w:ascii="宋体" w:hAnsi="宋体" w:eastAsia="宋体" w:cs="宋体"/>
          <w:color w:val="auto"/>
          <w:kern w:val="2"/>
          <w:sz w:val="24"/>
          <w:szCs w:val="24"/>
          <w:highlight w:val="none"/>
          <w:u w:val="single"/>
        </w:rPr>
        <w:t>（网址：http://www.gzggzy.cn）</w:t>
      </w:r>
      <w:r>
        <w:rPr>
          <w:rFonts w:ascii="宋体" w:hAnsi="宋体" w:eastAsia="宋体" w:cs="宋体"/>
          <w:color w:val="auto"/>
          <w:kern w:val="2"/>
          <w:sz w:val="24"/>
          <w:szCs w:val="24"/>
          <w:highlight w:val="none"/>
        </w:rPr>
        <w:t>递交电子投标文件。</w:t>
      </w:r>
    </w:p>
    <w:p w14:paraId="74A3C765">
      <w:pPr>
        <w:pStyle w:val="17"/>
        <w:spacing w:line="440" w:lineRule="exact"/>
        <w:ind w:firstLine="480" w:firstLineChars="200"/>
        <w:rPr>
          <w:rFonts w:ascii="宋体" w:hAnsi="宋体" w:eastAsia="宋体" w:cs="宋体"/>
          <w:color w:val="auto"/>
          <w:kern w:val="2"/>
          <w:sz w:val="24"/>
          <w:szCs w:val="24"/>
          <w:highlight w:val="none"/>
        </w:rPr>
      </w:pPr>
      <w:r>
        <w:rPr>
          <w:rFonts w:ascii="宋体" w:hAnsi="宋体" w:eastAsia="宋体" w:cs="宋体"/>
          <w:color w:val="auto"/>
          <w:kern w:val="2"/>
          <w:sz w:val="24"/>
          <w:szCs w:val="24"/>
          <w:highlight w:val="none"/>
        </w:rPr>
        <w:t>5.2 递交备用投标文件电子光盘</w:t>
      </w:r>
      <w:r>
        <w:rPr>
          <w:rFonts w:hint="eastAsia" w:ascii="宋体" w:hAnsi="宋体" w:eastAsia="宋体" w:cs="宋体"/>
          <w:color w:val="auto"/>
          <w:kern w:val="2"/>
          <w:sz w:val="24"/>
          <w:szCs w:val="24"/>
          <w:highlight w:val="none"/>
        </w:rPr>
        <w:t>（或U盘）</w:t>
      </w:r>
      <w:r>
        <w:rPr>
          <w:rFonts w:ascii="宋体" w:hAnsi="宋体" w:eastAsia="宋体" w:cs="宋体"/>
          <w:color w:val="auto"/>
          <w:kern w:val="2"/>
          <w:sz w:val="24"/>
          <w:szCs w:val="24"/>
          <w:highlight w:val="none"/>
        </w:rPr>
        <w:t>时间为：</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szCs w:val="24"/>
          <w:highlight w:val="none"/>
        </w:rPr>
        <w:t>分至</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rPr>
        <w:t>分</w:t>
      </w:r>
      <w:r>
        <w:rPr>
          <w:rFonts w:ascii="宋体" w:hAnsi="宋体" w:eastAsia="宋体" w:cs="宋体"/>
          <w:color w:val="auto"/>
          <w:kern w:val="2"/>
          <w:sz w:val="24"/>
          <w:szCs w:val="24"/>
          <w:highlight w:val="none"/>
        </w:rPr>
        <w:t>；地点：</w:t>
      </w:r>
      <w:r>
        <w:rPr>
          <w:rFonts w:ascii="宋体" w:hAnsi="宋体" w:eastAsia="宋体" w:cs="宋体"/>
          <w:color w:val="auto"/>
          <w:kern w:val="2"/>
          <w:sz w:val="24"/>
          <w:szCs w:val="24"/>
          <w:highlight w:val="none"/>
          <w:u w:val="single"/>
        </w:rPr>
        <w:t>广州交易集团有限公司（广州公共资源交易中心）第</w:t>
      </w:r>
      <w:r>
        <w:rPr>
          <w:rFonts w:hint="eastAsia" w:ascii="宋体" w:hAnsi="宋体" w:eastAsia="宋体" w:cs="宋体"/>
          <w:color w:val="auto"/>
          <w:kern w:val="2"/>
          <w:sz w:val="24"/>
          <w:szCs w:val="24"/>
          <w:highlight w:val="none"/>
          <w:u w:val="single"/>
          <w:lang w:val="en-US" w:eastAsia="zh-CN"/>
        </w:rPr>
        <w:t>12</w:t>
      </w:r>
      <w:bookmarkStart w:id="32" w:name="_GoBack"/>
      <w:bookmarkEnd w:id="32"/>
      <w:r>
        <w:rPr>
          <w:rFonts w:ascii="宋体" w:hAnsi="宋体" w:eastAsia="宋体" w:cs="宋体"/>
          <w:color w:val="auto"/>
          <w:kern w:val="2"/>
          <w:sz w:val="24"/>
          <w:szCs w:val="24"/>
          <w:highlight w:val="none"/>
          <w:u w:val="single"/>
        </w:rPr>
        <w:t>开标室</w:t>
      </w:r>
      <w:r>
        <w:rPr>
          <w:rFonts w:ascii="宋体" w:hAnsi="宋体" w:eastAsia="宋体" w:cs="宋体"/>
          <w:color w:val="auto"/>
          <w:kern w:val="2"/>
          <w:sz w:val="24"/>
          <w:szCs w:val="24"/>
          <w:highlight w:val="none"/>
        </w:rPr>
        <w:t>。</w:t>
      </w:r>
      <w:r>
        <w:rPr>
          <w:rFonts w:hint="eastAsia" w:ascii="宋体" w:hAnsi="宋体" w:eastAsia="宋体" w:cs="宋体"/>
          <w:b/>
          <w:bCs/>
          <w:color w:val="auto"/>
          <w:kern w:val="2"/>
          <w:sz w:val="24"/>
          <w:szCs w:val="24"/>
          <w:highlight w:val="none"/>
          <w:u w:val="single"/>
        </w:rPr>
        <w:t>凭法定代表人证明书原件、法定代表人授权委托证明书原件（非法定代表人办理手续时提供）、本人身份证原件递交。</w:t>
      </w:r>
      <w:r>
        <w:rPr>
          <w:rFonts w:hint="eastAsia" w:ascii="宋体" w:hAnsi="宋体" w:eastAsia="宋体" w:cs="宋体"/>
          <w:color w:val="auto"/>
          <w:kern w:val="2"/>
          <w:sz w:val="24"/>
          <w:szCs w:val="24"/>
          <w:highlight w:val="none"/>
          <w:u w:val="single"/>
        </w:rPr>
        <w:t>（</w:t>
      </w:r>
      <w:r>
        <w:rPr>
          <w:rFonts w:ascii="宋体" w:hAnsi="宋体" w:eastAsia="宋体" w:cs="宋体"/>
          <w:color w:val="auto"/>
          <w:kern w:val="2"/>
          <w:sz w:val="24"/>
          <w:szCs w:val="24"/>
          <w:highlight w:val="none"/>
        </w:rPr>
        <w:t>电子光盘</w:t>
      </w:r>
      <w:r>
        <w:rPr>
          <w:rFonts w:hint="eastAsia" w:ascii="宋体" w:hAnsi="宋体" w:eastAsia="宋体" w:cs="宋体"/>
          <w:color w:val="auto"/>
          <w:kern w:val="2"/>
          <w:sz w:val="24"/>
          <w:szCs w:val="24"/>
          <w:highlight w:val="none"/>
        </w:rPr>
        <w:t>或U盘</w:t>
      </w:r>
      <w:r>
        <w:rPr>
          <w:rFonts w:ascii="宋体" w:hAnsi="宋体" w:eastAsia="宋体" w:cs="宋体"/>
          <w:color w:val="auto"/>
          <w:kern w:val="2"/>
          <w:sz w:val="24"/>
          <w:szCs w:val="24"/>
          <w:highlight w:val="none"/>
        </w:rPr>
        <w:t>需按规定封装。投标人在将数据刻录到光盘</w:t>
      </w:r>
      <w:r>
        <w:rPr>
          <w:rFonts w:hint="eastAsia" w:ascii="宋体" w:hAnsi="宋体" w:eastAsia="宋体" w:cs="宋体"/>
          <w:color w:val="auto"/>
          <w:kern w:val="2"/>
          <w:sz w:val="24"/>
          <w:szCs w:val="24"/>
          <w:highlight w:val="none"/>
        </w:rPr>
        <w:t>或U盘</w:t>
      </w:r>
      <w:r>
        <w:rPr>
          <w:rFonts w:ascii="宋体" w:hAnsi="宋体" w:eastAsia="宋体" w:cs="宋体"/>
          <w:color w:val="auto"/>
          <w:kern w:val="2"/>
          <w:sz w:val="24"/>
          <w:szCs w:val="24"/>
          <w:highlight w:val="none"/>
        </w:rPr>
        <w:t>之后，投标前自行检查文件是否可以读取）。</w:t>
      </w:r>
    </w:p>
    <w:p w14:paraId="691F2C3F">
      <w:pPr>
        <w:widowControl/>
        <w:shd w:val="clear" w:color="auto" w:fill="FFFFFF"/>
        <w:spacing w:line="360" w:lineRule="auto"/>
        <w:ind w:firstLine="537" w:firstLineChars="224"/>
        <w:jc w:val="left"/>
        <w:rPr>
          <w:rFonts w:ascii="宋体" w:hAnsi="宋体" w:cs="宋体"/>
          <w:color w:val="auto"/>
          <w:sz w:val="24"/>
          <w:szCs w:val="24"/>
          <w:highlight w:val="none"/>
        </w:rPr>
      </w:pPr>
      <w:r>
        <w:rPr>
          <w:rFonts w:ascii="宋体" w:hAnsi="宋体" w:cs="宋体"/>
          <w:color w:val="auto"/>
          <w:sz w:val="24"/>
          <w:szCs w:val="24"/>
          <w:highlight w:val="none"/>
        </w:rPr>
        <w:t>5.3 逾期送达的投标文件，电子招标投标交易平台将予以拒收。</w:t>
      </w:r>
      <w:r>
        <w:rPr>
          <w:rFonts w:ascii="宋体" w:hAnsi="宋体"/>
          <w:color w:val="auto"/>
          <w:sz w:val="24"/>
          <w:szCs w:val="24"/>
          <w:highlight w:val="none"/>
        </w:rPr>
        <w:t>逾期未上传成功的电子投标文件，招标人拒绝接收。逾期或未在指定地点递交投标文件光盘</w:t>
      </w:r>
      <w:r>
        <w:rPr>
          <w:rFonts w:hint="eastAsia" w:ascii="宋体" w:hAnsi="宋体"/>
          <w:color w:val="auto"/>
          <w:sz w:val="24"/>
          <w:szCs w:val="24"/>
          <w:highlight w:val="none"/>
        </w:rPr>
        <w:t>（</w:t>
      </w:r>
      <w:r>
        <w:rPr>
          <w:rFonts w:hint="eastAsia" w:ascii="宋体" w:hAnsi="宋体" w:cs="宋体"/>
          <w:color w:val="auto"/>
          <w:sz w:val="24"/>
          <w:szCs w:val="24"/>
          <w:highlight w:val="none"/>
        </w:rPr>
        <w:t>或U盘）</w:t>
      </w:r>
      <w:r>
        <w:rPr>
          <w:rFonts w:ascii="宋体" w:hAnsi="宋体"/>
          <w:color w:val="auto"/>
          <w:sz w:val="24"/>
          <w:szCs w:val="24"/>
          <w:highlight w:val="none"/>
        </w:rPr>
        <w:t>的,招标人拒绝接收其投标文件光盘</w:t>
      </w:r>
      <w:r>
        <w:rPr>
          <w:rFonts w:hint="eastAsia" w:ascii="宋体" w:hAnsi="宋体"/>
          <w:color w:val="auto"/>
          <w:sz w:val="24"/>
          <w:szCs w:val="24"/>
          <w:highlight w:val="none"/>
        </w:rPr>
        <w:t>（</w:t>
      </w:r>
      <w:r>
        <w:rPr>
          <w:rFonts w:hint="eastAsia" w:ascii="宋体" w:hAnsi="宋体" w:cs="宋体"/>
          <w:color w:val="auto"/>
          <w:sz w:val="24"/>
          <w:szCs w:val="24"/>
          <w:highlight w:val="none"/>
        </w:rPr>
        <w:t>或U盘）</w:t>
      </w:r>
      <w:r>
        <w:rPr>
          <w:rFonts w:ascii="宋体" w:hAnsi="宋体"/>
          <w:color w:val="auto"/>
          <w:sz w:val="24"/>
          <w:szCs w:val="24"/>
          <w:highlight w:val="none"/>
        </w:rPr>
        <w:t>。</w:t>
      </w:r>
    </w:p>
    <w:p w14:paraId="51D461CD">
      <w:pPr>
        <w:pStyle w:val="17"/>
        <w:spacing w:line="440" w:lineRule="exact"/>
        <w:ind w:firstLine="480" w:firstLineChars="200"/>
        <w:rPr>
          <w:rFonts w:ascii="宋体" w:hAnsi="宋体" w:eastAsia="宋体" w:cs="宋体"/>
          <w:color w:val="auto"/>
          <w:kern w:val="2"/>
          <w:sz w:val="24"/>
          <w:szCs w:val="24"/>
          <w:highlight w:val="none"/>
        </w:rPr>
      </w:pPr>
      <w:r>
        <w:rPr>
          <w:rFonts w:ascii="宋体" w:hAnsi="宋体" w:eastAsia="宋体" w:cs="宋体"/>
          <w:color w:val="auto"/>
          <w:kern w:val="2"/>
          <w:sz w:val="24"/>
          <w:szCs w:val="24"/>
          <w:highlight w:val="none"/>
        </w:rPr>
        <w:t>5.4 开标时间：</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rPr>
        <w:t>分</w:t>
      </w:r>
      <w:r>
        <w:rPr>
          <w:rFonts w:ascii="宋体" w:hAnsi="宋体" w:eastAsia="宋体" w:cs="宋体"/>
          <w:color w:val="auto"/>
          <w:kern w:val="2"/>
          <w:sz w:val="24"/>
          <w:szCs w:val="24"/>
          <w:highlight w:val="none"/>
        </w:rPr>
        <w:t>。地点：</w:t>
      </w:r>
      <w:r>
        <w:rPr>
          <w:rFonts w:ascii="宋体" w:hAnsi="宋体" w:eastAsia="宋体" w:cs="宋体"/>
          <w:color w:val="auto"/>
          <w:kern w:val="2"/>
          <w:sz w:val="24"/>
          <w:szCs w:val="24"/>
          <w:highlight w:val="none"/>
          <w:u w:val="single"/>
        </w:rPr>
        <w:t>广州交易集团有限公司（广州公共资源交易中心）第</w:t>
      </w:r>
      <w:r>
        <w:rPr>
          <w:rFonts w:hint="eastAsia" w:ascii="宋体" w:hAnsi="宋体" w:eastAsia="宋体" w:cs="宋体"/>
          <w:color w:val="auto"/>
          <w:kern w:val="2"/>
          <w:sz w:val="24"/>
          <w:szCs w:val="24"/>
          <w:highlight w:val="none"/>
          <w:u w:val="single"/>
          <w:lang w:val="en-US" w:eastAsia="zh-CN"/>
        </w:rPr>
        <w:t>12</w:t>
      </w:r>
      <w:r>
        <w:rPr>
          <w:rFonts w:ascii="宋体" w:hAnsi="宋体" w:eastAsia="宋体" w:cs="宋体"/>
          <w:color w:val="auto"/>
          <w:kern w:val="2"/>
          <w:sz w:val="24"/>
          <w:szCs w:val="24"/>
          <w:highlight w:val="none"/>
          <w:u w:val="single"/>
        </w:rPr>
        <w:t>开标室</w:t>
      </w:r>
      <w:r>
        <w:rPr>
          <w:rFonts w:ascii="宋体" w:hAnsi="宋体" w:eastAsia="宋体" w:cs="宋体"/>
          <w:color w:val="auto"/>
          <w:kern w:val="2"/>
          <w:sz w:val="24"/>
          <w:szCs w:val="24"/>
          <w:highlight w:val="none"/>
        </w:rPr>
        <w:t>。</w:t>
      </w:r>
    </w:p>
    <w:p w14:paraId="6CE7B56C">
      <w:pPr>
        <w:pStyle w:val="17"/>
        <w:spacing w:line="440" w:lineRule="exact"/>
        <w:ind w:firstLine="480" w:firstLineChars="200"/>
        <w:rPr>
          <w:rFonts w:ascii="宋体" w:hAnsi="宋体" w:cs="宋体"/>
          <w:color w:val="auto"/>
          <w:sz w:val="24"/>
          <w:szCs w:val="24"/>
          <w:highlight w:val="none"/>
        </w:rPr>
      </w:pPr>
      <w:r>
        <w:rPr>
          <w:rFonts w:ascii="宋体" w:hAnsi="宋体" w:eastAsia="宋体" w:cs="宋体"/>
          <w:color w:val="auto"/>
          <w:kern w:val="2"/>
          <w:sz w:val="24"/>
          <w:szCs w:val="24"/>
          <w:highlight w:val="none"/>
        </w:rPr>
        <w:t>5.5 递交投标文件截止时间及开标时间是否有变化，请密切留意</w:t>
      </w:r>
      <w:r>
        <w:rPr>
          <w:rFonts w:ascii="宋体" w:hAnsi="宋体" w:eastAsia="宋体" w:cs="宋体"/>
          <w:color w:val="auto"/>
          <w:kern w:val="2"/>
          <w:sz w:val="24"/>
          <w:szCs w:val="24"/>
          <w:highlight w:val="none"/>
          <w:u w:val="single"/>
        </w:rPr>
        <w:t>广州交易集团有限公司（广州公共资源交易中心）</w:t>
      </w:r>
      <w:r>
        <w:rPr>
          <w:rFonts w:ascii="宋体" w:hAnsi="宋体" w:eastAsia="宋体" w:cs="宋体"/>
          <w:color w:val="auto"/>
          <w:kern w:val="2"/>
          <w:sz w:val="24"/>
          <w:szCs w:val="24"/>
          <w:highlight w:val="none"/>
        </w:rPr>
        <w:t>网站中的相关信息。递交投标文件截止时间后，投标文件评审时间因故推迟的，相关资审信息仍以原递交投标文件截止时间的信息为准。本项目各项投标活动具体可通过</w:t>
      </w:r>
      <w:r>
        <w:rPr>
          <w:rFonts w:ascii="宋体" w:hAnsi="宋体" w:eastAsia="宋体" w:cs="宋体"/>
          <w:color w:val="auto"/>
          <w:kern w:val="2"/>
          <w:sz w:val="24"/>
          <w:szCs w:val="24"/>
          <w:highlight w:val="none"/>
          <w:u w:val="single"/>
        </w:rPr>
        <w:t>广州交易集团有限公司（广州公共资源交易中心）</w:t>
      </w:r>
      <w:r>
        <w:rPr>
          <w:rFonts w:ascii="宋体" w:hAnsi="宋体" w:eastAsia="宋体" w:cs="宋体"/>
          <w:color w:val="auto"/>
          <w:kern w:val="2"/>
          <w:sz w:val="24"/>
          <w:szCs w:val="24"/>
          <w:highlight w:val="none"/>
        </w:rPr>
        <w:t>网站查询具体的时间和场地安排。</w:t>
      </w:r>
    </w:p>
    <w:p w14:paraId="5D0CB406">
      <w:pPr>
        <w:pStyle w:val="2"/>
        <w:spacing w:line="360" w:lineRule="auto"/>
        <w:jc w:val="left"/>
        <w:rPr>
          <w:rFonts w:ascii="宋体" w:hAnsi="宋体" w:eastAsia="宋体" w:cs="宋体"/>
          <w:color w:val="auto"/>
          <w:highlight w:val="none"/>
        </w:rPr>
      </w:pPr>
      <w:bookmarkStart w:id="15" w:name="_Toc535938700"/>
      <w:r>
        <w:rPr>
          <w:rFonts w:hint="eastAsia" w:ascii="宋体" w:hAnsi="宋体" w:eastAsia="宋体" w:cs="宋体"/>
          <w:color w:val="auto"/>
          <w:highlight w:val="none"/>
        </w:rPr>
        <w:t>6.</w:t>
      </w:r>
      <w:bookmarkEnd w:id="15"/>
      <w:bookmarkStart w:id="16" w:name="_Toc535938701"/>
      <w:r>
        <w:rPr>
          <w:rFonts w:hint="eastAsia" w:ascii="宋体" w:hAnsi="宋体" w:eastAsia="宋体" w:cs="宋体"/>
          <w:color w:val="auto"/>
          <w:highlight w:val="none"/>
        </w:rPr>
        <w:t>发布公告的媒介</w:t>
      </w:r>
      <w:bookmarkEnd w:id="16"/>
    </w:p>
    <w:p w14:paraId="0FA1CD74">
      <w:pPr>
        <w:spacing w:line="360" w:lineRule="auto"/>
        <w:ind w:firstLine="480" w:firstLineChars="200"/>
        <w:rPr>
          <w:rFonts w:ascii="宋体" w:hAnsi="宋体" w:cs="宋体"/>
          <w:b/>
          <w:bCs/>
          <w:color w:val="auto"/>
          <w:kern w:val="0"/>
          <w:sz w:val="24"/>
          <w:szCs w:val="24"/>
          <w:highlight w:val="none"/>
        </w:rPr>
      </w:pPr>
      <w:r>
        <w:rPr>
          <w:rFonts w:hint="eastAsia" w:ascii="宋体" w:hAnsi="宋体" w:cs="宋体"/>
          <w:color w:val="auto"/>
          <w:sz w:val="24"/>
          <w:szCs w:val="24"/>
          <w:highlight w:val="none"/>
        </w:rPr>
        <w:t>本次招标公告同时在</w:t>
      </w:r>
      <w:r>
        <w:rPr>
          <w:rFonts w:hint="eastAsia" w:ascii="宋体" w:hAnsi="宋体" w:cs="宋体"/>
          <w:color w:val="auto"/>
          <w:sz w:val="24"/>
          <w:szCs w:val="24"/>
          <w:highlight w:val="none"/>
          <w:u w:val="single"/>
        </w:rPr>
        <w:t>广州交易集团有限公司（广州公共资源交易中心）（网址：http://www.gzggzy.cn/）、广东省招标投标监管网（网址：http://zbtb.gd.gov.cn）、中国招标投标公共服务平台（网址：http://www.cebpubservice.com/）、广州国企阳光采购信息发布平台（网址：</w:t>
      </w:r>
      <w:r>
        <w:rPr>
          <w:color w:val="auto"/>
          <w:highlight w:val="none"/>
        </w:rPr>
        <w:fldChar w:fldCharType="begin"/>
      </w:r>
      <w:r>
        <w:rPr>
          <w:color w:val="auto"/>
          <w:highlight w:val="none"/>
        </w:rPr>
        <w:instrText xml:space="preserve"> HYPERLINK "https://ygcg.gzggzy.cn/p92/index.html" </w:instrText>
      </w:r>
      <w:r>
        <w:rPr>
          <w:color w:val="auto"/>
          <w:highlight w:val="none"/>
        </w:rPr>
        <w:fldChar w:fldCharType="separate"/>
      </w:r>
      <w:r>
        <w:rPr>
          <w:rStyle w:val="16"/>
          <w:rFonts w:hint="eastAsia" w:ascii="宋体" w:hAnsi="宋体" w:cs="宋体"/>
          <w:color w:val="auto"/>
          <w:sz w:val="24"/>
          <w:szCs w:val="24"/>
          <w:highlight w:val="none"/>
        </w:rPr>
        <w:t>https://ygcg.gzggzy.cn/p92/index.html</w:t>
      </w:r>
      <w:r>
        <w:rPr>
          <w:rStyle w:val="16"/>
          <w:rFonts w:hint="eastAsia" w:ascii="宋体" w:hAnsi="宋体" w:cs="宋体"/>
          <w:color w:val="auto"/>
          <w:sz w:val="24"/>
          <w:szCs w:val="24"/>
          <w:highlight w:val="none"/>
        </w:rPr>
        <w:fldChar w:fldCharType="end"/>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等媒体上发布，本公告的修改、补充，在</w:t>
      </w:r>
      <w:r>
        <w:rPr>
          <w:rFonts w:hint="eastAsia" w:ascii="宋体" w:hAnsi="宋体" w:cs="宋体"/>
          <w:color w:val="auto"/>
          <w:sz w:val="24"/>
          <w:szCs w:val="24"/>
          <w:highlight w:val="none"/>
          <w:u w:val="single"/>
        </w:rPr>
        <w:t>广州交易集团有限公司（广州公共资源交易中心）网站</w:t>
      </w:r>
      <w:r>
        <w:rPr>
          <w:rFonts w:hint="eastAsia" w:ascii="宋体" w:hAnsi="宋体" w:cs="宋体"/>
          <w:color w:val="auto"/>
          <w:sz w:val="24"/>
          <w:szCs w:val="24"/>
          <w:highlight w:val="none"/>
        </w:rPr>
        <w:t>发布。本公告在各媒体发布的文本如有不同之处，以在广州公共资源交易网发布的文本为准。</w:t>
      </w:r>
      <w:bookmarkEnd w:id="3"/>
      <w:bookmarkEnd w:id="4"/>
      <w:bookmarkStart w:id="17" w:name="_Toc516170523"/>
      <w:bookmarkStart w:id="18" w:name="_Toc529196510"/>
      <w:bookmarkStart w:id="19" w:name="_Toc511557031"/>
      <w:bookmarkStart w:id="20" w:name="_Toc535938702"/>
      <w:bookmarkStart w:id="21" w:name="_Toc247513936"/>
      <w:bookmarkStart w:id="22" w:name="_Toc361508564"/>
      <w:bookmarkStart w:id="23" w:name="_Toc384308189"/>
      <w:bookmarkStart w:id="24" w:name="_Toc352691457"/>
      <w:bookmarkStart w:id="25" w:name="_Toc247527537"/>
      <w:bookmarkStart w:id="26" w:name="_Toc144974482"/>
      <w:bookmarkStart w:id="27" w:name="_Toc2312"/>
      <w:bookmarkStart w:id="28" w:name="_Toc300834931"/>
      <w:bookmarkStart w:id="29" w:name="_Toc152042290"/>
      <w:bookmarkStart w:id="30" w:name="_Toc369531499"/>
      <w:bookmarkStart w:id="31" w:name="_Toc152045514"/>
    </w:p>
    <w:p w14:paraId="78731307">
      <w:pPr>
        <w:shd w:val="clear" w:color="auto" w:fill="FFFFFF"/>
        <w:adjustRightInd w:val="0"/>
        <w:spacing w:line="360" w:lineRule="auto"/>
        <w:rPr>
          <w:rFonts w:ascii="宋体" w:hAnsi="宋体" w:cs="宋体"/>
          <w:b/>
          <w:color w:val="auto"/>
          <w:sz w:val="32"/>
          <w:szCs w:val="20"/>
          <w:highlight w:val="none"/>
        </w:rPr>
      </w:pPr>
      <w:r>
        <w:rPr>
          <w:rFonts w:hint="eastAsia" w:ascii="宋体" w:hAnsi="宋体" w:cs="宋体"/>
          <w:b/>
          <w:color w:val="auto"/>
          <w:sz w:val="32"/>
          <w:szCs w:val="20"/>
          <w:highlight w:val="none"/>
        </w:rPr>
        <w:t>7.其它事项</w:t>
      </w:r>
    </w:p>
    <w:p w14:paraId="2CF4E32E">
      <w:pPr>
        <w:shd w:val="clear" w:color="auto" w:fill="FFFFFF"/>
        <w:adjustRightInd w:val="0"/>
        <w:spacing w:line="360" w:lineRule="auto"/>
        <w:ind w:firstLine="480" w:firstLineChars="200"/>
        <w:rPr>
          <w:rFonts w:ascii="宋体" w:cs="宋体"/>
          <w:color w:val="auto"/>
          <w:sz w:val="24"/>
          <w:szCs w:val="24"/>
          <w:highlight w:val="none"/>
        </w:rPr>
      </w:pPr>
      <w:r>
        <w:rPr>
          <w:rFonts w:hint="eastAsia" w:ascii="宋体" w:cs="宋体"/>
          <w:color w:val="auto"/>
          <w:sz w:val="24"/>
          <w:szCs w:val="24"/>
          <w:highlight w:val="none"/>
        </w:rPr>
        <w:t>潜在投标人或利害关系人对本招标公告及招标文件有异议的，应当在投标截止时间10日前向招标人书面提出。</w:t>
      </w:r>
    </w:p>
    <w:p w14:paraId="46C21A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异议受理部门：</w:t>
      </w:r>
      <w:r>
        <w:rPr>
          <w:rFonts w:hint="eastAsia" w:ascii="宋体" w:hAnsi="宋体" w:cs="宋体"/>
          <w:color w:val="auto"/>
          <w:sz w:val="24"/>
          <w:szCs w:val="24"/>
          <w:highlight w:val="none"/>
          <w:u w:val="single"/>
        </w:rPr>
        <w:t>广州程锦房地产开发有限公司</w:t>
      </w:r>
    </w:p>
    <w:p w14:paraId="1568B8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olor w:val="auto"/>
          <w:sz w:val="24"/>
          <w:szCs w:val="24"/>
          <w:highlight w:val="none"/>
          <w:u w:val="single"/>
        </w:rPr>
        <w:t xml:space="preserve"> 梁工 </w:t>
      </w:r>
    </w:p>
    <w:p w14:paraId="056793EC">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电话：</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020-32689217</w:t>
      </w:r>
      <w:r>
        <w:rPr>
          <w:rFonts w:hint="eastAsia" w:ascii="宋体" w:hAnsi="宋体"/>
          <w:color w:val="auto"/>
          <w:sz w:val="24"/>
          <w:szCs w:val="24"/>
          <w:highlight w:val="none"/>
          <w:u w:val="single"/>
        </w:rPr>
        <w:t xml:space="preserve"> </w:t>
      </w:r>
    </w:p>
    <w:p w14:paraId="119231D2">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szCs w:val="24"/>
          <w:highlight w:val="none"/>
          <w:u w:val="single"/>
        </w:rPr>
        <w:t>广州市天河区车陂路586号B106室</w:t>
      </w:r>
    </w:p>
    <w:p w14:paraId="231F64A9">
      <w:pPr>
        <w:spacing w:line="360" w:lineRule="auto"/>
        <w:ind w:firstLine="482" w:firstLineChars="200"/>
        <w:rPr>
          <w:rFonts w:ascii="宋体" w:cs="宋体"/>
          <w:color w:val="auto"/>
          <w:sz w:val="24"/>
          <w:szCs w:val="24"/>
          <w:highlight w:val="none"/>
        </w:rPr>
      </w:pPr>
      <w:r>
        <w:rPr>
          <w:rFonts w:hint="eastAsia" w:ascii="宋体" w:cs="宋体"/>
          <w:b/>
          <w:bCs/>
          <w:color w:val="auto"/>
          <w:sz w:val="24"/>
          <w:szCs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296EFE41">
      <w:pPr>
        <w:pStyle w:val="2"/>
        <w:spacing w:line="360" w:lineRule="auto"/>
        <w:jc w:val="left"/>
        <w:rPr>
          <w:rFonts w:ascii="宋体" w:hAnsi="宋体" w:eastAsia="宋体" w:cs="宋体"/>
          <w:color w:val="auto"/>
          <w:highlight w:val="none"/>
        </w:rPr>
      </w:pPr>
      <w:r>
        <w:rPr>
          <w:rFonts w:ascii="宋体" w:hAnsi="宋体" w:eastAsia="宋体" w:cs="宋体"/>
          <w:color w:val="auto"/>
          <w:highlight w:val="none"/>
        </w:rPr>
        <w:t>8</w:t>
      </w:r>
      <w:r>
        <w:rPr>
          <w:rFonts w:hint="eastAsia" w:ascii="宋体" w:hAnsi="宋体" w:eastAsia="宋体" w:cs="宋体"/>
          <w:color w:val="auto"/>
          <w:highlight w:val="none"/>
        </w:rPr>
        <w:t>.联系方式</w:t>
      </w:r>
      <w:bookmarkEnd w:id="17"/>
      <w:bookmarkEnd w:id="18"/>
      <w:bookmarkEnd w:id="19"/>
      <w:bookmarkEnd w:id="20"/>
    </w:p>
    <w:bookmarkEnd w:id="21"/>
    <w:bookmarkEnd w:id="22"/>
    <w:bookmarkEnd w:id="23"/>
    <w:bookmarkEnd w:id="24"/>
    <w:bookmarkEnd w:id="25"/>
    <w:bookmarkEnd w:id="26"/>
    <w:bookmarkEnd w:id="27"/>
    <w:bookmarkEnd w:id="28"/>
    <w:bookmarkEnd w:id="29"/>
    <w:bookmarkEnd w:id="30"/>
    <w:bookmarkEnd w:id="31"/>
    <w:p w14:paraId="41DBD7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招标人名称：</w:t>
      </w:r>
      <w:r>
        <w:rPr>
          <w:rFonts w:hint="eastAsia" w:ascii="宋体" w:hAnsi="宋体" w:cs="宋体"/>
          <w:color w:val="auto"/>
          <w:sz w:val="24"/>
          <w:szCs w:val="24"/>
          <w:highlight w:val="none"/>
          <w:u w:val="single"/>
        </w:rPr>
        <w:t>广州程锦房地产开发有限公司</w:t>
      </w:r>
    </w:p>
    <w:p w14:paraId="08712CD3">
      <w:pPr>
        <w:spacing w:line="360" w:lineRule="auto"/>
        <w:ind w:firstLine="480" w:firstLineChars="200"/>
        <w:rPr>
          <w:rFonts w:ascii="宋体" w:hAnsi="宋体"/>
          <w:bCs/>
          <w:snapToGrid w:val="0"/>
          <w:color w:val="auto"/>
          <w:kern w:val="13"/>
          <w:sz w:val="24"/>
          <w:highlight w:val="none"/>
          <w:u w:val="single"/>
        </w:rPr>
      </w:pPr>
      <w:r>
        <w:rPr>
          <w:rFonts w:hint="eastAsia" w:ascii="宋体" w:hAnsi="宋体" w:cs="宋体"/>
          <w:color w:val="auto"/>
          <w:sz w:val="24"/>
          <w:highlight w:val="none"/>
        </w:rPr>
        <w:t>邮政编码、地址：</w:t>
      </w:r>
      <w:r>
        <w:rPr>
          <w:rFonts w:hint="eastAsia" w:ascii="宋体" w:hAnsi="宋体" w:cs="宋体"/>
          <w:color w:val="auto"/>
          <w:sz w:val="24"/>
          <w:highlight w:val="none"/>
          <w:u w:val="single"/>
        </w:rPr>
        <w:t>510000、</w:t>
      </w:r>
      <w:r>
        <w:rPr>
          <w:rFonts w:hint="eastAsia" w:ascii="宋体" w:hAnsi="宋体" w:cs="宋体"/>
          <w:color w:val="auto"/>
          <w:sz w:val="24"/>
          <w:szCs w:val="24"/>
          <w:highlight w:val="none"/>
          <w:u w:val="single"/>
        </w:rPr>
        <w:t>广州市天河区车陂路586号B106室</w:t>
      </w:r>
    </w:p>
    <w:p w14:paraId="1A1B66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olor w:val="auto"/>
          <w:sz w:val="24"/>
          <w:szCs w:val="24"/>
          <w:highlight w:val="none"/>
          <w:u w:val="single"/>
        </w:rPr>
        <w:t xml:space="preserve">  梁工  </w:t>
      </w:r>
    </w:p>
    <w:p w14:paraId="0C24301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电话（手机）号码：</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020-32689217</w:t>
      </w:r>
      <w:r>
        <w:rPr>
          <w:rFonts w:hint="eastAsia" w:ascii="宋体" w:hAnsi="宋体"/>
          <w:color w:val="auto"/>
          <w:sz w:val="24"/>
          <w:szCs w:val="24"/>
          <w:highlight w:val="none"/>
          <w:u w:val="single"/>
        </w:rPr>
        <w:t xml:space="preserve">  </w:t>
      </w:r>
    </w:p>
    <w:p w14:paraId="79EE1F1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传真号码：</w:t>
      </w:r>
      <w:r>
        <w:rPr>
          <w:rFonts w:hint="eastAsia" w:ascii="宋体" w:hAnsi="宋体" w:cs="宋体"/>
          <w:color w:val="auto"/>
          <w:sz w:val="24"/>
          <w:highlight w:val="none"/>
          <w:u w:val="single"/>
        </w:rPr>
        <w:t xml:space="preserve">  /  </w:t>
      </w:r>
    </w:p>
    <w:p w14:paraId="776D4FEF">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电子邮箱：</w:t>
      </w:r>
      <w:r>
        <w:rPr>
          <w:rFonts w:hint="eastAsia" w:ascii="宋体" w:hAnsi="宋体" w:cs="宋体"/>
          <w:color w:val="auto"/>
          <w:sz w:val="24"/>
          <w:highlight w:val="none"/>
          <w:u w:val="single"/>
        </w:rPr>
        <w:t xml:space="preserve">  /   </w:t>
      </w:r>
    </w:p>
    <w:p w14:paraId="5EC9682D">
      <w:pPr>
        <w:spacing w:line="360" w:lineRule="auto"/>
        <w:ind w:firstLine="480" w:firstLineChars="200"/>
        <w:rPr>
          <w:rFonts w:ascii="宋体" w:hAnsi="宋体" w:cs="宋体"/>
          <w:color w:val="auto"/>
          <w:sz w:val="24"/>
          <w:highlight w:val="none"/>
        </w:rPr>
      </w:pPr>
    </w:p>
    <w:p w14:paraId="477CA9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招标代理名称：</w:t>
      </w:r>
      <w:r>
        <w:rPr>
          <w:rFonts w:hint="eastAsia" w:ascii="宋体" w:hAnsi="宋体" w:cs="宋体"/>
          <w:color w:val="auto"/>
          <w:sz w:val="24"/>
          <w:highlight w:val="none"/>
          <w:u w:val="single"/>
        </w:rPr>
        <w:t>广州市嘉悦技术咨询有限公司</w:t>
      </w:r>
    </w:p>
    <w:p w14:paraId="34E83D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邮政编码、地址：</w:t>
      </w:r>
      <w:r>
        <w:rPr>
          <w:rFonts w:hint="eastAsia" w:ascii="宋体" w:hAnsi="宋体" w:cs="宋体"/>
          <w:color w:val="auto"/>
          <w:sz w:val="24"/>
          <w:highlight w:val="none"/>
          <w:u w:val="single"/>
        </w:rPr>
        <w:t>510630、广州市天河区天河北路620号1504房</w:t>
      </w:r>
    </w:p>
    <w:p w14:paraId="16DD856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黄工、吴工</w:t>
      </w:r>
    </w:p>
    <w:p w14:paraId="357B7D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电话（手机）号码：</w:t>
      </w:r>
      <w:r>
        <w:rPr>
          <w:rFonts w:hint="eastAsia" w:ascii="宋体" w:hAnsi="宋体" w:cs="宋体"/>
          <w:color w:val="auto"/>
          <w:sz w:val="24"/>
          <w:highlight w:val="none"/>
          <w:u w:val="single"/>
        </w:rPr>
        <w:t>020-87070809</w:t>
      </w:r>
    </w:p>
    <w:p w14:paraId="2E175A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传真号码：</w:t>
      </w:r>
      <w:r>
        <w:rPr>
          <w:rFonts w:hint="eastAsia" w:ascii="宋体" w:hAnsi="宋体" w:cs="宋体"/>
          <w:color w:val="auto"/>
          <w:sz w:val="24"/>
          <w:highlight w:val="none"/>
          <w:u w:val="single"/>
        </w:rPr>
        <w:t>020-87070809</w:t>
      </w:r>
    </w:p>
    <w:p w14:paraId="3806B82E">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电子邮箱：</w:t>
      </w:r>
      <w:r>
        <w:rPr>
          <w:rFonts w:hint="eastAsia" w:ascii="宋体" w:hAnsi="宋体" w:cs="宋体"/>
          <w:color w:val="auto"/>
          <w:sz w:val="24"/>
          <w:highlight w:val="none"/>
          <w:u w:val="single"/>
        </w:rPr>
        <w:t>gz_jiayue@163.com</w:t>
      </w:r>
    </w:p>
    <w:p w14:paraId="50E0C5F3">
      <w:pPr>
        <w:pStyle w:val="13"/>
        <w:ind w:left="420" w:firstLine="420"/>
        <w:rPr>
          <w:rFonts w:ascii="宋体" w:hAnsi="宋体" w:cs="宋体"/>
          <w:color w:val="auto"/>
          <w:highlight w:val="none"/>
        </w:rPr>
      </w:pPr>
    </w:p>
    <w:p w14:paraId="5ACA11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交易服务机构名称：</w:t>
      </w:r>
      <w:r>
        <w:rPr>
          <w:rFonts w:hint="eastAsia" w:ascii="宋体" w:hAnsi="宋体" w:cs="宋体"/>
          <w:color w:val="auto"/>
          <w:sz w:val="24"/>
          <w:highlight w:val="none"/>
          <w:u w:val="single"/>
        </w:rPr>
        <w:t>广州交易集团有限公司（广州公共资源交易中心）</w:t>
      </w:r>
    </w:p>
    <w:p w14:paraId="38CF6E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邮政编码、地址：</w:t>
      </w:r>
      <w:r>
        <w:rPr>
          <w:rFonts w:hint="eastAsia" w:ascii="宋体" w:hAnsi="宋体" w:cs="宋体"/>
          <w:color w:val="auto"/>
          <w:sz w:val="24"/>
          <w:highlight w:val="none"/>
          <w:u w:val="single"/>
        </w:rPr>
        <w:t>510635、广州市天河区天润路333号</w:t>
      </w:r>
    </w:p>
    <w:p w14:paraId="287EFED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电话（手机）号码：</w:t>
      </w:r>
      <w:r>
        <w:rPr>
          <w:rFonts w:hint="eastAsia" w:ascii="宋体" w:hAnsi="宋体" w:cs="宋体"/>
          <w:color w:val="auto"/>
          <w:sz w:val="24"/>
          <w:highlight w:val="none"/>
          <w:u w:val="single"/>
        </w:rPr>
        <w:t>020-</w:t>
      </w:r>
      <w:r>
        <w:rPr>
          <w:rFonts w:hint="eastAsia" w:ascii="宋体" w:hAnsi="宋体" w:cs="宋体"/>
          <w:bCs/>
          <w:color w:val="auto"/>
          <w:sz w:val="24"/>
          <w:highlight w:val="none"/>
          <w:u w:val="single"/>
        </w:rPr>
        <w:t>28866000</w:t>
      </w:r>
    </w:p>
    <w:p w14:paraId="429305A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传真号码：</w:t>
      </w:r>
      <w:r>
        <w:rPr>
          <w:rFonts w:hint="eastAsia" w:ascii="宋体" w:hAnsi="宋体" w:cs="宋体"/>
          <w:color w:val="auto"/>
          <w:sz w:val="24"/>
          <w:highlight w:val="none"/>
          <w:u w:val="single"/>
        </w:rPr>
        <w:t>020-28866141</w:t>
      </w:r>
    </w:p>
    <w:p w14:paraId="19177B0A">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网址：</w:t>
      </w:r>
      <w:r>
        <w:rPr>
          <w:rFonts w:hint="eastAsia" w:ascii="宋体" w:hAnsi="宋体" w:cs="宋体"/>
          <w:color w:val="auto"/>
          <w:sz w:val="24"/>
          <w:highlight w:val="none"/>
          <w:u w:val="single"/>
        </w:rPr>
        <w:t>http://www.gzggzy.cn</w:t>
      </w:r>
    </w:p>
    <w:p w14:paraId="1E39132F">
      <w:pPr>
        <w:pStyle w:val="13"/>
        <w:ind w:left="420" w:firstLine="420"/>
        <w:rPr>
          <w:rFonts w:ascii="宋体" w:hAnsi="宋体" w:cs="宋体"/>
          <w:color w:val="auto"/>
          <w:highlight w:val="none"/>
        </w:rPr>
      </w:pPr>
    </w:p>
    <w:p w14:paraId="6BF198E7">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招标管理机构名称：</w:t>
      </w:r>
      <w:r>
        <w:rPr>
          <w:rFonts w:hint="eastAsia" w:ascii="宋体" w:hAnsi="宋体"/>
          <w:color w:val="auto"/>
          <w:sz w:val="24"/>
          <w:szCs w:val="24"/>
          <w:highlight w:val="none"/>
          <w:u w:val="single"/>
        </w:rPr>
        <w:t>广州市天河区建设工程招标管理办公室</w:t>
      </w:r>
    </w:p>
    <w:p w14:paraId="186EC2ED">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邮政编码、地址：</w:t>
      </w:r>
      <w:r>
        <w:rPr>
          <w:rFonts w:hint="eastAsia" w:ascii="宋体" w:hAnsi="宋体" w:cs="宋体"/>
          <w:color w:val="auto"/>
          <w:sz w:val="24"/>
          <w:highlight w:val="none"/>
          <w:u w:val="single"/>
        </w:rPr>
        <w:t>510000、</w:t>
      </w:r>
      <w:r>
        <w:rPr>
          <w:rFonts w:hint="eastAsia" w:ascii="宋体" w:hAnsi="宋体"/>
          <w:color w:val="auto"/>
          <w:sz w:val="24"/>
          <w:szCs w:val="24"/>
          <w:highlight w:val="none"/>
          <w:u w:val="single"/>
        </w:rPr>
        <w:t>广州市天河区黄埔大道中166号210室</w:t>
      </w:r>
    </w:p>
    <w:p w14:paraId="6476CA41">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电话号码：</w:t>
      </w:r>
      <w:r>
        <w:rPr>
          <w:rFonts w:hint="eastAsia" w:ascii="宋体" w:hAnsi="宋体" w:cs="宋体"/>
          <w:color w:val="auto"/>
          <w:sz w:val="24"/>
          <w:highlight w:val="none"/>
          <w:u w:val="single"/>
        </w:rPr>
        <w:t>020-</w:t>
      </w:r>
      <w:r>
        <w:rPr>
          <w:rFonts w:hint="eastAsia" w:ascii="宋体" w:hAnsi="宋体"/>
          <w:color w:val="auto"/>
          <w:sz w:val="24"/>
          <w:szCs w:val="24"/>
          <w:highlight w:val="none"/>
          <w:u w:val="single"/>
        </w:rPr>
        <w:t>85536908</w:t>
      </w:r>
    </w:p>
    <w:p w14:paraId="723408F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传真号码：</w:t>
      </w:r>
      <w:r>
        <w:rPr>
          <w:rFonts w:hint="eastAsia" w:ascii="宋体" w:hAnsi="宋体" w:cs="宋体"/>
          <w:color w:val="auto"/>
          <w:sz w:val="24"/>
          <w:highlight w:val="none"/>
          <w:u w:val="single"/>
        </w:rPr>
        <w:t xml:space="preserve">  /  </w:t>
      </w:r>
    </w:p>
    <w:p w14:paraId="0077E574">
      <w:pPr>
        <w:spacing w:line="360" w:lineRule="auto"/>
        <w:ind w:firstLine="480" w:firstLineChars="200"/>
        <w:rPr>
          <w:rFonts w:ascii="宋体" w:hAnsi="宋体" w:cs="宋体"/>
          <w:color w:val="auto"/>
          <w:sz w:val="28"/>
          <w:szCs w:val="28"/>
          <w:highlight w:val="none"/>
        </w:rPr>
      </w:pPr>
      <w:r>
        <w:rPr>
          <w:rFonts w:hint="eastAsia" w:ascii="宋体" w:hAnsi="宋体" w:cs="宋体"/>
          <w:color w:val="auto"/>
          <w:sz w:val="24"/>
          <w:highlight w:val="none"/>
        </w:rPr>
        <w:t>网址：</w:t>
      </w:r>
      <w:r>
        <w:rPr>
          <w:rFonts w:hint="eastAsia" w:ascii="宋体" w:hAnsi="宋体" w:cs="宋体"/>
          <w:color w:val="auto"/>
          <w:sz w:val="24"/>
          <w:highlight w:val="none"/>
          <w:u w:val="single"/>
        </w:rPr>
        <w:t xml:space="preserve">  /  </w:t>
      </w:r>
    </w:p>
    <w:p w14:paraId="3100E5C5">
      <w:pPr>
        <w:pStyle w:val="13"/>
        <w:ind w:left="420" w:firstLine="420"/>
        <w:rPr>
          <w:rFonts w:ascii="宋体" w:hAnsi="宋体" w:cs="宋体"/>
          <w:color w:val="auto"/>
          <w:highlight w:val="none"/>
        </w:rPr>
      </w:pPr>
    </w:p>
    <w:p w14:paraId="1B479275">
      <w:pPr>
        <w:spacing w:line="360" w:lineRule="auto"/>
        <w:ind w:firstLine="5760" w:firstLineChars="2400"/>
        <w:jc w:val="right"/>
        <w:rPr>
          <w:rFonts w:ascii="宋体" w:hAnsi="宋体" w:cs="宋体"/>
          <w:color w:val="auto"/>
          <w:sz w:val="24"/>
          <w:highlight w:val="none"/>
        </w:rPr>
      </w:pPr>
      <w:r>
        <w:rPr>
          <w:rFonts w:hint="eastAsia" w:ascii="宋体" w:hAnsi="宋体" w:cs="宋体"/>
          <w:color w:val="auto"/>
          <w:sz w:val="24"/>
          <w:highlight w:val="none"/>
        </w:rPr>
        <w:t>2025年</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日</w:t>
      </w:r>
    </w:p>
    <w:p w14:paraId="738B302E">
      <w:pPr>
        <w:rPr>
          <w:rFonts w:ascii="宋体" w:hAnsi="宋体" w:cs="宋体"/>
          <w:color w:val="auto"/>
          <w:sz w:val="24"/>
          <w:highlight w:val="none"/>
        </w:rPr>
      </w:pPr>
      <w:r>
        <w:rPr>
          <w:rFonts w:hint="eastAsia" w:ascii="宋体" w:hAnsi="宋体" w:cs="宋体"/>
          <w:color w:val="auto"/>
          <w:sz w:val="24"/>
          <w:highlight w:val="none"/>
        </w:rPr>
        <w:br w:type="page"/>
      </w:r>
    </w:p>
    <w:p w14:paraId="31E3424E">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附件：</w:t>
      </w:r>
    </w:p>
    <w:p w14:paraId="6826D01B">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投标人声明</w:t>
      </w:r>
    </w:p>
    <w:p w14:paraId="474D97D4">
      <w:pPr>
        <w:snapToGrid w:val="0"/>
        <w:spacing w:line="360" w:lineRule="auto"/>
        <w:jc w:val="left"/>
        <w:rPr>
          <w:rFonts w:ascii="宋体" w:hAnsi="宋体" w:cs="宋体"/>
          <w:color w:val="auto"/>
          <w:kern w:val="0"/>
          <w:sz w:val="24"/>
          <w:highlight w:val="none"/>
        </w:rPr>
      </w:pPr>
      <w:r>
        <w:rPr>
          <w:rFonts w:hint="eastAsia" w:ascii="宋体" w:hAnsi="宋体" w:cs="宋体"/>
          <w:color w:val="auto"/>
          <w:sz w:val="24"/>
          <w:highlight w:val="none"/>
          <w:u w:val="single"/>
        </w:rPr>
        <w:t>广州市天河区住房和建设局、</w:t>
      </w:r>
      <w:r>
        <w:rPr>
          <w:rFonts w:hint="eastAsia" w:ascii="宋体" w:hAnsi="宋体" w:cs="宋体"/>
          <w:color w:val="auto"/>
          <w:sz w:val="24"/>
          <w:szCs w:val="24"/>
          <w:highlight w:val="none"/>
          <w:u w:val="single"/>
        </w:rPr>
        <w:t>广州程锦房地产开发有限公司</w:t>
      </w:r>
      <w:r>
        <w:rPr>
          <w:rFonts w:hint="eastAsia" w:ascii="宋体" w:hAnsi="宋体" w:cs="宋体"/>
          <w:color w:val="auto"/>
          <w:sz w:val="24"/>
          <w:highlight w:val="none"/>
          <w:u w:val="single"/>
        </w:rPr>
        <w:t>及</w:t>
      </w:r>
      <w:r>
        <w:rPr>
          <w:rFonts w:hint="eastAsia" w:ascii="宋体" w:hAnsi="宋体"/>
          <w:color w:val="auto"/>
          <w:sz w:val="24"/>
          <w:szCs w:val="24"/>
          <w:highlight w:val="none"/>
          <w:u w:val="single"/>
        </w:rPr>
        <w:t>广州市天河区建设工程招标管理办公室</w:t>
      </w:r>
      <w:r>
        <w:rPr>
          <w:rFonts w:hint="eastAsia" w:ascii="宋体" w:hAnsi="宋体" w:cs="宋体"/>
          <w:color w:val="auto"/>
          <w:kern w:val="0"/>
          <w:sz w:val="24"/>
          <w:highlight w:val="none"/>
        </w:rPr>
        <w:t>：</w:t>
      </w:r>
    </w:p>
    <w:p w14:paraId="14CFD84B">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本公司就参加</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投标工作，作出郑重声明：</w:t>
      </w:r>
    </w:p>
    <w:p w14:paraId="6770724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一、本公司保证投标登记材料及其后提供的一切材料都是真实的。如我司成为本项目中标候选人，我司同意并授权招标人将我司投标文件商务部分的人员、业绩、奖项等资料进行公开。</w:t>
      </w:r>
    </w:p>
    <w:p w14:paraId="49A7A3CB">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转包或违法分包监理业务。</w:t>
      </w:r>
    </w:p>
    <w:p w14:paraId="29A9F30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三、本公司不存在招标文件第二章投标人须知第1.4.3项所规定的任何一种情形。</w:t>
      </w:r>
    </w:p>
    <w:p w14:paraId="2A4D8AD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四、本公司及其有隶属关系的机构，没有参加本项目招标文件的编写工作；本公司与本次招标的招标代理机构没有隶属关系或其他利害关系。</w:t>
      </w:r>
    </w:p>
    <w:p w14:paraId="4522744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五、本公司承诺，中标后严格执行安全生产相关管理规定。</w:t>
      </w:r>
    </w:p>
    <w:p w14:paraId="79028FA7">
      <w:pPr>
        <w:snapToGrid w:val="0"/>
        <w:spacing w:line="360" w:lineRule="auto"/>
        <w:ind w:firstLine="480" w:firstLineChars="200"/>
        <w:rPr>
          <w:bCs/>
          <w:color w:val="auto"/>
          <w:sz w:val="24"/>
          <w:szCs w:val="24"/>
          <w:highlight w:val="none"/>
        </w:rPr>
      </w:pPr>
      <w:r>
        <w:rPr>
          <w:rFonts w:hint="eastAsia"/>
          <w:bCs/>
          <w:color w:val="auto"/>
          <w:sz w:val="24"/>
          <w:szCs w:val="24"/>
          <w:highlight w:val="none"/>
        </w:rPr>
        <w:t>六、与本公司单位负责人为同一人或者与本公司存在控股、管理关系的其他单位包括：</w:t>
      </w:r>
      <w:r>
        <w:rPr>
          <w:rFonts w:hint="eastAsia"/>
          <w:bCs/>
          <w:color w:val="auto"/>
          <w:sz w:val="24"/>
          <w:szCs w:val="24"/>
          <w:highlight w:val="none"/>
          <w:u w:val="single"/>
        </w:rPr>
        <w:t xml:space="preserve">                          </w:t>
      </w:r>
      <w:r>
        <w:rPr>
          <w:rFonts w:hint="eastAsia"/>
          <w:bCs/>
          <w:color w:val="auto"/>
          <w:sz w:val="24"/>
          <w:szCs w:val="24"/>
          <w:highlight w:val="none"/>
        </w:rPr>
        <w:t>。（注：本条由投标人如实填写，如有，应列出全部满足招标公告资质要求的相关单位的名称；如无，则填写“无”。）</w:t>
      </w:r>
    </w:p>
    <w:p w14:paraId="1B24E7B8">
      <w:pPr>
        <w:spacing w:line="360" w:lineRule="auto"/>
        <w:ind w:firstLine="482" w:firstLineChars="200"/>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本公司违反上述承诺，或本声明陈述与事实不符，经查实，本公司愿意接受公开通报，愿意按照《广州市建筑市场信用管理办法》（穗建规字﹝2019﹞16号）的规定被记录为失信信息，</w:t>
      </w:r>
      <w:r>
        <w:rPr>
          <w:rFonts w:hint="eastAsia" w:ascii="宋体" w:hAnsi="宋体" w:cs="宋体"/>
          <w:color w:val="auto"/>
          <w:kern w:val="0"/>
          <w:sz w:val="24"/>
          <w:szCs w:val="24"/>
          <w:highlight w:val="none"/>
        </w:rPr>
        <w:t>承担由此带来的一切后果，并自愿停止参加广州市行政辖区内的招标投标活动三个月。</w:t>
      </w:r>
    </w:p>
    <w:p w14:paraId="7948CB8C">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特此声明。</w:t>
      </w:r>
    </w:p>
    <w:p w14:paraId="36BAB9CF">
      <w:pPr>
        <w:snapToGrid w:val="0"/>
        <w:spacing w:line="360" w:lineRule="auto"/>
        <w:ind w:firstLine="4080" w:firstLineChars="1700"/>
        <w:jc w:val="left"/>
        <w:rPr>
          <w:rFonts w:ascii="宋体" w:hAnsi="宋体" w:cs="宋体"/>
          <w:color w:val="auto"/>
          <w:kern w:val="0"/>
          <w:sz w:val="24"/>
          <w:highlight w:val="none"/>
        </w:rPr>
      </w:pPr>
      <w:r>
        <w:rPr>
          <w:rFonts w:hint="eastAsia" w:ascii="宋体" w:hAnsi="宋体" w:cs="宋体"/>
          <w:color w:val="auto"/>
          <w:kern w:val="0"/>
          <w:sz w:val="24"/>
          <w:highlight w:val="none"/>
        </w:rPr>
        <w:t>声明企业：（企业公章）</w:t>
      </w:r>
    </w:p>
    <w:p w14:paraId="7C8FA58F">
      <w:pPr>
        <w:snapToGrid w:val="0"/>
        <w:spacing w:line="360" w:lineRule="auto"/>
        <w:ind w:firstLine="4080" w:firstLineChars="1700"/>
        <w:jc w:val="left"/>
        <w:rPr>
          <w:rFonts w:ascii="宋体" w:hAnsi="宋体" w:cs="宋体"/>
          <w:color w:val="auto"/>
          <w:kern w:val="0"/>
          <w:sz w:val="24"/>
          <w:highlight w:val="none"/>
        </w:rPr>
      </w:pPr>
      <w:r>
        <w:rPr>
          <w:rFonts w:hint="eastAsia" w:ascii="宋体" w:hAnsi="宋体" w:cs="宋体"/>
          <w:color w:val="auto"/>
          <w:kern w:val="0"/>
          <w:sz w:val="24"/>
          <w:highlight w:val="none"/>
        </w:rPr>
        <w:t>法定代表人（签字）：</w:t>
      </w:r>
    </w:p>
    <w:p w14:paraId="08B88EC3">
      <w:pPr>
        <w:snapToGrid w:val="0"/>
        <w:spacing w:line="360" w:lineRule="auto"/>
        <w:ind w:firstLine="4080" w:firstLineChars="1700"/>
        <w:rPr>
          <w:rFonts w:ascii="宋体" w:hAnsi="宋体" w:cs="宋体"/>
          <w:color w:val="auto"/>
          <w:kern w:val="0"/>
          <w:sz w:val="24"/>
          <w:highlight w:val="none"/>
        </w:rPr>
      </w:pPr>
      <w:r>
        <w:rPr>
          <w:rFonts w:hint="eastAsia" w:ascii="宋体" w:hAnsi="宋体" w:cs="宋体"/>
          <w:color w:val="auto"/>
          <w:kern w:val="0"/>
          <w:sz w:val="24"/>
          <w:highlight w:val="none"/>
        </w:rPr>
        <w:t>总监理工程师（签字）：</w:t>
      </w:r>
    </w:p>
    <w:p w14:paraId="5DEFD5F7">
      <w:pPr>
        <w:jc w:val="right"/>
        <w:rPr>
          <w:color w:val="auto"/>
          <w:highlight w:val="none"/>
        </w:rPr>
      </w:pPr>
      <w:r>
        <w:rPr>
          <w:rFonts w:hint="eastAsia" w:ascii="宋体" w:hAnsi="宋体" w:cs="宋体"/>
          <w:color w:val="auto"/>
          <w:kern w:val="0"/>
          <w:sz w:val="24"/>
          <w:highlight w:val="none"/>
        </w:rPr>
        <w:t>年   月   日</w:t>
      </w:r>
    </w:p>
    <w:sectPr>
      <w:footerReference r:id="rId3" w:type="default"/>
      <w:pgSz w:w="11906" w:h="16838"/>
      <w:pgMar w:top="1417" w:right="1701" w:bottom="1134" w:left="1701" w:header="851"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F9660">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44CF9D">
                          <w:pPr>
                            <w:pStyle w:val="10"/>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7</w:t>
                          </w:r>
                          <w:r>
                            <w:rPr>
                              <w:rFonts w:hint="eastAsia" w:ascii="宋体" w:hAnsi="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E44CF9D">
                    <w:pPr>
                      <w:pStyle w:val="10"/>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7</w:t>
                    </w:r>
                    <w:r>
                      <w:rPr>
                        <w:rFonts w:hint="eastAsia" w:ascii="宋体" w:hAnsi="宋体" w:cs="宋体"/>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35360F"/>
    <w:multiLevelType w:val="multilevel"/>
    <w:tmpl w:val="6B35360F"/>
    <w:lvl w:ilvl="0" w:tentative="0">
      <w:start w:val="1"/>
      <w:numFmt w:val="decimal"/>
      <w:suff w:val="space"/>
      <w:lvlText w:val="%1 "/>
      <w:lvlJc w:val="center"/>
      <w:pPr>
        <w:tabs>
          <w:tab w:val="left" w:pos="0"/>
        </w:tabs>
        <w:ind w:left="0" w:firstLine="0"/>
      </w:pPr>
      <w:rPr>
        <w:rFonts w:hint="default"/>
        <w:b w:val="0"/>
        <w:bCs w:val="0"/>
        <w:i w:val="0"/>
        <w:iCs w:val="0"/>
        <w:caps w:val="0"/>
        <w:smallCaps w:val="0"/>
        <w:strike w:val="0"/>
        <w:dstrike w:val="0"/>
        <w:vanish w:val="0"/>
        <w:color w:val="000000"/>
        <w:spacing w:val="0"/>
        <w:position w:val="0"/>
        <w:u w:val="none"/>
        <w:vertAlign w:val="baseline"/>
      </w:rPr>
    </w:lvl>
    <w:lvl w:ilvl="1" w:tentative="0">
      <w:start w:val="1"/>
      <w:numFmt w:val="decimal"/>
      <w:suff w:val="space"/>
      <w:lvlText w:val="%1.%2 "/>
      <w:lvlJc w:val="left"/>
      <w:pPr>
        <w:ind w:left="0" w:firstLine="0"/>
      </w:pPr>
      <w:rPr>
        <w:rFonts w:hint="eastAsia"/>
      </w:rPr>
    </w:lvl>
    <w:lvl w:ilvl="2" w:tentative="0">
      <w:start w:val="1"/>
      <w:numFmt w:val="decimal"/>
      <w:suff w:val="space"/>
      <w:lvlText w:val="%1.%2.%3 "/>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tentative="0">
      <w:start w:val="1"/>
      <w:numFmt w:val="decimal"/>
      <w:pStyle w:val="3"/>
      <w:suff w:val="space"/>
      <w:lvlText w:val="%1.%2.%3.%4 "/>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1YmNiMTMzOGUzZGUyYjhhMDA0OTc3MWRhZDAxYzEifQ=="/>
  </w:docVars>
  <w:rsids>
    <w:rsidRoot w:val="23082EC1"/>
    <w:rsid w:val="00257C7A"/>
    <w:rsid w:val="005C28F1"/>
    <w:rsid w:val="00B077E6"/>
    <w:rsid w:val="04573CBE"/>
    <w:rsid w:val="0B0B1B49"/>
    <w:rsid w:val="0E207F69"/>
    <w:rsid w:val="0F6E101A"/>
    <w:rsid w:val="11AB4C23"/>
    <w:rsid w:val="135E719A"/>
    <w:rsid w:val="15897F1C"/>
    <w:rsid w:val="18167A61"/>
    <w:rsid w:val="1C4701E9"/>
    <w:rsid w:val="1F466DC3"/>
    <w:rsid w:val="201016AC"/>
    <w:rsid w:val="21787F5A"/>
    <w:rsid w:val="21936879"/>
    <w:rsid w:val="23082EC1"/>
    <w:rsid w:val="29CA7992"/>
    <w:rsid w:val="2A471D8C"/>
    <w:rsid w:val="2A950CB9"/>
    <w:rsid w:val="2CB73169"/>
    <w:rsid w:val="2E9B1989"/>
    <w:rsid w:val="30F72D40"/>
    <w:rsid w:val="346638E0"/>
    <w:rsid w:val="34F768B1"/>
    <w:rsid w:val="3F87565D"/>
    <w:rsid w:val="3F8A64BB"/>
    <w:rsid w:val="3F942E96"/>
    <w:rsid w:val="3F9C3113"/>
    <w:rsid w:val="3FCC62A7"/>
    <w:rsid w:val="3FFD3A08"/>
    <w:rsid w:val="403A543D"/>
    <w:rsid w:val="41882855"/>
    <w:rsid w:val="41F1361C"/>
    <w:rsid w:val="43843A52"/>
    <w:rsid w:val="45DF25B8"/>
    <w:rsid w:val="49033566"/>
    <w:rsid w:val="493F06CF"/>
    <w:rsid w:val="49DF4072"/>
    <w:rsid w:val="4BD016F9"/>
    <w:rsid w:val="4E4834B2"/>
    <w:rsid w:val="505218BC"/>
    <w:rsid w:val="508B4C51"/>
    <w:rsid w:val="562F496A"/>
    <w:rsid w:val="57042632"/>
    <w:rsid w:val="575643D0"/>
    <w:rsid w:val="5D8F2918"/>
    <w:rsid w:val="5DA35CB0"/>
    <w:rsid w:val="63C93639"/>
    <w:rsid w:val="65AA009A"/>
    <w:rsid w:val="667E2026"/>
    <w:rsid w:val="67097265"/>
    <w:rsid w:val="6B054AC4"/>
    <w:rsid w:val="6CA104C4"/>
    <w:rsid w:val="707D4AD2"/>
    <w:rsid w:val="710A7485"/>
    <w:rsid w:val="71265794"/>
    <w:rsid w:val="715B7099"/>
    <w:rsid w:val="768323F2"/>
    <w:rsid w:val="781D0ACC"/>
    <w:rsid w:val="7A2E7C5B"/>
    <w:rsid w:val="7B0E4256"/>
    <w:rsid w:val="7F2D2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szCs w:val="20"/>
    </w:rPr>
  </w:style>
  <w:style w:type="paragraph" w:styleId="3">
    <w:name w:val="heading 4"/>
    <w:basedOn w:val="1"/>
    <w:next w:val="1"/>
    <w:qFormat/>
    <w:uiPriority w:val="9"/>
    <w:pPr>
      <w:keepNext/>
      <w:keepLines/>
      <w:numPr>
        <w:ilvl w:val="3"/>
        <w:numId w:val="1"/>
      </w:numPr>
      <w:spacing w:line="560" w:lineRule="exact"/>
      <w:outlineLvl w:val="3"/>
    </w:pPr>
    <w:rPr>
      <w:bCs/>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textAlignment w:val="baseline"/>
    </w:pPr>
    <w:rPr>
      <w:szCs w:val="20"/>
      <w:lang w:val="zh-CN"/>
    </w:rPr>
  </w:style>
  <w:style w:type="paragraph" w:styleId="5">
    <w:name w:val="annotation text"/>
    <w:basedOn w:val="1"/>
    <w:qFormat/>
    <w:uiPriority w:val="0"/>
    <w:pPr>
      <w:jc w:val="left"/>
    </w:pPr>
  </w:style>
  <w:style w:type="paragraph" w:styleId="6">
    <w:name w:val="Body Text"/>
    <w:basedOn w:val="1"/>
    <w:next w:val="1"/>
    <w:unhideWhenUsed/>
    <w:qFormat/>
    <w:uiPriority w:val="0"/>
    <w:pPr>
      <w:spacing w:after="120"/>
    </w:pPr>
    <w:rPr>
      <w:kern w:val="0"/>
      <w:sz w:val="20"/>
      <w:szCs w:val="20"/>
    </w:rPr>
  </w:style>
  <w:style w:type="paragraph" w:styleId="7">
    <w:name w:val="Body Text Indent"/>
    <w:basedOn w:val="1"/>
    <w:next w:val="8"/>
    <w:qFormat/>
    <w:uiPriority w:val="0"/>
    <w:pPr>
      <w:spacing w:after="120"/>
      <w:ind w:left="200" w:leftChars="200"/>
    </w:pPr>
  </w:style>
  <w:style w:type="paragraph" w:styleId="8">
    <w:name w:val="envelope return"/>
    <w:basedOn w:val="1"/>
    <w:qFormat/>
    <w:uiPriority w:val="0"/>
    <w:pPr>
      <w:snapToGrid w:val="0"/>
    </w:pPr>
    <w:rPr>
      <w:rFonts w:ascii="Arial" w:hAnsi="Arial"/>
      <w:szCs w:val="24"/>
    </w:rPr>
  </w:style>
  <w:style w:type="paragraph" w:styleId="9">
    <w:name w:val="Plain Text"/>
    <w:basedOn w:val="1"/>
    <w:unhideWhenUsed/>
    <w:qFormat/>
    <w:uiPriority w:val="0"/>
    <w:rPr>
      <w:rFonts w:ascii="宋体" w:hAnsi="Courier New"/>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Body Text First Indent 2"/>
    <w:basedOn w:val="7"/>
    <w:qFormat/>
    <w:uiPriority w:val="0"/>
    <w:pPr>
      <w:ind w:firstLine="200" w:firstLineChars="200"/>
    </w:pPr>
    <w:rPr>
      <w:color w:val="0D0D0D"/>
      <w:szCs w:val="24"/>
    </w:rPr>
  </w:style>
  <w:style w:type="character" w:styleId="16">
    <w:name w:val="Hyperlink"/>
    <w:unhideWhenUsed/>
    <w:qFormat/>
    <w:uiPriority w:val="99"/>
    <w:rPr>
      <w:rFonts w:hint="default" w:ascii="Calibri" w:hAnsi="Calibri" w:eastAsia="宋体" w:cs="Calibri"/>
      <w:color w:val="0000FF"/>
      <w:u w:val="single"/>
    </w:rPr>
  </w:style>
  <w:style w:type="paragraph" w:customStyle="1" w:styleId="17">
    <w:name w:val="公文正文"/>
    <w:qFormat/>
    <w:uiPriority w:val="0"/>
    <w:pPr>
      <w:widowControl w:val="0"/>
      <w:spacing w:line="360" w:lineRule="auto"/>
      <w:ind w:firstLine="629"/>
      <w:jc w:val="both"/>
    </w:pPr>
    <w:rPr>
      <w:rFonts w:ascii="仿宋_GB2312" w:hAnsi="Calisto MT" w:eastAsia="仿宋_GB2312" w:cs="Calibri"/>
      <w:color w:val="000000"/>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4583</Words>
  <Characters>5358</Characters>
  <Lines>39</Lines>
  <Paragraphs>11</Paragraphs>
  <TotalTime>2</TotalTime>
  <ScaleCrop>false</ScaleCrop>
  <LinksUpToDate>false</LinksUpToDate>
  <CharactersWithSpaces>5464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2025-01-10T11:14:00Z</dcterms:created>
  <dc:creator>谢小萍</dc:creator>
  <cp:lastModifiedBy>C</cp:lastModifiedBy>
  <dcterms:modified xsi:type="dcterms:W3CDTF">2025-04-15T08:20:20Z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E29D14ABD6CE4DD390E7EB21DC549E36_13</vt:lpwstr>
  </property>
  <property fmtid="{D5CDD505-2E9C-101B-9397-08002B2CF9AE}" pid="4" name="KSOTemplateDocerSaveRecord">
    <vt:lpwstr>eyJoZGlkIjoiZmZmYTg1NGM5OGY2ODliNGNjMDYyMTkxMWViYTkwNjgiLCJ1c2VySWQiOiI5NDU4MjY5ODYifQ==</vt:lpwstr>
  </property>
</Properties>
</file>