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hint="eastAsia" w:ascii="宋体" w:hAnsi="宋体" w:cs="宋体"/>
          <w:b/>
          <w:color w:val="000000" w:themeColor="text1"/>
          <w:sz w:val="52"/>
          <w:highlight w:val="none"/>
          <w14:textFill>
            <w14:solidFill>
              <w14:schemeClr w14:val="tx1"/>
            </w14:solidFill>
          </w14:textFill>
        </w:rPr>
      </w:pPr>
      <w:bookmarkStart w:id="0" w:name="_Toc154921241"/>
      <w:bookmarkStart w:id="1" w:name="_Toc154922225"/>
      <w:bookmarkStart w:id="439" w:name="_GoBack"/>
      <w:bookmarkEnd w:id="439"/>
    </w:p>
    <w:p>
      <w:pPr>
        <w:spacing w:line="300" w:lineRule="auto"/>
        <w:jc w:val="center"/>
        <w:rPr>
          <w:rFonts w:hint="eastAsia" w:ascii="宋体" w:hAnsi="宋体" w:cs="宋体"/>
          <w:b/>
          <w:color w:val="000000" w:themeColor="text1"/>
          <w:sz w:val="52"/>
          <w:highlight w:val="none"/>
          <w:lang w:eastAsia="zh-CN"/>
          <w14:textFill>
            <w14:solidFill>
              <w14:schemeClr w14:val="tx1"/>
            </w14:solidFill>
          </w14:textFill>
        </w:rPr>
      </w:pPr>
      <w:r>
        <w:rPr>
          <w:rFonts w:hint="eastAsia" w:ascii="宋体" w:hAnsi="宋体" w:cs="宋体"/>
          <w:b/>
          <w:color w:val="000000" w:themeColor="text1"/>
          <w:sz w:val="52"/>
          <w:highlight w:val="none"/>
          <w:lang w:eastAsia="zh-CN"/>
          <w14:textFill>
            <w14:solidFill>
              <w14:schemeClr w14:val="tx1"/>
            </w14:solidFill>
          </w14:textFill>
        </w:rPr>
        <w:t>天河智慧城核心区AT0305119地块</w:t>
      </w:r>
    </w:p>
    <w:p>
      <w:pPr>
        <w:spacing w:line="300" w:lineRule="auto"/>
        <w:jc w:val="center"/>
        <w:rPr>
          <w:rFonts w:hint="eastAsia" w:ascii="宋体" w:hAnsi="宋体" w:cs="宋体"/>
          <w:b/>
          <w:color w:val="000000" w:themeColor="text1"/>
          <w:sz w:val="52"/>
          <w:highlight w:val="none"/>
          <w14:textFill>
            <w14:solidFill>
              <w14:schemeClr w14:val="tx1"/>
            </w14:solidFill>
          </w14:textFill>
        </w:rPr>
      </w:pPr>
      <w:r>
        <w:rPr>
          <w:rFonts w:hint="eastAsia" w:ascii="宋体" w:hAnsi="宋体" w:cs="宋体"/>
          <w:b/>
          <w:color w:val="000000" w:themeColor="text1"/>
          <w:sz w:val="52"/>
          <w:highlight w:val="none"/>
          <w:lang w:eastAsia="zh-CN"/>
          <w14:textFill>
            <w14:solidFill>
              <w14:schemeClr w14:val="tx1"/>
            </w14:solidFill>
          </w14:textFill>
        </w:rPr>
        <w:t>建设工程项目监理</w:t>
      </w: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jc w:val="right"/>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sz w:val="28"/>
          <w:szCs w:val="28"/>
          <w:highlight w:val="none"/>
          <w14:textFill>
            <w14:solidFill>
              <w14:schemeClr w14:val="tx1"/>
            </w14:solidFill>
          </w14:textFill>
        </w:rPr>
      </w:pPr>
    </w:p>
    <w:p>
      <w:pPr>
        <w:spacing w:line="360" w:lineRule="auto"/>
        <w:rPr>
          <w:rFonts w:hint="eastAsia" w:ascii="宋体" w:hAnsi="宋体"/>
          <w:color w:val="000000" w:themeColor="text1"/>
          <w:sz w:val="28"/>
          <w:highlight w:val="none"/>
          <w14:textFill>
            <w14:solidFill>
              <w14:schemeClr w14:val="tx1"/>
            </w14:solidFill>
          </w14:textFill>
        </w:rPr>
      </w:pPr>
    </w:p>
    <w:p>
      <w:pPr>
        <w:spacing w:line="300" w:lineRule="auto"/>
        <w:jc w:val="center"/>
        <w:rPr>
          <w:rFonts w:ascii="宋体" w:hAnsi="宋体" w:cs="宋体"/>
          <w:b/>
          <w:color w:val="000000" w:themeColor="text1"/>
          <w:spacing w:val="26"/>
          <w:sz w:val="110"/>
          <w:highlight w:val="none"/>
          <w14:textFill>
            <w14:solidFill>
              <w14:schemeClr w14:val="tx1"/>
            </w14:solidFill>
          </w14:textFill>
        </w:rPr>
      </w:pPr>
      <w:r>
        <w:rPr>
          <w:rFonts w:hint="eastAsia" w:ascii="宋体" w:hAnsi="宋体" w:cs="宋体"/>
          <w:b/>
          <w:color w:val="000000" w:themeColor="text1"/>
          <w:spacing w:val="26"/>
          <w:sz w:val="110"/>
          <w:highlight w:val="none"/>
          <w14:textFill>
            <w14:solidFill>
              <w14:schemeClr w14:val="tx1"/>
            </w14:solidFill>
          </w14:textFill>
        </w:rPr>
        <w:t>招标文件</w:t>
      </w: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ind w:firstLine="945"/>
        <w:rPr>
          <w:rFonts w:hint="eastAsia" w:ascii="宋体" w:hAnsi="宋体" w:cs="宋体"/>
          <w:color w:val="000000" w:themeColor="text1"/>
          <w:sz w:val="30"/>
          <w:highlight w:val="none"/>
          <w14:textFill>
            <w14:solidFill>
              <w14:schemeClr w14:val="tx1"/>
            </w14:solidFill>
          </w14:textFill>
        </w:rPr>
      </w:pPr>
    </w:p>
    <w:p>
      <w:pPr>
        <w:spacing w:line="360" w:lineRule="auto"/>
        <w:ind w:firstLine="945"/>
        <w:rPr>
          <w:rFonts w:hint="eastAsia" w:ascii="宋体" w:hAnsi="宋体" w:cs="宋体"/>
          <w:color w:val="000000" w:themeColor="text1"/>
          <w:sz w:val="30"/>
          <w:highlight w:val="none"/>
          <w14:textFill>
            <w14:solidFill>
              <w14:schemeClr w14:val="tx1"/>
            </w14:solidFill>
          </w14:textFill>
        </w:rPr>
      </w:pPr>
    </w:p>
    <w:p>
      <w:pPr>
        <w:spacing w:line="360" w:lineRule="auto"/>
        <w:ind w:firstLine="945"/>
        <w:rPr>
          <w:rFonts w:hint="eastAsia"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   标   人：</w:t>
      </w:r>
      <w:r>
        <w:rPr>
          <w:rFonts w:hint="eastAsia" w:ascii="宋体" w:hAnsi="宋体" w:cs="宋体"/>
          <w:color w:val="000000" w:themeColor="text1"/>
          <w:sz w:val="30"/>
          <w:highlight w:val="none"/>
          <w:u w:val="single"/>
          <w14:textFill>
            <w14:solidFill>
              <w14:schemeClr w14:val="tx1"/>
            </w14:solidFill>
          </w14:textFill>
        </w:rPr>
        <w:t>广州程锦房地产开发有限公司</w:t>
      </w:r>
    </w:p>
    <w:p>
      <w:pPr>
        <w:spacing w:line="360" w:lineRule="auto"/>
        <w:ind w:firstLine="945"/>
        <w:rPr>
          <w:rFonts w:hint="eastAsia" w:ascii="宋体" w:hAnsi="宋体" w:cs="宋体"/>
          <w:color w:val="000000" w:themeColor="text1"/>
          <w:sz w:val="30"/>
          <w:highlight w:val="none"/>
          <w:u w:val="single"/>
          <w14:textFill>
            <w14:solidFill>
              <w14:schemeClr w14:val="tx1"/>
            </w14:solidFill>
          </w14:textFill>
        </w:rPr>
      </w:pPr>
      <w:r>
        <w:rPr>
          <w:rFonts w:hint="eastAsia" w:ascii="宋体" w:hAnsi="宋体" w:cs="宋体"/>
          <w:color w:val="000000" w:themeColor="text1"/>
          <w:sz w:val="30"/>
          <w:highlight w:val="none"/>
          <w14:textFill>
            <w14:solidFill>
              <w14:schemeClr w14:val="tx1"/>
            </w14:solidFill>
          </w14:textFill>
        </w:rPr>
        <w:t>招标代理机构：</w:t>
      </w:r>
      <w:r>
        <w:rPr>
          <w:rFonts w:hint="eastAsia" w:ascii="宋体" w:hAnsi="宋体" w:cs="宋体"/>
          <w:color w:val="000000" w:themeColor="text1"/>
          <w:sz w:val="30"/>
          <w:highlight w:val="none"/>
          <w:u w:val="single"/>
          <w14:textFill>
            <w14:solidFill>
              <w14:schemeClr w14:val="tx1"/>
            </w14:solidFill>
          </w14:textFill>
        </w:rPr>
        <w:t>广州市嘉悦技术咨询有限公司</w:t>
      </w:r>
    </w:p>
    <w:p>
      <w:pPr>
        <w:spacing w:line="360" w:lineRule="auto"/>
        <w:ind w:firstLine="945"/>
        <w:jc w:val="left"/>
        <w:rPr>
          <w:rFonts w:hint="eastAsia"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32"/>
          <w:highlight w:val="none"/>
          <w14:textFill>
            <w14:solidFill>
              <w14:schemeClr w14:val="tx1"/>
            </w14:solidFill>
          </w14:textFill>
        </w:rPr>
        <w:t>日       期：</w:t>
      </w:r>
      <w:r>
        <w:rPr>
          <w:rFonts w:hint="eastAsia" w:ascii="宋体" w:hAnsi="宋体" w:cs="宋体"/>
          <w:color w:val="000000" w:themeColor="text1"/>
          <w:sz w:val="32"/>
          <w:highlight w:val="none"/>
          <w:u w:val="single"/>
          <w14:textFill>
            <w14:solidFill>
              <w14:schemeClr w14:val="tx1"/>
            </w14:solidFill>
          </w14:textFill>
        </w:rPr>
        <w:t>2025年</w:t>
      </w:r>
      <w:r>
        <w:rPr>
          <w:rFonts w:hint="eastAsia" w:ascii="宋体" w:hAnsi="宋体" w:cs="宋体"/>
          <w:color w:val="000000" w:themeColor="text1"/>
          <w:sz w:val="32"/>
          <w:highlight w:val="none"/>
          <w:u w:val="single"/>
          <w:lang w:val="en-US" w:eastAsia="zh-CN"/>
          <w14:textFill>
            <w14:solidFill>
              <w14:schemeClr w14:val="tx1"/>
            </w14:solidFill>
          </w14:textFill>
        </w:rPr>
        <w:t>4</w:t>
      </w:r>
      <w:r>
        <w:rPr>
          <w:rFonts w:hint="eastAsia" w:ascii="宋体" w:hAnsi="宋体" w:cs="宋体"/>
          <w:color w:val="000000" w:themeColor="text1"/>
          <w:sz w:val="32"/>
          <w:highlight w:val="none"/>
          <w:u w:val="single"/>
          <w14:textFill>
            <w14:solidFill>
              <w14:schemeClr w14:val="tx1"/>
            </w14:solidFill>
          </w14:textFill>
        </w:rPr>
        <w:t>月</w:t>
      </w:r>
    </w:p>
    <w:p>
      <w:pPr>
        <w:pStyle w:val="13"/>
        <w:rPr>
          <w:rFonts w:hint="eastAsia"/>
          <w:color w:val="000000" w:themeColor="text1"/>
          <w:highlight w:val="none"/>
          <w14:textFill>
            <w14:solidFill>
              <w14:schemeClr w14:val="tx1"/>
            </w14:solidFill>
          </w14:textFill>
        </w:rPr>
        <w:sectPr>
          <w:pgSz w:w="12240" w:h="15840"/>
          <w:pgMar w:top="1417" w:right="1701" w:bottom="1134" w:left="1701" w:header="850" w:footer="850" w:gutter="0"/>
          <w:pgNumType w:start="1"/>
          <w:cols w:space="720" w:num="1"/>
          <w:docGrid w:linePitch="285" w:charSpace="0"/>
        </w:sectPr>
      </w:pPr>
    </w:p>
    <w:p>
      <w:pPr>
        <w:pStyle w:val="13"/>
        <w:rPr>
          <w:color w:val="000000" w:themeColor="text1"/>
          <w:highlight w:val="none"/>
          <w14:textFill>
            <w14:solidFill>
              <w14:schemeClr w14:val="tx1"/>
            </w14:solidFill>
          </w14:textFill>
        </w:rPr>
      </w:pPr>
    </w:p>
    <w:p>
      <w:pPr>
        <w:spacing w:line="360" w:lineRule="auto"/>
        <w:jc w:val="center"/>
        <w:rPr>
          <w:rFonts w:ascii="宋体" w:hAnsi="宋体"/>
          <w:color w:val="000000" w:themeColor="text1"/>
          <w:sz w:val="52"/>
          <w:highlight w:val="none"/>
          <w14:textFill>
            <w14:solidFill>
              <w14:schemeClr w14:val="tx1"/>
            </w14:solidFill>
          </w14:textFill>
        </w:rPr>
      </w:pPr>
      <w:r>
        <w:rPr>
          <w:rFonts w:hint="eastAsia" w:ascii="宋体" w:hAnsi="宋体"/>
          <w:color w:val="000000" w:themeColor="text1"/>
          <w:sz w:val="52"/>
          <w:highlight w:val="none"/>
          <w14:textFill>
            <w14:solidFill>
              <w14:schemeClr w14:val="tx1"/>
            </w14:solidFill>
          </w14:textFill>
        </w:rPr>
        <w:t>重要提示</w:t>
      </w:r>
    </w:p>
    <w:p>
      <w:pPr>
        <w:spacing w:line="360" w:lineRule="auto"/>
        <w:ind w:firstLine="537" w:firstLineChars="224"/>
        <w:jc w:val="center"/>
        <w:rPr>
          <w:rFonts w:ascii="宋体" w:hAnsi="宋体"/>
          <w:color w:val="000000" w:themeColor="text1"/>
          <w:sz w:val="24"/>
          <w:highlight w:val="none"/>
          <w14:textFill>
            <w14:solidFill>
              <w14:schemeClr w14:val="tx1"/>
            </w14:solidFill>
          </w14:textFill>
        </w:rPr>
      </w:pP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本项目实施电子招投标，投标人应先认真阅读《建设工程全流程电子化项目操作指南》。</w:t>
      </w:r>
    </w:p>
    <w:p>
      <w:pPr>
        <w:spacing w:line="360" w:lineRule="auto"/>
        <w:ind w:firstLine="480" w:firstLineChars="200"/>
        <w:rPr>
          <w:rFonts w:ascii="宋体" w:hAnsi="宋体"/>
          <w:color w:val="000000" w:themeColor="text1"/>
          <w:sz w:val="24"/>
          <w:highlight w:val="none"/>
          <w14:textFill>
            <w14:solidFill>
              <w14:schemeClr w14:val="tx1"/>
            </w14:solidFill>
          </w14:textFill>
        </w:rPr>
      </w:pPr>
    </w:p>
    <w:bookmarkEnd w:id="0"/>
    <w:bookmarkEnd w:id="1"/>
    <w:p>
      <w:pPr>
        <w:pStyle w:val="114"/>
        <w:keepNext w:val="0"/>
        <w:keepLines w:val="0"/>
        <w:widowControl w:val="0"/>
        <w:jc w:val="center"/>
        <w:rPr>
          <w:rFonts w:ascii="宋体" w:hAnsi="宋体"/>
          <w:b w:val="0"/>
          <w:color w:val="000000" w:themeColor="text1"/>
          <w:highlight w:val="none"/>
          <w:lang w:val="zh-CN"/>
          <w14:textFill>
            <w14:solidFill>
              <w14:schemeClr w14:val="tx1"/>
            </w14:solidFill>
          </w14:textFill>
        </w:rPr>
      </w:pPr>
    </w:p>
    <w:p>
      <w:pPr>
        <w:pStyle w:val="31"/>
        <w:tabs>
          <w:tab w:val="right" w:leader="dot" w:pos="9112"/>
        </w:tabs>
        <w:rPr>
          <w:rFonts w:ascii="宋体" w:hAnsi="宋体"/>
          <w:color w:val="000000" w:themeColor="text1"/>
          <w:highlight w:val="none"/>
          <w14:textFill>
            <w14:solidFill>
              <w14:schemeClr w14:val="tx1"/>
            </w14:solidFill>
          </w14:textFill>
        </w:rPr>
      </w:pPr>
      <w:r>
        <w:rPr>
          <w:rFonts w:ascii="宋体" w:hAnsi="宋体"/>
          <w:b/>
          <w:color w:val="000000" w:themeColor="text1"/>
          <w:highlight w:val="none"/>
          <w:lang w:val="zh-CN"/>
          <w14:textFill>
            <w14:solidFill>
              <w14:schemeClr w14:val="tx1"/>
            </w14:solidFill>
          </w14:textFill>
        </w:rPr>
        <w:br w:type="page"/>
      </w:r>
      <w:r>
        <w:rPr>
          <w:rFonts w:ascii="宋体" w:hAnsi="宋体"/>
          <w:color w:val="000000" w:themeColor="text1"/>
          <w:highlight w:val="none"/>
          <w14:textFill>
            <w14:solidFill>
              <w14:schemeClr w14:val="tx1"/>
            </w14:solidFill>
          </w14:textFill>
        </w:rPr>
        <w:fldChar w:fldCharType="begin"/>
      </w:r>
      <w:r>
        <w:rPr>
          <w:rFonts w:ascii="宋体" w:hAnsi="宋体"/>
          <w:color w:val="000000" w:themeColor="text1"/>
          <w:highlight w:val="none"/>
          <w14:textFill>
            <w14:solidFill>
              <w14:schemeClr w14:val="tx1"/>
            </w14:solidFill>
          </w14:textFill>
        </w:rPr>
        <w:instrText xml:space="preserve"> TOC \o "1-3" \h \z \u </w:instrText>
      </w:r>
      <w:r>
        <w:rPr>
          <w:rFonts w:ascii="宋体" w:hAnsi="宋体"/>
          <w:color w:val="000000" w:themeColor="text1"/>
          <w:highlight w:val="none"/>
          <w14:textFill>
            <w14:solidFill>
              <w14:schemeClr w14:val="tx1"/>
            </w14:solidFill>
          </w14:textFill>
        </w:rPr>
        <w:fldChar w:fldCharType="separate"/>
      </w:r>
    </w:p>
    <w:p>
      <w:pPr>
        <w:spacing w:line="360" w:lineRule="auto"/>
        <w:jc w:val="center"/>
        <w:rPr>
          <w:rFonts w:hint="eastAsia" w:ascii="宋体" w:hAnsi="宋体"/>
          <w:color w:val="000000" w:themeColor="text1"/>
          <w:sz w:val="52"/>
          <w:highlight w:val="none"/>
          <w14:textFill>
            <w14:solidFill>
              <w14:schemeClr w14:val="tx1"/>
            </w14:solidFill>
          </w14:textFill>
        </w:rPr>
      </w:pPr>
      <w:r>
        <w:rPr>
          <w:rFonts w:hint="eastAsia" w:ascii="宋体" w:hAnsi="宋体"/>
          <w:color w:val="000000" w:themeColor="text1"/>
          <w:sz w:val="52"/>
          <w:highlight w:val="none"/>
          <w14:textFill>
            <w14:solidFill>
              <w14:schemeClr w14:val="tx1"/>
            </w14:solidFill>
          </w14:textFill>
        </w:rPr>
        <w:t>目 录</w:t>
      </w:r>
    </w:p>
    <w:p>
      <w:pPr>
        <w:pStyle w:val="134"/>
        <w:tabs>
          <w:tab w:val="right" w:leader="dot" w:pos="9122"/>
        </w:tabs>
        <w:spacing w:line="540" w:lineRule="exact"/>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TOC \o "1-1" \h \u </w:instrText>
      </w:r>
      <w:r>
        <w:rPr>
          <w:rFonts w:ascii="宋体" w:hAnsi="宋体"/>
          <w:color w:val="000000" w:themeColor="text1"/>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"_Toc18929" </w:instrText>
      </w:r>
      <w:r>
        <w:rPr>
          <w:color w:val="000000" w:themeColor="text1"/>
          <w:highlight w:val="none"/>
          <w14:textFill>
            <w14:solidFill>
              <w14:schemeClr w14:val="tx1"/>
            </w14:solidFill>
          </w14:textFill>
        </w:rPr>
        <w:fldChar w:fldCharType="separate"/>
      </w:r>
      <w:r>
        <w:rPr>
          <w:rFonts w:ascii="宋体" w:hAnsi="宋体"/>
          <w:color w:val="000000" w:themeColor="text1"/>
          <w:sz w:val="28"/>
          <w:szCs w:val="28"/>
          <w:highlight w:val="none"/>
          <w14:textFill>
            <w14:solidFill>
              <w14:schemeClr w14:val="tx1"/>
            </w14:solidFill>
          </w14:textFill>
        </w:rPr>
        <w:t>第一卷</w:t>
      </w:r>
      <w:r>
        <w:rPr>
          <w:rFonts w:ascii="宋体" w:hAnsi="宋体"/>
          <w:color w:val="000000" w:themeColor="text1"/>
          <w:sz w:val="28"/>
          <w:szCs w:val="28"/>
          <w:highlight w:val="none"/>
          <w14:textFill>
            <w14:solidFill>
              <w14:schemeClr w14:val="tx1"/>
            </w14:solidFill>
          </w14:textFill>
        </w:rPr>
        <w:tab/>
      </w: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PAGEREF _Toc18929 \h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color w:val="000000" w:themeColor="text1"/>
          <w:sz w:val="28"/>
          <w:szCs w:val="28"/>
          <w:highlight w:val="none"/>
          <w14:textFill>
            <w14:solidFill>
              <w14:schemeClr w14:val="tx1"/>
            </w14:solidFill>
          </w14:textFill>
        </w:rPr>
        <w:t>4</w:t>
      </w:r>
      <w:r>
        <w:rPr>
          <w:rFonts w:ascii="宋体" w:hAnsi="宋体"/>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pPr>
        <w:pStyle w:val="134"/>
        <w:tabs>
          <w:tab w:val="right" w:leader="dot" w:pos="9122"/>
        </w:tabs>
        <w:spacing w:line="540" w:lineRule="exact"/>
        <w:rPr>
          <w:rFonts w:hint="eastAsia" w:ascii="宋体" w:hAnsi="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"_Toc5927" </w:instrText>
      </w:r>
      <w:r>
        <w:rPr>
          <w:color w:val="000000" w:themeColor="text1"/>
          <w:highlight w:val="none"/>
          <w14:textFill>
            <w14:solidFill>
              <w14:schemeClr w14:val="tx1"/>
            </w14:solidFill>
          </w14:textFill>
        </w:rPr>
        <w:fldChar w:fldCharType="separate"/>
      </w:r>
      <w:r>
        <w:rPr>
          <w:rFonts w:ascii="宋体" w:hAnsi="宋体"/>
          <w:color w:val="000000" w:themeColor="text1"/>
          <w:sz w:val="28"/>
          <w:szCs w:val="28"/>
          <w:highlight w:val="none"/>
          <w14:textFill>
            <w14:solidFill>
              <w14:schemeClr w14:val="tx1"/>
            </w14:solidFill>
          </w14:textFill>
        </w:rPr>
        <w:t>第一章</w:t>
      </w:r>
      <w:r>
        <w:rPr>
          <w:rFonts w:hint="eastAsia" w:ascii="宋体" w:hAnsi="宋体"/>
          <w:color w:val="000000" w:themeColor="text1"/>
          <w:sz w:val="28"/>
          <w:szCs w:val="28"/>
          <w:highlight w:val="non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招标公告</w:t>
      </w:r>
      <w:r>
        <w:rPr>
          <w:rFonts w:ascii="宋体" w:hAnsi="宋体"/>
          <w:color w:val="000000" w:themeColor="text1"/>
          <w:sz w:val="28"/>
          <w:szCs w:val="28"/>
          <w:highlight w:val="none"/>
          <w14:textFill>
            <w14:solidFill>
              <w14:schemeClr w14:val="tx1"/>
            </w14:solidFill>
          </w14:textFill>
        </w:rPr>
        <w:tab/>
      </w:r>
      <w:r>
        <w:rPr>
          <w:rFonts w:ascii="宋体" w:hAnsi="宋体"/>
          <w:color w:val="000000" w:themeColor="text1"/>
          <w:sz w:val="28"/>
          <w:szCs w:val="28"/>
          <w:highlight w:val="none"/>
          <w14:textFill>
            <w14:solidFill>
              <w14:schemeClr w14:val="tx1"/>
            </w14:solidFill>
          </w14:textFill>
        </w:rPr>
        <w:fldChar w:fldCharType="end"/>
      </w:r>
      <w:r>
        <w:rPr>
          <w:rFonts w:hint="eastAsia" w:ascii="宋体" w:hAnsi="宋体"/>
          <w:color w:val="000000" w:themeColor="text1"/>
          <w:sz w:val="28"/>
          <w:szCs w:val="28"/>
          <w:highlight w:val="none"/>
          <w14:textFill>
            <w14:solidFill>
              <w14:schemeClr w14:val="tx1"/>
            </w14:solidFill>
          </w14:textFill>
        </w:rPr>
        <w:t>4</w:t>
      </w:r>
    </w:p>
    <w:p>
      <w:pPr>
        <w:pStyle w:val="134"/>
        <w:tabs>
          <w:tab w:val="right" w:leader="dot" w:pos="9122"/>
        </w:tabs>
        <w:spacing w:line="540" w:lineRule="exact"/>
        <w:rPr>
          <w:rFonts w:hint="eastAsia" w:ascii="宋体" w:hAnsi="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"_Toc2644"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第二章 投标人须知</w:t>
      </w:r>
      <w:r>
        <w:rPr>
          <w:rFonts w:ascii="宋体" w:hAnsi="宋体"/>
          <w:color w:val="000000" w:themeColor="text1"/>
          <w:sz w:val="28"/>
          <w:szCs w:val="28"/>
          <w:highlight w:val="none"/>
          <w14:textFill>
            <w14:solidFill>
              <w14:schemeClr w14:val="tx1"/>
            </w14:solidFill>
          </w14:textFill>
        </w:rPr>
        <w:tab/>
      </w:r>
      <w:r>
        <w:rPr>
          <w:rFonts w:ascii="宋体" w:hAnsi="宋体"/>
          <w:color w:val="000000" w:themeColor="text1"/>
          <w:sz w:val="28"/>
          <w:szCs w:val="28"/>
          <w:highlight w:val="none"/>
          <w14:textFill>
            <w14:solidFill>
              <w14:schemeClr w14:val="tx1"/>
            </w14:solidFill>
          </w14:textFill>
        </w:rPr>
        <w:fldChar w:fldCharType="end"/>
      </w:r>
      <w:r>
        <w:rPr>
          <w:rFonts w:hint="eastAsia" w:ascii="宋体" w:hAnsi="宋体"/>
          <w:color w:val="000000" w:themeColor="text1"/>
          <w:sz w:val="28"/>
          <w:szCs w:val="28"/>
          <w:highlight w:val="none"/>
          <w14:textFill>
            <w14:solidFill>
              <w14:schemeClr w14:val="tx1"/>
            </w14:solidFill>
          </w14:textFill>
        </w:rPr>
        <w:t>5</w:t>
      </w:r>
    </w:p>
    <w:p>
      <w:pPr>
        <w:pStyle w:val="134"/>
        <w:tabs>
          <w:tab w:val="right" w:leader="dot" w:pos="9122"/>
        </w:tabs>
        <w:spacing w:line="540" w:lineRule="exact"/>
        <w:rPr>
          <w:rFonts w:ascii="宋体" w:hAnsi="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"_Toc6395"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第三章 评标办法（“评定分离”定标办法）</w:t>
      </w:r>
      <w:r>
        <w:rPr>
          <w:rFonts w:ascii="宋体" w:hAnsi="宋体"/>
          <w:color w:val="000000" w:themeColor="text1"/>
          <w:sz w:val="28"/>
          <w:szCs w:val="28"/>
          <w:highlight w:val="none"/>
          <w14:textFill>
            <w14:solidFill>
              <w14:schemeClr w14:val="tx1"/>
            </w14:solidFill>
          </w14:textFill>
        </w:rPr>
        <w:tab/>
      </w:r>
      <w:r>
        <w:rPr>
          <w:rFonts w:ascii="宋体" w:hAnsi="宋体"/>
          <w:color w:val="000000" w:themeColor="text1"/>
          <w:sz w:val="28"/>
          <w:szCs w:val="28"/>
          <w:highlight w:val="none"/>
          <w14:textFill>
            <w14:solidFill>
              <w14:schemeClr w14:val="tx1"/>
            </w14:solidFill>
          </w14:textFill>
        </w:rPr>
        <w:fldChar w:fldCharType="end"/>
      </w:r>
      <w:r>
        <w:rPr>
          <w:rFonts w:hint="eastAsia" w:ascii="宋体" w:hAnsi="宋体"/>
          <w:color w:val="000000" w:themeColor="text1"/>
          <w:sz w:val="28"/>
          <w:szCs w:val="28"/>
          <w:highlight w:val="none"/>
          <w14:textFill>
            <w14:solidFill>
              <w14:schemeClr w14:val="tx1"/>
            </w14:solidFill>
          </w14:textFill>
        </w:rPr>
        <w:t>27</w:t>
      </w:r>
    </w:p>
    <w:p>
      <w:pPr>
        <w:pStyle w:val="134"/>
        <w:tabs>
          <w:tab w:val="right" w:leader="dot" w:pos="9122"/>
        </w:tabs>
        <w:spacing w:line="540" w:lineRule="exact"/>
        <w:rPr>
          <w:rFonts w:ascii="宋体" w:hAnsi="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"_Toc15726"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第四章 合同条款及格式</w:t>
      </w:r>
      <w:r>
        <w:rPr>
          <w:rFonts w:ascii="宋体" w:hAnsi="宋体"/>
          <w:color w:val="000000" w:themeColor="text1"/>
          <w:sz w:val="28"/>
          <w:szCs w:val="28"/>
          <w:highlight w:val="none"/>
          <w14:textFill>
            <w14:solidFill>
              <w14:schemeClr w14:val="tx1"/>
            </w14:solidFill>
          </w14:textFill>
        </w:rPr>
        <w:tab/>
      </w:r>
      <w:r>
        <w:rPr>
          <w:rFonts w:ascii="宋体" w:hAnsi="宋体"/>
          <w:color w:val="000000" w:themeColor="text1"/>
          <w:sz w:val="28"/>
          <w:szCs w:val="28"/>
          <w:highlight w:val="none"/>
          <w14:textFill>
            <w14:solidFill>
              <w14:schemeClr w14:val="tx1"/>
            </w14:solidFill>
          </w14:textFill>
        </w:rPr>
        <w:fldChar w:fldCharType="end"/>
      </w:r>
      <w:r>
        <w:rPr>
          <w:rFonts w:hint="eastAsia" w:ascii="宋体" w:hAnsi="宋体"/>
          <w:color w:val="000000" w:themeColor="text1"/>
          <w:sz w:val="28"/>
          <w:szCs w:val="28"/>
          <w:highlight w:val="none"/>
          <w14:textFill>
            <w14:solidFill>
              <w14:schemeClr w14:val="tx1"/>
            </w14:solidFill>
          </w14:textFill>
        </w:rPr>
        <w:t>40</w:t>
      </w:r>
    </w:p>
    <w:p>
      <w:pPr>
        <w:pStyle w:val="134"/>
        <w:tabs>
          <w:tab w:val="right" w:leader="dot" w:pos="9122"/>
        </w:tabs>
        <w:spacing w:line="540" w:lineRule="exact"/>
        <w:rPr>
          <w:rFonts w:ascii="宋体" w:hAnsi="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"_Toc1039"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第二卷</w:t>
      </w:r>
      <w:r>
        <w:rPr>
          <w:rFonts w:ascii="宋体" w:hAnsi="宋体"/>
          <w:color w:val="000000" w:themeColor="text1"/>
          <w:sz w:val="28"/>
          <w:szCs w:val="28"/>
          <w:highlight w:val="none"/>
          <w14:textFill>
            <w14:solidFill>
              <w14:schemeClr w14:val="tx1"/>
            </w14:solidFill>
          </w14:textFill>
        </w:rPr>
        <w:tab/>
      </w:r>
      <w:r>
        <w:rPr>
          <w:rFonts w:ascii="宋体" w:hAnsi="宋体"/>
          <w:color w:val="000000" w:themeColor="text1"/>
          <w:sz w:val="28"/>
          <w:szCs w:val="28"/>
          <w:highlight w:val="none"/>
          <w14:textFill>
            <w14:solidFill>
              <w14:schemeClr w14:val="tx1"/>
            </w14:solidFill>
          </w14:textFill>
        </w:rPr>
        <w:fldChar w:fldCharType="end"/>
      </w:r>
      <w:r>
        <w:rPr>
          <w:rFonts w:hint="eastAsia" w:ascii="宋体" w:hAnsi="宋体"/>
          <w:color w:val="000000" w:themeColor="text1"/>
          <w:sz w:val="28"/>
          <w:szCs w:val="28"/>
          <w:highlight w:val="none"/>
          <w14:textFill>
            <w14:solidFill>
              <w14:schemeClr w14:val="tx1"/>
            </w14:solidFill>
          </w14:textFill>
        </w:rPr>
        <w:t>41</w:t>
      </w:r>
    </w:p>
    <w:p>
      <w:pPr>
        <w:pStyle w:val="134"/>
        <w:tabs>
          <w:tab w:val="right" w:leader="dot" w:pos="9122"/>
        </w:tabs>
        <w:spacing w:line="540" w:lineRule="exact"/>
        <w:rPr>
          <w:rFonts w:ascii="宋体" w:hAnsi="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"_Toc25775"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第五章 委托人要求</w:t>
      </w:r>
      <w:r>
        <w:rPr>
          <w:rFonts w:ascii="宋体" w:hAnsi="宋体"/>
          <w:color w:val="000000" w:themeColor="text1"/>
          <w:sz w:val="28"/>
          <w:szCs w:val="28"/>
          <w:highlight w:val="none"/>
          <w14:textFill>
            <w14:solidFill>
              <w14:schemeClr w14:val="tx1"/>
            </w14:solidFill>
          </w14:textFill>
        </w:rPr>
        <w:tab/>
      </w:r>
      <w:r>
        <w:rPr>
          <w:rFonts w:ascii="宋体" w:hAnsi="宋体"/>
          <w:color w:val="000000" w:themeColor="text1"/>
          <w:sz w:val="28"/>
          <w:szCs w:val="28"/>
          <w:highlight w:val="none"/>
          <w14:textFill>
            <w14:solidFill>
              <w14:schemeClr w14:val="tx1"/>
            </w14:solidFill>
          </w14:textFill>
        </w:rPr>
        <w:fldChar w:fldCharType="end"/>
      </w:r>
      <w:r>
        <w:rPr>
          <w:rFonts w:hint="eastAsia" w:ascii="宋体" w:hAnsi="宋体"/>
          <w:color w:val="000000" w:themeColor="text1"/>
          <w:sz w:val="28"/>
          <w:szCs w:val="28"/>
          <w:highlight w:val="none"/>
          <w14:textFill>
            <w14:solidFill>
              <w14:schemeClr w14:val="tx1"/>
            </w14:solidFill>
          </w14:textFill>
        </w:rPr>
        <w:t>41</w:t>
      </w:r>
    </w:p>
    <w:p>
      <w:pPr>
        <w:pStyle w:val="134"/>
        <w:tabs>
          <w:tab w:val="right" w:leader="dot" w:pos="9122"/>
        </w:tabs>
        <w:spacing w:line="540" w:lineRule="exact"/>
        <w:rPr>
          <w:rFonts w:ascii="宋体" w:hAnsi="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"_Toc29685"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第三卷</w:t>
      </w:r>
      <w:r>
        <w:rPr>
          <w:rFonts w:ascii="宋体" w:hAnsi="宋体"/>
          <w:color w:val="000000" w:themeColor="text1"/>
          <w:sz w:val="28"/>
          <w:szCs w:val="28"/>
          <w:highlight w:val="none"/>
          <w14:textFill>
            <w14:solidFill>
              <w14:schemeClr w14:val="tx1"/>
            </w14:solidFill>
          </w14:textFill>
        </w:rPr>
        <w:tab/>
      </w:r>
      <w:r>
        <w:rPr>
          <w:rFonts w:ascii="宋体" w:hAnsi="宋体"/>
          <w:color w:val="000000" w:themeColor="text1"/>
          <w:sz w:val="28"/>
          <w:szCs w:val="28"/>
          <w:highlight w:val="none"/>
          <w14:textFill>
            <w14:solidFill>
              <w14:schemeClr w14:val="tx1"/>
            </w14:solidFill>
          </w14:textFill>
        </w:rPr>
        <w:fldChar w:fldCharType="end"/>
      </w:r>
      <w:r>
        <w:rPr>
          <w:rFonts w:hint="eastAsia" w:ascii="宋体" w:hAnsi="宋体"/>
          <w:color w:val="000000" w:themeColor="text1"/>
          <w:sz w:val="28"/>
          <w:szCs w:val="28"/>
          <w:highlight w:val="none"/>
          <w14:textFill>
            <w14:solidFill>
              <w14:schemeClr w14:val="tx1"/>
            </w14:solidFill>
          </w14:textFill>
        </w:rPr>
        <w:t>42</w:t>
      </w:r>
    </w:p>
    <w:p>
      <w:pPr>
        <w:pStyle w:val="134"/>
        <w:tabs>
          <w:tab w:val="right" w:leader="dot" w:pos="9122"/>
        </w:tabs>
        <w:spacing w:line="540" w:lineRule="exact"/>
        <w:rPr>
          <w:rFonts w:ascii="宋体" w:hAnsi="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"_Toc1700" </w:instrText>
      </w:r>
      <w:r>
        <w:rPr>
          <w:color w:val="000000" w:themeColor="text1"/>
          <w:highlight w:val="none"/>
          <w14:textFill>
            <w14:solidFill>
              <w14:schemeClr w14:val="tx1"/>
            </w14:solidFill>
          </w14:textFill>
        </w:rPr>
        <w:fldChar w:fldCharType="separate"/>
      </w:r>
      <w:r>
        <w:rPr>
          <w:rFonts w:ascii="宋体" w:hAnsi="宋体"/>
          <w:color w:val="000000" w:themeColor="text1"/>
          <w:sz w:val="28"/>
          <w:szCs w:val="28"/>
          <w:highlight w:val="none"/>
          <w14:textFill>
            <w14:solidFill>
              <w14:schemeClr w14:val="tx1"/>
            </w14:solidFill>
          </w14:textFill>
        </w:rPr>
        <w:t>第六章</w:t>
      </w:r>
      <w:r>
        <w:rPr>
          <w:rFonts w:hint="eastAsia" w:ascii="宋体" w:hAnsi="宋体"/>
          <w:color w:val="000000" w:themeColor="text1"/>
          <w:sz w:val="28"/>
          <w:szCs w:val="28"/>
          <w:highlight w:val="non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投标文件格式</w:t>
      </w:r>
      <w:r>
        <w:rPr>
          <w:rFonts w:ascii="宋体" w:hAnsi="宋体"/>
          <w:color w:val="000000" w:themeColor="text1"/>
          <w:sz w:val="28"/>
          <w:szCs w:val="28"/>
          <w:highlight w:val="none"/>
          <w14:textFill>
            <w14:solidFill>
              <w14:schemeClr w14:val="tx1"/>
            </w14:solidFill>
          </w14:textFill>
        </w:rPr>
        <w:tab/>
      </w:r>
      <w:r>
        <w:rPr>
          <w:rFonts w:ascii="宋体" w:hAnsi="宋体"/>
          <w:color w:val="000000" w:themeColor="text1"/>
          <w:sz w:val="28"/>
          <w:szCs w:val="28"/>
          <w:highlight w:val="none"/>
          <w14:textFill>
            <w14:solidFill>
              <w14:schemeClr w14:val="tx1"/>
            </w14:solidFill>
          </w14:textFill>
        </w:rPr>
        <w:fldChar w:fldCharType="end"/>
      </w:r>
      <w:r>
        <w:rPr>
          <w:rFonts w:hint="eastAsia" w:ascii="宋体" w:hAnsi="宋体"/>
          <w:color w:val="000000" w:themeColor="text1"/>
          <w:sz w:val="28"/>
          <w:szCs w:val="28"/>
          <w:highlight w:val="none"/>
          <w14:textFill>
            <w14:solidFill>
              <w14:schemeClr w14:val="tx1"/>
            </w14:solidFill>
          </w14:textFill>
        </w:rPr>
        <w:t>42</w:t>
      </w:r>
    </w:p>
    <w:p>
      <w:pPr>
        <w:pStyle w:val="134"/>
        <w:tabs>
          <w:tab w:val="right" w:leader="dot" w:pos="9122"/>
        </w:tabs>
        <w:spacing w:line="540" w:lineRule="exact"/>
        <w:rPr>
          <w:rFonts w:ascii="宋体" w:hAnsi="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"_Toc19391"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第七章 否决性条款汇总</w:t>
      </w:r>
      <w:r>
        <w:rPr>
          <w:rFonts w:ascii="宋体" w:hAnsi="宋体"/>
          <w:color w:val="000000" w:themeColor="text1"/>
          <w:sz w:val="28"/>
          <w:szCs w:val="28"/>
          <w:highlight w:val="none"/>
          <w14:textFill>
            <w14:solidFill>
              <w14:schemeClr w14:val="tx1"/>
            </w14:solidFill>
          </w14:textFill>
        </w:rPr>
        <w:tab/>
      </w:r>
      <w:r>
        <w:rPr>
          <w:rFonts w:ascii="宋体" w:hAnsi="宋体"/>
          <w:color w:val="000000" w:themeColor="text1"/>
          <w:sz w:val="28"/>
          <w:szCs w:val="28"/>
          <w:highlight w:val="none"/>
          <w14:textFill>
            <w14:solidFill>
              <w14:schemeClr w14:val="tx1"/>
            </w14:solidFill>
          </w14:textFill>
        </w:rPr>
        <w:fldChar w:fldCharType="end"/>
      </w:r>
      <w:r>
        <w:rPr>
          <w:rFonts w:hint="eastAsia" w:ascii="宋体" w:hAnsi="宋体"/>
          <w:color w:val="000000" w:themeColor="text1"/>
          <w:sz w:val="28"/>
          <w:szCs w:val="28"/>
          <w:highlight w:val="none"/>
          <w14:textFill>
            <w14:solidFill>
              <w14:schemeClr w14:val="tx1"/>
            </w14:solidFill>
          </w14:textFill>
        </w:rPr>
        <w:t>57</w:t>
      </w:r>
    </w:p>
    <w:p>
      <w:pPr>
        <w:pStyle w:val="134"/>
        <w:tabs>
          <w:tab w:val="right" w:leader="dot" w:pos="9122"/>
        </w:tabs>
        <w:spacing w:line="540" w:lineRule="exact"/>
        <w:rPr>
          <w:rFonts w:ascii="宋体" w:hAnsi="宋体"/>
          <w:color w:val="000000" w:themeColor="text1"/>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end"/>
      </w:r>
      <w:r>
        <w:rPr>
          <w:rFonts w:ascii="宋体" w:hAnsi="宋体"/>
          <w:color w:val="000000" w:themeColor="text1"/>
          <w:highlight w:val="none"/>
          <w14:textFill>
            <w14:solidFill>
              <w14:schemeClr w14:val="tx1"/>
            </w14:solidFill>
          </w14:textFill>
        </w:rPr>
        <w:fldChar w:fldCharType="end"/>
      </w:r>
      <w:bookmarkStart w:id="2" w:name="_Toc49509952"/>
    </w:p>
    <w:p>
      <w:pPr>
        <w:pStyle w:val="2"/>
        <w:spacing w:line="240" w:lineRule="auto"/>
        <w:jc w:val="center"/>
        <w:rPr>
          <w:rFonts w:ascii="宋体" w:hAnsi="宋体"/>
          <w:color w:val="000000" w:themeColor="text1"/>
          <w:highlight w:val="none"/>
          <w14:textFill>
            <w14:solidFill>
              <w14:schemeClr w14:val="tx1"/>
            </w14:solidFill>
          </w14:textFill>
        </w:rPr>
      </w:pPr>
      <w:bookmarkStart w:id="3" w:name="_Toc18929"/>
      <w:r>
        <w:rPr>
          <w:rFonts w:ascii="宋体" w:hAnsi="宋体"/>
          <w:color w:val="000000" w:themeColor="text1"/>
          <w:highlight w:val="none"/>
          <w14:textFill>
            <w14:solidFill>
              <w14:schemeClr w14:val="tx1"/>
            </w14:solidFill>
          </w14:textFill>
        </w:rPr>
        <w:br w:type="page"/>
      </w:r>
      <w:r>
        <w:rPr>
          <w:rFonts w:ascii="宋体" w:hAnsi="宋体"/>
          <w:color w:val="000000" w:themeColor="text1"/>
          <w:highlight w:val="none"/>
          <w14:textFill>
            <w14:solidFill>
              <w14:schemeClr w14:val="tx1"/>
            </w14:solidFill>
          </w14:textFill>
        </w:rPr>
        <w:t>第一卷</w:t>
      </w:r>
      <w:bookmarkEnd w:id="2"/>
      <w:bookmarkEnd w:id="3"/>
      <w:bookmarkStart w:id="4" w:name="_Toc49509954"/>
      <w:bookmarkStart w:id="5" w:name="_Toc5927"/>
    </w:p>
    <w:p>
      <w:pPr>
        <w:pStyle w:val="2"/>
        <w:spacing w:line="24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第一章</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招标公告</w:t>
      </w:r>
      <w:bookmarkEnd w:id="4"/>
      <w:bookmarkEnd w:id="5"/>
    </w:p>
    <w:p>
      <w:pPr>
        <w:spacing w:line="400" w:lineRule="exact"/>
        <w:jc w:val="center"/>
        <w:rPr>
          <w:rFonts w:ascii="宋体" w:hAnsi="宋体"/>
          <w:color w:val="000000" w:themeColor="text1"/>
          <w:sz w:val="28"/>
          <w:szCs w:val="28"/>
          <w:highlight w:val="none"/>
          <w14:textFill>
            <w14:solidFill>
              <w14:schemeClr w14:val="tx1"/>
            </w14:solidFill>
          </w14:textFill>
        </w:rPr>
      </w:pPr>
      <w:bookmarkStart w:id="6" w:name="_Toc384308200"/>
      <w:bookmarkStart w:id="7" w:name="_Toc361508575"/>
      <w:r>
        <w:rPr>
          <w:rFonts w:hint="eastAsia" w:ascii="宋体" w:hAnsi="宋体"/>
          <w:color w:val="000000" w:themeColor="text1"/>
          <w:sz w:val="28"/>
          <w:szCs w:val="28"/>
          <w:highlight w:val="none"/>
          <w14:textFill>
            <w14:solidFill>
              <w14:schemeClr w14:val="tx1"/>
            </w14:solidFill>
          </w14:textFill>
        </w:rPr>
        <w:t>（另册）</w:t>
      </w:r>
    </w:p>
    <w:p>
      <w:pPr>
        <w:spacing w:line="36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End w:id="6"/>
      <w:bookmarkEnd w:id="7"/>
      <w:bookmarkStart w:id="8" w:name="_Toc2644"/>
      <w:bookmarkStart w:id="9" w:name="_Toc49509963"/>
      <w:r>
        <w:rPr>
          <w:rFonts w:hint="eastAsia" w:ascii="宋体" w:hAnsi="宋体"/>
          <w:b/>
          <w:bCs/>
          <w:color w:val="000000" w:themeColor="text1"/>
          <w:sz w:val="44"/>
          <w:szCs w:val="44"/>
          <w:highlight w:val="none"/>
          <w14:textFill>
            <w14:solidFill>
              <w14:schemeClr w14:val="tx1"/>
            </w14:solidFill>
          </w14:textFill>
        </w:rPr>
        <w:t>第二章 投标人须知</w:t>
      </w:r>
      <w:bookmarkEnd w:id="8"/>
      <w:bookmarkEnd w:id="9"/>
    </w:p>
    <w:p>
      <w:pPr>
        <w:pStyle w:val="3"/>
        <w:spacing w:line="240" w:lineRule="auto"/>
        <w:jc w:val="center"/>
        <w:rPr>
          <w:rFonts w:ascii="宋体" w:hAnsi="宋体" w:eastAsia="宋体"/>
          <w:color w:val="000000" w:themeColor="text1"/>
          <w:highlight w:val="none"/>
          <w14:textFill>
            <w14:solidFill>
              <w14:schemeClr w14:val="tx1"/>
            </w14:solidFill>
          </w14:textFill>
        </w:rPr>
      </w:pPr>
      <w:bookmarkStart w:id="10" w:name="_Toc49509964"/>
      <w:r>
        <w:rPr>
          <w:rFonts w:hint="eastAsia" w:ascii="宋体" w:hAnsi="宋体" w:eastAsia="宋体"/>
          <w:color w:val="000000" w:themeColor="text1"/>
          <w:highlight w:val="none"/>
          <w14:textFill>
            <w14:solidFill>
              <w14:schemeClr w14:val="tx1"/>
            </w14:solidFill>
          </w14:textFill>
        </w:rPr>
        <w:t>投标人须知前附表</w:t>
      </w:r>
      <w:bookmarkEnd w:id="10"/>
    </w:p>
    <w:tbl>
      <w:tblPr>
        <w:tblStyle w:val="46"/>
        <w:tblW w:w="9322" w:type="dxa"/>
        <w:tblInd w:w="0" w:type="dxa"/>
        <w:tblLayout w:type="fixed"/>
        <w:tblCellMar>
          <w:top w:w="0" w:type="dxa"/>
          <w:left w:w="108" w:type="dxa"/>
          <w:bottom w:w="0" w:type="dxa"/>
          <w:right w:w="108" w:type="dxa"/>
        </w:tblCellMar>
      </w:tblPr>
      <w:tblGrid>
        <w:gridCol w:w="1165"/>
        <w:gridCol w:w="2292"/>
        <w:gridCol w:w="5865"/>
      </w:tblGrid>
      <w:tr>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条款号</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条款名称</w:t>
            </w:r>
          </w:p>
        </w:tc>
        <w:tc>
          <w:tcPr>
            <w:tcW w:w="58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编列内容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1.1.2</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招标人</w:t>
            </w:r>
          </w:p>
        </w:tc>
        <w:tc>
          <w:tcPr>
            <w:tcW w:w="58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w:t>
            </w:r>
            <w:r>
              <w:rPr>
                <w:rFonts w:hint="eastAsia" w:ascii="宋体" w:hAnsi="宋体" w:cs="宋体"/>
                <w:color w:val="000000" w:themeColor="text1"/>
                <w:szCs w:val="21"/>
                <w:highlight w:val="none"/>
                <w:u w:val="single"/>
                <w14:textFill>
                  <w14:solidFill>
                    <w14:schemeClr w14:val="tx1"/>
                  </w14:solidFill>
                </w14:textFill>
              </w:rPr>
              <w:t>广州程锦房地产开发有限公司</w:t>
            </w:r>
            <w:r>
              <w:rPr>
                <w:rFonts w:hint="eastAsia" w:ascii="宋体" w:hAnsi="宋体" w:cs="宋体"/>
                <w:color w:val="000000" w:themeColor="text1"/>
                <w:szCs w:val="21"/>
                <w:highlight w:val="none"/>
                <w14:textFill>
                  <w14:solidFill>
                    <w14:schemeClr w14:val="tx1"/>
                  </w14:solidFill>
                </w14:textFill>
              </w:rPr>
              <w:t xml:space="preserve"> </w:t>
            </w:r>
          </w:p>
          <w:p>
            <w:pP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u w:val="single"/>
                <w14:textFill>
                  <w14:solidFill>
                    <w14:schemeClr w14:val="tx1"/>
                  </w14:solidFill>
                </w14:textFill>
              </w:rPr>
              <w:t>广州市天河区车陂路586号B106室</w:t>
            </w:r>
          </w:p>
          <w:p>
            <w:pP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 系 人：梁工</w:t>
            </w:r>
          </w:p>
          <w:p>
            <w:pPr>
              <w:rPr>
                <w:rFonts w:hint="eastAsia"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话：0</w:t>
            </w:r>
            <w:r>
              <w:rPr>
                <w:rFonts w:ascii="宋体" w:hAnsi="宋体" w:cs="宋体"/>
                <w:color w:val="000000" w:themeColor="text1"/>
                <w:szCs w:val="21"/>
                <w:highlight w:val="none"/>
                <w14:textFill>
                  <w14:solidFill>
                    <w14:schemeClr w14:val="tx1"/>
                  </w14:solidFill>
                </w14:textFill>
              </w:rPr>
              <w:t>20-32689217</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1.1.3</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招标代理机构</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    称：</w:t>
            </w:r>
            <w:r>
              <w:rPr>
                <w:rFonts w:hint="eastAsia" w:ascii="宋体" w:hAnsi="宋体" w:cs="宋体"/>
                <w:color w:val="000000" w:themeColor="text1"/>
                <w:szCs w:val="21"/>
                <w:highlight w:val="none"/>
                <w:u w:val="single"/>
                <w14:textFill>
                  <w14:solidFill>
                    <w14:schemeClr w14:val="tx1"/>
                  </w14:solidFill>
                </w14:textFill>
              </w:rPr>
              <w:t>广州市嘉悦技术咨询有限公司</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    址：</w:t>
            </w:r>
            <w:r>
              <w:rPr>
                <w:rFonts w:hint="eastAsia" w:ascii="宋体" w:hAnsi="宋体" w:cs="宋体"/>
                <w:color w:val="000000" w:themeColor="text1"/>
                <w:szCs w:val="21"/>
                <w:highlight w:val="none"/>
                <w:u w:val="single"/>
                <w14:textFill>
                  <w14:solidFill>
                    <w14:schemeClr w14:val="tx1"/>
                  </w14:solidFill>
                </w14:textFill>
              </w:rPr>
              <w:t>广州市天河区天河北路620号1504房</w:t>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 系 人：</w:t>
            </w:r>
            <w:r>
              <w:rPr>
                <w:rFonts w:hint="eastAsia" w:ascii="宋体" w:hAnsi="宋体" w:cs="宋体"/>
                <w:color w:val="000000" w:themeColor="text1"/>
                <w:szCs w:val="21"/>
                <w:highlight w:val="none"/>
                <w:u w:val="single"/>
                <w14:textFill>
                  <w14:solidFill>
                    <w14:schemeClr w14:val="tx1"/>
                  </w14:solidFill>
                </w14:textFill>
              </w:rPr>
              <w:t>黄工、吴工</w:t>
            </w:r>
          </w:p>
          <w:p>
            <w:pPr>
              <w:rPr>
                <w:rFonts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u w:val="single"/>
                <w14:textFill>
                  <w14:solidFill>
                    <w14:schemeClr w14:val="tx1"/>
                  </w14:solidFill>
                </w14:textFill>
              </w:rPr>
              <w:t>020-87070809</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1.1.4</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招标项目名称</w:t>
            </w:r>
          </w:p>
        </w:tc>
        <w:tc>
          <w:tcPr>
            <w:tcW w:w="58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000000" w:themeColor="text1"/>
                <w:szCs w:val="21"/>
                <w:highlight w:val="none"/>
                <w:u w:val="single"/>
                <w:lang w:eastAsia="zh-CN"/>
                <w14:textFill>
                  <w14:solidFill>
                    <w14:schemeClr w14:val="tx1"/>
                  </w14:solidFill>
                </w14:textFill>
              </w:rPr>
            </w:pPr>
            <w:r>
              <w:rPr>
                <w:rFonts w:hint="eastAsia" w:ascii="宋体" w:hAnsi="宋体" w:cs="宋体"/>
                <w:color w:val="000000" w:themeColor="text1"/>
                <w:szCs w:val="21"/>
                <w:highlight w:val="none"/>
                <w:u w:val="single"/>
                <w:lang w:eastAsia="zh-CN"/>
                <w14:textFill>
                  <w14:solidFill>
                    <w14:schemeClr w14:val="tx1"/>
                  </w14:solidFill>
                </w14:textFill>
              </w:rPr>
              <w:t>天河智慧城核心区AT0305119地块建设工程项目监理</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1.1.5</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项目建设地点</w:t>
            </w:r>
          </w:p>
        </w:tc>
        <w:tc>
          <w:tcPr>
            <w:tcW w:w="586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详见招标公</w:t>
            </w:r>
            <w:r>
              <w:rPr>
                <w:rFonts w:hint="eastAsia" w:ascii="宋体" w:hAnsi="宋体" w:cs="宋体"/>
                <w:color w:val="000000" w:themeColor="text1"/>
                <w:szCs w:val="21"/>
                <w:highlight w:val="none"/>
                <w:u w:val="single"/>
                <w14:textFill>
                  <w14:solidFill>
                    <w14:schemeClr w14:val="tx1"/>
                  </w14:solidFill>
                </w14:textFill>
              </w:rPr>
              <w:t>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1.1.6</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项目建设规模</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详见招标公告</w:t>
            </w:r>
          </w:p>
        </w:tc>
      </w:tr>
      <w:tr>
        <w:tblPrEx>
          <w:tblCellMar>
            <w:top w:w="0" w:type="dxa"/>
            <w:left w:w="108" w:type="dxa"/>
            <w:bottom w:w="0" w:type="dxa"/>
            <w:right w:w="108" w:type="dxa"/>
          </w:tblCellMar>
        </w:tblPrEx>
        <w:trPr>
          <w:trHeight w:val="840"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1.1.7</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工程项目施工预计开工日期和建设周期</w:t>
            </w:r>
          </w:p>
        </w:tc>
        <w:tc>
          <w:tcPr>
            <w:tcW w:w="58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工程项目施工预计开工日期：</w:t>
            </w:r>
            <w:r>
              <w:rPr>
                <w:rFonts w:hint="eastAsia" w:ascii="宋体" w:hAnsi="宋体" w:cs="宋体"/>
                <w:color w:val="000000" w:themeColor="text1"/>
                <w:szCs w:val="21"/>
                <w:highlight w:val="none"/>
                <w:u w:val="single"/>
                <w:lang w:val="en-US" w:eastAsia="zh-CN"/>
                <w14:textFill>
                  <w14:solidFill>
                    <w14:schemeClr w14:val="tx1"/>
                  </w14:solidFill>
                </w14:textFill>
              </w:rPr>
              <w:t>招标人</w:t>
            </w:r>
            <w:r>
              <w:rPr>
                <w:rFonts w:hint="eastAsia" w:ascii="宋体" w:hAnsi="宋体" w:cs="宋体"/>
                <w:color w:val="000000" w:themeColor="text1"/>
                <w:szCs w:val="21"/>
                <w:highlight w:val="none"/>
                <w:u w:val="single"/>
                <w14:textFill>
                  <w14:solidFill>
                    <w14:schemeClr w14:val="tx1"/>
                  </w14:solidFill>
                </w14:textFill>
              </w:rPr>
              <w:t>下达开工令或开工报告审批之日起。</w:t>
            </w:r>
          </w:p>
          <w:p>
            <w:pPr>
              <w:rPr>
                <w:rFonts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建设周期：</w:t>
            </w:r>
            <w:r>
              <w:rPr>
                <w:rFonts w:hint="eastAsia" w:ascii="宋体" w:hAnsi="宋体" w:cs="宋体"/>
                <w:color w:val="000000" w:themeColor="text1"/>
                <w:szCs w:val="21"/>
                <w:highlight w:val="none"/>
                <w:u w:val="single"/>
                <w:lang w:val="en-US" w:eastAsia="zh-CN"/>
                <w14:textFill>
                  <w14:solidFill>
                    <w14:schemeClr w14:val="tx1"/>
                  </w14:solidFill>
                </w14:textFill>
              </w:rPr>
              <w:t>暂定36个月，</w:t>
            </w:r>
            <w:r>
              <w:rPr>
                <w:rFonts w:hint="eastAsia" w:ascii="宋体" w:hAnsi="宋体" w:cs="宋体"/>
                <w:color w:val="000000" w:themeColor="text1"/>
                <w:szCs w:val="21"/>
                <w:highlight w:val="none"/>
                <w:u w:val="single"/>
                <w14:textFill>
                  <w14:solidFill>
                    <w14:schemeClr w14:val="tx1"/>
                  </w14:solidFill>
                </w14:textFill>
              </w:rPr>
              <w:t>具体项目建设周期按施工合同约定。</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1.1.8</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建筑安装工程费</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资金来源及比例</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企业自筹，比例100% </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1.2.2</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资金落实情况</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资金已落实</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招标范围</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1.3.2</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监理服务期限</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详见招标公告</w:t>
            </w:r>
          </w:p>
        </w:tc>
      </w:tr>
      <w:tr>
        <w:tblPrEx>
          <w:tblCellMar>
            <w:top w:w="0" w:type="dxa"/>
            <w:left w:w="108" w:type="dxa"/>
            <w:bottom w:w="0" w:type="dxa"/>
            <w:right w:w="108" w:type="dxa"/>
          </w:tblCellMar>
        </w:tblPrEx>
        <w:trPr>
          <w:trHeight w:val="672"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1.3.3</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质量标准</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执行国家最新建筑施工规范标准、《建筑工程施工质量验收统一标准》及相关配套的各专业验收规范等，一次验收合格，不发生一般及以上工程质量事故。</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投标人资质条件、能力、信誉</w:t>
            </w:r>
          </w:p>
        </w:tc>
        <w:tc>
          <w:tcPr>
            <w:tcW w:w="5865" w:type="dxa"/>
            <w:tcBorders>
              <w:top w:val="single" w:color="auto" w:sz="4" w:space="0"/>
              <w:left w:val="single" w:color="auto" w:sz="4" w:space="0"/>
              <w:bottom w:val="single" w:color="auto" w:sz="4" w:space="0"/>
              <w:right w:val="single" w:color="auto" w:sz="4" w:space="0"/>
            </w:tcBorders>
            <w:vAlign w:val="center"/>
          </w:tcPr>
          <w:p>
            <w:pPr>
              <w:snapToGrid w:val="0"/>
              <w:spacing w:before="12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（1）资质要求：</w:t>
            </w:r>
            <w:r>
              <w:rPr>
                <w:rFonts w:hint="eastAsia" w:ascii="宋体" w:hAnsi="宋体"/>
                <w:color w:val="000000" w:themeColor="text1"/>
                <w:szCs w:val="21"/>
                <w:highlight w:val="none"/>
                <w:u w:val="single"/>
                <w14:textFill>
                  <w14:solidFill>
                    <w14:schemeClr w14:val="tx1"/>
                  </w14:solidFill>
                </w14:textFill>
              </w:rPr>
              <w:t>见招标公告投标人资格要求。</w:t>
            </w:r>
          </w:p>
          <w:p>
            <w:pPr>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（2）财务要求：</w:t>
            </w:r>
            <w:r>
              <w:rPr>
                <w:rFonts w:hint="eastAsia" w:ascii="宋体" w:hAnsi="宋体"/>
                <w:color w:val="000000" w:themeColor="text1"/>
                <w:szCs w:val="21"/>
                <w:highlight w:val="none"/>
                <w:u w:val="single"/>
                <w14:textFill>
                  <w14:solidFill>
                    <w14:schemeClr w14:val="tx1"/>
                  </w14:solidFill>
                </w14:textFill>
              </w:rPr>
              <w:t>/</w:t>
            </w:r>
          </w:p>
          <w:p>
            <w:pPr>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（3）业绩要求：</w:t>
            </w:r>
            <w:r>
              <w:rPr>
                <w:rFonts w:hint="eastAsia" w:ascii="宋体" w:hAnsi="宋体"/>
                <w:color w:val="000000" w:themeColor="text1"/>
                <w:szCs w:val="21"/>
                <w:highlight w:val="none"/>
                <w:u w:val="single"/>
                <w14:textFill>
                  <w14:solidFill>
                    <w14:schemeClr w14:val="tx1"/>
                  </w14:solidFill>
                </w14:textFill>
              </w:rPr>
              <w:t>/</w:t>
            </w:r>
          </w:p>
          <w:p>
            <w:pPr>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（4）信誉要求</w:t>
            </w:r>
            <w:r>
              <w:rPr>
                <w:rFonts w:hint="eastAsia" w:ascii="宋体" w:hAnsi="宋体"/>
                <w:color w:val="000000" w:themeColor="text1"/>
                <w:szCs w:val="21"/>
                <w:highlight w:val="none"/>
                <w:u w:val="single"/>
                <w14:textFill>
                  <w14:solidFill>
                    <w14:schemeClr w14:val="tx1"/>
                  </w14:solidFill>
                </w14:textFill>
              </w:rPr>
              <w:t>/</w:t>
            </w:r>
          </w:p>
          <w:p>
            <w:pPr>
              <w:snapToGrid w:val="0"/>
              <w:ind w:right="10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（5）总监理工程师的资格要求：</w:t>
            </w:r>
            <w:r>
              <w:rPr>
                <w:rFonts w:hint="eastAsia" w:ascii="宋体" w:hAnsi="宋体"/>
                <w:color w:val="000000" w:themeColor="text1"/>
                <w:szCs w:val="21"/>
                <w:highlight w:val="none"/>
                <w:u w:val="single"/>
                <w14:textFill>
                  <w14:solidFill>
                    <w14:schemeClr w14:val="tx1"/>
                  </w14:solidFill>
                </w14:textFill>
              </w:rPr>
              <w:t>见招标公告投标人资格要求。</w:t>
            </w:r>
          </w:p>
          <w:p>
            <w:pPr>
              <w:snapToGrid w:val="0"/>
              <w:ind w:right="10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（6）其他主要人员要求：</w:t>
            </w:r>
            <w:r>
              <w:rPr>
                <w:rFonts w:hint="eastAsia" w:ascii="宋体" w:hAnsi="宋体"/>
                <w:color w:val="000000" w:themeColor="text1"/>
                <w:szCs w:val="21"/>
                <w:highlight w:val="none"/>
                <w:u w:val="single"/>
                <w14:textFill>
                  <w14:solidFill>
                    <w14:schemeClr w14:val="tx1"/>
                  </w14:solidFill>
                </w14:textFill>
              </w:rPr>
              <w:t>/</w:t>
            </w:r>
          </w:p>
          <w:p>
            <w:pPr>
              <w:tabs>
                <w:tab w:val="right" w:pos="6060"/>
              </w:tabs>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（7）试验检测仪器设备要求：</w:t>
            </w:r>
            <w:r>
              <w:rPr>
                <w:rFonts w:hint="eastAsia" w:ascii="宋体" w:hAnsi="宋体"/>
                <w:color w:val="000000" w:themeColor="text1"/>
                <w:szCs w:val="21"/>
                <w:highlight w:val="none"/>
                <w:u w:val="single"/>
                <w14:textFill>
                  <w14:solidFill>
                    <w14:schemeClr w14:val="tx1"/>
                  </w14:solidFill>
                </w14:textFill>
              </w:rPr>
              <w:t>/</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（8）其他要求：</w:t>
            </w:r>
            <w:r>
              <w:rPr>
                <w:rFonts w:hint="eastAsia" w:ascii="宋体" w:hAnsi="宋体"/>
                <w:color w:val="000000" w:themeColor="text1"/>
                <w:szCs w:val="21"/>
                <w:highlight w:val="none"/>
                <w:u w:val="single"/>
                <w14:textFill>
                  <w14:solidFill>
                    <w14:schemeClr w14:val="tx1"/>
                  </w14:solidFill>
                </w14:textFill>
              </w:rPr>
              <w:t>见招标公告投标人资格要求。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1.4.2</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是否接受联合体投标</w:t>
            </w:r>
          </w:p>
        </w:tc>
        <w:tc>
          <w:tcPr>
            <w:tcW w:w="5865" w:type="dxa"/>
            <w:tcBorders>
              <w:top w:val="single" w:color="auto" w:sz="4" w:space="0"/>
              <w:left w:val="single" w:color="auto" w:sz="4" w:space="0"/>
              <w:bottom w:val="single" w:color="auto" w:sz="4" w:space="0"/>
              <w:right w:val="single" w:color="auto" w:sz="4" w:space="0"/>
            </w:tcBorders>
            <w:vAlign w:val="center"/>
          </w:tcPr>
          <w:p>
            <w:pPr>
              <w:topLinePun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w:t>
            </w:r>
            <w:r>
              <w:rPr>
                <w:rFonts w:ascii="宋体" w:hAnsi="宋体"/>
                <w:color w:val="000000" w:themeColor="text1"/>
                <w:szCs w:val="21"/>
                <w:highlight w:val="none"/>
                <w14:textFill>
                  <w14:solidFill>
                    <w14:schemeClr w14:val="tx1"/>
                  </w14:solidFill>
                </w14:textFill>
              </w:rPr>
              <w:t>接受</w:t>
            </w:r>
          </w:p>
          <w:p>
            <w:pPr>
              <w:rPr>
                <w:rFonts w:ascii="宋体"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接受</w:t>
            </w:r>
            <w:r>
              <w:rPr>
                <w:rFonts w:hint="eastAsia" w:ascii="宋体" w:hAnsi="宋体"/>
                <w:color w:val="000000" w:themeColor="text1"/>
                <w:szCs w:val="21"/>
                <w:highlight w:val="none"/>
                <w14:textFill>
                  <w14:solidFill>
                    <w14:schemeClr w14:val="tx1"/>
                  </w14:solidFill>
                </w14:textFill>
              </w:rPr>
              <w:t>，应满足下列要求：</w:t>
            </w:r>
            <w:r>
              <w:rPr>
                <w:rFonts w:hAnsi="宋体"/>
                <w:color w:val="000000" w:themeColor="text1"/>
                <w:szCs w:val="21"/>
                <w:highlight w:val="none"/>
                <w:u w:val="single"/>
                <w14:textFill>
                  <w14:solidFill>
                    <w14:schemeClr w14:val="tx1"/>
                  </w14:solidFill>
                </w14:textFill>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1.4.3</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投标人不得存在的其他情形</w:t>
            </w:r>
          </w:p>
        </w:tc>
        <w:tc>
          <w:tcPr>
            <w:tcW w:w="58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见招标文件第二章“投标人须知”第1.4.3条。</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1.9.1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踏勘现场</w:t>
            </w:r>
          </w:p>
        </w:tc>
        <w:tc>
          <w:tcPr>
            <w:tcW w:w="5865" w:type="dxa"/>
            <w:tcBorders>
              <w:top w:val="single" w:color="auto" w:sz="4" w:space="0"/>
              <w:left w:val="single" w:color="auto" w:sz="4" w:space="0"/>
              <w:bottom w:val="single" w:color="auto" w:sz="4" w:space="0"/>
              <w:right w:val="single" w:color="auto" w:sz="4" w:space="0"/>
            </w:tcBorders>
            <w:vAlign w:val="center"/>
          </w:tcPr>
          <w:p>
            <w:pPr>
              <w:pStyle w:val="18"/>
              <w:topLinePunc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■不组织</w:t>
            </w:r>
          </w:p>
          <w:p>
            <w:pPr>
              <w:pStyle w:val="18"/>
              <w:topLinePunct/>
              <w:rPr>
                <w:rFonts w:hAnsi="宋体"/>
                <w:color w:val="000000" w:themeColor="text1"/>
                <w:sz w:val="21"/>
                <w:szCs w:val="21"/>
                <w:highlight w:val="none"/>
                <w:u w:val="single"/>
                <w14:textFill>
                  <w14:solidFill>
                    <w14:schemeClr w14:val="tx1"/>
                  </w14:solidFill>
                </w14:textFill>
              </w:rPr>
            </w:pPr>
            <w:r>
              <w:rPr>
                <w:rFonts w:hint="eastAsia" w:hAnsi="宋体"/>
                <w:color w:val="000000" w:themeColor="text1"/>
                <w:sz w:val="21"/>
                <w:szCs w:val="21"/>
                <w:highlight w:val="none"/>
                <w:u w:val="single"/>
                <w14:textFill>
                  <w14:solidFill>
                    <w14:schemeClr w14:val="tx1"/>
                  </w14:solidFill>
                </w14:textFill>
              </w:rPr>
              <w:t>补充说明如下：</w:t>
            </w:r>
          </w:p>
          <w:p>
            <w:pPr>
              <w:pStyle w:val="18"/>
              <w:topLinePunct/>
              <w:rPr>
                <w:rFonts w:hAnsi="宋体"/>
                <w:color w:val="000000" w:themeColor="text1"/>
                <w:sz w:val="21"/>
                <w:szCs w:val="21"/>
                <w:highlight w:val="none"/>
                <w:u w:val="single"/>
                <w14:textFill>
                  <w14:solidFill>
                    <w14:schemeClr w14:val="tx1"/>
                  </w14:solidFill>
                </w14:textFill>
              </w:rPr>
            </w:pPr>
            <w:r>
              <w:rPr>
                <w:rFonts w:hint="eastAsia" w:hAnsi="宋体"/>
                <w:color w:val="000000" w:themeColor="text1"/>
                <w:sz w:val="21"/>
                <w:szCs w:val="21"/>
                <w:highlight w:val="none"/>
                <w:u w:val="single"/>
                <w14:textFill>
                  <w14:solidFill>
                    <w14:schemeClr w14:val="tx1"/>
                  </w14:solidFill>
                </w14:textFill>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w:t>
            </w:r>
          </w:p>
          <w:p>
            <w:pPr>
              <w:pStyle w:val="18"/>
              <w:topLinePunct/>
              <w:rPr>
                <w:rFonts w:hAnsi="宋体"/>
                <w:color w:val="000000" w:themeColor="text1"/>
                <w:sz w:val="21"/>
                <w:szCs w:val="21"/>
                <w:highlight w:val="none"/>
                <w:u w:val="single"/>
                <w14:textFill>
                  <w14:solidFill>
                    <w14:schemeClr w14:val="tx1"/>
                  </w14:solidFill>
                </w14:textFill>
              </w:rPr>
            </w:pPr>
            <w:r>
              <w:rPr>
                <w:rFonts w:hint="eastAsia" w:hAnsi="宋体"/>
                <w:color w:val="000000" w:themeColor="text1"/>
                <w:sz w:val="21"/>
                <w:szCs w:val="21"/>
                <w:highlight w:val="none"/>
                <w:u w:val="single"/>
                <w14:textFill>
                  <w14:solidFill>
                    <w14:schemeClr w14:val="tx1"/>
                  </w14:solidFill>
                </w14:textFill>
              </w:rPr>
              <w:t>（</w:t>
            </w:r>
            <w:r>
              <w:rPr>
                <w:rFonts w:hAnsi="宋体"/>
                <w:color w:val="000000" w:themeColor="text1"/>
                <w:sz w:val="21"/>
                <w:szCs w:val="21"/>
                <w:highlight w:val="none"/>
                <w:u w:val="single"/>
                <w14:textFill>
                  <w14:solidFill>
                    <w14:schemeClr w14:val="tx1"/>
                  </w14:solidFill>
                </w14:textFill>
              </w:rPr>
              <w:t>2</w:t>
            </w:r>
            <w:r>
              <w:rPr>
                <w:rFonts w:hint="eastAsia" w:hAnsi="宋体"/>
                <w:color w:val="000000" w:themeColor="text1"/>
                <w:sz w:val="21"/>
                <w:szCs w:val="21"/>
                <w:highlight w:val="none"/>
                <w:u w:val="single"/>
                <w14:textFill>
                  <w14:solidFill>
                    <w14:schemeClr w14:val="tx1"/>
                  </w14:solidFill>
                </w14:textFill>
              </w:rPr>
              <w:t>）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pPr>
              <w:pStyle w:val="18"/>
              <w:topLinePunct/>
              <w:rPr>
                <w:rFonts w:hAnsi="宋体"/>
                <w:color w:val="000000" w:themeColor="text1"/>
                <w:sz w:val="21"/>
                <w:szCs w:val="21"/>
                <w:highlight w:val="none"/>
                <w:u w:val="single"/>
                <w14:textFill>
                  <w14:solidFill>
                    <w14:schemeClr w14:val="tx1"/>
                  </w14:solidFill>
                </w14:textFill>
              </w:rPr>
            </w:pPr>
            <w:r>
              <w:rPr>
                <w:rFonts w:hint="eastAsia" w:hAnsi="宋体"/>
                <w:color w:val="000000" w:themeColor="text1"/>
                <w:sz w:val="21"/>
                <w:szCs w:val="21"/>
                <w:highlight w:val="none"/>
                <w:u w:val="single"/>
                <w14:textFill>
                  <w14:solidFill>
                    <w14:schemeClr w14:val="tx1"/>
                  </w14:solidFill>
                </w14:textFill>
              </w:rPr>
              <w:t>（</w:t>
            </w:r>
            <w:r>
              <w:rPr>
                <w:rFonts w:hAnsi="宋体"/>
                <w:color w:val="000000" w:themeColor="text1"/>
                <w:sz w:val="21"/>
                <w:szCs w:val="21"/>
                <w:highlight w:val="none"/>
                <w:u w:val="single"/>
                <w14:textFill>
                  <w14:solidFill>
                    <w14:schemeClr w14:val="tx1"/>
                  </w14:solidFill>
                </w14:textFill>
              </w:rPr>
              <w:t>3</w:t>
            </w:r>
            <w:r>
              <w:rPr>
                <w:rFonts w:hint="eastAsia" w:hAnsi="宋体"/>
                <w:color w:val="000000" w:themeColor="text1"/>
                <w:sz w:val="21"/>
                <w:szCs w:val="21"/>
                <w:highlight w:val="none"/>
                <w:u w:val="single"/>
                <w14:textFill>
                  <w14:solidFill>
                    <w14:schemeClr w14:val="tx1"/>
                  </w14:solidFill>
                </w14:textFill>
              </w:rPr>
              <w:t>）在现场考察中由招标人提供的资料和数据，只是为了使投标人能够利用招标人现有的资料。招标人对投标人由此而作出的推论、解释和结论概不负责。</w:t>
            </w:r>
          </w:p>
          <w:p>
            <w:pPr>
              <w:pStyle w:val="18"/>
              <w:topLinePunc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□组织，踏勘时间：/</w:t>
            </w:r>
          </w:p>
          <w:p>
            <w:pPr>
              <w:pStyle w:val="18"/>
              <w:topLinePunct/>
              <w:ind w:firstLine="840" w:firstLineChars="4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踏勘集中地点：/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1.10.1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投标预备会</w:t>
            </w:r>
          </w:p>
        </w:tc>
        <w:tc>
          <w:tcPr>
            <w:tcW w:w="5865" w:type="dxa"/>
            <w:tcBorders>
              <w:top w:val="single" w:color="auto" w:sz="4" w:space="0"/>
              <w:left w:val="single" w:color="auto" w:sz="4" w:space="0"/>
              <w:bottom w:val="single" w:color="auto" w:sz="4" w:space="0"/>
              <w:right w:val="single" w:color="auto" w:sz="4" w:space="0"/>
            </w:tcBorders>
            <w:vAlign w:val="center"/>
          </w:tcPr>
          <w:p>
            <w:pPr>
              <w:pStyle w:val="18"/>
              <w:topLinePunc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■不召开</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□召开，召开时间：/</w:t>
            </w:r>
          </w:p>
          <w:p>
            <w:pPr>
              <w:ind w:firstLine="840" w:firstLineChars="4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召开地点：/</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1.10.2</w:t>
            </w:r>
          </w:p>
        </w:tc>
        <w:tc>
          <w:tcPr>
            <w:tcW w:w="2292"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投标人在投标预备会前提出问题</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p>
        </w:tc>
        <w:tc>
          <w:tcPr>
            <w:tcW w:w="2292" w:type="dxa"/>
            <w:vMerge w:val="continue"/>
            <w:tcBorders>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形式：/</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1.10.3</w:t>
            </w:r>
          </w:p>
        </w:tc>
        <w:tc>
          <w:tcPr>
            <w:tcW w:w="2292" w:type="dxa"/>
            <w:tcBorders>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招标文件澄清发出的形式</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w:t>
            </w:r>
            <w:r>
              <w:rPr>
                <w:rFonts w:hint="eastAsia" w:ascii="宋体" w:hAnsi="宋体" w:cs="宋体"/>
                <w:color w:val="000000" w:themeColor="text1"/>
                <w:kern w:val="0"/>
                <w:szCs w:val="21"/>
                <w:highlight w:val="none"/>
                <w:u w:val="single"/>
                <w14:textFill>
                  <w14:solidFill>
                    <w14:schemeClr w14:val="tx1"/>
                  </w14:solidFill>
                </w14:textFill>
              </w:rPr>
              <w:t>广州交易集团有限公司（广州公共资源交易中心）</w:t>
            </w:r>
            <w:r>
              <w:rPr>
                <w:rFonts w:hint="eastAsia" w:ascii="宋体" w:hAnsi="宋体"/>
                <w:color w:val="000000" w:themeColor="text1"/>
                <w:szCs w:val="21"/>
                <w:highlight w:val="none"/>
                <w14:textFill>
                  <w14:solidFill>
                    <w14:schemeClr w14:val="tx1"/>
                  </w14:solidFill>
                </w14:textFill>
              </w:rPr>
              <w:t>网站“招标答疑”专区发布，一经在发布，视作已发放给所有投标人。</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1.12.1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实质性要求和条件</w:t>
            </w:r>
          </w:p>
        </w:tc>
        <w:tc>
          <w:tcPr>
            <w:tcW w:w="5865" w:type="dxa"/>
            <w:tcBorders>
              <w:top w:val="single" w:color="auto" w:sz="4" w:space="0"/>
              <w:left w:val="single" w:color="auto" w:sz="4" w:space="0"/>
              <w:bottom w:val="single" w:color="auto" w:sz="4" w:space="0"/>
              <w:right w:val="single" w:color="auto" w:sz="4" w:space="0"/>
            </w:tcBorders>
            <w:vAlign w:val="center"/>
          </w:tcPr>
          <w:p>
            <w:pPr>
              <w:pStyle w:val="18"/>
              <w:topLinePunc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1.12.3</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偏差</w:t>
            </w:r>
          </w:p>
        </w:tc>
        <w:tc>
          <w:tcPr>
            <w:tcW w:w="5865"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不允许</w:t>
            </w:r>
          </w:p>
          <w:p>
            <w:pPr>
              <w:pStyle w:val="18"/>
              <w:topLinePunct/>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□允许，偏差范围：</w:t>
            </w:r>
            <w:r>
              <w:rPr>
                <w:rFonts w:hint="eastAsia" w:hAnsi="宋体"/>
                <w:color w:val="000000" w:themeColor="text1"/>
                <w:sz w:val="21"/>
                <w:szCs w:val="21"/>
                <w:highlight w:val="none"/>
                <w14:textFill>
                  <w14:solidFill>
                    <w14:schemeClr w14:val="tx1"/>
                  </w14:solidFill>
                </w14:textFill>
              </w:rPr>
              <w:t>/</w:t>
            </w:r>
          </w:p>
          <w:p>
            <w:pPr>
              <w:pStyle w:val="18"/>
              <w:topLinePunct/>
              <w:ind w:firstLine="840" w:firstLineChars="400"/>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偏差幅度：</w:t>
            </w:r>
            <w:r>
              <w:rPr>
                <w:rFonts w:hint="eastAsia" w:hAnsi="宋体"/>
                <w:color w:val="000000" w:themeColor="text1"/>
                <w:sz w:val="21"/>
                <w:szCs w:val="21"/>
                <w:highlight w:val="none"/>
                <w14:textFill>
                  <w14:solidFill>
                    <w14:schemeClr w14:val="tx1"/>
                  </w14:solidFill>
                </w14:textFill>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构成招标文件的其他资料</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答疑纪要（如有）、澄清文件（如有）等。</w:t>
            </w:r>
          </w:p>
        </w:tc>
      </w:tr>
      <w:tr>
        <w:tblPrEx>
          <w:tblCellMar>
            <w:top w:w="0" w:type="dxa"/>
            <w:left w:w="108" w:type="dxa"/>
            <w:bottom w:w="0" w:type="dxa"/>
            <w:right w:w="108" w:type="dxa"/>
          </w:tblCellMar>
        </w:tblPrEx>
        <w:trPr>
          <w:trHeight w:val="435" w:hRule="atLeast"/>
        </w:trPr>
        <w:tc>
          <w:tcPr>
            <w:tcW w:w="1165"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2.2.1</w:t>
            </w:r>
          </w:p>
        </w:tc>
        <w:tc>
          <w:tcPr>
            <w:tcW w:w="2292" w:type="dxa"/>
            <w:vMerge w:val="restart"/>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投标人要求澄清招标文件</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u w:val="single"/>
                <w14:textFill>
                  <w14:solidFill>
                    <w14:schemeClr w14:val="tx1"/>
                  </w14:solidFill>
                </w14:textFill>
              </w:rPr>
              <w:t>在提交投标文件截止时间18天前提出。</w:t>
            </w:r>
          </w:p>
        </w:tc>
      </w:tr>
      <w:tr>
        <w:tblPrEx>
          <w:tblCellMar>
            <w:top w:w="0" w:type="dxa"/>
            <w:left w:w="108" w:type="dxa"/>
            <w:bottom w:w="0" w:type="dxa"/>
            <w:right w:w="108" w:type="dxa"/>
          </w:tblCellMar>
        </w:tblPrEx>
        <w:trPr>
          <w:trHeight w:val="435" w:hRule="atLeast"/>
        </w:trPr>
        <w:tc>
          <w:tcPr>
            <w:tcW w:w="1165" w:type="dxa"/>
            <w:vMerge w:val="continue"/>
            <w:tcBorders>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2292" w:type="dxa"/>
            <w:vMerge w:val="continue"/>
            <w:tcBorders>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5865" w:type="dxa"/>
            <w:tcBorders>
              <w:top w:val="single" w:color="auto" w:sz="4" w:space="0"/>
              <w:left w:val="single" w:color="auto" w:sz="4" w:space="0"/>
              <w:bottom w:val="single" w:color="auto" w:sz="4" w:space="0"/>
              <w:right w:val="single" w:color="auto" w:sz="4" w:space="0"/>
            </w:tcBorders>
            <w:vAlign w:val="center"/>
          </w:tcPr>
          <w:p>
            <w:pPr>
              <w:snapToGrid w:val="0"/>
              <w:ind w:right="174" w:rightChars="83"/>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形式：</w:t>
            </w:r>
            <w:r>
              <w:rPr>
                <w:rFonts w:hint="eastAsia" w:ascii="宋体" w:hAnsi="宋体" w:cs="宋体"/>
                <w:color w:val="000000" w:themeColor="text1"/>
                <w:kern w:val="0"/>
                <w:szCs w:val="21"/>
                <w:highlight w:val="none"/>
                <w:u w:val="single"/>
                <w14:textFill>
                  <w14:solidFill>
                    <w14:schemeClr w14:val="tx1"/>
                  </w14:solidFill>
                </w14:textFill>
              </w:rPr>
              <w:t>1.招标答疑采用网上答疑方式进行。投标人若对招标文件有疑问的，可在规定的时间内通过广州交易集团有限公司（广州公共资源交易中心）网站登录系统进入提问区域将问题提交给招标人或招标代理人，提交问题时一律不得署名。具体操作方法详见广州交易集团有限公司（广州公共资源交易中心）网站发布的《建设工程全流程电子化项目操作指南》。</w:t>
            </w:r>
          </w:p>
          <w:p>
            <w:pPr>
              <w:snapToGrid w:val="0"/>
              <w:ind w:right="174" w:rightChars="83" w:firstLine="630" w:firstLineChars="3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2.投标人应在投标截止时间18日前停止提疑。招标人应在投标截止时间15日前解答投标人对招标文件提出的疑问，形成答疑纪要，并在广州交易集团有限公司（广州公共资源交易中心）网站发布。</w:t>
            </w:r>
          </w:p>
          <w:p>
            <w:pPr>
              <w:snapToGrid w:val="0"/>
              <w:ind w:right="174" w:rightChars="83" w:firstLine="630" w:firstLineChars="300"/>
              <w:rPr>
                <w:rFonts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3.答疑纪要一经在广州交易集团有限公司（广州公共资源交易中心）网站发布，视作已发放给所有投标人。</w:t>
            </w:r>
          </w:p>
          <w:p>
            <w:pPr>
              <w:snapToGrid w:val="0"/>
              <w:ind w:right="174" w:rightChars="83" w:firstLine="630" w:firstLineChars="3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4.答疑纪要为招标文件的一部分。投标人可在广州交易集团有限公司（广州公共资源交易中心）网站浏览、下载答疑纪要。</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2.2.2</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招标文件澄清发出的形式</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在递交投标文件截止时间15天前；在</w:t>
            </w:r>
            <w:r>
              <w:rPr>
                <w:rFonts w:hint="eastAsia" w:ascii="宋体" w:hAnsi="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olor w:val="000000" w:themeColor="text1"/>
                <w:szCs w:val="21"/>
                <w:highlight w:val="none"/>
                <w14:textFill>
                  <w14:solidFill>
                    <w14:schemeClr w14:val="tx1"/>
                  </w14:solidFill>
                </w14:textFill>
              </w:rPr>
              <w:t>网站通过项目答疑专区网上公开发布。</w:t>
            </w:r>
          </w:p>
        </w:tc>
      </w:tr>
      <w:tr>
        <w:tblPrEx>
          <w:tblCellMar>
            <w:top w:w="0" w:type="dxa"/>
            <w:left w:w="108" w:type="dxa"/>
            <w:bottom w:w="0" w:type="dxa"/>
            <w:right w:w="108" w:type="dxa"/>
          </w:tblCellMar>
        </w:tblPrEx>
        <w:trPr>
          <w:trHeight w:val="890" w:hRule="atLeast"/>
        </w:trPr>
        <w:tc>
          <w:tcPr>
            <w:tcW w:w="11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2.2.3</w:t>
            </w:r>
          </w:p>
        </w:tc>
        <w:tc>
          <w:tcPr>
            <w:tcW w:w="22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投标人确认收到招标文件澄清</w:t>
            </w:r>
          </w:p>
        </w:tc>
        <w:tc>
          <w:tcPr>
            <w:tcW w:w="586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时间：</w:t>
            </w:r>
            <w:r>
              <w:rPr>
                <w:rFonts w:hint="eastAsia" w:ascii="宋体" w:hAnsi="宋体" w:cs="宋体"/>
                <w:color w:val="000000" w:themeColor="text1"/>
                <w:szCs w:val="21"/>
                <w:highlight w:val="none"/>
                <w:u w:val="single"/>
                <w14:textFill>
                  <w14:solidFill>
                    <w14:schemeClr w14:val="tx1"/>
                  </w14:solidFill>
                </w14:textFill>
              </w:rPr>
              <w:t>从招标文件澄清及答疑文件发布之日起即视为投标人已确认收到。</w:t>
            </w:r>
          </w:p>
        </w:tc>
      </w:tr>
      <w:tr>
        <w:tblPrEx>
          <w:tblCellMar>
            <w:top w:w="0" w:type="dxa"/>
            <w:left w:w="108" w:type="dxa"/>
            <w:bottom w:w="0" w:type="dxa"/>
            <w:right w:w="108" w:type="dxa"/>
          </w:tblCellMar>
        </w:tblPrEx>
        <w:trPr>
          <w:trHeight w:val="890" w:hRule="atLeast"/>
        </w:trPr>
        <w:tc>
          <w:tcPr>
            <w:tcW w:w="11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p>
        </w:tc>
        <w:tc>
          <w:tcPr>
            <w:tcW w:w="22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p>
        </w:tc>
        <w:tc>
          <w:tcPr>
            <w:tcW w:w="586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形式：</w:t>
            </w:r>
            <w:r>
              <w:rPr>
                <w:rFonts w:hint="eastAsia" w:ascii="宋体" w:hAnsi="宋体" w:cs="宋体"/>
                <w:color w:val="000000" w:themeColor="text1"/>
                <w:szCs w:val="21"/>
                <w:highlight w:val="none"/>
                <w:u w:val="single"/>
                <w14:textFill>
                  <w14:solidFill>
                    <w14:schemeClr w14:val="tx1"/>
                  </w14:solidFill>
                </w14:textFill>
              </w:rPr>
              <w:t>招标文件澄清（招标答疑纪要）一经在广州交易集团有限公司（广州公共资源交易中心）网站发布，视作已发放给所有投标人。</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2.3.1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招标文件修改发出的形式</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以补充公告或项目答疑澄清的方式在广州交易集团有限公司（广州公共资源交易中心）网站发布。</w:t>
            </w:r>
          </w:p>
        </w:tc>
      </w:tr>
      <w:tr>
        <w:tblPrEx>
          <w:tblCellMar>
            <w:top w:w="0" w:type="dxa"/>
            <w:left w:w="108" w:type="dxa"/>
            <w:bottom w:w="0" w:type="dxa"/>
            <w:right w:w="108" w:type="dxa"/>
          </w:tblCellMar>
        </w:tblPrEx>
        <w:trPr>
          <w:trHeight w:val="90" w:hRule="atLeast"/>
        </w:trPr>
        <w:tc>
          <w:tcPr>
            <w:tcW w:w="11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2.3.2</w:t>
            </w:r>
          </w:p>
        </w:tc>
        <w:tc>
          <w:tcPr>
            <w:tcW w:w="22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投标人确认收到招标文件修改</w:t>
            </w:r>
          </w:p>
        </w:tc>
        <w:tc>
          <w:tcPr>
            <w:tcW w:w="586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w:t>
            </w:r>
            <w:r>
              <w:rPr>
                <w:rFonts w:hint="eastAsia" w:ascii="宋体" w:hAnsi="宋体"/>
                <w:color w:val="000000" w:themeColor="text1"/>
                <w:szCs w:val="21"/>
                <w:highlight w:val="none"/>
                <w:u w:val="single"/>
                <w14:textFill>
                  <w14:solidFill>
                    <w14:schemeClr w14:val="tx1"/>
                  </w14:solidFill>
                </w14:textFill>
              </w:rPr>
              <w:t>发出即视作收到。</w:t>
            </w:r>
          </w:p>
        </w:tc>
      </w:tr>
      <w:tr>
        <w:tblPrEx>
          <w:tblCellMar>
            <w:top w:w="0" w:type="dxa"/>
            <w:left w:w="108" w:type="dxa"/>
            <w:bottom w:w="0" w:type="dxa"/>
            <w:right w:w="108" w:type="dxa"/>
          </w:tblCellMar>
        </w:tblPrEx>
        <w:trPr>
          <w:trHeight w:val="890" w:hRule="atLeast"/>
        </w:trPr>
        <w:tc>
          <w:tcPr>
            <w:tcW w:w="11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p>
        </w:tc>
        <w:tc>
          <w:tcPr>
            <w:tcW w:w="22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p>
        </w:tc>
        <w:tc>
          <w:tcPr>
            <w:tcW w:w="586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形式：</w:t>
            </w:r>
            <w:r>
              <w:rPr>
                <w:rFonts w:hint="eastAsia" w:ascii="宋体" w:hAnsi="宋体" w:cs="宋体"/>
                <w:color w:val="000000" w:themeColor="text1"/>
                <w:szCs w:val="21"/>
                <w:highlight w:val="none"/>
                <w:u w:val="single"/>
                <w14:textFill>
                  <w14:solidFill>
                    <w14:schemeClr w14:val="tx1"/>
                  </w14:solidFill>
                </w14:textFill>
              </w:rPr>
              <w:t>招标文件修改一经在广州交易集团有限公司（广州公共资源交易中心）网站发布，视作已发放给所有投标人，无需确认。潜在投标人应自行关注招标公告公布的网站公告，投标人因自身贻误行为导致投标失败的，责任自负。</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3.1.1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构成投标文件的其他资料</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满足本项目评审要求的其他资料。</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3.2.1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增值税税金的计算方法</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按国家税务机关的规定执行。</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3.2.3</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报价方式</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投标人自行报价，以元为单位，精确到小数位后2位，投标报价超过本项目最高投标限价的投标文件将被拒绝。</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3.2.4</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最高投标限价</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□无</w:t>
            </w:r>
          </w:p>
          <w:p>
            <w:pPr>
              <w:pStyle w:val="8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有，</w:t>
            </w:r>
            <w:r>
              <w:rPr>
                <w:rFonts w:hint="eastAsia" w:ascii="宋体" w:hAnsi="宋体" w:cs="宋体"/>
                <w:bCs/>
                <w:color w:val="000000" w:themeColor="text1"/>
                <w:sz w:val="21"/>
                <w:szCs w:val="21"/>
                <w:highlight w:val="none"/>
                <w14:textFill>
                  <w14:solidFill>
                    <w14:schemeClr w14:val="tx1"/>
                  </w14:solidFill>
                </w14:textFill>
              </w:rPr>
              <w:t>人民币</w:t>
            </w:r>
            <w:r>
              <w:rPr>
                <w:rFonts w:hint="eastAsia" w:ascii="宋体" w:hAnsi="宋体" w:cs="宋体"/>
                <w:bCs/>
                <w:color w:val="000000" w:themeColor="text1"/>
                <w:sz w:val="21"/>
                <w:szCs w:val="21"/>
                <w:highlight w:val="none"/>
                <w:u w:val="single"/>
                <w:lang w:val="en-US" w:eastAsia="zh-CN"/>
                <w14:textFill>
                  <w14:solidFill>
                    <w14:schemeClr w14:val="tx1"/>
                  </w14:solidFill>
                </w14:textFill>
              </w:rPr>
              <w:t>419.9095</w:t>
            </w:r>
            <w:r>
              <w:rPr>
                <w:rFonts w:hint="eastAsia" w:ascii="宋体" w:hAnsi="宋体" w:cs="宋体"/>
                <w:bCs/>
                <w:color w:val="000000" w:themeColor="text1"/>
                <w:sz w:val="21"/>
                <w:szCs w:val="21"/>
                <w:highlight w:val="none"/>
                <w14:textFill>
                  <w14:solidFill>
                    <w14:schemeClr w14:val="tx1"/>
                  </w14:solidFill>
                </w14:textFill>
              </w:rPr>
              <w:t>万元</w:t>
            </w:r>
            <w:r>
              <w:rPr>
                <w:rFonts w:hint="eastAsia" w:ascii="宋体" w:hAnsi="宋体" w:cs="宋体"/>
                <w:bCs/>
                <w:color w:val="000000" w:themeColor="text1"/>
                <w:sz w:val="21"/>
                <w:szCs w:val="21"/>
                <w:highlight w:val="none"/>
                <w:lang w:eastAsia="zh-CN"/>
                <w14:textFill>
                  <w14:solidFill>
                    <w14:schemeClr w14:val="tx1"/>
                  </w14:solidFill>
                </w14:textFill>
              </w:rPr>
              <w:t>，</w:t>
            </w:r>
            <w:r>
              <w:rPr>
                <w:rFonts w:hint="eastAsia" w:ascii="宋体" w:hAnsi="宋体" w:cs="宋体"/>
                <w:bCs/>
                <w:color w:val="000000" w:themeColor="text1"/>
                <w:sz w:val="21"/>
                <w:szCs w:val="21"/>
                <w:highlight w:val="none"/>
                <w:u w:val="single"/>
                <w:lang w:val="en-US" w:eastAsia="zh-CN"/>
                <w14:textFill>
                  <w14:solidFill>
                    <w14:schemeClr w14:val="tx1"/>
                  </w14:solidFill>
                </w14:textFill>
              </w:rPr>
              <w:t>其中含税单价最高限价为</w:t>
            </w:r>
            <w:r>
              <w:rPr>
                <w:rFonts w:hint="eastAsia" w:ascii="宋体" w:hAnsi="宋体" w:cs="宋体"/>
                <w:bCs/>
                <w:color w:val="000000" w:themeColor="text1"/>
                <w:sz w:val="21"/>
                <w:szCs w:val="21"/>
                <w:highlight w:val="none"/>
                <w:u w:val="single"/>
                <w14:textFill>
                  <w14:solidFill>
                    <w14:schemeClr w14:val="tx1"/>
                  </w14:solidFill>
                </w14:textFill>
              </w:rPr>
              <w:t>人民币</w:t>
            </w:r>
            <w:r>
              <w:rPr>
                <w:rFonts w:hint="eastAsia" w:ascii="宋体" w:hAnsi="宋体" w:cs="宋体"/>
                <w:bCs/>
                <w:color w:val="000000" w:themeColor="text1"/>
                <w:sz w:val="21"/>
                <w:szCs w:val="21"/>
                <w:highlight w:val="none"/>
                <w:u w:val="single"/>
                <w:lang w:val="en-US" w:eastAsia="zh-CN"/>
                <w14:textFill>
                  <w14:solidFill>
                    <w14:schemeClr w14:val="tx1"/>
                  </w14:solidFill>
                </w14:textFill>
              </w:rPr>
              <w:t>32.49</w:t>
            </w:r>
            <w:r>
              <w:rPr>
                <w:rFonts w:hint="eastAsia" w:ascii="宋体" w:hAnsi="宋体" w:cs="宋体"/>
                <w:bCs/>
                <w:color w:val="000000" w:themeColor="text1"/>
                <w:sz w:val="21"/>
                <w:szCs w:val="21"/>
                <w:highlight w:val="none"/>
                <w:u w:val="single"/>
                <w14:textFill>
                  <w14:solidFill>
                    <w14:schemeClr w14:val="tx1"/>
                  </w14:solidFill>
                </w14:textFill>
              </w:rPr>
              <w:t>元</w:t>
            </w:r>
            <w:r>
              <w:rPr>
                <w:rFonts w:hint="eastAsia" w:ascii="宋体" w:hAnsi="宋体" w:cs="宋体"/>
                <w:bCs/>
                <w:color w:val="000000" w:themeColor="text1"/>
                <w:sz w:val="21"/>
                <w:szCs w:val="21"/>
                <w:highlight w:val="none"/>
                <w:u w:val="single"/>
                <w:lang w:val="en-US" w:eastAsia="zh-CN"/>
                <w14:textFill>
                  <w14:solidFill>
                    <w14:schemeClr w14:val="tx1"/>
                  </w14:solidFill>
                </w14:textFill>
              </w:rPr>
              <w:t>/平方米（不含投资控制）</w:t>
            </w:r>
            <w:r>
              <w:rPr>
                <w:rFonts w:hint="eastAsia" w:ascii="宋体" w:hAnsi="宋体" w:cs="宋体"/>
                <w:bCs/>
                <w:color w:val="000000" w:themeColor="text1"/>
                <w:sz w:val="21"/>
                <w:szCs w:val="21"/>
                <w:highlight w:val="none"/>
                <w14:textFill>
                  <w14:solidFill>
                    <w14:schemeClr w14:val="tx1"/>
                  </w14:solidFill>
                </w14:textFill>
              </w:rPr>
              <w:t>。</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投标人应结合自身因素进行投标报价，投标</w:t>
            </w:r>
            <w:r>
              <w:rPr>
                <w:rFonts w:hint="eastAsia" w:ascii="宋体" w:hAnsi="宋体"/>
                <w:color w:val="000000" w:themeColor="text1"/>
                <w:szCs w:val="21"/>
                <w:highlight w:val="none"/>
                <w:u w:val="single"/>
                <w:lang w:val="en-US" w:eastAsia="zh-CN"/>
                <w14:textFill>
                  <w14:solidFill>
                    <w14:schemeClr w14:val="tx1"/>
                  </w14:solidFill>
                </w14:textFill>
              </w:rPr>
              <w:t>总</w:t>
            </w:r>
            <w:r>
              <w:rPr>
                <w:rFonts w:hint="eastAsia" w:ascii="宋体" w:hAnsi="宋体"/>
                <w:color w:val="000000" w:themeColor="text1"/>
                <w:szCs w:val="21"/>
                <w:highlight w:val="none"/>
                <w:u w:val="single"/>
                <w14:textFill>
                  <w14:solidFill>
                    <w14:schemeClr w14:val="tx1"/>
                  </w14:solidFill>
                </w14:textFill>
              </w:rPr>
              <w:t>报价</w:t>
            </w:r>
            <w:r>
              <w:rPr>
                <w:rFonts w:hint="eastAsia" w:ascii="宋体" w:hAnsi="宋体" w:cs="宋体"/>
                <w:color w:val="000000" w:themeColor="text1"/>
                <w:szCs w:val="21"/>
                <w:highlight w:val="none"/>
                <w:u w:val="single"/>
                <w:lang w:val="en-US" w:eastAsia="zh-CN"/>
                <w14:textFill>
                  <w14:solidFill>
                    <w14:schemeClr w14:val="tx1"/>
                  </w14:solidFill>
                </w14:textFill>
              </w:rPr>
              <w:t>及含税单价报价</w:t>
            </w:r>
            <w:r>
              <w:rPr>
                <w:rFonts w:hint="eastAsia" w:ascii="宋体" w:hAnsi="宋体"/>
                <w:color w:val="000000" w:themeColor="text1"/>
                <w:szCs w:val="21"/>
                <w:highlight w:val="none"/>
                <w:u w:val="single"/>
                <w14:textFill>
                  <w14:solidFill>
                    <w14:schemeClr w14:val="tx1"/>
                  </w14:solidFill>
                </w14:textFill>
              </w:rPr>
              <w:t>均不得超</w:t>
            </w:r>
            <w:r>
              <w:rPr>
                <w:rFonts w:hint="eastAsia" w:ascii="宋体" w:hAnsi="宋体"/>
                <w:color w:val="000000" w:themeColor="text1"/>
                <w:szCs w:val="21"/>
                <w:highlight w:val="none"/>
                <w:u w:val="single"/>
                <w:lang w:val="en-US" w:eastAsia="zh-CN"/>
                <w14:textFill>
                  <w14:solidFill>
                    <w14:schemeClr w14:val="tx1"/>
                  </w14:solidFill>
                </w14:textFill>
              </w:rPr>
              <w:t>过其</w:t>
            </w:r>
            <w:r>
              <w:rPr>
                <w:rFonts w:hint="eastAsia" w:ascii="宋体" w:hAnsi="宋体"/>
                <w:color w:val="000000" w:themeColor="text1"/>
                <w:szCs w:val="21"/>
                <w:highlight w:val="none"/>
                <w:u w:val="single"/>
                <w14:textFill>
                  <w14:solidFill>
                    <w14:schemeClr w14:val="tx1"/>
                  </w14:solidFill>
                </w14:textFill>
              </w:rPr>
              <w:t>最高投标限价，否则投标无效。</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3.2.5</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投标报价的其他要求</w:t>
            </w:r>
          </w:p>
        </w:tc>
        <w:tc>
          <w:tcPr>
            <w:tcW w:w="586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投标</w:t>
            </w:r>
            <w:r>
              <w:rPr>
                <w:rFonts w:hint="eastAsia" w:ascii="宋体" w:hAnsi="宋体" w:cs="宋体"/>
                <w:color w:val="000000" w:themeColor="text1"/>
                <w:szCs w:val="21"/>
                <w:highlight w:val="none"/>
                <w:u w:val="single"/>
                <w:lang w:val="en-US" w:eastAsia="zh-CN"/>
                <w14:textFill>
                  <w14:solidFill>
                    <w14:schemeClr w14:val="tx1"/>
                  </w14:solidFill>
                </w14:textFill>
              </w:rPr>
              <w:t>总</w:t>
            </w:r>
            <w:r>
              <w:rPr>
                <w:rFonts w:hint="eastAsia" w:ascii="宋体" w:hAnsi="宋体" w:cs="宋体"/>
                <w:color w:val="000000" w:themeColor="text1"/>
                <w:szCs w:val="21"/>
                <w:highlight w:val="none"/>
                <w:u w:val="single"/>
                <w14:textFill>
                  <w14:solidFill>
                    <w14:schemeClr w14:val="tx1"/>
                  </w14:solidFill>
                </w14:textFill>
              </w:rPr>
              <w:t>报价</w:t>
            </w:r>
            <w:r>
              <w:rPr>
                <w:rFonts w:hint="eastAsia" w:ascii="宋体" w:hAnsi="宋体" w:cs="宋体"/>
                <w:color w:val="000000" w:themeColor="text1"/>
                <w:szCs w:val="21"/>
                <w:highlight w:val="none"/>
                <w:u w:val="single"/>
                <w:lang w:val="en-US" w:eastAsia="zh-CN"/>
                <w14:textFill>
                  <w14:solidFill>
                    <w14:schemeClr w14:val="tx1"/>
                  </w14:solidFill>
                </w14:textFill>
              </w:rPr>
              <w:t>及含税单价报价</w:t>
            </w:r>
            <w:r>
              <w:rPr>
                <w:rFonts w:hint="eastAsia" w:ascii="宋体" w:hAnsi="宋体" w:cs="宋体"/>
                <w:color w:val="000000" w:themeColor="text1"/>
                <w:szCs w:val="21"/>
                <w:highlight w:val="none"/>
                <w:u w:val="single"/>
                <w14:textFill>
                  <w14:solidFill>
                    <w14:schemeClr w14:val="tx1"/>
                  </w14:solidFill>
                </w14:textFill>
              </w:rPr>
              <w:t>超过</w:t>
            </w:r>
            <w:r>
              <w:rPr>
                <w:rFonts w:hint="eastAsia" w:ascii="宋体" w:hAnsi="宋体" w:cs="宋体"/>
                <w:color w:val="000000" w:themeColor="text1"/>
                <w:szCs w:val="21"/>
                <w:highlight w:val="none"/>
                <w:u w:val="single"/>
                <w:lang w:val="en-US" w:eastAsia="zh-CN"/>
                <w14:textFill>
                  <w14:solidFill>
                    <w14:schemeClr w14:val="tx1"/>
                  </w14:solidFill>
                </w14:textFill>
              </w:rPr>
              <w:t>其</w:t>
            </w:r>
            <w:r>
              <w:rPr>
                <w:rFonts w:hint="eastAsia" w:ascii="宋体" w:hAnsi="宋体" w:cs="宋体"/>
                <w:color w:val="000000" w:themeColor="text1"/>
                <w:szCs w:val="21"/>
                <w:highlight w:val="none"/>
                <w:u w:val="single"/>
                <w14:textFill>
                  <w14:solidFill>
                    <w14:schemeClr w14:val="tx1"/>
                  </w14:solidFill>
                </w14:textFill>
              </w:rPr>
              <w:t>最高投标限价的投标文件将被否决其投标。</w:t>
            </w:r>
          </w:p>
          <w:p>
            <w:pPr>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投标人的报价，应是其按第五章“委托人要求”完成监理工作的所有费用，凡在本项目合同中提及即与监理服务有关的一切费用均含在监理酬金中，具体包括人员工资、福利、社保、办公费用（资料费、电脑、打印机、复印机等办公设备及耗材费）、受托人为监理本项目使用的设备和设施费用、交通差旅费用、餐费、管理费、利润、税金等一切费用。</w:t>
            </w:r>
          </w:p>
          <w:p>
            <w:pPr>
              <w:pStyle w:val="82"/>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投标人必须详细审阅全部招标文件，充分考虑职责和义务</w:t>
            </w:r>
            <w:r>
              <w:rPr>
                <w:rFonts w:ascii="宋体" w:hAnsi="宋体" w:cs="宋体"/>
                <w:color w:val="000000" w:themeColor="text1"/>
                <w:szCs w:val="21"/>
                <w:highlight w:val="none"/>
                <w:u w:val="single"/>
                <w14:textFill>
                  <w14:solidFill>
                    <w14:schemeClr w14:val="tx1"/>
                  </w14:solidFill>
                </w14:textFill>
              </w:rPr>
              <w:t>,全面地理解招标文件对投标报价的要求,并按招标人提出的条件及内容进行报价。</w:t>
            </w:r>
            <w:r>
              <w:rPr>
                <w:rFonts w:hint="eastAsia" w:ascii="宋体" w:hAnsi="宋体" w:cs="宋体"/>
                <w:color w:val="000000" w:themeColor="text1"/>
                <w:szCs w:val="21"/>
                <w:highlight w:val="none"/>
                <w:u w:val="single"/>
                <w:lang w:val="en-US" w:eastAsia="zh-CN"/>
                <w14:textFill>
                  <w14:solidFill>
                    <w14:schemeClr w14:val="tx1"/>
                  </w14:solidFill>
                </w14:textFill>
              </w:rPr>
              <w:t>结算方式以监理合同约定为准。</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3.3.1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投标有效期</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bookmarkStart w:id="11" w:name="_Toc361508582"/>
            <w:bookmarkStart w:id="12" w:name="_Toc384308207"/>
            <w:bookmarkStart w:id="13" w:name="_Toc352691470"/>
            <w:bookmarkStart w:id="14" w:name="_Toc1789"/>
            <w:bookmarkStart w:id="15" w:name="_Toc369531512"/>
            <w:bookmarkStart w:id="16" w:name="_Toc300834946"/>
            <w:r>
              <w:rPr>
                <w:rFonts w:hint="eastAsia" w:ascii="宋体" w:hAnsi="宋体"/>
                <w:color w:val="000000" w:themeColor="text1"/>
                <w:szCs w:val="21"/>
                <w:highlight w:val="none"/>
                <w:u w:val="single"/>
                <w14:textFill>
                  <w14:solidFill>
                    <w14:schemeClr w14:val="tx1"/>
                  </w14:solidFill>
                </w14:textFill>
              </w:rPr>
              <w:t>90</w:t>
            </w:r>
            <w:r>
              <w:rPr>
                <w:rFonts w:hint="eastAsia" w:ascii="宋体" w:hAnsi="宋体"/>
                <w:color w:val="000000" w:themeColor="text1"/>
                <w:szCs w:val="21"/>
                <w:highlight w:val="none"/>
                <w14:textFill>
                  <w14:solidFill>
                    <w14:schemeClr w14:val="tx1"/>
                  </w14:solidFill>
                </w14:textFill>
              </w:rPr>
              <w:t>日历天（从投标截止之日算起）。如出现异议或投诉，则投标有效期自动延长至异议或投诉处理结束，确定中标人并发放中标通知书为止。</w:t>
            </w:r>
          </w:p>
        </w:tc>
      </w:tr>
      <w:bookmarkEnd w:id="11"/>
      <w:bookmarkEnd w:id="12"/>
      <w:bookmarkEnd w:id="13"/>
      <w:bookmarkEnd w:id="14"/>
      <w:bookmarkEnd w:id="15"/>
      <w:bookmarkEnd w:id="16"/>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3.4.1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投标保证金</w:t>
            </w:r>
          </w:p>
        </w:tc>
        <w:tc>
          <w:tcPr>
            <w:tcW w:w="5865" w:type="dxa"/>
            <w:tcBorders>
              <w:top w:val="single" w:color="auto" w:sz="4" w:space="0"/>
              <w:left w:val="single" w:color="auto" w:sz="4" w:space="0"/>
              <w:bottom w:val="single" w:color="auto" w:sz="4" w:space="0"/>
              <w:right w:val="single" w:color="auto" w:sz="4" w:space="0"/>
            </w:tcBorders>
            <w:vAlign w:val="center"/>
          </w:tcPr>
          <w:p>
            <w:pPr>
              <w:ind w:left="36" w:leftChars="17" w:right="36" w:rightChars="1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w:t>
            </w:r>
            <w:r>
              <w:rPr>
                <w:rFonts w:hint="eastAsia" w:ascii="宋体" w:hAnsi="宋体"/>
                <w:color w:val="000000" w:themeColor="text1"/>
                <w:spacing w:val="-2"/>
                <w:szCs w:val="21"/>
                <w:highlight w:val="none"/>
                <w14:textFill>
                  <w14:solidFill>
                    <w14:schemeClr w14:val="tx1"/>
                  </w14:solidFill>
                </w14:textFill>
              </w:rPr>
              <w:t>要</w:t>
            </w:r>
            <w:r>
              <w:rPr>
                <w:rFonts w:hint="eastAsia" w:ascii="宋体" w:hAnsi="宋体"/>
                <w:color w:val="000000" w:themeColor="text1"/>
                <w:szCs w:val="21"/>
                <w:highlight w:val="none"/>
                <w14:textFill>
                  <w14:solidFill>
                    <w14:schemeClr w14:val="tx1"/>
                  </w14:solidFill>
                </w14:textFill>
              </w:rPr>
              <w:t>求</w:t>
            </w:r>
            <w:r>
              <w:rPr>
                <w:rFonts w:hint="eastAsia" w:ascii="宋体" w:hAnsi="宋体"/>
                <w:color w:val="000000" w:themeColor="text1"/>
                <w:spacing w:val="-2"/>
                <w:szCs w:val="21"/>
                <w:highlight w:val="none"/>
                <w14:textFill>
                  <w14:solidFill>
                    <w14:schemeClr w14:val="tx1"/>
                  </w14:solidFill>
                </w14:textFill>
              </w:rPr>
              <w:t>投</w:t>
            </w:r>
            <w:r>
              <w:rPr>
                <w:rFonts w:hint="eastAsia" w:ascii="宋体" w:hAnsi="宋体"/>
                <w:color w:val="000000" w:themeColor="text1"/>
                <w:szCs w:val="21"/>
                <w:highlight w:val="none"/>
                <w14:textFill>
                  <w14:solidFill>
                    <w14:schemeClr w14:val="tx1"/>
                  </w14:solidFill>
                </w14:textFill>
              </w:rPr>
              <w:t>标</w:t>
            </w:r>
            <w:r>
              <w:rPr>
                <w:rFonts w:hint="eastAsia" w:ascii="宋体" w:hAnsi="宋体"/>
                <w:color w:val="000000" w:themeColor="text1"/>
                <w:spacing w:val="-2"/>
                <w:szCs w:val="21"/>
                <w:highlight w:val="none"/>
                <w14:textFill>
                  <w14:solidFill>
                    <w14:schemeClr w14:val="tx1"/>
                  </w14:solidFill>
                </w14:textFill>
              </w:rPr>
              <w:t>人</w:t>
            </w:r>
            <w:r>
              <w:rPr>
                <w:rFonts w:hint="eastAsia" w:ascii="宋体" w:hAnsi="宋体"/>
                <w:color w:val="000000" w:themeColor="text1"/>
                <w:szCs w:val="21"/>
                <w:highlight w:val="none"/>
                <w14:textFill>
                  <w14:solidFill>
                    <w14:schemeClr w14:val="tx1"/>
                  </w14:solidFill>
                </w14:textFill>
              </w:rPr>
              <w:t>递</w:t>
            </w:r>
            <w:r>
              <w:rPr>
                <w:rFonts w:hint="eastAsia" w:ascii="宋体" w:hAnsi="宋体"/>
                <w:color w:val="000000" w:themeColor="text1"/>
                <w:spacing w:val="-2"/>
                <w:szCs w:val="21"/>
                <w:highlight w:val="none"/>
                <w14:textFill>
                  <w14:solidFill>
                    <w14:schemeClr w14:val="tx1"/>
                  </w14:solidFill>
                </w14:textFill>
              </w:rPr>
              <w:t>交</w:t>
            </w:r>
            <w:r>
              <w:rPr>
                <w:rFonts w:hint="eastAsia" w:ascii="宋体" w:hAnsi="宋体"/>
                <w:color w:val="000000" w:themeColor="text1"/>
                <w:szCs w:val="21"/>
                <w:highlight w:val="none"/>
                <w14:textFill>
                  <w14:solidFill>
                    <w14:schemeClr w14:val="tx1"/>
                  </w14:solidFill>
                </w14:textFill>
              </w:rPr>
              <w:t>投</w:t>
            </w:r>
            <w:r>
              <w:rPr>
                <w:rFonts w:hint="eastAsia" w:ascii="宋体" w:hAnsi="宋体"/>
                <w:color w:val="000000" w:themeColor="text1"/>
                <w:spacing w:val="-2"/>
                <w:szCs w:val="21"/>
                <w:highlight w:val="none"/>
                <w14:textFill>
                  <w14:solidFill>
                    <w14:schemeClr w14:val="tx1"/>
                  </w14:solidFill>
                </w14:textFill>
              </w:rPr>
              <w:t>标</w:t>
            </w:r>
            <w:r>
              <w:rPr>
                <w:rFonts w:hint="eastAsia" w:ascii="宋体" w:hAnsi="宋体"/>
                <w:color w:val="000000" w:themeColor="text1"/>
                <w:szCs w:val="21"/>
                <w:highlight w:val="none"/>
                <w14:textFill>
                  <w14:solidFill>
                    <w14:schemeClr w14:val="tx1"/>
                  </w14:solidFill>
                </w14:textFill>
              </w:rPr>
              <w:t>保证</w:t>
            </w:r>
            <w:r>
              <w:rPr>
                <w:rFonts w:hint="eastAsia" w:ascii="宋体" w:hAnsi="宋体"/>
                <w:color w:val="000000" w:themeColor="text1"/>
                <w:spacing w:val="-2"/>
                <w:szCs w:val="21"/>
                <w:highlight w:val="none"/>
                <w14:textFill>
                  <w14:solidFill>
                    <w14:schemeClr w14:val="tx1"/>
                  </w14:solidFill>
                </w14:textFill>
              </w:rPr>
              <w:t>金</w:t>
            </w:r>
            <w:r>
              <w:rPr>
                <w:rFonts w:hint="eastAsia" w:ascii="宋体" w:hAnsi="宋体"/>
                <w:color w:val="000000" w:themeColor="text1"/>
                <w:szCs w:val="21"/>
                <w:highlight w:val="none"/>
                <w14:textFill>
                  <w14:solidFill>
                    <w14:schemeClr w14:val="tx1"/>
                  </w14:solidFill>
                </w14:textFill>
              </w:rPr>
              <w:t>：</w:t>
            </w:r>
          </w:p>
          <w:p>
            <w:pPr>
              <w:ind w:left="36" w:leftChars="17" w:right="36" w:rightChars="17"/>
              <w:rPr>
                <w:rFonts w:ascii="宋体" w:hAnsi="宋体" w:cs="宋体"/>
                <w:bCs/>
                <w:color w:val="000000" w:themeColor="text1"/>
                <w:szCs w:val="21"/>
                <w:highlight w:val="none"/>
                <w:u w:val="single"/>
                <w14:textFill>
                  <w14:solidFill>
                    <w14:schemeClr w14:val="tx1"/>
                  </w14:solidFill>
                </w14:textFill>
              </w:rPr>
            </w:pPr>
            <w:r>
              <w:rPr>
                <w:rFonts w:hint="eastAsia" w:ascii="宋体" w:hAnsi="宋体"/>
                <w:color w:val="000000" w:themeColor="text1"/>
                <w:spacing w:val="-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pacing w:val="-2"/>
                <w:szCs w:val="21"/>
                <w:highlight w:val="none"/>
                <w14:textFill>
                  <w14:solidFill>
                    <w14:schemeClr w14:val="tx1"/>
                  </w14:solidFill>
                </w14:textFill>
              </w:rPr>
              <w:t>投</w:t>
            </w:r>
            <w:r>
              <w:rPr>
                <w:rFonts w:hint="eastAsia" w:ascii="宋体" w:hAnsi="宋体"/>
                <w:color w:val="000000" w:themeColor="text1"/>
                <w:szCs w:val="21"/>
                <w:highlight w:val="none"/>
                <w14:textFill>
                  <w14:solidFill>
                    <w14:schemeClr w14:val="tx1"/>
                  </w14:solidFill>
                </w14:textFill>
              </w:rPr>
              <w:t>标</w:t>
            </w:r>
            <w:r>
              <w:rPr>
                <w:rFonts w:hint="eastAsia" w:ascii="宋体" w:hAnsi="宋体"/>
                <w:color w:val="000000" w:themeColor="text1"/>
                <w:spacing w:val="-2"/>
                <w:szCs w:val="21"/>
                <w:highlight w:val="none"/>
                <w14:textFill>
                  <w14:solidFill>
                    <w14:schemeClr w14:val="tx1"/>
                  </w14:solidFill>
                </w14:textFill>
              </w:rPr>
              <w:t>保</w:t>
            </w:r>
            <w:r>
              <w:rPr>
                <w:rFonts w:hint="eastAsia" w:ascii="宋体" w:hAnsi="宋体"/>
                <w:color w:val="000000" w:themeColor="text1"/>
                <w:szCs w:val="21"/>
                <w:highlight w:val="none"/>
                <w14:textFill>
                  <w14:solidFill>
                    <w14:schemeClr w14:val="tx1"/>
                  </w14:solidFill>
                </w14:textFill>
              </w:rPr>
              <w:t>证</w:t>
            </w:r>
            <w:r>
              <w:rPr>
                <w:rFonts w:hint="eastAsia" w:ascii="宋体" w:hAnsi="宋体"/>
                <w:color w:val="000000" w:themeColor="text1"/>
                <w:spacing w:val="-2"/>
                <w:szCs w:val="21"/>
                <w:highlight w:val="none"/>
                <w14:textFill>
                  <w14:solidFill>
                    <w14:schemeClr w14:val="tx1"/>
                  </w14:solidFill>
                </w14:textFill>
              </w:rPr>
              <w:t>金</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pacing w:val="-2"/>
                <w:szCs w:val="21"/>
                <w:highlight w:val="none"/>
                <w14:textFill>
                  <w14:solidFill>
                    <w14:schemeClr w14:val="tx1"/>
                  </w14:solidFill>
                </w14:textFill>
              </w:rPr>
              <w:t>形</w:t>
            </w:r>
            <w:r>
              <w:rPr>
                <w:rFonts w:hint="eastAsia" w:ascii="宋体" w:hAnsi="宋体"/>
                <w:color w:val="000000" w:themeColor="text1"/>
                <w:szCs w:val="21"/>
                <w:highlight w:val="none"/>
                <w14:textFill>
                  <w14:solidFill>
                    <w14:schemeClr w14:val="tx1"/>
                  </w14:solidFill>
                </w14:textFill>
              </w:rPr>
              <w:t>式：</w:t>
            </w:r>
          </w:p>
          <w:p>
            <w:pPr>
              <w:ind w:left="36" w:leftChars="17" w:right="36" w:rightChars="17"/>
              <w:rPr>
                <w:rFonts w:hint="eastAsia" w:ascii="宋体" w:hAnsi="宋体"/>
                <w:b/>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w:t>
            </w:r>
            <w:r>
              <w:rPr>
                <w:rFonts w:hint="eastAsia" w:ascii="宋体" w:hAnsi="宋体"/>
                <w:color w:val="000000" w:themeColor="text1"/>
                <w:spacing w:val="-2"/>
                <w:szCs w:val="21"/>
                <w:highlight w:val="none"/>
                <w14:textFill>
                  <w14:solidFill>
                    <w14:schemeClr w14:val="tx1"/>
                  </w14:solidFill>
                </w14:textFill>
              </w:rPr>
              <w:t>保</w:t>
            </w:r>
            <w:r>
              <w:rPr>
                <w:rFonts w:hint="eastAsia" w:ascii="宋体" w:hAnsi="宋体"/>
                <w:color w:val="000000" w:themeColor="text1"/>
                <w:szCs w:val="21"/>
                <w:highlight w:val="none"/>
                <w14:textFill>
                  <w14:solidFill>
                    <w14:schemeClr w14:val="tx1"/>
                  </w14:solidFill>
                </w14:textFill>
              </w:rPr>
              <w:t>证</w:t>
            </w:r>
            <w:r>
              <w:rPr>
                <w:rFonts w:hint="eastAsia" w:ascii="宋体" w:hAnsi="宋体"/>
                <w:color w:val="000000" w:themeColor="text1"/>
                <w:spacing w:val="-2"/>
                <w:szCs w:val="21"/>
                <w:highlight w:val="none"/>
                <w14:textFill>
                  <w14:solidFill>
                    <w14:schemeClr w14:val="tx1"/>
                  </w14:solidFill>
                </w14:textFill>
              </w:rPr>
              <w:t>金</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pacing w:val="-2"/>
                <w:szCs w:val="21"/>
                <w:highlight w:val="none"/>
                <w14:textFill>
                  <w14:solidFill>
                    <w14:schemeClr w14:val="tx1"/>
                  </w14:solidFill>
                </w14:textFill>
              </w:rPr>
              <w:t>金</w:t>
            </w:r>
            <w:r>
              <w:rPr>
                <w:rFonts w:hint="eastAsia" w:ascii="宋体" w:hAnsi="宋体"/>
                <w:color w:val="000000" w:themeColor="text1"/>
                <w:szCs w:val="21"/>
                <w:highlight w:val="none"/>
                <w14:textFill>
                  <w14:solidFill>
                    <w14:schemeClr w14:val="tx1"/>
                  </w14:solidFill>
                </w14:textFill>
              </w:rPr>
              <w:t>额：/</w:t>
            </w:r>
          </w:p>
          <w:p>
            <w:pPr>
              <w:pStyle w:val="18"/>
              <w:topLinePunct/>
              <w:snapToGrid w:val="0"/>
              <w:rPr>
                <w:rFonts w:hint="eastAsia" w:hAnsi="宋体" w:cs="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■不要求</w:t>
            </w:r>
          </w:p>
        </w:tc>
      </w:tr>
      <w:tr>
        <w:tblPrEx>
          <w:tblCellMar>
            <w:top w:w="0" w:type="dxa"/>
            <w:left w:w="108" w:type="dxa"/>
            <w:bottom w:w="0" w:type="dxa"/>
            <w:right w:w="108" w:type="dxa"/>
          </w:tblCellMar>
        </w:tblPrEx>
        <w:trPr>
          <w:trHeight w:val="579"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3.4.4</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其他可以不予退还投标保证金的情形</w:t>
            </w:r>
          </w:p>
        </w:tc>
        <w:tc>
          <w:tcPr>
            <w:tcW w:w="586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r>
      <w:tr>
        <w:tblPrEx>
          <w:tblCellMar>
            <w:top w:w="0" w:type="dxa"/>
            <w:left w:w="108" w:type="dxa"/>
            <w:bottom w:w="0" w:type="dxa"/>
            <w:right w:w="108" w:type="dxa"/>
          </w:tblCellMar>
        </w:tblPrEx>
        <w:trPr>
          <w:trHeight w:val="672"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3.5</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资格审查资料的特殊要求</w:t>
            </w:r>
          </w:p>
        </w:tc>
        <w:tc>
          <w:tcPr>
            <w:tcW w:w="5865" w:type="dxa"/>
            <w:tcBorders>
              <w:top w:val="single" w:color="auto" w:sz="4" w:space="0"/>
              <w:left w:val="single" w:color="auto" w:sz="4" w:space="0"/>
              <w:bottom w:val="single" w:color="auto" w:sz="4" w:space="0"/>
              <w:right w:val="single" w:color="auto" w:sz="4" w:space="0"/>
            </w:tcBorders>
            <w:vAlign w:val="center"/>
          </w:tcPr>
          <w:p>
            <w:pPr>
              <w:pStyle w:val="18"/>
              <w:topLinePunc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无</w:t>
            </w:r>
          </w:p>
          <w:p>
            <w:pPr>
              <w:pStyle w:val="18"/>
              <w:topLinePunct/>
              <w:rPr>
                <w:rFonts w:hint="eastAsia" w:hAnsi="宋体" w:eastAsia="宋体"/>
                <w:color w:val="000000" w:themeColor="text1"/>
                <w:sz w:val="21"/>
                <w:szCs w:val="21"/>
                <w:highlight w:val="none"/>
                <w:lang w:val="en-US"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有，具体要求：</w:t>
            </w:r>
            <w:r>
              <w:rPr>
                <w:rFonts w:hint="eastAsia" w:hAnsi="宋体"/>
                <w:color w:val="000000" w:themeColor="text1"/>
                <w:sz w:val="21"/>
                <w:szCs w:val="21"/>
                <w:highlight w:val="none"/>
                <w:lang w:val="en-US" w:eastAsia="zh-CN"/>
                <w14:textFill>
                  <w14:solidFill>
                    <w14:schemeClr w14:val="tx1"/>
                  </w14:solidFill>
                </w14:textFill>
              </w:rPr>
              <w:t>/</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3.5.2</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近年财务状况的年份要求</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3.5.3</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近年完成的类似项目情况</w:t>
            </w:r>
            <w:r>
              <w:rPr>
                <w:rFonts w:hint="eastAsia" w:ascii="宋体" w:hAnsi="宋体"/>
                <w:color w:val="000000" w:themeColor="text1"/>
                <w:szCs w:val="21"/>
                <w:highlight w:val="none"/>
                <w14:textFill>
                  <w14:solidFill>
                    <w14:schemeClr w14:val="tx1"/>
                  </w14:solidFill>
                </w14:textFill>
              </w:rPr>
              <w:t>的</w:t>
            </w:r>
            <w:r>
              <w:rPr>
                <w:rFonts w:ascii="宋体" w:hAnsi="宋体"/>
                <w:color w:val="000000" w:themeColor="text1"/>
                <w:szCs w:val="21"/>
                <w:highlight w:val="none"/>
                <w14:textFill>
                  <w14:solidFill>
                    <w14:schemeClr w14:val="tx1"/>
                  </w14:solidFill>
                </w14:textFill>
              </w:rPr>
              <w:t>时间要求</w:t>
            </w:r>
          </w:p>
        </w:tc>
        <w:tc>
          <w:tcPr>
            <w:tcW w:w="58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3.5.5</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近年发生的诉讼及仲裁情况的时间要求</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3.6.1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是否允许递交备选投标方案</w:t>
            </w:r>
          </w:p>
        </w:tc>
        <w:tc>
          <w:tcPr>
            <w:tcW w:w="5865" w:type="dxa"/>
            <w:tcBorders>
              <w:top w:val="single" w:color="auto" w:sz="4" w:space="0"/>
              <w:left w:val="single" w:color="auto" w:sz="4" w:space="0"/>
              <w:bottom w:val="single" w:color="auto" w:sz="4" w:space="0"/>
              <w:right w:val="single" w:color="auto" w:sz="4" w:space="0"/>
            </w:tcBorders>
            <w:vAlign w:val="center"/>
          </w:tcPr>
          <w:p>
            <w:pPr>
              <w:pStyle w:val="18"/>
              <w:topLinePunc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不允许</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3.7.3</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投标文件所附证书证件要求</w:t>
            </w:r>
          </w:p>
        </w:tc>
        <w:tc>
          <w:tcPr>
            <w:tcW w:w="5865"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证书证件需为清晰扫描件，并采用单位数字证书，按照招标文件要求在相应位置用单位数字证书加盖电子印章。</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3.7.3</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投标文件签字或盖章要求</w:t>
            </w:r>
          </w:p>
        </w:tc>
        <w:tc>
          <w:tcPr>
            <w:tcW w:w="5865" w:type="dxa"/>
            <w:tcBorders>
              <w:top w:val="single" w:color="auto" w:sz="4" w:space="0"/>
              <w:left w:val="single" w:color="auto" w:sz="4" w:space="0"/>
              <w:bottom w:val="single" w:color="auto" w:sz="4" w:space="0"/>
              <w:right w:val="single" w:color="auto" w:sz="4" w:space="0"/>
            </w:tcBorders>
          </w:tcPr>
          <w:p>
            <w:pPr>
              <w:jc w:val="left"/>
              <w:rPr>
                <w:rFonts w:hint="eastAsia" w:ascii="宋体" w:hAnsi="宋体"/>
                <w:b/>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投标文件全部采用电子文档，投标文件所附证书证件均为原件彩色扫描件，并采用单位数字证书，按招标文件要求在相应位置加盖电子印章。投标文件中需个人签字或盖章的，</w:t>
            </w:r>
            <w:r>
              <w:rPr>
                <w:rFonts w:hint="eastAsia" w:ascii="宋体" w:hAnsi="宋体"/>
                <w:color w:val="000000" w:themeColor="text1"/>
                <w:szCs w:val="21"/>
                <w:highlight w:val="none"/>
                <w:u w:val="single"/>
                <w14:textFill>
                  <w14:solidFill>
                    <w14:schemeClr w14:val="tx1"/>
                  </w14:solidFill>
                </w14:textFill>
              </w:rPr>
              <w:t>应加盖个人电子印章或在线下完成后扫描上传</w:t>
            </w:r>
            <w:r>
              <w:rPr>
                <w:rFonts w:hint="eastAsia" w:ascii="宋体" w:hAnsi="宋体"/>
                <w:color w:val="000000" w:themeColor="text1"/>
                <w:szCs w:val="21"/>
                <w:highlight w:val="none"/>
                <w14:textFill>
                  <w14:solidFill>
                    <w14:schemeClr w14:val="tx1"/>
                  </w14:solidFill>
                </w14:textFill>
              </w:rPr>
              <w:t>。</w:t>
            </w:r>
          </w:p>
          <w:p>
            <w:pPr>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具体操作详见</w:t>
            </w:r>
            <w:r>
              <w:rPr>
                <w:rFonts w:hint="eastAsia" w:ascii="Times New Roman" w:hAnsi="宋体"/>
                <w:color w:val="000000" w:themeColor="text1"/>
                <w:szCs w:val="21"/>
                <w:highlight w:val="none"/>
                <w:u w:val="single"/>
                <w14:textFill>
                  <w14:solidFill>
                    <w14:schemeClr w14:val="tx1"/>
                  </w14:solidFill>
                </w14:textFill>
              </w:rPr>
              <w:t>广州交易集团有限公司（广州公共资源交易中心）网站最新发布的操作指引。</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4.1.1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投标文件加密要求</w:t>
            </w:r>
          </w:p>
        </w:tc>
        <w:tc>
          <w:tcPr>
            <w:tcW w:w="586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网上递交的电子投标文件须进行加密。具体操作详见</w:t>
            </w:r>
            <w:r>
              <w:rPr>
                <w:rFonts w:hint="eastAsia" w:ascii="Times New Roman" w:hAnsi="宋体"/>
                <w:color w:val="000000" w:themeColor="text1"/>
                <w:szCs w:val="21"/>
                <w:highlight w:val="none"/>
                <w:u w:val="single"/>
                <w14:textFill>
                  <w14:solidFill>
                    <w14:schemeClr w14:val="tx1"/>
                  </w14:solidFill>
                </w14:textFill>
              </w:rPr>
              <w:t>广州交易集团有限公司（广州公共资源交易中心）网站最新发布的操作指引。</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4.1.2</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封套上应载明的信息</w:t>
            </w:r>
          </w:p>
          <w:p>
            <w:pPr>
              <w:jc w:val="center"/>
              <w:rPr>
                <w:rFonts w:ascii="宋体" w:hAnsi="宋体"/>
                <w:color w:val="000000" w:themeColor="text1"/>
                <w:szCs w:val="21"/>
                <w:highlight w:val="none"/>
                <w:shd w:val="clear" w:color="FFFFFF" w:fill="D9D9D9"/>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（适用于提交备用光盘的情况）</w:t>
            </w:r>
          </w:p>
        </w:tc>
        <w:tc>
          <w:tcPr>
            <w:tcW w:w="5865" w:type="dxa"/>
            <w:tcBorders>
              <w:top w:val="single" w:color="auto" w:sz="4" w:space="0"/>
              <w:left w:val="single" w:color="auto" w:sz="4" w:space="0"/>
              <w:bottom w:val="single" w:color="auto" w:sz="4" w:space="0"/>
              <w:right w:val="single" w:color="auto" w:sz="4" w:space="0"/>
            </w:tcBorders>
            <w:vAlign w:val="center"/>
          </w:tcPr>
          <w:p>
            <w:pPr>
              <w:topLinePunct/>
              <w:snapToGrid w:val="0"/>
              <w:ind w:right="174" w:rightChars="83"/>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如有提交投标文件光盘备用，封套上应注明如下信息：</w:t>
            </w:r>
          </w:p>
          <w:p>
            <w:pPr>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招标人名称：</w:t>
            </w:r>
            <w:r>
              <w:rPr>
                <w:rFonts w:ascii="宋体" w:hAnsi="宋体"/>
                <w:color w:val="000000" w:themeColor="text1"/>
                <w:szCs w:val="21"/>
                <w:highlight w:val="none"/>
                <w:u w:val="single"/>
                <w14:textFill>
                  <w14:solidFill>
                    <w14:schemeClr w14:val="tx1"/>
                  </w14:solidFill>
                </w14:textFill>
              </w:rPr>
              <w:t>广州程锦房地产开发有限公司</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eastAsia="zh-CN"/>
                <w14:textFill>
                  <w14:solidFill>
                    <w14:schemeClr w14:val="tx1"/>
                  </w14:solidFill>
                </w14:textFill>
              </w:rPr>
              <w:t>天河智慧城核心区AT0305119地块建设工程项目监理</w:t>
            </w:r>
            <w:r>
              <w:rPr>
                <w:rFonts w:hint="eastAsia" w:ascii="宋体" w:hAnsi="宋体"/>
                <w:color w:val="000000" w:themeColor="text1"/>
                <w:szCs w:val="21"/>
                <w:highlight w:val="none"/>
                <w14:textFill>
                  <w14:solidFill>
                    <w14:schemeClr w14:val="tx1"/>
                  </w14:solidFill>
                </w14:textFill>
              </w:rPr>
              <w:t>投标文件备用光盘</w:t>
            </w:r>
          </w:p>
          <w:p>
            <w:pPr>
              <w:pStyle w:val="18"/>
              <w:topLinePunc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招标项目编号：</w:t>
            </w:r>
            <w:r>
              <w:rPr>
                <w:rFonts w:hAnsi="宋体"/>
                <w:color w:val="000000" w:themeColor="text1"/>
                <w:sz w:val="21"/>
                <w:szCs w:val="21"/>
                <w:highlight w:val="none"/>
                <w:u w:val="single"/>
                <w14:textFill>
                  <w14:solidFill>
                    <w14:schemeClr w14:val="tx1"/>
                  </w14:solidFill>
                </w14:textFill>
              </w:rPr>
              <w:t xml:space="preserve">             </w:t>
            </w:r>
          </w:p>
          <w:p>
            <w:pPr>
              <w:pStyle w:val="18"/>
              <w:topLinePunc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在</w:t>
            </w:r>
            <w:r>
              <w:rPr>
                <w:rFonts w:hAnsi="宋体"/>
                <w:color w:val="000000" w:themeColor="text1"/>
                <w:sz w:val="21"/>
                <w:szCs w:val="21"/>
                <w:highlight w:val="none"/>
                <w:u w:val="singl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年</w:t>
            </w:r>
            <w:r>
              <w:rPr>
                <w:rFonts w:hAnsi="宋体"/>
                <w:color w:val="000000" w:themeColor="text1"/>
                <w:sz w:val="21"/>
                <w:szCs w:val="21"/>
                <w:highlight w:val="none"/>
                <w:u w:val="singl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月</w:t>
            </w:r>
            <w:r>
              <w:rPr>
                <w:rFonts w:hAnsi="宋体"/>
                <w:color w:val="000000" w:themeColor="text1"/>
                <w:sz w:val="21"/>
                <w:szCs w:val="21"/>
                <w:highlight w:val="none"/>
                <w:u w:val="singl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日</w:t>
            </w:r>
            <w:r>
              <w:rPr>
                <w:rFonts w:hAnsi="宋体"/>
                <w:color w:val="000000" w:themeColor="text1"/>
                <w:sz w:val="21"/>
                <w:szCs w:val="21"/>
                <w:highlight w:val="none"/>
                <w:u w:val="singl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时</w:t>
            </w:r>
            <w:r>
              <w:rPr>
                <w:rFonts w:hAnsi="宋体"/>
                <w:color w:val="000000" w:themeColor="text1"/>
                <w:sz w:val="21"/>
                <w:szCs w:val="21"/>
                <w:highlight w:val="none"/>
                <w:u w:val="single"/>
                <w14:textFill>
                  <w14:solidFill>
                    <w14:schemeClr w14:val="tx1"/>
                  </w14:solidFill>
                </w14:textFill>
              </w:rPr>
              <w:t xml:space="preserve">    </w:t>
            </w:r>
            <w:r>
              <w:rPr>
                <w:rFonts w:hint="eastAsia" w:hAnsi="宋体"/>
                <w:color w:val="000000" w:themeColor="text1"/>
                <w:sz w:val="21"/>
                <w:szCs w:val="21"/>
                <w:highlight w:val="none"/>
                <w14:textFill>
                  <w14:solidFill>
                    <w14:schemeClr w14:val="tx1"/>
                  </w14:solidFill>
                </w14:textFill>
              </w:rPr>
              <w:t>分前不得开启（填入开标时间）</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4.2.1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投标截止时间</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详见招标公告</w:t>
            </w:r>
            <w:r>
              <w:rPr>
                <w:rFonts w:hint="eastAsia" w:ascii="宋体" w:hAnsi="宋体" w:cs="宋体"/>
                <w:color w:val="000000" w:themeColor="text1"/>
                <w:szCs w:val="21"/>
                <w:highlight w:val="none"/>
                <w:u w:val="single"/>
                <w14:textFill>
                  <w14:solidFill>
                    <w14:schemeClr w14:val="tx1"/>
                  </w14:solidFill>
                </w14:textFill>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4.2.2</w:t>
            </w:r>
          </w:p>
        </w:tc>
        <w:tc>
          <w:tcPr>
            <w:tcW w:w="22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递交投标文件地点</w:t>
            </w:r>
          </w:p>
        </w:tc>
        <w:tc>
          <w:tcPr>
            <w:tcW w:w="5865"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1.递交方式：网上递交投标文件。</w:t>
            </w:r>
          </w:p>
          <w:p>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2.地点：</w:t>
            </w:r>
            <w:r>
              <w:rPr>
                <w:rFonts w:hint="eastAsia" w:ascii="宋体" w:hAnsi="宋体"/>
                <w:color w:val="000000" w:themeColor="text1"/>
                <w:szCs w:val="21"/>
                <w:highlight w:val="none"/>
                <w:u w:val="single"/>
                <w14:textFill>
                  <w14:solidFill>
                    <w14:schemeClr w14:val="tx1"/>
                  </w14:solidFill>
                </w14:textFill>
              </w:rPr>
              <w:t>广州交易集团有限公司（广州公共资源交易中心）</w:t>
            </w:r>
            <w:r>
              <w:rPr>
                <w:rFonts w:hint="eastAsia" w:ascii="宋体" w:hAnsi="宋体" w:cs="宋体"/>
                <w:color w:val="000000" w:themeColor="text1"/>
                <w:szCs w:val="21"/>
                <w:highlight w:val="none"/>
                <w:u w:val="single"/>
                <w14:textFill>
                  <w14:solidFill>
                    <w14:schemeClr w14:val="tx1"/>
                  </w14:solidFill>
                </w14:textFill>
              </w:rPr>
              <w:t xml:space="preserve">网站。 </w:t>
            </w:r>
          </w:p>
          <w:p>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3.上述时间及地点是否有改变， 请密切留意招标答疑纪要的相关信息。</w:t>
            </w:r>
          </w:p>
        </w:tc>
      </w:tr>
      <w:tr>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4.2.3</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投标文件是否退还</w:t>
            </w:r>
          </w:p>
        </w:tc>
        <w:tc>
          <w:tcPr>
            <w:tcW w:w="5865" w:type="dxa"/>
            <w:tcBorders>
              <w:top w:val="single" w:color="auto" w:sz="4" w:space="0"/>
              <w:left w:val="single" w:color="auto" w:sz="4" w:space="0"/>
              <w:bottom w:val="single" w:color="auto" w:sz="4" w:space="0"/>
              <w:right w:val="single" w:color="auto" w:sz="4" w:space="0"/>
            </w:tcBorders>
            <w:vAlign w:val="center"/>
          </w:tcPr>
          <w:p>
            <w:pPr>
              <w:pStyle w:val="18"/>
              <w:topLinePunc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否</w:t>
            </w:r>
          </w:p>
          <w:p>
            <w:pPr>
              <w:pStyle w:val="18"/>
              <w:topLinePunct/>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是，退还时间：</w:t>
            </w:r>
            <w:r>
              <w:rPr>
                <w:rFonts w:hint="eastAsia" w:hAnsi="宋体"/>
                <w:color w:val="000000" w:themeColor="text1"/>
                <w:sz w:val="21"/>
                <w:szCs w:val="21"/>
                <w:highlight w:val="none"/>
                <w14:textFill>
                  <w14:solidFill>
                    <w14:schemeClr w14:val="tx1"/>
                  </w14:solidFill>
                </w14:textFill>
              </w:rPr>
              <w:t>/</w:t>
            </w:r>
          </w:p>
        </w:tc>
      </w:tr>
      <w:tr>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开标时间和地点</w:t>
            </w:r>
          </w:p>
        </w:tc>
        <w:tc>
          <w:tcPr>
            <w:tcW w:w="586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本电子招投标项目在本章4.2.1项规定的投标截止时间（开标时间），在广州交易集团有限公司（广州公共资源交易中心）通过电子招标投标交易平台公开开标，并邀请所有投标人的法定代表人或其委托代理人准时参加。</w:t>
            </w:r>
            <w:r>
              <w:rPr>
                <w:rFonts w:hint="eastAsia" w:ascii="宋体" w:hAnsi="宋体"/>
                <w:color w:val="000000" w:themeColor="text1"/>
                <w:kern w:val="0"/>
                <w:szCs w:val="21"/>
                <w:highlight w:val="none"/>
                <w:u w:val="single"/>
                <w14:textFill>
                  <w14:solidFill>
                    <w14:schemeClr w14:val="tx1"/>
                  </w14:solidFill>
                </w14:textFill>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rPr>
                <w:rFonts w:ascii="宋体" w:hAnsi="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具体时间、地点可以到广州交易集团有限公司（广州公共资源交易中心）网站的项目查询(日程安排、答疑纪要)中输入本项目编号或项目名称进行查询。</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2</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电子招投标开标程序</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5.2.1</w:t>
            </w:r>
            <w:r>
              <w:rPr>
                <w:rFonts w:hint="eastAsia" w:ascii="宋体" w:hAnsi="宋体"/>
                <w:color w:val="000000" w:themeColor="text1"/>
                <w:szCs w:val="21"/>
                <w:highlight w:val="none"/>
                <w14:textFill>
                  <w14:solidFill>
                    <w14:schemeClr w14:val="tx1"/>
                  </w14:solidFill>
                </w14:textFill>
              </w:rPr>
              <w:t>主持人按下列程序进行开标：</w:t>
            </w:r>
          </w:p>
          <w:p>
            <w:pPr>
              <w:snapToGrid w:val="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（1）宣布开标纪律；</w:t>
            </w:r>
          </w:p>
          <w:p>
            <w:pPr>
              <w:snapToGrid w:val="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（2）投标人通过电子招标投标交易平台对已递交的电子投标文件进行解密；</w:t>
            </w:r>
          </w:p>
          <w:p>
            <w:pPr>
              <w:snapToGrid w:val="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（3）投标人完成解密后，再由招标人或招标代理机构进行解密；</w:t>
            </w:r>
          </w:p>
          <w:p>
            <w:pPr>
              <w:snapToGrid w:val="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（4）解密完成后，公布招标项目名称、投标人名称、投标报价、监理服务期限及其他内容，并记录在案；</w:t>
            </w:r>
          </w:p>
          <w:p>
            <w:pPr>
              <w:snapToGrid w:val="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（5）投标人代表、招标人代表、监标人、记录人等有关人员在开标记录上签字确认；若有关人员不签字的，不影响开标程序；</w:t>
            </w:r>
          </w:p>
          <w:p>
            <w:pPr>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（6）开标结束。</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5.2.2</w:t>
            </w:r>
            <w:r>
              <w:rPr>
                <w:rFonts w:hint="eastAsia" w:ascii="宋体" w:hAnsi="宋体"/>
                <w:color w:val="000000" w:themeColor="text1"/>
                <w:szCs w:val="21"/>
                <w:highlight w:val="none"/>
                <w14:textFill>
                  <w14:solidFill>
                    <w14:schemeClr w14:val="tx1"/>
                  </w14:solidFill>
                </w14:textFill>
              </w:rPr>
              <w:t>投标截止时间前未完成投标文件传输的或因投标人之外的原因（如：网络瘫痪、服务器损坏、交易系统故障短期无法恢复等因素）造成投标文件未解密的，视为投标人撤回投标文件。因投标人原因造成投标文件未解密的或未在投标截止时间后</w:t>
            </w:r>
            <w:r>
              <w:rPr>
                <w:rFonts w:hint="eastAsia" w:ascii="宋体" w:hAnsi="宋体"/>
                <w:b/>
                <w:color w:val="000000" w:themeColor="text1"/>
                <w:szCs w:val="21"/>
                <w:highlight w:val="none"/>
                <w:u w:val="single"/>
                <w14:textFill>
                  <w14:solidFill>
                    <w14:schemeClr w14:val="tx1"/>
                  </w14:solidFill>
                </w14:textFill>
              </w:rPr>
              <w:t>一小时内</w:t>
            </w:r>
            <w:r>
              <w:rPr>
                <w:rFonts w:hint="eastAsia" w:ascii="宋体" w:hAnsi="宋体"/>
                <w:color w:val="000000" w:themeColor="text1"/>
                <w:szCs w:val="21"/>
                <w:highlight w:val="none"/>
                <w14:textFill>
                  <w14:solidFill>
                    <w14:schemeClr w14:val="tx1"/>
                  </w14:solidFill>
                </w14:textFill>
              </w:rPr>
              <w:t>解密的且未提交备用光盘（或U盘）的，视为撤销其投标文件。</w:t>
            </w:r>
          </w:p>
          <w:p>
            <w:pPr>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5.2.3开标时，出现下列情形之一的，不参与资格审查和评标：</w:t>
            </w:r>
          </w:p>
          <w:p>
            <w:pPr>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（1）未成功递交投标文件的。</w:t>
            </w:r>
          </w:p>
          <w:p>
            <w:pPr>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（2）因投标人原因造成投标文件未解密的。</w:t>
            </w:r>
          </w:p>
          <w:p>
            <w:pPr>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5.2.4开标时，两个（含两个）以上的投标人加密打包投标文件电脑机器特征码一致的，不参与下一程序，并由评标委员会否决其投标。</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6.1.1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评标委员会的组建</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由招标人依法组建。</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6.3.2</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评标委员会推荐中标候选人的人数</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hint="eastAsia"/>
                <w:color w:val="000000" w:themeColor="text1"/>
                <w:szCs w:val="21"/>
                <w:highlight w:val="none"/>
                <w:u w:val="single"/>
                <w14:textFill>
                  <w14:solidFill>
                    <w14:schemeClr w14:val="tx1"/>
                  </w14:solidFill>
                </w14:textFill>
              </w:rPr>
              <w:t>所有通过初步评审</w:t>
            </w:r>
            <w:r>
              <w:rPr>
                <w:rFonts w:hint="eastAsia" w:ascii="宋体" w:hAnsi="宋体" w:cs="宋体"/>
                <w:color w:val="000000" w:themeColor="text1"/>
                <w:highlight w:val="none"/>
                <w:u w:val="single"/>
                <w14:textFill>
                  <w14:solidFill>
                    <w14:schemeClr w14:val="tx1"/>
                  </w14:solidFill>
                </w14:textFill>
              </w:rPr>
              <w:t>（形式评审、资格评审、响应性评审）的</w:t>
            </w:r>
            <w:r>
              <w:rPr>
                <w:rFonts w:hint="eastAsia"/>
                <w:color w:val="000000" w:themeColor="text1"/>
                <w:szCs w:val="21"/>
                <w:highlight w:val="none"/>
                <w:u w:val="single"/>
                <w14:textFill>
                  <w14:solidFill>
                    <w14:schemeClr w14:val="tx1"/>
                  </w14:solidFill>
                </w14:textFill>
              </w:rPr>
              <w:t>投标人全部被推荐为合格的中标候选人，进入定标阶段</w:t>
            </w:r>
            <w:r>
              <w:rPr>
                <w:rFonts w:hint="eastAsia" w:ascii="宋体" w:hAnsi="宋体"/>
                <w:color w:val="000000" w:themeColor="text1"/>
                <w:highlight w:val="none"/>
                <w:u w:val="single"/>
                <w14:textFill>
                  <w14:solidFill>
                    <w14:schemeClr w14:val="tx1"/>
                  </w14:solidFill>
                </w14:textFill>
              </w:rPr>
              <w:t>【不排序，按其统一社会信用代码后4位（除校验码外）大小进行排位】</w:t>
            </w:r>
            <w:r>
              <w:rPr>
                <w:rFonts w:hint="eastAsia"/>
                <w:color w:val="000000" w:themeColor="text1"/>
                <w:szCs w:val="21"/>
                <w:highlight w:val="none"/>
                <w:u w:val="singl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合格的中标候选人少于</w:t>
            </w:r>
            <w:r>
              <w:rPr>
                <w:rFonts w:ascii="宋体" w:hAnsi="宋体"/>
                <w:color w:val="000000" w:themeColor="text1"/>
                <w:highlight w:val="none"/>
                <w:u w:val="single"/>
                <w14:textFill>
                  <w14:solidFill>
                    <w14:schemeClr w14:val="tx1"/>
                  </w14:solidFill>
                </w14:textFill>
              </w:rPr>
              <w:t>3</w:t>
            </w:r>
            <w:r>
              <w:rPr>
                <w:rFonts w:hint="eastAsia" w:ascii="宋体" w:hAnsi="宋体"/>
                <w:color w:val="000000" w:themeColor="text1"/>
                <w:highlight w:val="none"/>
                <w:u w:val="single"/>
                <w14:textFill>
                  <w14:solidFill>
                    <w14:schemeClr w14:val="tx1"/>
                  </w14:solidFill>
                </w14:textFill>
              </w:rPr>
              <w:t>家的，应当重新招标。</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中标候选人公示媒介及期限</w:t>
            </w:r>
          </w:p>
        </w:tc>
        <w:tc>
          <w:tcPr>
            <w:tcW w:w="58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公示媒介：</w:t>
            </w:r>
            <w:r>
              <w:rPr>
                <w:rFonts w:hint="eastAsia" w:ascii="宋体" w:hAnsi="宋体" w:cs="宋体"/>
                <w:color w:val="000000" w:themeColor="text1"/>
                <w:kern w:val="0"/>
                <w:szCs w:val="21"/>
                <w:highlight w:val="none"/>
                <w:u w:val="single"/>
                <w14:textFill>
                  <w14:solidFill>
                    <w14:schemeClr w14:val="tx1"/>
                  </w14:solidFill>
                </w14:textFill>
              </w:rPr>
              <w:t>广州交易集团有限公司（广州公共资源交易中心）网站、中国招标投标公共服务平台、广东省招标投标监管网及广州国企阳光采购信息发布平台。</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公示期限：</w:t>
            </w:r>
            <w:r>
              <w:rPr>
                <w:rFonts w:ascii="宋体" w:hAnsi="宋体"/>
                <w:color w:val="000000" w:themeColor="text1"/>
                <w:szCs w:val="21"/>
                <w:highlight w:val="none"/>
                <w:u w:val="single"/>
                <w14:textFill>
                  <w14:solidFill>
                    <w14:schemeClr w14:val="tx1"/>
                  </w14:solidFill>
                </w14:textFill>
              </w:rPr>
              <w:t xml:space="preserve"> 3 </w:t>
            </w:r>
            <w:r>
              <w:rPr>
                <w:rFonts w:hint="eastAsia" w:ascii="宋体" w:hAnsi="宋体"/>
                <w:color w:val="000000" w:themeColor="text1"/>
                <w:szCs w:val="21"/>
                <w:highlight w:val="none"/>
                <w14:textFill>
                  <w14:solidFill>
                    <w14:schemeClr w14:val="tx1"/>
                  </w14:solidFill>
                </w14:textFill>
              </w:rPr>
              <w:t>日，公示结束日为工作日。</w:t>
            </w:r>
          </w:p>
        </w:tc>
      </w:tr>
      <w:tr>
        <w:tblPrEx>
          <w:tblCellMar>
            <w:top w:w="0" w:type="dxa"/>
            <w:left w:w="108" w:type="dxa"/>
            <w:bottom w:w="0" w:type="dxa"/>
            <w:right w:w="108" w:type="dxa"/>
          </w:tblCellMar>
        </w:tblPrEx>
        <w:trPr>
          <w:trHeight w:val="404"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7.4</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定标</w:t>
            </w:r>
          </w:p>
        </w:tc>
        <w:tc>
          <w:tcPr>
            <w:tcW w:w="5865"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（1）定标工作由招标人依法组建的定标委员会负责。</w:t>
            </w:r>
          </w:p>
          <w:p>
            <w:pPr>
              <w:snapToGrid w:val="0"/>
              <w:rPr>
                <w:rFonts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（2）定标委员会按照第三章评标办法（“评定分离”定标办法）规定的定标方法、标准和程序，在评标委员会向招标人推荐的合格的中标候选人中，采用直接票决定标法“记名投票+撰写评语”方式确定中标人。</w:t>
            </w:r>
          </w:p>
          <w:p>
            <w:pPr>
              <w:snapToGrid w:val="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（3）招标人应当在定标工作完成后的3日内公示中标结果。公示内容包括：定标时间、所有合格的中标候选人的评审结果或票数及理由、中标人等内容。</w:t>
            </w:r>
          </w:p>
          <w:p>
            <w:pPr>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（4）定标后出现中标人不符合法定情形的，招标人可从其他合格的中标候选人中采用原定标办法，由原定标委员会确定中标人，也可以重新招标。</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7.6.1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履约保证金</w:t>
            </w:r>
          </w:p>
        </w:tc>
        <w:tc>
          <w:tcPr>
            <w:tcW w:w="5865" w:type="dxa"/>
            <w:tcBorders>
              <w:top w:val="single" w:color="auto" w:sz="4" w:space="0"/>
              <w:left w:val="single" w:color="auto" w:sz="4" w:space="0"/>
              <w:bottom w:val="single" w:color="auto" w:sz="4" w:space="0"/>
              <w:right w:val="single" w:color="auto" w:sz="4" w:space="0"/>
            </w:tcBorders>
            <w:vAlign w:val="center"/>
          </w:tcPr>
          <w:p>
            <w:pPr>
              <w:pStyle w:val="18"/>
              <w:topLinePunct/>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是否要求中标人提交履约保证金：</w:t>
            </w:r>
          </w:p>
          <w:p>
            <w:pPr>
              <w:pStyle w:val="18"/>
              <w:topLinePunct/>
              <w:rPr>
                <w:rFonts w:hint="eastAsia" w:hAnsi="宋体" w:eastAsia="宋体"/>
                <w:color w:val="000000" w:themeColor="text1"/>
                <w:sz w:val="21"/>
                <w:szCs w:val="21"/>
                <w:highlight w:val="none"/>
                <w:lang w:eastAsia="zh-CN"/>
                <w14:textFill>
                  <w14:solidFill>
                    <w14:schemeClr w14:val="tx1"/>
                  </w14:solidFill>
                </w14:textFill>
              </w:rPr>
            </w:pPr>
            <w:r>
              <w:rPr>
                <w:rFonts w:hAnsi="宋体"/>
                <w:color w:val="000000" w:themeColor="text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要求</w:t>
            </w: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履约保证金的形式：</w:t>
            </w:r>
            <w:r>
              <w:rPr>
                <w:rFonts w:hint="eastAsia" w:hAnsi="宋体"/>
                <w:color w:val="000000" w:themeColor="text1"/>
                <w:sz w:val="21"/>
                <w:szCs w:val="21"/>
                <w:highlight w:val="none"/>
                <w:u w:val="single"/>
                <w:lang w:val="en-US" w:eastAsia="zh-CN"/>
                <w14:textFill>
                  <w14:solidFill>
                    <w14:schemeClr w14:val="tx1"/>
                  </w14:solidFill>
                </w14:textFill>
              </w:rPr>
              <w:t>/</w:t>
            </w:r>
          </w:p>
          <w:p>
            <w:pPr>
              <w:ind w:firstLine="840" w:firstLineChars="4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履约保证金的金额：</w:t>
            </w:r>
            <w:r>
              <w:rPr>
                <w:rFonts w:hint="eastAsia" w:ascii="宋体" w:hAnsi="宋体"/>
                <w:color w:val="000000" w:themeColor="text1"/>
                <w:szCs w:val="21"/>
                <w:highlight w:val="none"/>
                <w:u w:val="single"/>
                <w:lang w:val="en-US" w:eastAsia="zh-CN"/>
                <w14:textFill>
                  <w14:solidFill>
                    <w14:schemeClr w14:val="tx1"/>
                  </w14:solidFill>
                </w14:textFill>
              </w:rPr>
              <w:t>/</w:t>
            </w:r>
          </w:p>
          <w:p>
            <w:pPr>
              <w:pStyle w:val="18"/>
              <w:topLinePunc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不要求</w:t>
            </w:r>
          </w:p>
        </w:tc>
      </w:tr>
      <w:tr>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9</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是否采用电子招标投标</w:t>
            </w:r>
          </w:p>
        </w:tc>
        <w:tc>
          <w:tcPr>
            <w:tcW w:w="58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□否</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是，具体要求：</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（1）具体操作详见广州交易集团有限公司（广州公共资源交易中心）网站发布的《建设工程全流程电子化项目操作指南》。</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现场提交投标文件</w:t>
            </w:r>
            <w:r>
              <w:rPr>
                <w:rFonts w:hint="eastAsia" w:ascii="宋体" w:hAnsi="宋体"/>
                <w:color w:val="000000" w:themeColor="text1"/>
                <w:szCs w:val="21"/>
                <w:highlight w:val="none"/>
                <w14:textFill>
                  <w14:solidFill>
                    <w14:schemeClr w14:val="tx1"/>
                  </w14:solidFill>
                </w14:textFill>
              </w:rPr>
              <w:t>光</w:t>
            </w:r>
            <w:r>
              <w:rPr>
                <w:rFonts w:ascii="宋体" w:hAnsi="宋体"/>
                <w:color w:val="000000" w:themeColor="text1"/>
                <w:szCs w:val="21"/>
                <w:highlight w:val="none"/>
                <w14:textFill>
                  <w14:solidFill>
                    <w14:schemeClr w14:val="tx1"/>
                  </w14:solidFill>
                </w14:textFill>
              </w:rPr>
              <w:t>盘（或U盘）备用</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投标人将按《建设工程全流程电子化项目操作指南》的操作方法制作的非加密的电子投标文件刻入光盘</w:t>
            </w:r>
            <w:r>
              <w:rPr>
                <w:rFonts w:ascii="宋体" w:hAnsi="宋体"/>
                <w:color w:val="000000" w:themeColor="text1"/>
                <w:szCs w:val="21"/>
                <w:highlight w:val="none"/>
                <w14:textFill>
                  <w14:solidFill>
                    <w14:schemeClr w14:val="tx1"/>
                  </w14:solidFill>
                </w14:textFill>
              </w:rPr>
              <w:t>或U盘</w:t>
            </w:r>
            <w:r>
              <w:rPr>
                <w:rFonts w:hint="eastAsia" w:ascii="宋体" w:hAnsi="宋体"/>
                <w:color w:val="000000" w:themeColor="text1"/>
                <w:szCs w:val="21"/>
                <w:highlight w:val="none"/>
                <w14:textFill>
                  <w14:solidFill>
                    <w14:schemeClr w14:val="tx1"/>
                  </w14:solidFill>
                </w14:textFill>
              </w:rPr>
              <w:t>（1份），在规定的时间、地点</w:t>
            </w:r>
            <w:r>
              <w:rPr>
                <w:rFonts w:hint="eastAsia" w:ascii="宋体" w:hAnsi="宋体" w:cs="宋体"/>
                <w:b/>
                <w:color w:val="000000" w:themeColor="text1"/>
                <w:szCs w:val="21"/>
                <w:highlight w:val="none"/>
                <w:u w:val="single"/>
                <w14:textFill>
                  <w14:solidFill>
                    <w14:schemeClr w14:val="tx1"/>
                  </w14:solidFill>
                </w14:textFill>
              </w:rPr>
              <w:t>凭法定代表人证明书原件、法定代表人授权委托证明书原件（非法定代表人办理手续时提供）、本人身份证原件</w:t>
            </w:r>
            <w:r>
              <w:rPr>
                <w:rFonts w:hint="eastAsia" w:ascii="宋体" w:hAnsi="宋体"/>
                <w:color w:val="000000" w:themeColor="text1"/>
                <w:szCs w:val="21"/>
                <w:highlight w:val="none"/>
                <w14:textFill>
                  <w14:solidFill>
                    <w14:schemeClr w14:val="tx1"/>
                  </w14:solidFill>
                </w14:textFill>
              </w:rPr>
              <w:t>提交备用。刻录好的投标文件光盘</w:t>
            </w:r>
            <w:r>
              <w:rPr>
                <w:rFonts w:ascii="宋体" w:hAnsi="宋体"/>
                <w:color w:val="000000" w:themeColor="text1"/>
                <w:szCs w:val="21"/>
                <w:highlight w:val="none"/>
                <w14:textFill>
                  <w14:solidFill>
                    <w14:schemeClr w14:val="tx1"/>
                  </w14:solidFill>
                </w14:textFill>
              </w:rPr>
              <w:t>或U盘</w:t>
            </w:r>
            <w:r>
              <w:rPr>
                <w:rFonts w:hint="eastAsia" w:ascii="宋体" w:hAnsi="宋体"/>
                <w:color w:val="000000" w:themeColor="text1"/>
                <w:szCs w:val="21"/>
                <w:highlight w:val="none"/>
                <w14:textFill>
                  <w14:solidFill>
                    <w14:schemeClr w14:val="tx1"/>
                  </w14:solidFill>
                </w14:textFill>
              </w:rPr>
              <w:t>密封在密封袋中，并在封口处加盖投标人单位公章。密封袋上应写明的内容见投标人须知前附表要求4.1.2。递交的投标文件光盘</w:t>
            </w:r>
            <w:r>
              <w:rPr>
                <w:rFonts w:ascii="宋体" w:hAnsi="宋体"/>
                <w:color w:val="000000" w:themeColor="text1"/>
                <w:szCs w:val="21"/>
                <w:highlight w:val="none"/>
                <w14:textFill>
                  <w14:solidFill>
                    <w14:schemeClr w14:val="tx1"/>
                  </w14:solidFill>
                </w14:textFill>
              </w:rPr>
              <w:t>或U盘</w:t>
            </w:r>
            <w:r>
              <w:rPr>
                <w:rFonts w:hint="eastAsia" w:ascii="宋体" w:hAnsi="宋体"/>
                <w:color w:val="000000" w:themeColor="text1"/>
                <w:szCs w:val="21"/>
                <w:highlight w:val="none"/>
                <w14:textFill>
                  <w14:solidFill>
                    <w14:schemeClr w14:val="tx1"/>
                  </w14:solidFill>
                </w14:textFill>
              </w:rPr>
              <w:t>不得加密。投标文件光盘</w:t>
            </w:r>
            <w:r>
              <w:rPr>
                <w:rFonts w:ascii="宋体" w:hAnsi="宋体"/>
                <w:color w:val="000000" w:themeColor="text1"/>
                <w:szCs w:val="21"/>
                <w:highlight w:val="none"/>
                <w14:textFill>
                  <w14:solidFill>
                    <w14:schemeClr w14:val="tx1"/>
                  </w14:solidFill>
                </w14:textFill>
              </w:rPr>
              <w:t>或U盘</w:t>
            </w:r>
            <w:r>
              <w:rPr>
                <w:rFonts w:hint="eastAsia" w:ascii="宋体" w:hAnsi="宋体"/>
                <w:color w:val="000000" w:themeColor="text1"/>
                <w:szCs w:val="21"/>
                <w:highlight w:val="none"/>
                <w14:textFill>
                  <w14:solidFill>
                    <w14:schemeClr w14:val="tx1"/>
                  </w14:solidFill>
                </w14:textFill>
              </w:rPr>
              <w:t>无法读取或导入的，则视为未提交备用投标文件光盘。如果投标人没有按规定通过交易平台网上递交电子投标文件的，不再接受提交的光盘。</w:t>
            </w:r>
          </w:p>
          <w:p>
            <w:pPr>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补救方案</w:t>
            </w:r>
          </w:p>
          <w:p>
            <w:pPr>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①投标文件解密失败的补救方案：</w:t>
            </w:r>
          </w:p>
          <w:p>
            <w:pPr>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在规定时间内，因投标人之外原因导致的电子投标文件解密失败，在开标现场读取</w:t>
            </w:r>
            <w:r>
              <w:rPr>
                <w:rFonts w:hint="eastAsia" w:ascii="宋体" w:hAnsi="宋体"/>
                <w:color w:val="000000" w:themeColor="text1"/>
                <w:szCs w:val="21"/>
                <w:highlight w:val="none"/>
                <w14:textFill>
                  <w14:solidFill>
                    <w14:schemeClr w14:val="tx1"/>
                  </w14:solidFill>
                </w14:textFill>
              </w:rPr>
              <w:t>光盘</w:t>
            </w:r>
            <w:r>
              <w:rPr>
                <w:rFonts w:ascii="宋体" w:hAnsi="宋体"/>
                <w:color w:val="000000" w:themeColor="text1"/>
                <w:szCs w:val="21"/>
                <w:highlight w:val="none"/>
                <w14:textFill>
                  <w14:solidFill>
                    <w14:schemeClr w14:val="tx1"/>
                  </w14:solidFill>
                </w14:textFill>
              </w:rPr>
              <w:t>或U盘内容，继续开标程序。评标委员会对其投标文件的评审以</w:t>
            </w:r>
            <w:r>
              <w:rPr>
                <w:rFonts w:hint="eastAsia" w:ascii="宋体" w:hAnsi="宋体"/>
                <w:color w:val="000000" w:themeColor="text1"/>
                <w:szCs w:val="21"/>
                <w:highlight w:val="none"/>
                <w14:textFill>
                  <w14:solidFill>
                    <w14:schemeClr w14:val="tx1"/>
                  </w14:solidFill>
                </w14:textFill>
              </w:rPr>
              <w:t>光盘</w:t>
            </w:r>
            <w:r>
              <w:rPr>
                <w:rFonts w:ascii="宋体" w:hAnsi="宋体"/>
                <w:color w:val="000000" w:themeColor="text1"/>
                <w:szCs w:val="21"/>
                <w:highlight w:val="none"/>
                <w14:textFill>
                  <w14:solidFill>
                    <w14:schemeClr w14:val="tx1"/>
                  </w14:solidFill>
                </w14:textFill>
              </w:rPr>
              <w:t>或U盘内容为准。</w:t>
            </w:r>
          </w:p>
          <w:p>
            <w:pPr>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②评标时突发情况的补救方案</w:t>
            </w:r>
            <w:r>
              <w:rPr>
                <w:rFonts w:hint="eastAsia" w:ascii="宋体" w:hAnsi="宋体"/>
                <w:color w:val="000000" w:themeColor="text1"/>
                <w:szCs w:val="21"/>
                <w:highlight w:val="none"/>
                <w14:textFill>
                  <w14:solidFill>
                    <w14:schemeClr w14:val="tx1"/>
                  </w14:solidFill>
                </w14:textFill>
              </w:rPr>
              <w:t>：</w:t>
            </w:r>
          </w:p>
          <w:p>
            <w:pPr>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若遇不可抗力发生（如：网络瘫痪、服务器损坏、交易系统故障短期无法恢复等因素），由评标委员会开启现场递交的全部投标文件</w:t>
            </w:r>
            <w:r>
              <w:rPr>
                <w:rFonts w:hint="eastAsia" w:ascii="宋体" w:hAnsi="宋体"/>
                <w:color w:val="000000" w:themeColor="text1"/>
                <w:szCs w:val="21"/>
                <w:highlight w:val="none"/>
                <w14:textFill>
                  <w14:solidFill>
                    <w14:schemeClr w14:val="tx1"/>
                  </w14:solidFill>
                </w14:textFill>
              </w:rPr>
              <w:t>光盘</w:t>
            </w:r>
            <w:r>
              <w:rPr>
                <w:rFonts w:ascii="宋体" w:hAnsi="宋体"/>
                <w:color w:val="000000" w:themeColor="text1"/>
                <w:szCs w:val="21"/>
                <w:highlight w:val="none"/>
                <w14:textFill>
                  <w14:solidFill>
                    <w14:schemeClr w14:val="tx1"/>
                  </w14:solidFill>
                </w14:textFill>
              </w:rPr>
              <w:t>或U盘，并按</w:t>
            </w:r>
            <w:r>
              <w:rPr>
                <w:rFonts w:hint="eastAsia" w:ascii="宋体" w:hAnsi="宋体"/>
                <w:color w:val="000000" w:themeColor="text1"/>
                <w:szCs w:val="21"/>
                <w:highlight w:val="none"/>
                <w14:textFill>
                  <w14:solidFill>
                    <w14:schemeClr w14:val="tx1"/>
                  </w14:solidFill>
                </w14:textFill>
              </w:rPr>
              <w:t>光盘</w:t>
            </w:r>
            <w:r>
              <w:rPr>
                <w:rFonts w:ascii="宋体" w:hAnsi="宋体"/>
                <w:color w:val="000000" w:themeColor="text1"/>
                <w:szCs w:val="21"/>
                <w:highlight w:val="none"/>
                <w14:textFill>
                  <w14:solidFill>
                    <w14:schemeClr w14:val="tx1"/>
                  </w14:solidFill>
                </w14:textFill>
              </w:rPr>
              <w:t>或U盘内容进行评审。</w:t>
            </w:r>
          </w:p>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③除发生上述情况外，开标</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评标</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定标均以投标人通过交易平台网上递交的电子投标文件为准。</w:t>
            </w:r>
          </w:p>
        </w:tc>
      </w:tr>
      <w:tr>
        <w:tblPrEx>
          <w:tblCellMar>
            <w:top w:w="0" w:type="dxa"/>
            <w:left w:w="108" w:type="dxa"/>
            <w:bottom w:w="0" w:type="dxa"/>
            <w:right w:w="108" w:type="dxa"/>
          </w:tblCellMar>
        </w:tblPrEx>
        <w:trPr>
          <w:trHeight w:val="372"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p>
        </w:tc>
        <w:tc>
          <w:tcPr>
            <w:tcW w:w="815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需要补充的其他内容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10.1</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特别提示</w:t>
            </w:r>
          </w:p>
        </w:tc>
        <w:tc>
          <w:tcPr>
            <w:tcW w:w="586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投标人在本项目招标人的工程项目中存在下列行为的，将被拒绝一年内参与我单位后续工程投标。</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（1）将中标工程转包或者违法分包的；</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（2）在中标工程中不执行质量、安全生产相关规定的，造成质量或安全事故的；</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（3）存在围标或串标情形的；</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（4）在投标文件中提供虚假材料的；</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（5）存在行贿情形的；</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（6）拖欠农民工工资的；</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（7）为招标人提供监理服务过程中存在因过错行为被生效法律文书认定承担违约或侵权责任的；</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（8）违反监理合同约定自行调换或未按照招标人要求及时更换项目总监的；</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（9）委派的项目总监已在其他在建项目中任职且任职数量不符合相关规定并拒绝更换的。</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2</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招标失败的情形</w:t>
            </w:r>
          </w:p>
        </w:tc>
        <w:tc>
          <w:tcPr>
            <w:tcW w:w="5865" w:type="dxa"/>
            <w:tcBorders>
              <w:top w:val="single" w:color="auto" w:sz="4" w:space="0"/>
              <w:left w:val="single" w:color="auto" w:sz="4" w:space="0"/>
              <w:bottom w:val="single" w:color="auto" w:sz="4" w:space="0"/>
              <w:right w:val="single" w:color="auto" w:sz="4" w:space="0"/>
            </w:tcBorders>
            <w:vAlign w:val="center"/>
          </w:tcPr>
          <w:p>
            <w:pPr>
              <w:ind w:left="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本项目采用资格后审方式，资格审查与评标同时进行，通过形式评审、资格审查、响应性评审的投标人不足</w:t>
            </w:r>
            <w:r>
              <w:rPr>
                <w:rFonts w:hint="eastAsia" w:ascii="宋体" w:hAnsi="宋体"/>
                <w:b/>
                <w:color w:val="000000" w:themeColor="text1"/>
                <w:szCs w:val="21"/>
                <w:highlight w:val="none"/>
                <w14:textFill>
                  <w14:solidFill>
                    <w14:schemeClr w14:val="tx1"/>
                  </w14:solidFill>
                </w14:textFill>
              </w:rPr>
              <w:t>3名</w:t>
            </w:r>
            <w:r>
              <w:rPr>
                <w:rFonts w:hint="eastAsia" w:ascii="宋体" w:hAnsi="宋体"/>
                <w:color w:val="000000" w:themeColor="text1"/>
                <w:szCs w:val="21"/>
                <w:highlight w:val="none"/>
                <w14:textFill>
                  <w14:solidFill>
                    <w14:schemeClr w14:val="tx1"/>
                  </w14:solidFill>
                </w14:textFill>
              </w:rPr>
              <w:t>时为招标失败。招标人分析招标失败原因，修正招标方案，报有关管理部门核准后，重新组织招标。</w:t>
            </w:r>
          </w:p>
        </w:tc>
      </w:tr>
      <w:tr>
        <w:tblPrEx>
          <w:tblCellMar>
            <w:top w:w="0" w:type="dxa"/>
            <w:left w:w="108" w:type="dxa"/>
            <w:bottom w:w="0" w:type="dxa"/>
            <w:right w:w="108" w:type="dxa"/>
          </w:tblCellMar>
        </w:tblPrEx>
        <w:trPr>
          <w:trHeight w:val="589"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3</w:t>
            </w:r>
          </w:p>
        </w:tc>
        <w:tc>
          <w:tcPr>
            <w:tcW w:w="22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w:t>
            </w:r>
          </w:p>
        </w:tc>
        <w:tc>
          <w:tcPr>
            <w:tcW w:w="5865" w:type="dxa"/>
            <w:tcBorders>
              <w:top w:val="single" w:color="auto" w:sz="4" w:space="0"/>
              <w:left w:val="single" w:color="auto" w:sz="4" w:space="0"/>
              <w:bottom w:val="single" w:color="auto" w:sz="4" w:space="0"/>
              <w:right w:val="single" w:color="auto" w:sz="4" w:space="0"/>
            </w:tcBorders>
            <w:vAlign w:val="center"/>
          </w:tcPr>
          <w:p>
            <w:pPr>
              <w:ind w:left="1"/>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hint="eastAsia" w:ascii="宋体" w:hAnsi="宋体"/>
                <w:color w:val="000000" w:themeColor="text1"/>
                <w:szCs w:val="21"/>
                <w:highlight w:val="none"/>
                <w:u w:val="single"/>
                <w14:textFill>
                  <w14:solidFill>
                    <w14:schemeClr w14:val="tx1"/>
                  </w14:solidFill>
                </w14:textFill>
              </w:rPr>
              <w:t>在产生中标候选人后，招标人将中标候选人的投标文件初步评审部分的电子版（涉及商业秘密的内容除外）在</w:t>
            </w:r>
            <w:r>
              <w:rPr>
                <w:rFonts w:hint="eastAsia" w:ascii="宋体" w:hAnsi="宋体" w:cs="宋体"/>
                <w:color w:val="000000" w:themeColor="text1"/>
                <w:kern w:val="0"/>
                <w:szCs w:val="21"/>
                <w:highlight w:val="none"/>
                <w:u w:val="single"/>
                <w14:textFill>
                  <w14:solidFill>
                    <w14:schemeClr w14:val="tx1"/>
                  </w14:solidFill>
                </w14:textFill>
              </w:rPr>
              <w:t>广州交易集团有限公司（广州公共资源交易中心）</w:t>
            </w:r>
            <w:r>
              <w:rPr>
                <w:rFonts w:hint="eastAsia" w:ascii="宋体" w:hAnsi="宋体"/>
                <w:color w:val="000000" w:themeColor="text1"/>
                <w:szCs w:val="21"/>
                <w:highlight w:val="none"/>
                <w:u w:val="single"/>
                <w14:textFill>
                  <w14:solidFill>
                    <w14:schemeClr w14:val="tx1"/>
                  </w14:solidFill>
                </w14:textFill>
              </w:rPr>
              <w:t>网站公开。</w:t>
            </w:r>
            <w:r>
              <w:rPr>
                <w:rFonts w:hint="eastAsia" w:ascii="宋体" w:hAnsi="宋体"/>
                <w:color w:val="000000" w:themeColor="text1"/>
                <w:highlight w:val="none"/>
                <w14:textFill>
                  <w14:solidFill>
                    <w14:schemeClr w14:val="tx1"/>
                  </w14:solidFill>
                </w14:textFill>
              </w:rPr>
              <w:t>招标人或招标代理在公示前应对中标候选人提交的电子文件内容进行核对，确定电子文件内容是否与中标候选人提交的电子投标文件内容一致。若电子文件内容与中标候选人提交的电子投标文件内容不一致或不完整的，中标候选人应补充或修改电子文件后公开。</w:t>
            </w:r>
          </w:p>
          <w:p>
            <w:pPr>
              <w:ind w:left="1"/>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招标人根据评标委员会递交的评标报告，最终依法审定中标人。但在签订合同前的任何时候，评委、招标人以及其他人员发现投标人在招标过程有弄虚作假、虚报资料情况的，一经查实，立即取消其中标人资格。</w:t>
            </w:r>
          </w:p>
          <w:p>
            <w:pPr>
              <w:ind w:left="1"/>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若发现第一中标候选人或中标人委派的总监理工程师任职数量不符合《穗建规字〔2020〕32号》等文件的规定，将取消第一中标候选人资格或中标资格。招标人可以确定排名第二的中标候选人为中标人。以此类推，如所有中标候选人均出现前款所列的情形，为招标失败，招标人依法重新招标。</w:t>
            </w:r>
          </w:p>
          <w:p>
            <w:pPr>
              <w:ind w:left="1"/>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中标结果公示结束后</w:t>
            </w:r>
            <w:r>
              <w:rPr>
                <w:rFonts w:ascii="宋体" w:hAnsi="宋体"/>
                <w:color w:val="000000" w:themeColor="text1"/>
                <w:szCs w:val="21"/>
                <w:highlight w:val="none"/>
                <w14:textFill>
                  <w14:solidFill>
                    <w14:schemeClr w14:val="tx1"/>
                  </w14:solidFill>
                </w14:textFill>
              </w:rPr>
              <w:t>5个工作日内，</w:t>
            </w:r>
            <w:r>
              <w:rPr>
                <w:rFonts w:hint="eastAsia" w:ascii="宋体" w:hAnsi="宋体"/>
                <w:color w:val="000000" w:themeColor="text1"/>
                <w:highlight w:val="none"/>
                <w14:textFill>
                  <w14:solidFill>
                    <w14:schemeClr w14:val="tx1"/>
                  </w14:solidFill>
                </w14:textFill>
              </w:rPr>
              <w:t>中标人须向招标人（招标代理机构）提供与递交的电子投标文件内容一致的纸质投标文件三套及电子文件二套（电子文件介质使用CD-R光盘，所有电子文件不能采用压缩加密处理）。</w:t>
            </w:r>
          </w:p>
          <w:p>
            <w:pPr>
              <w:pStyle w:val="13"/>
              <w:ind w:firstLine="0"/>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r>
              <w:rPr>
                <w:rFonts w:ascii="宋体" w:hAnsi="宋体"/>
                <w:color w:val="000000" w:themeColor="text1"/>
                <w:szCs w:val="21"/>
                <w:highlight w:val="none"/>
                <w:u w:val="single"/>
                <w14:textFill>
                  <w14:solidFill>
                    <w14:schemeClr w14:val="tx1"/>
                  </w14:solidFill>
                </w14:textFill>
              </w:rPr>
              <w:t>中标人按《广州市发展改革委转发省发展改革委关于规范公共资源交易服务收费及有关问题的通知》（穗发改〔2017〕811号）文件的规定，向</w:t>
            </w:r>
            <w:r>
              <w:rPr>
                <w:rFonts w:hint="eastAsia" w:ascii="宋体" w:hAnsi="宋体"/>
                <w:color w:val="000000" w:themeColor="text1"/>
                <w:szCs w:val="21"/>
                <w:highlight w:val="none"/>
                <w:u w:val="single"/>
                <w14:textFill>
                  <w14:solidFill>
                    <w14:schemeClr w14:val="tx1"/>
                  </w14:solidFill>
                </w14:textFill>
              </w:rPr>
              <w:t>广州交易集团有限公司（广州公共资源交易中心）缴纳</w:t>
            </w:r>
            <w:r>
              <w:rPr>
                <w:rFonts w:ascii="宋体" w:hAnsi="宋体"/>
                <w:color w:val="000000" w:themeColor="text1"/>
                <w:szCs w:val="21"/>
                <w:highlight w:val="none"/>
                <w:u w:val="single"/>
                <w14:textFill>
                  <w14:solidFill>
                    <w14:schemeClr w14:val="tx1"/>
                  </w14:solidFill>
                </w14:textFill>
              </w:rPr>
              <w:t>交易服务费，其费用包含在中标人投标报价中，招标人不另行支付。</w:t>
            </w:r>
          </w:p>
        </w:tc>
      </w:tr>
    </w:tbl>
    <w:p>
      <w:pPr>
        <w:widowControl/>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17" w:name="_Toc49509965"/>
      <w:r>
        <w:rPr>
          <w:rFonts w:ascii="宋体" w:hAnsi="宋体"/>
          <w:b/>
          <w:bCs/>
          <w:color w:val="000000" w:themeColor="text1"/>
          <w:sz w:val="32"/>
          <w:szCs w:val="32"/>
          <w:highlight w:val="none"/>
          <w14:textFill>
            <w14:solidFill>
              <w14:schemeClr w14:val="tx1"/>
            </w14:solidFill>
          </w14:textFill>
        </w:rPr>
        <w:t xml:space="preserve">1. </w:t>
      </w:r>
      <w:r>
        <w:rPr>
          <w:rFonts w:hint="eastAsia" w:ascii="宋体" w:hAnsi="宋体"/>
          <w:b/>
          <w:bCs/>
          <w:color w:val="000000" w:themeColor="text1"/>
          <w:sz w:val="32"/>
          <w:szCs w:val="32"/>
          <w:highlight w:val="none"/>
          <w14:textFill>
            <w14:solidFill>
              <w14:schemeClr w14:val="tx1"/>
            </w14:solidFill>
          </w14:textFill>
        </w:rPr>
        <w:t>总则</w:t>
      </w:r>
      <w:bookmarkEnd w:id="17"/>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18" w:name="_Toc49509966"/>
      <w:bookmarkStart w:id="19" w:name="_Toc49506132"/>
      <w:r>
        <w:rPr>
          <w:rFonts w:ascii="宋体" w:hAnsi="宋体" w:eastAsia="宋体"/>
          <w:color w:val="000000" w:themeColor="text1"/>
          <w:highlight w:val="none"/>
          <w14:textFill>
            <w14:solidFill>
              <w14:schemeClr w14:val="tx1"/>
            </w14:solidFill>
          </w14:textFill>
        </w:rPr>
        <w:t xml:space="preserve">1.1 </w:t>
      </w:r>
      <w:r>
        <w:rPr>
          <w:rFonts w:hint="eastAsia" w:ascii="宋体" w:hAnsi="宋体" w:eastAsia="宋体"/>
          <w:color w:val="000000" w:themeColor="text1"/>
          <w:highlight w:val="none"/>
          <w14:textFill>
            <w14:solidFill>
              <w14:schemeClr w14:val="tx1"/>
            </w14:solidFill>
          </w14:textFill>
        </w:rPr>
        <w:t>招标项目概况</w:t>
      </w:r>
      <w:bookmarkEnd w:id="18"/>
      <w:bookmarkEnd w:id="19"/>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1.1.1</w:t>
      </w:r>
      <w:r>
        <w:rPr>
          <w:rFonts w:hint="eastAsia" w:ascii="宋体" w:hAnsi="宋体"/>
          <w:color w:val="000000" w:themeColor="text1"/>
          <w:highlight w:val="none"/>
          <w14:textFill>
            <w14:solidFill>
              <w14:schemeClr w14:val="tx1"/>
            </w14:solidFill>
          </w14:textFill>
        </w:rPr>
        <w:t>根据《中华人民共和国招标投标法》、《中华人民共和国招标投标法实施条例》等有关法律、法规和规章的规定，本招标项目已具备招标条件，现对</w:t>
      </w:r>
      <w:r>
        <w:rPr>
          <w:rFonts w:hint="eastAsia" w:ascii="宋体" w:hAnsi="宋体"/>
          <w:color w:val="000000" w:themeColor="text1"/>
          <w:highlight w:val="none"/>
          <w:u w:val="single"/>
          <w14:textFill>
            <w14:solidFill>
              <w14:schemeClr w14:val="tx1"/>
            </w14:solidFill>
          </w14:textFill>
        </w:rPr>
        <w:t>监理</w:t>
      </w:r>
      <w:r>
        <w:rPr>
          <w:rFonts w:hint="eastAsia" w:ascii="宋体" w:hAnsi="宋体"/>
          <w:color w:val="000000" w:themeColor="text1"/>
          <w:highlight w:val="none"/>
          <w14:textFill>
            <w14:solidFill>
              <w14:schemeClr w14:val="tx1"/>
            </w14:solidFill>
          </w14:textFill>
        </w:rPr>
        <w:t>进行招标。</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1.1.2</w:t>
      </w:r>
      <w:r>
        <w:rPr>
          <w:rFonts w:hint="eastAsia" w:ascii="宋体" w:hAnsi="宋体"/>
          <w:color w:val="000000" w:themeColor="text1"/>
          <w:highlight w:val="none"/>
          <w14:textFill>
            <w14:solidFill>
              <w14:schemeClr w14:val="tx1"/>
            </w14:solidFill>
          </w14:textFill>
        </w:rPr>
        <w:t>招标人：见投标人须知前附表。</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1.1.3</w:t>
      </w:r>
      <w:r>
        <w:rPr>
          <w:rFonts w:hint="eastAsia" w:ascii="宋体" w:hAnsi="宋体"/>
          <w:color w:val="000000" w:themeColor="text1"/>
          <w:highlight w:val="none"/>
          <w14:textFill>
            <w14:solidFill>
              <w14:schemeClr w14:val="tx1"/>
            </w14:solidFill>
          </w14:textFill>
        </w:rPr>
        <w:t>招标代理机构：见投标人须知前附表。</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1.1.4 </w:t>
      </w:r>
      <w:r>
        <w:rPr>
          <w:rFonts w:hint="eastAsia" w:ascii="宋体" w:hAnsi="宋体"/>
          <w:color w:val="000000" w:themeColor="text1"/>
          <w:highlight w:val="none"/>
          <w14:textFill>
            <w14:solidFill>
              <w14:schemeClr w14:val="tx1"/>
            </w14:solidFill>
          </w14:textFill>
        </w:rPr>
        <w:t>招标项目名称：见投标人须知前附表。</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1.1.5项目建设地点：见投标人须知前附表。</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1.1.6 项目建设规模：见投标人须知前附表。</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1.1.7 </w:t>
      </w:r>
      <w:r>
        <w:rPr>
          <w:rFonts w:hint="eastAsia" w:ascii="宋体" w:hAnsi="宋体"/>
          <w:color w:val="000000" w:themeColor="text1"/>
          <w:highlight w:val="none"/>
          <w14:textFill>
            <w14:solidFill>
              <w14:schemeClr w14:val="tx1"/>
            </w14:solidFill>
          </w14:textFill>
        </w:rPr>
        <w:t>工程项目施工预计开工日期和建设周期：见投标人须知前附表。</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1.1.8 </w:t>
      </w:r>
      <w:r>
        <w:rPr>
          <w:rFonts w:hint="eastAsia" w:ascii="宋体" w:hAnsi="宋体"/>
          <w:color w:val="000000" w:themeColor="text1"/>
          <w:highlight w:val="none"/>
          <w14:textFill>
            <w14:solidFill>
              <w14:schemeClr w14:val="tx1"/>
            </w14:solidFill>
          </w14:textFill>
        </w:rPr>
        <w:t>建筑安装工程费</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工程概算：见投标人须知前附表。</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20" w:name="_Toc49506133"/>
      <w:bookmarkStart w:id="21" w:name="_Toc49509967"/>
      <w:r>
        <w:rPr>
          <w:rFonts w:ascii="宋体" w:hAnsi="宋体" w:eastAsia="宋体"/>
          <w:color w:val="000000" w:themeColor="text1"/>
          <w:highlight w:val="none"/>
          <w14:textFill>
            <w14:solidFill>
              <w14:schemeClr w14:val="tx1"/>
            </w14:solidFill>
          </w14:textFill>
        </w:rPr>
        <w:t xml:space="preserve">1.2 </w:t>
      </w:r>
      <w:r>
        <w:rPr>
          <w:rFonts w:hint="eastAsia" w:ascii="宋体" w:hAnsi="宋体" w:eastAsia="宋体"/>
          <w:color w:val="000000" w:themeColor="text1"/>
          <w:highlight w:val="none"/>
          <w14:textFill>
            <w14:solidFill>
              <w14:schemeClr w14:val="tx1"/>
            </w14:solidFill>
          </w14:textFill>
        </w:rPr>
        <w:t>招标项目的资金来源和落实情况</w:t>
      </w:r>
      <w:bookmarkEnd w:id="20"/>
      <w:bookmarkEnd w:id="21"/>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1.2.1</w:t>
      </w:r>
      <w:r>
        <w:rPr>
          <w:rFonts w:hint="eastAsia" w:ascii="宋体" w:hAnsi="宋体"/>
          <w:color w:val="000000" w:themeColor="text1"/>
          <w:highlight w:val="none"/>
          <w14:textFill>
            <w14:solidFill>
              <w14:schemeClr w14:val="tx1"/>
            </w14:solidFill>
          </w14:textFill>
        </w:rPr>
        <w:t>资金来源及比例：见投标人须知前附表。</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1.2.2</w:t>
      </w:r>
      <w:r>
        <w:rPr>
          <w:rFonts w:hint="eastAsia" w:ascii="宋体" w:hAnsi="宋体"/>
          <w:color w:val="000000" w:themeColor="text1"/>
          <w:highlight w:val="none"/>
          <w14:textFill>
            <w14:solidFill>
              <w14:schemeClr w14:val="tx1"/>
            </w14:solidFill>
          </w14:textFill>
        </w:rPr>
        <w:t>资金落实情况：见投标人须知前附表。</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22" w:name="_Toc49509968"/>
      <w:bookmarkStart w:id="23" w:name="_Toc49506134"/>
      <w:r>
        <w:rPr>
          <w:rFonts w:ascii="宋体" w:hAnsi="宋体" w:eastAsia="宋体"/>
          <w:color w:val="000000" w:themeColor="text1"/>
          <w:highlight w:val="none"/>
          <w14:textFill>
            <w14:solidFill>
              <w14:schemeClr w14:val="tx1"/>
            </w14:solidFill>
          </w14:textFill>
        </w:rPr>
        <w:t>1.3</w:t>
      </w:r>
      <w:r>
        <w:rPr>
          <w:rFonts w:hint="eastAsia" w:ascii="宋体" w:hAnsi="宋体" w:eastAsia="宋体"/>
          <w:color w:val="000000" w:themeColor="text1"/>
          <w:highlight w:val="none"/>
          <w14:textFill>
            <w14:solidFill>
              <w14:schemeClr w14:val="tx1"/>
            </w14:solidFill>
          </w14:textFill>
        </w:rPr>
        <w:t>招标范围、监理服务期限和质量标准</w:t>
      </w:r>
      <w:bookmarkEnd w:id="22"/>
      <w:bookmarkEnd w:id="23"/>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1.3.1</w:t>
      </w:r>
      <w:r>
        <w:rPr>
          <w:rFonts w:hint="eastAsia" w:ascii="宋体" w:hAnsi="宋体"/>
          <w:color w:val="000000" w:themeColor="text1"/>
          <w:highlight w:val="none"/>
          <w14:textFill>
            <w14:solidFill>
              <w14:schemeClr w14:val="tx1"/>
            </w14:solidFill>
          </w14:textFill>
        </w:rPr>
        <w:t>招标范围：见投标人须知前附表。</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1.3.2</w:t>
      </w:r>
      <w:r>
        <w:rPr>
          <w:rFonts w:hint="eastAsia" w:ascii="宋体" w:hAnsi="宋体"/>
          <w:color w:val="000000" w:themeColor="text1"/>
          <w:highlight w:val="none"/>
          <w14:textFill>
            <w14:solidFill>
              <w14:schemeClr w14:val="tx1"/>
            </w14:solidFill>
          </w14:textFill>
        </w:rPr>
        <w:t>监理服务期限：见投标人须知前附表。</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1.3.3 </w:t>
      </w:r>
      <w:r>
        <w:rPr>
          <w:rFonts w:hint="eastAsia" w:ascii="宋体" w:hAnsi="宋体"/>
          <w:color w:val="000000" w:themeColor="text1"/>
          <w:highlight w:val="none"/>
          <w14:textFill>
            <w14:solidFill>
              <w14:schemeClr w14:val="tx1"/>
            </w14:solidFill>
          </w14:textFill>
        </w:rPr>
        <w:t>质量标准：见投标人须知前附表。</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24" w:name="_Toc49509969"/>
      <w:bookmarkStart w:id="25" w:name="_Toc49506135"/>
      <w:r>
        <w:rPr>
          <w:rFonts w:ascii="宋体" w:hAnsi="宋体" w:eastAsia="宋体"/>
          <w:color w:val="000000" w:themeColor="text1"/>
          <w:highlight w:val="none"/>
          <w14:textFill>
            <w14:solidFill>
              <w14:schemeClr w14:val="tx1"/>
            </w14:solidFill>
          </w14:textFill>
        </w:rPr>
        <w:t>1.4</w:t>
      </w:r>
      <w:r>
        <w:rPr>
          <w:rFonts w:hint="eastAsia" w:ascii="宋体" w:hAnsi="宋体" w:eastAsia="宋体"/>
          <w:color w:val="000000" w:themeColor="text1"/>
          <w:highlight w:val="none"/>
          <w14:textFill>
            <w14:solidFill>
              <w14:schemeClr w14:val="tx1"/>
            </w14:solidFill>
          </w14:textFill>
        </w:rPr>
        <w:t>投标人资格要求</w:t>
      </w:r>
      <w:bookmarkEnd w:id="24"/>
      <w:bookmarkEnd w:id="25"/>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1.4.1 </w:t>
      </w:r>
      <w:r>
        <w:rPr>
          <w:rFonts w:hint="eastAsia" w:ascii="宋体" w:hAnsi="宋体"/>
          <w:color w:val="000000" w:themeColor="text1"/>
          <w:highlight w:val="none"/>
          <w14:textFill>
            <w14:solidFill>
              <w14:schemeClr w14:val="tx1"/>
            </w14:solidFill>
          </w14:textFill>
        </w:rPr>
        <w:t>投标人应具备承担本招标项目资质条件、能力和信誉</w:t>
      </w:r>
      <w:r>
        <w:rPr>
          <w:rFonts w:ascii="宋体" w:hAnsi="宋体"/>
          <w:color w:val="000000" w:themeColor="text1"/>
          <w:highlight w:val="none"/>
          <w14:textFill>
            <w14:solidFill>
              <w14:schemeClr w14:val="tx1"/>
            </w14:solidFill>
          </w14:textFill>
        </w:rPr>
        <w:t>：</w:t>
      </w:r>
    </w:p>
    <w:p>
      <w:pPr>
        <w:spacing w:line="400" w:lineRule="exact"/>
        <w:ind w:firstLine="315" w:firstLineChars="15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）资质要求：见投标人须知前附表；</w:t>
      </w:r>
    </w:p>
    <w:p>
      <w:pPr>
        <w:spacing w:line="400" w:lineRule="exact"/>
        <w:ind w:firstLine="315" w:firstLineChars="15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财务</w:t>
      </w:r>
      <w:r>
        <w:rPr>
          <w:rFonts w:hint="eastAsia" w:ascii="宋体" w:hAnsi="宋体"/>
          <w:color w:val="000000" w:themeColor="text1"/>
          <w:highlight w:val="none"/>
          <w14:textFill>
            <w14:solidFill>
              <w14:schemeClr w14:val="tx1"/>
            </w14:solidFill>
          </w14:textFill>
        </w:rPr>
        <w:t>要求：见投标人须知前附表；</w:t>
      </w:r>
    </w:p>
    <w:p>
      <w:pPr>
        <w:spacing w:line="400" w:lineRule="exact"/>
        <w:ind w:firstLine="315" w:firstLineChars="15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（3）业绩要求：见投标人须知前附表；</w:t>
      </w:r>
    </w:p>
    <w:p>
      <w:pPr>
        <w:spacing w:line="400" w:lineRule="exact"/>
        <w:ind w:firstLine="315" w:firstLineChars="15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（4）信誉要求：见投标人须知前附表；</w:t>
      </w:r>
    </w:p>
    <w:p>
      <w:pPr>
        <w:spacing w:line="400" w:lineRule="exact"/>
        <w:ind w:firstLine="315" w:firstLineChars="15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（5）总监理工程师的资格要求：具体要求见投标人须知前附表；</w:t>
      </w:r>
    </w:p>
    <w:p>
      <w:pPr>
        <w:spacing w:line="400" w:lineRule="exact"/>
        <w:ind w:firstLine="315" w:firstLineChars="15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（6）其他主要人员要求：见投标人须知前附表；</w:t>
      </w:r>
    </w:p>
    <w:p>
      <w:pPr>
        <w:spacing w:line="400" w:lineRule="exact"/>
        <w:ind w:firstLine="315" w:firstLineChars="15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（7）试验检测仪器设备要求：见投标人须知前附表；</w:t>
      </w:r>
    </w:p>
    <w:p>
      <w:pPr>
        <w:spacing w:line="400" w:lineRule="exact"/>
        <w:ind w:firstLine="315" w:firstLineChars="15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（8）其他要求：见投标人须知前附表。</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需要提交的相关证明材料见本章第3.5款的规定。</w:t>
      </w:r>
    </w:p>
    <w:p>
      <w:pPr>
        <w:spacing w:line="400" w:lineRule="exact"/>
        <w:ind w:firstLine="420" w:firstLineChars="200"/>
        <w:rPr>
          <w:rFonts w:ascii="宋体" w:hAnsi="宋体"/>
          <w:strike/>
          <w:color w:val="000000" w:themeColor="text1"/>
          <w:highlight w:val="none"/>
          <w14:textFill>
            <w14:solidFill>
              <w14:schemeClr w14:val="tx1"/>
            </w14:solidFill>
          </w14:textFill>
        </w:rPr>
      </w:pPr>
      <w:r>
        <w:rPr>
          <w:rFonts w:ascii="宋体" w:hAnsi="宋体"/>
          <w:strike/>
          <w:color w:val="000000" w:themeColor="text1"/>
          <w:highlight w:val="none"/>
          <w14:textFill>
            <w14:solidFill>
              <w14:schemeClr w14:val="tx1"/>
            </w14:solidFill>
          </w14:textFill>
        </w:rPr>
        <w:t>1.4.2投标人须知前附表规定接受联合体投标的，</w:t>
      </w:r>
      <w:r>
        <w:rPr>
          <w:rFonts w:hint="eastAsia" w:ascii="宋体" w:hAnsi="宋体"/>
          <w:strike/>
          <w:color w:val="000000" w:themeColor="text1"/>
          <w:highlight w:val="none"/>
          <w14:textFill>
            <w14:solidFill>
              <w14:schemeClr w14:val="tx1"/>
            </w14:solidFill>
          </w14:textFill>
        </w:rPr>
        <w:t>联合体除应符合本章第</w:t>
      </w:r>
      <w:r>
        <w:rPr>
          <w:rFonts w:ascii="宋体" w:hAnsi="宋体"/>
          <w:strike/>
          <w:color w:val="000000" w:themeColor="text1"/>
          <w:highlight w:val="none"/>
          <w14:textFill>
            <w14:solidFill>
              <w14:schemeClr w14:val="tx1"/>
            </w14:solidFill>
          </w14:textFill>
        </w:rPr>
        <w:t>1.4.1</w:t>
      </w:r>
      <w:r>
        <w:rPr>
          <w:rFonts w:hint="eastAsia" w:ascii="宋体" w:hAnsi="宋体"/>
          <w:strike/>
          <w:color w:val="000000" w:themeColor="text1"/>
          <w:highlight w:val="none"/>
          <w14:textFill>
            <w14:solidFill>
              <w14:schemeClr w14:val="tx1"/>
            </w14:solidFill>
          </w14:textFill>
        </w:rPr>
        <w:t>项和投标人须知前附表的要求外，还应遵守以下规定：</w:t>
      </w:r>
    </w:p>
    <w:p>
      <w:pPr>
        <w:spacing w:line="400" w:lineRule="exact"/>
        <w:ind w:firstLine="315" w:firstLineChars="150"/>
        <w:rPr>
          <w:rFonts w:ascii="宋体" w:hAnsi="宋体"/>
          <w:strike/>
          <w:color w:val="000000" w:themeColor="text1"/>
          <w:highlight w:val="none"/>
          <w14:textFill>
            <w14:solidFill>
              <w14:schemeClr w14:val="tx1"/>
            </w14:solidFill>
          </w14:textFill>
        </w:rPr>
      </w:pPr>
      <w:r>
        <w:rPr>
          <w:rFonts w:ascii="宋体" w:hAnsi="宋体"/>
          <w:strike/>
          <w:color w:val="000000" w:themeColor="text1"/>
          <w:highlight w:val="none"/>
          <w14:textFill>
            <w14:solidFill>
              <w14:schemeClr w14:val="tx1"/>
            </w14:solidFill>
          </w14:textFill>
        </w:rPr>
        <w:t>（1）联合体各方应按招标文件提供的格式签订联合体协议书，明确联合体牵头人和各方权利义务，并承诺就中标项目向招标人承担连带责任；</w:t>
      </w:r>
    </w:p>
    <w:p>
      <w:pPr>
        <w:spacing w:line="400" w:lineRule="exact"/>
        <w:ind w:firstLine="315" w:firstLineChars="150"/>
        <w:rPr>
          <w:rFonts w:ascii="宋体" w:hAnsi="宋体"/>
          <w:strike/>
          <w:color w:val="000000" w:themeColor="text1"/>
          <w:highlight w:val="none"/>
          <w14:textFill>
            <w14:solidFill>
              <w14:schemeClr w14:val="tx1"/>
            </w14:solidFill>
          </w14:textFill>
        </w:rPr>
      </w:pPr>
      <w:r>
        <w:rPr>
          <w:rFonts w:ascii="宋体" w:hAnsi="宋体"/>
          <w:strike/>
          <w:color w:val="000000" w:themeColor="text1"/>
          <w:highlight w:val="none"/>
          <w14:textFill>
            <w14:solidFill>
              <w14:schemeClr w14:val="tx1"/>
            </w14:solidFill>
          </w14:textFill>
        </w:rPr>
        <w:t>（2）由同一专业的单位组成的联合体，按照资质等级较低的单位确定资质等级；</w:t>
      </w:r>
    </w:p>
    <w:p>
      <w:pPr>
        <w:spacing w:line="400" w:lineRule="exact"/>
        <w:ind w:firstLine="315" w:firstLineChars="150"/>
        <w:rPr>
          <w:rFonts w:ascii="宋体" w:hAnsi="宋体"/>
          <w:strike/>
          <w:color w:val="000000" w:themeColor="text1"/>
          <w:highlight w:val="none"/>
          <w14:textFill>
            <w14:solidFill>
              <w14:schemeClr w14:val="tx1"/>
            </w14:solidFill>
          </w14:textFill>
        </w:rPr>
      </w:pPr>
      <w:r>
        <w:rPr>
          <w:rFonts w:ascii="宋体" w:hAnsi="宋体"/>
          <w:strike/>
          <w:color w:val="000000" w:themeColor="text1"/>
          <w:highlight w:val="none"/>
          <w14:textFill>
            <w14:solidFill>
              <w14:schemeClr w14:val="tx1"/>
            </w14:solidFill>
          </w14:textFill>
        </w:rPr>
        <w:t>（3）联合体各方不得再以自己名义单独或参加其他联合体在本招标项目中投标，否则各相关投标均无效。</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1.4.3</w:t>
      </w:r>
      <w:r>
        <w:rPr>
          <w:rFonts w:hint="eastAsia" w:ascii="宋体" w:hAnsi="宋体"/>
          <w:color w:val="000000" w:themeColor="text1"/>
          <w:highlight w:val="none"/>
          <w14:textFill>
            <w14:solidFill>
              <w14:schemeClr w14:val="tx1"/>
            </w14:solidFill>
          </w14:textFill>
        </w:rPr>
        <w:t>投标人不得存在下列情形之一：</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（1）为招标人不具有独立法人资格的附属机构（单位）；</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（2）与招标人存在利害关系且可能影响招标公正性；</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（3）与本招标项目的其他投标人为同一个单位负责人；</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（4）与本招标项目的其他投标人存在控股、管理关系；</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（5）为本招标项目的代建人；</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（6）为本招标项目的招标代理机构；</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（7）与本招标项目的代建人或招标代理机构同为一个法定代表人；</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（8）与本招标项目的代建人或招标代理机构存在控股或参股关系；</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（9）与本招标项目的施工承包人以及建筑材料、建筑构配件和设备供应商有隶属关系或者其他利害关系；</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（10）被依法暂停或者取消投标资格</w:t>
      </w:r>
      <w:r>
        <w:rPr>
          <w:rFonts w:hint="eastAsia" w:ascii="宋体" w:hAnsi="宋体"/>
          <w:color w:val="000000" w:themeColor="text1"/>
          <w:szCs w:val="21"/>
          <w:highlight w:val="none"/>
          <w:u w:val="single"/>
          <w14:textFill>
            <w14:solidFill>
              <w14:schemeClr w14:val="tx1"/>
            </w14:solidFill>
          </w14:textFill>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（11）被责令停产停业、暂扣或者吊销许可证、暂扣或者吊销执照</w:t>
      </w:r>
      <w:r>
        <w:rPr>
          <w:rFonts w:hint="eastAsia" w:ascii="宋体" w:hAnsi="宋体"/>
          <w:color w:val="000000" w:themeColor="text1"/>
          <w:szCs w:val="21"/>
          <w:highlight w:val="none"/>
          <w:u w:val="single"/>
          <w14:textFill>
            <w14:solidFill>
              <w14:schemeClr w14:val="tx1"/>
            </w14:solidFill>
          </w14:textFill>
        </w:rPr>
        <w:t>（本项事实应当以根据《中华人民共和国行政处罚法》依法作出并已经生效的行政处罚决定为认定依据）</w:t>
      </w:r>
      <w:r>
        <w:rPr>
          <w:rFonts w:hint="eastAsia" w:ascii="宋体" w:hAnsi="宋体"/>
          <w:color w:val="000000" w:themeColor="text1"/>
          <w:szCs w:val="21"/>
          <w:highlight w:val="none"/>
          <w14:textFill>
            <w14:solidFill>
              <w14:schemeClr w14:val="tx1"/>
            </w14:solidFill>
          </w14:textFill>
        </w:rPr>
        <w:t>；</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（12）进入清算程序，或被宣告破产，或其他丧失履约能力的情形；</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（13）在最近三年内发生重大监理质量问题（以相关行业主管部门的行政处罚决定或司法机关出具的有关法律文书为准；</w:t>
      </w:r>
      <w:r>
        <w:rPr>
          <w:rFonts w:hint="eastAsia" w:ascii="宋体" w:hAnsi="宋体"/>
          <w:color w:val="000000" w:themeColor="text1"/>
          <w:szCs w:val="21"/>
          <w:highlight w:val="none"/>
          <w:u w:val="single"/>
          <w14:textFill>
            <w14:solidFill>
              <w14:schemeClr w14:val="tx1"/>
            </w14:solidFill>
          </w14:textFill>
        </w:rPr>
        <w:t>“最近三年”是指从202</w:t>
      </w:r>
      <w:r>
        <w:rPr>
          <w:rFonts w:hint="eastAsia" w:ascii="宋体" w:hAnsi="宋体"/>
          <w:color w:val="000000" w:themeColor="text1"/>
          <w:szCs w:val="21"/>
          <w:highlight w:val="none"/>
          <w:u w:val="single"/>
          <w:lang w:val="en-US" w:eastAsia="zh-CN"/>
          <w14:textFill>
            <w14:solidFill>
              <w14:schemeClr w14:val="tx1"/>
            </w14:solidFill>
          </w14:textFill>
        </w:rPr>
        <w:t>2</w:t>
      </w:r>
      <w:r>
        <w:rPr>
          <w:rFonts w:hint="eastAsia" w:ascii="宋体" w:hAnsi="宋体"/>
          <w:color w:val="000000" w:themeColor="text1"/>
          <w:szCs w:val="21"/>
          <w:highlight w:val="none"/>
          <w:u w:val="single"/>
          <w14:textFill>
            <w14:solidFill>
              <w14:schemeClr w14:val="tx1"/>
            </w14:solidFill>
          </w14:textFill>
        </w:rPr>
        <w:t>年1月1日</w:t>
      </w:r>
      <w:r>
        <w:rPr>
          <w:rFonts w:ascii="宋体" w:hAnsi="宋体"/>
          <w:color w:val="000000" w:themeColor="text1"/>
          <w:szCs w:val="21"/>
          <w:highlight w:val="none"/>
          <w:u w:val="single"/>
          <w14:textFill>
            <w14:solidFill>
              <w14:schemeClr w14:val="tx1"/>
            </w14:solidFill>
          </w14:textFill>
        </w:rPr>
        <w:t>至</w:t>
      </w:r>
      <w:r>
        <w:rPr>
          <w:rFonts w:hint="eastAsia" w:ascii="宋体" w:hAnsi="宋体"/>
          <w:color w:val="000000" w:themeColor="text1"/>
          <w:szCs w:val="21"/>
          <w:highlight w:val="none"/>
          <w:u w:val="single"/>
          <w14:textFill>
            <w14:solidFill>
              <w14:schemeClr w14:val="tx1"/>
            </w14:solidFill>
          </w14:textFill>
        </w:rPr>
        <w:t>投标截止时间止，以相关行业主管部门、司法机关出具的生效文件的落款时间起计算）；</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（14）法律法规或投标人须知前附表规定的其他情形。</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26" w:name="_Toc49509970"/>
      <w:bookmarkStart w:id="27" w:name="_Toc49506136"/>
      <w:r>
        <w:rPr>
          <w:rFonts w:ascii="宋体" w:hAnsi="宋体" w:eastAsia="宋体"/>
          <w:color w:val="000000" w:themeColor="text1"/>
          <w:highlight w:val="none"/>
          <w14:textFill>
            <w14:solidFill>
              <w14:schemeClr w14:val="tx1"/>
            </w14:solidFill>
          </w14:textFill>
        </w:rPr>
        <w:t xml:space="preserve">1.5 </w:t>
      </w:r>
      <w:r>
        <w:rPr>
          <w:rFonts w:hint="eastAsia" w:ascii="宋体" w:hAnsi="宋体" w:eastAsia="宋体"/>
          <w:color w:val="000000" w:themeColor="text1"/>
          <w:highlight w:val="none"/>
          <w14:textFill>
            <w14:solidFill>
              <w14:schemeClr w14:val="tx1"/>
            </w14:solidFill>
          </w14:textFill>
        </w:rPr>
        <w:t>费用承担</w:t>
      </w:r>
      <w:bookmarkEnd w:id="26"/>
      <w:bookmarkEnd w:id="27"/>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投标人准备和参加投标活动发生的费用自理。</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28" w:name="_Toc49509971"/>
      <w:bookmarkStart w:id="29" w:name="_Toc49506137"/>
      <w:r>
        <w:rPr>
          <w:rFonts w:ascii="宋体" w:hAnsi="宋体" w:eastAsia="宋体"/>
          <w:color w:val="000000" w:themeColor="text1"/>
          <w:highlight w:val="none"/>
          <w14:textFill>
            <w14:solidFill>
              <w14:schemeClr w14:val="tx1"/>
            </w14:solidFill>
          </w14:textFill>
        </w:rPr>
        <w:t>1.6</w:t>
      </w:r>
      <w:r>
        <w:rPr>
          <w:rFonts w:hint="eastAsia" w:ascii="宋体" w:hAnsi="宋体" w:eastAsia="宋体"/>
          <w:color w:val="000000" w:themeColor="text1"/>
          <w:highlight w:val="none"/>
          <w14:textFill>
            <w14:solidFill>
              <w14:schemeClr w14:val="tx1"/>
            </w14:solidFill>
          </w14:textFill>
        </w:rPr>
        <w:t>保密</w:t>
      </w:r>
      <w:bookmarkEnd w:id="28"/>
      <w:bookmarkEnd w:id="29"/>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参与招标投标活动的各方应对招标文件和投标文件中</w:t>
      </w:r>
      <w:bookmarkStart w:id="30" w:name="_Toc361508589"/>
      <w:bookmarkStart w:id="31" w:name="_Toc384308214"/>
      <w:bookmarkStart w:id="32" w:name="_Toc369531519"/>
      <w:bookmarkStart w:id="33" w:name="_Toc5326"/>
      <w:bookmarkStart w:id="34" w:name="_Toc352691477"/>
      <w:r>
        <w:rPr>
          <w:rFonts w:hint="eastAsia" w:ascii="宋体" w:hAnsi="宋体"/>
          <w:color w:val="000000" w:themeColor="text1"/>
          <w:highlight w:val="none"/>
          <w14:textFill>
            <w14:solidFill>
              <w14:schemeClr w14:val="tx1"/>
            </w14:solidFill>
          </w14:textFill>
        </w:rPr>
        <w:t>的商业和技术等秘密保密</w:t>
      </w:r>
      <w:bookmarkEnd w:id="30"/>
      <w:bookmarkEnd w:id="31"/>
      <w:bookmarkEnd w:id="32"/>
      <w:bookmarkEnd w:id="33"/>
      <w:bookmarkEnd w:id="34"/>
      <w:r>
        <w:rPr>
          <w:rFonts w:hint="eastAsia" w:ascii="宋体" w:hAnsi="宋体"/>
          <w:color w:val="000000" w:themeColor="text1"/>
          <w:highlight w:val="none"/>
          <w14:textFill>
            <w14:solidFill>
              <w14:schemeClr w14:val="tx1"/>
            </w14:solidFill>
          </w14:textFill>
        </w:rPr>
        <w:t>，否则应承担相应的法律责任。</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35" w:name="_Toc49506138"/>
      <w:bookmarkStart w:id="36" w:name="_Toc49509972"/>
      <w:r>
        <w:rPr>
          <w:rFonts w:ascii="宋体" w:hAnsi="宋体" w:eastAsia="宋体"/>
          <w:color w:val="000000" w:themeColor="text1"/>
          <w:highlight w:val="none"/>
          <w14:textFill>
            <w14:solidFill>
              <w14:schemeClr w14:val="tx1"/>
            </w14:solidFill>
          </w14:textFill>
        </w:rPr>
        <w:t>1.7</w:t>
      </w:r>
      <w:r>
        <w:rPr>
          <w:rFonts w:hint="eastAsia" w:ascii="宋体" w:hAnsi="宋体" w:eastAsia="宋体"/>
          <w:color w:val="000000" w:themeColor="text1"/>
          <w:highlight w:val="none"/>
          <w14:textFill>
            <w14:solidFill>
              <w14:schemeClr w14:val="tx1"/>
            </w14:solidFill>
          </w14:textFill>
        </w:rPr>
        <w:t>语言文字</w:t>
      </w:r>
      <w:bookmarkEnd w:id="35"/>
      <w:bookmarkEnd w:id="36"/>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招标投标文件使用的语言文字为中文。专用术语使用外文的，应附有中文注释。</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37" w:name="_Toc49506139"/>
      <w:bookmarkStart w:id="38" w:name="_Toc49509973"/>
      <w:r>
        <w:rPr>
          <w:rFonts w:ascii="宋体" w:hAnsi="宋体" w:eastAsia="宋体"/>
          <w:color w:val="000000" w:themeColor="text1"/>
          <w:highlight w:val="none"/>
          <w14:textFill>
            <w14:solidFill>
              <w14:schemeClr w14:val="tx1"/>
            </w14:solidFill>
          </w14:textFill>
        </w:rPr>
        <w:t>1.8</w:t>
      </w:r>
      <w:r>
        <w:rPr>
          <w:rFonts w:hint="eastAsia" w:ascii="宋体" w:hAnsi="宋体" w:eastAsia="宋体"/>
          <w:color w:val="000000" w:themeColor="text1"/>
          <w:highlight w:val="none"/>
          <w14:textFill>
            <w14:solidFill>
              <w14:schemeClr w14:val="tx1"/>
            </w14:solidFill>
          </w14:textFill>
        </w:rPr>
        <w:t>计量单位</w:t>
      </w:r>
      <w:bookmarkEnd w:id="37"/>
      <w:bookmarkEnd w:id="38"/>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所有计量均采用中华人民共和国法定计量单位。</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39" w:name="_Toc482188480"/>
      <w:bookmarkStart w:id="40" w:name="_Toc152045539"/>
      <w:bookmarkStart w:id="41" w:name="_Toc49506140"/>
      <w:bookmarkStart w:id="42" w:name="_Toc361508594"/>
      <w:bookmarkStart w:id="43" w:name="_Toc247513962"/>
      <w:bookmarkStart w:id="44" w:name="_Toc300834959"/>
      <w:bookmarkStart w:id="45" w:name="_Toc144974507"/>
      <w:bookmarkStart w:id="46" w:name="_Toc370676289"/>
      <w:bookmarkStart w:id="47" w:name="_Toc49509974"/>
      <w:bookmarkStart w:id="48" w:name="_Toc152042315"/>
      <w:bookmarkStart w:id="49" w:name="_Toc391393967"/>
      <w:bookmarkStart w:id="50" w:name="_Toc384308219"/>
      <w:bookmarkStart w:id="51" w:name="_Toc247527563"/>
      <w:r>
        <w:rPr>
          <w:rFonts w:ascii="宋体" w:hAnsi="宋体" w:eastAsia="宋体"/>
          <w:color w:val="000000" w:themeColor="text1"/>
          <w:highlight w:val="none"/>
          <w14:textFill>
            <w14:solidFill>
              <w14:schemeClr w14:val="tx1"/>
            </w14:solidFill>
          </w14:textFill>
        </w:rPr>
        <w:t xml:space="preserve">1.9 </w:t>
      </w:r>
      <w:r>
        <w:rPr>
          <w:rFonts w:hint="eastAsia" w:ascii="宋体" w:hAnsi="宋体" w:eastAsia="宋体"/>
          <w:color w:val="000000" w:themeColor="text1"/>
          <w:highlight w:val="none"/>
          <w14:textFill>
            <w14:solidFill>
              <w14:schemeClr w14:val="tx1"/>
            </w14:solidFill>
          </w14:textFill>
        </w:rPr>
        <w:t>踏勘现场</w:t>
      </w:r>
      <w:bookmarkEnd w:id="39"/>
      <w:bookmarkEnd w:id="40"/>
      <w:bookmarkEnd w:id="41"/>
      <w:bookmarkEnd w:id="42"/>
      <w:bookmarkEnd w:id="43"/>
      <w:bookmarkEnd w:id="44"/>
      <w:bookmarkEnd w:id="45"/>
      <w:bookmarkEnd w:id="46"/>
      <w:bookmarkEnd w:id="47"/>
      <w:bookmarkEnd w:id="48"/>
      <w:bookmarkEnd w:id="49"/>
      <w:bookmarkEnd w:id="50"/>
      <w:bookmarkEnd w:id="51"/>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1.9.1 </w:t>
      </w:r>
      <w:r>
        <w:rPr>
          <w:rFonts w:hint="eastAsia" w:ascii="宋体" w:hAnsi="宋体"/>
          <w:color w:val="000000" w:themeColor="text1"/>
          <w:highlight w:val="none"/>
          <w14:textFill>
            <w14:solidFill>
              <w14:schemeClr w14:val="tx1"/>
            </w14:solidFill>
          </w14:textFill>
        </w:rPr>
        <w:t>投标人须知前附表规定组织踏勘现场的，招标人按投标人须知前附表规定的时间、地点组织投标人踏勘项目现场。部分投标人未按时参加踏勘现场的，不影响踏勘现场的正常进行。</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1.9.2 </w:t>
      </w:r>
      <w:r>
        <w:rPr>
          <w:rFonts w:hint="eastAsia" w:ascii="宋体" w:hAnsi="宋体"/>
          <w:color w:val="000000" w:themeColor="text1"/>
          <w:highlight w:val="none"/>
          <w14:textFill>
            <w14:solidFill>
              <w14:schemeClr w14:val="tx1"/>
            </w14:solidFill>
          </w14:textFill>
        </w:rPr>
        <w:t>投标人踏勘现场发生的费用自理。</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1.9.3 </w:t>
      </w:r>
      <w:r>
        <w:rPr>
          <w:rFonts w:hint="eastAsia" w:ascii="宋体" w:hAnsi="宋体"/>
          <w:color w:val="000000" w:themeColor="text1"/>
          <w:highlight w:val="none"/>
          <w14:textFill>
            <w14:solidFill>
              <w14:schemeClr w14:val="tx1"/>
            </w14:solidFill>
          </w14:textFill>
        </w:rPr>
        <w:t>除招标人的原因外，投标人自行负责在踏勘现场中所发生的人员伤亡和财产损失。</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1.9.4 </w:t>
      </w:r>
      <w:r>
        <w:rPr>
          <w:rFonts w:hint="eastAsia" w:ascii="宋体" w:hAnsi="宋体"/>
          <w:color w:val="000000" w:themeColor="text1"/>
          <w:highlight w:val="none"/>
          <w14:textFill>
            <w14:solidFill>
              <w14:schemeClr w14:val="tx1"/>
            </w14:solidFill>
          </w14:textFill>
        </w:rPr>
        <w:t>招标人在踏勘现场中介绍的工程场地和相关的周边环境情况，供投标人在编制投标文件时参考，招标人不对投标人据此作出的判断和决策负责。</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52" w:name="_Toc49509975"/>
      <w:bookmarkStart w:id="53" w:name="_Toc49506141"/>
      <w:r>
        <w:rPr>
          <w:rFonts w:ascii="宋体" w:hAnsi="宋体" w:eastAsia="宋体"/>
          <w:color w:val="000000" w:themeColor="text1"/>
          <w:highlight w:val="none"/>
          <w14:textFill>
            <w14:solidFill>
              <w14:schemeClr w14:val="tx1"/>
            </w14:solidFill>
          </w14:textFill>
        </w:rPr>
        <w:t>1.10</w:t>
      </w:r>
      <w:r>
        <w:rPr>
          <w:rFonts w:hint="eastAsia" w:ascii="宋体" w:hAnsi="宋体" w:eastAsia="宋体"/>
          <w:color w:val="000000" w:themeColor="text1"/>
          <w:highlight w:val="none"/>
          <w14:textFill>
            <w14:solidFill>
              <w14:schemeClr w14:val="tx1"/>
            </w14:solidFill>
          </w14:textFill>
        </w:rPr>
        <w:t>投标预备会</w:t>
      </w:r>
      <w:bookmarkEnd w:id="52"/>
      <w:bookmarkEnd w:id="53"/>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1.10.1 </w:t>
      </w:r>
      <w:r>
        <w:rPr>
          <w:rFonts w:hint="eastAsia" w:ascii="宋体" w:hAnsi="宋体"/>
          <w:color w:val="000000" w:themeColor="text1"/>
          <w:highlight w:val="none"/>
          <w14:textFill>
            <w14:solidFill>
              <w14:schemeClr w14:val="tx1"/>
            </w14:solidFill>
          </w14:textFill>
        </w:rPr>
        <w:t>投标人须知前附表规定召开投标预备会的，招标人按投标人须知前附表规定的时间和地点召开投标预备会，澄清投标人提出的问题。</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1.10.2 </w:t>
      </w:r>
      <w:r>
        <w:rPr>
          <w:rFonts w:hint="eastAsia" w:ascii="宋体" w:hAnsi="宋体"/>
          <w:color w:val="000000" w:themeColor="text1"/>
          <w:highlight w:val="none"/>
          <w14:textFill>
            <w14:solidFill>
              <w14:schemeClr w14:val="tx1"/>
            </w14:solidFill>
          </w14:textFill>
        </w:rPr>
        <w:t>投标人应按投标人须知前附表规定的时间和形式将提出的问题送达招标人，以便招标人在会议期间澄清。</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1.10.3 </w:t>
      </w:r>
      <w:r>
        <w:rPr>
          <w:rFonts w:hint="eastAsia" w:ascii="宋体" w:hAnsi="宋体"/>
          <w:color w:val="000000" w:themeColor="text1"/>
          <w:highlight w:val="none"/>
          <w14:textFill>
            <w14:solidFill>
              <w14:schemeClr w14:val="tx1"/>
            </w14:solidFill>
          </w14:textFill>
        </w:rPr>
        <w:t>投标预备会后，招标人将对投标人所提问题的澄清，以投标人须知前附表规定的形式通知所有</w:t>
      </w:r>
      <w:r>
        <w:rPr>
          <w:rFonts w:hint="eastAsia" w:ascii="宋体" w:hAnsi="宋体"/>
          <w:color w:val="000000" w:themeColor="text1"/>
          <w:highlight w:val="none"/>
          <w:u w:val="single"/>
          <w:lang w:val="en-US" w:eastAsia="zh-CN"/>
          <w14:textFill>
            <w14:solidFill>
              <w14:schemeClr w14:val="tx1"/>
            </w14:solidFill>
          </w14:textFill>
        </w:rPr>
        <w:t>投标登记</w:t>
      </w:r>
      <w:r>
        <w:rPr>
          <w:rFonts w:hint="eastAsia" w:ascii="宋体" w:hAnsi="宋体"/>
          <w:color w:val="000000" w:themeColor="text1"/>
          <w:highlight w:val="none"/>
          <w14:textFill>
            <w14:solidFill>
              <w14:schemeClr w14:val="tx1"/>
            </w14:solidFill>
          </w14:textFill>
        </w:rPr>
        <w:t>的投标人。该澄清内容为招标文件的组成部分。</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54" w:name="_Toc49509976"/>
      <w:bookmarkStart w:id="55" w:name="_Toc49506142"/>
      <w:r>
        <w:rPr>
          <w:rFonts w:ascii="宋体" w:hAnsi="宋体" w:eastAsia="宋体"/>
          <w:color w:val="000000" w:themeColor="text1"/>
          <w:highlight w:val="none"/>
          <w14:textFill>
            <w14:solidFill>
              <w14:schemeClr w14:val="tx1"/>
            </w14:solidFill>
          </w14:textFill>
        </w:rPr>
        <w:t xml:space="preserve">1.11 </w:t>
      </w:r>
      <w:r>
        <w:rPr>
          <w:rFonts w:hint="eastAsia" w:ascii="宋体" w:hAnsi="宋体" w:eastAsia="宋体"/>
          <w:color w:val="000000" w:themeColor="text1"/>
          <w:highlight w:val="none"/>
          <w14:textFill>
            <w14:solidFill>
              <w14:schemeClr w14:val="tx1"/>
            </w14:solidFill>
          </w14:textFill>
        </w:rPr>
        <w:t>分包</w:t>
      </w:r>
      <w:bookmarkEnd w:id="54"/>
      <w:bookmarkEnd w:id="55"/>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本项目严禁分包。</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56" w:name="_Toc49506143"/>
      <w:bookmarkStart w:id="57" w:name="_Toc49509977"/>
      <w:r>
        <w:rPr>
          <w:rFonts w:ascii="宋体" w:hAnsi="宋体" w:eastAsia="宋体"/>
          <w:color w:val="000000" w:themeColor="text1"/>
          <w:highlight w:val="none"/>
          <w14:textFill>
            <w14:solidFill>
              <w14:schemeClr w14:val="tx1"/>
            </w14:solidFill>
          </w14:textFill>
        </w:rPr>
        <w:t>1.12</w:t>
      </w:r>
      <w:r>
        <w:rPr>
          <w:rFonts w:hint="eastAsia" w:ascii="宋体" w:hAnsi="宋体" w:eastAsia="宋体"/>
          <w:color w:val="000000" w:themeColor="text1"/>
          <w:highlight w:val="none"/>
          <w14:textFill>
            <w14:solidFill>
              <w14:schemeClr w14:val="tx1"/>
            </w14:solidFill>
          </w14:textFill>
        </w:rPr>
        <w:t>响应和偏差</w:t>
      </w:r>
      <w:bookmarkEnd w:id="56"/>
      <w:bookmarkEnd w:id="57"/>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1.12.1</w:t>
      </w:r>
      <w:r>
        <w:rPr>
          <w:rFonts w:hint="eastAsia" w:ascii="宋体" w:hAnsi="宋体"/>
          <w:color w:val="000000" w:themeColor="text1"/>
          <w:highlight w:val="none"/>
          <w14:textFill>
            <w14:solidFill>
              <w14:schemeClr w14:val="tx1"/>
            </w14:solidFill>
          </w14:textFill>
        </w:rPr>
        <w:t>投标文件应当对招标文件的实质性要求和条件作出满足性或更有利于招标人的响应，否则，投标人的投标将被否决。实质性要求和条件见投标人须知前附表。</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1.12.2 </w:t>
      </w:r>
      <w:r>
        <w:rPr>
          <w:rFonts w:ascii="宋体" w:hAnsi="宋体"/>
          <w:color w:val="000000" w:themeColor="text1"/>
          <w:szCs w:val="21"/>
          <w:highlight w:val="none"/>
          <w14:textFill>
            <w14:solidFill>
              <w14:schemeClr w14:val="tx1"/>
            </w14:solidFill>
          </w14:textFill>
        </w:rPr>
        <w:t>投标人应根据招标文件的要求提供</w:t>
      </w:r>
      <w:r>
        <w:rPr>
          <w:rFonts w:ascii="宋体" w:hAnsi="宋体"/>
          <w:color w:val="000000" w:themeColor="text1"/>
          <w:highlight w:val="none"/>
          <w14:textFill>
            <w14:solidFill>
              <w14:schemeClr w14:val="tx1"/>
            </w14:solidFill>
          </w14:textFill>
        </w:rPr>
        <w:t>投标</w:t>
      </w:r>
      <w:r>
        <w:rPr>
          <w:rFonts w:hint="eastAsia" w:ascii="宋体" w:hAnsi="宋体"/>
          <w:color w:val="000000" w:themeColor="text1"/>
          <w:highlight w:val="none"/>
          <w14:textFill>
            <w14:solidFill>
              <w14:schemeClr w14:val="tx1"/>
            </w14:solidFill>
          </w14:textFill>
        </w:rPr>
        <w:t>监理方案大纲</w:t>
      </w:r>
      <w:r>
        <w:rPr>
          <w:rFonts w:ascii="宋体" w:hAnsi="宋体"/>
          <w:color w:val="000000" w:themeColor="text1"/>
          <w:highlight w:val="none"/>
          <w14:textFill>
            <w14:solidFill>
              <w14:schemeClr w14:val="tx1"/>
            </w14:solidFill>
          </w14:textFill>
        </w:rPr>
        <w:t>等内容以对招标文件作出响应。</w:t>
      </w:r>
    </w:p>
    <w:p>
      <w:pPr>
        <w:spacing w:line="400" w:lineRule="exact"/>
        <w:ind w:firstLine="435"/>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1.12.3投标人须知前附表允许投标文件偏离招标文件某些要求的，偏差应当符合招标文件规定的偏差范围和幅度。</w:t>
      </w:r>
    </w:p>
    <w:p>
      <w:pPr>
        <w:pStyle w:val="3"/>
        <w:rPr>
          <w:rFonts w:ascii="宋体" w:hAnsi="宋体" w:eastAsia="宋体"/>
          <w:color w:val="000000" w:themeColor="text1"/>
          <w:highlight w:val="none"/>
          <w14:textFill>
            <w14:solidFill>
              <w14:schemeClr w14:val="tx1"/>
            </w14:solidFill>
          </w14:textFill>
        </w:rPr>
      </w:pPr>
      <w:bookmarkStart w:id="58" w:name="_Toc49509978"/>
      <w:r>
        <w:rPr>
          <w:rFonts w:ascii="宋体" w:hAnsi="宋体" w:eastAsia="宋体"/>
          <w:color w:val="000000" w:themeColor="text1"/>
          <w:highlight w:val="none"/>
          <w14:textFill>
            <w14:solidFill>
              <w14:schemeClr w14:val="tx1"/>
            </w14:solidFill>
          </w14:textFill>
        </w:rPr>
        <w:t xml:space="preserve">2. </w:t>
      </w:r>
      <w:r>
        <w:rPr>
          <w:rFonts w:hint="eastAsia" w:ascii="宋体" w:hAnsi="宋体" w:eastAsia="宋体"/>
          <w:color w:val="000000" w:themeColor="text1"/>
          <w:highlight w:val="none"/>
          <w14:textFill>
            <w14:solidFill>
              <w14:schemeClr w14:val="tx1"/>
            </w14:solidFill>
          </w14:textFill>
        </w:rPr>
        <w:t>招标文件</w:t>
      </w:r>
      <w:bookmarkEnd w:id="58"/>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59" w:name="_Toc49509979"/>
      <w:bookmarkStart w:id="60" w:name="_Toc49506145"/>
      <w:r>
        <w:rPr>
          <w:rFonts w:ascii="宋体" w:hAnsi="宋体" w:eastAsia="宋体"/>
          <w:color w:val="000000" w:themeColor="text1"/>
          <w:highlight w:val="none"/>
          <w14:textFill>
            <w14:solidFill>
              <w14:schemeClr w14:val="tx1"/>
            </w14:solidFill>
          </w14:textFill>
        </w:rPr>
        <w:t xml:space="preserve">2.1 </w:t>
      </w:r>
      <w:r>
        <w:rPr>
          <w:rFonts w:hint="eastAsia" w:ascii="宋体" w:hAnsi="宋体" w:eastAsia="宋体"/>
          <w:color w:val="000000" w:themeColor="text1"/>
          <w:highlight w:val="none"/>
          <w14:textFill>
            <w14:solidFill>
              <w14:schemeClr w14:val="tx1"/>
            </w14:solidFill>
          </w14:textFill>
        </w:rPr>
        <w:t>招标文件的组成</w:t>
      </w:r>
      <w:bookmarkEnd w:id="59"/>
      <w:bookmarkEnd w:id="60"/>
    </w:p>
    <w:p>
      <w:pPr>
        <w:spacing w:line="400" w:lineRule="exact"/>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本招标文件包括：</w:t>
      </w:r>
    </w:p>
    <w:p>
      <w:pPr>
        <w:spacing w:line="400" w:lineRule="exact"/>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）招标公告</w:t>
      </w:r>
      <w:r>
        <w:rPr>
          <w:rFonts w:hint="eastAsia" w:ascii="宋体" w:hAnsi="宋体"/>
          <w:strike/>
          <w:color w:val="000000" w:themeColor="text1"/>
          <w:highlight w:val="none"/>
          <w14:textFill>
            <w14:solidFill>
              <w14:schemeClr w14:val="tx1"/>
            </w14:solidFill>
          </w14:textFill>
        </w:rPr>
        <w:t>（或投标邀请书）</w:t>
      </w:r>
      <w:r>
        <w:rPr>
          <w:rFonts w:hint="eastAsia" w:ascii="宋体" w:hAnsi="宋体"/>
          <w:color w:val="000000" w:themeColor="text1"/>
          <w:highlight w:val="none"/>
          <w14:textFill>
            <w14:solidFill>
              <w14:schemeClr w14:val="tx1"/>
            </w14:solidFill>
          </w14:textFill>
        </w:rPr>
        <w:t>；</w:t>
      </w:r>
    </w:p>
    <w:p>
      <w:pPr>
        <w:spacing w:line="400" w:lineRule="exact"/>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）投标人须知；</w:t>
      </w:r>
    </w:p>
    <w:p>
      <w:pPr>
        <w:spacing w:line="400" w:lineRule="exact"/>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）评标办法</w:t>
      </w:r>
      <w:r>
        <w:rPr>
          <w:rFonts w:hint="eastAsia" w:ascii="宋体" w:hAnsi="宋体"/>
          <w:color w:val="000000" w:themeColor="text1"/>
          <w:highlight w:val="none"/>
          <w:u w:val="single"/>
          <w14:textFill>
            <w14:solidFill>
              <w14:schemeClr w14:val="tx1"/>
            </w14:solidFill>
          </w14:textFill>
        </w:rPr>
        <w:t>（“评定分离”定标办法）</w:t>
      </w:r>
      <w:r>
        <w:rPr>
          <w:rFonts w:hint="eastAsia" w:ascii="宋体" w:hAnsi="宋体"/>
          <w:color w:val="000000" w:themeColor="text1"/>
          <w:highlight w:val="none"/>
          <w14:textFill>
            <w14:solidFill>
              <w14:schemeClr w14:val="tx1"/>
            </w14:solidFill>
          </w14:textFill>
        </w:rPr>
        <w:t>；</w:t>
      </w:r>
    </w:p>
    <w:p>
      <w:pPr>
        <w:spacing w:line="400" w:lineRule="exact"/>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）合同条款及格式；</w:t>
      </w:r>
    </w:p>
    <w:p>
      <w:pPr>
        <w:spacing w:line="400" w:lineRule="exact"/>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）委托人要求；</w:t>
      </w:r>
    </w:p>
    <w:p>
      <w:pPr>
        <w:spacing w:line="400" w:lineRule="exact"/>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14:textFill>
            <w14:solidFill>
              <w14:schemeClr w14:val="tx1"/>
            </w14:solidFill>
          </w14:textFill>
        </w:rPr>
        <w:t>）投标文件格式；</w:t>
      </w:r>
    </w:p>
    <w:p>
      <w:pPr>
        <w:spacing w:line="400" w:lineRule="exact"/>
        <w:ind w:firstLine="359" w:firstLineChars="171"/>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7</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否决性条款汇总；</w:t>
      </w:r>
    </w:p>
    <w:p>
      <w:pPr>
        <w:spacing w:line="400" w:lineRule="exact"/>
        <w:ind w:firstLine="359" w:firstLineChars="171"/>
        <w:rPr>
          <w:rFonts w:hint="eastAsia" w:ascii="宋体" w:hAnsi="宋体"/>
          <w:color w:val="000000" w:themeColor="text1"/>
          <w:highlight w:val="none"/>
          <w:u w:val="singl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（8）投标人须知前附表规定的其他资料。</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根据本章第</w:t>
      </w:r>
      <w:r>
        <w:rPr>
          <w:rFonts w:ascii="宋体" w:hAnsi="宋体"/>
          <w:color w:val="000000" w:themeColor="text1"/>
          <w:highlight w:val="none"/>
          <w14:textFill>
            <w14:solidFill>
              <w14:schemeClr w14:val="tx1"/>
            </w14:solidFill>
          </w14:textFill>
        </w:rPr>
        <w:t>1.10</w:t>
      </w:r>
      <w:r>
        <w:rPr>
          <w:rFonts w:hint="eastAsia" w:ascii="宋体" w:hAnsi="宋体"/>
          <w:color w:val="000000" w:themeColor="text1"/>
          <w:highlight w:val="none"/>
          <w14:textFill>
            <w14:solidFill>
              <w14:schemeClr w14:val="tx1"/>
            </w14:solidFill>
          </w14:textFill>
        </w:rPr>
        <w:t>款、第</w:t>
      </w:r>
      <w:r>
        <w:rPr>
          <w:rFonts w:ascii="宋体" w:hAnsi="宋体"/>
          <w:color w:val="000000" w:themeColor="text1"/>
          <w:highlight w:val="none"/>
          <w14:textFill>
            <w14:solidFill>
              <w14:schemeClr w14:val="tx1"/>
            </w14:solidFill>
          </w14:textFill>
        </w:rPr>
        <w:t>2.2</w:t>
      </w:r>
      <w:r>
        <w:rPr>
          <w:rFonts w:hint="eastAsia" w:ascii="宋体" w:hAnsi="宋体"/>
          <w:color w:val="000000" w:themeColor="text1"/>
          <w:highlight w:val="none"/>
          <w14:textFill>
            <w14:solidFill>
              <w14:schemeClr w14:val="tx1"/>
            </w14:solidFill>
          </w14:textFill>
        </w:rPr>
        <w:t>款和第</w:t>
      </w:r>
      <w:r>
        <w:rPr>
          <w:rFonts w:ascii="宋体" w:hAnsi="宋体"/>
          <w:color w:val="000000" w:themeColor="text1"/>
          <w:highlight w:val="none"/>
          <w14:textFill>
            <w14:solidFill>
              <w14:schemeClr w14:val="tx1"/>
            </w14:solidFill>
          </w14:textFill>
        </w:rPr>
        <w:t>2.3</w:t>
      </w:r>
      <w:r>
        <w:rPr>
          <w:rFonts w:hint="eastAsia" w:ascii="宋体" w:hAnsi="宋体"/>
          <w:color w:val="000000" w:themeColor="text1"/>
          <w:highlight w:val="none"/>
          <w14:textFill>
            <w14:solidFill>
              <w14:schemeClr w14:val="tx1"/>
            </w14:solidFill>
          </w14:textFill>
        </w:rPr>
        <w:t>款对招标文件所作的澄清、修改，构成招标文件的组成部分。</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61" w:name="_Toc49506146"/>
      <w:bookmarkStart w:id="62" w:name="_Toc49509980"/>
      <w:r>
        <w:rPr>
          <w:rFonts w:ascii="宋体" w:hAnsi="宋体" w:eastAsia="宋体"/>
          <w:color w:val="000000" w:themeColor="text1"/>
          <w:highlight w:val="none"/>
          <w14:textFill>
            <w14:solidFill>
              <w14:schemeClr w14:val="tx1"/>
            </w14:solidFill>
          </w14:textFill>
        </w:rPr>
        <w:t xml:space="preserve">2.2 </w:t>
      </w:r>
      <w:r>
        <w:rPr>
          <w:rFonts w:hint="eastAsia" w:ascii="宋体" w:hAnsi="宋体" w:eastAsia="宋体"/>
          <w:color w:val="000000" w:themeColor="text1"/>
          <w:highlight w:val="none"/>
          <w14:textFill>
            <w14:solidFill>
              <w14:schemeClr w14:val="tx1"/>
            </w14:solidFill>
          </w14:textFill>
        </w:rPr>
        <w:t>招标文件的澄清</w:t>
      </w:r>
      <w:bookmarkEnd w:id="61"/>
      <w:bookmarkEnd w:id="62"/>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2.2.1</w:t>
      </w:r>
      <w:r>
        <w:rPr>
          <w:rFonts w:hint="eastAsia" w:ascii="宋体" w:hAnsi="宋体"/>
          <w:color w:val="000000" w:themeColor="text1"/>
          <w:highlight w:val="none"/>
          <w14:textFill>
            <w14:solidFill>
              <w14:schemeClr w14:val="tx1"/>
            </w14:solidFill>
          </w14:textFill>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2.2.2</w:t>
      </w:r>
      <w:r>
        <w:rPr>
          <w:rFonts w:hint="eastAsia" w:ascii="宋体" w:hAnsi="宋体"/>
          <w:color w:val="000000" w:themeColor="text1"/>
          <w:highlight w:val="none"/>
          <w14:textFill>
            <w14:solidFill>
              <w14:schemeClr w14:val="tx1"/>
            </w14:solidFill>
          </w14:textFill>
        </w:rPr>
        <w:t>招标文件的澄清以投标人须知前附表规定的形式发给所有</w:t>
      </w:r>
      <w:r>
        <w:rPr>
          <w:rFonts w:hint="eastAsia" w:ascii="宋体" w:hAnsi="宋体"/>
          <w:color w:val="000000" w:themeColor="text1"/>
          <w:highlight w:val="none"/>
          <w:u w:val="single"/>
          <w:lang w:val="en-US" w:eastAsia="zh-CN"/>
          <w14:textFill>
            <w14:solidFill>
              <w14:schemeClr w14:val="tx1"/>
            </w14:solidFill>
          </w14:textFill>
        </w:rPr>
        <w:t>投标登记</w:t>
      </w:r>
      <w:r>
        <w:rPr>
          <w:rFonts w:hint="eastAsia" w:ascii="宋体" w:hAnsi="宋体"/>
          <w:color w:val="000000" w:themeColor="text1"/>
          <w:highlight w:val="none"/>
          <w14:textFill>
            <w14:solidFill>
              <w14:schemeClr w14:val="tx1"/>
            </w14:solidFill>
          </w14:textFill>
        </w:rPr>
        <w:t>的投标人，但不指明澄清问题的来源。澄清发出的时间距本章第</w:t>
      </w:r>
      <w:r>
        <w:rPr>
          <w:rFonts w:ascii="宋体" w:hAnsi="宋体"/>
          <w:color w:val="000000" w:themeColor="text1"/>
          <w:highlight w:val="none"/>
          <w14:textFill>
            <w14:solidFill>
              <w14:schemeClr w14:val="tx1"/>
            </w14:solidFill>
          </w14:textFill>
        </w:rPr>
        <w:t>4.2.1</w:t>
      </w:r>
      <w:r>
        <w:rPr>
          <w:rFonts w:hint="eastAsia" w:ascii="宋体" w:hAnsi="宋体"/>
          <w:color w:val="000000" w:themeColor="text1"/>
          <w:highlight w:val="none"/>
          <w14:textFill>
            <w14:solidFill>
              <w14:schemeClr w14:val="tx1"/>
            </w14:solidFill>
          </w14:textFill>
        </w:rPr>
        <w:t>项规定的投标截止时间不足</w:t>
      </w:r>
      <w:r>
        <w:rPr>
          <w:rFonts w:ascii="宋体" w:hAnsi="宋体"/>
          <w:color w:val="000000" w:themeColor="text1"/>
          <w:highlight w:val="none"/>
          <w14:textFill>
            <w14:solidFill>
              <w14:schemeClr w14:val="tx1"/>
            </w14:solidFill>
          </w14:textFill>
        </w:rPr>
        <w:t>15</w:t>
      </w:r>
      <w:r>
        <w:rPr>
          <w:rFonts w:hint="eastAsia" w:ascii="宋体" w:hAnsi="宋体"/>
          <w:color w:val="000000" w:themeColor="text1"/>
          <w:highlight w:val="none"/>
          <w14:textFill>
            <w14:solidFill>
              <w14:schemeClr w14:val="tx1"/>
            </w14:solidFill>
          </w14:textFill>
        </w:rPr>
        <w:t>日的，并且澄清内容可能影响投标文件编制的，将相应延长投标截止时间。</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2.2.3</w:t>
      </w:r>
      <w:r>
        <w:rPr>
          <w:rFonts w:hint="eastAsia" w:ascii="宋体" w:hAnsi="宋体"/>
          <w:color w:val="000000" w:themeColor="text1"/>
          <w:highlight w:val="none"/>
          <w14:textFill>
            <w14:solidFill>
              <w14:schemeClr w14:val="tx1"/>
            </w14:solidFill>
          </w14:textFill>
        </w:rPr>
        <w:t>投标人在收到澄清后，应按投标人须知前附表规定的时间和形式通知招标人，确认已收到该澄清。</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2.2.4</w:t>
      </w:r>
      <w:r>
        <w:rPr>
          <w:rFonts w:hint="eastAsia" w:ascii="宋体" w:hAnsi="宋体"/>
          <w:color w:val="000000" w:themeColor="text1"/>
          <w:highlight w:val="none"/>
          <w14:textFill>
            <w14:solidFill>
              <w14:schemeClr w14:val="tx1"/>
            </w14:solidFill>
          </w14:textFill>
        </w:rPr>
        <w:t>除非招标人认为确有必要答复，否则，招标人有权拒绝回复投标人在本章第</w:t>
      </w:r>
      <w:r>
        <w:rPr>
          <w:rFonts w:ascii="宋体" w:hAnsi="宋体"/>
          <w:color w:val="000000" w:themeColor="text1"/>
          <w:highlight w:val="none"/>
          <w14:textFill>
            <w14:solidFill>
              <w14:schemeClr w14:val="tx1"/>
            </w14:solidFill>
          </w14:textFill>
        </w:rPr>
        <w:t>2.2.1</w:t>
      </w:r>
      <w:r>
        <w:rPr>
          <w:rFonts w:hint="eastAsia" w:ascii="宋体" w:hAnsi="宋体"/>
          <w:color w:val="000000" w:themeColor="text1"/>
          <w:highlight w:val="none"/>
          <w14:textFill>
            <w14:solidFill>
              <w14:schemeClr w14:val="tx1"/>
            </w14:solidFill>
          </w14:textFill>
        </w:rPr>
        <w:t>项规定的时间后的任何澄清要求。</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63" w:name="_Toc49506147"/>
      <w:bookmarkStart w:id="64" w:name="_Toc49509981"/>
      <w:bookmarkStart w:id="65" w:name="_Toc352691479"/>
      <w:r>
        <w:rPr>
          <w:rFonts w:ascii="宋体" w:hAnsi="宋体" w:eastAsia="宋体"/>
          <w:color w:val="000000" w:themeColor="text1"/>
          <w:highlight w:val="none"/>
          <w14:textFill>
            <w14:solidFill>
              <w14:schemeClr w14:val="tx1"/>
            </w14:solidFill>
          </w14:textFill>
        </w:rPr>
        <w:t xml:space="preserve">2.3 </w:t>
      </w:r>
      <w:r>
        <w:rPr>
          <w:rFonts w:hint="eastAsia" w:ascii="宋体" w:hAnsi="宋体" w:eastAsia="宋体"/>
          <w:color w:val="000000" w:themeColor="text1"/>
          <w:highlight w:val="none"/>
          <w14:textFill>
            <w14:solidFill>
              <w14:schemeClr w14:val="tx1"/>
            </w14:solidFill>
          </w14:textFill>
        </w:rPr>
        <w:t>招标文件的修</w:t>
      </w:r>
      <w:bookmarkStart w:id="66" w:name="_Toc369531521"/>
      <w:bookmarkStart w:id="67" w:name="_Toc16514"/>
      <w:r>
        <w:rPr>
          <w:rFonts w:hint="eastAsia" w:ascii="宋体" w:hAnsi="宋体" w:eastAsia="宋体"/>
          <w:color w:val="000000" w:themeColor="text1"/>
          <w:highlight w:val="none"/>
          <w14:textFill>
            <w14:solidFill>
              <w14:schemeClr w14:val="tx1"/>
            </w14:solidFill>
          </w14:textFill>
        </w:rPr>
        <w:t>改</w:t>
      </w:r>
      <w:bookmarkEnd w:id="63"/>
      <w:bookmarkEnd w:id="64"/>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2.3.1</w:t>
      </w:r>
      <w:r>
        <w:rPr>
          <w:rFonts w:hint="eastAsia" w:ascii="宋体" w:hAnsi="宋体"/>
          <w:color w:val="000000" w:themeColor="text1"/>
          <w:highlight w:val="none"/>
          <w14:textFill>
            <w14:solidFill>
              <w14:schemeClr w14:val="tx1"/>
            </w14:solidFill>
          </w14:textFill>
        </w:rPr>
        <w:t>招标人以投标人须知前附表规定的形式修改招标文件，并通知所有</w:t>
      </w:r>
      <w:r>
        <w:rPr>
          <w:rFonts w:hint="eastAsia" w:ascii="宋体" w:hAnsi="宋体"/>
          <w:color w:val="000000" w:themeColor="text1"/>
          <w:highlight w:val="none"/>
          <w:u w:val="single"/>
          <w:lang w:val="en-US" w:eastAsia="zh-CN"/>
          <w14:textFill>
            <w14:solidFill>
              <w14:schemeClr w14:val="tx1"/>
            </w14:solidFill>
          </w14:textFill>
        </w:rPr>
        <w:t>投标登记</w:t>
      </w:r>
      <w:r>
        <w:rPr>
          <w:rFonts w:hint="eastAsia" w:ascii="宋体" w:hAnsi="宋体"/>
          <w:color w:val="000000" w:themeColor="text1"/>
          <w:highlight w:val="none"/>
          <w14:textFill>
            <w14:solidFill>
              <w14:schemeClr w14:val="tx1"/>
            </w14:solidFill>
          </w14:textFill>
        </w:rPr>
        <w:t>的投标人。修改招标文件的时间距本章第</w:t>
      </w:r>
      <w:r>
        <w:rPr>
          <w:rFonts w:ascii="宋体" w:hAnsi="宋体"/>
          <w:color w:val="000000" w:themeColor="text1"/>
          <w:highlight w:val="none"/>
          <w14:textFill>
            <w14:solidFill>
              <w14:schemeClr w14:val="tx1"/>
            </w14:solidFill>
          </w14:textFill>
        </w:rPr>
        <w:t>4.2.1</w:t>
      </w:r>
      <w:r>
        <w:rPr>
          <w:rFonts w:hint="eastAsia" w:ascii="宋体" w:hAnsi="宋体"/>
          <w:color w:val="000000" w:themeColor="text1"/>
          <w:highlight w:val="none"/>
          <w14:textFill>
            <w14:solidFill>
              <w14:schemeClr w14:val="tx1"/>
            </w14:solidFill>
          </w14:textFill>
        </w:rPr>
        <w:t>项规定的投标截止时间不足</w:t>
      </w:r>
      <w:r>
        <w:rPr>
          <w:rFonts w:ascii="宋体" w:hAnsi="宋体"/>
          <w:color w:val="000000" w:themeColor="text1"/>
          <w:highlight w:val="none"/>
          <w14:textFill>
            <w14:solidFill>
              <w14:schemeClr w14:val="tx1"/>
            </w14:solidFill>
          </w14:textFill>
        </w:rPr>
        <w:t>15</w:t>
      </w:r>
      <w:r>
        <w:rPr>
          <w:rFonts w:hint="eastAsia" w:ascii="宋体" w:hAnsi="宋体"/>
          <w:color w:val="000000" w:themeColor="text1"/>
          <w:highlight w:val="none"/>
          <w14:textFill>
            <w14:solidFill>
              <w14:schemeClr w14:val="tx1"/>
            </w14:solidFill>
          </w14:textFill>
        </w:rPr>
        <w:t>日的，并且修改内容可能影响投标文件编制的，将相应延长投标截止时间。</w:t>
      </w:r>
    </w:p>
    <w:bookmarkEnd w:id="65"/>
    <w:bookmarkEnd w:id="66"/>
    <w:bookmarkEnd w:id="67"/>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2.3.2</w:t>
      </w:r>
      <w:r>
        <w:rPr>
          <w:rFonts w:hint="eastAsia" w:ascii="宋体" w:hAnsi="宋体"/>
          <w:color w:val="000000" w:themeColor="text1"/>
          <w:highlight w:val="none"/>
          <w14:textFill>
            <w14:solidFill>
              <w14:schemeClr w14:val="tx1"/>
            </w14:solidFill>
          </w14:textFill>
        </w:rPr>
        <w:t>投标人收到修改内容</w:t>
      </w:r>
      <w:bookmarkStart w:id="68" w:name="_Toc152045538"/>
      <w:bookmarkStart w:id="69" w:name="_Toc247513961"/>
      <w:bookmarkStart w:id="70" w:name="_Toc384308218"/>
      <w:bookmarkStart w:id="71" w:name="_Toc24632"/>
      <w:bookmarkStart w:id="72" w:name="_Toc369531524"/>
      <w:bookmarkStart w:id="73" w:name="_Toc152042314"/>
      <w:bookmarkStart w:id="74" w:name="_Toc361508593"/>
      <w:bookmarkStart w:id="75" w:name="_Toc144974506"/>
      <w:bookmarkStart w:id="76" w:name="_Toc352691482"/>
      <w:bookmarkStart w:id="77" w:name="_Toc247527562"/>
      <w:bookmarkStart w:id="78" w:name="_Toc300834958"/>
      <w:r>
        <w:rPr>
          <w:rFonts w:hint="eastAsia" w:ascii="宋体" w:hAnsi="宋体"/>
          <w:color w:val="000000" w:themeColor="text1"/>
          <w:highlight w:val="none"/>
          <w14:textFill>
            <w14:solidFill>
              <w14:schemeClr w14:val="tx1"/>
            </w14:solidFill>
          </w14:textFill>
        </w:rPr>
        <w:t>后，</w:t>
      </w:r>
      <w:bookmarkEnd w:id="68"/>
      <w:bookmarkEnd w:id="69"/>
      <w:bookmarkEnd w:id="70"/>
      <w:bookmarkEnd w:id="71"/>
      <w:bookmarkEnd w:id="72"/>
      <w:bookmarkEnd w:id="73"/>
      <w:bookmarkEnd w:id="74"/>
      <w:bookmarkEnd w:id="75"/>
      <w:bookmarkEnd w:id="76"/>
      <w:bookmarkEnd w:id="77"/>
      <w:bookmarkEnd w:id="78"/>
      <w:bookmarkStart w:id="79" w:name="_Toc144974508"/>
      <w:bookmarkStart w:id="80" w:name="_Toc384308220"/>
      <w:bookmarkStart w:id="81" w:name="_Toc361508595"/>
      <w:bookmarkStart w:id="82" w:name="_Toc352691484"/>
      <w:bookmarkStart w:id="83" w:name="_Toc247527564"/>
      <w:bookmarkStart w:id="84" w:name="_Toc300834960"/>
      <w:bookmarkStart w:id="85" w:name="_Toc16623"/>
      <w:bookmarkStart w:id="86" w:name="_Toc247513963"/>
      <w:bookmarkStart w:id="87" w:name="_Toc152042316"/>
      <w:bookmarkStart w:id="88" w:name="_Toc152045540"/>
      <w:bookmarkStart w:id="89" w:name="_Toc369531526"/>
      <w:r>
        <w:rPr>
          <w:rFonts w:hint="eastAsia" w:ascii="宋体" w:hAnsi="宋体"/>
          <w:color w:val="000000" w:themeColor="text1"/>
          <w:highlight w:val="none"/>
          <w14:textFill>
            <w14:solidFill>
              <w14:schemeClr w14:val="tx1"/>
            </w14:solidFill>
          </w14:textFill>
        </w:rPr>
        <w:t>应按投标人须知前附表规定的时间和形式通知招标人，确认已收到该修改。</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90" w:name="_Toc49509982"/>
      <w:bookmarkStart w:id="91" w:name="_Toc49506148"/>
      <w:r>
        <w:rPr>
          <w:rFonts w:ascii="宋体" w:hAnsi="宋体" w:eastAsia="宋体"/>
          <w:color w:val="000000" w:themeColor="text1"/>
          <w:highlight w:val="none"/>
          <w14:textFill>
            <w14:solidFill>
              <w14:schemeClr w14:val="tx1"/>
            </w14:solidFill>
          </w14:textFill>
        </w:rPr>
        <w:t>2.</w:t>
      </w:r>
      <w:bookmarkEnd w:id="79"/>
      <w:bookmarkEnd w:id="80"/>
      <w:bookmarkEnd w:id="81"/>
      <w:bookmarkEnd w:id="82"/>
      <w:bookmarkEnd w:id="83"/>
      <w:bookmarkEnd w:id="84"/>
      <w:bookmarkEnd w:id="85"/>
      <w:bookmarkEnd w:id="86"/>
      <w:bookmarkEnd w:id="87"/>
      <w:bookmarkEnd w:id="88"/>
      <w:bookmarkEnd w:id="89"/>
      <w:r>
        <w:rPr>
          <w:rFonts w:ascii="宋体" w:hAnsi="宋体" w:eastAsia="宋体"/>
          <w:color w:val="000000" w:themeColor="text1"/>
          <w:highlight w:val="none"/>
          <w14:textFill>
            <w14:solidFill>
              <w14:schemeClr w14:val="tx1"/>
            </w14:solidFill>
          </w14:textFill>
        </w:rPr>
        <w:t xml:space="preserve">4 </w:t>
      </w:r>
      <w:r>
        <w:rPr>
          <w:rFonts w:hint="eastAsia" w:ascii="宋体" w:hAnsi="宋体" w:eastAsia="宋体"/>
          <w:color w:val="000000" w:themeColor="text1"/>
          <w:highlight w:val="none"/>
          <w14:textFill>
            <w14:solidFill>
              <w14:schemeClr w14:val="tx1"/>
            </w14:solidFill>
          </w14:textFill>
        </w:rPr>
        <w:t>招标文件的异议</w:t>
      </w:r>
      <w:bookmarkEnd w:id="90"/>
      <w:bookmarkEnd w:id="91"/>
    </w:p>
    <w:p>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投标人或者其他利害关系人对招标文件有异议的，应当在投标截止时间</w:t>
      </w:r>
      <w:r>
        <w:rPr>
          <w:rFonts w:ascii="宋体" w:hAnsi="宋体"/>
          <w:color w:val="000000" w:themeColor="text1"/>
          <w:highlight w:val="none"/>
          <w14:textFill>
            <w14:solidFill>
              <w14:schemeClr w14:val="tx1"/>
            </w14:solidFill>
          </w14:textFill>
        </w:rPr>
        <w:t>10</w:t>
      </w:r>
      <w:r>
        <w:rPr>
          <w:rFonts w:hint="eastAsia" w:ascii="宋体" w:hAnsi="宋体"/>
          <w:color w:val="000000" w:themeColor="text1"/>
          <w:highlight w:val="none"/>
          <w14:textFill>
            <w14:solidFill>
              <w14:schemeClr w14:val="tx1"/>
            </w14:solidFill>
          </w14:textFill>
        </w:rPr>
        <w:t>日前以书面形式提出。招标人将在收到异议之日起</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日内作出答复；作出答复前，将暂停招标投标活动。</w:t>
      </w:r>
    </w:p>
    <w:p>
      <w:pPr>
        <w:spacing w:line="400" w:lineRule="exact"/>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pStyle w:val="3"/>
        <w:rPr>
          <w:rFonts w:ascii="宋体" w:hAnsi="宋体" w:eastAsia="宋体"/>
          <w:color w:val="000000" w:themeColor="text1"/>
          <w:highlight w:val="none"/>
          <w14:textFill>
            <w14:solidFill>
              <w14:schemeClr w14:val="tx1"/>
            </w14:solidFill>
          </w14:textFill>
        </w:rPr>
      </w:pPr>
      <w:bookmarkStart w:id="92" w:name="_Toc49509983"/>
      <w:r>
        <w:rPr>
          <w:rFonts w:ascii="宋体" w:hAnsi="宋体" w:eastAsia="宋体"/>
          <w:color w:val="000000" w:themeColor="text1"/>
          <w:highlight w:val="none"/>
          <w14:textFill>
            <w14:solidFill>
              <w14:schemeClr w14:val="tx1"/>
            </w14:solidFill>
          </w14:textFill>
        </w:rPr>
        <w:t xml:space="preserve">3. </w:t>
      </w:r>
      <w:r>
        <w:rPr>
          <w:rFonts w:hint="eastAsia" w:ascii="宋体" w:hAnsi="宋体" w:eastAsia="宋体"/>
          <w:color w:val="000000" w:themeColor="text1"/>
          <w:highlight w:val="none"/>
          <w14:textFill>
            <w14:solidFill>
              <w14:schemeClr w14:val="tx1"/>
            </w14:solidFill>
          </w14:textFill>
        </w:rPr>
        <w:t>投标文件</w:t>
      </w:r>
      <w:bookmarkEnd w:id="92"/>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93" w:name="_Toc49509984"/>
      <w:bookmarkStart w:id="94" w:name="_Toc49506150"/>
      <w:r>
        <w:rPr>
          <w:rFonts w:ascii="宋体" w:hAnsi="宋体" w:eastAsia="宋体"/>
          <w:color w:val="000000" w:themeColor="text1"/>
          <w:highlight w:val="none"/>
          <w14:textFill>
            <w14:solidFill>
              <w14:schemeClr w14:val="tx1"/>
            </w14:solidFill>
          </w14:textFill>
        </w:rPr>
        <w:t xml:space="preserve">3.1 </w:t>
      </w:r>
      <w:r>
        <w:rPr>
          <w:rFonts w:hint="eastAsia" w:ascii="宋体" w:hAnsi="宋体" w:eastAsia="宋体"/>
          <w:color w:val="000000" w:themeColor="text1"/>
          <w:highlight w:val="none"/>
          <w14:textFill>
            <w14:solidFill>
              <w14:schemeClr w14:val="tx1"/>
            </w14:solidFill>
          </w14:textFill>
        </w:rPr>
        <w:t>投标文件的组成</w:t>
      </w:r>
      <w:bookmarkEnd w:id="93"/>
      <w:bookmarkEnd w:id="94"/>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3.1.1投标文件应</w:t>
      </w:r>
      <w:r>
        <w:rPr>
          <w:rFonts w:hint="eastAsia" w:ascii="宋体" w:hAnsi="宋体"/>
          <w:color w:val="000000" w:themeColor="text1"/>
          <w:highlight w:val="none"/>
          <w14:textFill>
            <w14:solidFill>
              <w14:schemeClr w14:val="tx1"/>
            </w14:solidFill>
          </w14:textFill>
        </w:rPr>
        <w:t>包括下列内容：</w:t>
      </w:r>
    </w:p>
    <w:p>
      <w:pPr>
        <w:topLinePunct/>
        <w:adjustRightInd w:val="0"/>
        <w:snapToGrid w:val="0"/>
        <w:spacing w:line="360" w:lineRule="auto"/>
        <w:ind w:firstLine="420" w:firstLineChars="200"/>
        <w:rPr>
          <w:rFonts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（1）投标函及投标函附录；</w:t>
      </w:r>
    </w:p>
    <w:p>
      <w:pPr>
        <w:topLinePunct/>
        <w:adjustRightInd w:val="0"/>
        <w:snapToGrid w:val="0"/>
        <w:spacing w:line="360" w:lineRule="auto"/>
        <w:ind w:firstLine="420" w:firstLineChars="200"/>
        <w:rPr>
          <w:rFonts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（2）法定代表人身份证明或授权委托书；</w:t>
      </w:r>
    </w:p>
    <w:p>
      <w:pPr>
        <w:topLinePunct/>
        <w:adjustRightInd w:val="0"/>
        <w:snapToGrid w:val="0"/>
        <w:spacing w:line="360" w:lineRule="auto"/>
        <w:ind w:firstLine="420" w:firstLineChars="200"/>
        <w:rPr>
          <w:rFonts w:ascii="宋体" w:hAnsi="宋体"/>
          <w:strike/>
          <w:color w:val="000000" w:themeColor="text1"/>
          <w:kern w:val="0"/>
          <w:szCs w:val="24"/>
          <w:highlight w:val="none"/>
          <w14:textFill>
            <w14:solidFill>
              <w14:schemeClr w14:val="tx1"/>
            </w14:solidFill>
          </w14:textFill>
        </w:rPr>
      </w:pPr>
      <w:r>
        <w:rPr>
          <w:rFonts w:hint="eastAsia" w:ascii="宋体" w:hAnsi="宋体"/>
          <w:strike/>
          <w:color w:val="000000" w:themeColor="text1"/>
          <w:kern w:val="0"/>
          <w:szCs w:val="24"/>
          <w:highlight w:val="none"/>
          <w14:textFill>
            <w14:solidFill>
              <w14:schemeClr w14:val="tx1"/>
            </w14:solidFill>
          </w14:textFill>
        </w:rPr>
        <w:t>（</w:t>
      </w:r>
      <w:r>
        <w:rPr>
          <w:rFonts w:ascii="宋体" w:hAnsi="宋体"/>
          <w:strike/>
          <w:color w:val="000000" w:themeColor="text1"/>
          <w:kern w:val="0"/>
          <w:szCs w:val="24"/>
          <w:highlight w:val="none"/>
          <w14:textFill>
            <w14:solidFill>
              <w14:schemeClr w14:val="tx1"/>
            </w14:solidFill>
          </w14:textFill>
        </w:rPr>
        <w:t>3）联合体协议书；</w:t>
      </w:r>
    </w:p>
    <w:p>
      <w:pPr>
        <w:topLinePunct/>
        <w:adjustRightInd w:val="0"/>
        <w:snapToGrid w:val="0"/>
        <w:spacing w:line="360" w:lineRule="auto"/>
        <w:ind w:firstLine="420" w:firstLineChars="200"/>
        <w:rPr>
          <w:rFonts w:ascii="宋体" w:hAnsi="宋体"/>
          <w:strike/>
          <w:color w:val="000000" w:themeColor="text1"/>
          <w:kern w:val="0"/>
          <w:szCs w:val="24"/>
          <w:highlight w:val="none"/>
          <w14:textFill>
            <w14:solidFill>
              <w14:schemeClr w14:val="tx1"/>
            </w14:solidFill>
          </w14:textFill>
        </w:rPr>
      </w:pPr>
      <w:r>
        <w:rPr>
          <w:rFonts w:hint="eastAsia" w:ascii="宋体" w:hAnsi="宋体"/>
          <w:strike/>
          <w:color w:val="000000" w:themeColor="text1"/>
          <w:kern w:val="0"/>
          <w:szCs w:val="24"/>
          <w:highlight w:val="none"/>
          <w14:textFill>
            <w14:solidFill>
              <w14:schemeClr w14:val="tx1"/>
            </w14:solidFill>
          </w14:textFill>
        </w:rPr>
        <w:t>（</w:t>
      </w:r>
      <w:r>
        <w:rPr>
          <w:rFonts w:ascii="宋体" w:hAnsi="宋体"/>
          <w:strike/>
          <w:color w:val="000000" w:themeColor="text1"/>
          <w:kern w:val="0"/>
          <w:szCs w:val="24"/>
          <w:highlight w:val="none"/>
          <w14:textFill>
            <w14:solidFill>
              <w14:schemeClr w14:val="tx1"/>
            </w14:solidFill>
          </w14:textFill>
        </w:rPr>
        <w:t>4）投标保证金</w:t>
      </w:r>
      <w:r>
        <w:rPr>
          <w:rFonts w:hint="eastAsia" w:ascii="宋体" w:hAnsi="宋体"/>
          <w:strike/>
          <w:color w:val="000000" w:themeColor="text1"/>
          <w:kern w:val="0"/>
          <w:szCs w:val="24"/>
          <w:highlight w:val="none"/>
          <w14:textFill>
            <w14:solidFill>
              <w14:schemeClr w14:val="tx1"/>
            </w14:solidFill>
          </w14:textFill>
        </w:rPr>
        <w:t>；</w:t>
      </w:r>
    </w:p>
    <w:p>
      <w:pPr>
        <w:topLinePunct/>
        <w:adjustRightInd w:val="0"/>
        <w:snapToGrid w:val="0"/>
        <w:spacing w:line="360" w:lineRule="auto"/>
        <w:ind w:firstLine="420" w:firstLineChars="200"/>
        <w:rPr>
          <w:rFonts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（5）监理报酬清单；</w:t>
      </w:r>
    </w:p>
    <w:p>
      <w:pPr>
        <w:topLinePunct/>
        <w:adjustRightInd w:val="0"/>
        <w:snapToGrid w:val="0"/>
        <w:spacing w:line="360" w:lineRule="auto"/>
        <w:ind w:firstLine="420" w:firstLineChars="200"/>
        <w:rPr>
          <w:rFonts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（6）资格审查资料；</w:t>
      </w:r>
    </w:p>
    <w:p>
      <w:pPr>
        <w:topLinePunct/>
        <w:adjustRightInd w:val="0"/>
        <w:snapToGrid w:val="0"/>
        <w:spacing w:line="360" w:lineRule="auto"/>
        <w:ind w:firstLine="420" w:firstLineChars="200"/>
        <w:rPr>
          <w:rFonts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（7）监理大纲；</w:t>
      </w:r>
    </w:p>
    <w:p>
      <w:pPr>
        <w:topLinePunct/>
        <w:adjustRightInd w:val="0"/>
        <w:snapToGrid w:val="0"/>
        <w:spacing w:line="360" w:lineRule="auto"/>
        <w:ind w:firstLine="420" w:firstLineChars="200"/>
        <w:rPr>
          <w:rFonts w:hint="eastAsia" w:ascii="宋体" w:hAnsi="宋体"/>
          <w:color w:val="000000" w:themeColor="text1"/>
          <w:kern w:val="0"/>
          <w:szCs w:val="24"/>
          <w:highlight w:val="none"/>
          <w14:textFill>
            <w14:solidFill>
              <w14:schemeClr w14:val="tx1"/>
            </w14:solidFill>
          </w14:textFill>
        </w:rPr>
      </w:pPr>
      <w:r>
        <w:rPr>
          <w:rFonts w:hint="eastAsia" w:ascii="宋体" w:hAnsi="宋体"/>
          <w:color w:val="000000" w:themeColor="text1"/>
          <w:kern w:val="0"/>
          <w:szCs w:val="24"/>
          <w:highlight w:val="none"/>
          <w14:textFill>
            <w14:solidFill>
              <w14:schemeClr w14:val="tx1"/>
            </w14:solidFill>
          </w14:textFill>
        </w:rPr>
        <w:t>（8）投标人须知前附表规定的其他资料。</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投标人在评标过程中作出的符合法律法规和招标文件规定的澄清确认，构成投标文件的组成部分。</w:t>
      </w:r>
    </w:p>
    <w:p>
      <w:pPr>
        <w:spacing w:line="400" w:lineRule="exact"/>
        <w:ind w:firstLine="359" w:firstLineChars="171"/>
        <w:rPr>
          <w:rFonts w:ascii="宋体" w:hAnsi="宋体"/>
          <w:strike/>
          <w:color w:val="000000" w:themeColor="text1"/>
          <w:highlight w:val="none"/>
          <w14:textFill>
            <w14:solidFill>
              <w14:schemeClr w14:val="tx1"/>
            </w14:solidFill>
          </w14:textFill>
        </w:rPr>
      </w:pPr>
      <w:r>
        <w:rPr>
          <w:rFonts w:ascii="宋体" w:hAnsi="宋体"/>
          <w:strike/>
          <w:color w:val="000000" w:themeColor="text1"/>
          <w:highlight w:val="none"/>
          <w14:textFill>
            <w14:solidFill>
              <w14:schemeClr w14:val="tx1"/>
            </w14:solidFill>
          </w14:textFill>
        </w:rPr>
        <w:t>3.1.2投标人须知前附表规定不接受联合体投标的，或投标人没有组成联合体的，投标文件不包括本章第3.1.1（3）目所指的联合体协议书。</w:t>
      </w:r>
    </w:p>
    <w:p>
      <w:pPr>
        <w:spacing w:line="400" w:lineRule="exact"/>
        <w:ind w:firstLine="359" w:firstLineChars="171"/>
        <w:rPr>
          <w:rFonts w:ascii="宋体" w:hAnsi="宋体"/>
          <w:color w:val="000000" w:themeColor="text1"/>
          <w:highlight w:val="none"/>
          <w14:textFill>
            <w14:solidFill>
              <w14:schemeClr w14:val="tx1"/>
            </w14:solidFill>
          </w14:textFill>
        </w:rPr>
      </w:pPr>
      <w:r>
        <w:rPr>
          <w:rFonts w:ascii="宋体" w:hAnsi="宋体"/>
          <w:strike/>
          <w:color w:val="000000" w:themeColor="text1"/>
          <w:highlight w:val="none"/>
          <w14:textFill>
            <w14:solidFill>
              <w14:schemeClr w14:val="tx1"/>
            </w14:solidFill>
          </w14:textFill>
        </w:rPr>
        <w:t>3.1.3投标人须知前附表未要求提交投标保证金的，投标文件不包括本章第3.1.1（4）目所指的投标保证金。</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95" w:name="_Toc49509985"/>
      <w:bookmarkStart w:id="96" w:name="_Toc49506151"/>
      <w:r>
        <w:rPr>
          <w:rFonts w:ascii="宋体" w:hAnsi="宋体" w:eastAsia="宋体"/>
          <w:color w:val="000000" w:themeColor="text1"/>
          <w:highlight w:val="none"/>
          <w14:textFill>
            <w14:solidFill>
              <w14:schemeClr w14:val="tx1"/>
            </w14:solidFill>
          </w14:textFill>
        </w:rPr>
        <w:t xml:space="preserve">3.2 </w:t>
      </w:r>
      <w:r>
        <w:rPr>
          <w:rFonts w:hint="eastAsia" w:ascii="宋体" w:hAnsi="宋体" w:eastAsia="宋体"/>
          <w:color w:val="000000" w:themeColor="text1"/>
          <w:highlight w:val="none"/>
          <w14:textFill>
            <w14:solidFill>
              <w14:schemeClr w14:val="tx1"/>
            </w14:solidFill>
          </w14:textFill>
        </w:rPr>
        <w:t>投标报价</w:t>
      </w:r>
      <w:bookmarkEnd w:id="95"/>
      <w:bookmarkEnd w:id="96"/>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3.2.1投标报价应包括国家规定的增值税税金，除投标人须知前附表另有规定外，增值税税金按一般计税方法计算。投标人应按第六章“投标文件格式”的要求在投标函中进行报价并填写报酬清单。</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3.2.2投标人应充分了解该项目的总体情况以及影响投标报价的其他要素。</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3.2.3</w:t>
      </w:r>
      <w:bookmarkStart w:id="97" w:name="_Toc152042319"/>
      <w:bookmarkEnd w:id="97"/>
      <w:bookmarkStart w:id="98" w:name="_Toc369531530"/>
      <w:bookmarkEnd w:id="98"/>
      <w:bookmarkStart w:id="99" w:name="_Toc361508599"/>
      <w:bookmarkEnd w:id="99"/>
      <w:bookmarkStart w:id="100" w:name="_Toc152045543"/>
      <w:bookmarkEnd w:id="100"/>
      <w:bookmarkStart w:id="101" w:name="_Toc144974511"/>
      <w:bookmarkEnd w:id="101"/>
      <w:bookmarkStart w:id="102" w:name="_Toc247513967"/>
      <w:bookmarkEnd w:id="102"/>
      <w:bookmarkStart w:id="103" w:name="_Toc300834964"/>
      <w:bookmarkEnd w:id="103"/>
      <w:bookmarkStart w:id="104" w:name="_Toc247527568"/>
      <w:bookmarkEnd w:id="104"/>
      <w:bookmarkStart w:id="105" w:name="_Toc352691487"/>
      <w:bookmarkEnd w:id="105"/>
      <w:bookmarkStart w:id="106" w:name="_Toc384308224"/>
      <w:bookmarkEnd w:id="106"/>
      <w:bookmarkStart w:id="107" w:name="_Toc15242"/>
      <w:bookmarkEnd w:id="107"/>
      <w:r>
        <w:rPr>
          <w:rFonts w:hint="eastAsia" w:ascii="宋体" w:hAnsi="宋体"/>
          <w:color w:val="000000" w:themeColor="text1"/>
          <w:highlight w:val="none"/>
          <w14:textFill>
            <w14:solidFill>
              <w14:schemeClr w14:val="tx1"/>
            </w14:solidFill>
          </w14:textFill>
        </w:rPr>
        <w:t>本项目的报价方式见投标人须知前附表。</w:t>
      </w:r>
      <w:r>
        <w:rPr>
          <w:rFonts w:ascii="宋体" w:hAnsi="宋体"/>
          <w:color w:val="000000" w:themeColor="text1"/>
          <w:highlight w:val="none"/>
          <w14:textFill>
            <w14:solidFill>
              <w14:schemeClr w14:val="tx1"/>
            </w14:solidFill>
          </w14:textFill>
        </w:rPr>
        <w:t>投标人在投标截止时间前修改投标函中的投标报价总额，应同时修改投标文件“</w:t>
      </w:r>
      <w:r>
        <w:rPr>
          <w:rFonts w:hint="eastAsia" w:ascii="宋体" w:hAnsi="宋体"/>
          <w:color w:val="000000" w:themeColor="text1"/>
          <w:highlight w:val="none"/>
          <w14:textFill>
            <w14:solidFill>
              <w14:schemeClr w14:val="tx1"/>
            </w14:solidFill>
          </w14:textFill>
        </w:rPr>
        <w:t>投标报价表</w:t>
      </w:r>
      <w:r>
        <w:rPr>
          <w:rFonts w:ascii="宋体" w:hAnsi="宋体"/>
          <w:color w:val="000000" w:themeColor="text1"/>
          <w:highlight w:val="none"/>
          <w14:textFill>
            <w14:solidFill>
              <w14:schemeClr w14:val="tx1"/>
            </w14:solidFill>
          </w14:textFill>
        </w:rPr>
        <w:t>”中的相应报价。此修改须符合本章第4.3款的有关要求。</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3.2.4招标人设有最高投标限价的，投标人的投标报价不得超过最高投标限价，最高投标限价在投标</w:t>
      </w:r>
      <w:bookmarkStart w:id="108" w:name="_Toc144974512"/>
      <w:bookmarkStart w:id="109" w:name="_Toc361508600"/>
      <w:bookmarkStart w:id="110" w:name="_Toc152045544"/>
      <w:bookmarkStart w:id="111" w:name="_Toc152042320"/>
      <w:bookmarkStart w:id="112" w:name="_Toc352691488"/>
      <w:bookmarkStart w:id="113" w:name="_Toc300834965"/>
      <w:bookmarkStart w:id="114" w:name="_Toc10429"/>
      <w:bookmarkStart w:id="115" w:name="_Toc369531531"/>
      <w:bookmarkStart w:id="116" w:name="_Toc247527569"/>
      <w:bookmarkStart w:id="117" w:name="_Toc247513968"/>
      <w:bookmarkStart w:id="118" w:name="_Toc384308225"/>
      <w:r>
        <w:rPr>
          <w:rFonts w:ascii="宋体" w:hAnsi="宋体"/>
          <w:color w:val="000000" w:themeColor="text1"/>
          <w:highlight w:val="none"/>
          <w14:textFill>
            <w14:solidFill>
              <w14:schemeClr w14:val="tx1"/>
            </w14:solidFill>
          </w14:textFill>
        </w:rPr>
        <w:t>人须知前附表中载明。</w:t>
      </w:r>
      <w:bookmarkEnd w:id="108"/>
      <w:bookmarkEnd w:id="109"/>
      <w:bookmarkEnd w:id="110"/>
      <w:bookmarkEnd w:id="111"/>
      <w:bookmarkEnd w:id="112"/>
      <w:bookmarkEnd w:id="113"/>
      <w:bookmarkEnd w:id="114"/>
      <w:bookmarkEnd w:id="115"/>
      <w:bookmarkEnd w:id="116"/>
      <w:bookmarkEnd w:id="117"/>
      <w:bookmarkEnd w:id="118"/>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3.2.5 </w:t>
      </w:r>
      <w:r>
        <w:rPr>
          <w:rFonts w:hint="eastAsia" w:ascii="宋体" w:hAnsi="宋体"/>
          <w:color w:val="000000" w:themeColor="text1"/>
          <w:highlight w:val="none"/>
          <w14:textFill>
            <w14:solidFill>
              <w14:schemeClr w14:val="tx1"/>
            </w14:solidFill>
          </w14:textFill>
        </w:rPr>
        <w:t>投标报价的其他要求见投标人须知前附表。</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119" w:name="_Toc49509986"/>
      <w:bookmarkStart w:id="120" w:name="_Toc49506152"/>
      <w:r>
        <w:rPr>
          <w:rFonts w:ascii="宋体" w:hAnsi="宋体" w:eastAsia="宋体"/>
          <w:color w:val="000000" w:themeColor="text1"/>
          <w:highlight w:val="none"/>
          <w14:textFill>
            <w14:solidFill>
              <w14:schemeClr w14:val="tx1"/>
            </w14:solidFill>
          </w14:textFill>
        </w:rPr>
        <w:t xml:space="preserve">3.3 </w:t>
      </w:r>
      <w:r>
        <w:rPr>
          <w:rFonts w:hint="eastAsia" w:ascii="宋体" w:hAnsi="宋体" w:eastAsia="宋体"/>
          <w:color w:val="000000" w:themeColor="text1"/>
          <w:highlight w:val="none"/>
          <w14:textFill>
            <w14:solidFill>
              <w14:schemeClr w14:val="tx1"/>
            </w14:solidFill>
          </w14:textFill>
        </w:rPr>
        <w:t>投标有效期</w:t>
      </w:r>
      <w:bookmarkEnd w:id="119"/>
      <w:bookmarkEnd w:id="120"/>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3.3.1</w:t>
      </w:r>
      <w:r>
        <w:rPr>
          <w:rFonts w:hint="eastAsia" w:ascii="宋体" w:hAnsi="宋体"/>
          <w:color w:val="000000" w:themeColor="text1"/>
          <w:highlight w:val="none"/>
          <w14:textFill>
            <w14:solidFill>
              <w14:schemeClr w14:val="tx1"/>
            </w14:solidFill>
          </w14:textFill>
        </w:rPr>
        <w:t>除</w:t>
      </w:r>
      <w:r>
        <w:rPr>
          <w:rFonts w:ascii="宋体" w:hAnsi="宋体"/>
          <w:color w:val="000000" w:themeColor="text1"/>
          <w:highlight w:val="none"/>
          <w14:textFill>
            <w14:solidFill>
              <w14:schemeClr w14:val="tx1"/>
            </w14:solidFill>
          </w14:textFill>
        </w:rPr>
        <w:t>投标人须知前附表另有规定外，投标有效期为</w:t>
      </w:r>
      <w:r>
        <w:rPr>
          <w:rFonts w:hint="eastAsia" w:ascii="宋体" w:hAnsi="宋体"/>
          <w:color w:val="000000" w:themeColor="text1"/>
          <w:highlight w:val="none"/>
          <w14:textFill>
            <w14:solidFill>
              <w14:schemeClr w14:val="tx1"/>
            </w14:solidFill>
          </w14:textFill>
        </w:rPr>
        <w:t>90</w:t>
      </w:r>
      <w:r>
        <w:rPr>
          <w:rFonts w:ascii="宋体" w:hAnsi="宋体"/>
          <w:color w:val="000000" w:themeColor="text1"/>
          <w:highlight w:val="none"/>
          <w14:textFill>
            <w14:solidFill>
              <w14:schemeClr w14:val="tx1"/>
            </w14:solidFill>
          </w14:textFill>
        </w:rPr>
        <w:t>天</w:t>
      </w:r>
      <w:r>
        <w:rPr>
          <w:rFonts w:hint="eastAsia" w:ascii="宋体" w:hAnsi="宋体"/>
          <w:color w:val="000000" w:themeColor="text1"/>
          <w:highlight w:val="none"/>
          <w14:textFill>
            <w14:solidFill>
              <w14:schemeClr w14:val="tx1"/>
            </w14:solidFill>
          </w14:textFill>
        </w:rPr>
        <w:t>。</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3.3.2</w:t>
      </w:r>
      <w:r>
        <w:rPr>
          <w:rFonts w:hint="eastAsia" w:ascii="宋体" w:hAnsi="宋体"/>
          <w:color w:val="000000" w:themeColor="text1"/>
          <w:highlight w:val="none"/>
          <w14:textFill>
            <w14:solidFill>
              <w14:schemeClr w14:val="tx1"/>
            </w14:solidFill>
          </w14:textFill>
        </w:rPr>
        <w:t>在投标有效期内，投标人撤销投标文件的，应承担招标文件和法律规定的责任。</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3.3.3</w:t>
      </w:r>
      <w:r>
        <w:rPr>
          <w:rFonts w:hint="eastAsia" w:ascii="宋体" w:hAnsi="宋体"/>
          <w:color w:val="000000" w:themeColor="text1"/>
          <w:highlight w:val="none"/>
          <w14:textFill>
            <w14:solidFill>
              <w14:schemeClr w14:val="tx1"/>
            </w14:solidFill>
          </w14:textFill>
        </w:rPr>
        <w:t>出现特殊情况需要延长投标有效期的，招标人以书面形式通知所有投标人延长投标有效期。投标人应予以书面答复，同意延长的，</w:t>
      </w:r>
      <w:r>
        <w:rPr>
          <w:rFonts w:hint="eastAsia" w:ascii="宋体" w:hAnsi="宋体"/>
          <w:strike/>
          <w:color w:val="000000" w:themeColor="text1"/>
          <w:highlight w:val="none"/>
          <w14:textFill>
            <w14:solidFill>
              <w14:schemeClr w14:val="tx1"/>
            </w14:solidFill>
          </w14:textFill>
        </w:rPr>
        <w:t>应相应延长其投标保证金的有效期，但</w:t>
      </w:r>
      <w:r>
        <w:rPr>
          <w:rFonts w:hint="eastAsia" w:ascii="宋体" w:hAnsi="宋体"/>
          <w:color w:val="000000" w:themeColor="text1"/>
          <w:highlight w:val="none"/>
          <w14:textFill>
            <w14:solidFill>
              <w14:schemeClr w14:val="tx1"/>
            </w14:solidFill>
          </w14:textFill>
        </w:rPr>
        <w:t>不得要求或被允许修改其投标文件；投标人拒绝延长的，其投标失效</w:t>
      </w:r>
      <w:r>
        <w:rPr>
          <w:rFonts w:hint="eastAsia" w:ascii="宋体" w:hAnsi="宋体"/>
          <w:strike/>
          <w:color w:val="000000" w:themeColor="text1"/>
          <w:highlight w:val="none"/>
          <w14:textFill>
            <w14:solidFill>
              <w14:schemeClr w14:val="tx1"/>
            </w14:solidFill>
          </w14:textFill>
        </w:rPr>
        <w:t>，但投标</w:t>
      </w:r>
      <w:r>
        <w:rPr>
          <w:rFonts w:ascii="宋体" w:hAnsi="宋体"/>
          <w:strike/>
          <w:color w:val="000000" w:themeColor="text1"/>
          <w:highlight w:val="none"/>
          <w14:textFill>
            <w14:solidFill>
              <w14:schemeClr w14:val="tx1"/>
            </w14:solidFill>
          </w14:textFill>
        </w:rPr>
        <w:t>人有权收回其投标保证金及以现金或者支票形式递交的投标保证金的银行同期存款利息</w:t>
      </w:r>
      <w:r>
        <w:rPr>
          <w:rFonts w:ascii="宋体" w:hAnsi="宋体"/>
          <w:color w:val="000000" w:themeColor="text1"/>
          <w:highlight w:val="none"/>
          <w14:textFill>
            <w14:solidFill>
              <w14:schemeClr w14:val="tx1"/>
            </w14:solidFill>
          </w14:textFill>
        </w:rPr>
        <w:t>。</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121" w:name="_Toc49506153"/>
      <w:bookmarkStart w:id="122" w:name="_Toc49509987"/>
      <w:r>
        <w:rPr>
          <w:rFonts w:ascii="宋体" w:hAnsi="宋体" w:eastAsia="宋体"/>
          <w:color w:val="000000" w:themeColor="text1"/>
          <w:highlight w:val="none"/>
          <w14:textFill>
            <w14:solidFill>
              <w14:schemeClr w14:val="tx1"/>
            </w14:solidFill>
          </w14:textFill>
        </w:rPr>
        <w:t xml:space="preserve">3.4 </w:t>
      </w:r>
      <w:r>
        <w:rPr>
          <w:rFonts w:hint="eastAsia" w:ascii="宋体" w:hAnsi="宋体" w:eastAsia="宋体"/>
          <w:color w:val="000000" w:themeColor="text1"/>
          <w:highlight w:val="none"/>
          <w14:textFill>
            <w14:solidFill>
              <w14:schemeClr w14:val="tx1"/>
            </w14:solidFill>
          </w14:textFill>
        </w:rPr>
        <w:t>投标保证金</w:t>
      </w:r>
      <w:bookmarkEnd w:id="121"/>
      <w:bookmarkEnd w:id="122"/>
      <w:r>
        <w:rPr>
          <w:rFonts w:hint="eastAsia" w:ascii="宋体" w:hAnsi="宋体" w:eastAsia="宋体" w:cs="宋体"/>
          <w:b/>
          <w:color w:val="000000" w:themeColor="text1"/>
          <w:szCs w:val="28"/>
          <w:highlight w:val="none"/>
          <w:u w:val="single"/>
          <w14:textFill>
            <w14:solidFill>
              <w14:schemeClr w14:val="tx1"/>
            </w14:solidFill>
          </w14:textFill>
        </w:rPr>
        <w:t>（本项目不要求递交投标保证金）</w:t>
      </w:r>
    </w:p>
    <w:p>
      <w:pPr>
        <w:spacing w:line="400" w:lineRule="exact"/>
        <w:ind w:firstLine="315" w:firstLineChars="150"/>
        <w:rPr>
          <w:rFonts w:hint="eastAsia"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400" w:lineRule="exact"/>
        <w:ind w:firstLine="315" w:firstLineChars="150"/>
        <w:rPr>
          <w:rFonts w:hint="eastAsia"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3.4.2 投标人不按本章第3.4.1项要求提交投标保证金的，评标委员会将否决其投标。</w:t>
      </w:r>
    </w:p>
    <w:p>
      <w:pPr>
        <w:spacing w:line="400" w:lineRule="exact"/>
        <w:ind w:firstLine="315" w:firstLineChars="150"/>
        <w:rPr>
          <w:rFonts w:hint="eastAsia"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3.4.3 招标人最迟将在与中标人签订合同后5日内，向未中标的投标人和中标人退还投标保证金。</w:t>
      </w:r>
    </w:p>
    <w:p>
      <w:pPr>
        <w:spacing w:line="400" w:lineRule="exact"/>
        <w:ind w:firstLine="315" w:firstLineChars="150"/>
        <w:rPr>
          <w:rFonts w:hint="eastAsia"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3.4.4 有下列情形之一的，投标保证金将不予退还：</w:t>
      </w:r>
    </w:p>
    <w:p>
      <w:pPr>
        <w:spacing w:line="400" w:lineRule="exact"/>
        <w:ind w:firstLine="315" w:firstLineChars="150"/>
        <w:rPr>
          <w:rFonts w:hint="eastAsia"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（1）投标人在投标有效期内撤销投标文件；</w:t>
      </w:r>
    </w:p>
    <w:p>
      <w:pPr>
        <w:spacing w:line="400" w:lineRule="exact"/>
        <w:ind w:firstLine="315" w:firstLineChars="150"/>
        <w:rPr>
          <w:rFonts w:hint="eastAsia"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（2）中标人在收到中标通知书后，无正当理由不与招标人订立合同，在签订合同时向招标人提出附加条件，或者不按照招标文件要求提交履约保证金；</w:t>
      </w:r>
    </w:p>
    <w:p>
      <w:pPr>
        <w:spacing w:line="400" w:lineRule="exact"/>
        <w:ind w:firstLine="315" w:firstLineChars="150"/>
        <w:rPr>
          <w:rFonts w:ascii="宋体" w:hAnsi="宋体"/>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（3）发生投标人须知前附表规定的其他可以不予退还投标保证金的情形。</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123" w:name="_Toc49506154"/>
      <w:bookmarkStart w:id="124" w:name="_Toc49509988"/>
      <w:r>
        <w:rPr>
          <w:rFonts w:ascii="宋体" w:hAnsi="宋体" w:eastAsia="宋体"/>
          <w:color w:val="000000" w:themeColor="text1"/>
          <w:highlight w:val="none"/>
          <w14:textFill>
            <w14:solidFill>
              <w14:schemeClr w14:val="tx1"/>
            </w14:solidFill>
          </w14:textFill>
        </w:rPr>
        <w:t xml:space="preserve">3.5 </w:t>
      </w:r>
      <w:r>
        <w:rPr>
          <w:rFonts w:hint="eastAsia" w:ascii="宋体" w:hAnsi="宋体" w:eastAsia="宋体"/>
          <w:color w:val="000000" w:themeColor="text1"/>
          <w:highlight w:val="none"/>
          <w14:textFill>
            <w14:solidFill>
              <w14:schemeClr w14:val="tx1"/>
            </w14:solidFill>
          </w14:textFill>
        </w:rPr>
        <w:t>资格审查资料（适用于未进行资格预审的）</w:t>
      </w:r>
      <w:bookmarkEnd w:id="123"/>
      <w:bookmarkEnd w:id="124"/>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除投标人须知前附表另有规定外，投标人应按下列规定提供资格审查资料，以证明其满足本章第1.4款规定的</w:t>
      </w:r>
      <w:r>
        <w:rPr>
          <w:rFonts w:hint="eastAsia" w:ascii="宋体" w:hAnsi="宋体"/>
          <w:color w:val="000000" w:themeColor="text1"/>
          <w:highlight w:val="none"/>
          <w14:textFill>
            <w14:solidFill>
              <w14:schemeClr w14:val="tx1"/>
            </w14:solidFill>
          </w14:textFill>
        </w:rPr>
        <w:t>资质、财务、业绩、信誉等要求。</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3.5.1 “投标人基本情况表”应附投标人</w:t>
      </w:r>
      <w:r>
        <w:rPr>
          <w:rFonts w:hint="eastAsia" w:ascii="宋体" w:hAnsi="宋体"/>
          <w:color w:val="000000" w:themeColor="text1"/>
          <w:highlight w:val="none"/>
          <w:u w:val="single"/>
          <w14:textFill>
            <w14:solidFill>
              <w14:schemeClr w14:val="tx1"/>
            </w14:solidFill>
          </w14:textFill>
        </w:rPr>
        <w:t>营业执照、资质证书</w:t>
      </w:r>
      <w:r>
        <w:rPr>
          <w:rFonts w:hint="eastAsia" w:ascii="宋体" w:hAnsi="宋体"/>
          <w:color w:val="000000" w:themeColor="text1"/>
          <w:highlight w:val="none"/>
          <w14:textFill>
            <w14:solidFill>
              <w14:schemeClr w14:val="tx1"/>
            </w14:solidFill>
          </w14:textFill>
        </w:rPr>
        <w:t>等材料。</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3.5.2 按招标公告要求提供总监理工程师相关证明资料。</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3.5.3按照招标文件的附件内容签署盖章的投标人声明（原件扫描件）。</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3.5.4投标人认为需要提交的其他资料。</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3.5.5 投标人须知前附表规定不接受联合体投标。</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125" w:name="_Toc49509989"/>
      <w:bookmarkStart w:id="126" w:name="_Toc49506155"/>
      <w:r>
        <w:rPr>
          <w:rFonts w:ascii="宋体" w:hAnsi="宋体" w:eastAsia="宋体"/>
          <w:color w:val="000000" w:themeColor="text1"/>
          <w:highlight w:val="none"/>
          <w14:textFill>
            <w14:solidFill>
              <w14:schemeClr w14:val="tx1"/>
            </w14:solidFill>
          </w14:textFill>
        </w:rPr>
        <w:t xml:space="preserve">3.6 </w:t>
      </w:r>
      <w:r>
        <w:rPr>
          <w:rFonts w:hint="eastAsia" w:ascii="宋体" w:hAnsi="宋体" w:eastAsia="宋体"/>
          <w:color w:val="000000" w:themeColor="text1"/>
          <w:highlight w:val="none"/>
          <w14:textFill>
            <w14:solidFill>
              <w14:schemeClr w14:val="tx1"/>
            </w14:solidFill>
          </w14:textFill>
        </w:rPr>
        <w:t>备选投标方案</w:t>
      </w:r>
      <w:bookmarkEnd w:id="125"/>
      <w:bookmarkEnd w:id="126"/>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3.6.1</w:t>
      </w:r>
      <w:r>
        <w:rPr>
          <w:rFonts w:hint="eastAsia" w:ascii="宋体" w:hAnsi="宋体"/>
          <w:color w:val="000000" w:themeColor="text1"/>
          <w:highlight w:val="none"/>
          <w14:textFill>
            <w14:solidFill>
              <w14:schemeClr w14:val="tx1"/>
            </w14:solidFill>
          </w14:textFill>
        </w:rPr>
        <w:t>除投标人须知前附表规定允许外，投标人不得递交备选投标方案，否则其投标将被否决。</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3.6.2</w:t>
      </w:r>
      <w:r>
        <w:rPr>
          <w:rFonts w:hint="eastAsia" w:ascii="宋体" w:hAnsi="宋体"/>
          <w:color w:val="000000" w:themeColor="text1"/>
          <w:highlight w:val="none"/>
          <w14:textFill>
            <w14:solidFill>
              <w14:schemeClr w14:val="tx1"/>
            </w14:solidFill>
          </w14:textFill>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3.6.3</w:t>
      </w:r>
      <w:r>
        <w:rPr>
          <w:rFonts w:hint="eastAsia" w:ascii="宋体" w:hAnsi="宋体"/>
          <w:color w:val="000000" w:themeColor="text1"/>
          <w:highlight w:val="none"/>
          <w14:textFill>
            <w14:solidFill>
              <w14:schemeClr w14:val="tx1"/>
            </w14:solidFill>
          </w14:textFill>
        </w:rPr>
        <w:t>投标人提供两个或两个以上投标报价，或者在投标文件中提供一个报价，但同时提供两个或两个以上</w:t>
      </w:r>
      <w:bookmarkStart w:id="127" w:name="_Toc361508607"/>
      <w:bookmarkStart w:id="128" w:name="_Toc369531538"/>
      <w:bookmarkStart w:id="129" w:name="_Toc352691495"/>
      <w:bookmarkStart w:id="130" w:name="_Toc384308232"/>
      <w:bookmarkStart w:id="131" w:name="_Toc144974518"/>
      <w:bookmarkStart w:id="132" w:name="_Toc29902"/>
      <w:bookmarkStart w:id="133" w:name="_Toc247513974"/>
      <w:bookmarkStart w:id="134" w:name="_Toc300834971"/>
      <w:bookmarkStart w:id="135" w:name="_Toc152045550"/>
      <w:bookmarkStart w:id="136" w:name="_Toc247527575"/>
      <w:bookmarkStart w:id="137" w:name="_Toc152042326"/>
      <w:r>
        <w:rPr>
          <w:rFonts w:hint="eastAsia" w:ascii="宋体" w:hAnsi="宋体"/>
          <w:color w:val="000000" w:themeColor="text1"/>
          <w:highlight w:val="none"/>
          <w14:textFill>
            <w14:solidFill>
              <w14:schemeClr w14:val="tx1"/>
            </w14:solidFill>
          </w14:textFill>
        </w:rPr>
        <w:t>监理</w:t>
      </w:r>
      <w:r>
        <w:rPr>
          <w:rFonts w:ascii="宋体" w:hAnsi="宋体"/>
          <w:color w:val="000000" w:themeColor="text1"/>
          <w:highlight w:val="none"/>
          <w14:textFill>
            <w14:solidFill>
              <w14:schemeClr w14:val="tx1"/>
            </w14:solidFill>
          </w14:textFill>
        </w:rPr>
        <w:t>方案的</w:t>
      </w:r>
      <w:bookmarkEnd w:id="127"/>
      <w:bookmarkEnd w:id="128"/>
      <w:bookmarkEnd w:id="129"/>
      <w:bookmarkEnd w:id="130"/>
      <w:bookmarkEnd w:id="131"/>
      <w:bookmarkEnd w:id="132"/>
      <w:bookmarkEnd w:id="133"/>
      <w:bookmarkEnd w:id="134"/>
      <w:bookmarkEnd w:id="135"/>
      <w:bookmarkEnd w:id="136"/>
      <w:bookmarkEnd w:id="137"/>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视为提供备选方案。</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138" w:name="_Toc49506156"/>
      <w:bookmarkStart w:id="139" w:name="_Toc49509990"/>
      <w:r>
        <w:rPr>
          <w:rFonts w:ascii="宋体" w:hAnsi="宋体" w:eastAsia="宋体"/>
          <w:color w:val="000000" w:themeColor="text1"/>
          <w:highlight w:val="none"/>
          <w14:textFill>
            <w14:solidFill>
              <w14:schemeClr w14:val="tx1"/>
            </w14:solidFill>
          </w14:textFill>
        </w:rPr>
        <w:t xml:space="preserve">3.7 </w:t>
      </w:r>
      <w:r>
        <w:rPr>
          <w:rFonts w:hint="eastAsia" w:ascii="宋体" w:hAnsi="宋体" w:eastAsia="宋体"/>
          <w:color w:val="000000" w:themeColor="text1"/>
          <w:highlight w:val="none"/>
          <w14:textFill>
            <w14:solidFill>
              <w14:schemeClr w14:val="tx1"/>
            </w14:solidFill>
          </w14:textFill>
        </w:rPr>
        <w:t>投标文件的编制</w:t>
      </w:r>
      <w:bookmarkEnd w:id="138"/>
      <w:bookmarkEnd w:id="139"/>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3.7.1</w:t>
      </w:r>
      <w:r>
        <w:rPr>
          <w:rFonts w:hint="eastAsia" w:ascii="宋体" w:hAnsi="宋体"/>
          <w:color w:val="000000" w:themeColor="text1"/>
          <w:highlight w:val="none"/>
          <w14:textFill>
            <w14:solidFill>
              <w14:schemeClr w14:val="tx1"/>
            </w14:solidFill>
          </w14:textFill>
        </w:rPr>
        <w:t>投标文件应按第六章</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投标文件格式</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进行编写，如有必要，可以增加附页，作为投标文件的组成部分。</w:t>
      </w:r>
      <w:r>
        <w:rPr>
          <w:rFonts w:ascii="宋体" w:hAnsi="宋体"/>
          <w:color w:val="000000" w:themeColor="text1"/>
          <w:highlight w:val="none"/>
          <w14:textFill>
            <w14:solidFill>
              <w14:schemeClr w14:val="tx1"/>
            </w14:solidFill>
          </w14:textFill>
        </w:rPr>
        <w:t>其中，投标函附录在满足招标文件实质性要求的基础上，可以提出比招标文件要求更有利于招标人的承诺。</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3.7.2</w:t>
      </w:r>
      <w:r>
        <w:rPr>
          <w:rFonts w:hint="eastAsia" w:ascii="宋体" w:hAnsi="宋体"/>
          <w:color w:val="000000" w:themeColor="text1"/>
          <w:highlight w:val="none"/>
          <w14:textFill>
            <w14:solidFill>
              <w14:schemeClr w14:val="tx1"/>
            </w14:solidFill>
          </w14:textFill>
        </w:rPr>
        <w:t>投标文件应当对招标文件有关服务期限、投标有效期、委托人要求、招标范围等实质性内容作出响应。</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3.7.3</w:t>
      </w:r>
      <w:r>
        <w:rPr>
          <w:rFonts w:hint="eastAsia" w:ascii="宋体" w:hAnsi="宋体"/>
          <w:color w:val="000000" w:themeColor="text1"/>
          <w:highlight w:val="none"/>
          <w14:textFill>
            <w14:solidFill>
              <w14:schemeClr w14:val="tx1"/>
            </w14:solidFill>
          </w14:textFill>
        </w:rPr>
        <w:t>投标文件全部采用电子文档，除投标人须知前附表另有规定外，投标文件所附证书证件需为原件清晰扫描件，并采用单位数字证书，按照招标文件要求在相应位置加盖电子印章。取消在招标文件中采用个人数字证书和加盖个人电子印章要求，投标文件中需法定代表人、代理人签字或加盖电子印章的，应手签后扫描上传，对加盖个人电子印章不做要求。投标文件按招标文件要求加盖单位电子印章。具体要求见投标人须知前附表。</w:t>
      </w:r>
    </w:p>
    <w:p>
      <w:pPr>
        <w:pStyle w:val="3"/>
        <w:rPr>
          <w:rFonts w:ascii="宋体" w:hAnsi="宋体" w:eastAsia="宋体"/>
          <w:color w:val="000000" w:themeColor="text1"/>
          <w:highlight w:val="none"/>
          <w14:textFill>
            <w14:solidFill>
              <w14:schemeClr w14:val="tx1"/>
            </w14:solidFill>
          </w14:textFill>
        </w:rPr>
      </w:pPr>
      <w:bookmarkStart w:id="140" w:name="_Toc49509991"/>
      <w:r>
        <w:rPr>
          <w:rFonts w:ascii="宋体" w:hAnsi="宋体" w:eastAsia="宋体"/>
          <w:color w:val="000000" w:themeColor="text1"/>
          <w:highlight w:val="none"/>
          <w14:textFill>
            <w14:solidFill>
              <w14:schemeClr w14:val="tx1"/>
            </w14:solidFill>
          </w14:textFill>
        </w:rPr>
        <w:t xml:space="preserve">4. </w:t>
      </w:r>
      <w:r>
        <w:rPr>
          <w:rFonts w:hint="eastAsia" w:ascii="宋体" w:hAnsi="宋体" w:eastAsia="宋体"/>
          <w:color w:val="000000" w:themeColor="text1"/>
          <w:highlight w:val="none"/>
          <w14:textFill>
            <w14:solidFill>
              <w14:schemeClr w14:val="tx1"/>
            </w14:solidFill>
          </w14:textFill>
        </w:rPr>
        <w:t>投标</w:t>
      </w:r>
      <w:bookmarkEnd w:id="140"/>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141" w:name="_Toc49509992"/>
      <w:bookmarkStart w:id="142" w:name="_Toc49506158"/>
      <w:r>
        <w:rPr>
          <w:rFonts w:ascii="宋体" w:hAnsi="宋体" w:eastAsia="宋体"/>
          <w:color w:val="000000" w:themeColor="text1"/>
          <w:highlight w:val="none"/>
          <w14:textFill>
            <w14:solidFill>
              <w14:schemeClr w14:val="tx1"/>
            </w14:solidFill>
          </w14:textFill>
        </w:rPr>
        <w:t xml:space="preserve">4.1 </w:t>
      </w:r>
      <w:r>
        <w:rPr>
          <w:rFonts w:hint="eastAsia" w:ascii="宋体" w:hAnsi="宋体" w:eastAsia="宋体"/>
          <w:color w:val="000000" w:themeColor="text1"/>
          <w:highlight w:val="none"/>
          <w14:textFill>
            <w14:solidFill>
              <w14:schemeClr w14:val="tx1"/>
            </w14:solidFill>
          </w14:textFill>
        </w:rPr>
        <w:t>投标文件的密封和标记</w:t>
      </w:r>
      <w:bookmarkEnd w:id="141"/>
      <w:bookmarkEnd w:id="142"/>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4.1.1</w:t>
      </w:r>
      <w:r>
        <w:rPr>
          <w:rFonts w:hint="eastAsia" w:ascii="宋体" w:hAnsi="宋体"/>
          <w:color w:val="000000" w:themeColor="text1"/>
          <w:highlight w:val="none"/>
          <w14:textFill>
            <w14:solidFill>
              <w14:schemeClr w14:val="tx1"/>
            </w14:solidFill>
          </w14:textFill>
        </w:rPr>
        <w:t>投标人应当按照招标文件和电子招标投标交易平台的要求加密投标文件，具体要求见投标人须知前附表。</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1.2</w:t>
      </w:r>
      <w:r>
        <w:rPr>
          <w:rFonts w:hint="eastAsia" w:ascii="宋体" w:hAnsi="宋体"/>
          <w:color w:val="000000" w:themeColor="text1"/>
          <w:highlight w:val="none"/>
          <w14:textFill>
            <w14:solidFill>
              <w14:schemeClr w14:val="tx1"/>
            </w14:solidFill>
          </w14:textFill>
        </w:rPr>
        <w:t>网上递交的电子投标文件须进行加密。</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4.1.3</w:t>
      </w:r>
      <w:r>
        <w:rPr>
          <w:rFonts w:hint="eastAsia" w:ascii="宋体" w:hAnsi="宋体"/>
          <w:color w:val="000000" w:themeColor="text1"/>
          <w:highlight w:val="none"/>
          <w14:textFill>
            <w14:solidFill>
              <w14:schemeClr w14:val="tx1"/>
            </w14:solidFill>
          </w14:textFill>
        </w:rPr>
        <w:t>投标文件封套上应写明的内容见投标人须知前附表。</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4.1.4</w:t>
      </w:r>
      <w:r>
        <w:rPr>
          <w:rFonts w:hint="eastAsia" w:ascii="宋体" w:hAnsi="宋体"/>
          <w:color w:val="000000" w:themeColor="text1"/>
          <w:highlight w:val="none"/>
          <w14:textFill>
            <w14:solidFill>
              <w14:schemeClr w14:val="tx1"/>
            </w14:solidFill>
          </w14:textFill>
        </w:rPr>
        <w:t>未按本章第</w:t>
      </w:r>
      <w:r>
        <w:rPr>
          <w:rFonts w:ascii="宋体" w:hAnsi="宋体"/>
          <w:color w:val="000000" w:themeColor="text1"/>
          <w:highlight w:val="none"/>
          <w14:textFill>
            <w14:solidFill>
              <w14:schemeClr w14:val="tx1"/>
            </w14:solidFill>
          </w14:textFill>
        </w:rPr>
        <w:t>4.1.1</w:t>
      </w:r>
      <w:r>
        <w:rPr>
          <w:rFonts w:hint="eastAsia" w:ascii="宋体" w:hAnsi="宋体"/>
          <w:color w:val="000000" w:themeColor="text1"/>
          <w:highlight w:val="none"/>
          <w14:textFill>
            <w14:solidFill>
              <w14:schemeClr w14:val="tx1"/>
            </w14:solidFill>
          </w14:textFill>
        </w:rPr>
        <w:t>项要求密封的投标文件，招标人将予以拒收。</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143" w:name="_Toc49509993"/>
      <w:bookmarkStart w:id="144" w:name="_Toc49506159"/>
      <w:r>
        <w:rPr>
          <w:rFonts w:ascii="宋体" w:hAnsi="宋体" w:eastAsia="宋体"/>
          <w:color w:val="000000" w:themeColor="text1"/>
          <w:highlight w:val="none"/>
          <w14:textFill>
            <w14:solidFill>
              <w14:schemeClr w14:val="tx1"/>
            </w14:solidFill>
          </w14:textFill>
        </w:rPr>
        <w:t xml:space="preserve">4.2 </w:t>
      </w:r>
      <w:r>
        <w:rPr>
          <w:rFonts w:hint="eastAsia" w:ascii="宋体" w:hAnsi="宋体" w:eastAsia="宋体"/>
          <w:color w:val="000000" w:themeColor="text1"/>
          <w:highlight w:val="none"/>
          <w14:textFill>
            <w14:solidFill>
              <w14:schemeClr w14:val="tx1"/>
            </w14:solidFill>
          </w14:textFill>
        </w:rPr>
        <w:t>投标文件的递交</w:t>
      </w:r>
      <w:bookmarkEnd w:id="143"/>
      <w:bookmarkEnd w:id="144"/>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4.2.1</w:t>
      </w:r>
      <w:r>
        <w:rPr>
          <w:rFonts w:hint="eastAsia" w:ascii="宋体" w:hAnsi="宋体"/>
          <w:color w:val="000000" w:themeColor="text1"/>
          <w:highlight w:val="none"/>
          <w14:textFill>
            <w14:solidFill>
              <w14:schemeClr w14:val="tx1"/>
            </w14:solidFill>
          </w14:textFill>
        </w:rPr>
        <w:t>投标人应在投标人须知前附表规定的投标截止时间前递交投标文件。</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4.2.2</w:t>
      </w:r>
      <w:r>
        <w:rPr>
          <w:rFonts w:hint="eastAsia" w:ascii="宋体" w:hAnsi="宋体"/>
          <w:color w:val="000000" w:themeColor="text1"/>
          <w:highlight w:val="none"/>
          <w14:textFill>
            <w14:solidFill>
              <w14:schemeClr w14:val="tx1"/>
            </w14:solidFill>
          </w14:textFill>
        </w:rPr>
        <w:t>投标人通过下载招标文件的电子招标投标交易平台递交电子投标文件。</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4.2.3</w:t>
      </w:r>
      <w:r>
        <w:rPr>
          <w:rFonts w:hint="eastAsia" w:ascii="宋体" w:hAnsi="宋体"/>
          <w:color w:val="000000" w:themeColor="text1"/>
          <w:highlight w:val="none"/>
          <w14:textFill>
            <w14:solidFill>
              <w14:schemeClr w14:val="tx1"/>
            </w14:solidFill>
          </w14:textFill>
        </w:rPr>
        <w:t>除投标人须知前附表另有规定外，投标人所递交的投标文件不予退还。</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4.2.4</w:t>
      </w:r>
      <w:r>
        <w:rPr>
          <w:rFonts w:hint="eastAsia" w:ascii="宋体" w:hAnsi="宋体"/>
          <w:color w:val="000000" w:themeColor="text1"/>
          <w:highlight w:val="none"/>
          <w14:textFill>
            <w14:solidFill>
              <w14:schemeClr w14:val="tx1"/>
            </w14:solidFill>
          </w14:textFill>
        </w:rPr>
        <w:t>投标人</w:t>
      </w:r>
      <w:r>
        <w:rPr>
          <w:rFonts w:ascii="宋体" w:hAnsi="宋体"/>
          <w:color w:val="000000" w:themeColor="text1"/>
          <w:highlight w:val="none"/>
          <w14:textFill>
            <w14:solidFill>
              <w14:schemeClr w14:val="tx1"/>
            </w14:solidFill>
          </w14:textFill>
        </w:rPr>
        <w:t>完成电子投标文件上传后，</w:t>
      </w:r>
      <w:r>
        <w:rPr>
          <w:rFonts w:hint="eastAsia" w:ascii="宋体" w:hAnsi="宋体"/>
          <w:color w:val="000000" w:themeColor="text1"/>
          <w:highlight w:val="none"/>
          <w14:textFill>
            <w14:solidFill>
              <w14:schemeClr w14:val="tx1"/>
            </w14:solidFill>
          </w14:textFill>
        </w:rPr>
        <w:t>电子招标投标交易平台即时向投标人发出递交回执通知</w:t>
      </w:r>
      <w:r>
        <w:rPr>
          <w:rFonts w:ascii="宋体" w:hAnsi="宋体"/>
          <w:color w:val="000000" w:themeColor="text1"/>
          <w:highlight w:val="none"/>
          <w14:textFill>
            <w14:solidFill>
              <w14:schemeClr w14:val="tx1"/>
            </w14:solidFill>
          </w14:textFill>
        </w:rPr>
        <w:t>。递交时间以递交回执通知载明的传输完成时间为准。</w:t>
      </w:r>
    </w:p>
    <w:p>
      <w:pPr>
        <w:spacing w:line="400" w:lineRule="exact"/>
        <w:ind w:firstLine="420" w:firstLineChars="200"/>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4.2.5逾期送达的投标文件，电子招标投标交易平台将予以拒收。</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145" w:name="_Toc49506160"/>
      <w:bookmarkStart w:id="146" w:name="_Toc49509994"/>
      <w:r>
        <w:rPr>
          <w:rFonts w:ascii="宋体" w:hAnsi="宋体" w:eastAsia="宋体"/>
          <w:color w:val="000000" w:themeColor="text1"/>
          <w:highlight w:val="none"/>
          <w14:textFill>
            <w14:solidFill>
              <w14:schemeClr w14:val="tx1"/>
            </w14:solidFill>
          </w14:textFill>
        </w:rPr>
        <w:t xml:space="preserve">4.3 </w:t>
      </w:r>
      <w:r>
        <w:rPr>
          <w:rFonts w:hint="eastAsia" w:ascii="宋体" w:hAnsi="宋体" w:eastAsia="宋体"/>
          <w:color w:val="000000" w:themeColor="text1"/>
          <w:highlight w:val="none"/>
          <w14:textFill>
            <w14:solidFill>
              <w14:schemeClr w14:val="tx1"/>
            </w14:solidFill>
          </w14:textFill>
        </w:rPr>
        <w:t>投标文件的修改与撤回</w:t>
      </w:r>
      <w:bookmarkEnd w:id="145"/>
      <w:bookmarkEnd w:id="146"/>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4.3.1</w:t>
      </w:r>
      <w:r>
        <w:rPr>
          <w:rFonts w:hint="eastAsia" w:ascii="宋体" w:hAnsi="宋体"/>
          <w:color w:val="000000" w:themeColor="text1"/>
          <w:highlight w:val="none"/>
          <w14:textFill>
            <w14:solidFill>
              <w14:schemeClr w14:val="tx1"/>
            </w14:solidFill>
          </w14:textFill>
        </w:rPr>
        <w:t>在本章第</w:t>
      </w:r>
      <w:r>
        <w:rPr>
          <w:rFonts w:ascii="宋体" w:hAnsi="宋体"/>
          <w:color w:val="000000" w:themeColor="text1"/>
          <w:highlight w:val="none"/>
          <w14:textFill>
            <w14:solidFill>
              <w14:schemeClr w14:val="tx1"/>
            </w14:solidFill>
          </w14:textFill>
        </w:rPr>
        <w:t>4.2.1</w:t>
      </w:r>
      <w:r>
        <w:rPr>
          <w:rFonts w:hint="eastAsia" w:ascii="宋体" w:hAnsi="宋体"/>
          <w:color w:val="000000" w:themeColor="text1"/>
          <w:highlight w:val="none"/>
          <w14:textFill>
            <w14:solidFill>
              <w14:schemeClr w14:val="tx1"/>
            </w14:solidFill>
          </w14:textFill>
        </w:rPr>
        <w:t>项规定的投标截止时间前，投标人可以修改或撤回已递交的投标文件，但应以书面形式通知招标人。</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4.3.2</w:t>
      </w:r>
      <w:r>
        <w:rPr>
          <w:rFonts w:hint="eastAsia" w:ascii="宋体" w:hAnsi="宋体"/>
          <w:color w:val="000000" w:themeColor="text1"/>
          <w:highlight w:val="none"/>
          <w14:textFill>
            <w14:solidFill>
              <w14:schemeClr w14:val="tx1"/>
            </w14:solidFill>
          </w14:textFill>
        </w:rPr>
        <w:t>投标人修改或撤回已递交投标文件的通知，应按照本章第</w:t>
      </w:r>
      <w:r>
        <w:rPr>
          <w:rFonts w:ascii="宋体" w:hAnsi="宋体"/>
          <w:color w:val="000000" w:themeColor="text1"/>
          <w:highlight w:val="none"/>
          <w14:textFill>
            <w14:solidFill>
              <w14:schemeClr w14:val="tx1"/>
            </w14:solidFill>
          </w14:textFill>
        </w:rPr>
        <w:t>3.7.3</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B</w:t>
      </w:r>
      <w:r>
        <w:rPr>
          <w:rFonts w:hint="eastAsia" w:ascii="宋体" w:hAnsi="宋体"/>
          <w:color w:val="000000" w:themeColor="text1"/>
          <w:highlight w:val="none"/>
          <w14:textFill>
            <w14:solidFill>
              <w14:schemeClr w14:val="tx1"/>
            </w14:solidFill>
          </w14:textFill>
        </w:rPr>
        <w:t>）项的要求加盖电子印章。电子招标投标交易平台收到通知后，即时向投标人发出确认回执通知。</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strike/>
          <w:color w:val="000000" w:themeColor="text1"/>
          <w:highlight w:val="none"/>
          <w14:textFill>
            <w14:solidFill>
              <w14:schemeClr w14:val="tx1"/>
            </w14:solidFill>
          </w14:textFill>
        </w:rPr>
        <w:t>4.3.3</w:t>
      </w:r>
      <w:r>
        <w:rPr>
          <w:rFonts w:hint="eastAsia" w:ascii="宋体" w:hAnsi="宋体"/>
          <w:strike/>
          <w:color w:val="000000" w:themeColor="text1"/>
          <w:highlight w:val="none"/>
          <w14:textFill>
            <w14:solidFill>
              <w14:schemeClr w14:val="tx1"/>
            </w14:solidFill>
          </w14:textFill>
        </w:rPr>
        <w:t>投标人撤回投标文件的，招标人自收到投标人书面撤回通知之日起</w:t>
      </w:r>
      <w:r>
        <w:rPr>
          <w:rFonts w:ascii="宋体" w:hAnsi="宋体"/>
          <w:strike/>
          <w:color w:val="000000" w:themeColor="text1"/>
          <w:highlight w:val="none"/>
          <w14:textFill>
            <w14:solidFill>
              <w14:schemeClr w14:val="tx1"/>
            </w14:solidFill>
          </w14:textFill>
        </w:rPr>
        <w:t>5</w:t>
      </w:r>
      <w:r>
        <w:rPr>
          <w:rFonts w:hint="eastAsia" w:ascii="宋体" w:hAnsi="宋体"/>
          <w:strike/>
          <w:color w:val="000000" w:themeColor="text1"/>
          <w:highlight w:val="none"/>
          <w14:textFill>
            <w14:solidFill>
              <w14:schemeClr w14:val="tx1"/>
            </w14:solidFill>
          </w14:textFill>
        </w:rPr>
        <w:t>日内退还已收取的投标保证金。</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4.3.</w:t>
      </w:r>
      <w:bookmarkStart w:id="147" w:name="_Toc247513977"/>
      <w:bookmarkStart w:id="148" w:name="_Toc300834974"/>
      <w:bookmarkStart w:id="149" w:name="_Toc369531541"/>
      <w:bookmarkStart w:id="150" w:name="_Toc152045553"/>
      <w:bookmarkStart w:id="151" w:name="_Toc19203"/>
      <w:bookmarkStart w:id="152" w:name="_Toc352691497"/>
      <w:bookmarkStart w:id="153" w:name="_Toc144974521"/>
      <w:bookmarkStart w:id="154" w:name="_Toc361508610"/>
      <w:bookmarkStart w:id="155" w:name="_Toc384308235"/>
      <w:bookmarkStart w:id="156" w:name="_Toc247527578"/>
      <w:bookmarkStart w:id="157" w:name="_Toc152042329"/>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修改的内容为投标</w:t>
      </w:r>
      <w:bookmarkEnd w:id="147"/>
      <w:bookmarkEnd w:id="148"/>
      <w:bookmarkEnd w:id="149"/>
      <w:bookmarkEnd w:id="150"/>
      <w:bookmarkEnd w:id="151"/>
      <w:bookmarkEnd w:id="152"/>
      <w:bookmarkEnd w:id="153"/>
      <w:bookmarkEnd w:id="154"/>
      <w:bookmarkEnd w:id="155"/>
      <w:bookmarkEnd w:id="156"/>
      <w:bookmarkEnd w:id="157"/>
      <w:r>
        <w:rPr>
          <w:rFonts w:hint="eastAsia" w:ascii="宋体" w:hAnsi="宋体"/>
          <w:color w:val="000000" w:themeColor="text1"/>
          <w:highlight w:val="none"/>
          <w14:textFill>
            <w14:solidFill>
              <w14:schemeClr w14:val="tx1"/>
            </w14:solidFill>
          </w14:textFill>
        </w:rPr>
        <w:t>文件的组成部分。修改的投标文件应按照本章第</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条、第</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条的规定进行编制、密封、标记和递交，并标明</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修改</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字样。</w:t>
      </w:r>
    </w:p>
    <w:p>
      <w:pPr>
        <w:pStyle w:val="3"/>
        <w:rPr>
          <w:rFonts w:ascii="宋体" w:hAnsi="宋体" w:eastAsia="宋体"/>
          <w:color w:val="000000" w:themeColor="text1"/>
          <w:highlight w:val="none"/>
          <w14:textFill>
            <w14:solidFill>
              <w14:schemeClr w14:val="tx1"/>
            </w14:solidFill>
          </w14:textFill>
        </w:rPr>
      </w:pPr>
      <w:bookmarkStart w:id="158" w:name="_Toc49509995"/>
      <w:r>
        <w:rPr>
          <w:rFonts w:ascii="宋体" w:hAnsi="宋体" w:eastAsia="宋体"/>
          <w:color w:val="000000" w:themeColor="text1"/>
          <w:highlight w:val="none"/>
          <w14:textFill>
            <w14:solidFill>
              <w14:schemeClr w14:val="tx1"/>
            </w14:solidFill>
          </w14:textFill>
        </w:rPr>
        <w:t xml:space="preserve">5. </w:t>
      </w:r>
      <w:r>
        <w:rPr>
          <w:rFonts w:hint="eastAsia" w:ascii="宋体" w:hAnsi="宋体" w:eastAsia="宋体"/>
          <w:color w:val="000000" w:themeColor="text1"/>
          <w:highlight w:val="none"/>
          <w14:textFill>
            <w14:solidFill>
              <w14:schemeClr w14:val="tx1"/>
            </w14:solidFill>
          </w14:textFill>
        </w:rPr>
        <w:t>开标</w:t>
      </w:r>
      <w:bookmarkEnd w:id="158"/>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159" w:name="_Toc49509996"/>
      <w:bookmarkStart w:id="160" w:name="_Toc49506162"/>
      <w:r>
        <w:rPr>
          <w:rFonts w:ascii="宋体" w:hAnsi="宋体" w:eastAsia="宋体"/>
          <w:color w:val="000000" w:themeColor="text1"/>
          <w:highlight w:val="none"/>
          <w14:textFill>
            <w14:solidFill>
              <w14:schemeClr w14:val="tx1"/>
            </w14:solidFill>
          </w14:textFill>
        </w:rPr>
        <w:t xml:space="preserve">5.1 </w:t>
      </w:r>
      <w:r>
        <w:rPr>
          <w:rFonts w:hint="eastAsia" w:ascii="宋体" w:hAnsi="宋体" w:eastAsia="宋体"/>
          <w:color w:val="000000" w:themeColor="text1"/>
          <w:highlight w:val="none"/>
          <w14:textFill>
            <w14:solidFill>
              <w14:schemeClr w14:val="tx1"/>
            </w14:solidFill>
          </w14:textFill>
        </w:rPr>
        <w:t>开标时间和地点</w:t>
      </w:r>
      <w:bookmarkEnd w:id="159"/>
      <w:bookmarkEnd w:id="160"/>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招标人在本章第</w:t>
      </w:r>
      <w:r>
        <w:rPr>
          <w:rFonts w:ascii="宋体" w:hAnsi="宋体"/>
          <w:color w:val="000000" w:themeColor="text1"/>
          <w:highlight w:val="none"/>
          <w14:textFill>
            <w14:solidFill>
              <w14:schemeClr w14:val="tx1"/>
            </w14:solidFill>
          </w14:textFill>
        </w:rPr>
        <w:t>4.2.1</w:t>
      </w:r>
      <w:r>
        <w:rPr>
          <w:rFonts w:hint="eastAsia" w:ascii="宋体" w:hAnsi="宋体"/>
          <w:color w:val="000000" w:themeColor="text1"/>
          <w:highlight w:val="none"/>
          <w14:textFill>
            <w14:solidFill>
              <w14:schemeClr w14:val="tx1"/>
            </w14:solidFill>
          </w14:textFill>
        </w:rPr>
        <w:t>项规定的投标截止时间（开标时间）</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通过电子招标投标交易平台公开开标，所有投标人的法定代表人或其委托代理人应当准时参加。</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161" w:name="_Toc49506163"/>
      <w:bookmarkStart w:id="162" w:name="_Toc49509997"/>
      <w:r>
        <w:rPr>
          <w:rFonts w:ascii="宋体" w:hAnsi="宋体" w:eastAsia="宋体"/>
          <w:color w:val="000000" w:themeColor="text1"/>
          <w:highlight w:val="none"/>
          <w14:textFill>
            <w14:solidFill>
              <w14:schemeClr w14:val="tx1"/>
            </w14:solidFill>
          </w14:textFill>
        </w:rPr>
        <w:t xml:space="preserve">5.2 </w:t>
      </w:r>
      <w:r>
        <w:rPr>
          <w:rFonts w:hint="eastAsia" w:ascii="宋体" w:hAnsi="宋体" w:eastAsia="宋体"/>
          <w:color w:val="000000" w:themeColor="text1"/>
          <w:highlight w:val="none"/>
          <w14:textFill>
            <w14:solidFill>
              <w14:schemeClr w14:val="tx1"/>
            </w14:solidFill>
          </w14:textFill>
        </w:rPr>
        <w:t>开标程序</w:t>
      </w:r>
      <w:bookmarkEnd w:id="161"/>
      <w:bookmarkEnd w:id="162"/>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5.2.1</w:t>
      </w:r>
      <w:r>
        <w:rPr>
          <w:rFonts w:hint="eastAsia" w:ascii="宋体" w:hAnsi="宋体"/>
          <w:color w:val="000000" w:themeColor="text1"/>
          <w:highlight w:val="none"/>
          <w14:textFill>
            <w14:solidFill>
              <w14:schemeClr w14:val="tx1"/>
            </w14:solidFill>
          </w14:textFill>
        </w:rPr>
        <w:t>主持人按下列程序进行开标：</w:t>
      </w:r>
    </w:p>
    <w:p>
      <w:pPr>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）宣布开标纪律；</w:t>
      </w:r>
    </w:p>
    <w:p>
      <w:pPr>
        <w:snapToGrid w:val="0"/>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（2）投标人通过电子招标投标交易平台对已递交的电子投标文件进行解密；</w:t>
      </w:r>
    </w:p>
    <w:p>
      <w:pPr>
        <w:snapToGrid w:val="0"/>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（3）投标人完成解密后，再由招标人或招标代理机构进行解密；</w:t>
      </w:r>
    </w:p>
    <w:p>
      <w:pPr>
        <w:snapToGrid w:val="0"/>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（4）解密完成后，公布招标项目名称、投标人名称、投标报价、监理服务期限及其他内容，并记录在案；</w:t>
      </w:r>
    </w:p>
    <w:p>
      <w:pPr>
        <w:snapToGrid w:val="0"/>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（5）投标人代表、招标人代表、监标人、记录人等有关人员在开标记录上签字确认；若有关人员不签字的，不影响开标程序；</w:t>
      </w:r>
    </w:p>
    <w:p>
      <w:pPr>
        <w:ind w:firstLine="420" w:firstLineChars="200"/>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14:textFill>
            <w14:solidFill>
              <w14:schemeClr w14:val="tx1"/>
            </w14:solidFill>
          </w14:textFill>
        </w:rPr>
        <w:t>）开标结束。</w:t>
      </w:r>
    </w:p>
    <w:p>
      <w:pPr>
        <w:ind w:firstLine="420" w:firstLineChars="200"/>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u w:val="single"/>
          <w14:textFill>
            <w14:solidFill>
              <w14:schemeClr w14:val="tx1"/>
            </w14:solidFill>
          </w14:textFill>
        </w:rPr>
        <w:t>5.2.2</w:t>
      </w:r>
      <w:r>
        <w:rPr>
          <w:rFonts w:hint="eastAsia" w:ascii="宋体" w:hAnsi="宋体"/>
          <w:color w:val="000000" w:themeColor="text1"/>
          <w:szCs w:val="21"/>
          <w:highlight w:val="none"/>
          <w:u w:val="single"/>
          <w14:textFill>
            <w14:solidFill>
              <w14:schemeClr w14:val="tx1"/>
            </w14:solidFill>
          </w14:textFill>
        </w:rPr>
        <w:t>投标截止时间前未完成投标文件传输的或因投标人之外的原因（如：网络瘫痪、服务器损坏、交易系统故障短期无法恢复等因素）造成投标文件未解密的，视为投标人撤回投标文件。因投标人原因造成投标文件未解密的或未在投标截止时间后</w:t>
      </w:r>
      <w:r>
        <w:rPr>
          <w:rFonts w:hint="eastAsia" w:ascii="宋体" w:hAnsi="宋体"/>
          <w:b/>
          <w:color w:val="000000" w:themeColor="text1"/>
          <w:szCs w:val="21"/>
          <w:highlight w:val="none"/>
          <w:u w:val="single"/>
          <w14:textFill>
            <w14:solidFill>
              <w14:schemeClr w14:val="tx1"/>
            </w14:solidFill>
          </w14:textFill>
        </w:rPr>
        <w:t>一小时内</w:t>
      </w:r>
      <w:r>
        <w:rPr>
          <w:rFonts w:hint="eastAsia" w:ascii="宋体" w:hAnsi="宋体"/>
          <w:color w:val="000000" w:themeColor="text1"/>
          <w:szCs w:val="21"/>
          <w:highlight w:val="none"/>
          <w:u w:val="single"/>
          <w14:textFill>
            <w14:solidFill>
              <w14:schemeClr w14:val="tx1"/>
            </w14:solidFill>
          </w14:textFill>
        </w:rPr>
        <w:t>解密的且未提交备用光盘（或U盘）的，视为撤销其投标文件。</w:t>
      </w:r>
    </w:p>
    <w:p>
      <w:pPr>
        <w:ind w:firstLine="420" w:firstLineChars="200"/>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5.2.3开标时，出现下列情形之一的，不参与资格审查和评标：</w:t>
      </w:r>
    </w:p>
    <w:p>
      <w:pPr>
        <w:ind w:firstLine="420" w:firstLineChars="200"/>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（1）未成功递交投标文件的。</w:t>
      </w:r>
    </w:p>
    <w:p>
      <w:pPr>
        <w:ind w:firstLine="420" w:firstLineChars="200"/>
        <w:rPr>
          <w:rFonts w:hint="eastAsia" w:ascii="宋体" w:hAnsi="宋体"/>
          <w:bCs/>
          <w:color w:val="000000" w:themeColor="text1"/>
          <w:szCs w:val="21"/>
          <w:highlight w:val="none"/>
          <w:u w:val="singl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（2）因投标人原因造成投标文件未解密的。</w:t>
      </w:r>
    </w:p>
    <w:p>
      <w:pPr>
        <w:ind w:firstLine="420" w:firstLineChars="200"/>
        <w:rPr>
          <w:rFonts w:ascii="宋体" w:hAnsi="宋体"/>
          <w:color w:val="000000" w:themeColor="text1"/>
          <w:highlight w:val="none"/>
          <w14:textFill>
            <w14:solidFill>
              <w14:schemeClr w14:val="tx1"/>
            </w14:solidFill>
          </w14:textFill>
        </w:rPr>
      </w:pPr>
      <w:r>
        <w:rPr>
          <w:rFonts w:hint="eastAsia" w:ascii="宋体" w:hAnsi="宋体"/>
          <w:bCs/>
          <w:color w:val="000000" w:themeColor="text1"/>
          <w:szCs w:val="21"/>
          <w:highlight w:val="none"/>
          <w:u w:val="single"/>
          <w14:textFill>
            <w14:solidFill>
              <w14:schemeClr w14:val="tx1"/>
            </w14:solidFill>
          </w14:textFill>
        </w:rPr>
        <w:t>5.2.4开标时，两个（含两个）以上的投标人加密打包投标文件电脑机器特征码一致的，不参与下一程序，并由评标委员会否决其投标。</w:t>
      </w:r>
      <w:bookmarkStart w:id="163" w:name="_Toc49506164"/>
      <w:bookmarkStart w:id="164" w:name="_Toc49509998"/>
    </w:p>
    <w:p>
      <w:pPr>
        <w:pStyle w:val="4"/>
        <w:spacing w:line="240" w:lineRule="auto"/>
        <w:ind w:firstLine="137"/>
        <w:rPr>
          <w:rFonts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 xml:space="preserve">5.3 </w:t>
      </w:r>
      <w:r>
        <w:rPr>
          <w:rFonts w:hint="eastAsia" w:ascii="宋体" w:hAnsi="宋体" w:eastAsia="宋体"/>
          <w:color w:val="000000" w:themeColor="text1"/>
          <w:highlight w:val="none"/>
          <w14:textFill>
            <w14:solidFill>
              <w14:schemeClr w14:val="tx1"/>
            </w14:solidFill>
          </w14:textFill>
        </w:rPr>
        <w:t>开标异议</w:t>
      </w:r>
      <w:bookmarkEnd w:id="163"/>
      <w:bookmarkEnd w:id="164"/>
    </w:p>
    <w:p>
      <w:pPr>
        <w:spacing w:line="400" w:lineRule="exact"/>
        <w:ind w:firstLine="359" w:firstLineChars="171"/>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pStyle w:val="3"/>
        <w:rPr>
          <w:rFonts w:ascii="宋体" w:hAnsi="宋体" w:eastAsia="宋体"/>
          <w:color w:val="000000" w:themeColor="text1"/>
          <w:highlight w:val="none"/>
          <w14:textFill>
            <w14:solidFill>
              <w14:schemeClr w14:val="tx1"/>
            </w14:solidFill>
          </w14:textFill>
        </w:rPr>
      </w:pPr>
      <w:bookmarkStart w:id="165" w:name="_Toc49509999"/>
      <w:r>
        <w:rPr>
          <w:rFonts w:ascii="宋体" w:hAnsi="宋体" w:eastAsia="宋体"/>
          <w:color w:val="000000" w:themeColor="text1"/>
          <w:highlight w:val="none"/>
          <w14:textFill>
            <w14:solidFill>
              <w14:schemeClr w14:val="tx1"/>
            </w14:solidFill>
          </w14:textFill>
        </w:rPr>
        <w:t xml:space="preserve">6. </w:t>
      </w:r>
      <w:r>
        <w:rPr>
          <w:rFonts w:hint="eastAsia" w:ascii="宋体" w:hAnsi="宋体" w:eastAsia="宋体"/>
          <w:color w:val="000000" w:themeColor="text1"/>
          <w:highlight w:val="none"/>
          <w14:textFill>
            <w14:solidFill>
              <w14:schemeClr w14:val="tx1"/>
            </w14:solidFill>
          </w14:textFill>
        </w:rPr>
        <w:t>评标</w:t>
      </w:r>
      <w:bookmarkEnd w:id="165"/>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166" w:name="_Toc49510000"/>
      <w:bookmarkStart w:id="167" w:name="_Toc49506166"/>
      <w:r>
        <w:rPr>
          <w:rFonts w:ascii="宋体" w:hAnsi="宋体" w:eastAsia="宋体"/>
          <w:color w:val="000000" w:themeColor="text1"/>
          <w:highlight w:val="none"/>
          <w14:textFill>
            <w14:solidFill>
              <w14:schemeClr w14:val="tx1"/>
            </w14:solidFill>
          </w14:textFill>
        </w:rPr>
        <w:t xml:space="preserve">6.1 </w:t>
      </w:r>
      <w:r>
        <w:rPr>
          <w:rFonts w:hint="eastAsia" w:ascii="宋体" w:hAnsi="宋体" w:eastAsia="宋体"/>
          <w:color w:val="000000" w:themeColor="text1"/>
          <w:highlight w:val="none"/>
          <w14:textFill>
            <w14:solidFill>
              <w14:schemeClr w14:val="tx1"/>
            </w14:solidFill>
          </w14:textFill>
        </w:rPr>
        <w:t>评标委员会</w:t>
      </w:r>
      <w:bookmarkEnd w:id="166"/>
      <w:bookmarkEnd w:id="167"/>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6.1.1</w:t>
      </w:r>
      <w:r>
        <w:rPr>
          <w:rFonts w:hint="eastAsia" w:ascii="宋体" w:hAnsi="宋体"/>
          <w:color w:val="000000" w:themeColor="text1"/>
          <w:highlight w:val="none"/>
          <w14:textFill>
            <w14:solidFill>
              <w14:schemeClr w14:val="tx1"/>
            </w14:solidFill>
          </w14:textFill>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6.1.2</w:t>
      </w:r>
      <w:r>
        <w:rPr>
          <w:rFonts w:hint="eastAsia" w:ascii="宋体" w:hAnsi="宋体"/>
          <w:color w:val="000000" w:themeColor="text1"/>
          <w:highlight w:val="none"/>
          <w14:textFill>
            <w14:solidFill>
              <w14:schemeClr w14:val="tx1"/>
            </w14:solidFill>
          </w14:textFill>
        </w:rPr>
        <w:t>评标委员会成员有下列情形之一的，应当回避：</w:t>
      </w:r>
    </w:p>
    <w:p>
      <w:pPr>
        <w:spacing w:line="400" w:lineRule="exact"/>
        <w:ind w:firstLine="718" w:firstLineChars="34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）投标人或投标人主要负责人的近亲属；</w:t>
      </w:r>
    </w:p>
    <w:p>
      <w:pPr>
        <w:spacing w:line="400" w:lineRule="exact"/>
        <w:ind w:firstLine="718" w:firstLineChars="34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）项目主管部门或者行政监督部门的人员；</w:t>
      </w:r>
    </w:p>
    <w:p>
      <w:pPr>
        <w:spacing w:line="400" w:lineRule="exact"/>
        <w:ind w:firstLine="718" w:firstLineChars="34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）与投标人有经济利益关系，可能影响对投标公正评审的；</w:t>
      </w:r>
    </w:p>
    <w:p>
      <w:pPr>
        <w:spacing w:line="400" w:lineRule="exact"/>
        <w:ind w:firstLine="718" w:firstLineChars="34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）曾因在招标、评</w:t>
      </w:r>
      <w:bookmarkStart w:id="168" w:name="_Toc300834976"/>
      <w:bookmarkStart w:id="169" w:name="_Toc247527580"/>
      <w:bookmarkStart w:id="170" w:name="_Toc384308237"/>
      <w:bookmarkStart w:id="171" w:name="_Toc152045555"/>
      <w:bookmarkStart w:id="172" w:name="_Toc361508612"/>
      <w:bookmarkStart w:id="173" w:name="_Toc369531543"/>
      <w:bookmarkStart w:id="174" w:name="_Toc152042331"/>
      <w:bookmarkStart w:id="175" w:name="_Toc144974523"/>
      <w:bookmarkStart w:id="176" w:name="_Toc247513979"/>
      <w:bookmarkStart w:id="177" w:name="_Toc6230"/>
      <w:bookmarkStart w:id="178" w:name="_Toc352691499"/>
      <w:r>
        <w:rPr>
          <w:rFonts w:hint="eastAsia" w:ascii="宋体" w:hAnsi="宋体"/>
          <w:color w:val="000000" w:themeColor="text1"/>
          <w:highlight w:val="none"/>
          <w14:textFill>
            <w14:solidFill>
              <w14:schemeClr w14:val="tx1"/>
            </w14:solidFill>
          </w14:textFill>
        </w:rPr>
        <w:t>标以及其他</w:t>
      </w:r>
      <w:bookmarkEnd w:id="168"/>
      <w:bookmarkEnd w:id="169"/>
      <w:bookmarkEnd w:id="170"/>
      <w:bookmarkEnd w:id="171"/>
      <w:bookmarkEnd w:id="172"/>
      <w:bookmarkEnd w:id="173"/>
      <w:bookmarkEnd w:id="174"/>
      <w:bookmarkEnd w:id="175"/>
      <w:bookmarkEnd w:id="176"/>
      <w:bookmarkEnd w:id="177"/>
      <w:bookmarkEnd w:id="178"/>
      <w:r>
        <w:rPr>
          <w:rFonts w:hint="eastAsia" w:ascii="宋体" w:hAnsi="宋体"/>
          <w:color w:val="000000" w:themeColor="text1"/>
          <w:highlight w:val="none"/>
          <w14:textFill>
            <w14:solidFill>
              <w14:schemeClr w14:val="tx1"/>
            </w14:solidFill>
          </w14:textFill>
        </w:rPr>
        <w:t>与</w:t>
      </w:r>
      <w:bookmarkStart w:id="179" w:name="_Toc247527581"/>
      <w:bookmarkStart w:id="180" w:name="_Toc144974524"/>
      <w:bookmarkStart w:id="181" w:name="_Toc300834977"/>
      <w:bookmarkStart w:id="182" w:name="_Toc152045556"/>
      <w:bookmarkStart w:id="183" w:name="_Toc384308238"/>
      <w:bookmarkStart w:id="184" w:name="_Toc361508613"/>
      <w:bookmarkStart w:id="185" w:name="_Toc352691500"/>
      <w:bookmarkStart w:id="186" w:name="_Toc247513980"/>
      <w:bookmarkStart w:id="187" w:name="_Toc152042332"/>
      <w:bookmarkStart w:id="188" w:name="_Toc369531544"/>
      <w:bookmarkStart w:id="189" w:name="_Toc17703"/>
      <w:r>
        <w:rPr>
          <w:rFonts w:hint="eastAsia" w:ascii="宋体" w:hAnsi="宋体"/>
          <w:color w:val="000000" w:themeColor="text1"/>
          <w:highlight w:val="none"/>
          <w14:textFill>
            <w14:solidFill>
              <w14:schemeClr w14:val="tx1"/>
            </w14:solidFill>
          </w14:textFill>
        </w:rPr>
        <w:t>招标投标有关活动中从事违法行</w:t>
      </w:r>
      <w:bookmarkEnd w:id="179"/>
      <w:bookmarkEnd w:id="180"/>
      <w:bookmarkEnd w:id="181"/>
      <w:bookmarkEnd w:id="182"/>
      <w:bookmarkEnd w:id="183"/>
      <w:bookmarkEnd w:id="184"/>
      <w:bookmarkEnd w:id="185"/>
      <w:bookmarkEnd w:id="186"/>
      <w:bookmarkEnd w:id="187"/>
      <w:bookmarkEnd w:id="188"/>
      <w:bookmarkEnd w:id="189"/>
      <w:r>
        <w:rPr>
          <w:rFonts w:hint="eastAsia" w:ascii="宋体" w:hAnsi="宋体"/>
          <w:color w:val="000000" w:themeColor="text1"/>
          <w:highlight w:val="none"/>
          <w14:textFill>
            <w14:solidFill>
              <w14:schemeClr w14:val="tx1"/>
            </w14:solidFill>
          </w14:textFill>
        </w:rPr>
        <w:t>为而受过行政处罚或刑事处罚的；</w:t>
      </w:r>
    </w:p>
    <w:p>
      <w:pPr>
        <w:spacing w:line="400" w:lineRule="exact"/>
        <w:ind w:firstLine="718" w:firstLineChars="342"/>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）与投标人有其他利害关系。</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6.1.3</w:t>
      </w:r>
      <w:r>
        <w:rPr>
          <w:rFonts w:hint="eastAsia" w:ascii="宋体" w:hAnsi="宋体"/>
          <w:color w:val="000000" w:themeColor="text1"/>
          <w:highlight w:val="none"/>
          <w14:textFill>
            <w14:solidFill>
              <w14:schemeClr w14:val="tx1"/>
            </w14:solidFill>
          </w14:textFill>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190" w:name="_Toc49506167"/>
      <w:bookmarkStart w:id="191" w:name="_Toc49510001"/>
      <w:r>
        <w:rPr>
          <w:rFonts w:ascii="宋体" w:hAnsi="宋体" w:eastAsia="宋体"/>
          <w:color w:val="000000" w:themeColor="text1"/>
          <w:highlight w:val="none"/>
          <w14:textFill>
            <w14:solidFill>
              <w14:schemeClr w14:val="tx1"/>
            </w14:solidFill>
          </w14:textFill>
        </w:rPr>
        <w:t xml:space="preserve">6.2 </w:t>
      </w:r>
      <w:r>
        <w:rPr>
          <w:rFonts w:hint="eastAsia" w:ascii="宋体" w:hAnsi="宋体" w:eastAsia="宋体"/>
          <w:color w:val="000000" w:themeColor="text1"/>
          <w:highlight w:val="none"/>
          <w14:textFill>
            <w14:solidFill>
              <w14:schemeClr w14:val="tx1"/>
            </w14:solidFill>
          </w14:textFill>
        </w:rPr>
        <w:t>评标原则</w:t>
      </w:r>
      <w:bookmarkEnd w:id="190"/>
      <w:bookmarkEnd w:id="191"/>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评标活动遵循公平、公正、科学和择优的原</w:t>
      </w:r>
      <w:bookmarkStart w:id="192" w:name="_Toc152042333"/>
      <w:bookmarkStart w:id="193" w:name="_Toc352691501"/>
      <w:bookmarkStart w:id="194" w:name="_Toc247527582"/>
      <w:bookmarkStart w:id="195" w:name="_Toc300834978"/>
      <w:bookmarkStart w:id="196" w:name="_Toc247513981"/>
      <w:bookmarkStart w:id="197" w:name="_Toc18949"/>
      <w:bookmarkStart w:id="198" w:name="_Toc369531545"/>
      <w:bookmarkStart w:id="199" w:name="_Toc144974525"/>
      <w:bookmarkStart w:id="200" w:name="_Toc361508614"/>
      <w:bookmarkStart w:id="201" w:name="_Toc152045557"/>
      <w:bookmarkStart w:id="202" w:name="_Toc384308239"/>
      <w:r>
        <w:rPr>
          <w:rFonts w:hint="eastAsia" w:ascii="宋体" w:hAnsi="宋体"/>
          <w:color w:val="000000" w:themeColor="text1"/>
          <w:highlight w:val="none"/>
          <w14:textFill>
            <w14:solidFill>
              <w14:schemeClr w14:val="tx1"/>
            </w14:solidFill>
          </w14:textFill>
        </w:rPr>
        <w:t>则。</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203" w:name="_Toc49510002"/>
      <w:bookmarkStart w:id="204" w:name="_Toc49506168"/>
      <w:r>
        <w:rPr>
          <w:rFonts w:ascii="宋体" w:hAnsi="宋体" w:eastAsia="宋体"/>
          <w:color w:val="000000" w:themeColor="text1"/>
          <w:highlight w:val="none"/>
          <w14:textFill>
            <w14:solidFill>
              <w14:schemeClr w14:val="tx1"/>
            </w14:solidFill>
          </w14:textFill>
        </w:rPr>
        <w:t xml:space="preserve">6.3 </w:t>
      </w:r>
      <w:r>
        <w:rPr>
          <w:rFonts w:hint="eastAsia" w:ascii="宋体" w:hAnsi="宋体" w:eastAsia="宋体"/>
          <w:color w:val="000000" w:themeColor="text1"/>
          <w:highlight w:val="none"/>
          <w14:textFill>
            <w14:solidFill>
              <w14:schemeClr w14:val="tx1"/>
            </w14:solidFill>
          </w14:textFill>
        </w:rPr>
        <w:t>评标</w:t>
      </w:r>
      <w:bookmarkEnd w:id="203"/>
      <w:bookmarkEnd w:id="204"/>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w:t>
      </w:r>
      <w:bookmarkEnd w:id="192"/>
      <w:bookmarkEnd w:id="193"/>
      <w:bookmarkEnd w:id="194"/>
      <w:bookmarkEnd w:id="195"/>
      <w:bookmarkEnd w:id="196"/>
      <w:bookmarkEnd w:id="197"/>
      <w:bookmarkEnd w:id="198"/>
      <w:bookmarkEnd w:id="199"/>
      <w:bookmarkEnd w:id="200"/>
      <w:bookmarkEnd w:id="201"/>
      <w:bookmarkEnd w:id="202"/>
      <w:r>
        <w:rPr>
          <w:rFonts w:ascii="宋体" w:hAnsi="宋体"/>
          <w:color w:val="000000" w:themeColor="text1"/>
          <w:highlight w:val="none"/>
          <w14:textFill>
            <w14:solidFill>
              <w14:schemeClr w14:val="tx1"/>
            </w14:solidFill>
          </w14:textFill>
        </w:rPr>
        <w:t>.3.1</w:t>
      </w:r>
      <w:r>
        <w:rPr>
          <w:rFonts w:hint="eastAsia" w:ascii="宋体" w:hAnsi="宋体"/>
          <w:color w:val="000000" w:themeColor="text1"/>
          <w:highlight w:val="none"/>
          <w14:textFill>
            <w14:solidFill>
              <w14:schemeClr w14:val="tx1"/>
            </w14:solidFill>
          </w14:textFill>
        </w:rPr>
        <w:t>评标委员会按照第三章</w:t>
      </w:r>
      <w:r>
        <w:rPr>
          <w:rFonts w:ascii="宋体" w:hAnsi="宋体"/>
          <w:color w:val="000000" w:themeColor="text1"/>
          <w:highlight w:val="none"/>
          <w14:textFill>
            <w14:solidFill>
              <w14:schemeClr w14:val="tx1"/>
            </w14:solidFill>
          </w14:textFill>
        </w:rPr>
        <w:t>评标办法（</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评定分离</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定标办法）</w:t>
      </w:r>
      <w:r>
        <w:rPr>
          <w:rFonts w:hint="eastAsia" w:ascii="宋体" w:hAnsi="宋体"/>
          <w:color w:val="000000" w:themeColor="text1"/>
          <w:highlight w:val="none"/>
          <w14:textFill>
            <w14:solidFill>
              <w14:schemeClr w14:val="tx1"/>
            </w14:solidFill>
          </w14:textFill>
        </w:rPr>
        <w:t>规定的方法、评审因素、标准和程序对投标文件进行评审。第三章</w:t>
      </w:r>
      <w:r>
        <w:rPr>
          <w:rFonts w:ascii="宋体" w:hAnsi="宋体"/>
          <w:color w:val="000000" w:themeColor="text1"/>
          <w:highlight w:val="none"/>
          <w14:textFill>
            <w14:solidFill>
              <w14:schemeClr w14:val="tx1"/>
            </w14:solidFill>
          </w14:textFill>
        </w:rPr>
        <w:t>评标办法（</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评定分离</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定标办法）</w:t>
      </w:r>
      <w:r>
        <w:rPr>
          <w:rFonts w:hint="eastAsia" w:ascii="宋体" w:hAnsi="宋体"/>
          <w:color w:val="000000" w:themeColor="text1"/>
          <w:highlight w:val="none"/>
          <w14:textFill>
            <w14:solidFill>
              <w14:schemeClr w14:val="tx1"/>
            </w14:solidFill>
          </w14:textFill>
        </w:rPr>
        <w:t>没有规定的方法、评审因素和标准，不作为评标依据。</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6.3.2</w:t>
      </w:r>
      <w:r>
        <w:rPr>
          <w:rFonts w:hint="eastAsia" w:ascii="宋体" w:hAnsi="宋体"/>
          <w:color w:val="000000" w:themeColor="text1"/>
          <w:highlight w:val="none"/>
          <w14:textFill>
            <w14:solidFill>
              <w14:schemeClr w14:val="tx1"/>
            </w14:solidFill>
          </w14:textFill>
        </w:rPr>
        <w:t>评标完成后，评标委员会应当向招标人提交书面评标报告和中标候选人名单。</w:t>
      </w:r>
    </w:p>
    <w:p>
      <w:pPr>
        <w:pStyle w:val="3"/>
        <w:rPr>
          <w:rFonts w:ascii="宋体" w:hAnsi="宋体" w:eastAsia="宋体"/>
          <w:color w:val="000000" w:themeColor="text1"/>
          <w:highlight w:val="none"/>
          <w14:textFill>
            <w14:solidFill>
              <w14:schemeClr w14:val="tx1"/>
            </w14:solidFill>
          </w14:textFill>
        </w:rPr>
      </w:pPr>
      <w:bookmarkStart w:id="205" w:name="_Toc49510004"/>
      <w:r>
        <w:rPr>
          <w:rFonts w:ascii="宋体" w:hAnsi="宋体" w:eastAsia="宋体"/>
          <w:color w:val="000000" w:themeColor="text1"/>
          <w:highlight w:val="none"/>
          <w14:textFill>
            <w14:solidFill>
              <w14:schemeClr w14:val="tx1"/>
            </w14:solidFill>
          </w14:textFill>
        </w:rPr>
        <w:t xml:space="preserve">7. </w:t>
      </w:r>
      <w:r>
        <w:rPr>
          <w:rFonts w:hint="eastAsia" w:ascii="宋体" w:hAnsi="宋体" w:eastAsia="宋体"/>
          <w:color w:val="000000" w:themeColor="text1"/>
          <w:highlight w:val="none"/>
          <w14:textFill>
            <w14:solidFill>
              <w14:schemeClr w14:val="tx1"/>
            </w14:solidFill>
          </w14:textFill>
        </w:rPr>
        <w:t>合同授予</w:t>
      </w:r>
      <w:bookmarkEnd w:id="205"/>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206" w:name="_Toc49510005"/>
      <w:bookmarkStart w:id="207" w:name="_Toc49506170"/>
      <w:r>
        <w:rPr>
          <w:rFonts w:ascii="宋体" w:hAnsi="宋体" w:eastAsia="宋体"/>
          <w:color w:val="000000" w:themeColor="text1"/>
          <w:highlight w:val="none"/>
          <w14:textFill>
            <w14:solidFill>
              <w14:schemeClr w14:val="tx1"/>
            </w14:solidFill>
          </w14:textFill>
        </w:rPr>
        <w:t xml:space="preserve">7.1 </w:t>
      </w:r>
      <w:r>
        <w:rPr>
          <w:rFonts w:hint="eastAsia" w:ascii="宋体" w:hAnsi="宋体" w:eastAsia="宋体"/>
          <w:color w:val="000000" w:themeColor="text1"/>
          <w:highlight w:val="none"/>
          <w14:textFill>
            <w14:solidFill>
              <w14:schemeClr w14:val="tx1"/>
            </w14:solidFill>
          </w14:textFill>
        </w:rPr>
        <w:t>中标候选人公示</w:t>
      </w:r>
      <w:bookmarkEnd w:id="206"/>
      <w:bookmarkEnd w:id="207"/>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招标人在</w:t>
      </w:r>
      <w:r>
        <w:rPr>
          <w:rFonts w:ascii="宋体" w:hAnsi="宋体"/>
          <w:color w:val="000000" w:themeColor="text1"/>
          <w:highlight w:val="none"/>
          <w14:textFill>
            <w14:solidFill>
              <w14:schemeClr w14:val="tx1"/>
            </w14:solidFill>
          </w14:textFill>
        </w:rPr>
        <w:t>收到评标报告</w:t>
      </w:r>
      <w:r>
        <w:rPr>
          <w:rFonts w:hint="eastAsia" w:ascii="宋体" w:hAnsi="宋体"/>
          <w:color w:val="000000" w:themeColor="text1"/>
          <w:highlight w:val="none"/>
          <w14:textFill>
            <w14:solidFill>
              <w14:schemeClr w14:val="tx1"/>
            </w14:solidFill>
          </w14:textFill>
        </w:rPr>
        <w:t>之日起</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日内，按照投标人须知前附表规定的公示媒介和期限公示中标候选人，公示期不得少于</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天。</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208" w:name="_Toc49506171"/>
      <w:bookmarkStart w:id="209" w:name="_Toc49510006"/>
      <w:r>
        <w:rPr>
          <w:rFonts w:ascii="宋体" w:hAnsi="宋体" w:eastAsia="宋体"/>
          <w:color w:val="000000" w:themeColor="text1"/>
          <w:highlight w:val="none"/>
          <w14:textFill>
            <w14:solidFill>
              <w14:schemeClr w14:val="tx1"/>
            </w14:solidFill>
          </w14:textFill>
        </w:rPr>
        <w:t xml:space="preserve">7.2 </w:t>
      </w:r>
      <w:r>
        <w:rPr>
          <w:rFonts w:hint="eastAsia" w:ascii="宋体" w:hAnsi="宋体" w:eastAsia="宋体"/>
          <w:color w:val="000000" w:themeColor="text1"/>
          <w:highlight w:val="none"/>
          <w14:textFill>
            <w14:solidFill>
              <w14:schemeClr w14:val="tx1"/>
            </w14:solidFill>
          </w14:textFill>
        </w:rPr>
        <w:t>评标结果异议</w:t>
      </w:r>
      <w:bookmarkEnd w:id="208"/>
      <w:bookmarkEnd w:id="209"/>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投标人或其他利害关系人对评标结果有异议的，应当在中标候选人公示期间提出，可以通过线下或线上的形式提出异议。线上提交的，应通过交易平台进行，招标人也应通过交易平台答复线上提交的异议。招标人将在收到异议之日起 3 日内作出答复；作出答复前，应当暂停招标投标活动。</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210" w:name="_Toc49510007"/>
      <w:bookmarkStart w:id="211" w:name="_Toc49506172"/>
      <w:r>
        <w:rPr>
          <w:rFonts w:ascii="宋体" w:hAnsi="宋体" w:eastAsia="宋体"/>
          <w:color w:val="000000" w:themeColor="text1"/>
          <w:highlight w:val="none"/>
          <w14:textFill>
            <w14:solidFill>
              <w14:schemeClr w14:val="tx1"/>
            </w14:solidFill>
          </w14:textFill>
        </w:rPr>
        <w:t xml:space="preserve">7.3 </w:t>
      </w:r>
      <w:r>
        <w:rPr>
          <w:rFonts w:hint="eastAsia" w:ascii="宋体" w:hAnsi="宋体" w:eastAsia="宋体"/>
          <w:color w:val="000000" w:themeColor="text1"/>
          <w:highlight w:val="none"/>
          <w14:textFill>
            <w14:solidFill>
              <w14:schemeClr w14:val="tx1"/>
            </w14:solidFill>
          </w14:textFill>
        </w:rPr>
        <w:t>中标候选人履约能力审查</w:t>
      </w:r>
      <w:bookmarkEnd w:id="210"/>
      <w:bookmarkEnd w:id="211"/>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212" w:name="_Toc49510008"/>
      <w:bookmarkStart w:id="213" w:name="_Toc49506173"/>
      <w:r>
        <w:rPr>
          <w:rFonts w:ascii="宋体" w:hAnsi="宋体" w:eastAsia="宋体"/>
          <w:color w:val="000000" w:themeColor="text1"/>
          <w:highlight w:val="none"/>
          <w14:textFill>
            <w14:solidFill>
              <w14:schemeClr w14:val="tx1"/>
            </w14:solidFill>
          </w14:textFill>
        </w:rPr>
        <w:t xml:space="preserve">7.4 </w:t>
      </w:r>
      <w:r>
        <w:rPr>
          <w:rFonts w:hint="eastAsia" w:ascii="宋体" w:hAnsi="宋体" w:eastAsia="宋体"/>
          <w:color w:val="000000" w:themeColor="text1"/>
          <w:highlight w:val="none"/>
          <w14:textFill>
            <w14:solidFill>
              <w14:schemeClr w14:val="tx1"/>
            </w14:solidFill>
          </w14:textFill>
        </w:rPr>
        <w:t>定标</w:t>
      </w:r>
      <w:bookmarkEnd w:id="212"/>
      <w:bookmarkEnd w:id="213"/>
    </w:p>
    <w:p>
      <w:pPr>
        <w:spacing w:line="420" w:lineRule="exact"/>
        <w:ind w:firstLine="420" w:firstLineChars="200"/>
        <w:rPr>
          <w:rFonts w:ascii="宋体" w:hAnsi="宋体"/>
          <w:color w:val="000000" w:themeColor="text1"/>
          <w:highlight w:val="none"/>
          <w:u w:val="single"/>
          <w14:textFill>
            <w14:solidFill>
              <w14:schemeClr w14:val="tx1"/>
            </w14:solidFill>
          </w14:textFill>
        </w:rPr>
      </w:pPr>
      <w:r>
        <w:rPr>
          <w:rFonts w:hint="eastAsia" w:ascii="宋体" w:hAnsi="宋体"/>
          <w:color w:val="000000" w:themeColor="text1"/>
          <w:szCs w:val="24"/>
          <w:highlight w:val="none"/>
          <w:u w:val="single"/>
          <w14:textFill>
            <w14:solidFill>
              <w14:schemeClr w14:val="tx1"/>
            </w14:solidFill>
          </w14:textFill>
        </w:rPr>
        <w:t>定标委员会</w:t>
      </w:r>
      <w:r>
        <w:rPr>
          <w:rFonts w:hint="eastAsia" w:ascii="宋体" w:hAnsi="宋体"/>
          <w:color w:val="000000" w:themeColor="text1"/>
          <w:highlight w:val="none"/>
          <w:u w:val="single"/>
          <w14:textFill>
            <w14:solidFill>
              <w14:schemeClr w14:val="tx1"/>
            </w14:solidFill>
          </w14:textFill>
        </w:rPr>
        <w:t>按照投标人须知前附表的规定依法确定中标人。</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214" w:name="_Toc49510009"/>
      <w:bookmarkStart w:id="215" w:name="_Toc49506174"/>
      <w:r>
        <w:rPr>
          <w:rFonts w:ascii="宋体" w:hAnsi="宋体" w:eastAsia="宋体"/>
          <w:color w:val="000000" w:themeColor="text1"/>
          <w:highlight w:val="none"/>
          <w14:textFill>
            <w14:solidFill>
              <w14:schemeClr w14:val="tx1"/>
            </w14:solidFill>
          </w14:textFill>
        </w:rPr>
        <w:t xml:space="preserve">7.5 </w:t>
      </w:r>
      <w:r>
        <w:rPr>
          <w:rFonts w:hint="eastAsia" w:ascii="宋体" w:hAnsi="宋体" w:eastAsia="宋体"/>
          <w:color w:val="000000" w:themeColor="text1"/>
          <w:highlight w:val="none"/>
          <w14:textFill>
            <w14:solidFill>
              <w14:schemeClr w14:val="tx1"/>
            </w14:solidFill>
          </w14:textFill>
        </w:rPr>
        <w:t>中标通知</w:t>
      </w:r>
      <w:bookmarkEnd w:id="214"/>
      <w:bookmarkEnd w:id="215"/>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在本章第</w:t>
      </w:r>
      <w:r>
        <w:rPr>
          <w:rFonts w:ascii="宋体" w:hAnsi="宋体"/>
          <w:color w:val="000000" w:themeColor="text1"/>
          <w:highlight w:val="none"/>
          <w14:textFill>
            <w14:solidFill>
              <w14:schemeClr w14:val="tx1"/>
            </w14:solidFill>
          </w14:textFill>
        </w:rPr>
        <w:t>3.3</w:t>
      </w:r>
      <w:r>
        <w:rPr>
          <w:rFonts w:hint="eastAsia" w:ascii="宋体" w:hAnsi="宋体"/>
          <w:color w:val="000000" w:themeColor="text1"/>
          <w:highlight w:val="none"/>
          <w14:textFill>
            <w14:solidFill>
              <w14:schemeClr w14:val="tx1"/>
            </w14:solidFill>
          </w14:textFill>
        </w:rPr>
        <w:t>款规定的投标有效期内，招标人以书面形式向中标人发出中标</w:t>
      </w:r>
      <w:bookmarkStart w:id="216" w:name="_Toc300834983"/>
      <w:bookmarkStart w:id="217" w:name="_Toc352691506"/>
      <w:bookmarkStart w:id="218" w:name="_Toc5668"/>
      <w:bookmarkStart w:id="219" w:name="_Toc384308244"/>
      <w:bookmarkStart w:id="220" w:name="_Toc369531550"/>
      <w:bookmarkStart w:id="221" w:name="_Toc361508619"/>
      <w:r>
        <w:rPr>
          <w:rFonts w:hint="eastAsia" w:ascii="宋体" w:hAnsi="宋体"/>
          <w:color w:val="000000" w:themeColor="text1"/>
          <w:highlight w:val="none"/>
          <w14:textFill>
            <w14:solidFill>
              <w14:schemeClr w14:val="tx1"/>
            </w14:solidFill>
          </w14:textFill>
        </w:rPr>
        <w:t>通知书，同时将中</w:t>
      </w:r>
      <w:bookmarkEnd w:id="216"/>
      <w:bookmarkEnd w:id="217"/>
      <w:bookmarkEnd w:id="218"/>
      <w:bookmarkEnd w:id="219"/>
      <w:bookmarkEnd w:id="220"/>
      <w:bookmarkEnd w:id="221"/>
      <w:r>
        <w:rPr>
          <w:rFonts w:hint="eastAsia" w:ascii="宋体" w:hAnsi="宋体"/>
          <w:color w:val="000000" w:themeColor="text1"/>
          <w:highlight w:val="none"/>
          <w14:textFill>
            <w14:solidFill>
              <w14:schemeClr w14:val="tx1"/>
            </w14:solidFill>
          </w14:textFill>
        </w:rPr>
        <w:t>标结果通知未中标的投标人。</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222" w:name="_Toc49506175"/>
      <w:bookmarkStart w:id="223" w:name="_Toc49510010"/>
      <w:r>
        <w:rPr>
          <w:rFonts w:ascii="宋体" w:hAnsi="宋体" w:eastAsia="宋体"/>
          <w:color w:val="000000" w:themeColor="text1"/>
          <w:highlight w:val="none"/>
          <w14:textFill>
            <w14:solidFill>
              <w14:schemeClr w14:val="tx1"/>
            </w14:solidFill>
          </w14:textFill>
        </w:rPr>
        <w:t xml:space="preserve">7.6 </w:t>
      </w:r>
      <w:r>
        <w:rPr>
          <w:rFonts w:hint="eastAsia" w:ascii="宋体" w:hAnsi="宋体" w:eastAsia="宋体"/>
          <w:color w:val="000000" w:themeColor="text1"/>
          <w:highlight w:val="none"/>
          <w14:textFill>
            <w14:solidFill>
              <w14:schemeClr w14:val="tx1"/>
            </w14:solidFill>
          </w14:textFill>
        </w:rPr>
        <w:t>履约保证金</w:t>
      </w:r>
      <w:bookmarkEnd w:id="222"/>
      <w:bookmarkEnd w:id="223"/>
      <w:r>
        <w:rPr>
          <w:rFonts w:hint="eastAsia" w:ascii="宋体" w:hAnsi="宋体" w:eastAsia="宋体" w:cs="宋体"/>
          <w:b/>
          <w:color w:val="000000" w:themeColor="text1"/>
          <w:szCs w:val="28"/>
          <w:highlight w:val="none"/>
          <w:u w:val="single"/>
          <w14:textFill>
            <w14:solidFill>
              <w14:schemeClr w14:val="tx1"/>
            </w14:solidFill>
          </w14:textFill>
        </w:rPr>
        <w:t>（本项目不要求递交</w:t>
      </w:r>
      <w:r>
        <w:rPr>
          <w:rFonts w:hint="eastAsia" w:ascii="宋体" w:hAnsi="宋体" w:eastAsia="宋体" w:cs="宋体"/>
          <w:b/>
          <w:color w:val="000000" w:themeColor="text1"/>
          <w:szCs w:val="28"/>
          <w:highlight w:val="none"/>
          <w:u w:val="single"/>
          <w:lang w:val="en-US" w:eastAsia="zh-CN"/>
          <w14:textFill>
            <w14:solidFill>
              <w14:schemeClr w14:val="tx1"/>
            </w14:solidFill>
          </w14:textFill>
        </w:rPr>
        <w:t>履约</w:t>
      </w:r>
      <w:r>
        <w:rPr>
          <w:rFonts w:hint="eastAsia" w:ascii="宋体" w:hAnsi="宋体" w:eastAsia="宋体" w:cs="宋体"/>
          <w:b/>
          <w:color w:val="000000" w:themeColor="text1"/>
          <w:szCs w:val="28"/>
          <w:highlight w:val="none"/>
          <w:u w:val="single"/>
          <w14:textFill>
            <w14:solidFill>
              <w14:schemeClr w14:val="tx1"/>
            </w14:solidFill>
          </w14:textFill>
        </w:rPr>
        <w:t>保证金）</w:t>
      </w:r>
    </w:p>
    <w:p>
      <w:pPr>
        <w:spacing w:line="400" w:lineRule="exact"/>
        <w:ind w:firstLine="420" w:firstLineChars="200"/>
        <w:rPr>
          <w:rFonts w:ascii="宋体" w:hAnsi="宋体"/>
          <w:strike/>
          <w:color w:val="000000" w:themeColor="text1"/>
          <w:highlight w:val="none"/>
          <w14:textFill>
            <w14:solidFill>
              <w14:schemeClr w14:val="tx1"/>
            </w14:solidFill>
          </w14:textFill>
        </w:rPr>
      </w:pPr>
      <w:r>
        <w:rPr>
          <w:rFonts w:ascii="宋体" w:hAnsi="宋体"/>
          <w:strike/>
          <w:color w:val="000000" w:themeColor="text1"/>
          <w:highlight w:val="none"/>
          <w14:textFill>
            <w14:solidFill>
              <w14:schemeClr w14:val="tx1"/>
            </w14:solidFill>
          </w14:textFill>
        </w:rPr>
        <w:t>7.6.1</w:t>
      </w:r>
      <w:r>
        <w:rPr>
          <w:rFonts w:hint="eastAsia" w:ascii="宋体" w:hAnsi="宋体"/>
          <w:strike/>
          <w:color w:val="000000" w:themeColor="text1"/>
          <w:highlight w:val="none"/>
          <w14:textFill>
            <w14:solidFill>
              <w14:schemeClr w14:val="tx1"/>
            </w14:solidFill>
          </w14:textFill>
        </w:rPr>
        <w:t>在签订合同前，中标人应按投标人须知前附表规定的形式、金额和招标文件第四章</w:t>
      </w:r>
      <w:r>
        <w:rPr>
          <w:rFonts w:ascii="宋体" w:hAnsi="宋体"/>
          <w:strike/>
          <w:color w:val="000000" w:themeColor="text1"/>
          <w:highlight w:val="none"/>
          <w14:textFill>
            <w14:solidFill>
              <w14:schemeClr w14:val="tx1"/>
            </w14:solidFill>
          </w14:textFill>
        </w:rPr>
        <w:t>“</w:t>
      </w:r>
      <w:r>
        <w:rPr>
          <w:rFonts w:hint="eastAsia" w:ascii="宋体" w:hAnsi="宋体"/>
          <w:strike/>
          <w:color w:val="000000" w:themeColor="text1"/>
          <w:highlight w:val="none"/>
          <w14:textFill>
            <w14:solidFill>
              <w14:schemeClr w14:val="tx1"/>
            </w14:solidFill>
          </w14:textFill>
        </w:rPr>
        <w:t>合同条款及格式</w:t>
      </w:r>
      <w:r>
        <w:rPr>
          <w:rFonts w:ascii="宋体" w:hAnsi="宋体"/>
          <w:strike/>
          <w:color w:val="000000" w:themeColor="text1"/>
          <w:highlight w:val="none"/>
          <w14:textFill>
            <w14:solidFill>
              <w14:schemeClr w14:val="tx1"/>
            </w14:solidFill>
          </w14:textFill>
        </w:rPr>
        <w:t>”</w:t>
      </w:r>
      <w:r>
        <w:rPr>
          <w:rFonts w:hint="eastAsia" w:ascii="宋体" w:hAnsi="宋体"/>
          <w:strike/>
          <w:color w:val="000000" w:themeColor="text1"/>
          <w:highlight w:val="none"/>
          <w14:textFill>
            <w14:solidFill>
              <w14:schemeClr w14:val="tx1"/>
            </w14:solidFill>
          </w14:textFill>
        </w:rPr>
        <w:t>规定的或者事先经过招标人书面认可的履约保证金格式向招标人提交履约保证金。除投标人须知前附表另有规定外，履约保证金为中标合同金额的</w:t>
      </w:r>
      <w:r>
        <w:rPr>
          <w:rFonts w:ascii="宋体" w:hAnsi="宋体"/>
          <w:strike/>
          <w:color w:val="000000" w:themeColor="text1"/>
          <w:highlight w:val="none"/>
          <w14:textFill>
            <w14:solidFill>
              <w14:schemeClr w14:val="tx1"/>
            </w14:solidFill>
          </w14:textFill>
        </w:rPr>
        <w:t>10%</w:t>
      </w:r>
      <w:r>
        <w:rPr>
          <w:rFonts w:hint="eastAsia" w:ascii="宋体" w:hAnsi="宋体"/>
          <w:strike/>
          <w:color w:val="000000" w:themeColor="text1"/>
          <w:highlight w:val="none"/>
          <w14:textFill>
            <w14:solidFill>
              <w14:schemeClr w14:val="tx1"/>
            </w14:solidFill>
          </w14:textFill>
        </w:rPr>
        <w:t>。联合体中标的，其履约保证金以联合体各方或者联合体中牵头人的名义提交。</w:t>
      </w:r>
    </w:p>
    <w:p>
      <w:pPr>
        <w:spacing w:line="400" w:lineRule="exact"/>
        <w:ind w:firstLine="420" w:firstLineChars="200"/>
        <w:rPr>
          <w:rFonts w:ascii="宋体" w:hAnsi="宋体"/>
          <w:strike/>
          <w:color w:val="000000" w:themeColor="text1"/>
          <w:highlight w:val="none"/>
          <w14:textFill>
            <w14:solidFill>
              <w14:schemeClr w14:val="tx1"/>
            </w14:solidFill>
          </w14:textFill>
        </w:rPr>
      </w:pPr>
      <w:r>
        <w:rPr>
          <w:rFonts w:ascii="宋体" w:hAnsi="宋体"/>
          <w:strike/>
          <w:color w:val="000000" w:themeColor="text1"/>
          <w:highlight w:val="none"/>
          <w14:textFill>
            <w14:solidFill>
              <w14:schemeClr w14:val="tx1"/>
            </w14:solidFill>
          </w14:textFill>
        </w:rPr>
        <w:t>7.6.2</w:t>
      </w:r>
      <w:r>
        <w:rPr>
          <w:rFonts w:hint="eastAsia" w:ascii="宋体" w:hAnsi="宋体"/>
          <w:strike/>
          <w:color w:val="000000" w:themeColor="text1"/>
          <w:highlight w:val="none"/>
          <w14:textFill>
            <w14:solidFill>
              <w14:schemeClr w14:val="tx1"/>
            </w14:solidFill>
          </w14:textFill>
        </w:rPr>
        <w:t>中标人不能按本章第</w:t>
      </w:r>
      <w:r>
        <w:rPr>
          <w:rFonts w:ascii="宋体" w:hAnsi="宋体"/>
          <w:strike/>
          <w:color w:val="000000" w:themeColor="text1"/>
          <w:highlight w:val="none"/>
          <w14:textFill>
            <w14:solidFill>
              <w14:schemeClr w14:val="tx1"/>
            </w14:solidFill>
          </w14:textFill>
        </w:rPr>
        <w:t>7.6.1</w:t>
      </w:r>
      <w:r>
        <w:rPr>
          <w:rFonts w:hint="eastAsia" w:ascii="宋体" w:hAnsi="宋体"/>
          <w:strike/>
          <w:color w:val="000000" w:themeColor="text1"/>
          <w:highlight w:val="none"/>
          <w14:textFill>
            <w14:solidFill>
              <w14:schemeClr w14:val="tx1"/>
            </w14:solidFill>
          </w14:textFill>
        </w:rPr>
        <w:t>项要求提交履约保证金的，视为放弃中标，其投标保证金不予退还，给招标人造成的损失超过投标保证金数额的，中标人还应当对超过部分予以赔偿。</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224" w:name="_Toc49506176"/>
      <w:bookmarkStart w:id="225" w:name="_Toc49510011"/>
      <w:r>
        <w:rPr>
          <w:rFonts w:ascii="宋体" w:hAnsi="宋体" w:eastAsia="宋体"/>
          <w:color w:val="000000" w:themeColor="text1"/>
          <w:highlight w:val="none"/>
          <w14:textFill>
            <w14:solidFill>
              <w14:schemeClr w14:val="tx1"/>
            </w14:solidFill>
          </w14:textFill>
        </w:rPr>
        <w:t xml:space="preserve">7.7 </w:t>
      </w:r>
      <w:r>
        <w:rPr>
          <w:rFonts w:hint="eastAsia" w:ascii="宋体" w:hAnsi="宋体" w:eastAsia="宋体"/>
          <w:color w:val="000000" w:themeColor="text1"/>
          <w:highlight w:val="none"/>
          <w14:textFill>
            <w14:solidFill>
              <w14:schemeClr w14:val="tx1"/>
            </w14:solidFill>
          </w14:textFill>
        </w:rPr>
        <w:t>签订合同</w:t>
      </w:r>
      <w:bookmarkEnd w:id="224"/>
      <w:bookmarkEnd w:id="225"/>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7.7.1</w:t>
      </w:r>
      <w:r>
        <w:rPr>
          <w:rFonts w:hint="eastAsia" w:ascii="宋体" w:hAnsi="宋体"/>
          <w:color w:val="000000" w:themeColor="text1"/>
          <w:highlight w:val="none"/>
          <w14:textFill>
            <w14:solidFill>
              <w14:schemeClr w14:val="tx1"/>
            </w14:solidFill>
          </w14:textFill>
        </w:rPr>
        <w:t>招标人和中标人应当在中标通知书发出之日起</w:t>
      </w:r>
      <w:r>
        <w:rPr>
          <w:rFonts w:ascii="宋体" w:hAnsi="宋体"/>
          <w:color w:val="000000" w:themeColor="text1"/>
          <w:highlight w:val="none"/>
          <w14:textFill>
            <w14:solidFill>
              <w14:schemeClr w14:val="tx1"/>
            </w14:solidFill>
          </w14:textFill>
        </w:rPr>
        <w:t>30</w:t>
      </w:r>
      <w:r>
        <w:rPr>
          <w:rFonts w:hint="eastAsia" w:ascii="宋体" w:hAnsi="宋体"/>
          <w:color w:val="000000" w:themeColor="text1"/>
          <w:highlight w:val="none"/>
          <w14:textFill>
            <w14:solidFill>
              <w14:schemeClr w14:val="tx1"/>
            </w14:solidFill>
          </w14:textFill>
        </w:rPr>
        <w:t>日内，根据招标文件和中标人的投标文件订立书面合同。中标人</w:t>
      </w:r>
      <w:r>
        <w:rPr>
          <w:rFonts w:ascii="宋体" w:hAnsi="宋体"/>
          <w:color w:val="000000" w:themeColor="text1"/>
          <w:highlight w:val="none"/>
          <w14:textFill>
            <w14:solidFill>
              <w14:schemeClr w14:val="tx1"/>
            </w14:solidFill>
          </w14:textFill>
        </w:rPr>
        <w:t>无正当理由</w:t>
      </w:r>
      <w:r>
        <w:rPr>
          <w:rFonts w:hint="eastAsia" w:ascii="宋体" w:hAnsi="宋体"/>
          <w:color w:val="000000" w:themeColor="text1"/>
          <w:highlight w:val="none"/>
          <w14:textFill>
            <w14:solidFill>
              <w14:schemeClr w14:val="tx1"/>
            </w14:solidFill>
          </w14:textFill>
        </w:rPr>
        <w:t>拒签</w:t>
      </w:r>
      <w:r>
        <w:rPr>
          <w:rFonts w:ascii="宋体" w:hAnsi="宋体"/>
          <w:color w:val="000000" w:themeColor="text1"/>
          <w:highlight w:val="none"/>
          <w14:textFill>
            <w14:solidFill>
              <w14:schemeClr w14:val="tx1"/>
            </w14:solidFill>
          </w14:textFill>
        </w:rPr>
        <w:t>合同，在签订合同时向招标人提出附加条件，</w:t>
      </w:r>
      <w:r>
        <w:rPr>
          <w:rFonts w:ascii="宋体" w:hAnsi="宋体"/>
          <w:strike/>
          <w:color w:val="000000" w:themeColor="text1"/>
          <w:highlight w:val="none"/>
          <w14:textFill>
            <w14:solidFill>
              <w14:schemeClr w14:val="tx1"/>
            </w14:solidFill>
          </w14:textFill>
        </w:rPr>
        <w:t>或者不按照招标文件要求提交履约保证金的</w:t>
      </w:r>
      <w:r>
        <w:rPr>
          <w:rFonts w:hint="eastAsia" w:ascii="宋体" w:hAnsi="宋体"/>
          <w:strike/>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招标人有权取消其中标资格</w:t>
      </w:r>
      <w:r>
        <w:rPr>
          <w:rFonts w:hint="eastAsia" w:ascii="宋体" w:hAnsi="宋体"/>
          <w:strike/>
          <w:color w:val="000000" w:themeColor="text1"/>
          <w:highlight w:val="none"/>
          <w14:textFill>
            <w14:solidFill>
              <w14:schemeClr w14:val="tx1"/>
            </w14:solidFill>
          </w14:textFill>
        </w:rPr>
        <w:t>，其投标保证金不予退还</w:t>
      </w:r>
      <w:r>
        <w:rPr>
          <w:rFonts w:hint="eastAsia" w:ascii="宋体" w:hAnsi="宋体"/>
          <w:color w:val="000000" w:themeColor="text1"/>
          <w:highlight w:val="none"/>
          <w14:textFill>
            <w14:solidFill>
              <w14:schemeClr w14:val="tx1"/>
            </w14:solidFill>
          </w14:textFill>
        </w:rPr>
        <w:t>；给招标人造成的损失</w:t>
      </w:r>
      <w:r>
        <w:rPr>
          <w:rFonts w:hint="eastAsia" w:ascii="宋体" w:hAnsi="宋体"/>
          <w:strike/>
          <w:color w:val="000000" w:themeColor="text1"/>
          <w:highlight w:val="none"/>
          <w14:textFill>
            <w14:solidFill>
              <w14:schemeClr w14:val="tx1"/>
            </w14:solidFill>
          </w14:textFill>
        </w:rPr>
        <w:t>超过投标保证金数额</w:t>
      </w:r>
      <w:r>
        <w:rPr>
          <w:rFonts w:hint="eastAsia" w:ascii="宋体" w:hAnsi="宋体"/>
          <w:color w:val="000000" w:themeColor="text1"/>
          <w:highlight w:val="none"/>
          <w14:textFill>
            <w14:solidFill>
              <w14:schemeClr w14:val="tx1"/>
            </w14:solidFill>
          </w14:textFill>
        </w:rPr>
        <w:t>的，中标人还应当</w:t>
      </w:r>
      <w:r>
        <w:rPr>
          <w:rFonts w:hint="eastAsia" w:ascii="宋体" w:hAnsi="宋体"/>
          <w:strike/>
          <w:color w:val="000000" w:themeColor="text1"/>
          <w:highlight w:val="none"/>
          <w14:textFill>
            <w14:solidFill>
              <w14:schemeClr w14:val="tx1"/>
            </w14:solidFill>
          </w14:textFill>
        </w:rPr>
        <w:t>对超过部分</w:t>
      </w:r>
      <w:r>
        <w:rPr>
          <w:rFonts w:hint="eastAsia" w:ascii="宋体" w:hAnsi="宋体"/>
          <w:color w:val="000000" w:themeColor="text1"/>
          <w:highlight w:val="none"/>
          <w14:textFill>
            <w14:solidFill>
              <w14:schemeClr w14:val="tx1"/>
            </w14:solidFill>
          </w14:textFill>
        </w:rPr>
        <w:t>予以赔偿。</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7.7.2</w:t>
      </w:r>
      <w:r>
        <w:rPr>
          <w:rFonts w:hint="eastAsia" w:ascii="宋体" w:hAnsi="宋体"/>
          <w:color w:val="000000" w:themeColor="text1"/>
          <w:highlight w:val="none"/>
          <w14:textFill>
            <w14:solidFill>
              <w14:schemeClr w14:val="tx1"/>
            </w14:solidFill>
          </w14:textFill>
        </w:rPr>
        <w:t>发出中标通知书后，招标人无正当理由拒签合同，或者</w:t>
      </w:r>
      <w:r>
        <w:rPr>
          <w:rFonts w:ascii="宋体" w:hAnsi="宋体"/>
          <w:color w:val="000000" w:themeColor="text1"/>
          <w:highlight w:val="none"/>
          <w14:textFill>
            <w14:solidFill>
              <w14:schemeClr w14:val="tx1"/>
            </w14:solidFill>
          </w14:textFill>
        </w:rPr>
        <w:t>在签订合同时</w:t>
      </w:r>
      <w:r>
        <w:rPr>
          <w:rFonts w:hint="eastAsia" w:ascii="宋体" w:hAnsi="宋体"/>
          <w:color w:val="000000" w:themeColor="text1"/>
          <w:highlight w:val="none"/>
          <w14:textFill>
            <w14:solidFill>
              <w14:schemeClr w14:val="tx1"/>
            </w14:solidFill>
          </w14:textFill>
        </w:rPr>
        <w:t>向中标人提出附加条件</w:t>
      </w:r>
      <w:r>
        <w:rPr>
          <w:rFonts w:hint="eastAsia" w:ascii="宋体" w:hAnsi="宋体"/>
          <w:strike/>
          <w:color w:val="000000" w:themeColor="text1"/>
          <w:highlight w:val="none"/>
          <w14:textFill>
            <w14:solidFill>
              <w14:schemeClr w14:val="tx1"/>
            </w14:solidFill>
          </w14:textFill>
        </w:rPr>
        <w:t>的，招标人向中标人退还投标保证金；</w:t>
      </w:r>
      <w:r>
        <w:rPr>
          <w:rFonts w:hint="eastAsia" w:ascii="宋体" w:hAnsi="宋体"/>
          <w:color w:val="000000" w:themeColor="text1"/>
          <w:highlight w:val="none"/>
          <w14:textFill>
            <w14:solidFill>
              <w14:schemeClr w14:val="tx1"/>
            </w14:solidFill>
          </w14:textFill>
        </w:rPr>
        <w:t>给中标人造成损失的，还应当赔偿损失。</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strike/>
          <w:color w:val="000000" w:themeColor="text1"/>
          <w:highlight w:val="none"/>
          <w14:textFill>
            <w14:solidFill>
              <w14:schemeClr w14:val="tx1"/>
            </w14:solidFill>
          </w14:textFill>
        </w:rPr>
        <w:t>7.7.3</w:t>
      </w:r>
      <w:r>
        <w:rPr>
          <w:rFonts w:hint="eastAsia" w:ascii="宋体" w:hAnsi="宋体"/>
          <w:strike/>
          <w:color w:val="000000" w:themeColor="text1"/>
          <w:highlight w:val="none"/>
          <w14:textFill>
            <w14:solidFill>
              <w14:schemeClr w14:val="tx1"/>
            </w14:solidFill>
          </w14:textFill>
        </w:rPr>
        <w:t>联合体中标的，联合体各方应当共同与招标人签订合同，就中标项目向招标人承担连带责任。</w:t>
      </w:r>
    </w:p>
    <w:p>
      <w:pPr>
        <w:pStyle w:val="3"/>
        <w:rPr>
          <w:rFonts w:ascii="宋体" w:hAnsi="宋体" w:eastAsia="宋体"/>
          <w:color w:val="000000" w:themeColor="text1"/>
          <w:highlight w:val="none"/>
          <w14:textFill>
            <w14:solidFill>
              <w14:schemeClr w14:val="tx1"/>
            </w14:solidFill>
          </w14:textFill>
        </w:rPr>
      </w:pPr>
      <w:bookmarkStart w:id="226" w:name="_Toc361508627"/>
      <w:bookmarkStart w:id="227" w:name="_Toc384308252"/>
      <w:bookmarkStart w:id="228" w:name="_Toc24067"/>
      <w:bookmarkStart w:id="229" w:name="_Toc49510012"/>
      <w:bookmarkStart w:id="230" w:name="_Toc247527593"/>
      <w:bookmarkStart w:id="231" w:name="_Toc152042344"/>
      <w:bookmarkStart w:id="232" w:name="_Toc247513992"/>
      <w:bookmarkStart w:id="233" w:name="_Toc300834991"/>
      <w:bookmarkStart w:id="234" w:name="_Toc152045568"/>
      <w:bookmarkStart w:id="235" w:name="_Toc144974536"/>
      <w:r>
        <w:rPr>
          <w:rFonts w:ascii="宋体" w:hAnsi="宋体" w:eastAsia="宋体"/>
          <w:color w:val="000000" w:themeColor="text1"/>
          <w:highlight w:val="none"/>
          <w14:textFill>
            <w14:solidFill>
              <w14:schemeClr w14:val="tx1"/>
            </w14:solidFill>
          </w14:textFill>
        </w:rPr>
        <w:t>8.</w:t>
      </w:r>
      <w:bookmarkEnd w:id="226"/>
      <w:bookmarkEnd w:id="227"/>
      <w:bookmarkEnd w:id="228"/>
      <w:r>
        <w:rPr>
          <w:rFonts w:hint="eastAsia" w:ascii="宋体" w:hAnsi="宋体" w:eastAsia="宋体"/>
          <w:color w:val="000000" w:themeColor="text1"/>
          <w:highlight w:val="none"/>
          <w14:textFill>
            <w14:solidFill>
              <w14:schemeClr w14:val="tx1"/>
            </w14:solidFill>
          </w14:textFill>
        </w:rPr>
        <w:t>纪律和监督</w:t>
      </w:r>
      <w:bookmarkEnd w:id="229"/>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236" w:name="_Toc49510013"/>
      <w:bookmarkStart w:id="237" w:name="_Toc49506178"/>
      <w:r>
        <w:rPr>
          <w:rFonts w:ascii="宋体" w:hAnsi="宋体" w:eastAsia="宋体"/>
          <w:color w:val="000000" w:themeColor="text1"/>
          <w:highlight w:val="none"/>
          <w14:textFill>
            <w14:solidFill>
              <w14:schemeClr w14:val="tx1"/>
            </w14:solidFill>
          </w14:textFill>
        </w:rPr>
        <w:t xml:space="preserve">8.1 </w:t>
      </w:r>
      <w:r>
        <w:rPr>
          <w:rFonts w:hint="eastAsia" w:ascii="宋体" w:hAnsi="宋体" w:eastAsia="宋体"/>
          <w:color w:val="000000" w:themeColor="text1"/>
          <w:highlight w:val="none"/>
          <w14:textFill>
            <w14:solidFill>
              <w14:schemeClr w14:val="tx1"/>
            </w14:solidFill>
          </w14:textFill>
        </w:rPr>
        <w:t>对招标人的纪律要求</w:t>
      </w:r>
      <w:bookmarkEnd w:id="236"/>
      <w:bookmarkEnd w:id="237"/>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招标人不得泄露招标投标活动中应当保密的情况和资料，不得与投标人串通损害国家利益、社会公共利益或者他人合法权益。</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238" w:name="_Toc49506179"/>
      <w:bookmarkStart w:id="239" w:name="_Toc49510014"/>
      <w:r>
        <w:rPr>
          <w:rFonts w:ascii="宋体" w:hAnsi="宋体" w:eastAsia="宋体"/>
          <w:color w:val="000000" w:themeColor="text1"/>
          <w:highlight w:val="none"/>
          <w14:textFill>
            <w14:solidFill>
              <w14:schemeClr w14:val="tx1"/>
            </w14:solidFill>
          </w14:textFill>
        </w:rPr>
        <w:t xml:space="preserve">8.2 </w:t>
      </w:r>
      <w:r>
        <w:rPr>
          <w:rFonts w:hint="eastAsia" w:ascii="宋体" w:hAnsi="宋体" w:eastAsia="宋体"/>
          <w:color w:val="000000" w:themeColor="text1"/>
          <w:highlight w:val="none"/>
          <w14:textFill>
            <w14:solidFill>
              <w14:schemeClr w14:val="tx1"/>
            </w14:solidFill>
          </w14:textFill>
        </w:rPr>
        <w:t>对投标人的纪律要求</w:t>
      </w:r>
      <w:bookmarkEnd w:id="238"/>
      <w:bookmarkEnd w:id="239"/>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240" w:name="_Toc49506180"/>
      <w:bookmarkStart w:id="241" w:name="_Toc49510015"/>
      <w:r>
        <w:rPr>
          <w:rFonts w:ascii="宋体" w:hAnsi="宋体" w:eastAsia="宋体"/>
          <w:color w:val="000000" w:themeColor="text1"/>
          <w:highlight w:val="none"/>
          <w14:textFill>
            <w14:solidFill>
              <w14:schemeClr w14:val="tx1"/>
            </w14:solidFill>
          </w14:textFill>
        </w:rPr>
        <w:t xml:space="preserve">8.3 </w:t>
      </w:r>
      <w:r>
        <w:rPr>
          <w:rFonts w:hint="eastAsia" w:ascii="宋体" w:hAnsi="宋体" w:eastAsia="宋体"/>
          <w:color w:val="000000" w:themeColor="text1"/>
          <w:highlight w:val="none"/>
          <w14:textFill>
            <w14:solidFill>
              <w14:schemeClr w14:val="tx1"/>
            </w14:solidFill>
          </w14:textFill>
        </w:rPr>
        <w:t>对评标委员会成员的纪律要求</w:t>
      </w:r>
      <w:bookmarkEnd w:id="240"/>
      <w:bookmarkEnd w:id="241"/>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评标委员会成员不得收受他人的财物或者其他好处，不得向他人透露对投标文件的评审</w:t>
      </w:r>
      <w:bookmarkStart w:id="242" w:name="_Toc384308253"/>
      <w:bookmarkStart w:id="243" w:name="_Toc369531559"/>
      <w:bookmarkStart w:id="244" w:name="_Toc361508628"/>
      <w:bookmarkStart w:id="245" w:name="_Toc352691515"/>
      <w:bookmarkStart w:id="246" w:name="_Toc13644"/>
      <w:r>
        <w:rPr>
          <w:rFonts w:hint="eastAsia" w:ascii="宋体" w:hAnsi="宋体"/>
          <w:color w:val="000000" w:themeColor="text1"/>
          <w:highlight w:val="none"/>
          <w14:textFill>
            <w14:solidFill>
              <w14:schemeClr w14:val="tx1"/>
            </w14:solidFill>
          </w14:textFill>
        </w:rPr>
        <w:t>和比较、中标候选人</w:t>
      </w:r>
      <w:bookmarkEnd w:id="230"/>
      <w:bookmarkEnd w:id="231"/>
      <w:bookmarkEnd w:id="232"/>
      <w:bookmarkEnd w:id="233"/>
      <w:bookmarkEnd w:id="234"/>
      <w:bookmarkEnd w:id="235"/>
      <w:bookmarkEnd w:id="242"/>
      <w:bookmarkEnd w:id="243"/>
      <w:bookmarkEnd w:id="244"/>
      <w:bookmarkEnd w:id="245"/>
      <w:bookmarkEnd w:id="246"/>
      <w:r>
        <w:rPr>
          <w:rFonts w:hint="eastAsia" w:ascii="宋体" w:hAnsi="宋体"/>
          <w:color w:val="000000" w:themeColor="text1"/>
          <w:highlight w:val="none"/>
          <w14:textFill>
            <w14:solidFill>
              <w14:schemeClr w14:val="tx1"/>
            </w14:solidFill>
          </w14:textFill>
        </w:rPr>
        <w:t>的推荐情况以及评标有关的其他情况。在评标活动中，评标委员会成员应当客观、公正地履行职责，遵守职业道德，不得擅离职守，影响评标程序正常进行，不得使用第三章</w:t>
      </w:r>
      <w:r>
        <w:rPr>
          <w:rFonts w:ascii="宋体" w:hAnsi="宋体"/>
          <w:color w:val="000000" w:themeColor="text1"/>
          <w:highlight w:val="none"/>
          <w14:textFill>
            <w14:solidFill>
              <w14:schemeClr w14:val="tx1"/>
            </w14:solidFill>
          </w14:textFill>
        </w:rPr>
        <w:t>评标办法（</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评定分离</w:t>
      </w: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定标办法）</w:t>
      </w:r>
      <w:r>
        <w:rPr>
          <w:rFonts w:hint="eastAsia" w:ascii="宋体" w:hAnsi="宋体"/>
          <w:color w:val="000000" w:themeColor="text1"/>
          <w:highlight w:val="none"/>
          <w14:textFill>
            <w14:solidFill>
              <w14:schemeClr w14:val="tx1"/>
            </w14:solidFill>
          </w14:textFill>
        </w:rPr>
        <w:t>没有规定的评审因素和标准进行评标。</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247" w:name="_Toc49506181"/>
      <w:bookmarkStart w:id="248" w:name="_Toc49510016"/>
      <w:r>
        <w:rPr>
          <w:rFonts w:ascii="宋体" w:hAnsi="宋体" w:eastAsia="宋体"/>
          <w:color w:val="000000" w:themeColor="text1"/>
          <w:highlight w:val="none"/>
          <w14:textFill>
            <w14:solidFill>
              <w14:schemeClr w14:val="tx1"/>
            </w14:solidFill>
          </w14:textFill>
        </w:rPr>
        <w:t xml:space="preserve">8.4 </w:t>
      </w:r>
      <w:r>
        <w:rPr>
          <w:rFonts w:hint="eastAsia" w:ascii="宋体" w:hAnsi="宋体" w:eastAsia="宋体"/>
          <w:color w:val="000000" w:themeColor="text1"/>
          <w:highlight w:val="none"/>
          <w14:textFill>
            <w14:solidFill>
              <w14:schemeClr w14:val="tx1"/>
            </w14:solidFill>
          </w14:textFill>
        </w:rPr>
        <w:t>对与评标活动有关的工作人员的纪律要求</w:t>
      </w:r>
      <w:bookmarkEnd w:id="247"/>
      <w:bookmarkEnd w:id="248"/>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与评标活动有关的工作人员不得收受他人的财物或者其他好处，不得向他人透露对投标文件</w:t>
      </w:r>
      <w:bookmarkStart w:id="249" w:name="_Toc352691516"/>
      <w:bookmarkStart w:id="250" w:name="_Toc247513993"/>
      <w:bookmarkStart w:id="251" w:name="_Toc300834992"/>
      <w:bookmarkStart w:id="252" w:name="_Toc369531560"/>
      <w:bookmarkStart w:id="253" w:name="_Toc144974537"/>
      <w:bookmarkStart w:id="254" w:name="_Toc19429"/>
      <w:bookmarkStart w:id="255" w:name="_Toc384308254"/>
      <w:bookmarkStart w:id="256" w:name="_Toc361508629"/>
      <w:bookmarkStart w:id="257" w:name="_Toc152042345"/>
      <w:bookmarkStart w:id="258" w:name="_Toc247527594"/>
      <w:bookmarkStart w:id="259" w:name="_Toc152045569"/>
      <w:r>
        <w:rPr>
          <w:rFonts w:hint="eastAsia" w:ascii="宋体" w:hAnsi="宋体"/>
          <w:color w:val="000000" w:themeColor="text1"/>
          <w:highlight w:val="none"/>
          <w14:textFill>
            <w14:solidFill>
              <w14:schemeClr w14:val="tx1"/>
            </w14:solidFill>
          </w14:textFill>
        </w:rPr>
        <w:t>的评审和比较、中标</w:t>
      </w:r>
      <w:bookmarkEnd w:id="249"/>
      <w:bookmarkEnd w:id="250"/>
      <w:bookmarkEnd w:id="251"/>
      <w:bookmarkEnd w:id="252"/>
      <w:bookmarkEnd w:id="253"/>
      <w:bookmarkEnd w:id="254"/>
      <w:bookmarkEnd w:id="255"/>
      <w:bookmarkEnd w:id="256"/>
      <w:bookmarkEnd w:id="257"/>
      <w:bookmarkEnd w:id="258"/>
      <w:bookmarkEnd w:id="259"/>
      <w:r>
        <w:rPr>
          <w:rFonts w:hint="eastAsia" w:ascii="宋体" w:hAnsi="宋体"/>
          <w:color w:val="000000" w:themeColor="text1"/>
          <w:highlight w:val="none"/>
          <w14:textFill>
            <w14:solidFill>
              <w14:schemeClr w14:val="tx1"/>
            </w14:solidFill>
          </w14:textFill>
        </w:rPr>
        <w:t>候选人的推荐情况以及评标有关的其他情况。在评标活动中，与评标活动有关的工作人员不得擅离职守，影响评标程序正常进行。</w:t>
      </w:r>
    </w:p>
    <w:p>
      <w:pPr>
        <w:pStyle w:val="4"/>
        <w:spacing w:line="240" w:lineRule="auto"/>
        <w:ind w:firstLine="137"/>
        <w:rPr>
          <w:rFonts w:ascii="宋体" w:hAnsi="宋体" w:eastAsia="宋体"/>
          <w:color w:val="000000" w:themeColor="text1"/>
          <w:highlight w:val="none"/>
          <w14:textFill>
            <w14:solidFill>
              <w14:schemeClr w14:val="tx1"/>
            </w14:solidFill>
          </w14:textFill>
        </w:rPr>
      </w:pPr>
      <w:bookmarkStart w:id="260" w:name="_Toc49510017"/>
      <w:bookmarkStart w:id="261" w:name="_Toc49506182"/>
      <w:r>
        <w:rPr>
          <w:rFonts w:ascii="宋体" w:hAnsi="宋体" w:eastAsia="宋体"/>
          <w:color w:val="000000" w:themeColor="text1"/>
          <w:highlight w:val="none"/>
          <w14:textFill>
            <w14:solidFill>
              <w14:schemeClr w14:val="tx1"/>
            </w14:solidFill>
          </w14:textFill>
        </w:rPr>
        <w:t xml:space="preserve">8.5 </w:t>
      </w:r>
      <w:r>
        <w:rPr>
          <w:rFonts w:hint="eastAsia" w:ascii="宋体" w:hAnsi="宋体" w:eastAsia="宋体"/>
          <w:color w:val="000000" w:themeColor="text1"/>
          <w:highlight w:val="none"/>
          <w14:textFill>
            <w14:solidFill>
              <w14:schemeClr w14:val="tx1"/>
            </w14:solidFill>
          </w14:textFill>
        </w:rPr>
        <w:t>投诉</w:t>
      </w:r>
      <w:bookmarkEnd w:id="260"/>
      <w:bookmarkEnd w:id="261"/>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8.5.1</w:t>
      </w:r>
      <w:r>
        <w:rPr>
          <w:rFonts w:hint="eastAsia" w:ascii="宋体" w:hAnsi="宋体"/>
          <w:color w:val="000000" w:themeColor="text1"/>
          <w:highlight w:val="none"/>
          <w14:textFill>
            <w14:solidFill>
              <w14:schemeClr w14:val="tx1"/>
            </w14:solidFill>
          </w14:textFill>
        </w:rPr>
        <w:t>投标人或者其他利害关系人认为招标投标活动不符合法律、行政法规规定的，可以自知道或者应当知道之日起</w:t>
      </w:r>
      <w:r>
        <w:rPr>
          <w:rFonts w:ascii="宋体" w:hAnsi="宋体"/>
          <w:color w:val="000000" w:themeColor="text1"/>
          <w:highlight w:val="none"/>
          <w14:textFill>
            <w14:solidFill>
              <w14:schemeClr w14:val="tx1"/>
            </w14:solidFill>
          </w14:textFill>
        </w:rPr>
        <w:t>10</w:t>
      </w:r>
      <w:r>
        <w:rPr>
          <w:rFonts w:hint="eastAsia" w:ascii="宋体" w:hAnsi="宋体"/>
          <w:color w:val="000000" w:themeColor="text1"/>
          <w:highlight w:val="none"/>
          <w14:textFill>
            <w14:solidFill>
              <w14:schemeClr w14:val="tx1"/>
            </w14:solidFill>
          </w14:textFill>
        </w:rPr>
        <w:t>日内向有关行政监督部门投诉。投诉应当有明确的请求和必要的证明材料。</w:t>
      </w:r>
    </w:p>
    <w:p>
      <w:pPr>
        <w:spacing w:line="40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8.5.2 </w:t>
      </w:r>
      <w:r>
        <w:rPr>
          <w:rFonts w:hint="eastAsia" w:ascii="宋体" w:hAnsi="宋体"/>
          <w:color w:val="000000" w:themeColor="text1"/>
          <w:highlight w:val="none"/>
          <w14:textFill>
            <w14:solidFill>
              <w14:schemeClr w14:val="tx1"/>
            </w14:solidFill>
          </w14:textFill>
        </w:rPr>
        <w:t>投标人或者其他利害关系人对招标文件、开标和评标结果提出投诉的，应当按照投标人须知第</w:t>
      </w:r>
      <w:r>
        <w:rPr>
          <w:rFonts w:ascii="宋体" w:hAnsi="宋体"/>
          <w:color w:val="000000" w:themeColor="text1"/>
          <w:highlight w:val="none"/>
          <w14:textFill>
            <w14:solidFill>
              <w14:schemeClr w14:val="tx1"/>
            </w14:solidFill>
          </w14:textFill>
        </w:rPr>
        <w:t>2.4</w:t>
      </w:r>
      <w:r>
        <w:rPr>
          <w:rFonts w:hint="eastAsia" w:ascii="宋体" w:hAnsi="宋体"/>
          <w:color w:val="000000" w:themeColor="text1"/>
          <w:highlight w:val="none"/>
          <w14:textFill>
            <w14:solidFill>
              <w14:schemeClr w14:val="tx1"/>
            </w14:solidFill>
          </w14:textFill>
        </w:rPr>
        <w:t>款、第</w:t>
      </w:r>
      <w:r>
        <w:rPr>
          <w:rFonts w:ascii="宋体" w:hAnsi="宋体"/>
          <w:color w:val="000000" w:themeColor="text1"/>
          <w:highlight w:val="none"/>
          <w14:textFill>
            <w14:solidFill>
              <w14:schemeClr w14:val="tx1"/>
            </w14:solidFill>
          </w14:textFill>
        </w:rPr>
        <w:t>5.3</w:t>
      </w:r>
      <w:r>
        <w:rPr>
          <w:rFonts w:hint="eastAsia" w:ascii="宋体" w:hAnsi="宋体"/>
          <w:color w:val="000000" w:themeColor="text1"/>
          <w:highlight w:val="none"/>
          <w14:textFill>
            <w14:solidFill>
              <w14:schemeClr w14:val="tx1"/>
            </w14:solidFill>
          </w14:textFill>
        </w:rPr>
        <w:t>款和第</w:t>
      </w:r>
      <w:r>
        <w:rPr>
          <w:rFonts w:ascii="宋体" w:hAnsi="宋体"/>
          <w:color w:val="000000" w:themeColor="text1"/>
          <w:highlight w:val="none"/>
          <w14:textFill>
            <w14:solidFill>
              <w14:schemeClr w14:val="tx1"/>
            </w14:solidFill>
          </w14:textFill>
        </w:rPr>
        <w:t>7.2</w:t>
      </w:r>
      <w:r>
        <w:rPr>
          <w:rFonts w:hint="eastAsia" w:ascii="宋体" w:hAnsi="宋体"/>
          <w:color w:val="000000" w:themeColor="text1"/>
          <w:highlight w:val="none"/>
          <w14:textFill>
            <w14:solidFill>
              <w14:schemeClr w14:val="tx1"/>
            </w14:solidFill>
          </w14:textFill>
        </w:rPr>
        <w:t>款的规定先向招标人提出异议。异议答复期间</w:t>
      </w:r>
      <w:bookmarkStart w:id="262" w:name="_Toc247513994"/>
      <w:bookmarkStart w:id="263" w:name="_Toc144974538"/>
      <w:bookmarkStart w:id="264" w:name="_Toc12776"/>
      <w:bookmarkStart w:id="265" w:name="_Toc369531561"/>
      <w:bookmarkStart w:id="266" w:name="_Toc247527595"/>
      <w:bookmarkStart w:id="267" w:name="_Toc384308255"/>
      <w:bookmarkStart w:id="268" w:name="_Toc152042346"/>
      <w:bookmarkStart w:id="269" w:name="_Toc361508630"/>
      <w:bookmarkStart w:id="270" w:name="_Toc152045570"/>
      <w:bookmarkStart w:id="271" w:name="_Toc300834993"/>
      <w:bookmarkStart w:id="272" w:name="_Toc352691517"/>
      <w:r>
        <w:rPr>
          <w:rFonts w:hint="eastAsia" w:ascii="宋体" w:hAnsi="宋体"/>
          <w:color w:val="000000" w:themeColor="text1"/>
          <w:highlight w:val="none"/>
          <w14:textFill>
            <w14:solidFill>
              <w14:schemeClr w14:val="tx1"/>
            </w14:solidFill>
          </w14:textFill>
        </w:rPr>
        <w:t>不计算在第</w:t>
      </w:r>
      <w:r>
        <w:rPr>
          <w:rFonts w:ascii="宋体" w:hAnsi="宋体"/>
          <w:color w:val="000000" w:themeColor="text1"/>
          <w:highlight w:val="none"/>
          <w14:textFill>
            <w14:solidFill>
              <w14:schemeClr w14:val="tx1"/>
            </w14:solidFill>
          </w14:textFill>
        </w:rPr>
        <w:t>8.5.</w:t>
      </w:r>
      <w:bookmarkEnd w:id="262"/>
      <w:bookmarkEnd w:id="263"/>
      <w:bookmarkEnd w:id="264"/>
      <w:bookmarkEnd w:id="265"/>
      <w:bookmarkEnd w:id="266"/>
      <w:bookmarkEnd w:id="267"/>
      <w:bookmarkEnd w:id="268"/>
      <w:bookmarkEnd w:id="269"/>
      <w:bookmarkEnd w:id="270"/>
      <w:bookmarkEnd w:id="271"/>
      <w:bookmarkEnd w:id="272"/>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项规定的期限内。</w:t>
      </w:r>
    </w:p>
    <w:p>
      <w:pPr>
        <w:pStyle w:val="3"/>
        <w:spacing w:line="240" w:lineRule="auto"/>
        <w:rPr>
          <w:rFonts w:ascii="宋体" w:hAnsi="宋体" w:eastAsia="宋体"/>
          <w:color w:val="000000" w:themeColor="text1"/>
          <w:highlight w:val="none"/>
          <w14:textFill>
            <w14:solidFill>
              <w14:schemeClr w14:val="tx1"/>
            </w14:solidFill>
          </w14:textFill>
        </w:rPr>
      </w:pPr>
      <w:bookmarkStart w:id="273" w:name="_Toc49510018"/>
      <w:bookmarkStart w:id="274" w:name="_Toc477134992"/>
      <w:r>
        <w:rPr>
          <w:rFonts w:ascii="宋体" w:hAnsi="宋体" w:eastAsia="宋体"/>
          <w:color w:val="000000" w:themeColor="text1"/>
          <w:highlight w:val="none"/>
          <w14:textFill>
            <w14:solidFill>
              <w14:schemeClr w14:val="tx1"/>
            </w14:solidFill>
          </w14:textFill>
        </w:rPr>
        <w:t>9. 是否采用电子招标投标</w:t>
      </w:r>
      <w:bookmarkEnd w:id="273"/>
      <w:bookmarkEnd w:id="274"/>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本招标项目是否采用电子招标投标方式，</w:t>
      </w:r>
      <w:r>
        <w:rPr>
          <w:rFonts w:ascii="宋体" w:hAnsi="宋体"/>
          <w:color w:val="000000" w:themeColor="text1"/>
          <w:highlight w:val="none"/>
          <w14:textFill>
            <w14:solidFill>
              <w14:schemeClr w14:val="tx1"/>
            </w14:solidFill>
          </w14:textFill>
        </w:rPr>
        <w:t>见投标人须知前附表。</w:t>
      </w:r>
    </w:p>
    <w:p>
      <w:pPr>
        <w:pStyle w:val="3"/>
        <w:spacing w:line="240" w:lineRule="auto"/>
        <w:rPr>
          <w:rFonts w:ascii="宋体" w:hAnsi="宋体" w:eastAsia="宋体"/>
          <w:color w:val="000000" w:themeColor="text1"/>
          <w:highlight w:val="none"/>
          <w14:textFill>
            <w14:solidFill>
              <w14:schemeClr w14:val="tx1"/>
            </w14:solidFill>
          </w14:textFill>
        </w:rPr>
      </w:pPr>
      <w:bookmarkStart w:id="275" w:name="_Toc49510019"/>
      <w:r>
        <w:rPr>
          <w:rFonts w:ascii="宋体" w:hAnsi="宋体" w:eastAsia="宋体"/>
          <w:color w:val="000000" w:themeColor="text1"/>
          <w:highlight w:val="none"/>
          <w14:textFill>
            <w14:solidFill>
              <w14:schemeClr w14:val="tx1"/>
            </w14:solidFill>
          </w14:textFill>
        </w:rPr>
        <w:t xml:space="preserve">10. </w:t>
      </w:r>
      <w:r>
        <w:rPr>
          <w:rFonts w:hint="eastAsia" w:ascii="宋体" w:hAnsi="宋体" w:eastAsia="宋体"/>
          <w:color w:val="000000" w:themeColor="text1"/>
          <w:highlight w:val="none"/>
          <w14:textFill>
            <w14:solidFill>
              <w14:schemeClr w14:val="tx1"/>
            </w14:solidFill>
          </w14:textFill>
        </w:rPr>
        <w:t>需要补充的其他内容</w:t>
      </w:r>
      <w:bookmarkEnd w:id="275"/>
    </w:p>
    <w:p>
      <w:pPr>
        <w:spacing w:line="40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需要补充的其他内容：见投标人须知前附表。</w:t>
      </w:r>
    </w:p>
    <w:p>
      <w:pPr>
        <w:jc w:val="left"/>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r>
        <w:rPr>
          <w:rFonts w:ascii="宋体" w:hAnsi="宋体"/>
          <w:color w:val="000000" w:themeColor="text1"/>
          <w:position w:val="-4"/>
          <w:sz w:val="28"/>
          <w:highlight w:val="none"/>
          <w14:textFill>
            <w14:solidFill>
              <w14:schemeClr w14:val="tx1"/>
            </w14:solidFill>
          </w14:textFill>
        </w:rPr>
        <w:t>附件</w:t>
      </w:r>
      <w:r>
        <w:rPr>
          <w:rFonts w:hint="eastAsia" w:ascii="宋体" w:hAnsi="宋体"/>
          <w:color w:val="000000" w:themeColor="text1"/>
          <w:position w:val="-4"/>
          <w:sz w:val="28"/>
          <w:highlight w:val="none"/>
          <w14:textFill>
            <w14:solidFill>
              <w14:schemeClr w14:val="tx1"/>
            </w14:solidFill>
          </w14:textFill>
        </w:rPr>
        <w:t>一</w:t>
      </w:r>
      <w:r>
        <w:rPr>
          <w:rFonts w:ascii="宋体" w:hAnsi="宋体"/>
          <w:color w:val="000000" w:themeColor="text1"/>
          <w:spacing w:val="-3"/>
          <w:position w:val="-4"/>
          <w:sz w:val="28"/>
          <w:highlight w:val="none"/>
          <w14:textFill>
            <w14:solidFill>
              <w14:schemeClr w14:val="tx1"/>
            </w14:solidFill>
          </w14:textFill>
        </w:rPr>
        <w:t>：</w:t>
      </w:r>
      <w:r>
        <w:rPr>
          <w:rFonts w:ascii="宋体" w:hAnsi="宋体"/>
          <w:color w:val="000000" w:themeColor="text1"/>
          <w:position w:val="-4"/>
          <w:sz w:val="28"/>
          <w:highlight w:val="none"/>
          <w14:textFill>
            <w14:solidFill>
              <w14:schemeClr w14:val="tx1"/>
            </w14:solidFill>
          </w14:textFill>
        </w:rPr>
        <w:t>开标</w:t>
      </w:r>
      <w:r>
        <w:rPr>
          <w:rFonts w:ascii="宋体" w:hAnsi="宋体"/>
          <w:color w:val="000000" w:themeColor="text1"/>
          <w:spacing w:val="-3"/>
          <w:position w:val="-4"/>
          <w:sz w:val="28"/>
          <w:highlight w:val="none"/>
          <w14:textFill>
            <w14:solidFill>
              <w14:schemeClr w14:val="tx1"/>
            </w14:solidFill>
          </w14:textFill>
        </w:rPr>
        <w:t>记录</w:t>
      </w:r>
      <w:r>
        <w:rPr>
          <w:rFonts w:ascii="宋体" w:hAnsi="宋体"/>
          <w:color w:val="000000" w:themeColor="text1"/>
          <w:position w:val="-4"/>
          <w:sz w:val="28"/>
          <w:highlight w:val="none"/>
          <w14:textFill>
            <w14:solidFill>
              <w14:schemeClr w14:val="tx1"/>
            </w14:solidFill>
          </w14:textFill>
        </w:rPr>
        <w:t>表</w:t>
      </w:r>
    </w:p>
    <w:p>
      <w:pPr>
        <w:spacing w:line="200" w:lineRule="exact"/>
        <w:jc w:val="left"/>
        <w:rPr>
          <w:rFonts w:ascii="宋体" w:hAnsi="宋体"/>
          <w:color w:val="000000" w:themeColor="text1"/>
          <w:sz w:val="20"/>
          <w:highlight w:val="none"/>
          <w14:textFill>
            <w14:solidFill>
              <w14:schemeClr w14:val="tx1"/>
            </w14:solidFill>
          </w14:textFill>
        </w:rPr>
      </w:pPr>
    </w:p>
    <w:p>
      <w:pPr>
        <w:spacing w:before="12" w:line="200" w:lineRule="exact"/>
        <w:jc w:val="left"/>
        <w:rPr>
          <w:rFonts w:ascii="宋体" w:hAnsi="宋体"/>
          <w:color w:val="000000" w:themeColor="text1"/>
          <w:sz w:val="20"/>
          <w:highlight w:val="none"/>
          <w14:textFill>
            <w14:solidFill>
              <w14:schemeClr w14:val="tx1"/>
            </w14:solidFill>
          </w14:textFill>
        </w:rPr>
      </w:pPr>
    </w:p>
    <w:p>
      <w:pPr>
        <w:spacing w:line="373" w:lineRule="exact"/>
        <w:ind w:left="3799" w:right="3400"/>
        <w:jc w:val="center"/>
        <w:rPr>
          <w:rFonts w:ascii="宋体" w:hAnsi="宋体"/>
          <w:color w:val="000000" w:themeColor="text1"/>
          <w:sz w:val="28"/>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t>开标记</w:t>
      </w:r>
      <w:r>
        <w:rPr>
          <w:rFonts w:ascii="宋体" w:hAnsi="宋体"/>
          <w:color w:val="000000" w:themeColor="text1"/>
          <w:spacing w:val="-3"/>
          <w:sz w:val="28"/>
          <w:highlight w:val="none"/>
          <w14:textFill>
            <w14:solidFill>
              <w14:schemeClr w14:val="tx1"/>
            </w14:solidFill>
          </w14:textFill>
        </w:rPr>
        <w:t>录</w:t>
      </w:r>
      <w:r>
        <w:rPr>
          <w:rFonts w:ascii="宋体" w:hAnsi="宋体"/>
          <w:color w:val="000000" w:themeColor="text1"/>
          <w:sz w:val="28"/>
          <w:highlight w:val="none"/>
          <w14:textFill>
            <w14:solidFill>
              <w14:schemeClr w14:val="tx1"/>
            </w14:solidFill>
          </w14:textFill>
        </w:rPr>
        <w:t>表</w:t>
      </w:r>
    </w:p>
    <w:p>
      <w:pPr>
        <w:spacing w:before="7" w:line="140" w:lineRule="exact"/>
        <w:jc w:val="left"/>
        <w:rPr>
          <w:rFonts w:ascii="宋体" w:hAnsi="宋体"/>
          <w:color w:val="000000" w:themeColor="text1"/>
          <w:sz w:val="14"/>
          <w:highlight w:val="none"/>
          <w14:textFill>
            <w14:solidFill>
              <w14:schemeClr w14:val="tx1"/>
            </w14:solidFill>
          </w14:textFill>
        </w:rPr>
      </w:pPr>
    </w:p>
    <w:p>
      <w:pPr>
        <w:tabs>
          <w:tab w:val="left" w:pos="3600"/>
          <w:tab w:val="left" w:pos="4760"/>
          <w:tab w:val="left" w:pos="5920"/>
          <w:tab w:val="left" w:pos="7060"/>
          <w:tab w:val="left" w:pos="8220"/>
        </w:tabs>
        <w:spacing w:line="337" w:lineRule="exact"/>
        <w:ind w:right="-20"/>
        <w:jc w:val="left"/>
        <w:rPr>
          <w:rFonts w:ascii="宋体" w:hAnsi="宋体"/>
          <w:color w:val="000000" w:themeColor="text1"/>
          <w:position w:val="-4"/>
          <w:highlight w:val="none"/>
          <w14:textFill>
            <w14:solidFill>
              <w14:schemeClr w14:val="tx1"/>
            </w14:solidFill>
          </w14:textFill>
        </w:rPr>
      </w:pPr>
      <w:r>
        <w:rPr>
          <w:rFonts w:ascii="宋体" w:hAnsi="宋体"/>
          <w:color w:val="000000" w:themeColor="text1"/>
          <w:position w:val="-4"/>
          <w:highlight w:val="none"/>
          <w14:textFill>
            <w14:solidFill>
              <w14:schemeClr w14:val="tx1"/>
            </w14:solidFill>
          </w14:textFill>
        </w:rPr>
        <w:t>开标</w:t>
      </w:r>
      <w:r>
        <w:rPr>
          <w:rFonts w:ascii="宋体" w:hAnsi="宋体"/>
          <w:color w:val="000000" w:themeColor="text1"/>
          <w:spacing w:val="-2"/>
          <w:position w:val="-4"/>
          <w:highlight w:val="none"/>
          <w14:textFill>
            <w14:solidFill>
              <w14:schemeClr w14:val="tx1"/>
            </w14:solidFill>
          </w14:textFill>
        </w:rPr>
        <w:t>时</w:t>
      </w:r>
      <w:r>
        <w:rPr>
          <w:rFonts w:ascii="宋体" w:hAnsi="宋体"/>
          <w:color w:val="000000" w:themeColor="text1"/>
          <w:position w:val="-4"/>
          <w:highlight w:val="none"/>
          <w14:textFill>
            <w14:solidFill>
              <w14:schemeClr w14:val="tx1"/>
            </w14:solidFill>
          </w14:textFill>
        </w:rPr>
        <w:t>间</w:t>
      </w:r>
      <w:r>
        <w:rPr>
          <w:rFonts w:ascii="宋体" w:hAnsi="宋体"/>
          <w:color w:val="000000" w:themeColor="text1"/>
          <w:spacing w:val="-2"/>
          <w:position w:val="-4"/>
          <w:highlight w:val="none"/>
          <w14:textFill>
            <w14:solidFill>
              <w14:schemeClr w14:val="tx1"/>
            </w14:solidFill>
          </w14:textFill>
        </w:rPr>
        <w:t>：</w:t>
      </w:r>
      <w:r>
        <w:rPr>
          <w:rFonts w:ascii="宋体" w:hAnsi="宋体"/>
          <w:color w:val="000000" w:themeColor="text1"/>
          <w:position w:val="-4"/>
          <w:highlight w:val="none"/>
          <w:u w:val="single"/>
          <w14:textFill>
            <w14:solidFill>
              <w14:schemeClr w14:val="tx1"/>
            </w14:solidFill>
          </w14:textFill>
        </w:rPr>
        <w:t xml:space="preserve"> </w:t>
      </w:r>
      <w:r>
        <w:rPr>
          <w:rFonts w:ascii="宋体" w:hAnsi="宋体"/>
          <w:color w:val="000000" w:themeColor="text1"/>
          <w:spacing w:val="1"/>
          <w:position w:val="-4"/>
          <w:highlight w:val="none"/>
          <w:u w:val="single"/>
          <w14:textFill>
            <w14:solidFill>
              <w14:schemeClr w14:val="tx1"/>
            </w14:solidFill>
          </w14:textFill>
        </w:rPr>
        <w:t xml:space="preserve"> </w:t>
      </w:r>
      <w:r>
        <w:rPr>
          <w:rFonts w:ascii="宋体" w:hAnsi="宋体"/>
          <w:color w:val="000000" w:themeColor="text1"/>
          <w:position w:val="-4"/>
          <w:highlight w:val="none"/>
          <w14:textFill>
            <w14:solidFill>
              <w14:schemeClr w14:val="tx1"/>
            </w14:solidFill>
          </w14:textFill>
        </w:rPr>
        <w:t>年</w:t>
      </w:r>
      <w:r>
        <w:rPr>
          <w:rFonts w:ascii="宋体" w:hAnsi="宋体"/>
          <w:color w:val="000000" w:themeColor="text1"/>
          <w:position w:val="-4"/>
          <w:highlight w:val="none"/>
          <w:u w:val="single"/>
          <w14:textFill>
            <w14:solidFill>
              <w14:schemeClr w14:val="tx1"/>
            </w14:solidFill>
          </w14:textFill>
        </w:rPr>
        <w:t xml:space="preserve"> </w:t>
      </w:r>
      <w:r>
        <w:rPr>
          <w:rFonts w:ascii="宋体" w:hAnsi="宋体"/>
          <w:color w:val="000000" w:themeColor="text1"/>
          <w:spacing w:val="1"/>
          <w:position w:val="-4"/>
          <w:highlight w:val="none"/>
          <w:u w:val="single"/>
          <w14:textFill>
            <w14:solidFill>
              <w14:schemeClr w14:val="tx1"/>
            </w14:solidFill>
          </w14:textFill>
        </w:rPr>
        <w:t xml:space="preserve"> </w:t>
      </w:r>
      <w:r>
        <w:rPr>
          <w:rFonts w:ascii="宋体" w:hAnsi="宋体"/>
          <w:color w:val="000000" w:themeColor="text1"/>
          <w:position w:val="-4"/>
          <w:highlight w:val="none"/>
          <w14:textFill>
            <w14:solidFill>
              <w14:schemeClr w14:val="tx1"/>
            </w14:solidFill>
          </w14:textFill>
        </w:rPr>
        <w:t>月</w:t>
      </w:r>
      <w:r>
        <w:rPr>
          <w:rFonts w:ascii="宋体" w:hAnsi="宋体"/>
          <w:color w:val="000000" w:themeColor="text1"/>
          <w:position w:val="-4"/>
          <w:highlight w:val="none"/>
          <w:u w:val="single"/>
          <w14:textFill>
            <w14:solidFill>
              <w14:schemeClr w14:val="tx1"/>
            </w14:solidFill>
          </w14:textFill>
        </w:rPr>
        <w:t xml:space="preserve"> </w:t>
      </w:r>
      <w:r>
        <w:rPr>
          <w:rFonts w:ascii="宋体" w:hAnsi="宋体"/>
          <w:color w:val="000000" w:themeColor="text1"/>
          <w:spacing w:val="1"/>
          <w:position w:val="-4"/>
          <w:highlight w:val="none"/>
          <w:u w:val="single"/>
          <w14:textFill>
            <w14:solidFill>
              <w14:schemeClr w14:val="tx1"/>
            </w14:solidFill>
          </w14:textFill>
        </w:rPr>
        <w:t xml:space="preserve"> </w:t>
      </w:r>
      <w:r>
        <w:rPr>
          <w:rFonts w:ascii="宋体" w:hAnsi="宋体"/>
          <w:color w:val="000000" w:themeColor="text1"/>
          <w:position w:val="-4"/>
          <w:highlight w:val="none"/>
          <w14:textFill>
            <w14:solidFill>
              <w14:schemeClr w14:val="tx1"/>
            </w14:solidFill>
          </w14:textFill>
        </w:rPr>
        <w:t>日</w:t>
      </w:r>
      <w:r>
        <w:rPr>
          <w:rFonts w:ascii="宋体" w:hAnsi="宋体"/>
          <w:color w:val="000000" w:themeColor="text1"/>
          <w:position w:val="-4"/>
          <w:highlight w:val="none"/>
          <w:u w:val="single"/>
          <w14:textFill>
            <w14:solidFill>
              <w14:schemeClr w14:val="tx1"/>
            </w14:solidFill>
          </w14:textFill>
        </w:rPr>
        <w:t xml:space="preserve"> </w:t>
      </w:r>
      <w:r>
        <w:rPr>
          <w:rFonts w:ascii="宋体" w:hAnsi="宋体"/>
          <w:color w:val="000000" w:themeColor="text1"/>
          <w:spacing w:val="1"/>
          <w:position w:val="-4"/>
          <w:highlight w:val="none"/>
          <w:u w:val="single"/>
          <w14:textFill>
            <w14:solidFill>
              <w14:schemeClr w14:val="tx1"/>
            </w14:solidFill>
          </w14:textFill>
        </w:rPr>
        <w:t xml:space="preserve"> </w:t>
      </w:r>
      <w:r>
        <w:rPr>
          <w:rFonts w:ascii="宋体" w:hAnsi="宋体"/>
          <w:color w:val="000000" w:themeColor="text1"/>
          <w:position w:val="-4"/>
          <w:highlight w:val="none"/>
          <w14:textFill>
            <w14:solidFill>
              <w14:schemeClr w14:val="tx1"/>
            </w14:solidFill>
          </w14:textFill>
        </w:rPr>
        <w:t>时</w:t>
      </w:r>
      <w:r>
        <w:rPr>
          <w:rFonts w:ascii="宋体" w:hAnsi="宋体"/>
          <w:color w:val="000000" w:themeColor="text1"/>
          <w:position w:val="-4"/>
          <w:highlight w:val="none"/>
          <w:u w:val="single"/>
          <w14:textFill>
            <w14:solidFill>
              <w14:schemeClr w14:val="tx1"/>
            </w14:solidFill>
          </w14:textFill>
        </w:rPr>
        <w:t xml:space="preserve"> </w:t>
      </w:r>
      <w:r>
        <w:rPr>
          <w:rFonts w:ascii="宋体" w:hAnsi="宋体"/>
          <w:color w:val="000000" w:themeColor="text1"/>
          <w:spacing w:val="1"/>
          <w:position w:val="-4"/>
          <w:highlight w:val="none"/>
          <w:u w:val="single"/>
          <w14:textFill>
            <w14:solidFill>
              <w14:schemeClr w14:val="tx1"/>
            </w14:solidFill>
          </w14:textFill>
        </w:rPr>
        <w:t xml:space="preserve"> </w:t>
      </w:r>
      <w:r>
        <w:rPr>
          <w:rFonts w:ascii="宋体" w:hAnsi="宋体"/>
          <w:color w:val="000000" w:themeColor="text1"/>
          <w:position w:val="-4"/>
          <w:highlight w:val="none"/>
          <w14:textFill>
            <w14:solidFill>
              <w14:schemeClr w14:val="tx1"/>
            </w14:solidFill>
          </w14:textFill>
        </w:rPr>
        <w:t>分</w:t>
      </w:r>
    </w:p>
    <w:p>
      <w:pPr>
        <w:tabs>
          <w:tab w:val="left" w:pos="3600"/>
          <w:tab w:val="left" w:pos="4760"/>
          <w:tab w:val="left" w:pos="5920"/>
          <w:tab w:val="left" w:pos="7060"/>
          <w:tab w:val="left" w:pos="8220"/>
        </w:tabs>
        <w:spacing w:line="337" w:lineRule="exact"/>
        <w:ind w:right="-20"/>
        <w:jc w:val="left"/>
        <w:rPr>
          <w:rFonts w:ascii="宋体" w:hAnsi="宋体"/>
          <w:color w:val="000000" w:themeColor="text1"/>
          <w:position w:val="-4"/>
          <w:highlight w:val="none"/>
          <w14:textFill>
            <w14:solidFill>
              <w14:schemeClr w14:val="tx1"/>
            </w14:solidFill>
          </w14:textFill>
        </w:rPr>
      </w:pPr>
      <w:r>
        <w:rPr>
          <w:rFonts w:hint="eastAsia" w:ascii="宋体" w:hAnsi="宋体"/>
          <w:color w:val="000000" w:themeColor="text1"/>
          <w:position w:val="-4"/>
          <w:highlight w:val="none"/>
          <w14:textFill>
            <w14:solidFill>
              <w14:schemeClr w14:val="tx1"/>
            </w14:solidFill>
          </w14:textFill>
        </w:rPr>
        <w:t>项目名称：</w:t>
      </w:r>
    </w:p>
    <w:tbl>
      <w:tblPr>
        <w:tblStyle w:val="46"/>
        <w:tblW w:w="0" w:type="auto"/>
        <w:jc w:val="center"/>
        <w:tblLayout w:type="fixed"/>
        <w:tblCellMar>
          <w:top w:w="0" w:type="dxa"/>
          <w:left w:w="108" w:type="dxa"/>
          <w:bottom w:w="0" w:type="dxa"/>
          <w:right w:w="108" w:type="dxa"/>
        </w:tblCellMar>
      </w:tblPr>
      <w:tblGrid>
        <w:gridCol w:w="1195"/>
        <w:gridCol w:w="1260"/>
        <w:gridCol w:w="973"/>
        <w:gridCol w:w="10"/>
        <w:gridCol w:w="841"/>
        <w:gridCol w:w="10"/>
        <w:gridCol w:w="839"/>
        <w:gridCol w:w="10"/>
        <w:gridCol w:w="1124"/>
        <w:gridCol w:w="10"/>
        <w:gridCol w:w="1121"/>
        <w:gridCol w:w="10"/>
        <w:gridCol w:w="695"/>
        <w:gridCol w:w="10"/>
        <w:gridCol w:w="1135"/>
        <w:gridCol w:w="10"/>
      </w:tblGrid>
      <w:tr>
        <w:tblPrEx>
          <w:tblCellMar>
            <w:top w:w="0" w:type="dxa"/>
            <w:left w:w="108" w:type="dxa"/>
            <w:bottom w:w="0" w:type="dxa"/>
            <w:right w:w="108" w:type="dxa"/>
          </w:tblCellMar>
        </w:tblPrEx>
        <w:trPr>
          <w:trHeight w:val="850" w:hRule="atLeast"/>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序号</w:t>
            </w: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w:t>
            </w: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ind w:right="-13" w:rightChars="-6"/>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w:t>
            </w:r>
            <w:r>
              <w:rPr>
                <w:rFonts w:hint="eastAsia" w:ascii="宋体" w:hAnsi="宋体"/>
                <w:color w:val="000000" w:themeColor="text1"/>
                <w:highlight w:val="none"/>
                <w:lang w:val="en-US" w:eastAsia="zh-CN"/>
                <w14:textFill>
                  <w14:solidFill>
                    <w14:schemeClr w14:val="tx1"/>
                  </w14:solidFill>
                </w14:textFill>
              </w:rPr>
              <w:t>总</w:t>
            </w:r>
            <w:r>
              <w:rPr>
                <w:rFonts w:hint="eastAsia" w:ascii="宋体" w:hAnsi="宋体"/>
                <w:color w:val="000000" w:themeColor="text1"/>
                <w:highlight w:val="none"/>
                <w14:textFill>
                  <w14:solidFill>
                    <w14:schemeClr w14:val="tx1"/>
                  </w14:solidFill>
                </w14:textFill>
              </w:rPr>
              <w:t>报价（元）</w:t>
            </w: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总监理工程师</w:t>
            </w: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监理服务期限</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投标文件递交情况</w:t>
            </w: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投标文件解密情况</w:t>
            </w: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备注</w:t>
            </w: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w:t>
            </w:r>
          </w:p>
          <w:p>
            <w:pPr>
              <w:spacing w:line="276"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代表签名</w:t>
            </w:r>
          </w:p>
        </w:tc>
      </w:tr>
      <w:tr>
        <w:tblPrEx>
          <w:tblCellMar>
            <w:top w:w="0" w:type="dxa"/>
            <w:left w:w="108" w:type="dxa"/>
            <w:bottom w:w="0" w:type="dxa"/>
            <w:right w:w="108" w:type="dxa"/>
          </w:tblCellMar>
        </w:tblPrEx>
        <w:trPr>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502" w:hRule="atLeast"/>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jc w:val="center"/>
        </w:trPr>
        <w:tc>
          <w:tcPr>
            <w:tcW w:w="1195"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983"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gridAfter w:val="1"/>
          <w:wAfter w:w="10" w:type="dxa"/>
          <w:jc w:val="center"/>
        </w:trPr>
        <w:tc>
          <w:tcPr>
            <w:tcW w:w="245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最高投标限价：</w:t>
            </w:r>
          </w:p>
        </w:tc>
        <w:tc>
          <w:tcPr>
            <w:tcW w:w="973"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5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31"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70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c>
          <w:tcPr>
            <w:tcW w:w="1145" w:type="dxa"/>
            <w:gridSpan w:val="2"/>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宋体" w:hAnsi="宋体"/>
                <w:color w:val="000000" w:themeColor="text1"/>
                <w:highlight w:val="none"/>
                <w14:textFill>
                  <w14:solidFill>
                    <w14:schemeClr w14:val="tx1"/>
                  </w14:solidFill>
                </w14:textFill>
              </w:rPr>
            </w:pPr>
          </w:p>
        </w:tc>
      </w:tr>
    </w:tbl>
    <w:p>
      <w:pPr>
        <w:pStyle w:val="13"/>
        <w:ind w:firstLine="0"/>
        <w:rPr>
          <w:color w:val="000000" w:themeColor="text1"/>
          <w:highlight w:val="none"/>
          <w14:textFill>
            <w14:solidFill>
              <w14:schemeClr w14:val="tx1"/>
            </w14:solidFill>
          </w14:textFill>
        </w:rPr>
      </w:pPr>
    </w:p>
    <w:p>
      <w:pPr>
        <w:tabs>
          <w:tab w:val="left" w:pos="2200"/>
          <w:tab w:val="left" w:pos="3040"/>
          <w:tab w:val="left" w:pos="4620"/>
          <w:tab w:val="left" w:pos="5360"/>
          <w:tab w:val="left" w:pos="6940"/>
        </w:tabs>
        <w:spacing w:line="271" w:lineRule="exact"/>
        <w:ind w:left="220" w:right="-20"/>
        <w:jc w:val="left"/>
        <w:rPr>
          <w:rFonts w:ascii="宋体" w:hAnsi="宋体"/>
          <w:color w:val="000000" w:themeColor="text1"/>
          <w:highlight w:val="none"/>
          <w14:textFill>
            <w14:solidFill>
              <w14:schemeClr w14:val="tx1"/>
            </w14:solidFill>
          </w14:textFill>
        </w:rPr>
      </w:pPr>
      <w:r>
        <w:rPr>
          <w:rFonts w:ascii="宋体" w:hAnsi="宋体"/>
          <w:color w:val="000000" w:themeColor="text1"/>
          <w:position w:val="-2"/>
          <w:highlight w:val="none"/>
          <w14:textFill>
            <w14:solidFill>
              <w14:schemeClr w14:val="tx1"/>
            </w14:solidFill>
          </w14:textFill>
        </w:rPr>
        <w:t>招标</w:t>
      </w:r>
      <w:r>
        <w:rPr>
          <w:rFonts w:ascii="宋体" w:hAnsi="宋体"/>
          <w:color w:val="000000" w:themeColor="text1"/>
          <w:spacing w:val="-2"/>
          <w:position w:val="-2"/>
          <w:highlight w:val="none"/>
          <w14:textFill>
            <w14:solidFill>
              <w14:schemeClr w14:val="tx1"/>
            </w14:solidFill>
          </w14:textFill>
        </w:rPr>
        <w:t>人</w:t>
      </w:r>
      <w:r>
        <w:rPr>
          <w:rFonts w:ascii="宋体" w:hAnsi="宋体"/>
          <w:color w:val="000000" w:themeColor="text1"/>
          <w:position w:val="-2"/>
          <w:highlight w:val="none"/>
          <w14:textFill>
            <w14:solidFill>
              <w14:schemeClr w14:val="tx1"/>
            </w14:solidFill>
          </w14:textFill>
        </w:rPr>
        <w:t>代</w:t>
      </w:r>
      <w:r>
        <w:rPr>
          <w:rFonts w:ascii="宋体" w:hAnsi="宋体"/>
          <w:color w:val="000000" w:themeColor="text1"/>
          <w:spacing w:val="-2"/>
          <w:position w:val="-2"/>
          <w:highlight w:val="none"/>
          <w14:textFill>
            <w14:solidFill>
              <w14:schemeClr w14:val="tx1"/>
            </w14:solidFill>
          </w14:textFill>
        </w:rPr>
        <w:t>表</w:t>
      </w:r>
      <w:r>
        <w:rPr>
          <w:rFonts w:ascii="宋体" w:hAnsi="宋体"/>
          <w:color w:val="000000" w:themeColor="text1"/>
          <w:position w:val="-2"/>
          <w:highlight w:val="none"/>
          <w14:textFill>
            <w14:solidFill>
              <w14:schemeClr w14:val="tx1"/>
            </w14:solidFill>
          </w14:textFill>
        </w:rPr>
        <w:t>：</w:t>
      </w:r>
      <w:r>
        <w:rPr>
          <w:rFonts w:hint="eastAsia" w:ascii="宋体" w:hAnsi="宋体"/>
          <w:color w:val="000000" w:themeColor="text1"/>
          <w:position w:val="-2"/>
          <w:highlight w:val="none"/>
          <w14:textFill>
            <w14:solidFill>
              <w14:schemeClr w14:val="tx1"/>
            </w14:solidFill>
          </w14:textFill>
        </w:rPr>
        <w:t xml:space="preserve">  </w:t>
      </w:r>
      <w:r>
        <w:rPr>
          <w:rFonts w:ascii="宋体" w:hAnsi="宋体"/>
          <w:color w:val="000000" w:themeColor="text1"/>
          <w:spacing w:val="-2"/>
          <w:position w:val="-2"/>
          <w:highlight w:val="none"/>
          <w14:textFill>
            <w14:solidFill>
              <w14:schemeClr w14:val="tx1"/>
            </w14:solidFill>
          </w14:textFill>
        </w:rPr>
        <w:t>记</w:t>
      </w:r>
      <w:r>
        <w:rPr>
          <w:rFonts w:ascii="宋体" w:hAnsi="宋体"/>
          <w:color w:val="000000" w:themeColor="text1"/>
          <w:position w:val="-2"/>
          <w:highlight w:val="none"/>
          <w14:textFill>
            <w14:solidFill>
              <w14:schemeClr w14:val="tx1"/>
            </w14:solidFill>
          </w14:textFill>
        </w:rPr>
        <w:t>录</w:t>
      </w:r>
      <w:r>
        <w:rPr>
          <w:rFonts w:ascii="宋体" w:hAnsi="宋体"/>
          <w:color w:val="000000" w:themeColor="text1"/>
          <w:spacing w:val="-2"/>
          <w:position w:val="-2"/>
          <w:highlight w:val="none"/>
          <w14:textFill>
            <w14:solidFill>
              <w14:schemeClr w14:val="tx1"/>
            </w14:solidFill>
          </w14:textFill>
        </w:rPr>
        <w:t>人</w:t>
      </w:r>
      <w:r>
        <w:rPr>
          <w:rFonts w:ascii="宋体" w:hAnsi="宋体"/>
          <w:color w:val="000000" w:themeColor="text1"/>
          <w:position w:val="-2"/>
          <w:highlight w:val="none"/>
          <w14:textFill>
            <w14:solidFill>
              <w14:schemeClr w14:val="tx1"/>
            </w14:solidFill>
          </w14:textFill>
        </w:rPr>
        <w:t>：</w:t>
      </w:r>
      <w:r>
        <w:rPr>
          <w:rFonts w:hint="eastAsia" w:ascii="宋体" w:hAnsi="宋体"/>
          <w:color w:val="000000" w:themeColor="text1"/>
          <w:w w:val="201"/>
          <w:position w:val="-2"/>
          <w:highlight w:val="none"/>
          <w14:textFill>
            <w14:solidFill>
              <w14:schemeClr w14:val="tx1"/>
            </w14:solidFill>
          </w14:textFill>
        </w:rPr>
        <w:t xml:space="preserve"> </w:t>
      </w:r>
      <w:r>
        <w:rPr>
          <w:rFonts w:ascii="宋体" w:hAnsi="宋体"/>
          <w:color w:val="000000" w:themeColor="text1"/>
          <w:spacing w:val="-2"/>
          <w:position w:val="-2"/>
          <w:highlight w:val="none"/>
          <w14:textFill>
            <w14:solidFill>
              <w14:schemeClr w14:val="tx1"/>
            </w14:solidFill>
          </w14:textFill>
        </w:rPr>
        <w:t>监</w:t>
      </w:r>
      <w:r>
        <w:rPr>
          <w:rFonts w:ascii="宋体" w:hAnsi="宋体"/>
          <w:color w:val="000000" w:themeColor="text1"/>
          <w:position w:val="-2"/>
          <w:highlight w:val="none"/>
          <w14:textFill>
            <w14:solidFill>
              <w14:schemeClr w14:val="tx1"/>
            </w14:solidFill>
          </w14:textFill>
        </w:rPr>
        <w:t>标</w:t>
      </w:r>
      <w:r>
        <w:rPr>
          <w:rFonts w:ascii="宋体" w:hAnsi="宋体"/>
          <w:color w:val="000000" w:themeColor="text1"/>
          <w:spacing w:val="-2"/>
          <w:position w:val="-2"/>
          <w:highlight w:val="none"/>
          <w14:textFill>
            <w14:solidFill>
              <w14:schemeClr w14:val="tx1"/>
            </w14:solidFill>
          </w14:textFill>
        </w:rPr>
        <w:t>人</w:t>
      </w:r>
      <w:r>
        <w:rPr>
          <w:rFonts w:ascii="宋体" w:hAnsi="宋体"/>
          <w:color w:val="000000" w:themeColor="text1"/>
          <w:position w:val="-2"/>
          <w:highlight w:val="none"/>
          <w14:textFill>
            <w14:solidFill>
              <w14:schemeClr w14:val="tx1"/>
            </w14:solidFill>
          </w14:textFill>
        </w:rPr>
        <w:t>：</w:t>
      </w:r>
    </w:p>
    <w:p>
      <w:pPr>
        <w:spacing w:line="150" w:lineRule="exact"/>
        <w:jc w:val="left"/>
        <w:rPr>
          <w:rFonts w:ascii="宋体" w:hAnsi="宋体"/>
          <w:color w:val="000000" w:themeColor="text1"/>
          <w:sz w:val="15"/>
          <w:highlight w:val="none"/>
          <w14:textFill>
            <w14:solidFill>
              <w14:schemeClr w14:val="tx1"/>
            </w14:solidFill>
          </w14:textFill>
        </w:rPr>
      </w:pPr>
    </w:p>
    <w:p>
      <w:pPr>
        <w:spacing w:line="200" w:lineRule="exact"/>
        <w:jc w:val="left"/>
        <w:rPr>
          <w:rFonts w:ascii="宋体" w:hAnsi="宋体"/>
          <w:color w:val="000000" w:themeColor="text1"/>
          <w:sz w:val="20"/>
          <w:highlight w:val="none"/>
          <w14:textFill>
            <w14:solidFill>
              <w14:schemeClr w14:val="tx1"/>
            </w14:solidFill>
          </w14:textFill>
        </w:rPr>
      </w:pPr>
    </w:p>
    <w:p>
      <w:pPr>
        <w:tabs>
          <w:tab w:val="left" w:pos="720"/>
          <w:tab w:val="left" w:pos="1680"/>
          <w:tab w:val="left" w:pos="2620"/>
        </w:tabs>
        <w:spacing w:line="295" w:lineRule="exact"/>
        <w:ind w:right="96"/>
        <w:jc w:val="right"/>
        <w:rPr>
          <w:rFonts w:ascii="宋体" w:hAnsi="宋体"/>
          <w:color w:val="000000" w:themeColor="text1"/>
          <w:highlight w:val="none"/>
          <w14:textFill>
            <w14:solidFill>
              <w14:schemeClr w14:val="tx1"/>
            </w14:solidFill>
          </w14:textFill>
        </w:rPr>
      </w:pPr>
      <w:r>
        <w:rPr>
          <w:rFonts w:hint="eastAsia" w:ascii="宋体" w:hAnsi="宋体"/>
          <w:color w:val="000000" w:themeColor="text1"/>
          <w:w w:val="201"/>
          <w:position w:val="-1"/>
          <w:highlight w:val="none"/>
          <w:u w:val="single"/>
          <w14:textFill>
            <w14:solidFill>
              <w14:schemeClr w14:val="tx1"/>
            </w14:solidFill>
          </w14:textFill>
        </w:rPr>
        <w:t xml:space="preserve"> </w:t>
      </w:r>
      <w:r>
        <w:rPr>
          <w:rFonts w:ascii="宋体" w:hAnsi="宋体"/>
          <w:color w:val="000000" w:themeColor="text1"/>
          <w:position w:val="-1"/>
          <w:highlight w:val="none"/>
          <w14:textFill>
            <w14:solidFill>
              <w14:schemeClr w14:val="tx1"/>
            </w14:solidFill>
          </w14:textFill>
        </w:rPr>
        <w:t>年</w:t>
      </w:r>
      <w:r>
        <w:rPr>
          <w:rFonts w:hint="eastAsia" w:ascii="宋体" w:hAnsi="宋体"/>
          <w:color w:val="000000" w:themeColor="text1"/>
          <w:position w:val="-1"/>
          <w:highlight w:val="none"/>
          <w:u w:val="single"/>
          <w14:textFill>
            <w14:solidFill>
              <w14:schemeClr w14:val="tx1"/>
            </w14:solidFill>
          </w14:textFill>
        </w:rPr>
        <w:t xml:space="preserve"> </w:t>
      </w:r>
      <w:r>
        <w:rPr>
          <w:rFonts w:ascii="宋体" w:hAnsi="宋体"/>
          <w:color w:val="000000" w:themeColor="text1"/>
          <w:spacing w:val="-2"/>
          <w:position w:val="-1"/>
          <w:highlight w:val="none"/>
          <w14:textFill>
            <w14:solidFill>
              <w14:schemeClr w14:val="tx1"/>
            </w14:solidFill>
          </w14:textFill>
        </w:rPr>
        <w:t>月</w:t>
      </w:r>
      <w:r>
        <w:rPr>
          <w:rFonts w:hint="eastAsia" w:ascii="宋体" w:hAnsi="宋体"/>
          <w:color w:val="000000" w:themeColor="text1"/>
          <w:position w:val="-1"/>
          <w:highlight w:val="none"/>
          <w:u w:val="single"/>
          <w14:textFill>
            <w14:solidFill>
              <w14:schemeClr w14:val="tx1"/>
            </w14:solidFill>
          </w14:textFill>
        </w:rPr>
        <w:t xml:space="preserve"> </w:t>
      </w:r>
      <w:r>
        <w:rPr>
          <w:rFonts w:ascii="宋体" w:hAnsi="宋体"/>
          <w:color w:val="000000" w:themeColor="text1"/>
          <w:position w:val="-1"/>
          <w:highlight w:val="none"/>
          <w14:textFill>
            <w14:solidFill>
              <w14:schemeClr w14:val="tx1"/>
            </w14:solidFill>
          </w14:textFill>
        </w:rPr>
        <w:t>日</w:t>
      </w:r>
    </w:p>
    <w:p>
      <w:pPr>
        <w:spacing w:line="373" w:lineRule="exact"/>
        <w:ind w:left="14" w:right="40" w:hanging="14" w:hangingChars="5"/>
        <w:rPr>
          <w:rFonts w:hint="eastAsia" w:ascii="宋体" w:hAnsi="宋体"/>
          <w:color w:val="000000" w:themeColor="text1"/>
          <w:sz w:val="28"/>
          <w:highlight w:val="none"/>
          <w14:textFill>
            <w14:solidFill>
              <w14:schemeClr w14:val="tx1"/>
            </w14:solidFill>
          </w14:textFill>
        </w:rPr>
      </w:pPr>
    </w:p>
    <w:p>
      <w:pPr>
        <w:spacing w:line="373" w:lineRule="exact"/>
        <w:ind w:left="14" w:right="40" w:hanging="14" w:hangingChars="5"/>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注：以广州交易集团有限公司（广州公共资源交易中心）格式为准。</w:t>
      </w:r>
    </w:p>
    <w:p>
      <w:pPr>
        <w:spacing w:line="383" w:lineRule="exact"/>
        <w:ind w:right="-20"/>
        <w:jc w:val="left"/>
        <w:rPr>
          <w:rFonts w:ascii="宋体" w:hAnsi="宋体"/>
          <w:color w:val="000000" w:themeColor="text1"/>
          <w:sz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ascii="宋体" w:hAnsi="宋体"/>
          <w:color w:val="000000" w:themeColor="text1"/>
          <w:position w:val="-4"/>
          <w:sz w:val="28"/>
          <w:highlight w:val="none"/>
          <w14:textFill>
            <w14:solidFill>
              <w14:schemeClr w14:val="tx1"/>
            </w14:solidFill>
          </w14:textFill>
        </w:rPr>
        <w:t>附件二</w:t>
      </w:r>
      <w:r>
        <w:rPr>
          <w:rFonts w:ascii="宋体" w:hAnsi="宋体"/>
          <w:color w:val="000000" w:themeColor="text1"/>
          <w:spacing w:val="-3"/>
          <w:position w:val="-4"/>
          <w:sz w:val="28"/>
          <w:highlight w:val="none"/>
          <w14:textFill>
            <w14:solidFill>
              <w14:schemeClr w14:val="tx1"/>
            </w14:solidFill>
          </w14:textFill>
        </w:rPr>
        <w:t>：</w:t>
      </w:r>
      <w:r>
        <w:rPr>
          <w:rFonts w:ascii="宋体" w:hAnsi="宋体"/>
          <w:color w:val="000000" w:themeColor="text1"/>
          <w:position w:val="-4"/>
          <w:sz w:val="28"/>
          <w:highlight w:val="none"/>
          <w14:textFill>
            <w14:solidFill>
              <w14:schemeClr w14:val="tx1"/>
            </w14:solidFill>
          </w14:textFill>
        </w:rPr>
        <w:t>问题</w:t>
      </w:r>
      <w:r>
        <w:rPr>
          <w:rFonts w:ascii="宋体" w:hAnsi="宋体"/>
          <w:color w:val="000000" w:themeColor="text1"/>
          <w:spacing w:val="-3"/>
          <w:position w:val="-4"/>
          <w:sz w:val="28"/>
          <w:highlight w:val="none"/>
          <w14:textFill>
            <w14:solidFill>
              <w14:schemeClr w14:val="tx1"/>
            </w14:solidFill>
          </w14:textFill>
        </w:rPr>
        <w:t>澄清</w:t>
      </w:r>
      <w:r>
        <w:rPr>
          <w:rFonts w:ascii="宋体" w:hAnsi="宋体"/>
          <w:color w:val="000000" w:themeColor="text1"/>
          <w:position w:val="-4"/>
          <w:sz w:val="28"/>
          <w:highlight w:val="none"/>
          <w14:textFill>
            <w14:solidFill>
              <w14:schemeClr w14:val="tx1"/>
            </w14:solidFill>
          </w14:textFill>
        </w:rPr>
        <w:t>通知</w:t>
      </w:r>
    </w:p>
    <w:p>
      <w:pPr>
        <w:spacing w:line="200" w:lineRule="exact"/>
        <w:jc w:val="left"/>
        <w:rPr>
          <w:rFonts w:ascii="宋体" w:hAnsi="宋体"/>
          <w:color w:val="000000" w:themeColor="text1"/>
          <w:sz w:val="20"/>
          <w:highlight w:val="none"/>
          <w14:textFill>
            <w14:solidFill>
              <w14:schemeClr w14:val="tx1"/>
            </w14:solidFill>
          </w14:textFill>
        </w:rPr>
      </w:pPr>
    </w:p>
    <w:p>
      <w:pPr>
        <w:spacing w:line="373" w:lineRule="exact"/>
        <w:ind w:left="14" w:right="40" w:hanging="14" w:hangingChars="5"/>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注：以广州交易集团有限公司（广州公共资源交易中心）格式为准。</w:t>
      </w:r>
    </w:p>
    <w:p>
      <w:pPr>
        <w:spacing w:line="383" w:lineRule="exact"/>
        <w:ind w:left="237" w:right="-20"/>
        <w:jc w:val="left"/>
        <w:rPr>
          <w:rFonts w:ascii="宋体" w:hAnsi="宋体"/>
          <w:color w:val="000000" w:themeColor="text1"/>
          <w:position w:val="-4"/>
          <w:sz w:val="28"/>
          <w:highlight w:val="none"/>
          <w14:textFill>
            <w14:solidFill>
              <w14:schemeClr w14:val="tx1"/>
            </w14:solidFill>
          </w14:textFill>
        </w:rPr>
      </w:pPr>
    </w:p>
    <w:p>
      <w:pPr>
        <w:spacing w:line="383" w:lineRule="exact"/>
        <w:ind w:left="237" w:right="-20"/>
        <w:jc w:val="left"/>
        <w:rPr>
          <w:rFonts w:ascii="宋体" w:hAnsi="宋体"/>
          <w:color w:val="000000" w:themeColor="text1"/>
          <w:position w:val="-4"/>
          <w:sz w:val="28"/>
          <w:highlight w:val="none"/>
          <w14:textFill>
            <w14:solidFill>
              <w14:schemeClr w14:val="tx1"/>
            </w14:solidFill>
          </w14:textFill>
        </w:rPr>
      </w:pPr>
    </w:p>
    <w:p>
      <w:pPr>
        <w:spacing w:line="383" w:lineRule="exact"/>
        <w:ind w:right="-20"/>
        <w:jc w:val="left"/>
        <w:rPr>
          <w:rFonts w:ascii="宋体" w:hAnsi="宋体"/>
          <w:color w:val="000000" w:themeColor="text1"/>
          <w:sz w:val="17"/>
          <w:highlight w:val="none"/>
          <w14:textFill>
            <w14:solidFill>
              <w14:schemeClr w14:val="tx1"/>
            </w14:solidFill>
          </w14:textFill>
        </w:rPr>
      </w:pPr>
      <w:r>
        <w:rPr>
          <w:rFonts w:ascii="宋体" w:hAnsi="宋体"/>
          <w:color w:val="000000" w:themeColor="text1"/>
          <w:position w:val="-4"/>
          <w:sz w:val="28"/>
          <w:highlight w:val="none"/>
          <w14:textFill>
            <w14:solidFill>
              <w14:schemeClr w14:val="tx1"/>
            </w14:solidFill>
          </w14:textFill>
        </w:rPr>
        <w:t>附件三</w:t>
      </w:r>
      <w:r>
        <w:rPr>
          <w:rFonts w:ascii="宋体" w:hAnsi="宋体"/>
          <w:color w:val="000000" w:themeColor="text1"/>
          <w:spacing w:val="-3"/>
          <w:position w:val="-4"/>
          <w:sz w:val="28"/>
          <w:highlight w:val="none"/>
          <w14:textFill>
            <w14:solidFill>
              <w14:schemeClr w14:val="tx1"/>
            </w14:solidFill>
          </w14:textFill>
        </w:rPr>
        <w:t>：</w:t>
      </w:r>
      <w:r>
        <w:rPr>
          <w:rFonts w:ascii="宋体" w:hAnsi="宋体"/>
          <w:color w:val="000000" w:themeColor="text1"/>
          <w:position w:val="-4"/>
          <w:sz w:val="28"/>
          <w:highlight w:val="none"/>
          <w14:textFill>
            <w14:solidFill>
              <w14:schemeClr w14:val="tx1"/>
            </w14:solidFill>
          </w14:textFill>
        </w:rPr>
        <w:t>问题</w:t>
      </w:r>
      <w:r>
        <w:rPr>
          <w:rFonts w:ascii="宋体" w:hAnsi="宋体"/>
          <w:color w:val="000000" w:themeColor="text1"/>
          <w:spacing w:val="-3"/>
          <w:position w:val="-4"/>
          <w:sz w:val="28"/>
          <w:highlight w:val="none"/>
          <w14:textFill>
            <w14:solidFill>
              <w14:schemeClr w14:val="tx1"/>
            </w14:solidFill>
          </w14:textFill>
        </w:rPr>
        <w:t>的澄</w:t>
      </w:r>
      <w:r>
        <w:rPr>
          <w:rFonts w:ascii="宋体" w:hAnsi="宋体"/>
          <w:color w:val="000000" w:themeColor="text1"/>
          <w:position w:val="-4"/>
          <w:sz w:val="28"/>
          <w:highlight w:val="none"/>
          <w14:textFill>
            <w14:solidFill>
              <w14:schemeClr w14:val="tx1"/>
            </w14:solidFill>
          </w14:textFill>
        </w:rPr>
        <w:t>清</w:t>
      </w:r>
    </w:p>
    <w:p>
      <w:pPr>
        <w:spacing w:line="200" w:lineRule="exact"/>
        <w:jc w:val="left"/>
        <w:rPr>
          <w:rFonts w:ascii="宋体" w:hAnsi="宋体"/>
          <w:color w:val="000000" w:themeColor="text1"/>
          <w:sz w:val="20"/>
          <w:highlight w:val="none"/>
          <w14:textFill>
            <w14:solidFill>
              <w14:schemeClr w14:val="tx1"/>
            </w14:solidFill>
          </w14:textFill>
        </w:rPr>
      </w:pPr>
    </w:p>
    <w:p>
      <w:pPr>
        <w:spacing w:line="373" w:lineRule="exact"/>
        <w:ind w:right="40"/>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注：以广州交易集团有限公司（广州公共资源交易中心）格式为准。</w:t>
      </w:r>
    </w:p>
    <w:p>
      <w:pPr>
        <w:spacing w:line="383" w:lineRule="exact"/>
        <w:ind w:left="237" w:right="-20"/>
        <w:jc w:val="left"/>
        <w:rPr>
          <w:rFonts w:ascii="宋体" w:hAnsi="宋体"/>
          <w:color w:val="000000" w:themeColor="text1"/>
          <w:position w:val="-4"/>
          <w:sz w:val="28"/>
          <w:highlight w:val="none"/>
          <w14:textFill>
            <w14:solidFill>
              <w14:schemeClr w14:val="tx1"/>
            </w14:solidFill>
          </w14:textFill>
        </w:rPr>
      </w:pPr>
      <w:bookmarkStart w:id="276" w:name="_Toc525218682"/>
      <w:bookmarkStart w:id="277" w:name="_Toc529459327"/>
      <w:bookmarkStart w:id="278" w:name="_Toc27507"/>
      <w:bookmarkStart w:id="279" w:name="_Toc51179204"/>
      <w:bookmarkStart w:id="280" w:name="_Toc51593457"/>
      <w:bookmarkStart w:id="281" w:name="_Toc536455247"/>
    </w:p>
    <w:p>
      <w:pPr>
        <w:spacing w:line="383" w:lineRule="exact"/>
        <w:ind w:left="237" w:right="-20"/>
        <w:jc w:val="left"/>
        <w:rPr>
          <w:rFonts w:ascii="宋体" w:hAnsi="宋体"/>
          <w:color w:val="000000" w:themeColor="text1"/>
          <w:position w:val="-4"/>
          <w:sz w:val="28"/>
          <w:highlight w:val="none"/>
          <w14:textFill>
            <w14:solidFill>
              <w14:schemeClr w14:val="tx1"/>
            </w14:solidFill>
          </w14:textFill>
        </w:rPr>
      </w:pPr>
    </w:p>
    <w:p>
      <w:pPr>
        <w:spacing w:line="383" w:lineRule="exact"/>
        <w:ind w:right="-20"/>
        <w:jc w:val="left"/>
        <w:rPr>
          <w:rFonts w:ascii="宋体" w:hAnsi="宋体"/>
          <w:color w:val="000000" w:themeColor="text1"/>
          <w:position w:val="-4"/>
          <w:sz w:val="28"/>
          <w:highlight w:val="none"/>
          <w14:textFill>
            <w14:solidFill>
              <w14:schemeClr w14:val="tx1"/>
            </w14:solidFill>
          </w14:textFill>
        </w:rPr>
      </w:pPr>
      <w:r>
        <w:rPr>
          <w:rFonts w:ascii="宋体" w:hAnsi="宋体"/>
          <w:color w:val="000000" w:themeColor="text1"/>
          <w:position w:val="-4"/>
          <w:sz w:val="28"/>
          <w:highlight w:val="none"/>
          <w14:textFill>
            <w14:solidFill>
              <w14:schemeClr w14:val="tx1"/>
            </w14:solidFill>
          </w14:textFill>
        </w:rPr>
        <w:t>附件四：中标通知书</w:t>
      </w:r>
      <w:bookmarkEnd w:id="276"/>
      <w:bookmarkEnd w:id="277"/>
      <w:bookmarkEnd w:id="278"/>
      <w:bookmarkEnd w:id="279"/>
      <w:bookmarkEnd w:id="280"/>
      <w:bookmarkEnd w:id="281"/>
    </w:p>
    <w:p>
      <w:pPr>
        <w:spacing w:line="200" w:lineRule="exact"/>
        <w:jc w:val="left"/>
        <w:rPr>
          <w:rFonts w:ascii="宋体" w:hAnsi="宋体"/>
          <w:color w:val="000000" w:themeColor="text1"/>
          <w:sz w:val="20"/>
          <w:highlight w:val="none"/>
          <w14:textFill>
            <w14:solidFill>
              <w14:schemeClr w14:val="tx1"/>
            </w14:solidFill>
          </w14:textFill>
        </w:rPr>
      </w:pPr>
    </w:p>
    <w:p>
      <w:pPr>
        <w:spacing w:line="373" w:lineRule="exact"/>
        <w:ind w:left="14" w:right="40" w:hanging="14" w:hangingChars="5"/>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注：以广州交易集团有限公司（广州公共资源交易中心）格式为准。</w:t>
      </w:r>
    </w:p>
    <w:p>
      <w:pPr>
        <w:spacing w:line="373" w:lineRule="exact"/>
        <w:ind w:left="3578" w:right="40" w:hanging="3578" w:hangingChars="1278"/>
        <w:jc w:val="center"/>
        <w:rPr>
          <w:rFonts w:ascii="宋体" w:hAnsi="宋体"/>
          <w:color w:val="000000" w:themeColor="text1"/>
          <w:sz w:val="28"/>
          <w:highlight w:val="none"/>
          <w14:textFill>
            <w14:solidFill>
              <w14:schemeClr w14:val="tx1"/>
            </w14:solidFill>
          </w14:textFill>
        </w:rPr>
      </w:pPr>
    </w:p>
    <w:p>
      <w:pPr>
        <w:spacing w:line="383" w:lineRule="exact"/>
        <w:ind w:left="237" w:right="-20"/>
        <w:jc w:val="left"/>
        <w:rPr>
          <w:rFonts w:ascii="宋体" w:hAnsi="宋体"/>
          <w:color w:val="000000" w:themeColor="text1"/>
          <w:position w:val="-4"/>
          <w:sz w:val="28"/>
          <w:highlight w:val="none"/>
          <w14:textFill>
            <w14:solidFill>
              <w14:schemeClr w14:val="tx1"/>
            </w14:solidFill>
          </w14:textFill>
        </w:rPr>
      </w:pPr>
      <w:bookmarkStart w:id="282" w:name="_Toc492300625"/>
      <w:bookmarkStart w:id="283" w:name="_Toc492300624"/>
      <w:bookmarkStart w:id="284" w:name="_Toc530470628"/>
      <w:bookmarkStart w:id="285" w:name="_Toc529196580"/>
      <w:bookmarkStart w:id="286" w:name="_Toc535938719"/>
      <w:bookmarkStart w:id="287" w:name="_Toc6395"/>
      <w:bookmarkStart w:id="288" w:name="_Toc49510020"/>
    </w:p>
    <w:p>
      <w:pPr>
        <w:spacing w:after="240"/>
        <w:rPr>
          <w:rFonts w:ascii="宋体" w:hAnsi="宋体"/>
          <w:color w:val="000000" w:themeColor="text1"/>
          <w:position w:val="-4"/>
          <w:sz w:val="28"/>
          <w:highlight w:val="none"/>
          <w14:textFill>
            <w14:solidFill>
              <w14:schemeClr w14:val="tx1"/>
            </w14:solidFill>
          </w14:textFill>
        </w:rPr>
      </w:pPr>
      <w:r>
        <w:rPr>
          <w:rFonts w:ascii="宋体" w:hAnsi="宋体"/>
          <w:color w:val="000000" w:themeColor="text1"/>
          <w:position w:val="-4"/>
          <w:sz w:val="28"/>
          <w:highlight w:val="none"/>
          <w14:textFill>
            <w14:solidFill>
              <w14:schemeClr w14:val="tx1"/>
            </w14:solidFill>
          </w14:textFill>
        </w:rPr>
        <w:t>附件五：</w:t>
      </w:r>
      <w:bookmarkEnd w:id="282"/>
      <w:r>
        <w:rPr>
          <w:rFonts w:ascii="宋体" w:hAnsi="宋体"/>
          <w:color w:val="000000" w:themeColor="text1"/>
          <w:position w:val="-4"/>
          <w:sz w:val="28"/>
          <w:highlight w:val="none"/>
          <w14:textFill>
            <w14:solidFill>
              <w14:schemeClr w14:val="tx1"/>
            </w14:solidFill>
          </w14:textFill>
        </w:rPr>
        <w:t>中标结果通知书</w:t>
      </w:r>
      <w:bookmarkEnd w:id="283"/>
    </w:p>
    <w:p>
      <w:pPr>
        <w:spacing w:line="373" w:lineRule="exact"/>
        <w:ind w:left="14" w:right="40" w:hanging="14" w:hangingChars="5"/>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注：以广州交易集团有限公司（广州公共资源交易中心）格式为准。</w:t>
      </w:r>
    </w:p>
    <w:bookmarkEnd w:id="284"/>
    <w:bookmarkEnd w:id="285"/>
    <w:bookmarkEnd w:id="286"/>
    <w:p>
      <w:pPr>
        <w:spacing w:line="383" w:lineRule="exact"/>
        <w:ind w:left="237" w:right="-20"/>
        <w:jc w:val="left"/>
        <w:rPr>
          <w:rFonts w:ascii="宋体" w:hAnsi="宋体"/>
          <w:color w:val="000000" w:themeColor="text1"/>
          <w:position w:val="-4"/>
          <w:sz w:val="28"/>
          <w:highlight w:val="none"/>
          <w14:textFill>
            <w14:solidFill>
              <w14:schemeClr w14:val="tx1"/>
            </w14:solidFill>
          </w14:textFill>
        </w:rPr>
      </w:pPr>
    </w:p>
    <w:p>
      <w:pPr>
        <w:spacing w:line="383" w:lineRule="exact"/>
        <w:ind w:left="237" w:right="-20"/>
        <w:jc w:val="left"/>
        <w:rPr>
          <w:rFonts w:ascii="宋体" w:hAnsi="宋体"/>
          <w:color w:val="000000" w:themeColor="text1"/>
          <w:position w:val="-4"/>
          <w:sz w:val="28"/>
          <w:highlight w:val="none"/>
          <w14:textFill>
            <w14:solidFill>
              <w14:schemeClr w14:val="tx1"/>
            </w14:solidFill>
          </w14:textFill>
        </w:rPr>
      </w:pPr>
    </w:p>
    <w:p>
      <w:pPr>
        <w:rPr>
          <w:rFonts w:ascii="宋体" w:hAnsi="宋体"/>
          <w:color w:val="000000" w:themeColor="text1"/>
          <w:position w:val="-4"/>
          <w:sz w:val="28"/>
          <w:highlight w:val="none"/>
          <w14:textFill>
            <w14:solidFill>
              <w14:schemeClr w14:val="tx1"/>
            </w14:solidFill>
          </w14:textFill>
        </w:rPr>
      </w:pPr>
      <w:r>
        <w:rPr>
          <w:rFonts w:ascii="宋体" w:hAnsi="宋体"/>
          <w:color w:val="000000" w:themeColor="text1"/>
          <w:position w:val="-4"/>
          <w:sz w:val="28"/>
          <w:highlight w:val="none"/>
          <w14:textFill>
            <w14:solidFill>
              <w14:schemeClr w14:val="tx1"/>
            </w14:solidFill>
          </w14:textFill>
        </w:rPr>
        <w:t>附件六：确认通知</w:t>
      </w:r>
    </w:p>
    <w:p>
      <w:pPr>
        <w:spacing w:line="200" w:lineRule="exact"/>
        <w:jc w:val="left"/>
        <w:rPr>
          <w:rFonts w:ascii="宋体" w:hAnsi="宋体"/>
          <w:color w:val="000000" w:themeColor="text1"/>
          <w:sz w:val="20"/>
          <w:highlight w:val="none"/>
          <w14:textFill>
            <w14:solidFill>
              <w14:schemeClr w14:val="tx1"/>
            </w14:solidFill>
          </w14:textFill>
        </w:rPr>
      </w:pPr>
    </w:p>
    <w:p>
      <w:pPr>
        <w:spacing w:line="373" w:lineRule="exact"/>
        <w:ind w:left="14" w:right="40" w:hanging="14" w:hangingChars="5"/>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注：以广州交易集团有限公司（广州公共资源交易中心）格式为准。</w:t>
      </w:r>
    </w:p>
    <w:p>
      <w:pPr>
        <w:rPr>
          <w:rFonts w:ascii="宋体" w:hAnsi="宋体"/>
          <w:color w:val="000000" w:themeColor="text1"/>
          <w:highlight w:val="none"/>
          <w14:textFill>
            <w14:solidFill>
              <w14:schemeClr w14:val="tx1"/>
            </w14:solidFill>
          </w14:textFill>
        </w:rPr>
      </w:pPr>
    </w:p>
    <w:p>
      <w:pPr>
        <w:pStyle w:val="2"/>
        <w:spacing w:line="24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第三章 评标办法（“评定分离”定标办法）</w:t>
      </w:r>
      <w:bookmarkEnd w:id="287"/>
      <w:bookmarkEnd w:id="288"/>
    </w:p>
    <w:p>
      <w:pPr>
        <w:pStyle w:val="3"/>
        <w:spacing w:line="240" w:lineRule="auto"/>
        <w:jc w:val="center"/>
        <w:rPr>
          <w:rFonts w:hint="eastAsia" w:ascii="宋体" w:hAnsi="宋体" w:eastAsia="宋体"/>
          <w:color w:val="000000" w:themeColor="text1"/>
          <w:highlight w:val="none"/>
          <w14:textFill>
            <w14:solidFill>
              <w14:schemeClr w14:val="tx1"/>
            </w14:solidFill>
          </w14:textFill>
        </w:rPr>
      </w:pPr>
      <w:bookmarkStart w:id="289" w:name="_Toc49510021"/>
      <w:r>
        <w:rPr>
          <w:rFonts w:hint="eastAsia" w:ascii="宋体" w:hAnsi="宋体" w:eastAsia="宋体"/>
          <w:color w:val="000000" w:themeColor="text1"/>
          <w:highlight w:val="none"/>
          <w14:textFill>
            <w14:solidFill>
              <w14:schemeClr w14:val="tx1"/>
            </w14:solidFill>
          </w14:textFill>
        </w:rPr>
        <w:t>评标办法前附表</w:t>
      </w:r>
      <w:bookmarkEnd w:id="289"/>
    </w:p>
    <w:tbl>
      <w:tblPr>
        <w:tblStyle w:val="46"/>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2"/>
        <w:gridCol w:w="1158"/>
        <w:gridCol w:w="1772"/>
        <w:gridCol w:w="5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950"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条款号</w:t>
            </w: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评审因素</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15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评标方法</w:t>
            </w: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中标候选人排序方法</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color w:val="000000" w:themeColor="text1"/>
                <w:szCs w:val="2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本项目采用评定分离定标办法，其中：评标采用“通过制”评标办法，</w:t>
            </w:r>
            <w:r>
              <w:rPr>
                <w:rFonts w:hint="eastAsia"/>
                <w:color w:val="000000" w:themeColor="text1"/>
                <w:szCs w:val="21"/>
                <w:highlight w:val="none"/>
                <w:u w:val="single"/>
                <w14:textFill>
                  <w14:solidFill>
                    <w14:schemeClr w14:val="tx1"/>
                  </w14:solidFill>
                </w14:textFill>
              </w:rPr>
              <w:t>所有通过初步评审</w:t>
            </w:r>
            <w:r>
              <w:rPr>
                <w:rFonts w:hint="eastAsia" w:ascii="宋体" w:hAnsi="宋体" w:cs="宋体"/>
                <w:color w:val="000000" w:themeColor="text1"/>
                <w:highlight w:val="none"/>
                <w:u w:val="single"/>
                <w14:textFill>
                  <w14:solidFill>
                    <w14:schemeClr w14:val="tx1"/>
                  </w14:solidFill>
                </w14:textFill>
              </w:rPr>
              <w:t>（形式评审、资格评审、响应性评审）的</w:t>
            </w:r>
            <w:r>
              <w:rPr>
                <w:rFonts w:hint="eastAsia"/>
                <w:color w:val="000000" w:themeColor="text1"/>
                <w:szCs w:val="21"/>
                <w:highlight w:val="none"/>
                <w:u w:val="single"/>
                <w14:textFill>
                  <w14:solidFill>
                    <w14:schemeClr w14:val="tx1"/>
                  </w14:solidFill>
                </w14:textFill>
              </w:rPr>
              <w:t>投标人全部被推荐为合格的中标候选人，进入定标阶段</w:t>
            </w:r>
            <w:r>
              <w:rPr>
                <w:rFonts w:hint="eastAsia" w:ascii="宋体" w:hAnsi="宋体"/>
                <w:color w:val="000000" w:themeColor="text1"/>
                <w:highlight w:val="none"/>
                <w:u w:val="single"/>
                <w14:textFill>
                  <w14:solidFill>
                    <w14:schemeClr w14:val="tx1"/>
                  </w14:solidFill>
                </w14:textFill>
              </w:rPr>
              <w:t>【不排序，按其统一社会信用代码后4位（除校验码外）大小进行排位】</w:t>
            </w:r>
            <w:r>
              <w:rPr>
                <w:rFonts w:hint="eastAsia"/>
                <w:color w:val="000000" w:themeColor="text1"/>
                <w:szCs w:val="21"/>
                <w:highlight w:val="none"/>
                <w:u w:val="singl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2.1.1</w:t>
            </w:r>
          </w:p>
        </w:tc>
        <w:tc>
          <w:tcPr>
            <w:tcW w:w="1158"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形式评审标准</w:t>
            </w: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投标人名称</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both"/>
              <w:rPr>
                <w:rFonts w:hint="eastAsia" w:ascii="宋体" w:hAnsi="宋体" w:eastAsia="宋体" w:cs="楷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与营业执照、资质证书一致</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香港企业参加投标的，须与在广东省住房和城乡建设主管部门备案的证明一致。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投标函及投标函</w:t>
            </w:r>
          </w:p>
          <w:p>
            <w:pPr>
              <w:widowControl/>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附录签字盖章</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left"/>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有法定代表人或被授权人签字（或盖章）并加盖单位章。由法定代表人签字（或盖章）的，应附法定代表人身份证明；由被授权人签字（或盖章）的，应附授权委托书、法定代表人身份证明。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投标文件格式</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left"/>
              <w:rPr>
                <w:rFonts w:ascii="宋体" w:hAnsi="宋体" w:cs="楷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w:t>
            </w:r>
            <w:r>
              <w:rPr>
                <w:rFonts w:ascii="宋体" w:hAnsi="宋体"/>
                <w:color w:val="000000" w:themeColor="text1"/>
                <w:highlight w:val="none"/>
                <w:u w:val="single"/>
                <w14:textFill>
                  <w14:solidFill>
                    <w14:schemeClr w14:val="tx1"/>
                  </w14:solidFill>
                </w14:textFill>
              </w:rPr>
              <w:t>投标函及投标函附录</w:t>
            </w:r>
            <w:r>
              <w:rPr>
                <w:rFonts w:hint="eastAsia" w:ascii="宋体" w:hAnsi="宋体"/>
                <w:color w:val="000000" w:themeColor="text1"/>
                <w:highlight w:val="none"/>
                <w:u w:val="single"/>
                <w14:textFill>
                  <w14:solidFill>
                    <w14:schemeClr w14:val="tx1"/>
                  </w14:solidFill>
                </w14:textFill>
              </w:rPr>
              <w:t>”</w:t>
            </w:r>
            <w:r>
              <w:rPr>
                <w:rFonts w:hint="eastAsia" w:ascii="宋体" w:hAnsi="宋体" w:cs="宋体"/>
                <w:color w:val="000000" w:themeColor="text1"/>
                <w:kern w:val="0"/>
                <w:szCs w:val="21"/>
                <w:highlight w:val="none"/>
                <w:u w:val="single"/>
                <w14:textFill>
                  <w14:solidFill>
                    <w14:schemeClr w14:val="tx1"/>
                  </w14:solidFill>
                </w14:textFill>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spacing w:val="-7"/>
                <w:szCs w:val="21"/>
                <w:highlight w:val="none"/>
                <w14:textFill>
                  <w14:solidFill>
                    <w14:schemeClr w14:val="tx1"/>
                  </w14:solidFill>
                </w14:textFill>
              </w:rPr>
              <w:t>备选投标方案</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left"/>
              <w:rPr>
                <w:rFonts w:ascii="宋体" w:hAnsi="宋体" w:cs="楷体"/>
                <w:color w:val="000000" w:themeColor="text1"/>
                <w:kern w:val="0"/>
                <w:szCs w:val="21"/>
                <w:highlight w:val="none"/>
                <w14:textFill>
                  <w14:solidFill>
                    <w14:schemeClr w14:val="tx1"/>
                  </w14:solidFill>
                </w14:textFill>
              </w:rPr>
            </w:pPr>
            <w:r>
              <w:rPr>
                <w:rFonts w:hint="default" w:ascii="宋体" w:hAnsi="宋体" w:eastAsia="宋体" w:cs="宋体"/>
                <w:color w:val="000000" w:themeColor="text1"/>
                <w:sz w:val="21"/>
                <w:szCs w:val="21"/>
                <w:highlight w:val="none"/>
                <w:u w:val="singl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联合体投标人</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left"/>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u w:val="single"/>
                <w:lang w:val="en-US" w:eastAsia="zh-CN"/>
                <w14:textFill>
                  <w14:solidFill>
                    <w14:schemeClr w14:val="tx1"/>
                  </w14:solidFill>
                </w14:textFill>
              </w:rPr>
              <w:t>本次招标</w:t>
            </w:r>
            <w:r>
              <w:rPr>
                <w:rFonts w:hint="eastAsia" w:ascii="宋体" w:hAnsi="宋体" w:cs="宋体"/>
                <w:color w:val="000000" w:themeColor="text1"/>
                <w:szCs w:val="21"/>
                <w:highlight w:val="none"/>
                <w:u w:val="single"/>
                <w14:textFill>
                  <w14:solidFill>
                    <w14:schemeClr w14:val="tx1"/>
                  </w14:solidFill>
                </w14:textFill>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投标人机器码</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rPr>
                <w:rFonts w:hint="eastAsia" w:ascii="宋体" w:hAnsi="宋体" w:eastAsia="宋体" w:cs="楷体"/>
                <w:color w:val="000000" w:themeColor="text1"/>
                <w:kern w:val="0"/>
                <w:szCs w:val="21"/>
                <w:highlight w:val="none"/>
                <w:lang w:eastAsia="zh-CN"/>
                <w14:textFill>
                  <w14:solidFill>
                    <w14:schemeClr w14:val="tx1"/>
                  </w14:solidFill>
                </w14:textFill>
              </w:rPr>
            </w:pPr>
            <w:r>
              <w:rPr>
                <w:rFonts w:hint="default" w:ascii="宋体" w:hAnsi="Times New Roman" w:eastAsia="宋体"/>
                <w:color w:val="000000" w:themeColor="text1"/>
                <w:sz w:val="21"/>
                <w:szCs w:val="24"/>
                <w:highlight w:val="none"/>
                <w:u w:val="single"/>
                <w14:textFill>
                  <w14:solidFill>
                    <w14:schemeClr w14:val="tx1"/>
                  </w14:solidFill>
                </w14:textFill>
              </w:rPr>
              <w:t>投标人与</w:t>
            </w:r>
            <w:r>
              <w:rPr>
                <w:rFonts w:hint="default" w:ascii="宋体" w:hAnsi="Times New Roman" w:eastAsia="宋体"/>
                <w:color w:val="000000" w:themeColor="text1"/>
                <w:sz w:val="21"/>
                <w:szCs w:val="24"/>
                <w:highlight w:val="none"/>
                <w:u w:val="single"/>
                <w:lang w:eastAsia="zh-CN"/>
                <w14:textFill>
                  <w14:solidFill>
                    <w14:schemeClr w14:val="tx1"/>
                  </w14:solidFill>
                </w14:textFill>
              </w:rPr>
              <w:t>本项目</w:t>
            </w:r>
            <w:r>
              <w:rPr>
                <w:rFonts w:hint="default" w:ascii="宋体" w:hAnsi="Times New Roman" w:eastAsia="宋体"/>
                <w:color w:val="000000" w:themeColor="text1"/>
                <w:sz w:val="21"/>
                <w:szCs w:val="24"/>
                <w:highlight w:val="none"/>
                <w:u w:val="single"/>
                <w14:textFill>
                  <w14:solidFill>
                    <w14:schemeClr w14:val="tx1"/>
                  </w14:solidFill>
                </w14:textFill>
              </w:rPr>
              <w:t>其他投标人加密打包投标文件电脑机器特征码</w:t>
            </w:r>
            <w:r>
              <w:rPr>
                <w:rFonts w:hint="default" w:ascii="宋体" w:hAnsi="Times New Roman" w:eastAsia="宋体"/>
                <w:color w:val="000000" w:themeColor="text1"/>
                <w:sz w:val="21"/>
                <w:szCs w:val="24"/>
                <w:highlight w:val="none"/>
                <w:u w:val="single"/>
                <w:lang w:eastAsia="zh-CN"/>
                <w14:textFill>
                  <w14:solidFill>
                    <w14:schemeClr w14:val="tx1"/>
                  </w14:solidFill>
                </w14:textFill>
              </w:rPr>
              <w:t>不</w:t>
            </w:r>
            <w:r>
              <w:rPr>
                <w:rFonts w:hint="default" w:ascii="宋体" w:hAnsi="Times New Roman" w:eastAsia="宋体"/>
                <w:color w:val="000000" w:themeColor="text1"/>
                <w:sz w:val="21"/>
                <w:szCs w:val="24"/>
                <w:highlight w:val="none"/>
                <w:u w:val="single"/>
                <w14:textFill>
                  <w14:solidFill>
                    <w14:schemeClr w14:val="tx1"/>
                  </w14:solidFill>
                </w14:textFill>
              </w:rPr>
              <w:t>一致的(以</w:t>
            </w:r>
            <w:r>
              <w:rPr>
                <w:rFonts w:hint="eastAsia" w:ascii="宋体"/>
                <w:color w:val="000000" w:themeColor="text1"/>
                <w:sz w:val="21"/>
                <w:szCs w:val="24"/>
                <w:highlight w:val="none"/>
                <w:u w:val="single"/>
                <w:lang w:eastAsia="zh-CN"/>
                <w14:textFill>
                  <w14:solidFill>
                    <w14:schemeClr w14:val="tx1"/>
                  </w14:solidFill>
                </w14:textFill>
              </w:rPr>
              <w:t>广州交易集团有限公司（广州公共资源交易中心）</w:t>
            </w:r>
            <w:r>
              <w:rPr>
                <w:rFonts w:hint="default" w:ascii="宋体" w:hAnsi="Times New Roman" w:eastAsia="宋体"/>
                <w:color w:val="000000" w:themeColor="text1"/>
                <w:sz w:val="21"/>
                <w:szCs w:val="24"/>
                <w:highlight w:val="none"/>
                <w:u w:val="single"/>
                <w:lang w:eastAsia="zh-CN"/>
                <w14:textFill>
                  <w14:solidFill>
                    <w14:schemeClr w14:val="tx1"/>
                  </w14:solidFill>
                </w14:textFill>
              </w:rPr>
              <w:t>交易</w:t>
            </w:r>
            <w:r>
              <w:rPr>
                <w:rFonts w:hint="default" w:ascii="宋体" w:hAnsi="Times New Roman" w:eastAsia="宋体"/>
                <w:color w:val="000000" w:themeColor="text1"/>
                <w:sz w:val="21"/>
                <w:szCs w:val="24"/>
                <w:highlight w:val="none"/>
                <w:u w:val="single"/>
                <w14:textFill>
                  <w14:solidFill>
                    <w14:schemeClr w14:val="tx1"/>
                  </w14:solidFill>
                </w14:textFill>
              </w:rPr>
              <w:t>平台</w:t>
            </w:r>
            <w:r>
              <w:rPr>
                <w:rFonts w:hint="eastAsia" w:ascii="宋体"/>
                <w:color w:val="000000" w:themeColor="text1"/>
                <w:sz w:val="21"/>
                <w:szCs w:val="24"/>
                <w:highlight w:val="none"/>
                <w:u w:val="single"/>
                <w:lang w:eastAsia="zh-CN"/>
                <w14:textFill>
                  <w14:solidFill>
                    <w14:schemeClr w14:val="tx1"/>
                  </w14:solidFill>
                </w14:textFill>
              </w:rPr>
              <w:t>开标</w:t>
            </w:r>
            <w:r>
              <w:rPr>
                <w:rFonts w:hint="default" w:ascii="宋体" w:hAnsi="Times New Roman" w:eastAsia="宋体"/>
                <w:color w:val="000000" w:themeColor="text1"/>
                <w:sz w:val="21"/>
                <w:szCs w:val="24"/>
                <w:highlight w:val="none"/>
                <w:u w:val="single"/>
                <w14:textFill>
                  <w14:solidFill>
                    <w14:schemeClr w14:val="tx1"/>
                  </w14:solidFill>
                </w14:textFill>
              </w:rPr>
              <w:t>系统的检索信息为准)</w:t>
            </w:r>
            <w:r>
              <w:rPr>
                <w:rFonts w:hint="eastAsia" w:ascii="宋体" w:hAnsi="宋体" w:cs="宋体"/>
                <w:color w:val="000000" w:themeColor="text1"/>
                <w:kern w:val="0"/>
                <w:szCs w:val="21"/>
                <w:highlight w:val="none"/>
                <w:u w:val="singl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2.1.2</w:t>
            </w:r>
          </w:p>
        </w:tc>
        <w:tc>
          <w:tcPr>
            <w:tcW w:w="1158"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资格评审标准</w:t>
            </w: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营业执照</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left"/>
              <w:rPr>
                <w:rFonts w:hint="eastAsia" w:ascii="宋体" w:hAnsi="宋体" w:eastAsia="宋体" w:cs="楷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符合第二章“投标人须知”第3.5.1项规定，具备有效的营业执照</w:t>
            </w:r>
            <w:r>
              <w:rPr>
                <w:rFonts w:hint="eastAsia" w:ascii="宋体" w:hAnsi="宋体" w:cs="宋体"/>
                <w:color w:val="000000" w:themeColor="text1"/>
                <w:kern w:val="0"/>
                <w:szCs w:val="21"/>
                <w:highlight w:val="none"/>
                <w:lang w:eastAsia="zh-CN"/>
                <w14:textFill>
                  <w14:solidFill>
                    <w14:schemeClr w14:val="tx1"/>
                  </w14:solidFill>
                </w14:textFill>
              </w:rPr>
              <w:t>；</w:t>
            </w:r>
            <w:r>
              <w:rPr>
                <w:rFonts w:hint="default" w:ascii="宋体" w:hAnsi="宋体" w:eastAsia="宋体" w:cs="宋体"/>
                <w:color w:val="000000" w:themeColor="text1"/>
                <w:sz w:val="21"/>
                <w:szCs w:val="21"/>
                <w:highlight w:val="none"/>
                <w:u w:val="single"/>
                <w14:textFill>
                  <w14:solidFill>
                    <w14:schemeClr w14:val="tx1"/>
                  </w14:solidFill>
                </w14:textFill>
              </w:rPr>
              <w:t>香港企业提供在香港进行商业登记的证明文书。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资质要求</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left"/>
              <w:rPr>
                <w:rFonts w:hint="eastAsia" w:ascii="宋体" w:hAnsi="宋体" w:eastAsia="宋体" w:cs="楷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符合第二章“投标人须知”第1.4.1项规定</w:t>
            </w:r>
            <w:r>
              <w:rPr>
                <w:rFonts w:hint="eastAsia" w:ascii="宋体" w:hAnsi="宋体" w:cs="宋体"/>
                <w:color w:val="000000" w:themeColor="text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财务要求</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left"/>
              <w:rPr>
                <w:rFonts w:ascii="宋体" w:hAnsi="宋体" w:cs="楷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业绩要求</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信誉要求</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left"/>
              <w:rPr>
                <w:rFonts w:ascii="宋体" w:hAnsi="宋体" w:cs="楷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总监理工程师</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left"/>
              <w:rPr>
                <w:rFonts w:hint="eastAsia" w:ascii="宋体" w:hAnsi="宋体" w:eastAsia="宋体" w:cs="楷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符合第二章“投标人须知”第1.4.1项规定</w:t>
            </w:r>
            <w:r>
              <w:rPr>
                <w:rFonts w:hint="eastAsia" w:ascii="宋体" w:hAnsi="宋体" w:cs="宋体"/>
                <w:color w:val="000000" w:themeColor="text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其他主要人员</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left"/>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试验检测仪器设备</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left"/>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其他要求</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left"/>
              <w:rPr>
                <w:rFonts w:hint="eastAsia" w:ascii="宋体" w:hAnsi="宋体" w:eastAsia="宋体" w:cs="楷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符合第二章“投标人须知”第1.4.1项规定</w:t>
            </w:r>
            <w:r>
              <w:rPr>
                <w:rFonts w:hint="eastAsia" w:ascii="宋体" w:hAnsi="宋体" w:cs="宋体"/>
                <w:color w:val="000000" w:themeColor="text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联合体投标人</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left"/>
              <w:rPr>
                <w:rFonts w:ascii="宋体" w:hAnsi="宋体" w:cs="楷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lang w:val="en-US" w:eastAsia="zh-CN"/>
                <w14:textFill>
                  <w14:solidFill>
                    <w14:schemeClr w14:val="tx1"/>
                  </w14:solidFill>
                </w14:textFill>
              </w:rPr>
              <w:t>本次招标</w:t>
            </w:r>
            <w:r>
              <w:rPr>
                <w:rFonts w:hint="eastAsia" w:ascii="宋体" w:hAnsi="宋体" w:cs="宋体"/>
                <w:color w:val="000000" w:themeColor="text1"/>
                <w:szCs w:val="21"/>
                <w:highlight w:val="none"/>
                <w:u w:val="single"/>
                <w14:textFill>
                  <w14:solidFill>
                    <w14:schemeClr w14:val="tx1"/>
                  </w14:solidFill>
                </w14:textFill>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center"/>
              <w:rPr>
                <w:rFonts w:hint="eastAsia"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不存在禁止投标的情形</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left"/>
              <w:rPr>
                <w:rFonts w:hint="eastAsia" w:ascii="宋体" w:hAnsi="宋体" w:eastAsia="宋体" w:cs="楷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不存在第二章“投标人须知”第1.4.3项规定的任何一种情形</w:t>
            </w:r>
            <w:r>
              <w:rPr>
                <w:rFonts w:hint="eastAsia" w:ascii="宋体" w:hAnsi="宋体" w:cs="宋体"/>
                <w:color w:val="000000" w:themeColor="text1"/>
                <w:kern w:val="0"/>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before="40" w:after="40"/>
              <w:jc w:val="center"/>
              <w:rPr>
                <w:rFonts w:hint="eastAsia" w:ascii="宋体"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投标人声明签字盖章</w:t>
            </w:r>
          </w:p>
        </w:tc>
        <w:tc>
          <w:tcPr>
            <w:tcW w:w="551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ordWrap w:val="0"/>
              <w:autoSpaceDE w:val="0"/>
              <w:autoSpaceDN w:val="0"/>
              <w:rPr>
                <w:rFonts w:hint="eastAsia" w:ascii="宋体" w:hAnsi="宋体"/>
                <w:color w:val="000000" w:themeColor="text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法定代表人、总监理工程师按《投标人声明》格式要求签字并加盖单位公章。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hint="eastAsia" w:ascii="宋体" w:hAnsi="宋体"/>
                <w:color w:val="000000" w:themeColor="text1"/>
                <w:highlight w:val="none"/>
                <w:u w:val="single"/>
                <w14:textFill>
                  <w14:solidFill>
                    <w14:schemeClr w14:val="tx1"/>
                  </w14:solidFill>
                </w14:textFill>
              </w:rPr>
            </w:pPr>
            <w:r>
              <w:rPr>
                <w:rFonts w:hint="eastAsia"/>
                <w:color w:val="000000" w:themeColor="text1"/>
                <w:szCs w:val="21"/>
                <w:highlight w:val="none"/>
                <w:u w:val="single"/>
                <w14:textFill>
                  <w14:solidFill>
                    <w14:schemeClr w14:val="tx1"/>
                  </w14:solidFill>
                </w14:textFill>
              </w:rPr>
              <w:t>未被列入拖欠农民工工资失信联合惩戒对象名单</w:t>
            </w:r>
          </w:p>
        </w:tc>
        <w:tc>
          <w:tcPr>
            <w:tcW w:w="551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hAnsi="宋体"/>
                <w:color w:val="000000" w:themeColor="text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投标人无需提供资料，按</w:t>
            </w:r>
            <w:r>
              <w:rPr>
                <w:rFonts w:hint="eastAsia" w:ascii="宋体" w:hAnsi="宋体" w:cs="宋体"/>
                <w:color w:val="000000" w:themeColor="text1"/>
                <w:szCs w:val="21"/>
                <w:highlight w:val="none"/>
                <w:u w:val="single"/>
                <w:lang w:val="en-US" w:eastAsia="zh-CN"/>
                <w14:textFill>
                  <w14:solidFill>
                    <w14:schemeClr w14:val="tx1"/>
                  </w14:solidFill>
                </w14:textFill>
              </w:rPr>
              <w:t>投标截止时间</w:t>
            </w:r>
            <w:r>
              <w:rPr>
                <w:rFonts w:hint="eastAsia" w:ascii="宋体" w:hAnsi="宋体" w:cs="宋体"/>
                <w:color w:val="000000" w:themeColor="text1"/>
                <w:szCs w:val="21"/>
                <w:highlight w:val="none"/>
                <w:u w:val="single"/>
                <w14:textFill>
                  <w14:solidFill>
                    <w14:schemeClr w14:val="tx1"/>
                  </w14:solidFill>
                </w14:textFill>
              </w:rPr>
              <w:t>交易系统比对的结果进行评审。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restar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2.1.3</w:t>
            </w:r>
          </w:p>
        </w:tc>
        <w:tc>
          <w:tcPr>
            <w:tcW w:w="1158" w:type="dxa"/>
            <w:vMerge w:val="restart"/>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strike/>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响应性评审标准</w:t>
            </w: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投标报价</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left"/>
              <w:rPr>
                <w:rFonts w:hint="eastAsia"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符合第二章“投标人须知”第3.2款规定，对同一招标项目没有出现：两个或以上的投标报价且修正无依据。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投标内容</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left"/>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符合第二章“投标人须知”第1.3.1项规定，投标文件按规定的格式填写，内容齐全或关键字迹清晰、容易辩认。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监理服务期限</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left"/>
              <w:rPr>
                <w:rFonts w:hint="eastAsia"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质量标准</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beforeAutospacing="1" w:afterAutospacing="1"/>
              <w:jc w:val="left"/>
              <w:rPr>
                <w:rFonts w:hint="eastAsia"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投标有效期</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spacing w:beforeAutospacing="1" w:afterAutospacing="1"/>
              <w:jc w:val="left"/>
              <w:rPr>
                <w:rFonts w:hint="eastAsia"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158"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Times New Roman" w:hAnsi="Times New Roman"/>
                <w:color w:val="000000" w:themeColor="text1"/>
                <w:sz w:val="20"/>
                <w:szCs w:val="20"/>
                <w:highlight w:val="none"/>
                <w14:textFill>
                  <w14:solidFill>
                    <w14:schemeClr w14:val="tx1"/>
                  </w14:solidFill>
                </w14:textFill>
              </w:rPr>
            </w:pPr>
          </w:p>
        </w:tc>
        <w:tc>
          <w:tcPr>
            <w:tcW w:w="1772"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spacing w:beforeAutospacing="1" w:afterAutospacing="1"/>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串通投标情形</w:t>
            </w:r>
          </w:p>
        </w:tc>
        <w:tc>
          <w:tcPr>
            <w:tcW w:w="551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tcPr>
          <w:p>
            <w:pPr>
              <w:widowControl/>
              <w:spacing w:beforeAutospacing="1" w:afterAutospacing="1"/>
              <w:jc w:val="left"/>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不存在串通投标情形（串通投标情形以《广东省实施&lt;中华人民共和国招标投标法&gt;》第十六条的规定为准）。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楷体"/>
                <w:color w:val="000000" w:themeColor="text1"/>
                <w:kern w:val="0"/>
                <w:szCs w:val="21"/>
                <w:highlight w:val="none"/>
                <w:u w:val="single"/>
                <w14:textFill>
                  <w14:solidFill>
                    <w14:schemeClr w14:val="tx1"/>
                  </w14:solidFill>
                </w14:textFill>
              </w:rPr>
            </w:pPr>
            <w:r>
              <w:rPr>
                <w:rFonts w:cs="Calibri"/>
                <w:color w:val="000000" w:themeColor="text1"/>
                <w:szCs w:val="21"/>
                <w:highlight w:val="none"/>
                <w:u w:val="single"/>
                <w14:textFill>
                  <w14:solidFill>
                    <w14:schemeClr w14:val="tx1"/>
                  </w14:solidFill>
                </w14:textFill>
              </w:rPr>
              <w:t>4</w:t>
            </w:r>
          </w:p>
        </w:tc>
        <w:tc>
          <w:tcPr>
            <w:tcW w:w="11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楷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定标</w:t>
            </w:r>
          </w:p>
        </w:tc>
        <w:tc>
          <w:tcPr>
            <w:tcW w:w="7283"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rPr>
                <w:rFonts w:ascii="宋体" w:hAnsi="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1.定标委员会的组成</w:t>
            </w:r>
          </w:p>
          <w:p>
            <w:pPr>
              <w:rPr>
                <w:rFonts w:ascii="宋体" w:hAnsi="宋体" w:cs="楷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（1）定标委员会</w:t>
            </w:r>
          </w:p>
          <w:p>
            <w:pPr>
              <w:rPr>
                <w:rFonts w:ascii="宋体" w:hAnsi="宋体" w:cs="楷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定标委员会由招标人依法组建。</w:t>
            </w:r>
          </w:p>
          <w:p>
            <w:pPr>
              <w:rPr>
                <w:rFonts w:ascii="宋体" w:hAnsi="宋体" w:cs="楷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（2）定标会召开的时间地点：</w:t>
            </w:r>
          </w:p>
          <w:p>
            <w:pPr>
              <w:rPr>
                <w:rFonts w:ascii="宋体" w:hAnsi="宋体" w:cs="楷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定标会召开时间在合格的中标候选人公示完成后</w:t>
            </w:r>
            <w:r>
              <w:rPr>
                <w:rFonts w:hint="eastAsia" w:ascii="宋体" w:hAnsi="宋体" w:cs="楷体"/>
                <w:bCs/>
                <w:color w:val="000000" w:themeColor="text1"/>
                <w:kern w:val="0"/>
                <w:szCs w:val="21"/>
                <w:highlight w:val="none"/>
                <w14:textFill>
                  <w14:solidFill>
                    <w14:schemeClr w14:val="tx1"/>
                  </w14:solidFill>
                </w14:textFill>
              </w:rPr>
              <w:t>10个工作日内在广州交易集团有限公司（广州公共资源交易中心）举行，定标会全程在广州交易集团有限公司（广州公共资源交易中心）见证人员见证下进行。</w:t>
            </w:r>
          </w:p>
          <w:p>
            <w:pPr>
              <w:rPr>
                <w:rFonts w:ascii="宋体" w:hAnsi="宋体" w:cs="楷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2.定标原则</w:t>
            </w:r>
          </w:p>
          <w:p>
            <w:pPr>
              <w:rPr>
                <w:rFonts w:ascii="宋体" w:hAnsi="宋体" w:cs="楷体"/>
                <w:b/>
                <w:color w:val="000000" w:themeColor="text1"/>
                <w:kern w:val="0"/>
                <w:szCs w:val="2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详见</w:t>
            </w:r>
            <w:r>
              <w:rPr>
                <w:rFonts w:hint="eastAsia" w:ascii="宋体" w:hAnsi="宋体" w:cs="宋体"/>
                <w:bCs/>
                <w:color w:val="000000" w:themeColor="text1"/>
                <w:szCs w:val="21"/>
                <w:highlight w:val="none"/>
                <w:u w:val="single"/>
                <w14:textFill>
                  <w14:solidFill>
                    <w14:schemeClr w14:val="tx1"/>
                  </w14:solidFill>
                </w14:textFill>
              </w:rPr>
              <w:t>本章第4款。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7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color w:val="000000" w:themeColor="text1"/>
                <w:szCs w:val="21"/>
                <w:highlight w:val="none"/>
                <w:u w:val="single"/>
                <w14:textFill>
                  <w14:solidFill>
                    <w14:schemeClr w14:val="tx1"/>
                  </w14:solidFill>
                </w14:textFill>
              </w:rPr>
            </w:pPr>
            <w:r>
              <w:rPr>
                <w:rFonts w:cs="Calibri"/>
                <w:color w:val="000000" w:themeColor="text1"/>
                <w:szCs w:val="21"/>
                <w:highlight w:val="none"/>
                <w:u w:val="single"/>
                <w14:textFill>
                  <w14:solidFill>
                    <w14:schemeClr w14:val="tx1"/>
                  </w14:solidFill>
                </w14:textFill>
              </w:rPr>
              <w:t>5</w:t>
            </w:r>
          </w:p>
        </w:tc>
        <w:tc>
          <w:tcPr>
            <w:tcW w:w="115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定标表格</w:t>
            </w:r>
          </w:p>
        </w:tc>
        <w:tc>
          <w:tcPr>
            <w:tcW w:w="7283" w:type="dxa"/>
            <w:gridSpan w:val="2"/>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u w:val="single"/>
                <w14:textFill>
                  <w14:solidFill>
                    <w14:schemeClr w14:val="tx1"/>
                  </w14:solidFill>
                </w14:textFill>
              </w:rPr>
              <w:t>详见本章第5款附表</w:t>
            </w:r>
            <w:r>
              <w:rPr>
                <w:rFonts w:hint="eastAsia" w:ascii="宋体" w:hAnsi="宋体" w:cs="宋体"/>
                <w:color w:val="000000" w:themeColor="text1"/>
                <w:szCs w:val="21"/>
                <w:highlight w:val="none"/>
                <w14:textFill>
                  <w14:solidFill>
                    <w14:schemeClr w14:val="tx1"/>
                  </w14:solidFill>
                </w14:textFill>
              </w:rPr>
              <w:t>。</w:t>
            </w:r>
          </w:p>
        </w:tc>
      </w:tr>
    </w:tbl>
    <w:p>
      <w:pPr>
        <w:spacing w:before="120" w:beforeLines="50" w:after="120" w:afterLines="50" w:line="360" w:lineRule="exact"/>
        <w:outlineLvl w:val="2"/>
        <w:rPr>
          <w:rFonts w:ascii="宋体" w:hAnsi="宋体"/>
          <w:b/>
          <w:color w:val="000000" w:themeColor="text1"/>
          <w:sz w:val="32"/>
          <w:highlight w:val="none"/>
          <w14:textFill>
            <w14:solidFill>
              <w14:schemeClr w14:val="tx1"/>
            </w14:solidFill>
          </w14:textFill>
        </w:rPr>
      </w:pPr>
      <w:bookmarkStart w:id="290" w:name="_Toc529196583"/>
      <w:bookmarkStart w:id="291" w:name="_Toc515205256"/>
      <w:r>
        <w:rPr>
          <w:rFonts w:hint="eastAsia" w:ascii="宋体" w:hAnsi="宋体"/>
          <w:b/>
          <w:color w:val="000000" w:themeColor="text1"/>
          <w:sz w:val="32"/>
          <w:highlight w:val="none"/>
          <w14:textFill>
            <w14:solidFill>
              <w14:schemeClr w14:val="tx1"/>
            </w14:solidFill>
          </w14:textFill>
        </w:rPr>
        <w:br w:type="page"/>
      </w:r>
      <w:r>
        <w:rPr>
          <w:rFonts w:hint="eastAsia" w:ascii="宋体" w:hAnsi="宋体"/>
          <w:b/>
          <w:color w:val="000000" w:themeColor="text1"/>
          <w:sz w:val="32"/>
          <w:highlight w:val="none"/>
          <w14:textFill>
            <w14:solidFill>
              <w14:schemeClr w14:val="tx1"/>
            </w14:solidFill>
          </w14:textFill>
        </w:rPr>
        <w:t>1. 评标方法</w:t>
      </w:r>
      <w:bookmarkEnd w:id="290"/>
      <w:bookmarkEnd w:id="291"/>
    </w:p>
    <w:p>
      <w:pPr>
        <w:spacing w:line="440" w:lineRule="exact"/>
        <w:ind w:firstLine="420" w:firstLineChars="200"/>
        <w:rPr>
          <w:strike/>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本项目采用评定分离定标办法，其中：评标采用“通过制”评标办法，</w:t>
      </w:r>
      <w:r>
        <w:rPr>
          <w:rFonts w:hint="eastAsia"/>
          <w:color w:val="000000" w:themeColor="text1"/>
          <w:szCs w:val="21"/>
          <w:highlight w:val="none"/>
          <w:u w:val="single"/>
          <w14:textFill>
            <w14:solidFill>
              <w14:schemeClr w14:val="tx1"/>
            </w14:solidFill>
          </w14:textFill>
        </w:rPr>
        <w:t>所有通过初步评审</w:t>
      </w:r>
      <w:r>
        <w:rPr>
          <w:rFonts w:hint="eastAsia" w:ascii="宋体" w:hAnsi="宋体" w:cs="宋体"/>
          <w:color w:val="000000" w:themeColor="text1"/>
          <w:highlight w:val="none"/>
          <w:u w:val="single"/>
          <w14:textFill>
            <w14:solidFill>
              <w14:schemeClr w14:val="tx1"/>
            </w14:solidFill>
          </w14:textFill>
        </w:rPr>
        <w:t>（形式评审、资格评审、响应性评审）的</w:t>
      </w:r>
      <w:r>
        <w:rPr>
          <w:rFonts w:hint="eastAsia"/>
          <w:color w:val="000000" w:themeColor="text1"/>
          <w:szCs w:val="21"/>
          <w:highlight w:val="none"/>
          <w:u w:val="single"/>
          <w14:textFill>
            <w14:solidFill>
              <w14:schemeClr w14:val="tx1"/>
            </w14:solidFill>
          </w14:textFill>
        </w:rPr>
        <w:t>投标人全部被推荐为合格的中标候选人，进入定标阶段</w:t>
      </w:r>
      <w:r>
        <w:rPr>
          <w:rFonts w:hint="eastAsia" w:ascii="宋体" w:hAnsi="宋体"/>
          <w:color w:val="000000" w:themeColor="text1"/>
          <w:highlight w:val="none"/>
          <w:u w:val="single"/>
          <w14:textFill>
            <w14:solidFill>
              <w14:schemeClr w14:val="tx1"/>
            </w14:solidFill>
          </w14:textFill>
        </w:rPr>
        <w:t>【不排序，按其统一社会信用代码后4位（除校验码外）大小进行排位】</w:t>
      </w:r>
      <w:r>
        <w:rPr>
          <w:rFonts w:hint="eastAsia"/>
          <w:color w:val="000000" w:themeColor="text1"/>
          <w:szCs w:val="21"/>
          <w:highlight w:val="none"/>
          <w:u w:val="single"/>
          <w14:textFill>
            <w14:solidFill>
              <w14:schemeClr w14:val="tx1"/>
            </w14:solidFill>
          </w14:textFill>
        </w:rPr>
        <w:t>。</w:t>
      </w:r>
    </w:p>
    <w:p>
      <w:pPr>
        <w:ind w:firstLine="420" w:firstLineChars="200"/>
        <w:rPr>
          <w:rFonts w:ascii="Times New Roman" w:hAnsi="Times New Roman"/>
          <w:strike/>
          <w:color w:val="000000" w:themeColor="text1"/>
          <w:highlight w:val="none"/>
          <w14:textFill>
            <w14:solidFill>
              <w14:schemeClr w14:val="tx1"/>
            </w14:solidFill>
          </w14:textFill>
        </w:rPr>
      </w:pPr>
    </w:p>
    <w:p>
      <w:pPr>
        <w:spacing w:before="120" w:beforeLines="50" w:line="360" w:lineRule="exact"/>
        <w:outlineLvl w:val="2"/>
        <w:rPr>
          <w:rFonts w:ascii="宋体" w:hAnsi="宋体"/>
          <w:b/>
          <w:color w:val="000000" w:themeColor="text1"/>
          <w:sz w:val="32"/>
          <w:highlight w:val="none"/>
          <w14:textFill>
            <w14:solidFill>
              <w14:schemeClr w14:val="tx1"/>
            </w14:solidFill>
          </w14:textFill>
        </w:rPr>
      </w:pPr>
      <w:bookmarkStart w:id="292" w:name="_Toc515205257"/>
      <w:bookmarkStart w:id="293" w:name="_Toc529196584"/>
      <w:r>
        <w:rPr>
          <w:rFonts w:hint="eastAsia" w:ascii="宋体" w:hAnsi="宋体"/>
          <w:b/>
          <w:color w:val="000000" w:themeColor="text1"/>
          <w:sz w:val="32"/>
          <w:highlight w:val="none"/>
          <w14:textFill>
            <w14:solidFill>
              <w14:schemeClr w14:val="tx1"/>
            </w14:solidFill>
          </w14:textFill>
        </w:rPr>
        <w:t>2. 评审标准</w:t>
      </w:r>
      <w:bookmarkEnd w:id="292"/>
      <w:bookmarkEnd w:id="293"/>
    </w:p>
    <w:p>
      <w:pPr>
        <w:spacing w:before="240" w:beforeLines="100" w:after="240" w:afterLines="100" w:line="360" w:lineRule="exact"/>
        <w:rPr>
          <w:rFonts w:ascii="宋体" w:hAnsi="宋体"/>
          <w:b/>
          <w:color w:val="000000" w:themeColor="text1"/>
          <w:sz w:val="28"/>
          <w:highlight w:val="none"/>
          <w14:textFill>
            <w14:solidFill>
              <w14:schemeClr w14:val="tx1"/>
            </w14:solidFill>
          </w14:textFill>
        </w:rPr>
      </w:pPr>
      <w:bookmarkStart w:id="294" w:name="_Toc529196585"/>
      <w:bookmarkStart w:id="295" w:name="_Toc515205258"/>
      <w:r>
        <w:rPr>
          <w:rFonts w:hint="eastAsia" w:ascii="宋体" w:hAnsi="宋体"/>
          <w:b/>
          <w:color w:val="000000" w:themeColor="text1"/>
          <w:sz w:val="28"/>
          <w:highlight w:val="none"/>
          <w14:textFill>
            <w14:solidFill>
              <w14:schemeClr w14:val="tx1"/>
            </w14:solidFill>
          </w14:textFill>
        </w:rPr>
        <w:t>2.1 初步评审标准</w:t>
      </w:r>
      <w:bookmarkEnd w:id="294"/>
      <w:bookmarkEnd w:id="295"/>
    </w:p>
    <w:p>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2.1.1 形式评审标准：见评标办法前附表。</w:t>
      </w:r>
    </w:p>
    <w:p>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2.1.2 资格评审标准：见评标办法前附表。</w:t>
      </w:r>
    </w:p>
    <w:p>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2.1.3 响应性评审标准：见评标办法前附表。</w:t>
      </w:r>
    </w:p>
    <w:p>
      <w:pPr>
        <w:spacing w:before="240" w:beforeLines="100" w:after="240" w:afterLines="100" w:line="360" w:lineRule="exact"/>
        <w:rPr>
          <w:rFonts w:ascii="宋体" w:hAnsi="宋体"/>
          <w:b/>
          <w:strike/>
          <w:color w:val="000000" w:themeColor="text1"/>
          <w:sz w:val="28"/>
          <w:highlight w:val="none"/>
          <w14:textFill>
            <w14:solidFill>
              <w14:schemeClr w14:val="tx1"/>
            </w14:solidFill>
          </w14:textFill>
        </w:rPr>
      </w:pPr>
      <w:bookmarkStart w:id="296" w:name="_Toc515205259"/>
      <w:bookmarkStart w:id="297" w:name="_Toc529196586"/>
      <w:r>
        <w:rPr>
          <w:rFonts w:hint="eastAsia" w:ascii="宋体" w:hAnsi="宋体"/>
          <w:b/>
          <w:strike/>
          <w:color w:val="000000" w:themeColor="text1"/>
          <w:sz w:val="28"/>
          <w:highlight w:val="none"/>
          <w14:textFill>
            <w14:solidFill>
              <w14:schemeClr w14:val="tx1"/>
            </w14:solidFill>
          </w14:textFill>
        </w:rPr>
        <w:t>2.2 分值构成与评分标准</w:t>
      </w:r>
      <w:bookmarkEnd w:id="296"/>
      <w:bookmarkEnd w:id="297"/>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2.2.1 分值构成：</w:t>
      </w:r>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（1）资信业绩部分：见评标办法前附表；</w:t>
      </w:r>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（2）监理大纲部分：见评标办法前附表；</w:t>
      </w:r>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（3）投标报价：见评标办法前附表；</w:t>
      </w:r>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（4）其他评分因素：见评标办法前附表。</w:t>
      </w:r>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2.2.2 评标基准价计算</w:t>
      </w:r>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评标基准价计算方法：见评标办法前附表。</w:t>
      </w:r>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2.2.3 投标报价的偏差率计算</w:t>
      </w:r>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投标报价的偏差率计算公式：见评标办法前附表。</w:t>
      </w:r>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2.2.4 评分标准</w:t>
      </w:r>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（1）资信业绩评分标准：见评标办法前附表；</w:t>
      </w:r>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（2）监理大纲评分标准：见评标办法前附表；</w:t>
      </w:r>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（3）投标报价评分标准：见评标办法前附表；</w:t>
      </w:r>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（4）其他因素评分标准：见评标办法前附表。</w:t>
      </w:r>
    </w:p>
    <w:p>
      <w:pPr>
        <w:ind w:firstLine="420" w:firstLineChars="200"/>
        <w:rPr>
          <w:rFonts w:ascii="Times New Roman" w:hAnsi="Times New Roman"/>
          <w:color w:val="000000" w:themeColor="text1"/>
          <w:highlight w:val="none"/>
          <w14:textFill>
            <w14:solidFill>
              <w14:schemeClr w14:val="tx1"/>
            </w14:solidFill>
          </w14:textFill>
        </w:rPr>
      </w:pPr>
    </w:p>
    <w:p>
      <w:pPr>
        <w:spacing w:before="120" w:beforeLines="50" w:line="360" w:lineRule="exact"/>
        <w:outlineLvl w:val="2"/>
        <w:rPr>
          <w:rFonts w:ascii="宋体" w:hAnsi="宋体"/>
          <w:b/>
          <w:color w:val="000000" w:themeColor="text1"/>
          <w:sz w:val="32"/>
          <w:highlight w:val="none"/>
          <w14:textFill>
            <w14:solidFill>
              <w14:schemeClr w14:val="tx1"/>
            </w14:solidFill>
          </w14:textFill>
        </w:rPr>
      </w:pPr>
      <w:bookmarkStart w:id="298" w:name="_Toc515205260"/>
      <w:bookmarkStart w:id="299" w:name="_Toc529196587"/>
      <w:r>
        <w:rPr>
          <w:rFonts w:hint="eastAsia" w:ascii="宋体" w:hAnsi="宋体"/>
          <w:b/>
          <w:color w:val="000000" w:themeColor="text1"/>
          <w:sz w:val="32"/>
          <w:highlight w:val="none"/>
          <w14:textFill>
            <w14:solidFill>
              <w14:schemeClr w14:val="tx1"/>
            </w14:solidFill>
          </w14:textFill>
        </w:rPr>
        <w:t>3. 评标程序</w:t>
      </w:r>
      <w:bookmarkEnd w:id="298"/>
      <w:bookmarkEnd w:id="299"/>
    </w:p>
    <w:p>
      <w:pPr>
        <w:spacing w:before="240" w:beforeLines="100" w:after="240" w:afterLines="100" w:line="360" w:lineRule="exact"/>
        <w:rPr>
          <w:rFonts w:ascii="宋体" w:hAnsi="宋体"/>
          <w:b/>
          <w:color w:val="000000" w:themeColor="text1"/>
          <w:sz w:val="28"/>
          <w:highlight w:val="none"/>
          <w14:textFill>
            <w14:solidFill>
              <w14:schemeClr w14:val="tx1"/>
            </w14:solidFill>
          </w14:textFill>
        </w:rPr>
      </w:pPr>
      <w:bookmarkStart w:id="300" w:name="_Toc515205261"/>
      <w:bookmarkStart w:id="301" w:name="_Toc529196588"/>
      <w:r>
        <w:rPr>
          <w:rFonts w:hint="eastAsia" w:ascii="宋体" w:hAnsi="宋体"/>
          <w:b/>
          <w:color w:val="000000" w:themeColor="text1"/>
          <w:sz w:val="28"/>
          <w:highlight w:val="none"/>
          <w14:textFill>
            <w14:solidFill>
              <w14:schemeClr w14:val="tx1"/>
            </w14:solidFill>
          </w14:textFill>
        </w:rPr>
        <w:t>3.1 初步评审</w:t>
      </w:r>
      <w:bookmarkEnd w:id="300"/>
      <w:bookmarkEnd w:id="301"/>
    </w:p>
    <w:p>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3.1.2 投标人有以下情形之一的，评标委员会应当否决其投标：</w:t>
      </w:r>
    </w:p>
    <w:p>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（1）投标文件没有对招标文件的实质性要求和条件作出响应，或者对招标文件的偏差超出招标文件规定的偏差范围或最高项数；</w:t>
      </w:r>
    </w:p>
    <w:p>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（2）有串通投标、弄虚作假、行贿等违法行为。</w:t>
      </w:r>
    </w:p>
    <w:p>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3.1.3 投标报价有算术错误及其他错误的，评标委员会按以下原则要求投标人对投标报价进行修正，并要求投标人书面澄清确认。投标人拒不澄清确认的，评标委员会应当否决其投标：</w:t>
      </w:r>
    </w:p>
    <w:p>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（1）投标文件中的大写金额与小写金额不一致的，以大写金额为准；</w:t>
      </w:r>
    </w:p>
    <w:p>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（2）总价金额与单价金额不一致的，以单价金额为准，但单价金额小数点有明显错误的除外。</w:t>
      </w:r>
    </w:p>
    <w:p>
      <w:pPr>
        <w:spacing w:before="168" w:beforeLines="70" w:after="168" w:afterLines="70" w:line="360" w:lineRule="exact"/>
        <w:rPr>
          <w:rFonts w:ascii="宋体" w:hAnsi="宋体"/>
          <w:b/>
          <w:strike/>
          <w:color w:val="000000" w:themeColor="text1"/>
          <w:sz w:val="28"/>
          <w:highlight w:val="none"/>
          <w14:textFill>
            <w14:solidFill>
              <w14:schemeClr w14:val="tx1"/>
            </w14:solidFill>
          </w14:textFill>
        </w:rPr>
      </w:pPr>
      <w:bookmarkStart w:id="302" w:name="_Toc515205262"/>
      <w:bookmarkStart w:id="303" w:name="_Toc529196589"/>
      <w:r>
        <w:rPr>
          <w:rFonts w:hint="eastAsia" w:ascii="宋体" w:hAnsi="宋体"/>
          <w:b/>
          <w:strike/>
          <w:color w:val="000000" w:themeColor="text1"/>
          <w:sz w:val="28"/>
          <w:highlight w:val="none"/>
          <w14:textFill>
            <w14:solidFill>
              <w14:schemeClr w14:val="tx1"/>
            </w14:solidFill>
          </w14:textFill>
        </w:rPr>
        <w:t>3.2 详细评审</w:t>
      </w:r>
      <w:bookmarkEnd w:id="302"/>
      <w:bookmarkEnd w:id="303"/>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3.2.1 评标委员会按本章第2.2款规定的量化因素和分值进行打分，并计算出综合评估得分。</w:t>
      </w:r>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（1）按本章第 2.2.4（1）目规定的评审因素和分值对资信业绩部分计算出得分 A；</w:t>
      </w:r>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（2）按本章第 2.2.4（2）目规定的评审因素和分值对监理大纲部分计算出得分 B；</w:t>
      </w:r>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（3）按本章第 2.2.4（3）目规定的评审因素和分值对投标报价计算出得分 C；</w:t>
      </w:r>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（4）按本章第 2.2.4（4）目规定的评审因素和分值对其他部分计算出得分 D。</w:t>
      </w:r>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3.2.2 评分分值计算保留小数点后两位，小数点后第三位“四舍五入”。</w:t>
      </w:r>
    </w:p>
    <w:p>
      <w:pPr>
        <w:spacing w:line="360" w:lineRule="exact"/>
        <w:ind w:firstLine="420" w:firstLineChars="200"/>
        <w:rPr>
          <w:rFonts w:ascii="宋体" w:hAnsi="宋体"/>
          <w:strike/>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3.2.3 投标人得分=A+B+C+D</w:t>
      </w:r>
    </w:p>
    <w:p>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strike/>
          <w:color w:val="000000" w:themeColor="text1"/>
          <w:highlight w:val="none"/>
          <w14:textFill>
            <w14:solidFill>
              <w14:schemeClr w14:val="tx1"/>
            </w14:solidFill>
          </w14:textFill>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before="168" w:beforeLines="70" w:after="168" w:afterLines="70" w:line="360" w:lineRule="exact"/>
        <w:rPr>
          <w:rFonts w:ascii="宋体" w:hAnsi="宋体"/>
          <w:b/>
          <w:color w:val="000000" w:themeColor="text1"/>
          <w:sz w:val="28"/>
          <w:highlight w:val="none"/>
          <w14:textFill>
            <w14:solidFill>
              <w14:schemeClr w14:val="tx1"/>
            </w14:solidFill>
          </w14:textFill>
        </w:rPr>
      </w:pPr>
      <w:bookmarkStart w:id="304" w:name="_Toc529196590"/>
      <w:bookmarkStart w:id="305" w:name="_Toc515205263"/>
      <w:r>
        <w:rPr>
          <w:rFonts w:hint="eastAsia" w:ascii="宋体" w:hAnsi="宋体"/>
          <w:b/>
          <w:color w:val="000000" w:themeColor="text1"/>
          <w:sz w:val="28"/>
          <w:highlight w:val="none"/>
          <w14:textFill>
            <w14:solidFill>
              <w14:schemeClr w14:val="tx1"/>
            </w14:solidFill>
          </w14:textFill>
        </w:rPr>
        <w:t>3.3 投标文件的澄清</w:t>
      </w:r>
      <w:bookmarkEnd w:id="304"/>
      <w:bookmarkEnd w:id="305"/>
    </w:p>
    <w:p>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3.3.2 澄清、说明或补正不得超出投标文件的范围且不得改变投标文件的实质性内容，并构成投标文件的组成部分。</w:t>
      </w:r>
    </w:p>
    <w:p>
      <w:pPr>
        <w:spacing w:line="36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3.3.3 评标委员会对投标人提交的澄清、说明或补正有疑问的，可以要求投标人进一步澄清、说明或补正，直至满足评标委员会的要求。</w:t>
      </w:r>
    </w:p>
    <w:p>
      <w:pPr>
        <w:spacing w:before="168" w:beforeLines="70" w:after="168" w:afterLines="70" w:line="360" w:lineRule="exact"/>
        <w:rPr>
          <w:rFonts w:ascii="宋体" w:hAnsi="宋体"/>
          <w:b/>
          <w:color w:val="000000" w:themeColor="text1"/>
          <w:sz w:val="28"/>
          <w:highlight w:val="none"/>
          <w14:textFill>
            <w14:solidFill>
              <w14:schemeClr w14:val="tx1"/>
            </w14:solidFill>
          </w14:textFill>
        </w:rPr>
      </w:pPr>
      <w:bookmarkStart w:id="306" w:name="_Toc529196591"/>
      <w:bookmarkStart w:id="307" w:name="_Toc515205264"/>
      <w:r>
        <w:rPr>
          <w:rFonts w:hint="eastAsia" w:ascii="宋体" w:hAnsi="宋体"/>
          <w:b/>
          <w:color w:val="000000" w:themeColor="text1"/>
          <w:sz w:val="28"/>
          <w:highlight w:val="none"/>
          <w14:textFill>
            <w14:solidFill>
              <w14:schemeClr w14:val="tx1"/>
            </w14:solidFill>
          </w14:textFill>
        </w:rPr>
        <w:t>3.4 评标结果</w:t>
      </w:r>
      <w:bookmarkEnd w:id="306"/>
      <w:bookmarkEnd w:id="307"/>
    </w:p>
    <w:p>
      <w:pPr>
        <w:spacing w:line="360" w:lineRule="exact"/>
        <w:ind w:firstLine="420" w:firstLineChars="200"/>
        <w:rPr>
          <w:rFonts w:ascii="宋体" w:hAnsi="宋体"/>
          <w:b/>
          <w:strike/>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3.4.1 </w:t>
      </w:r>
      <w:r>
        <w:rPr>
          <w:rFonts w:hint="eastAsia" w:ascii="宋体" w:hAnsi="宋体"/>
          <w:color w:val="000000" w:themeColor="text1"/>
          <w:highlight w:val="none"/>
          <w:u w:val="single"/>
          <w14:textFill>
            <w14:solidFill>
              <w14:schemeClr w14:val="tx1"/>
            </w14:solidFill>
          </w14:textFill>
        </w:rPr>
        <w:t>评标委员会按照招标文件规定完成初步评审</w:t>
      </w:r>
      <w:r>
        <w:rPr>
          <w:rFonts w:hint="eastAsia" w:ascii="宋体" w:hAnsi="宋体" w:cs="宋体"/>
          <w:color w:val="000000" w:themeColor="text1"/>
          <w:highlight w:val="none"/>
          <w:u w:val="single"/>
          <w14:textFill>
            <w14:solidFill>
              <w14:schemeClr w14:val="tx1"/>
            </w14:solidFill>
          </w14:textFill>
        </w:rPr>
        <w:t>（形式评审、资格评审、响应性评审）</w:t>
      </w:r>
      <w:r>
        <w:rPr>
          <w:rFonts w:hint="eastAsia" w:ascii="宋体" w:hAnsi="宋体"/>
          <w:color w:val="000000" w:themeColor="text1"/>
          <w:highlight w:val="none"/>
          <w:u w:val="single"/>
          <w14:textFill>
            <w14:solidFill>
              <w14:schemeClr w14:val="tx1"/>
            </w14:solidFill>
          </w14:textFill>
        </w:rPr>
        <w:t>，向招标人推荐合格的中标候选人，进入定标阶段【不排序，按其统一社会信用代码后4位（除校验码外）大小进行排位】。合格的中标候选人少于</w:t>
      </w:r>
      <w:r>
        <w:rPr>
          <w:rFonts w:ascii="宋体" w:hAnsi="宋体"/>
          <w:color w:val="000000" w:themeColor="text1"/>
          <w:highlight w:val="none"/>
          <w:u w:val="single"/>
          <w14:textFill>
            <w14:solidFill>
              <w14:schemeClr w14:val="tx1"/>
            </w14:solidFill>
          </w14:textFill>
        </w:rPr>
        <w:t>3</w:t>
      </w:r>
      <w:r>
        <w:rPr>
          <w:rFonts w:hint="eastAsia" w:ascii="宋体" w:hAnsi="宋体"/>
          <w:color w:val="000000" w:themeColor="text1"/>
          <w:highlight w:val="none"/>
          <w:u w:val="single"/>
          <w14:textFill>
            <w14:solidFill>
              <w14:schemeClr w14:val="tx1"/>
            </w14:solidFill>
          </w14:textFill>
        </w:rPr>
        <w:t>家的，应当重新招标。</w:t>
      </w:r>
    </w:p>
    <w:p>
      <w:pPr>
        <w:spacing w:line="360" w:lineRule="exact"/>
        <w:ind w:firstLine="482"/>
        <w:rPr>
          <w:rFonts w:ascii="宋体" w:hAnsi="宋体"/>
          <w:b/>
          <w:color w:val="000000" w:themeColor="text1"/>
          <w:sz w:val="30"/>
          <w:szCs w:val="3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3.4.2 </w:t>
      </w:r>
      <w:r>
        <w:rPr>
          <w:rFonts w:ascii="宋体" w:hAnsi="宋体"/>
          <w:color w:val="000000" w:themeColor="text1"/>
          <w:szCs w:val="21"/>
          <w:highlight w:val="none"/>
          <w:u w:val="single"/>
          <w14:textFill>
            <w14:solidFill>
              <w14:schemeClr w14:val="tx1"/>
            </w14:solidFill>
          </w14:textFill>
        </w:rPr>
        <w:t>评标委员会完成评标后，应当向招标人提交书面评标报告和</w:t>
      </w:r>
      <w:r>
        <w:rPr>
          <w:rFonts w:hint="eastAsia" w:ascii="宋体" w:hAnsi="宋体"/>
          <w:color w:val="000000" w:themeColor="text1"/>
          <w:szCs w:val="21"/>
          <w:highlight w:val="none"/>
          <w:u w:val="single"/>
          <w14:textFill>
            <w14:solidFill>
              <w14:schemeClr w14:val="tx1"/>
            </w14:solidFill>
          </w14:textFill>
        </w:rPr>
        <w:t>合格的</w:t>
      </w:r>
      <w:r>
        <w:rPr>
          <w:rFonts w:ascii="宋体" w:hAnsi="宋体"/>
          <w:color w:val="000000" w:themeColor="text1"/>
          <w:szCs w:val="21"/>
          <w:highlight w:val="none"/>
          <w:u w:val="single"/>
          <w14:textFill>
            <w14:solidFill>
              <w14:schemeClr w14:val="tx1"/>
            </w14:solidFill>
          </w14:textFill>
        </w:rPr>
        <w:t>中标候选人名单</w:t>
      </w:r>
      <w:r>
        <w:rPr>
          <w:rFonts w:hint="eastAsia" w:ascii="宋体" w:hAnsi="宋体"/>
          <w:color w:val="000000" w:themeColor="text1"/>
          <w:highlight w:val="none"/>
          <w14:textFill>
            <w14:solidFill>
              <w14:schemeClr w14:val="tx1"/>
            </w14:solidFill>
          </w14:textFill>
        </w:rPr>
        <w:t>。</w:t>
      </w:r>
    </w:p>
    <w:p>
      <w:pPr>
        <w:spacing w:before="240" w:beforeLines="100" w:line="360" w:lineRule="auto"/>
        <w:outlineLvl w:val="2"/>
        <w:rPr>
          <w:rFonts w:ascii="宋体" w:hAnsi="宋体"/>
          <w:b/>
          <w:color w:val="000000" w:themeColor="text1"/>
          <w:szCs w:val="21"/>
          <w:highlight w:val="none"/>
          <w:u w:val="single"/>
          <w14:textFill>
            <w14:solidFill>
              <w14:schemeClr w14:val="tx1"/>
            </w14:solidFill>
          </w14:textFill>
        </w:rPr>
      </w:pPr>
    </w:p>
    <w:p>
      <w:pPr>
        <w:spacing w:before="120" w:beforeLines="50" w:line="360" w:lineRule="exact"/>
        <w:outlineLvl w:val="2"/>
        <w:rPr>
          <w:rFonts w:ascii="宋体" w:hAnsi="宋体"/>
          <w:b/>
          <w:color w:val="000000" w:themeColor="text1"/>
          <w:sz w:val="32"/>
          <w:highlight w:val="none"/>
          <w14:textFill>
            <w14:solidFill>
              <w14:schemeClr w14:val="tx1"/>
            </w14:solidFill>
          </w14:textFill>
        </w:rPr>
      </w:pPr>
      <w:r>
        <w:rPr>
          <w:rFonts w:hint="eastAsia" w:ascii="宋体" w:hAnsi="宋体"/>
          <w:b/>
          <w:color w:val="000000" w:themeColor="text1"/>
          <w:sz w:val="32"/>
          <w:highlight w:val="none"/>
          <w:u w:val="single"/>
          <w14:textFill>
            <w14:solidFill>
              <w14:schemeClr w14:val="tx1"/>
            </w14:solidFill>
          </w14:textFill>
        </w:rPr>
        <w:t>4.定标</w:t>
      </w:r>
      <w:r>
        <w:rPr>
          <w:rFonts w:ascii="宋体" w:hAnsi="宋体"/>
          <w:b/>
          <w:color w:val="000000" w:themeColor="text1"/>
          <w:sz w:val="32"/>
          <w:highlight w:val="none"/>
          <w:u w:val="single"/>
          <w14:textFill>
            <w14:solidFill>
              <w14:schemeClr w14:val="tx1"/>
            </w14:solidFill>
          </w14:textFill>
        </w:rPr>
        <w:t>原则</w:t>
      </w:r>
    </w:p>
    <w:p>
      <w:pPr>
        <w:spacing w:line="360" w:lineRule="exact"/>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4.1本项目定标办法采用“记名投票+撰写评语”。定标委员会成员根据评标过程资料，对比合格的中标候选人的投标文件等情况，综合考虑各中标候选人的情况，根据定标因素</w:t>
      </w:r>
      <w:r>
        <w:rPr>
          <w:rFonts w:hint="eastAsia" w:ascii="宋体" w:hAnsi="宋体" w:cs="宋体"/>
          <w:color w:val="000000" w:themeColor="text1"/>
          <w:szCs w:val="21"/>
          <w:highlight w:val="none"/>
          <w:u w:val="single"/>
          <w14:textFill>
            <w14:solidFill>
              <w14:schemeClr w14:val="tx1"/>
            </w14:solidFill>
          </w14:textFill>
        </w:rPr>
        <w:t>（详见《定标因素表》）</w:t>
      </w:r>
      <w:r>
        <w:rPr>
          <w:rFonts w:hint="eastAsia" w:ascii="宋体" w:hAnsi="宋体"/>
          <w:color w:val="000000" w:themeColor="text1"/>
          <w:szCs w:val="21"/>
          <w:highlight w:val="none"/>
          <w:u w:val="single"/>
          <w14:textFill>
            <w14:solidFill>
              <w14:schemeClr w14:val="tx1"/>
            </w14:solidFill>
          </w14:textFill>
        </w:rPr>
        <w:t>对各合格的中标候选人进行评审比较后，采用</w:t>
      </w:r>
      <w:r>
        <w:rPr>
          <w:rFonts w:hint="eastAsia" w:ascii="宋体" w:hAnsi="宋体" w:cs="宋体"/>
          <w:color w:val="000000" w:themeColor="text1"/>
          <w:szCs w:val="21"/>
          <w:highlight w:val="none"/>
          <w:u w:val="single"/>
          <w14:textFill>
            <w14:solidFill>
              <w14:schemeClr w14:val="tx1"/>
            </w14:solidFill>
          </w14:textFill>
        </w:rPr>
        <w:t>直接票决定标法</w:t>
      </w:r>
      <w:r>
        <w:rPr>
          <w:rFonts w:hint="eastAsia" w:ascii="宋体" w:hAnsi="宋体"/>
          <w:color w:val="000000" w:themeColor="text1"/>
          <w:szCs w:val="21"/>
          <w:highlight w:val="none"/>
          <w:u w:val="single"/>
          <w14:textFill>
            <w14:solidFill>
              <w14:schemeClr w14:val="tx1"/>
            </w14:solidFill>
          </w14:textFill>
        </w:rPr>
        <w:t>“记名投票+撰写评语”方式确定中标人。</w:t>
      </w:r>
    </w:p>
    <w:p>
      <w:pPr>
        <w:spacing w:line="360" w:lineRule="exact"/>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4.2定标细则</w:t>
      </w:r>
    </w:p>
    <w:p>
      <w:pPr>
        <w:spacing w:line="360" w:lineRule="exact"/>
        <w:ind w:firstLine="420" w:firstLineChars="200"/>
        <w:rPr>
          <w:rFonts w:hint="eastAsia" w:ascii="宋体" w:hAnsi="宋体" w:cs="宋体"/>
          <w:color w:val="000000" w:themeColor="text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定标委员会根据评标委员会递交的评标报告和定标因素（详见《定标因素表》），对各</w:t>
      </w:r>
      <w:r>
        <w:rPr>
          <w:rFonts w:ascii="宋体" w:hAnsi="宋体" w:cs="宋体"/>
          <w:color w:val="000000" w:themeColor="text1"/>
          <w:szCs w:val="21"/>
          <w:highlight w:val="none"/>
          <w:u w:val="single"/>
          <w14:textFill>
            <w14:solidFill>
              <w14:schemeClr w14:val="tx1"/>
            </w14:solidFill>
          </w14:textFill>
        </w:rPr>
        <w:t>合格中标</w:t>
      </w:r>
      <w:r>
        <w:rPr>
          <w:rFonts w:hint="eastAsia" w:ascii="宋体" w:hAnsi="宋体" w:cs="宋体"/>
          <w:color w:val="000000" w:themeColor="text1"/>
          <w:szCs w:val="21"/>
          <w:highlight w:val="none"/>
          <w:u w:val="single"/>
          <w14:textFill>
            <w14:solidFill>
              <w14:schemeClr w14:val="tx1"/>
            </w14:solidFill>
          </w14:textFill>
        </w:rPr>
        <w:t>候选人的投标文件</w:t>
      </w:r>
      <w:r>
        <w:rPr>
          <w:rFonts w:hint="eastAsia" w:ascii="宋体" w:hAnsi="宋体" w:cs="宋体"/>
          <w:color w:val="000000" w:themeColor="text1"/>
          <w:highlight w:val="none"/>
          <w:u w:val="single"/>
          <w14:textFill>
            <w14:solidFill>
              <w14:schemeClr w14:val="tx1"/>
            </w14:solidFill>
          </w14:textFill>
        </w:rPr>
        <w:t>进行评审比较并撰写评语和记名投票，汇总确认选票情况，编写并提交定标报告。</w:t>
      </w:r>
      <w:r>
        <w:rPr>
          <w:rFonts w:hint="eastAsia" w:ascii="宋体" w:hAnsi="宋体"/>
          <w:color w:val="000000" w:themeColor="text1"/>
          <w:szCs w:val="21"/>
          <w:highlight w:val="none"/>
          <w:u w:val="single"/>
          <w14:textFill>
            <w14:solidFill>
              <w14:schemeClr w14:val="tx1"/>
            </w14:solidFill>
          </w14:textFill>
        </w:rPr>
        <w:t>定标报告由定标委员会全体成员签字，对定标结论持有异议的成员应以书面方式阐述其不同意见和理由。</w:t>
      </w:r>
    </w:p>
    <w:p>
      <w:pPr>
        <w:spacing w:line="360" w:lineRule="exact"/>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投票规则：由定标委员会</w:t>
      </w:r>
      <w:r>
        <w:rPr>
          <w:rFonts w:hint="eastAsia" w:ascii="宋体" w:hAnsi="宋体" w:cs="宋体"/>
          <w:color w:val="000000" w:themeColor="text1"/>
          <w:highlight w:val="none"/>
          <w:u w:val="single"/>
          <w14:textFill>
            <w14:solidFill>
              <w14:schemeClr w14:val="tx1"/>
            </w14:solidFill>
          </w14:textFill>
        </w:rPr>
        <w:t>进行评审比较并撰写评语和记名投票</w:t>
      </w:r>
      <w:r>
        <w:rPr>
          <w:rFonts w:hint="eastAsia" w:ascii="宋体" w:hAnsi="宋体" w:cs="宋体"/>
          <w:color w:val="000000" w:themeColor="text1"/>
          <w:szCs w:val="21"/>
          <w:highlight w:val="none"/>
          <w:u w:val="single"/>
          <w14:textFill>
            <w14:solidFill>
              <w14:schemeClr w14:val="tx1"/>
            </w14:solidFill>
          </w14:textFill>
        </w:rPr>
        <w:t>，进行一轮一次性票决并排序，每位定标委员会成员只有1票表决权（即只能对其中一家投标人投票），经票决，</w:t>
      </w:r>
      <w:r>
        <w:rPr>
          <w:rFonts w:hint="eastAsia" w:ascii="宋体" w:hAnsi="宋体" w:cs="宋体"/>
          <w:color w:val="000000" w:themeColor="text1"/>
          <w:highlight w:val="none"/>
          <w:u w:val="single"/>
          <w14:textFill>
            <w14:solidFill>
              <w14:schemeClr w14:val="tx1"/>
            </w14:solidFill>
          </w14:textFill>
        </w:rPr>
        <w:t>定标委员会向招标人推荐</w:t>
      </w:r>
      <w:r>
        <w:rPr>
          <w:rFonts w:hint="eastAsia" w:ascii="宋体" w:hAnsi="宋体" w:cs="宋体"/>
          <w:color w:val="000000" w:themeColor="text1"/>
          <w:szCs w:val="21"/>
          <w:highlight w:val="none"/>
          <w:u w:val="single"/>
          <w14:textFill>
            <w14:solidFill>
              <w14:schemeClr w14:val="tx1"/>
            </w14:solidFill>
          </w14:textFill>
        </w:rPr>
        <w:t>得票数最多的合格中标候选人为中标人，若出现票数相同且无法票决出中标人时，票数相同的再进行附加的一次性票决，直至票决出中标人。</w:t>
      </w:r>
    </w:p>
    <w:p>
      <w:pPr>
        <w:spacing w:line="360" w:lineRule="exact"/>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定标委员会向招标人提交书面定标报告后即解散，定标过程中使用的文件、表格以及其他资料不得私自带离。</w:t>
      </w:r>
    </w:p>
    <w:p>
      <w:pPr>
        <w:spacing w:line="360" w:lineRule="exact"/>
        <w:jc w:val="center"/>
        <w:rPr>
          <w:rFonts w:hint="eastAsia" w:ascii="宋体" w:hAnsi="宋体"/>
          <w:b/>
          <w:bCs/>
          <w:color w:val="000000" w:themeColor="text1"/>
          <w:sz w:val="28"/>
          <w:szCs w:val="28"/>
          <w:highlight w:val="none"/>
          <w:u w:val="single"/>
          <w14:textFill>
            <w14:solidFill>
              <w14:schemeClr w14:val="tx1"/>
            </w14:solidFill>
          </w14:textFill>
        </w:rPr>
      </w:pPr>
      <w:r>
        <w:rPr>
          <w:rFonts w:hint="eastAsia" w:ascii="宋体" w:hAnsi="宋体" w:cs="宋体"/>
          <w:b/>
          <w:bCs/>
          <w:color w:val="000000" w:themeColor="text1"/>
          <w:sz w:val="28"/>
          <w:szCs w:val="28"/>
          <w:highlight w:val="none"/>
          <w:u w:val="single"/>
          <w14:textFill>
            <w14:solidFill>
              <w14:schemeClr w14:val="tx1"/>
            </w14:solidFill>
          </w14:textFill>
        </w:rPr>
        <w:t>定标因素表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19"/>
        <w:gridCol w:w="6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bidi="ar"/>
                <w14:textFill>
                  <w14:solidFill>
                    <w14:schemeClr w14:val="tx1"/>
                  </w14:solidFill>
                </w14:textFill>
              </w:rPr>
              <w:t>序号</w:t>
            </w:r>
          </w:p>
        </w:tc>
        <w:tc>
          <w:tcPr>
            <w:tcW w:w="1719"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bidi="ar"/>
                <w14:textFill>
                  <w14:solidFill>
                    <w14:schemeClr w14:val="tx1"/>
                  </w14:solidFill>
                </w14:textFill>
              </w:rPr>
              <w:t>评审因素</w:t>
            </w:r>
          </w:p>
        </w:tc>
        <w:tc>
          <w:tcPr>
            <w:tcW w:w="656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bidi="ar"/>
                <w14:textFill>
                  <w14:solidFill>
                    <w14:schemeClr w14:val="tx1"/>
                  </w14:solidFill>
                </w14:textFill>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1</w:t>
            </w:r>
          </w:p>
        </w:tc>
        <w:tc>
          <w:tcPr>
            <w:tcW w:w="1719"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资信因素</w:t>
            </w:r>
          </w:p>
        </w:tc>
        <w:tc>
          <w:tcPr>
            <w:tcW w:w="6561"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对合格的中标候选人企业综合能力及信誉、业绩、获奖情况进行评审。</w:t>
            </w:r>
          </w:p>
          <w:p>
            <w:pPr>
              <w:spacing w:line="36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（1）管理体系认证：具备有效期内的质量管理体系认证、环境管理体系认证、职业健康安全管理体系认证、信息安全管理体系认证、知识产权管理体系认证的情况：</w:t>
            </w:r>
          </w:p>
          <w:p>
            <w:pPr>
              <w:spacing w:line="36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【优】同时具备上述5项的。</w:t>
            </w:r>
          </w:p>
          <w:p>
            <w:pPr>
              <w:spacing w:line="36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【中】具备上述其中3项（含本数）以上的。</w:t>
            </w:r>
          </w:p>
          <w:p>
            <w:pPr>
              <w:spacing w:line="36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【差】具备上述其中3项（不含本数）以下的，或不具备的。</w:t>
            </w:r>
          </w:p>
          <w:p>
            <w:pPr>
              <w:spacing w:line="360" w:lineRule="exact"/>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注：需</w:t>
            </w:r>
            <w:r>
              <w:rPr>
                <w:rFonts w:hint="eastAsia" w:ascii="宋体" w:hAnsi="宋体" w:cs="宋体"/>
                <w:color w:val="000000" w:themeColor="text1"/>
                <w:kern w:val="0"/>
                <w:szCs w:val="21"/>
                <w:highlight w:val="none"/>
                <w:u w:val="single"/>
                <w14:textFill>
                  <w14:solidFill>
                    <w14:schemeClr w14:val="tx1"/>
                  </w14:solidFill>
                </w14:textFill>
              </w:rPr>
              <w:t>同时提供</w:t>
            </w:r>
            <w:r>
              <w:rPr>
                <w:rFonts w:hint="eastAsia" w:ascii="宋体" w:hAnsi="宋体" w:cs="宋体"/>
                <w:color w:val="000000" w:themeColor="text1"/>
                <w:szCs w:val="21"/>
                <w:highlight w:val="none"/>
                <w:u w:val="single"/>
                <w:lang w:bidi="ar"/>
                <w14:textFill>
                  <w14:solidFill>
                    <w14:schemeClr w14:val="tx1"/>
                  </w14:solidFill>
                </w14:textFill>
              </w:rPr>
              <w:t>①有效期内的</w:t>
            </w:r>
            <w:r>
              <w:rPr>
                <w:rFonts w:hint="eastAsia" w:ascii="宋体" w:hAnsi="宋体" w:cs="宋体"/>
                <w:color w:val="000000" w:themeColor="text1"/>
                <w:kern w:val="0"/>
                <w:szCs w:val="21"/>
                <w:highlight w:val="none"/>
                <w:u w:val="single"/>
                <w14:textFill>
                  <w14:solidFill>
                    <w14:schemeClr w14:val="tx1"/>
                  </w14:solidFill>
                </w14:textFill>
              </w:rPr>
              <w:t>认证证书</w:t>
            </w:r>
            <w:r>
              <w:rPr>
                <w:rFonts w:hint="eastAsia" w:ascii="宋体" w:hAnsi="宋体" w:cs="宋体"/>
                <w:color w:val="000000" w:themeColor="text1"/>
                <w:szCs w:val="21"/>
                <w:highlight w:val="none"/>
                <w:u w:val="single"/>
                <w:lang w:bidi="ar"/>
                <w14:textFill>
                  <w14:solidFill>
                    <w14:schemeClr w14:val="tx1"/>
                  </w14:solidFill>
                </w14:textFill>
              </w:rPr>
              <w:t>；②</w:t>
            </w:r>
            <w:r>
              <w:rPr>
                <w:rFonts w:hint="eastAsia" w:ascii="宋体" w:hAnsi="宋体" w:cs="宋体"/>
                <w:color w:val="000000" w:themeColor="text1"/>
                <w:kern w:val="0"/>
                <w:szCs w:val="21"/>
                <w:highlight w:val="none"/>
                <w:u w:val="single"/>
                <w14:textFill>
                  <w14:solidFill>
                    <w14:schemeClr w14:val="tx1"/>
                  </w14:solidFill>
                </w14:textFill>
              </w:rPr>
              <w:t>全国认证认可信息公共服务平台（http://cx.cnca.cn/）查询结果网页截图。</w:t>
            </w:r>
          </w:p>
          <w:p>
            <w:pPr>
              <w:spacing w:line="36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（2）纳税信用：曾获评“纳税信用A级纳税人”称号（须含2023评审年度）的情况：</w:t>
            </w:r>
          </w:p>
          <w:p>
            <w:pPr>
              <w:spacing w:line="36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【优】获评5个（含本数）以上年度的。</w:t>
            </w:r>
          </w:p>
          <w:p>
            <w:pPr>
              <w:spacing w:line="36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【中】获评3个（含本数）-5个（不含本数）年度的。</w:t>
            </w:r>
          </w:p>
          <w:p>
            <w:pPr>
              <w:spacing w:line="36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【差】获评3个（不含本数）以下年度的，或未获评的。</w:t>
            </w:r>
          </w:p>
          <w:p>
            <w:pPr>
              <w:spacing w:line="36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注：</w:t>
            </w:r>
            <w:r>
              <w:rPr>
                <w:rFonts w:hint="eastAsia" w:ascii="宋体" w:hAnsi="宋体" w:cs="宋体"/>
                <w:color w:val="000000" w:themeColor="text1"/>
                <w:kern w:val="0"/>
                <w:szCs w:val="21"/>
                <w:highlight w:val="none"/>
                <w:u w:val="single"/>
                <w14:textFill>
                  <w14:solidFill>
                    <w14:schemeClr w14:val="tx1"/>
                  </w14:solidFill>
                </w14:textFill>
              </w:rPr>
              <w:t>需提供纳税信用A级纳税人证书或省级（或以上）国家税务局官网（含在国家税务局官网单列的城市）纳税信用信息查询结果的网页截图。时间以证书或网页截图上注明的公示评价（评定）年度为准；只计算投标人自身，不计算投标人的分公司、子公司和分支机构。</w:t>
            </w:r>
          </w:p>
          <w:p>
            <w:pPr>
              <w:spacing w:line="360" w:lineRule="exac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（3）类似项目业绩：2021年1月1日至今完成过质量合格的类似监理业绩情况：</w:t>
            </w:r>
          </w:p>
          <w:p>
            <w:pPr>
              <w:spacing w:line="36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【优】完成5个（含本数）以上的。</w:t>
            </w:r>
          </w:p>
          <w:p>
            <w:pPr>
              <w:spacing w:line="36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【中】完成3个（含本数）-5个（不含本数）的。</w:t>
            </w:r>
          </w:p>
          <w:p>
            <w:pPr>
              <w:spacing w:line="36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【差】完成3个（不含本数）以下的，或没有完成的。</w:t>
            </w:r>
          </w:p>
          <w:p>
            <w:pPr>
              <w:spacing w:line="36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注：类似监理业绩是指中标金额大于或等于</w:t>
            </w:r>
            <w:r>
              <w:rPr>
                <w:rFonts w:hint="eastAsia" w:ascii="宋体" w:hAnsi="宋体" w:cs="宋体"/>
                <w:color w:val="000000" w:themeColor="text1"/>
                <w:szCs w:val="21"/>
                <w:highlight w:val="none"/>
                <w:u w:val="single"/>
                <w:lang w:val="en-US" w:eastAsia="zh-CN" w:bidi="ar"/>
                <w14:textFill>
                  <w14:solidFill>
                    <w14:schemeClr w14:val="tx1"/>
                  </w14:solidFill>
                </w14:textFill>
              </w:rPr>
              <w:t>400</w:t>
            </w:r>
            <w:r>
              <w:rPr>
                <w:rFonts w:hint="eastAsia" w:ascii="宋体" w:hAnsi="宋体" w:cs="宋体"/>
                <w:color w:val="000000" w:themeColor="text1"/>
                <w:szCs w:val="21"/>
                <w:highlight w:val="none"/>
                <w:u w:val="single"/>
                <w:lang w:bidi="ar"/>
                <w14:textFill>
                  <w14:solidFill>
                    <w14:schemeClr w14:val="tx1"/>
                  </w14:solidFill>
                </w14:textFill>
              </w:rPr>
              <w:t>万元的房屋建筑工程监理业绩，需同时提供①中标通知书或免招标的相关证明；②合同关键页（含签订合同双方的单位名称、服务内容、签订合同双方的盖章页、签订时间）；</w:t>
            </w:r>
            <w:r>
              <w:rPr>
                <w:rFonts w:ascii="宋体" w:hAnsi="宋体" w:cs="宋体"/>
                <w:color w:val="000000" w:themeColor="text1"/>
                <w:szCs w:val="21"/>
                <w:highlight w:val="none"/>
                <w:u w:val="single"/>
                <w:lang w:bidi="ar"/>
                <w14:textFill>
                  <w14:solidFill>
                    <w14:schemeClr w14:val="tx1"/>
                  </w14:solidFill>
                </w14:textFill>
              </w:rPr>
              <w:t>③</w:t>
            </w:r>
            <w:r>
              <w:rPr>
                <w:rFonts w:hint="eastAsia" w:ascii="宋体" w:hAnsi="宋体" w:cs="宋体"/>
                <w:color w:val="000000" w:themeColor="text1"/>
                <w:szCs w:val="21"/>
                <w:highlight w:val="none"/>
                <w:u w:val="single"/>
                <w:lang w:bidi="ar"/>
                <w14:textFill>
                  <w14:solidFill>
                    <w14:schemeClr w14:val="tx1"/>
                  </w14:solidFill>
                </w14:textFill>
              </w:rPr>
              <w:t>竣工验收报告或竣工验收证明。业绩时间以竣工验收报告或竣工验收证明出具时间为准；中标金额以中标通知书为准，中标通知书上没有金额或免招标的，以监理合同（不含补充合同）为准。</w:t>
            </w:r>
          </w:p>
          <w:p>
            <w:pPr>
              <w:spacing w:line="360" w:lineRule="exact"/>
              <w:rPr>
                <w:rFonts w:hint="eastAsia" w:ascii="宋体" w:hAnsi="宋体" w:cs="宋体"/>
                <w:color w:val="000000" w:themeColor="text1"/>
                <w:szCs w:val="21"/>
                <w:highlight w:val="none"/>
                <w:u w:val="single"/>
                <w:lang w:bidi="ar"/>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（4）项目获奖情况：2021年1月1日至今监理的房屋建筑工程获得市级(含副省级)或以上奖项的情况：</w:t>
            </w:r>
          </w:p>
          <w:p>
            <w:pPr>
              <w:spacing w:line="36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【优】获得5个（含本数）以上的。</w:t>
            </w:r>
          </w:p>
          <w:p>
            <w:pPr>
              <w:spacing w:line="36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【中】获得3个（含本数）-5个（不含本数）的。</w:t>
            </w:r>
          </w:p>
          <w:p>
            <w:pPr>
              <w:spacing w:line="36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【差】获得3个（不含本数）以下的，或没有获得的。</w:t>
            </w:r>
          </w:p>
          <w:p>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注：需提供获奖证书等证明材料。获奖时间以获奖证明文件注明时间为准。国家级奖项包括中国建设工程鲁班奖、中国土木工程詹天佑奖、国家优质工程奖、国家优质工程金质奖等；省级或市级奖项指由建设行政主管部门或行业协会（学会）颁发的工程质量类奖项；非工程质量类获奖不予计分。同一工程项目获得多个奖项的，按最高获奖等级计算，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2</w:t>
            </w:r>
          </w:p>
        </w:tc>
        <w:tc>
          <w:tcPr>
            <w:tcW w:w="1719"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方案因素</w:t>
            </w:r>
          </w:p>
        </w:tc>
        <w:tc>
          <w:tcPr>
            <w:tcW w:w="6561"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对各阶段监理工作方案、对本项目重点及难点分析及解决措施等监理大纲内容的合理性、可行性进行评审：</w:t>
            </w:r>
          </w:p>
          <w:p>
            <w:pPr>
              <w:spacing w:line="36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优】监理工作目标明确，监理工作依据、制度、流程完善；监理工作内容及管理手段合理可行、措施具体；针对本项目建设特点进行监理的重点难点分析、提出相关解决技术措施方案、措施，内容全面具体、针对性强。</w:t>
            </w:r>
          </w:p>
          <w:p>
            <w:pPr>
              <w:spacing w:line="360" w:lineRule="exac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【中】监理工作目标较明确，监理工作依据、制度、流程基本完善；监理工作内容及管理手段基本合理可行；能针对本项目建设特点进行监理的重点难点分析、提出相关解决技术措施方案，内容基本合理。</w:t>
            </w:r>
          </w:p>
          <w:p>
            <w:pPr>
              <w:spacing w:line="36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【差】监理工作目标不明确，监理工作依据、制度、流程不完善；监理工作内容及管理手段不合理；监理的重点难点分析、提出相关解决技术措施方案、措施内容不全面、或缺乏针对性。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3</w:t>
            </w:r>
          </w:p>
        </w:tc>
        <w:tc>
          <w:tcPr>
            <w:tcW w:w="1719"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团队因素</w:t>
            </w:r>
          </w:p>
        </w:tc>
        <w:tc>
          <w:tcPr>
            <w:tcW w:w="6561"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cs="宋体"/>
                <w:color w:val="000000" w:themeColor="text1"/>
                <w:szCs w:val="21"/>
                <w:highlight w:val="none"/>
                <w:u w:val="single"/>
                <w:lang w:bidi="ar"/>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【优】拟投入监理机构人员配备合理，优于招标文件《监理机构人员配备要求表》基本要求，人员技术水平高。</w:t>
            </w:r>
          </w:p>
          <w:p>
            <w:pPr>
              <w:spacing w:line="360" w:lineRule="exact"/>
              <w:rPr>
                <w:rFonts w:hint="eastAsia" w:ascii="宋体" w:hAnsi="宋体" w:cs="宋体"/>
                <w:color w:val="000000" w:themeColor="text1"/>
                <w:szCs w:val="21"/>
                <w:highlight w:val="none"/>
                <w:u w:val="single"/>
                <w:lang w:bidi="ar"/>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【中】拟投入监理机构人员配备较合理，满足招标文件《监理机构人员配备要求表》基本要求，人员技术水平较高。</w:t>
            </w:r>
          </w:p>
          <w:p>
            <w:pPr>
              <w:spacing w:line="360" w:lineRule="exact"/>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【差】拟投入监理机构人员配备不合理，不满足招标文件《监理机构人员配备要求表》基本要求。</w:t>
            </w:r>
            <w:r>
              <w:rPr>
                <w:rFonts w:hint="eastAsia" w:ascii="宋体" w:hAnsi="宋体" w:cs="宋体"/>
                <w:color w:val="000000" w:themeColor="text1"/>
                <w:kern w:val="0"/>
                <w:szCs w:val="21"/>
                <w:highlight w:val="none"/>
                <w:lang w:bidi="ar"/>
                <w14:textFill>
                  <w14:solidFill>
                    <w14:schemeClr w14:val="tx1"/>
                  </w14:solidFill>
                </w14:textFill>
              </w:rPr>
              <w:t xml:space="preserve"> </w:t>
            </w:r>
          </w:p>
        </w:tc>
      </w:tr>
    </w:tbl>
    <w:p>
      <w:pPr>
        <w:spacing w:line="360" w:lineRule="exact"/>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4.3定标后出现中标人不符合法定情形的，招标人可从其他合格的中标候选人中采用原定标办法，由原定标委员会确定中标人，也可以重新招标。</w:t>
      </w:r>
    </w:p>
    <w:p>
      <w:pPr>
        <w:spacing w:line="360" w:lineRule="exact"/>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因质疑或投诉生效，需要重新评标或定标的，评标、定标信息（含业绩、奖项等）仍以投标截止时投标人的信息为准。因特殊原因需要延长投标有效期，投标人拒绝延长投标有效期的，仍参与评标、定标，但不被推荐为中标人。</w:t>
      </w:r>
    </w:p>
    <w:p>
      <w:pPr>
        <w:spacing w:line="360" w:lineRule="exact"/>
        <w:ind w:firstLine="420" w:firstLineChars="200"/>
        <w:rPr>
          <w:color w:val="000000" w:themeColor="text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投标人如在本项目中存在串通投标、弄虚作假、行贿情形且在评标过程中未被发现的，其投标不改变本项目评标结果。招标人按照《中华人民共和国招标投标法实施条例》第五十五条的规定确定中标人或重新招标。</w:t>
      </w:r>
    </w:p>
    <w:p>
      <w:pPr>
        <w:spacing w:before="120" w:beforeLines="50" w:line="360" w:lineRule="exact"/>
        <w:outlineLvl w:val="2"/>
        <w:rPr>
          <w:rFonts w:ascii="宋体" w:hAnsi="宋体"/>
          <w:b/>
          <w:color w:val="000000" w:themeColor="text1"/>
          <w:szCs w:val="21"/>
          <w:highlight w:val="none"/>
          <w:u w:val="single"/>
          <w14:textFill>
            <w14:solidFill>
              <w14:schemeClr w14:val="tx1"/>
            </w14:solidFill>
          </w14:textFill>
        </w:rPr>
      </w:pPr>
    </w:p>
    <w:p>
      <w:pPr>
        <w:spacing w:before="120" w:beforeLines="50" w:line="360" w:lineRule="exact"/>
        <w:outlineLvl w:val="2"/>
        <w:rPr>
          <w:rFonts w:hint="eastAsia" w:ascii="宋体" w:hAnsi="宋体"/>
          <w:b/>
          <w:color w:val="000000" w:themeColor="text1"/>
          <w:sz w:val="32"/>
          <w:highlight w:val="none"/>
          <w:u w:val="single"/>
          <w14:textFill>
            <w14:solidFill>
              <w14:schemeClr w14:val="tx1"/>
            </w14:solidFill>
          </w14:textFill>
        </w:rPr>
      </w:pPr>
      <w:r>
        <w:rPr>
          <w:rFonts w:hint="eastAsia" w:ascii="宋体" w:hAnsi="宋体"/>
          <w:b/>
          <w:color w:val="000000" w:themeColor="text1"/>
          <w:sz w:val="32"/>
          <w:highlight w:val="none"/>
          <w:u w:val="single"/>
          <w14:textFill>
            <w14:solidFill>
              <w14:schemeClr w14:val="tx1"/>
            </w14:solidFill>
          </w14:textFill>
        </w:rPr>
        <w:t>5.定标表格</w:t>
      </w:r>
    </w:p>
    <w:p>
      <w:pPr>
        <w:spacing w:line="360" w:lineRule="exact"/>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见后附表。</w:t>
      </w:r>
    </w:p>
    <w:p>
      <w:pPr>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定标委员评语表</w:t>
      </w:r>
    </w:p>
    <w:p>
      <w:pPr>
        <w:pStyle w:val="138"/>
        <w:rPr>
          <w:rFonts w:hint="eastAsia" w:ascii="宋体" w:hAnsi="宋体" w:cs="宋体"/>
          <w:color w:val="000000" w:themeColor="text1"/>
          <w:highlight w:val="none"/>
          <w14:textFill>
            <w14:solidFill>
              <w14:schemeClr w14:val="tx1"/>
            </w14:solidFill>
          </w14:textFill>
        </w:rPr>
      </w:pPr>
    </w:p>
    <w:p>
      <w:pPr>
        <w:pStyle w:val="138"/>
        <w:spacing w:line="360" w:lineRule="auto"/>
        <w:jc w:val="left"/>
        <w:rPr>
          <w:rFonts w:hint="eastAsia" w:ascii="宋体" w:hAnsi="宋体" w:cs="宋体"/>
          <w:b w:val="0"/>
          <w:color w:val="000000" w:themeColor="text1"/>
          <w:szCs w:val="21"/>
          <w:highlight w:val="none"/>
          <w14:textFill>
            <w14:solidFill>
              <w14:schemeClr w14:val="tx1"/>
            </w14:solidFill>
          </w14:textFill>
        </w:rPr>
      </w:pPr>
      <w:r>
        <w:rPr>
          <w:rFonts w:hint="eastAsia" w:ascii="宋体" w:hAnsi="宋体" w:cs="宋体"/>
          <w:b w:val="0"/>
          <w:color w:val="000000" w:themeColor="text1"/>
          <w:szCs w:val="21"/>
          <w:highlight w:val="none"/>
          <w14:textFill>
            <w14:solidFill>
              <w14:schemeClr w14:val="tx1"/>
            </w14:solidFill>
          </w14:textFill>
        </w:rPr>
        <w:t>项目名称：</w:t>
      </w:r>
    </w:p>
    <w:p>
      <w:pPr>
        <w:pStyle w:val="138"/>
        <w:spacing w:line="360" w:lineRule="auto"/>
        <w:jc w:val="left"/>
        <w:rPr>
          <w:rFonts w:hint="eastAsia" w:ascii="宋体" w:hAnsi="宋体" w:cs="宋体"/>
          <w:b w:val="0"/>
          <w:color w:val="000000" w:themeColor="text1"/>
          <w:szCs w:val="21"/>
          <w:highlight w:val="none"/>
          <w14:textFill>
            <w14:solidFill>
              <w14:schemeClr w14:val="tx1"/>
            </w14:solidFill>
          </w14:textFill>
        </w:rPr>
      </w:pPr>
      <w:r>
        <w:rPr>
          <w:rFonts w:hint="eastAsia" w:ascii="宋体" w:hAnsi="宋体" w:cs="宋体"/>
          <w:b w:val="0"/>
          <w:color w:val="000000" w:themeColor="text1"/>
          <w:szCs w:val="21"/>
          <w:highlight w:val="none"/>
          <w14:textFill>
            <w14:solidFill>
              <w14:schemeClr w14:val="tx1"/>
            </w14:solidFill>
          </w14:textFill>
        </w:rPr>
        <w:t>合格中标候选人名称：</w:t>
      </w:r>
    </w:p>
    <w:tbl>
      <w:tblPr>
        <w:tblStyle w:val="46"/>
        <w:tblW w:w="9197"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374"/>
        <w:gridCol w:w="1767"/>
        <w:gridCol w:w="2266"/>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序号</w:t>
            </w:r>
          </w:p>
        </w:tc>
        <w:tc>
          <w:tcPr>
            <w:tcW w:w="31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定标因素</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定标因素结论</w:t>
            </w:r>
          </w:p>
        </w:tc>
        <w:tc>
          <w:tcPr>
            <w:tcW w:w="29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定标委员评语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73"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w:t>
            </w:r>
          </w:p>
        </w:tc>
        <w:tc>
          <w:tcPr>
            <w:tcW w:w="1374"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资信因素</w:t>
            </w:r>
          </w:p>
        </w:tc>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管理体系认证</w:t>
            </w: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□优</w:t>
            </w:r>
          </w:p>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□中</w:t>
            </w:r>
          </w:p>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□差</w:t>
            </w:r>
          </w:p>
        </w:tc>
        <w:tc>
          <w:tcPr>
            <w:tcW w:w="291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73"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374"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纳税信用</w:t>
            </w: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□优</w:t>
            </w:r>
          </w:p>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□中</w:t>
            </w:r>
          </w:p>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□差</w:t>
            </w:r>
          </w:p>
        </w:tc>
        <w:tc>
          <w:tcPr>
            <w:tcW w:w="291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73"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374" w:type="dxa"/>
            <w:vMerge w:val="continue"/>
            <w:tcBorders>
              <w:left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类似项目业绩</w:t>
            </w: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□优</w:t>
            </w:r>
          </w:p>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□中</w:t>
            </w:r>
          </w:p>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□差</w:t>
            </w:r>
          </w:p>
        </w:tc>
        <w:tc>
          <w:tcPr>
            <w:tcW w:w="291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73" w:type="dxa"/>
            <w:vMerge w:val="continue"/>
            <w:tcBorders>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374" w:type="dxa"/>
            <w:vMerge w:val="continue"/>
            <w:tcBorders>
              <w:left w:val="single" w:color="auto" w:sz="4" w:space="0"/>
              <w:bottom w:val="single" w:color="auto" w:sz="4" w:space="0"/>
              <w:right w:val="single" w:color="auto" w:sz="4" w:space="0"/>
            </w:tcBorders>
            <w:vAlign w:val="center"/>
          </w:tcPr>
          <w:p>
            <w:pPr>
              <w:rPr>
                <w:color w:val="000000" w:themeColor="text1"/>
                <w:highlight w:val="none"/>
                <w14:textFill>
                  <w14:solidFill>
                    <w14:schemeClr w14:val="tx1"/>
                  </w14:solidFill>
                </w14:textFill>
              </w:rPr>
            </w:pPr>
          </w:p>
        </w:tc>
        <w:tc>
          <w:tcPr>
            <w:tcW w:w="17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项目获奖情况</w:t>
            </w: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□优</w:t>
            </w:r>
          </w:p>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□中</w:t>
            </w:r>
          </w:p>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□差</w:t>
            </w:r>
          </w:p>
        </w:tc>
        <w:tc>
          <w:tcPr>
            <w:tcW w:w="291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73" w:type="dxa"/>
            <w:tcBorders>
              <w:left w:val="single" w:color="auto" w:sz="4" w:space="0"/>
              <w:bottom w:val="single" w:color="auto" w:sz="4" w:space="0"/>
              <w:right w:val="single" w:color="auto" w:sz="4" w:space="0"/>
            </w:tcBorders>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3141" w:type="dxa"/>
            <w:gridSpan w:val="2"/>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000000" w:themeColor="text1"/>
                <w:sz w:val="22"/>
                <w:highlight w:val="none"/>
                <w:lang w:val="zh-CN"/>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方案因素</w:t>
            </w: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□优</w:t>
            </w:r>
          </w:p>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□中</w:t>
            </w:r>
          </w:p>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□差</w:t>
            </w:r>
          </w:p>
        </w:tc>
        <w:tc>
          <w:tcPr>
            <w:tcW w:w="291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73" w:type="dxa"/>
            <w:tcBorders>
              <w:left w:val="single" w:color="auto" w:sz="4" w:space="0"/>
              <w:bottom w:val="single" w:color="auto" w:sz="4" w:space="0"/>
              <w:right w:val="single" w:color="auto" w:sz="4" w:space="0"/>
            </w:tcBorders>
            <w:vAlign w:val="center"/>
          </w:tcPr>
          <w:p>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3141" w:type="dxa"/>
            <w:gridSpan w:val="2"/>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000000" w:themeColor="text1"/>
                <w:sz w:val="22"/>
                <w:highlight w:val="none"/>
                <w:lang w:val="zh-CN"/>
                <w14:textFill>
                  <w14:solidFill>
                    <w14:schemeClr w14:val="tx1"/>
                  </w14:solidFill>
                </w14:textFill>
              </w:rPr>
            </w:pPr>
            <w:r>
              <w:rPr>
                <w:rFonts w:hint="eastAsia" w:ascii="宋体" w:hAnsi="宋体" w:cs="宋体"/>
                <w:color w:val="000000" w:themeColor="text1"/>
                <w:szCs w:val="21"/>
                <w:highlight w:val="none"/>
                <w:u w:val="single"/>
                <w:lang w:bidi="ar"/>
                <w14:textFill>
                  <w14:solidFill>
                    <w14:schemeClr w14:val="tx1"/>
                  </w14:solidFill>
                </w14:textFill>
              </w:rPr>
              <w:t>团队因素</w:t>
            </w:r>
          </w:p>
        </w:tc>
        <w:tc>
          <w:tcPr>
            <w:tcW w:w="22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□优</w:t>
            </w:r>
          </w:p>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□中</w:t>
            </w:r>
          </w:p>
          <w:p>
            <w:pPr>
              <w:spacing w:line="360" w:lineRule="auto"/>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□差</w:t>
            </w:r>
          </w:p>
        </w:tc>
        <w:tc>
          <w:tcPr>
            <w:tcW w:w="291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280" w:type="dxa"/>
            <w:gridSpan w:val="4"/>
            <w:tcBorders>
              <w:top w:val="single" w:color="auto" w:sz="4" w:space="0"/>
              <w:left w:val="single" w:color="auto" w:sz="4" w:space="0"/>
              <w:bottom w:val="single" w:color="auto" w:sz="4" w:space="0"/>
              <w:right w:val="single" w:color="auto" w:sz="4" w:space="0"/>
            </w:tcBorders>
            <w:vAlign w:val="center"/>
          </w:tcPr>
          <w:p>
            <w:pPr>
              <w:pStyle w:val="12"/>
              <w:ind w:firstLine="2530" w:firstLineChars="1200"/>
              <w:rPr>
                <w:rFonts w:hint="eastAsia" w:cs="宋体"/>
                <w:bCs/>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结论</w:t>
            </w:r>
          </w:p>
        </w:tc>
        <w:tc>
          <w:tcPr>
            <w:tcW w:w="29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□优   □中   □差</w:t>
            </w:r>
          </w:p>
        </w:tc>
      </w:tr>
    </w:tbl>
    <w:p>
      <w:pPr>
        <w:spacing w:line="360" w:lineRule="auto"/>
        <w:ind w:left="316" w:hanging="316" w:hangingChars="150"/>
        <w:jc w:val="left"/>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注：定标委员须根据合格中标候选人的投标文件在定标因素结论中进行勾选，并按相应的定标因素填写评语。</w:t>
      </w:r>
    </w:p>
    <w:p>
      <w:pPr>
        <w:adjustRightInd w:val="0"/>
        <w:snapToGrid w:val="0"/>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定标委员签名：                                            日期：</w:t>
      </w:r>
    </w:p>
    <w:p>
      <w:pPr>
        <w:adjustRightInd w:val="0"/>
        <w:snapToGrid w:val="0"/>
        <w:spacing w:line="360" w:lineRule="auto"/>
        <w:ind w:firstLine="562" w:firstLineChars="200"/>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直接票决定标选票表（定标阶段）</w:t>
      </w:r>
    </w:p>
    <w:p>
      <w:pPr>
        <w:adjustRightInd w:val="0"/>
        <w:snapToGrid w:val="0"/>
        <w:spacing w:line="360" w:lineRule="auto"/>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w:t>
      </w:r>
      <w:r>
        <w:rPr>
          <w:rFonts w:hint="eastAsia" w:ascii="宋体" w:hAnsi="宋体" w:cs="宋体"/>
          <w:color w:val="000000" w:themeColor="text1"/>
          <w:kern w:val="0"/>
          <w:highlight w:val="none"/>
          <w14:textFill>
            <w14:solidFill>
              <w14:schemeClr w14:val="tx1"/>
            </w14:solidFill>
          </w14:textFill>
        </w:rPr>
        <w:t>名称：</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6"/>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支持的投标人名称</w:t>
            </w:r>
          </w:p>
        </w:tc>
        <w:tc>
          <w:tcPr>
            <w:tcW w:w="299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2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299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bl>
    <w:p>
      <w:pPr>
        <w:pStyle w:val="139"/>
        <w:rPr>
          <w:rFonts w:hint="eastAsia"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定标委员签名：                                            日期：</w:t>
      </w:r>
    </w:p>
    <w:p>
      <w:pPr>
        <w:adjustRightInd w:val="0"/>
        <w:snapToGrid w:val="0"/>
        <w:spacing w:line="360" w:lineRule="auto"/>
        <w:rPr>
          <w:rFonts w:hint="eastAsia" w:ascii="宋体" w:hAnsi="宋体" w:cs="宋体"/>
          <w:color w:val="000000" w:themeColor="text1"/>
          <w:kern w:val="0"/>
          <w:highlight w:val="none"/>
          <w14:textFill>
            <w14:solidFill>
              <w14:schemeClr w14:val="tx1"/>
            </w14:solidFill>
          </w14:textFill>
        </w:rPr>
      </w:pPr>
    </w:p>
    <w:p>
      <w:pPr>
        <w:adjustRightInd w:val="0"/>
        <w:snapToGrid w:val="0"/>
        <w:spacing w:line="360" w:lineRule="auto"/>
        <w:rPr>
          <w:rFonts w:hint="eastAsia" w:ascii="宋体" w:hAnsi="宋体" w:cs="宋体"/>
          <w:b/>
          <w:color w:val="000000" w:themeColor="text1"/>
          <w:kern w:val="0"/>
          <w:highlight w:val="none"/>
          <w14:textFill>
            <w14:solidFill>
              <w14:schemeClr w14:val="tx1"/>
            </w14:solidFill>
          </w14:textFill>
        </w:rPr>
      </w:pPr>
      <w:r>
        <w:rPr>
          <w:rFonts w:hint="eastAsia" w:ascii="宋体" w:hAnsi="宋体" w:cs="宋体"/>
          <w:b/>
          <w:color w:val="000000" w:themeColor="text1"/>
          <w:kern w:val="0"/>
          <w:highlight w:val="none"/>
          <w14:textFill>
            <w14:solidFill>
              <w14:schemeClr w14:val="tx1"/>
            </w14:solidFill>
          </w14:textFill>
        </w:rPr>
        <w:t>注：由定标委员会成员进行投票，各定标委员会成员只能支持一家投标人。</w:t>
      </w:r>
    </w:p>
    <w:p>
      <w:pPr>
        <w:adjustRightInd w:val="0"/>
        <w:snapToGrid w:val="0"/>
        <w:spacing w:line="360" w:lineRule="auto"/>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w:t>
      </w:r>
    </w:p>
    <w:p>
      <w:pPr>
        <w:pStyle w:val="139"/>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color w:val="000000" w:themeColor="text1"/>
          <w:sz w:val="36"/>
          <w:szCs w:val="36"/>
          <w:highlight w:val="none"/>
          <w14:textFill>
            <w14:solidFill>
              <w14:schemeClr w14:val="tx1"/>
            </w14:solidFill>
          </w14:textFill>
        </w:rPr>
        <w:t>直接票决定标选票汇总表（定标阶段）</w:t>
      </w:r>
    </w:p>
    <w:p>
      <w:pPr>
        <w:pStyle w:val="139"/>
        <w:rPr>
          <w:rFonts w:hint="eastAsia" w:ascii="宋体" w:hAnsi="宋体" w:eastAsia="宋体" w:cs="宋体"/>
          <w:color w:val="000000" w:themeColor="text1"/>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w:t>
      </w:r>
      <w:r>
        <w:rPr>
          <w:rFonts w:hint="eastAsia" w:ascii="宋体" w:hAnsi="宋体" w:cs="宋体"/>
          <w:color w:val="000000" w:themeColor="text1"/>
          <w:kern w:val="0"/>
          <w:szCs w:val="21"/>
          <w:highlight w:val="none"/>
          <w14:textFill>
            <w14:solidFill>
              <w14:schemeClr w14:val="tx1"/>
            </w14:solidFill>
          </w14:textFill>
        </w:rPr>
        <w:t>名称：</w:t>
      </w:r>
    </w:p>
    <w:tbl>
      <w:tblPr>
        <w:tblStyle w:val="4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4020"/>
        <w:gridCol w:w="3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序号</w:t>
            </w:r>
          </w:p>
        </w:tc>
        <w:tc>
          <w:tcPr>
            <w:tcW w:w="4131" w:type="dxa"/>
            <w:tcBorders>
              <w:top w:val="single" w:color="auto" w:sz="4"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投标人名称</w:t>
            </w:r>
          </w:p>
        </w:tc>
        <w:tc>
          <w:tcPr>
            <w:tcW w:w="3885"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得票数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4131"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38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4131"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38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4131"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38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4131"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388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4131" w:type="dxa"/>
            <w:tcBorders>
              <w:top w:val="single" w:color="auto" w:sz="6" w:space="0"/>
              <w:left w:val="single" w:color="auto" w:sz="4" w:space="0"/>
              <w:bottom w:val="single" w:color="auto" w:sz="4" w:space="0"/>
              <w:right w:val="single" w:color="auto" w:sz="6" w:space="0"/>
            </w:tcBorders>
            <w:vAlign w:val="center"/>
          </w:tcPr>
          <w:p>
            <w:pPr>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c>
          <w:tcPr>
            <w:tcW w:w="3885"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360" w:lineRule="auto"/>
              <w:jc w:val="center"/>
              <w:rPr>
                <w:rFonts w:hint="eastAsia" w:ascii="宋体" w:hAnsi="宋体" w:cs="宋体"/>
                <w:color w:val="000000" w:themeColor="text1"/>
                <w:kern w:val="0"/>
                <w:szCs w:val="21"/>
                <w:highlight w:val="none"/>
                <w14:textFill>
                  <w14:solidFill>
                    <w14:schemeClr w14:val="tx1"/>
                  </w14:solidFill>
                </w14:textFill>
              </w:rPr>
            </w:pPr>
          </w:p>
        </w:tc>
      </w:tr>
    </w:tbl>
    <w:p>
      <w:pPr>
        <w:rPr>
          <w:rFonts w:hint="eastAsia" w:ascii="宋体" w:hAnsi="宋体" w:cs="宋体"/>
          <w:color w:val="000000" w:themeColor="text1"/>
          <w:kern w:val="0"/>
          <w:szCs w:val="21"/>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定标委员签名：                                         日期：</w:t>
      </w:r>
    </w:p>
    <w:p>
      <w:pPr>
        <w:pStyle w:val="139"/>
        <w:rPr>
          <w:rFonts w:hint="eastAsia" w:ascii="宋体" w:hAnsi="宋体" w:eastAsia="宋体" w:cs="宋体"/>
          <w:color w:val="000000" w:themeColor="text1"/>
          <w:highlight w:val="none"/>
          <w14:textFill>
            <w14:solidFill>
              <w14:schemeClr w14:val="tx1"/>
            </w14:solidFill>
          </w14:textFill>
        </w:rPr>
      </w:pPr>
    </w:p>
    <w:p>
      <w:pPr>
        <w:pStyle w:val="139"/>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color w:val="000000" w:themeColor="text1"/>
          <w:sz w:val="36"/>
          <w:szCs w:val="36"/>
          <w:highlight w:val="none"/>
          <w14:textFill>
            <w14:solidFill>
              <w14:schemeClr w14:val="tx1"/>
            </w14:solidFill>
          </w14:textFill>
        </w:rPr>
        <w:t>附加直接票决定标选票表</w:t>
      </w:r>
    </w:p>
    <w:p>
      <w:pPr>
        <w:pStyle w:val="139"/>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（定标阶段-票数相同时定标委员会个人用表）</w:t>
      </w:r>
    </w:p>
    <w:p>
      <w:pPr>
        <w:pStyle w:val="139"/>
        <w:jc w:val="center"/>
        <w:rPr>
          <w:rFonts w:hint="eastAsia" w:ascii="宋体" w:hAnsi="宋体" w:eastAsia="宋体" w:cs="宋体"/>
          <w:b/>
          <w:color w:val="000000" w:themeColor="text1"/>
          <w:sz w:val="28"/>
          <w:szCs w:val="28"/>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w:t>
      </w:r>
      <w:r>
        <w:rPr>
          <w:rFonts w:hint="eastAsia" w:ascii="宋体" w:hAnsi="宋体" w:cs="宋体"/>
          <w:color w:val="000000" w:themeColor="text1"/>
          <w:kern w:val="0"/>
          <w:highlight w:val="none"/>
          <w14:textFill>
            <w14:solidFill>
              <w14:schemeClr w14:val="tx1"/>
            </w14:solidFill>
          </w14:textFill>
        </w:rPr>
        <w:t>名称：</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0"/>
        <w:gridCol w:w="220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cs="宋体"/>
                <w:b/>
                <w:bCs/>
                <w:color w:val="000000" w:themeColor="text1"/>
                <w:kern w:val="0"/>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投标人名称</w:t>
            </w:r>
          </w:p>
        </w:tc>
        <w:tc>
          <w:tcPr>
            <w:tcW w:w="19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cs="宋体"/>
                <w:color w:val="000000" w:themeColor="text1"/>
                <w:kern w:val="0"/>
                <w:highlight w:val="none"/>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cs="宋体"/>
                <w:color w:val="000000" w:themeColor="text1"/>
                <w:kern w:val="0"/>
                <w:highlight w:val="none"/>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cs="宋体"/>
                <w:color w:val="000000" w:themeColor="text1"/>
                <w:kern w:val="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1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票决意见</w:t>
            </w:r>
          </w:p>
        </w:tc>
        <w:tc>
          <w:tcPr>
            <w:tcW w:w="19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cs="宋体"/>
                <w:color w:val="000000" w:themeColor="text1"/>
                <w:kern w:val="0"/>
                <w:szCs w:val="21"/>
                <w:highlight w:val="none"/>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cs="宋体"/>
                <w:color w:val="000000" w:themeColor="text1"/>
                <w:kern w:val="0"/>
                <w:highlight w:val="none"/>
                <w14:textFill>
                  <w14:solidFill>
                    <w14:schemeClr w14:val="tx1"/>
                  </w14:solidFill>
                </w14:textFill>
              </w:rPr>
            </w:pPr>
          </w:p>
        </w:tc>
        <w:tc>
          <w:tcPr>
            <w:tcW w:w="22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cs="宋体"/>
                <w:color w:val="000000" w:themeColor="text1"/>
                <w:kern w:val="0"/>
                <w:highlight w:val="none"/>
                <w14:textFill>
                  <w14:solidFill>
                    <w14:schemeClr w14:val="tx1"/>
                  </w14:solidFill>
                </w14:textFill>
              </w:rPr>
            </w:pPr>
          </w:p>
        </w:tc>
      </w:tr>
    </w:tbl>
    <w:p>
      <w:pPr>
        <w:pStyle w:val="139"/>
        <w:rPr>
          <w:rFonts w:hint="eastAsia"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定标委员签名：                                            日期：</w:t>
      </w:r>
    </w:p>
    <w:p>
      <w:pPr>
        <w:pStyle w:val="139"/>
        <w:rPr>
          <w:rFonts w:hint="eastAsia" w:ascii="宋体" w:hAnsi="宋体" w:eastAsia="宋体" w:cs="宋体"/>
          <w:color w:val="000000" w:themeColor="text1"/>
          <w:highlight w:val="none"/>
          <w14:textFill>
            <w14:solidFill>
              <w14:schemeClr w14:val="tx1"/>
            </w14:solidFill>
          </w14:textFill>
        </w:rPr>
      </w:pPr>
    </w:p>
    <w:p>
      <w:pPr>
        <w:pStyle w:val="13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备注：</w:t>
      </w:r>
    </w:p>
    <w:p>
      <w:pPr>
        <w:pStyle w:val="139"/>
        <w:ind w:firstLine="42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1、本表用于投票出现票数相同的情况。</w:t>
      </w:r>
    </w:p>
    <w:p>
      <w:pPr>
        <w:pStyle w:val="139"/>
        <w:ind w:firstLine="42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由定标委员会成员进行附加投票，票决意见分别为“投票”或“不投票”，各定标委员会成员只有1票表决权（即只能对其中一名投标人“投票”），票决意见为“投票”的，用“○”表示；票决意见为“不投票”，用“×”表示。</w:t>
      </w:r>
    </w:p>
    <w:p>
      <w:pPr>
        <w:pStyle w:val="139"/>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color w:val="000000" w:themeColor="text1"/>
          <w:sz w:val="36"/>
          <w:szCs w:val="36"/>
          <w:highlight w:val="none"/>
          <w14:textFill>
            <w14:solidFill>
              <w14:schemeClr w14:val="tx1"/>
            </w14:solidFill>
          </w14:textFill>
        </w:rPr>
        <w:t>附加直接票决定标选票汇总表</w:t>
      </w:r>
    </w:p>
    <w:p>
      <w:pPr>
        <w:pStyle w:val="139"/>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（定标阶段-票数相同时定标委员会汇总用表）</w:t>
      </w:r>
    </w:p>
    <w:p>
      <w:pPr>
        <w:pStyle w:val="139"/>
        <w:jc w:val="center"/>
        <w:rPr>
          <w:rFonts w:hint="eastAsia" w:ascii="宋体" w:hAnsi="宋体" w:eastAsia="宋体" w:cs="宋体"/>
          <w:b/>
          <w:color w:val="000000" w:themeColor="text1"/>
          <w:sz w:val="28"/>
          <w:szCs w:val="28"/>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w:t>
      </w:r>
      <w:r>
        <w:rPr>
          <w:rFonts w:hint="eastAsia" w:ascii="宋体" w:hAnsi="宋体" w:cs="宋体"/>
          <w:color w:val="000000" w:themeColor="text1"/>
          <w:kern w:val="0"/>
          <w:highlight w:val="none"/>
          <w14:textFill>
            <w14:solidFill>
              <w14:schemeClr w14:val="tx1"/>
            </w14:solidFill>
          </w14:textFill>
        </w:rPr>
        <w:t>名称：</w:t>
      </w:r>
    </w:p>
    <w:tbl>
      <w:tblPr>
        <w:tblStyle w:val="4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509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5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投标人名称</w:t>
            </w: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得票数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5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highlight w:val="none"/>
                <w14:textFill>
                  <w14:solidFill>
                    <w14:schemeClr w14:val="tx1"/>
                  </w14:solidFill>
                </w14:textFill>
              </w:rPr>
            </w:pP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5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highlight w:val="none"/>
                <w14:textFill>
                  <w14:solidFill>
                    <w14:schemeClr w14:val="tx1"/>
                  </w14:solidFill>
                </w14:textFill>
              </w:rPr>
            </w:pP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5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highlight w:val="none"/>
                <w14:textFill>
                  <w14:solidFill>
                    <w14:schemeClr w14:val="tx1"/>
                  </w14:solidFill>
                </w14:textFill>
              </w:rPr>
            </w:pP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5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highlight w:val="none"/>
                <w14:textFill>
                  <w14:solidFill>
                    <w14:schemeClr w14:val="tx1"/>
                  </w14:solidFill>
                </w14:textFill>
              </w:rPr>
            </w:pP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52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highlight w:val="none"/>
                <w14:textFill>
                  <w14:solidFill>
                    <w14:schemeClr w14:val="tx1"/>
                  </w14:solidFill>
                </w14:textFill>
              </w:rPr>
            </w:pPr>
          </w:p>
        </w:tc>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highlight w:val="none"/>
                <w14:textFill>
                  <w14:solidFill>
                    <w14:schemeClr w14:val="tx1"/>
                  </w14:solidFill>
                </w14:textFill>
              </w:rPr>
            </w:pPr>
          </w:p>
        </w:tc>
      </w:tr>
    </w:tbl>
    <w:p>
      <w:pPr>
        <w:pStyle w:val="139"/>
        <w:rPr>
          <w:rFonts w:hint="eastAsia" w:ascii="宋体" w:hAnsi="宋体" w:eastAsia="宋体" w:cs="宋体"/>
          <w:color w:val="000000" w:themeColor="text1"/>
          <w:kern w:val="0"/>
          <w:szCs w:val="21"/>
          <w:highlight w:val="none"/>
          <w14:textFill>
            <w14:solidFill>
              <w14:schemeClr w14:val="tx1"/>
            </w14:solidFill>
          </w14:textFill>
        </w:rPr>
      </w:pPr>
    </w:p>
    <w:p>
      <w:pPr>
        <w:adjustRightInd w:val="0"/>
        <w:snapToGrid w:val="0"/>
        <w:spacing w:line="360" w:lineRule="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定标委员签名：                                            日期：</w:t>
      </w:r>
    </w:p>
    <w:p>
      <w:pPr>
        <w:pStyle w:val="139"/>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直接票决定标情况汇总表（定标阶段）</w:t>
      </w:r>
    </w:p>
    <w:p>
      <w:pPr>
        <w:adjustRightInd w:val="0"/>
        <w:snapToGrid w:val="0"/>
        <w:spacing w:line="360" w:lineRule="auto"/>
        <w:rPr>
          <w:rFonts w:hint="eastAsia"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w:t>
      </w:r>
      <w:r>
        <w:rPr>
          <w:rFonts w:hint="eastAsia" w:ascii="宋体" w:hAnsi="宋体" w:cs="宋体"/>
          <w:color w:val="000000" w:themeColor="text1"/>
          <w:kern w:val="0"/>
          <w:highlight w:val="none"/>
          <w14:textFill>
            <w14:solidFill>
              <w14:schemeClr w14:val="tx1"/>
            </w14:solidFill>
          </w14:textFill>
        </w:rPr>
        <w:t>名称：</w:t>
      </w:r>
    </w:p>
    <w:tbl>
      <w:tblPr>
        <w:tblStyle w:val="46"/>
        <w:tblW w:w="46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3432"/>
        <w:gridCol w:w="1763"/>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2048" w:type="pct"/>
            <w:tcBorders>
              <w:top w:val="single" w:color="auto" w:sz="4" w:space="0"/>
              <w:left w:val="nil"/>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投标人名称</w:t>
            </w:r>
          </w:p>
        </w:tc>
        <w:tc>
          <w:tcPr>
            <w:tcW w:w="1052" w:type="pct"/>
            <w:tcBorders>
              <w:top w:val="single" w:color="auto" w:sz="4" w:space="0"/>
              <w:left w:val="nil"/>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得票数</w:t>
            </w:r>
          </w:p>
        </w:tc>
        <w:tc>
          <w:tcPr>
            <w:tcW w:w="1313" w:type="pct"/>
            <w:tcBorders>
              <w:top w:val="single" w:color="auto" w:sz="4" w:space="0"/>
              <w:left w:val="nil"/>
              <w:bottom w:val="single" w:color="auto" w:sz="4" w:space="0"/>
              <w:right w:val="single" w:color="auto" w:sz="4" w:space="0"/>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是否被推荐为中标人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204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052"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313" w:type="pct"/>
            <w:tcBorders>
              <w:top w:val="single" w:color="auto" w:sz="4" w:space="0"/>
              <w:left w:val="nil"/>
              <w:bottom w:val="single" w:color="auto" w:sz="4" w:space="0"/>
              <w:right w:val="single" w:color="auto" w:sz="4" w:space="0"/>
            </w:tcBorders>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204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052"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313" w:type="pct"/>
            <w:tcBorders>
              <w:top w:val="single" w:color="auto" w:sz="4" w:space="0"/>
              <w:left w:val="nil"/>
              <w:bottom w:val="single" w:color="auto" w:sz="4" w:space="0"/>
              <w:right w:val="single" w:color="auto" w:sz="4" w:space="0"/>
            </w:tcBorders>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204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052"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313" w:type="pct"/>
            <w:tcBorders>
              <w:top w:val="single" w:color="auto" w:sz="4" w:space="0"/>
              <w:left w:val="nil"/>
              <w:bottom w:val="single" w:color="auto" w:sz="4" w:space="0"/>
              <w:right w:val="single" w:color="auto" w:sz="4" w:space="0"/>
            </w:tcBorders>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204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052"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313" w:type="pct"/>
            <w:tcBorders>
              <w:top w:val="single" w:color="auto" w:sz="4" w:space="0"/>
              <w:left w:val="nil"/>
              <w:bottom w:val="single" w:color="auto" w:sz="4" w:space="0"/>
              <w:right w:val="single" w:color="auto" w:sz="4" w:space="0"/>
            </w:tcBorders>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204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052"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313" w:type="pct"/>
            <w:tcBorders>
              <w:top w:val="single" w:color="auto" w:sz="4" w:space="0"/>
              <w:left w:val="nil"/>
              <w:bottom w:val="single" w:color="auto" w:sz="4" w:space="0"/>
              <w:right w:val="single" w:color="auto" w:sz="4" w:space="0"/>
            </w:tcBorders>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8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204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052"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313" w:type="pct"/>
            <w:tcBorders>
              <w:top w:val="single" w:color="auto" w:sz="4" w:space="0"/>
              <w:left w:val="nil"/>
              <w:bottom w:val="single" w:color="auto" w:sz="4" w:space="0"/>
              <w:right w:val="single" w:color="auto" w:sz="4" w:space="0"/>
            </w:tcBorders>
          </w:tcPr>
          <w:p>
            <w:pPr>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8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204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052"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themeColor="text1"/>
                <w:sz w:val="24"/>
                <w:szCs w:val="24"/>
                <w:highlight w:val="none"/>
                <w14:textFill>
                  <w14:solidFill>
                    <w14:schemeClr w14:val="tx1"/>
                  </w14:solidFill>
                </w14:textFill>
              </w:rPr>
            </w:pPr>
          </w:p>
        </w:tc>
        <w:tc>
          <w:tcPr>
            <w:tcW w:w="1313" w:type="pct"/>
            <w:tcBorders>
              <w:top w:val="single" w:color="auto" w:sz="4" w:space="0"/>
              <w:left w:val="nil"/>
              <w:bottom w:val="single" w:color="auto" w:sz="4" w:space="0"/>
              <w:right w:val="single" w:color="auto" w:sz="4" w:space="0"/>
            </w:tcBorders>
          </w:tcPr>
          <w:p>
            <w:pPr>
              <w:jc w:val="center"/>
              <w:rPr>
                <w:rFonts w:ascii="宋体" w:hAnsi="宋体" w:cs="宋体"/>
                <w:color w:val="000000" w:themeColor="text1"/>
                <w:sz w:val="24"/>
                <w:szCs w:val="24"/>
                <w:highlight w:val="none"/>
                <w14:textFill>
                  <w14:solidFill>
                    <w14:schemeClr w14:val="tx1"/>
                  </w14:solidFill>
                </w14:textFill>
              </w:rPr>
            </w:pPr>
          </w:p>
        </w:tc>
      </w:tr>
    </w:tbl>
    <w:p>
      <w:pPr>
        <w:pStyle w:val="139"/>
        <w:rPr>
          <w:rFonts w:ascii="宋体" w:hAnsi="宋体" w:eastAsia="宋体" w:cs="宋体"/>
          <w:color w:val="000000" w:themeColor="text1"/>
          <w:highlight w:val="none"/>
          <w14:textFill>
            <w14:solidFill>
              <w14:schemeClr w14:val="tx1"/>
            </w14:solidFill>
          </w14:textFill>
        </w:rPr>
      </w:pPr>
    </w:p>
    <w:p>
      <w:pPr>
        <w:adjustRightInd w:val="0"/>
        <w:snapToGrid w:val="0"/>
        <w:spacing w:line="360" w:lineRule="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定标委员签名：                                         日期：</w:t>
      </w:r>
    </w:p>
    <w:p>
      <w:pPr>
        <w:pStyle w:val="139"/>
        <w:rPr>
          <w:rFonts w:ascii="宋体" w:hAnsi="宋体" w:eastAsia="宋体" w:cs="宋体"/>
          <w:color w:val="000000" w:themeColor="text1"/>
          <w:highlight w:val="none"/>
          <w14:textFill>
            <w14:solidFill>
              <w14:schemeClr w14:val="tx1"/>
            </w14:solidFill>
          </w14:textFill>
        </w:rPr>
      </w:pPr>
    </w:p>
    <w:p>
      <w:pPr>
        <w:pStyle w:val="139"/>
        <w:rPr>
          <w:rFonts w:ascii="宋体" w:hAnsi="宋体" w:eastAsia="宋体" w:cs="宋体"/>
          <w:color w:val="000000" w:themeColor="text1"/>
          <w:highlight w:val="none"/>
          <w14:textFill>
            <w14:solidFill>
              <w14:schemeClr w14:val="tx1"/>
            </w14:solidFill>
          </w14:textFill>
        </w:rPr>
      </w:pPr>
    </w:p>
    <w:p>
      <w:pPr>
        <w:pStyle w:val="44"/>
        <w:spacing w:line="360" w:lineRule="auto"/>
        <w:ind w:firstLine="0"/>
        <w:rPr>
          <w:rFonts w:hint="eastAsia" w:ascii="宋体" w:hAnsi="宋体" w:cs="宋体"/>
          <w:b/>
          <w:color w:val="000000" w:themeColor="text1"/>
          <w:szCs w:val="22"/>
          <w:highlight w:val="none"/>
          <w14:textFill>
            <w14:solidFill>
              <w14:schemeClr w14:val="tx1"/>
            </w14:solidFill>
          </w14:textFill>
        </w:rPr>
      </w:pPr>
      <w:r>
        <w:rPr>
          <w:rFonts w:hint="eastAsia" w:ascii="宋体" w:hAnsi="宋体" w:cs="宋体"/>
          <w:b/>
          <w:color w:val="000000" w:themeColor="text1"/>
          <w:szCs w:val="22"/>
          <w:highlight w:val="none"/>
          <w14:textFill>
            <w14:solidFill>
              <w14:schemeClr w14:val="tx1"/>
            </w14:solidFill>
          </w14:textFill>
        </w:rPr>
        <w:t>注： 定标委员会成员须根据投票结果，得票数最多的合格的中标候选人推荐为中标人。</w:t>
      </w:r>
    </w:p>
    <w:p>
      <w:pPr>
        <w:rPr>
          <w:rFonts w:ascii="宋体" w:hAnsi="宋体"/>
          <w:b/>
          <w:bCs/>
          <w:color w:val="000000" w:themeColor="text1"/>
          <w:szCs w:val="32"/>
          <w:highlight w:val="none"/>
          <w14:textFill>
            <w14:solidFill>
              <w14:schemeClr w14:val="tx1"/>
            </w14:solidFill>
          </w14:textFill>
        </w:rPr>
      </w:pPr>
    </w:p>
    <w:p>
      <w:pPr>
        <w:rPr>
          <w:rFonts w:ascii="宋体" w:hAnsi="宋体"/>
          <w:color w:val="000000" w:themeColor="text1"/>
          <w:szCs w:val="32"/>
          <w:highlight w:val="none"/>
          <w14:textFill>
            <w14:solidFill>
              <w14:schemeClr w14:val="tx1"/>
            </w14:solidFill>
          </w14:textFill>
        </w:rPr>
      </w:pPr>
    </w:p>
    <w:p>
      <w:pPr>
        <w:rPr>
          <w:rFonts w:ascii="宋体" w:hAnsi="宋体"/>
          <w:color w:val="000000" w:themeColor="text1"/>
          <w:szCs w:val="32"/>
          <w:highlight w:val="none"/>
          <w14:textFill>
            <w14:solidFill>
              <w14:schemeClr w14:val="tx1"/>
            </w14:solidFill>
          </w14:textFill>
        </w:rPr>
      </w:pPr>
    </w:p>
    <w:p>
      <w:pPr>
        <w:widowControl/>
        <w:snapToGrid w:val="0"/>
        <w:spacing w:line="360" w:lineRule="auto"/>
        <w:ind w:firstLine="426" w:firstLineChars="202"/>
        <w:jc w:val="left"/>
        <w:rPr>
          <w:rFonts w:ascii="宋体" w:hAnsi="宋体"/>
          <w:b/>
          <w:color w:val="000000" w:themeColor="text1"/>
          <w:kern w:val="0"/>
          <w:szCs w:val="21"/>
          <w:highlight w:val="none"/>
          <w:shd w:val="clear" w:color="auto" w:fill="FFFFFF"/>
          <w14:textFill>
            <w14:solidFill>
              <w14:schemeClr w14:val="tx1"/>
            </w14:solidFill>
          </w14:textFill>
        </w:rPr>
      </w:pPr>
    </w:p>
    <w:p>
      <w:pPr>
        <w:rPr>
          <w:rFonts w:ascii="宋体" w:hAnsi="宋体"/>
          <w:color w:val="000000" w:themeColor="text1"/>
          <w:szCs w:val="32"/>
          <w:highlight w:val="none"/>
          <w14:textFill>
            <w14:solidFill>
              <w14:schemeClr w14:val="tx1"/>
            </w14:solidFill>
          </w14:textFill>
        </w:rPr>
      </w:pPr>
    </w:p>
    <w:p>
      <w:pPr>
        <w:spacing w:line="360" w:lineRule="auto"/>
        <w:ind w:firstLine="420" w:firstLineChars="200"/>
        <w:rPr>
          <w:rFonts w:ascii="宋体" w:hAnsi="宋体"/>
          <w:color w:val="000000" w:themeColor="text1"/>
          <w:highlight w:val="none"/>
          <w14:textFill>
            <w14:solidFill>
              <w14:schemeClr w14:val="tx1"/>
            </w14:solidFill>
          </w14:textFill>
        </w:rPr>
      </w:pPr>
    </w:p>
    <w:p>
      <w:pPr>
        <w:pStyle w:val="2"/>
        <w:spacing w:line="24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308" w:name="_Toc15726"/>
      <w:bookmarkStart w:id="309" w:name="_Toc49510035"/>
      <w:r>
        <w:rPr>
          <w:rFonts w:hint="eastAsia" w:ascii="宋体" w:hAnsi="宋体"/>
          <w:color w:val="000000" w:themeColor="text1"/>
          <w:highlight w:val="none"/>
          <w14:textFill>
            <w14:solidFill>
              <w14:schemeClr w14:val="tx1"/>
            </w14:solidFill>
          </w14:textFill>
        </w:rPr>
        <w:t>第四章 合同条款及格式</w:t>
      </w:r>
      <w:bookmarkEnd w:id="308"/>
      <w:bookmarkEnd w:id="309"/>
    </w:p>
    <w:p>
      <w:pPr>
        <w:pStyle w:val="3"/>
        <w:ind w:firstLine="643" w:firstLineChars="200"/>
        <w:jc w:val="center"/>
        <w:rPr>
          <w:rFonts w:hint="eastAsia" w:ascii="宋体" w:hAnsi="宋体" w:eastAsia="宋体"/>
          <w:bCs/>
          <w:color w:val="000000" w:themeColor="text1"/>
          <w:highlight w:val="none"/>
          <w14:textFill>
            <w14:solidFill>
              <w14:schemeClr w14:val="tx1"/>
            </w14:solidFill>
          </w14:textFill>
        </w:rPr>
      </w:pPr>
      <w:bookmarkStart w:id="310" w:name="_Toc29728"/>
      <w:bookmarkStart w:id="311" w:name="_Toc16559"/>
      <w:r>
        <w:rPr>
          <w:rFonts w:hint="eastAsia" w:ascii="宋体" w:hAnsi="宋体" w:eastAsia="宋体"/>
          <w:bCs/>
          <w:color w:val="000000" w:themeColor="text1"/>
          <w:highlight w:val="none"/>
          <w14:textFill>
            <w14:solidFill>
              <w14:schemeClr w14:val="tx1"/>
            </w14:solidFill>
          </w14:textFill>
        </w:rPr>
        <w:t>（另册）</w:t>
      </w:r>
      <w:bookmarkEnd w:id="310"/>
      <w:bookmarkEnd w:id="311"/>
    </w:p>
    <w:p>
      <w:pPr>
        <w:rPr>
          <w:rFonts w:hint="eastAsia" w:ascii="宋体" w:hAnsi="宋体"/>
          <w:bCs/>
          <w:color w:val="000000" w:themeColor="text1"/>
          <w:highlight w:val="none"/>
          <w14:textFill>
            <w14:solidFill>
              <w14:schemeClr w14:val="tx1"/>
            </w14:solidFill>
          </w14:textFill>
        </w:rPr>
      </w:pPr>
    </w:p>
    <w:p>
      <w:pPr>
        <w:pStyle w:val="20"/>
        <w:rPr>
          <w:rFonts w:hint="eastAsia" w:ascii="宋体" w:hAnsi="宋体"/>
          <w:bCs/>
          <w:color w:val="000000" w:themeColor="text1"/>
          <w:highlight w:val="none"/>
          <w14:textFill>
            <w14:solidFill>
              <w14:schemeClr w14:val="tx1"/>
            </w14:solidFill>
          </w14:textFill>
        </w:rPr>
      </w:pPr>
    </w:p>
    <w:p>
      <w:pPr>
        <w:pStyle w:val="21"/>
        <w:rPr>
          <w:rFonts w:hint="eastAsia" w:ascii="宋体" w:hAnsi="宋体"/>
          <w:bCs/>
          <w:color w:val="000000" w:themeColor="text1"/>
          <w:highlight w:val="none"/>
          <w14:textFill>
            <w14:solidFill>
              <w14:schemeClr w14:val="tx1"/>
            </w14:solidFill>
          </w14:textFill>
        </w:rPr>
      </w:pPr>
    </w:p>
    <w:p>
      <w:pPr>
        <w:spacing w:line="360" w:lineRule="auto"/>
        <w:jc w:val="center"/>
        <w:rPr>
          <w:rFonts w:hint="eastAsia" w:ascii="宋体" w:hAnsi="宋体"/>
          <w:color w:val="000000" w:themeColor="text1"/>
          <w:highlight w:val="none"/>
          <w14:textFill>
            <w14:solidFill>
              <w14:schemeClr w14:val="tx1"/>
            </w14:solidFill>
          </w14:textFill>
        </w:rPr>
      </w:pPr>
      <w:bookmarkStart w:id="312" w:name="_Toc49510050"/>
      <w:bookmarkStart w:id="313" w:name="_Toc1039"/>
      <w:bookmarkStart w:id="314" w:name="_Toc246997081"/>
      <w:bookmarkStart w:id="315" w:name="_Toc247085853"/>
      <w:bookmarkStart w:id="316" w:name="_Toc246996338"/>
      <w:bookmarkStart w:id="317" w:name="_Toc179632787"/>
      <w:bookmarkStart w:id="318" w:name="_Toc152045610"/>
      <w:bookmarkStart w:id="319" w:name="_Toc300835199"/>
      <w:bookmarkStart w:id="320" w:name="_Toc152042388"/>
      <w:bookmarkStart w:id="321" w:name="_Toc247527798"/>
      <w:bookmarkStart w:id="322" w:name="_Toc144974829"/>
      <w:bookmarkStart w:id="323" w:name="_Toc144974578"/>
      <w:bookmarkStart w:id="324" w:name="_Toc184635122"/>
      <w:bookmarkStart w:id="325" w:name="_Toc247514197"/>
      <w:bookmarkStart w:id="326" w:name="_Toc152042549"/>
      <w:r>
        <w:rPr>
          <w:rFonts w:hint="eastAsia" w:ascii="宋体" w:hAnsi="宋体"/>
          <w:b/>
          <w:color w:val="000000" w:themeColor="text1"/>
          <w:kern w:val="44"/>
          <w:sz w:val="44"/>
          <w:szCs w:val="20"/>
          <w:highlight w:val="none"/>
          <w14:textFill>
            <w14:solidFill>
              <w14:schemeClr w14:val="tx1"/>
            </w14:solidFill>
          </w14:textFill>
        </w:rPr>
        <w:br w:type="page"/>
      </w:r>
      <w:bookmarkEnd w:id="312"/>
      <w:bookmarkEnd w:id="313"/>
      <w:bookmarkStart w:id="327" w:name="_Toc49510051"/>
      <w:bookmarkStart w:id="328" w:name="_Toc25775"/>
      <w:r>
        <w:rPr>
          <w:rFonts w:hint="eastAsia" w:ascii="宋体" w:hAnsi="宋体"/>
          <w:b/>
          <w:bCs/>
          <w:color w:val="000000" w:themeColor="text1"/>
          <w:sz w:val="44"/>
          <w:szCs w:val="44"/>
          <w:highlight w:val="none"/>
          <w14:textFill>
            <w14:solidFill>
              <w14:schemeClr w14:val="tx1"/>
            </w14:solidFill>
          </w14:textFill>
        </w:rPr>
        <w:t>第二卷</w:t>
      </w:r>
    </w:p>
    <w:p>
      <w:pPr>
        <w:pStyle w:val="2"/>
        <w:spacing w:line="24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第五章 委托人要求</w:t>
      </w:r>
      <w:bookmarkEnd w:id="327"/>
      <w:bookmarkEnd w:id="328"/>
    </w:p>
    <w:bookmarkEnd w:id="314"/>
    <w:bookmarkEnd w:id="315"/>
    <w:bookmarkEnd w:id="316"/>
    <w:bookmarkEnd w:id="317"/>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委托人具体要求详见第四章“合同条款及格式”。</w:t>
      </w:r>
    </w:p>
    <w:p>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下表中所列人员配备为最低要求</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招标人可根据实际工作需要要求中标人及时增加人员投入，中标人须无条件配合。投标人拟投入的</w:t>
      </w:r>
      <w:r>
        <w:rPr>
          <w:rFonts w:hint="eastAsia" w:ascii="宋体" w:hAnsi="宋体" w:cs="宋体"/>
          <w:color w:val="000000" w:themeColor="text1"/>
          <w:szCs w:val="21"/>
          <w:highlight w:val="none"/>
          <w14:textFill>
            <w14:solidFill>
              <w14:schemeClr w14:val="tx1"/>
            </w14:solidFill>
          </w14:textFill>
        </w:rPr>
        <w:t>人员不满足下表最低配备要求的，将影响其团队因素评价，但不作为否决性条款。</w:t>
      </w:r>
    </w:p>
    <w:tbl>
      <w:tblPr>
        <w:tblStyle w:val="46"/>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416"/>
        <w:gridCol w:w="829"/>
        <w:gridCol w:w="5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87" w:type="dxa"/>
            <w:vAlign w:val="center"/>
          </w:tcPr>
          <w:p>
            <w:pPr>
              <w:adjustRightInd w:val="0"/>
              <w:snapToGrid w:val="0"/>
              <w:jc w:val="center"/>
              <w:rPr>
                <w:rFonts w:ascii="宋体" w:hAnsi="宋体" w:cs="宋体"/>
                <w:b/>
                <w:color w:val="000000" w:themeColor="text1"/>
                <w:kern w:val="44"/>
                <w:szCs w:val="21"/>
                <w:highlight w:val="none"/>
                <w14:textFill>
                  <w14:solidFill>
                    <w14:schemeClr w14:val="tx1"/>
                  </w14:solidFill>
                </w14:textFill>
              </w:rPr>
            </w:pPr>
            <w:r>
              <w:rPr>
                <w:rFonts w:hint="eastAsia" w:ascii="宋体" w:hAnsi="宋体" w:cs="宋体"/>
                <w:b/>
                <w:color w:val="000000" w:themeColor="text1"/>
                <w:kern w:val="44"/>
                <w:szCs w:val="21"/>
                <w:highlight w:val="none"/>
                <w14:textFill>
                  <w14:solidFill>
                    <w14:schemeClr w14:val="tx1"/>
                  </w14:solidFill>
                </w14:textFill>
              </w:rPr>
              <w:t>序号</w:t>
            </w:r>
          </w:p>
        </w:tc>
        <w:tc>
          <w:tcPr>
            <w:tcW w:w="2416" w:type="dxa"/>
            <w:vAlign w:val="center"/>
          </w:tcPr>
          <w:p>
            <w:pPr>
              <w:adjustRightInd w:val="0"/>
              <w:snapToGrid w:val="0"/>
              <w:jc w:val="center"/>
              <w:rPr>
                <w:rFonts w:ascii="宋体" w:hAnsi="宋体" w:cs="宋体"/>
                <w:color w:val="000000" w:themeColor="text1"/>
                <w:kern w:val="44"/>
                <w:szCs w:val="21"/>
                <w:highlight w:val="none"/>
                <w14:textFill>
                  <w14:solidFill>
                    <w14:schemeClr w14:val="tx1"/>
                  </w14:solidFill>
                </w14:textFill>
              </w:rPr>
            </w:pPr>
            <w:r>
              <w:rPr>
                <w:rFonts w:hint="eastAsia" w:ascii="宋体" w:hAnsi="宋体" w:cs="宋体"/>
                <w:b/>
                <w:color w:val="000000" w:themeColor="text1"/>
                <w:kern w:val="44"/>
                <w:szCs w:val="21"/>
                <w:highlight w:val="none"/>
                <w14:textFill>
                  <w14:solidFill>
                    <w14:schemeClr w14:val="tx1"/>
                  </w14:solidFill>
                </w14:textFill>
              </w:rPr>
              <w:t>专业类别</w:t>
            </w:r>
          </w:p>
        </w:tc>
        <w:tc>
          <w:tcPr>
            <w:tcW w:w="829" w:type="dxa"/>
            <w:vAlign w:val="center"/>
          </w:tcPr>
          <w:p>
            <w:pPr>
              <w:adjustRightInd w:val="0"/>
              <w:snapToGrid w:val="0"/>
              <w:jc w:val="center"/>
              <w:rPr>
                <w:rFonts w:ascii="宋体" w:hAnsi="宋体" w:cs="宋体"/>
                <w:color w:val="000000" w:themeColor="text1"/>
                <w:kern w:val="44"/>
                <w:szCs w:val="21"/>
                <w:highlight w:val="none"/>
                <w14:textFill>
                  <w14:solidFill>
                    <w14:schemeClr w14:val="tx1"/>
                  </w14:solidFill>
                </w14:textFill>
              </w:rPr>
            </w:pPr>
            <w:r>
              <w:rPr>
                <w:rFonts w:hint="eastAsia" w:ascii="宋体" w:hAnsi="宋体" w:cs="宋体"/>
                <w:b/>
                <w:color w:val="000000" w:themeColor="text1"/>
                <w:kern w:val="44"/>
                <w:szCs w:val="21"/>
                <w:highlight w:val="none"/>
                <w14:textFill>
                  <w14:solidFill>
                    <w14:schemeClr w14:val="tx1"/>
                  </w14:solidFill>
                </w14:textFill>
              </w:rPr>
              <w:t>数量</w:t>
            </w:r>
          </w:p>
        </w:tc>
        <w:tc>
          <w:tcPr>
            <w:tcW w:w="5149" w:type="dxa"/>
            <w:vAlign w:val="center"/>
          </w:tcPr>
          <w:p>
            <w:pPr>
              <w:adjustRightInd w:val="0"/>
              <w:snapToGrid w:val="0"/>
              <w:jc w:val="center"/>
              <w:rPr>
                <w:rFonts w:ascii="宋体" w:hAnsi="宋体" w:cs="宋体"/>
                <w:color w:val="000000" w:themeColor="text1"/>
                <w:kern w:val="44"/>
                <w:szCs w:val="21"/>
                <w:highlight w:val="none"/>
                <w14:textFill>
                  <w14:solidFill>
                    <w14:schemeClr w14:val="tx1"/>
                  </w14:solidFill>
                </w14:textFill>
              </w:rPr>
            </w:pPr>
            <w:r>
              <w:rPr>
                <w:rFonts w:hint="eastAsia" w:ascii="宋体" w:hAnsi="宋体" w:cs="宋体"/>
                <w:b/>
                <w:color w:val="000000" w:themeColor="text1"/>
                <w:kern w:val="44"/>
                <w:szCs w:val="21"/>
                <w:highlight w:val="none"/>
                <w14:textFill>
                  <w14:solidFill>
                    <w14:schemeClr w14:val="tx1"/>
                  </w14:solidFill>
                </w14:textFill>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7" w:type="dxa"/>
            <w:vAlign w:val="center"/>
          </w:tcPr>
          <w:p>
            <w:pPr>
              <w:adjustRightInd w:val="0"/>
              <w:snapToGrid w:val="0"/>
              <w:jc w:val="center"/>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w:t>
            </w:r>
          </w:p>
        </w:tc>
        <w:tc>
          <w:tcPr>
            <w:tcW w:w="2416" w:type="dxa"/>
            <w:vAlign w:val="center"/>
          </w:tcPr>
          <w:p>
            <w:pPr>
              <w:adjustRightInd w:val="0"/>
              <w:snapToGrid w:val="0"/>
              <w:jc w:val="center"/>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总监理工程师</w:t>
            </w:r>
          </w:p>
        </w:tc>
        <w:tc>
          <w:tcPr>
            <w:tcW w:w="829" w:type="dxa"/>
            <w:vAlign w:val="center"/>
          </w:tcPr>
          <w:p>
            <w:pPr>
              <w:adjustRightInd w:val="0"/>
              <w:snapToGrid w:val="0"/>
              <w:jc w:val="center"/>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w:t>
            </w:r>
          </w:p>
        </w:tc>
        <w:tc>
          <w:tcPr>
            <w:tcW w:w="5149" w:type="dxa"/>
            <w:vAlign w:val="center"/>
          </w:tcPr>
          <w:p>
            <w:pPr>
              <w:adjustRightInd w:val="0"/>
              <w:snapToGrid w:val="0"/>
              <w:jc w:val="center"/>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按招标公告要求。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7" w:type="dxa"/>
            <w:vAlign w:val="center"/>
          </w:tcPr>
          <w:p>
            <w:pPr>
              <w:widowControl/>
              <w:adjustRightInd w:val="0"/>
              <w:snapToGrid w:val="0"/>
              <w:ind w:left="-361" w:leftChars="-172" w:firstLine="420" w:firstLineChars="20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2416" w:type="dxa"/>
            <w:vAlign w:val="center"/>
          </w:tcPr>
          <w:p>
            <w:pPr>
              <w:adjustRightInd w:val="0"/>
              <w:snapToGrid w:val="0"/>
              <w:jc w:val="center"/>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建筑专业监理工程师</w:t>
            </w:r>
          </w:p>
        </w:tc>
        <w:tc>
          <w:tcPr>
            <w:tcW w:w="829" w:type="dxa"/>
            <w:vAlign w:val="center"/>
          </w:tcPr>
          <w:p>
            <w:pPr>
              <w:adjustRightInd w:val="0"/>
              <w:snapToGrid w:val="0"/>
              <w:jc w:val="center"/>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w:t>
            </w:r>
          </w:p>
        </w:tc>
        <w:tc>
          <w:tcPr>
            <w:tcW w:w="5149" w:type="dxa"/>
            <w:vAlign w:val="center"/>
          </w:tcPr>
          <w:p>
            <w:pPr>
              <w:adjustRightInd w:val="0"/>
              <w:snapToGrid w:val="0"/>
              <w:jc w:val="left"/>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具备相关专业中级（或以上）技术职称或专业监理工程师或注册监理工程师资格。专业以职称证或专业监理工程师证书或注册监理工程师注册执业证书或毕业证所列的相关专业为准。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7" w:type="dxa"/>
            <w:vAlign w:val="center"/>
          </w:tcPr>
          <w:p>
            <w:pPr>
              <w:widowControl/>
              <w:adjustRightInd w:val="0"/>
              <w:snapToGrid w:val="0"/>
              <w:ind w:left="-361" w:leftChars="-172" w:firstLine="420" w:firstLineChars="20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2416" w:type="dxa"/>
            <w:vAlign w:val="center"/>
          </w:tcPr>
          <w:p>
            <w:pPr>
              <w:adjustRightInd w:val="0"/>
              <w:snapToGrid w:val="0"/>
              <w:jc w:val="center"/>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机电专业监理工程师</w:t>
            </w:r>
          </w:p>
        </w:tc>
        <w:tc>
          <w:tcPr>
            <w:tcW w:w="829" w:type="dxa"/>
            <w:vAlign w:val="center"/>
          </w:tcPr>
          <w:p>
            <w:pPr>
              <w:adjustRightInd w:val="0"/>
              <w:snapToGrid w:val="0"/>
              <w:jc w:val="center"/>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w:t>
            </w:r>
          </w:p>
        </w:tc>
        <w:tc>
          <w:tcPr>
            <w:tcW w:w="5149" w:type="dxa"/>
            <w:vAlign w:val="center"/>
          </w:tcPr>
          <w:p>
            <w:pPr>
              <w:adjustRightInd w:val="0"/>
              <w:snapToGrid w:val="0"/>
              <w:jc w:val="left"/>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具备相关专业中级（或以上）技术职称或专业监理工程师或注册监理工程师资格。专业以职称证或专业监理工程师证书或注册监理工程师注册执业证书或毕业证所列的相关专业为准。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7" w:type="dxa"/>
            <w:vAlign w:val="center"/>
          </w:tcPr>
          <w:p>
            <w:pPr>
              <w:widowControl/>
              <w:adjustRightInd w:val="0"/>
              <w:snapToGrid w:val="0"/>
              <w:ind w:left="-361" w:leftChars="-172" w:firstLine="420" w:firstLineChars="20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2416" w:type="dxa"/>
            <w:vAlign w:val="center"/>
          </w:tcPr>
          <w:p>
            <w:pPr>
              <w:adjustRightInd w:val="0"/>
              <w:snapToGrid w:val="0"/>
              <w:jc w:val="center"/>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造价工程师</w:t>
            </w:r>
          </w:p>
        </w:tc>
        <w:tc>
          <w:tcPr>
            <w:tcW w:w="829" w:type="dxa"/>
            <w:vAlign w:val="center"/>
          </w:tcPr>
          <w:p>
            <w:pPr>
              <w:adjustRightInd w:val="0"/>
              <w:snapToGrid w:val="0"/>
              <w:jc w:val="center"/>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w:t>
            </w:r>
          </w:p>
        </w:tc>
        <w:tc>
          <w:tcPr>
            <w:tcW w:w="5149" w:type="dxa"/>
            <w:vAlign w:val="center"/>
          </w:tcPr>
          <w:p>
            <w:pPr>
              <w:adjustRightInd w:val="0"/>
              <w:snapToGrid w:val="0"/>
              <w:jc w:val="center"/>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具备一级注册造价师执业资格。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7" w:type="dxa"/>
            <w:vAlign w:val="center"/>
          </w:tcPr>
          <w:p>
            <w:pPr>
              <w:widowControl/>
              <w:adjustRightInd w:val="0"/>
              <w:snapToGrid w:val="0"/>
              <w:ind w:left="-361" w:leftChars="-172" w:firstLine="420" w:firstLineChars="20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2416" w:type="dxa"/>
            <w:vAlign w:val="center"/>
          </w:tcPr>
          <w:p>
            <w:pPr>
              <w:adjustRightInd w:val="0"/>
              <w:snapToGrid w:val="0"/>
              <w:jc w:val="center"/>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安全监理员或注册安全工程师</w:t>
            </w:r>
          </w:p>
        </w:tc>
        <w:tc>
          <w:tcPr>
            <w:tcW w:w="829" w:type="dxa"/>
            <w:vAlign w:val="center"/>
          </w:tcPr>
          <w:p>
            <w:pPr>
              <w:adjustRightInd w:val="0"/>
              <w:snapToGrid w:val="0"/>
              <w:jc w:val="center"/>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w:t>
            </w:r>
          </w:p>
        </w:tc>
        <w:tc>
          <w:tcPr>
            <w:tcW w:w="5149" w:type="dxa"/>
            <w:vAlign w:val="center"/>
          </w:tcPr>
          <w:p>
            <w:pPr>
              <w:adjustRightInd w:val="0"/>
              <w:snapToGrid w:val="0"/>
              <w:jc w:val="center"/>
              <w:rPr>
                <w:rFonts w:hint="eastAsia" w:ascii="宋体" w:hAnsi="宋体" w:cs="仿宋"/>
                <w:color w:val="000000" w:themeColor="text1"/>
                <w:szCs w:val="21"/>
                <w:highlight w:val="none"/>
                <w14:textFill>
                  <w14:solidFill>
                    <w14:schemeClr w14:val="tx1"/>
                  </w14:solidFill>
                </w14:textFill>
              </w:rPr>
            </w:pPr>
            <w:bookmarkStart w:id="329" w:name="突出显示"/>
            <w:r>
              <w:rPr>
                <w:rFonts w:hint="eastAsia" w:ascii="宋体" w:hAnsi="宋体" w:cs="仿宋"/>
                <w:color w:val="000000" w:themeColor="text1"/>
                <w:szCs w:val="21"/>
                <w:highlight w:val="none"/>
                <w14:textFill>
                  <w14:solidFill>
                    <w14:schemeClr w14:val="tx1"/>
                  </w14:solidFill>
                </w14:textFill>
              </w:rPr>
              <w:t>具备相关岗位证或培训证或上岗证</w:t>
            </w:r>
            <w:bookmarkEnd w:id="329"/>
            <w:r>
              <w:rPr>
                <w:rFonts w:hint="eastAsia" w:ascii="宋体" w:hAnsi="宋体" w:cs="仿宋"/>
                <w:color w:val="000000" w:themeColor="text1"/>
                <w:szCs w:val="21"/>
                <w:highlight w:val="none"/>
                <w14:textFill>
                  <w14:solidFill>
                    <w14:schemeClr w14:val="tx1"/>
                  </w14:solidFill>
                </w14:textFill>
              </w:rPr>
              <w:t>，或注册安全工程师执业资格。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7" w:type="dxa"/>
            <w:vAlign w:val="center"/>
          </w:tcPr>
          <w:p>
            <w:pPr>
              <w:widowControl/>
              <w:adjustRightInd w:val="0"/>
              <w:snapToGrid w:val="0"/>
              <w:ind w:left="-361" w:leftChars="-172" w:firstLine="420" w:firstLineChars="200"/>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2416" w:type="dxa"/>
            <w:vAlign w:val="center"/>
          </w:tcPr>
          <w:p>
            <w:pPr>
              <w:adjustRightInd w:val="0"/>
              <w:snapToGrid w:val="0"/>
              <w:jc w:val="center"/>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监理员</w:t>
            </w:r>
          </w:p>
        </w:tc>
        <w:tc>
          <w:tcPr>
            <w:tcW w:w="829" w:type="dxa"/>
            <w:vAlign w:val="center"/>
          </w:tcPr>
          <w:p>
            <w:pPr>
              <w:adjustRightInd w:val="0"/>
              <w:snapToGrid w:val="0"/>
              <w:jc w:val="center"/>
              <w:rPr>
                <w:rFonts w:hint="eastAsia" w:ascii="宋体" w:hAnsi="宋体" w:eastAsia="宋体" w:cs="仿宋"/>
                <w:color w:val="000000" w:themeColor="text1"/>
                <w:szCs w:val="21"/>
                <w:highlight w:val="none"/>
                <w:lang w:eastAsia="zh-CN"/>
                <w14:textFill>
                  <w14:solidFill>
                    <w14:schemeClr w14:val="tx1"/>
                  </w14:solidFill>
                </w14:textFill>
              </w:rPr>
            </w:pPr>
            <w:r>
              <w:rPr>
                <w:rFonts w:hint="eastAsia" w:ascii="宋体" w:hAnsi="宋体" w:cs="仿宋"/>
                <w:color w:val="000000" w:themeColor="text1"/>
                <w:szCs w:val="21"/>
                <w:highlight w:val="none"/>
                <w:lang w:val="en-US" w:eastAsia="zh-CN"/>
                <w14:textFill>
                  <w14:solidFill>
                    <w14:schemeClr w14:val="tx1"/>
                  </w14:solidFill>
                </w14:textFill>
              </w:rPr>
              <w:t>2</w:t>
            </w:r>
          </w:p>
        </w:tc>
        <w:tc>
          <w:tcPr>
            <w:tcW w:w="5149" w:type="dxa"/>
            <w:vAlign w:val="center"/>
          </w:tcPr>
          <w:p>
            <w:pPr>
              <w:adjustRightInd w:val="0"/>
              <w:snapToGrid w:val="0"/>
              <w:jc w:val="center"/>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具备相关岗位证或培训证或上岗证。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87" w:type="dxa"/>
            <w:vAlign w:val="center"/>
          </w:tcPr>
          <w:p>
            <w:pPr>
              <w:widowControl/>
              <w:adjustRightInd w:val="0"/>
              <w:snapToGrid w:val="0"/>
              <w:ind w:left="-361" w:leftChars="-172" w:firstLine="420" w:firstLineChars="20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w:t>
            </w:r>
          </w:p>
        </w:tc>
        <w:tc>
          <w:tcPr>
            <w:tcW w:w="2416" w:type="dxa"/>
            <w:vAlign w:val="center"/>
          </w:tcPr>
          <w:p>
            <w:pPr>
              <w:adjustRightInd w:val="0"/>
              <w:snapToGrid w:val="0"/>
              <w:jc w:val="center"/>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资料员</w:t>
            </w:r>
          </w:p>
        </w:tc>
        <w:tc>
          <w:tcPr>
            <w:tcW w:w="829" w:type="dxa"/>
            <w:vAlign w:val="center"/>
          </w:tcPr>
          <w:p>
            <w:pPr>
              <w:adjustRightInd w:val="0"/>
              <w:snapToGrid w:val="0"/>
              <w:jc w:val="center"/>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1</w:t>
            </w:r>
          </w:p>
        </w:tc>
        <w:tc>
          <w:tcPr>
            <w:tcW w:w="5149" w:type="dxa"/>
            <w:vAlign w:val="center"/>
          </w:tcPr>
          <w:p>
            <w:pPr>
              <w:adjustRightInd w:val="0"/>
              <w:snapToGrid w:val="0"/>
              <w:jc w:val="center"/>
              <w:rPr>
                <w:rFonts w:hint="eastAsia"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具备相关岗位证或培训证或上岗证。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303" w:type="dxa"/>
            <w:gridSpan w:val="2"/>
            <w:vAlign w:val="center"/>
          </w:tcPr>
          <w:p>
            <w:pPr>
              <w:adjustRightInd w:val="0"/>
              <w:snapToGrid w:val="0"/>
              <w:jc w:val="center"/>
              <w:rPr>
                <w:rFonts w:ascii="宋体" w:hAnsi="宋体" w:cs="仿宋"/>
                <w:color w:val="000000" w:themeColor="text1"/>
                <w:szCs w:val="21"/>
                <w:highlight w:val="none"/>
                <w14:textFill>
                  <w14:solidFill>
                    <w14:schemeClr w14:val="tx1"/>
                  </w14:solidFill>
                </w14:textFill>
              </w:rPr>
            </w:pPr>
            <w:r>
              <w:rPr>
                <w:rFonts w:hint="eastAsia" w:ascii="宋体" w:hAnsi="宋体"/>
                <w:b/>
                <w:snapToGrid w:val="0"/>
                <w:color w:val="000000" w:themeColor="text1"/>
                <w:spacing w:val="4"/>
                <w:kern w:val="0"/>
                <w:szCs w:val="21"/>
                <w:highlight w:val="none"/>
                <w14:textFill>
                  <w14:solidFill>
                    <w14:schemeClr w14:val="tx1"/>
                  </w14:solidFill>
                </w14:textFill>
              </w:rPr>
              <w:t>合计</w:t>
            </w:r>
          </w:p>
        </w:tc>
        <w:tc>
          <w:tcPr>
            <w:tcW w:w="829" w:type="dxa"/>
            <w:vAlign w:val="center"/>
          </w:tcPr>
          <w:p>
            <w:pPr>
              <w:adjustRightInd w:val="0"/>
              <w:snapToGrid w:val="0"/>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snapToGrid w:val="0"/>
                <w:color w:val="000000" w:themeColor="text1"/>
                <w:spacing w:val="4"/>
                <w:kern w:val="0"/>
                <w:szCs w:val="21"/>
                <w:highlight w:val="none"/>
                <w:lang w:val="en-US" w:eastAsia="zh-CN"/>
                <w14:textFill>
                  <w14:solidFill>
                    <w14:schemeClr w14:val="tx1"/>
                  </w14:solidFill>
                </w14:textFill>
              </w:rPr>
              <w:t>8</w:t>
            </w:r>
          </w:p>
        </w:tc>
        <w:tc>
          <w:tcPr>
            <w:tcW w:w="5149" w:type="dxa"/>
            <w:vAlign w:val="center"/>
          </w:tcPr>
          <w:p>
            <w:pPr>
              <w:adjustRightInd w:val="0"/>
              <w:snapToGrid w:val="0"/>
              <w:jc w:val="center"/>
              <w:rPr>
                <w:rFonts w:ascii="宋体" w:hAnsi="宋体"/>
                <w:color w:val="000000" w:themeColor="text1"/>
                <w:szCs w:val="21"/>
                <w:highlight w:val="none"/>
                <w14:textFill>
                  <w14:solidFill>
                    <w14:schemeClr w14:val="tx1"/>
                  </w14:solidFill>
                </w14:textFill>
              </w:rPr>
            </w:pPr>
          </w:p>
        </w:tc>
      </w:tr>
    </w:tbl>
    <w:p>
      <w:pPr>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w:t>
      </w:r>
      <w:r>
        <w:rPr>
          <w:rFonts w:hint="eastAsia" w:ascii="宋体" w:hAnsi="宋体"/>
          <w:color w:val="000000" w:themeColor="text1"/>
          <w:szCs w:val="21"/>
          <w:highlight w:val="none"/>
          <w14:textFill>
            <w14:solidFill>
              <w14:schemeClr w14:val="tx1"/>
            </w14:solidFill>
          </w14:textFill>
        </w:rPr>
        <w:t>以上人员岗位不能互相兼任。</w:t>
      </w:r>
    </w:p>
    <w:p>
      <w:pPr>
        <w:rPr>
          <w:rFonts w:ascii="宋体" w:hAnsi="宋体"/>
          <w:color w:val="000000" w:themeColor="text1"/>
          <w:sz w:val="22"/>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按照《造价工程师职业资格制度规定》的规定，根据原人事部、原建设部发布的《造价工程师执业资格制度暂行规定》（人发[1996]77号)取得的造价工程师执业资格，并经注册且在有效期内的，等同于一级注册造价工程师。</w:t>
      </w:r>
    </w:p>
    <w:p>
      <w:pPr>
        <w:pStyle w:val="44"/>
        <w:rPr>
          <w:rFonts w:ascii="宋体" w:hAnsi="宋体"/>
          <w:color w:val="000000" w:themeColor="text1"/>
          <w:highlight w:val="none"/>
          <w14:textFill>
            <w14:solidFill>
              <w14:schemeClr w14:val="tx1"/>
            </w14:solidFill>
          </w14:textFill>
        </w:rPr>
      </w:pPr>
    </w:p>
    <w:p>
      <w:pPr>
        <w:jc w:val="center"/>
        <w:rPr>
          <w:rFonts w:hint="eastAsia" w:ascii="宋体" w:hAnsi="宋体"/>
          <w:color w:val="000000" w:themeColor="text1"/>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br w:type="page"/>
      </w:r>
      <w:bookmarkStart w:id="330" w:name="_Toc29685"/>
      <w:bookmarkStart w:id="331" w:name="_Toc49510052"/>
      <w:r>
        <w:rPr>
          <w:rFonts w:hint="eastAsia" w:ascii="宋体" w:hAnsi="宋体"/>
          <w:b/>
          <w:bCs/>
          <w:color w:val="000000" w:themeColor="text1"/>
          <w:sz w:val="44"/>
          <w:szCs w:val="44"/>
          <w:highlight w:val="none"/>
          <w14:textFill>
            <w14:solidFill>
              <w14:schemeClr w14:val="tx1"/>
            </w14:solidFill>
          </w14:textFill>
        </w:rPr>
        <w:t>第三卷</w:t>
      </w:r>
      <w:bookmarkEnd w:id="330"/>
      <w:bookmarkEnd w:id="331"/>
      <w:bookmarkStart w:id="332" w:name="_Toc49510053"/>
      <w:bookmarkStart w:id="333" w:name="_Toc1700"/>
    </w:p>
    <w:p>
      <w:pPr>
        <w:pStyle w:val="2"/>
        <w:spacing w:line="240" w:lineRule="auto"/>
        <w:jc w:val="cente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第六章 投标文件格式</w:t>
      </w:r>
      <w:bookmarkEnd w:id="332"/>
      <w:bookmarkEnd w:id="333"/>
    </w:p>
    <w:p>
      <w:pPr>
        <w:spacing w:line="400" w:lineRule="exact"/>
        <w:rPr>
          <w:rFonts w:ascii="宋体" w:hAnsi="宋体"/>
          <w:color w:val="000000" w:themeColor="text1"/>
          <w:highlight w:val="none"/>
          <w14:textFill>
            <w14:solidFill>
              <w14:schemeClr w14:val="tx1"/>
            </w14:solidFill>
          </w14:textFill>
        </w:rPr>
      </w:pPr>
    </w:p>
    <w:p>
      <w:pPr>
        <w:spacing w:line="40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bookmarkEnd w:id="318"/>
    <w:bookmarkEnd w:id="319"/>
    <w:bookmarkEnd w:id="320"/>
    <w:bookmarkEnd w:id="321"/>
    <w:bookmarkEnd w:id="322"/>
    <w:bookmarkEnd w:id="323"/>
    <w:bookmarkEnd w:id="324"/>
    <w:bookmarkEnd w:id="325"/>
    <w:bookmarkEnd w:id="326"/>
    <w:p>
      <w:pPr>
        <w:pStyle w:val="3"/>
        <w:jc w:val="center"/>
        <w:rPr>
          <w:rFonts w:ascii="宋体" w:hAnsi="宋体" w:eastAsia="宋体"/>
          <w:color w:val="000000" w:themeColor="text1"/>
          <w:highlight w:val="none"/>
          <w14:textFill>
            <w14:solidFill>
              <w14:schemeClr w14:val="tx1"/>
            </w14:solidFill>
          </w14:textFill>
        </w:rPr>
      </w:pPr>
      <w:bookmarkStart w:id="334" w:name="_Toc516145370"/>
      <w:bookmarkStart w:id="335" w:name="_Toc515450412"/>
      <w:bookmarkStart w:id="336" w:name="_Toc492300719"/>
      <w:r>
        <w:rPr>
          <w:rFonts w:ascii="宋体" w:hAnsi="宋体" w:eastAsia="宋体"/>
          <w:color w:val="000000" w:themeColor="text1"/>
          <w:highlight w:val="none"/>
          <w14:textFill>
            <w14:solidFill>
              <w14:schemeClr w14:val="tx1"/>
            </w14:solidFill>
          </w14:textFill>
        </w:rPr>
        <w:t>目录</w:t>
      </w:r>
      <w:bookmarkEnd w:id="334"/>
      <w:bookmarkEnd w:id="335"/>
      <w:bookmarkEnd w:id="336"/>
    </w:p>
    <w:p>
      <w:pPr>
        <w:spacing w:line="540" w:lineRule="exact"/>
        <w:outlineLvl w:val="0"/>
        <w:rPr>
          <w:rFonts w:ascii="宋体" w:hAnsi="宋体" w:cs="宋体"/>
          <w:color w:val="000000" w:themeColor="text1"/>
          <w:highlight w:val="none"/>
          <w14:textFill>
            <w14:solidFill>
              <w14:schemeClr w14:val="tx1"/>
            </w14:solidFill>
          </w14:textFill>
        </w:rPr>
      </w:pPr>
      <w:bookmarkStart w:id="337" w:name="_Toc20798"/>
      <w:bookmarkStart w:id="338" w:name="_Toc28562"/>
      <w:bookmarkStart w:id="339" w:name="_Toc5748"/>
      <w:bookmarkStart w:id="340" w:name="_Toc7039"/>
      <w:bookmarkStart w:id="341" w:name="_Toc369531691"/>
      <w:bookmarkStart w:id="342" w:name="_Toc352691655"/>
      <w:r>
        <w:rPr>
          <w:rFonts w:hint="eastAsia" w:ascii="宋体" w:hAnsi="宋体" w:cs="宋体"/>
          <w:color w:val="000000" w:themeColor="text1"/>
          <w:highlight w:val="none"/>
          <w14:textFill>
            <w14:solidFill>
              <w14:schemeClr w14:val="tx1"/>
            </w14:solidFill>
          </w14:textFill>
        </w:rPr>
        <w:t>一、投标函及投标函附录</w:t>
      </w:r>
      <w:bookmarkEnd w:id="337"/>
      <w:bookmarkEnd w:id="338"/>
      <w:bookmarkEnd w:id="339"/>
    </w:p>
    <w:p>
      <w:pPr>
        <w:spacing w:line="540" w:lineRule="exact"/>
        <w:outlineLvl w:val="0"/>
        <w:rPr>
          <w:rFonts w:ascii="宋体" w:hAnsi="宋体" w:cs="宋体"/>
          <w:color w:val="000000" w:themeColor="text1"/>
          <w:highlight w:val="none"/>
          <w14:textFill>
            <w14:solidFill>
              <w14:schemeClr w14:val="tx1"/>
            </w14:solidFill>
          </w14:textFill>
        </w:rPr>
      </w:pPr>
      <w:bookmarkStart w:id="343" w:name="_Toc23586"/>
      <w:bookmarkStart w:id="344" w:name="_Toc8297"/>
      <w:bookmarkStart w:id="345" w:name="_Toc23791"/>
      <w:r>
        <w:rPr>
          <w:rFonts w:hint="eastAsia" w:ascii="宋体" w:hAnsi="宋体" w:cs="宋体"/>
          <w:color w:val="000000" w:themeColor="text1"/>
          <w:highlight w:val="none"/>
          <w14:textFill>
            <w14:solidFill>
              <w14:schemeClr w14:val="tx1"/>
            </w14:solidFill>
          </w14:textFill>
        </w:rPr>
        <w:t>二、法定代表人身份证明</w:t>
      </w:r>
      <w:bookmarkEnd w:id="343"/>
      <w:bookmarkEnd w:id="344"/>
      <w:bookmarkEnd w:id="345"/>
      <w:bookmarkStart w:id="346" w:name="_Toc16108"/>
      <w:bookmarkStart w:id="347" w:name="_Toc26395"/>
      <w:bookmarkStart w:id="348" w:name="_Toc23827"/>
      <w:r>
        <w:rPr>
          <w:rFonts w:hint="eastAsia" w:ascii="宋体" w:hAnsi="宋体" w:cs="宋体"/>
          <w:color w:val="000000" w:themeColor="text1"/>
          <w:highlight w:val="none"/>
          <w14:textFill>
            <w14:solidFill>
              <w14:schemeClr w14:val="tx1"/>
            </w14:solidFill>
          </w14:textFill>
        </w:rPr>
        <w:t>、授权委托书</w:t>
      </w:r>
      <w:bookmarkEnd w:id="346"/>
      <w:bookmarkEnd w:id="347"/>
      <w:bookmarkEnd w:id="348"/>
    </w:p>
    <w:p>
      <w:pPr>
        <w:spacing w:line="540" w:lineRule="exact"/>
        <w:outlineLvl w:val="0"/>
        <w:rPr>
          <w:rFonts w:hint="eastAsia" w:ascii="宋体" w:hAnsi="宋体" w:cs="宋体"/>
          <w:color w:val="000000" w:themeColor="text1"/>
          <w:highlight w:val="none"/>
          <w14:textFill>
            <w14:solidFill>
              <w14:schemeClr w14:val="tx1"/>
            </w14:solidFill>
          </w14:textFill>
        </w:rPr>
      </w:pPr>
      <w:bookmarkStart w:id="349" w:name="_Toc31821"/>
      <w:bookmarkStart w:id="350" w:name="_Toc28998"/>
      <w:bookmarkStart w:id="351" w:name="_Toc13987"/>
      <w:r>
        <w:rPr>
          <w:rFonts w:hint="eastAsia" w:ascii="宋体" w:hAnsi="宋体" w:cs="宋体"/>
          <w:color w:val="000000" w:themeColor="text1"/>
          <w:highlight w:val="none"/>
          <w14:textFill>
            <w14:solidFill>
              <w14:schemeClr w14:val="tx1"/>
            </w14:solidFill>
          </w14:textFill>
        </w:rPr>
        <w:t>三、</w:t>
      </w:r>
      <w:bookmarkEnd w:id="349"/>
      <w:bookmarkEnd w:id="350"/>
      <w:bookmarkEnd w:id="351"/>
      <w:r>
        <w:rPr>
          <w:rFonts w:hint="eastAsia" w:ascii="宋体" w:hAnsi="宋体" w:cs="宋体"/>
          <w:color w:val="000000" w:themeColor="text1"/>
          <w:highlight w:val="none"/>
          <w14:textFill>
            <w14:solidFill>
              <w14:schemeClr w14:val="tx1"/>
            </w14:solidFill>
          </w14:textFill>
        </w:rPr>
        <w:t>监理报酬清单</w:t>
      </w:r>
    </w:p>
    <w:p>
      <w:pPr>
        <w:spacing w:line="540" w:lineRule="exact"/>
        <w:outlineLvl w:val="0"/>
        <w:rPr>
          <w:rFonts w:ascii="宋体" w:hAnsi="宋体" w:cs="宋体"/>
          <w:color w:val="000000" w:themeColor="text1"/>
          <w:highlight w:val="none"/>
          <w14:textFill>
            <w14:solidFill>
              <w14:schemeClr w14:val="tx1"/>
            </w14:solidFill>
          </w14:textFill>
        </w:rPr>
      </w:pPr>
      <w:bookmarkStart w:id="352" w:name="_Toc12809"/>
      <w:bookmarkStart w:id="353" w:name="_Toc4284"/>
      <w:bookmarkStart w:id="354" w:name="_Toc13588"/>
      <w:r>
        <w:rPr>
          <w:rFonts w:hint="eastAsia" w:ascii="宋体" w:hAnsi="宋体" w:cs="宋体"/>
          <w:color w:val="000000" w:themeColor="text1"/>
          <w:highlight w:val="none"/>
          <w14:textFill>
            <w14:solidFill>
              <w14:schemeClr w14:val="tx1"/>
            </w14:solidFill>
          </w14:textFill>
        </w:rPr>
        <w:t>四、资格审查资料</w:t>
      </w:r>
      <w:bookmarkEnd w:id="352"/>
      <w:bookmarkEnd w:id="353"/>
      <w:bookmarkEnd w:id="354"/>
    </w:p>
    <w:p>
      <w:pPr>
        <w:spacing w:line="540" w:lineRule="exact"/>
        <w:outlineLvl w:val="0"/>
        <w:rPr>
          <w:rFonts w:ascii="宋体" w:hAnsi="宋体" w:cs="宋体"/>
          <w:color w:val="000000" w:themeColor="text1"/>
          <w:highlight w:val="none"/>
          <w14:textFill>
            <w14:solidFill>
              <w14:schemeClr w14:val="tx1"/>
            </w14:solidFill>
          </w14:textFill>
        </w:rPr>
      </w:pPr>
      <w:bookmarkStart w:id="355" w:name="_Toc4325"/>
      <w:bookmarkStart w:id="356" w:name="_Toc8093"/>
      <w:bookmarkStart w:id="357" w:name="_Toc6297"/>
      <w:r>
        <w:rPr>
          <w:rFonts w:hint="eastAsia" w:ascii="宋体" w:hAnsi="宋体" w:cs="宋体"/>
          <w:color w:val="000000" w:themeColor="text1"/>
          <w:highlight w:val="none"/>
          <w14:textFill>
            <w14:solidFill>
              <w14:schemeClr w14:val="tx1"/>
            </w14:solidFill>
          </w14:textFill>
        </w:rPr>
        <w:t>五、</w:t>
      </w:r>
      <w:bookmarkEnd w:id="355"/>
      <w:bookmarkEnd w:id="356"/>
      <w:bookmarkEnd w:id="357"/>
      <w:r>
        <w:rPr>
          <w:rFonts w:hint="eastAsia" w:ascii="宋体" w:hAnsi="宋体" w:cs="宋体"/>
          <w:color w:val="000000" w:themeColor="text1"/>
          <w:highlight w:val="none"/>
          <w14:textFill>
            <w14:solidFill>
              <w14:schemeClr w14:val="tx1"/>
            </w14:solidFill>
          </w14:textFill>
        </w:rPr>
        <w:t>监理大纲</w:t>
      </w:r>
    </w:p>
    <w:p>
      <w:pPr>
        <w:spacing w:line="540" w:lineRule="exact"/>
        <w:outlineLvl w:val="0"/>
        <w:rPr>
          <w:rFonts w:ascii="宋体" w:hAnsi="宋体" w:cs="宋体"/>
          <w:color w:val="000000" w:themeColor="text1"/>
          <w:highlight w:val="none"/>
          <w14:textFill>
            <w14:solidFill>
              <w14:schemeClr w14:val="tx1"/>
            </w14:solidFill>
          </w14:textFill>
        </w:rPr>
      </w:pPr>
      <w:bookmarkStart w:id="358" w:name="_Toc10714"/>
      <w:bookmarkStart w:id="359" w:name="_Toc12786"/>
      <w:bookmarkStart w:id="360" w:name="_Toc20369"/>
      <w:r>
        <w:rPr>
          <w:rFonts w:hint="eastAsia" w:ascii="宋体" w:hAnsi="宋体" w:cs="宋体"/>
          <w:color w:val="000000" w:themeColor="text1"/>
          <w:highlight w:val="none"/>
          <w14:textFill>
            <w14:solidFill>
              <w14:schemeClr w14:val="tx1"/>
            </w14:solidFill>
          </w14:textFill>
        </w:rPr>
        <w:t>六、其他资料</w:t>
      </w:r>
      <w:bookmarkEnd w:id="358"/>
      <w:bookmarkEnd w:id="359"/>
      <w:bookmarkEnd w:id="360"/>
    </w:p>
    <w:p>
      <w:pPr>
        <w:pStyle w:val="82"/>
        <w:rPr>
          <w:rFonts w:ascii="宋体" w:hAnsi="宋体"/>
          <w:color w:val="000000" w:themeColor="text1"/>
          <w:highlight w:val="none"/>
          <w14:textFill>
            <w14:solidFill>
              <w14:schemeClr w14:val="tx1"/>
            </w14:solidFill>
          </w14:textFill>
        </w:rPr>
      </w:pPr>
    </w:p>
    <w:p>
      <w:pPr>
        <w:spacing w:line="540" w:lineRule="exact"/>
        <w:rPr>
          <w:rFonts w:ascii="宋体" w:hAnsi="宋体"/>
          <w:color w:val="000000" w:themeColor="text1"/>
          <w:sz w:val="20"/>
          <w:highlight w:val="none"/>
          <w14:textFill>
            <w14:solidFill>
              <w14:schemeClr w14:val="tx1"/>
            </w14:solidFill>
          </w14:textFill>
        </w:rPr>
      </w:pPr>
    </w:p>
    <w:bookmarkEnd w:id="340"/>
    <w:bookmarkEnd w:id="341"/>
    <w:bookmarkEnd w:id="342"/>
    <w:p>
      <w:pPr>
        <w:pStyle w:val="3"/>
        <w:spacing w:line="360" w:lineRule="auto"/>
        <w:jc w:val="center"/>
        <w:rPr>
          <w:rFonts w:ascii="宋体" w:hAnsi="宋体" w:eastAsia="宋体"/>
          <w:color w:val="000000" w:themeColor="text1"/>
          <w:highlight w:val="none"/>
          <w14:textFill>
            <w14:solidFill>
              <w14:schemeClr w14:val="tx1"/>
            </w14:solidFill>
          </w14:textFill>
        </w:rPr>
      </w:pPr>
      <w:bookmarkStart w:id="361" w:name="_Toc515450413"/>
      <w:bookmarkStart w:id="362" w:name="_Toc492300720"/>
      <w:bookmarkStart w:id="363" w:name="_Toc516145371"/>
      <w:r>
        <w:rPr>
          <w:rFonts w:ascii="宋体" w:hAnsi="宋体" w:eastAsia="宋体"/>
          <w:color w:val="000000" w:themeColor="text1"/>
          <w:highlight w:val="none"/>
          <w14:textFill>
            <w14:solidFill>
              <w14:schemeClr w14:val="tx1"/>
            </w14:solidFill>
          </w14:textFill>
        </w:rPr>
        <w:br w:type="page"/>
      </w:r>
      <w:r>
        <w:rPr>
          <w:rFonts w:ascii="宋体" w:hAnsi="宋体" w:eastAsia="宋体"/>
          <w:color w:val="000000" w:themeColor="text1"/>
          <w:highlight w:val="none"/>
          <w14:textFill>
            <w14:solidFill>
              <w14:schemeClr w14:val="tx1"/>
            </w14:solidFill>
          </w14:textFill>
        </w:rPr>
        <w:t>一、投标</w:t>
      </w:r>
      <w:bookmarkStart w:id="364" w:name="_Toc352691656"/>
      <w:bookmarkStart w:id="365" w:name="_Toc6931"/>
      <w:bookmarkStart w:id="366" w:name="_Toc369531692"/>
      <w:r>
        <w:rPr>
          <w:rFonts w:ascii="宋体" w:hAnsi="宋体" w:eastAsia="宋体"/>
          <w:color w:val="000000" w:themeColor="text1"/>
          <w:highlight w:val="none"/>
          <w14:textFill>
            <w14:solidFill>
              <w14:schemeClr w14:val="tx1"/>
            </w14:solidFill>
          </w14:textFill>
        </w:rPr>
        <w:t>函及投标函附录</w:t>
      </w:r>
      <w:bookmarkEnd w:id="361"/>
      <w:bookmarkEnd w:id="362"/>
      <w:bookmarkEnd w:id="363"/>
    </w:p>
    <w:bookmarkEnd w:id="364"/>
    <w:bookmarkEnd w:id="365"/>
    <w:bookmarkEnd w:id="366"/>
    <w:p>
      <w:pPr>
        <w:spacing w:line="360" w:lineRule="auto"/>
        <w:ind w:left="118"/>
        <w:jc w:val="center"/>
        <w:outlineLvl w:val="2"/>
        <w:rPr>
          <w:rFonts w:ascii="宋体" w:hAnsi="宋体"/>
          <w:b/>
          <w:bCs/>
          <w:color w:val="000000" w:themeColor="text1"/>
          <w:kern w:val="0"/>
          <w:sz w:val="32"/>
          <w:szCs w:val="28"/>
          <w:highlight w:val="none"/>
          <w14:textFill>
            <w14:solidFill>
              <w14:schemeClr w14:val="tx1"/>
            </w14:solidFill>
          </w14:textFill>
        </w:rPr>
      </w:pPr>
      <w:bookmarkStart w:id="367" w:name="_Toc482188651"/>
      <w:bookmarkStart w:id="368" w:name="_Toc385943065"/>
      <w:bookmarkStart w:id="369" w:name="_Toc530470643"/>
      <w:bookmarkStart w:id="370" w:name="_Toc370676426"/>
      <w:bookmarkStart w:id="371" w:name="_Toc359594235"/>
      <w:bookmarkStart w:id="372" w:name="_Toc529196601"/>
      <w:bookmarkStart w:id="373" w:name="_Toc391394111"/>
      <w:bookmarkStart w:id="374" w:name="_Toc535938752"/>
      <w:r>
        <w:rPr>
          <w:rFonts w:hint="eastAsia" w:ascii="宋体" w:hAnsi="宋体"/>
          <w:b/>
          <w:bCs/>
          <w:color w:val="000000" w:themeColor="text1"/>
          <w:kern w:val="0"/>
          <w:sz w:val="32"/>
          <w:szCs w:val="28"/>
          <w:highlight w:val="none"/>
          <w14:textFill>
            <w14:solidFill>
              <w14:schemeClr w14:val="tx1"/>
            </w14:solidFill>
          </w14:textFill>
        </w:rPr>
        <w:t>（一）投标函</w:t>
      </w:r>
      <w:bookmarkEnd w:id="367"/>
      <w:bookmarkEnd w:id="368"/>
      <w:bookmarkEnd w:id="369"/>
      <w:bookmarkEnd w:id="370"/>
      <w:bookmarkEnd w:id="371"/>
      <w:bookmarkEnd w:id="372"/>
      <w:bookmarkEnd w:id="373"/>
      <w:bookmarkEnd w:id="374"/>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（招标人名称）：</w:t>
      </w:r>
    </w:p>
    <w:p>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1．我方已仔细研究了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（项目名称）监理招标项目招标文件的全部内容，愿意以《投标函附录》中的投标报价和监理服务期限，按合同约定完成监理工作。</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bookmarkStart w:id="375" w:name="_Toc530470644"/>
      <w:r>
        <w:rPr>
          <w:rFonts w:hint="eastAsia" w:ascii="宋体" w:hAnsi="宋体" w:cs="宋体"/>
          <w:color w:val="000000" w:themeColor="text1"/>
          <w:szCs w:val="21"/>
          <w:highlight w:val="none"/>
          <w14:textFill>
            <w14:solidFill>
              <w14:schemeClr w14:val="tx1"/>
            </w14:solidFill>
          </w14:textFill>
        </w:rPr>
        <w:t>2. 我方的投标文件包括下列内容：</w:t>
      </w:r>
      <w:bookmarkEnd w:id="375"/>
    </w:p>
    <w:p>
      <w:pPr>
        <w:spacing w:line="360" w:lineRule="auto"/>
        <w:ind w:firstLine="40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（1）投标函及投标函附录；</w:t>
      </w:r>
    </w:p>
    <w:p>
      <w:pPr>
        <w:spacing w:line="360" w:lineRule="auto"/>
        <w:ind w:firstLine="40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（2）法定代表人身份证明或授权委托书（如有）；</w:t>
      </w:r>
    </w:p>
    <w:p>
      <w:pPr>
        <w:spacing w:line="360" w:lineRule="auto"/>
        <w:ind w:firstLine="405"/>
        <w:rPr>
          <w:rFonts w:hint="eastAsia" w:ascii="宋体" w:hAnsi="宋体" w:cs="宋体"/>
          <w:strike/>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（3）监理报酬清单；</w:t>
      </w:r>
    </w:p>
    <w:p>
      <w:pPr>
        <w:spacing w:line="360" w:lineRule="auto"/>
        <w:ind w:firstLine="40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（4）资格审查资料；</w:t>
      </w:r>
    </w:p>
    <w:p>
      <w:pPr>
        <w:spacing w:line="360" w:lineRule="auto"/>
        <w:ind w:firstLine="40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（5）监理大纲；</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（6）其他资料。</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投标文件的上述组成部分如存在内容不一致的，以投标函为准。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3．我方承诺在招标文件规定的投标有效期</w:t>
      </w:r>
      <w:r>
        <w:rPr>
          <w:rFonts w:hint="eastAsia" w:ascii="宋体" w:hAnsi="宋体" w:cs="宋体"/>
          <w:color w:val="000000" w:themeColor="text1"/>
          <w:szCs w:val="21"/>
          <w:highlight w:val="none"/>
          <w:u w:val="single"/>
          <w14:textFill>
            <w14:solidFill>
              <w14:schemeClr w14:val="tx1"/>
            </w14:solidFill>
          </w14:textFill>
        </w:rPr>
        <w:t>90</w:t>
      </w:r>
      <w:r>
        <w:rPr>
          <w:rFonts w:hint="eastAsia" w:ascii="宋体" w:hAnsi="宋体" w:cs="宋体"/>
          <w:color w:val="000000" w:themeColor="text1"/>
          <w:szCs w:val="21"/>
          <w:highlight w:val="none"/>
          <w14:textFill>
            <w14:solidFill>
              <w14:schemeClr w14:val="tx1"/>
            </w14:solidFill>
          </w14:textFill>
        </w:rPr>
        <w:t>日历天内不撤销投标文件。</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4．如我方中标，我方承诺：</w:t>
      </w:r>
    </w:p>
    <w:p>
      <w:pPr>
        <w:spacing w:line="360" w:lineRule="auto"/>
        <w:ind w:firstLine="619" w:firstLineChars="29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（1）在收到中标通知书后，在中标通知书规定的期限内与你方签订合同；</w:t>
      </w:r>
    </w:p>
    <w:p>
      <w:pPr>
        <w:spacing w:line="360" w:lineRule="auto"/>
        <w:ind w:firstLine="619" w:firstLineChars="29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（2）在签订合同时不向你方提出附加条件；</w:t>
      </w:r>
    </w:p>
    <w:p>
      <w:pPr>
        <w:spacing w:line="360" w:lineRule="auto"/>
        <w:ind w:firstLine="619" w:firstLineChars="295"/>
        <w:rPr>
          <w:rFonts w:hint="eastAsia" w:ascii="宋体" w:hAnsi="宋体" w:cs="宋体"/>
          <w:strike/>
          <w:color w:val="000000" w:themeColor="text1"/>
          <w:szCs w:val="21"/>
          <w:highlight w:val="none"/>
          <w14:textFill>
            <w14:solidFill>
              <w14:schemeClr w14:val="tx1"/>
            </w14:solidFill>
          </w14:textFill>
        </w:rPr>
      </w:pPr>
      <w:r>
        <w:rPr>
          <w:rFonts w:hint="eastAsia" w:ascii="宋体" w:hAnsi="宋体" w:cs="宋体"/>
          <w:strike/>
          <w:color w:val="000000" w:themeColor="text1"/>
          <w:szCs w:val="21"/>
          <w:highlight w:val="none"/>
          <w14:textFill>
            <w14:solidFill>
              <w14:schemeClr w14:val="tx1"/>
            </w14:solidFill>
          </w14:textFill>
        </w:rPr>
        <w:t>（3）按照招标文件要求提交履约保证金；</w:t>
      </w:r>
      <w:bookmarkStart w:id="376" w:name="_Toc369531694"/>
      <w:bookmarkStart w:id="377" w:name="_Toc352691658"/>
      <w:bookmarkStart w:id="378" w:name="_Toc1187"/>
    </w:p>
    <w:p>
      <w:pPr>
        <w:spacing w:line="360" w:lineRule="auto"/>
        <w:ind w:firstLine="619" w:firstLineChars="29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（4）在合</w:t>
      </w:r>
      <w:bookmarkEnd w:id="376"/>
      <w:bookmarkEnd w:id="377"/>
      <w:bookmarkEnd w:id="378"/>
      <w:r>
        <w:rPr>
          <w:rFonts w:hint="eastAsia" w:ascii="宋体" w:hAnsi="宋体" w:cs="宋体"/>
          <w:color w:val="000000" w:themeColor="text1"/>
          <w:szCs w:val="21"/>
          <w:highlight w:val="none"/>
          <w14:textFill>
            <w14:solidFill>
              <w14:schemeClr w14:val="tx1"/>
            </w14:solidFill>
          </w14:textFill>
        </w:rPr>
        <w:t>同约定的期限内完成合同规定的全部义务。</w:t>
      </w:r>
    </w:p>
    <w:p>
      <w:pPr>
        <w:spacing w:line="360" w:lineRule="auto"/>
        <w:ind w:firstLine="619" w:firstLineChars="295"/>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（5）除伤亡、吊销监理工程师执业资格等合法原因不能再从事监理工作情形外，如我方更换项目总监、总监代表，接受贵</w:t>
      </w:r>
      <w:r>
        <w:rPr>
          <w:rFonts w:hint="eastAsia" w:ascii="宋体" w:hAnsi="宋体" w:cs="宋体"/>
          <w:color w:val="000000" w:themeColor="text1"/>
          <w:spacing w:val="4"/>
          <w:szCs w:val="21"/>
          <w:highlight w:val="none"/>
          <w:lang w:val="en-US" w:eastAsia="zh-CN"/>
          <w14:textFill>
            <w14:solidFill>
              <w14:schemeClr w14:val="tx1"/>
            </w14:solidFill>
          </w14:textFill>
        </w:rPr>
        <w:t>单位</w:t>
      </w:r>
      <w:r>
        <w:rPr>
          <w:rFonts w:hint="eastAsia" w:ascii="宋体" w:hAnsi="宋体" w:cs="宋体"/>
          <w:color w:val="000000" w:themeColor="text1"/>
          <w:szCs w:val="21"/>
          <w:highlight w:val="none"/>
          <w14:textFill>
            <w14:solidFill>
              <w14:schemeClr w14:val="tx1"/>
            </w14:solidFill>
          </w14:textFill>
        </w:rPr>
        <w:t>1年内拒绝我方参与贵单位后续工程投标的处理。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5．我方在此声明，</w:t>
      </w:r>
      <w:bookmarkStart w:id="379" w:name="_Hlk22686284"/>
      <w:r>
        <w:rPr>
          <w:rFonts w:hint="eastAsia" w:ascii="宋体" w:hAnsi="宋体" w:cs="宋体"/>
          <w:color w:val="000000" w:themeColor="text1"/>
          <w:szCs w:val="21"/>
          <w:highlight w:val="none"/>
          <w14:textFill>
            <w14:solidFill>
              <w14:schemeClr w14:val="tx1"/>
            </w14:solidFill>
          </w14:textFill>
        </w:rPr>
        <w:t>所递交的投标文件</w:t>
      </w:r>
      <w:bookmarkEnd w:id="379"/>
      <w:r>
        <w:rPr>
          <w:rFonts w:hint="eastAsia" w:ascii="宋体" w:hAnsi="宋体" w:cs="宋体"/>
          <w:color w:val="000000" w:themeColor="text1"/>
          <w:szCs w:val="21"/>
          <w:highlight w:val="none"/>
          <w14:textFill>
            <w14:solidFill>
              <w14:schemeClr w14:val="tx1"/>
            </w14:solidFill>
          </w14:textFill>
        </w:rPr>
        <w:t>及有关资料内容完整、真实和准确，且不存在第二章“投标人须知”第1.4.3项规定的任何一种情形。</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 如我方中标，我方承诺，满足“委托人要求”中的所有内容。</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如我方中标，我方承诺：我司提交的所有投标资料真实可靠，并在中标通知书发放之前，如招标人、建设行政管理部门、工程招标监督机构等提出复查投标资料原件的，我方在3个工作日之内提供。如未能及时提供或提供核查的原件不齐全或者投标资料弄虚作假的，我方将承担与此有关的一切责任，包括但不限于取消投标资格或中标资格（如果已取得中标）、接受行政监督部门的行政处罚等。</w:t>
      </w:r>
    </w:p>
    <w:p>
      <w:pPr>
        <w:spacing w:line="360" w:lineRule="auto"/>
        <w:ind w:firstLine="2520" w:firstLineChars="1200"/>
        <w:jc w:val="left"/>
        <w:rPr>
          <w:rFonts w:hint="eastAsia" w:ascii="宋体" w:hAnsi="宋体" w:cs="宋体"/>
          <w:color w:val="000000" w:themeColor="text1"/>
          <w:szCs w:val="21"/>
          <w:highlight w:val="none"/>
          <w14:textFill>
            <w14:solidFill>
              <w14:schemeClr w14:val="tx1"/>
            </w14:solidFill>
          </w14:textFill>
        </w:rPr>
      </w:pPr>
    </w:p>
    <w:p>
      <w:pPr>
        <w:spacing w:line="360" w:lineRule="auto"/>
        <w:ind w:firstLine="2520" w:firstLineChars="1200"/>
        <w:jc w:val="left"/>
        <w:rPr>
          <w:rFonts w:hint="eastAsia" w:ascii="宋体" w:hAnsi="宋体" w:cs="宋体"/>
          <w:color w:val="000000" w:themeColor="text1"/>
          <w:szCs w:val="21"/>
          <w:highlight w:val="none"/>
          <w14:textFill>
            <w14:solidFill>
              <w14:schemeClr w14:val="tx1"/>
            </w14:solidFill>
          </w14:textFill>
        </w:rPr>
      </w:pPr>
    </w:p>
    <w:p>
      <w:pPr>
        <w:spacing w:line="360" w:lineRule="auto"/>
        <w:ind w:firstLine="2835" w:firstLineChars="13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（盖单位章）</w:t>
      </w:r>
    </w:p>
    <w:p>
      <w:pPr>
        <w:spacing w:line="360" w:lineRule="auto"/>
        <w:ind w:firstLine="2835" w:firstLineChars="135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法定代表人(或被授权人)：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（签字或盖章）</w:t>
      </w:r>
    </w:p>
    <w:p>
      <w:pPr>
        <w:spacing w:line="360" w:lineRule="auto"/>
        <w:ind w:firstLine="2835" w:firstLineChars="13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firstLine="2835" w:firstLineChars="13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网址：</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right="85" w:firstLine="2835" w:firstLineChars="13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firstLine="2835" w:firstLineChars="13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传真：</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firstLine="2835" w:firstLineChars="135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360" w:lineRule="auto"/>
        <w:ind w:firstLine="5880" w:firstLineChars="28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rPr>
          <w:rFonts w:ascii="宋体" w:hAnsi="宋体"/>
          <w:color w:val="000000" w:themeColor="text1"/>
          <w:highlight w:val="none"/>
          <w14:textFill>
            <w14:solidFill>
              <w14:schemeClr w14:val="tx1"/>
            </w14:solidFill>
          </w14:textFill>
        </w:rPr>
      </w:pPr>
      <w:bookmarkStart w:id="380" w:name="_Toc369531697"/>
      <w:bookmarkStart w:id="381" w:name="_Toc247527827"/>
      <w:bookmarkStart w:id="382" w:name="_Toc300835209"/>
      <w:bookmarkStart w:id="383" w:name="_Toc17960"/>
      <w:bookmarkStart w:id="384" w:name="_Toc152045787"/>
      <w:bookmarkStart w:id="385" w:name="_Toc384308375"/>
      <w:bookmarkStart w:id="386" w:name="_Toc144974856"/>
      <w:bookmarkStart w:id="387" w:name="_Toc247514246"/>
      <w:bookmarkStart w:id="388" w:name="_Toc361508752"/>
      <w:bookmarkStart w:id="389" w:name="_Toc352691661"/>
      <w:bookmarkStart w:id="390" w:name="_Toc152042576"/>
      <w:r>
        <w:rPr>
          <w:rFonts w:ascii="宋体" w:hAnsi="宋体"/>
          <w:color w:val="000000" w:themeColor="text1"/>
          <w:szCs w:val="21"/>
          <w:highlight w:val="none"/>
          <w14:textFill>
            <w14:solidFill>
              <w14:schemeClr w14:val="tx1"/>
            </w14:solidFill>
          </w14:textFill>
        </w:rPr>
        <w:br w:type="page"/>
      </w:r>
    </w:p>
    <w:p>
      <w:pPr>
        <w:spacing w:line="360" w:lineRule="auto"/>
        <w:jc w:val="center"/>
        <w:rPr>
          <w:rFonts w:ascii="宋体" w:hAnsi="宋体"/>
          <w:color w:val="000000" w:themeColor="text1"/>
          <w:sz w:val="32"/>
          <w:szCs w:val="32"/>
          <w:highlight w:val="none"/>
          <w14:textFill>
            <w14:solidFill>
              <w14:schemeClr w14:val="tx1"/>
            </w14:solidFill>
          </w14:textFill>
        </w:rPr>
      </w:pPr>
      <w:bookmarkStart w:id="391" w:name="_Toc385943066"/>
      <w:bookmarkStart w:id="392" w:name="_Toc482188652"/>
      <w:bookmarkStart w:id="393" w:name="_Toc370676427"/>
      <w:bookmarkStart w:id="394" w:name="_Toc492300722"/>
      <w:bookmarkStart w:id="395" w:name="_Toc391394112"/>
      <w:bookmarkStart w:id="396" w:name="_Toc515450415"/>
      <w:bookmarkStart w:id="397" w:name="_Toc516145373"/>
      <w:bookmarkStart w:id="398" w:name="_Toc359594236"/>
      <w:r>
        <w:rPr>
          <w:rFonts w:hint="eastAsia" w:ascii="宋体" w:hAnsi="宋体"/>
          <w:b/>
          <w:bCs/>
          <w:color w:val="000000" w:themeColor="text1"/>
          <w:kern w:val="0"/>
          <w:sz w:val="32"/>
          <w:szCs w:val="32"/>
          <w:highlight w:val="none"/>
          <w14:textFill>
            <w14:solidFill>
              <w14:schemeClr w14:val="tx1"/>
            </w14:solidFill>
          </w14:textFill>
        </w:rPr>
        <w:t>（二）投标函附录</w:t>
      </w:r>
      <w:bookmarkEnd w:id="391"/>
      <w:bookmarkEnd w:id="392"/>
      <w:bookmarkEnd w:id="393"/>
      <w:bookmarkEnd w:id="394"/>
      <w:bookmarkEnd w:id="395"/>
      <w:bookmarkEnd w:id="396"/>
      <w:bookmarkEnd w:id="397"/>
      <w:bookmarkEnd w:id="398"/>
    </w:p>
    <w:tbl>
      <w:tblPr>
        <w:tblStyle w:val="46"/>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12"/>
        <w:gridCol w:w="4711"/>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序号</w:t>
            </w:r>
          </w:p>
        </w:tc>
        <w:tc>
          <w:tcPr>
            <w:tcW w:w="1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条款名称</w:t>
            </w:r>
          </w:p>
        </w:tc>
        <w:tc>
          <w:tcPr>
            <w:tcW w:w="47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约定内容</w:t>
            </w:r>
          </w:p>
        </w:tc>
        <w:tc>
          <w:tcPr>
            <w:tcW w:w="164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99"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400" w:lineRule="exact"/>
              <w:contextualSpacing/>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1812"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400" w:lineRule="exact"/>
              <w:contextualSpacing/>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总监理工程师</w:t>
            </w:r>
          </w:p>
        </w:tc>
        <w:tc>
          <w:tcPr>
            <w:tcW w:w="4711" w:type="dxa"/>
            <w:tcBorders>
              <w:top w:val="single" w:color="auto" w:sz="4" w:space="0"/>
              <w:left w:val="single" w:color="auto" w:sz="4" w:space="0"/>
              <w:bottom w:val="single" w:color="auto" w:sz="4" w:space="0"/>
              <w:right w:val="single" w:color="auto" w:sz="4" w:space="0"/>
            </w:tcBorders>
            <w:noWrap/>
            <w:vAlign w:val="center"/>
          </w:tcPr>
          <w:p>
            <w:pPr>
              <w:spacing w:line="400" w:lineRule="exact"/>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p>
          <w:p>
            <w:pPr>
              <w:pStyle w:val="18"/>
              <w:topLinePunct/>
              <w:spacing w:line="400" w:lineRule="exact"/>
              <w:contextualSpacing/>
              <w:rPr>
                <w:rFonts w:hAnsi="宋体"/>
                <w:color w:val="000000" w:themeColor="text1"/>
                <w:kern w:val="2"/>
                <w:szCs w:val="24"/>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注册证号：</w:t>
            </w:r>
          </w:p>
        </w:tc>
        <w:tc>
          <w:tcPr>
            <w:tcW w:w="1649"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820" w:firstLineChars="342"/>
              <w:contextualSpacing/>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noWrap/>
            <w:vAlign w:val="center"/>
          </w:tcPr>
          <w:p>
            <w:pPr>
              <w:spacing w:line="400" w:lineRule="exact"/>
              <w:contextualSpacing/>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p>
        </w:tc>
        <w:tc>
          <w:tcPr>
            <w:tcW w:w="1812"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400" w:lineRule="exact"/>
              <w:contextualSpacing/>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监理服务期限</w:t>
            </w:r>
          </w:p>
        </w:tc>
        <w:tc>
          <w:tcPr>
            <w:tcW w:w="4711" w:type="dxa"/>
            <w:tcBorders>
              <w:top w:val="single" w:color="auto" w:sz="4" w:space="0"/>
              <w:left w:val="single" w:color="auto" w:sz="4" w:space="0"/>
              <w:bottom w:val="single" w:color="auto" w:sz="4" w:space="0"/>
              <w:right w:val="single" w:color="auto" w:sz="4" w:space="0"/>
            </w:tcBorders>
            <w:noWrap/>
            <w:vAlign w:val="center"/>
          </w:tcPr>
          <w:p>
            <w:pPr>
              <w:pStyle w:val="18"/>
              <w:topLinePunct/>
              <w:spacing w:line="400" w:lineRule="exact"/>
              <w:contextualSpacing/>
              <w:rPr>
                <w:rFonts w:hint="eastAsia" w:hAnsi="宋体" w:eastAsia="宋体"/>
                <w:color w:val="000000" w:themeColor="text1"/>
                <w:kern w:val="2"/>
                <w:szCs w:val="24"/>
                <w:highlight w:val="none"/>
                <w:lang w:eastAsia="zh-CN"/>
                <w14:textFill>
                  <w14:solidFill>
                    <w14:schemeClr w14:val="tx1"/>
                  </w14:solidFill>
                </w14:textFill>
              </w:rPr>
            </w:pPr>
            <w:r>
              <w:rPr>
                <w:rFonts w:hint="eastAsia" w:hAnsi="宋体"/>
                <w:color w:val="000000" w:themeColor="text1"/>
                <w:kern w:val="2"/>
                <w:szCs w:val="24"/>
                <w:highlight w:val="none"/>
                <w:u w:val="single"/>
                <w14:textFill>
                  <w14:solidFill>
                    <w14:schemeClr w14:val="tx1"/>
                  </w14:solidFill>
                </w14:textFill>
              </w:rPr>
              <w:t>按招标文件要求</w:t>
            </w:r>
            <w:r>
              <w:rPr>
                <w:rFonts w:hint="eastAsia" w:hAnsi="宋体"/>
                <w:color w:val="000000" w:themeColor="text1"/>
                <w:kern w:val="2"/>
                <w:szCs w:val="24"/>
                <w:highlight w:val="none"/>
                <w:u w:val="single"/>
                <w:lang w:eastAsia="zh-CN"/>
                <w14:textFill>
                  <w14:solidFill>
                    <w14:schemeClr w14:val="tx1"/>
                  </w14:solidFill>
                </w14:textFill>
              </w:rPr>
              <w:t>。</w:t>
            </w:r>
          </w:p>
        </w:tc>
        <w:tc>
          <w:tcPr>
            <w:tcW w:w="1649" w:type="dxa"/>
            <w:tcBorders>
              <w:top w:val="single" w:color="auto" w:sz="4" w:space="0"/>
              <w:left w:val="single" w:color="auto" w:sz="4" w:space="0"/>
              <w:bottom w:val="single" w:color="auto" w:sz="4" w:space="0"/>
              <w:right w:val="single" w:color="auto" w:sz="4" w:space="0"/>
            </w:tcBorders>
            <w:noWrap/>
            <w:vAlign w:val="center"/>
          </w:tcPr>
          <w:p>
            <w:pPr>
              <w:spacing w:line="400" w:lineRule="exact"/>
              <w:contextualSpacing/>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noWrap/>
            <w:vAlign w:val="center"/>
          </w:tcPr>
          <w:p>
            <w:pPr>
              <w:tabs>
                <w:tab w:val="left" w:pos="360"/>
              </w:tabs>
              <w:spacing w:line="400" w:lineRule="exact"/>
              <w:contextualSpacing/>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p>
        </w:tc>
        <w:tc>
          <w:tcPr>
            <w:tcW w:w="1812" w:type="dxa"/>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line="400" w:lineRule="exact"/>
              <w:contextualSpacing/>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合同价款确定方式</w:t>
            </w:r>
          </w:p>
        </w:tc>
        <w:tc>
          <w:tcPr>
            <w:tcW w:w="4711" w:type="dxa"/>
            <w:tcBorders>
              <w:top w:val="single" w:color="auto" w:sz="4" w:space="0"/>
              <w:left w:val="single" w:color="auto" w:sz="4" w:space="0"/>
              <w:bottom w:val="single" w:color="auto" w:sz="4" w:space="0"/>
              <w:right w:val="single" w:color="auto" w:sz="4" w:space="0"/>
            </w:tcBorders>
            <w:noWrap/>
            <w:vAlign w:val="center"/>
          </w:tcPr>
          <w:p>
            <w:pPr>
              <w:spacing w:line="400" w:lineRule="exact"/>
              <w:contextualSpacing/>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按合同约定</w:t>
            </w:r>
            <w:r>
              <w:rPr>
                <w:rFonts w:hint="eastAsia" w:ascii="宋体" w:hAnsi="宋体"/>
                <w:color w:val="000000" w:themeColor="text1"/>
                <w:sz w:val="24"/>
                <w:highlight w:val="none"/>
                <w:u w:val="single"/>
                <w:lang w:eastAsia="zh-CN"/>
                <w14:textFill>
                  <w14:solidFill>
                    <w14:schemeClr w14:val="tx1"/>
                  </w14:solidFill>
                </w14:textFill>
              </w:rPr>
              <w:t>。</w:t>
            </w:r>
          </w:p>
        </w:tc>
        <w:tc>
          <w:tcPr>
            <w:tcW w:w="1649" w:type="dxa"/>
            <w:tcBorders>
              <w:top w:val="single" w:color="auto" w:sz="4" w:space="0"/>
              <w:left w:val="single" w:color="auto" w:sz="4" w:space="0"/>
              <w:bottom w:val="single" w:color="auto" w:sz="4" w:space="0"/>
              <w:right w:val="single" w:color="auto" w:sz="4" w:space="0"/>
            </w:tcBorders>
            <w:noWrap/>
            <w:vAlign w:val="center"/>
          </w:tcPr>
          <w:p>
            <w:pPr>
              <w:tabs>
                <w:tab w:val="left" w:pos="360"/>
              </w:tabs>
              <w:spacing w:line="400" w:lineRule="exact"/>
              <w:contextualSpacing/>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noWrap/>
            <w:vAlign w:val="center"/>
          </w:tcPr>
          <w:p>
            <w:pPr>
              <w:spacing w:line="400" w:lineRule="exact"/>
              <w:contextualSpacing/>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p>
        </w:tc>
        <w:tc>
          <w:tcPr>
            <w:tcW w:w="1812" w:type="dxa"/>
            <w:tcBorders>
              <w:top w:val="single" w:color="auto" w:sz="4" w:space="0"/>
              <w:left w:val="single" w:color="auto" w:sz="4" w:space="0"/>
              <w:bottom w:val="single" w:color="auto" w:sz="4" w:space="0"/>
              <w:right w:val="single" w:color="auto" w:sz="4" w:space="0"/>
            </w:tcBorders>
            <w:noWrap/>
            <w:vAlign w:val="center"/>
          </w:tcPr>
          <w:p>
            <w:pPr>
              <w:spacing w:line="400" w:lineRule="exact"/>
              <w:contextualSpacing/>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质量标准</w:t>
            </w:r>
          </w:p>
        </w:tc>
        <w:tc>
          <w:tcPr>
            <w:tcW w:w="4711" w:type="dxa"/>
            <w:tcBorders>
              <w:top w:val="single" w:color="auto" w:sz="4" w:space="0"/>
              <w:left w:val="single" w:color="auto" w:sz="4" w:space="0"/>
              <w:bottom w:val="single" w:color="auto" w:sz="4" w:space="0"/>
              <w:right w:val="single" w:color="auto" w:sz="4" w:space="0"/>
            </w:tcBorders>
            <w:noWrap/>
            <w:vAlign w:val="center"/>
          </w:tcPr>
          <w:p>
            <w:pPr>
              <w:spacing w:line="400" w:lineRule="exact"/>
              <w:contextualSpacing/>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u w:val="single"/>
                <w14:textFill>
                  <w14:solidFill>
                    <w14:schemeClr w14:val="tx1"/>
                  </w14:solidFill>
                </w14:textFill>
              </w:rPr>
              <w:t>按招标文件要求</w:t>
            </w:r>
            <w:r>
              <w:rPr>
                <w:rFonts w:hint="eastAsia" w:ascii="宋体" w:hAnsi="宋体"/>
                <w:color w:val="000000" w:themeColor="text1"/>
                <w:sz w:val="24"/>
                <w:szCs w:val="24"/>
                <w:highlight w:val="none"/>
                <w:u w:val="single"/>
                <w:lang w:eastAsia="zh-CN"/>
                <w14:textFill>
                  <w14:solidFill>
                    <w14:schemeClr w14:val="tx1"/>
                  </w14:solidFill>
                </w14:textFill>
              </w:rPr>
              <w:t>。</w:t>
            </w:r>
          </w:p>
        </w:tc>
        <w:tc>
          <w:tcPr>
            <w:tcW w:w="1649" w:type="dxa"/>
            <w:tcBorders>
              <w:top w:val="single" w:color="auto" w:sz="4" w:space="0"/>
              <w:left w:val="single" w:color="auto" w:sz="4" w:space="0"/>
              <w:bottom w:val="single" w:color="auto" w:sz="4" w:space="0"/>
              <w:right w:val="single" w:color="auto" w:sz="4" w:space="0"/>
            </w:tcBorders>
            <w:noWrap/>
            <w:vAlign w:val="center"/>
          </w:tcPr>
          <w:p>
            <w:pPr>
              <w:tabs>
                <w:tab w:val="left" w:pos="360"/>
              </w:tabs>
              <w:spacing w:line="400" w:lineRule="exact"/>
              <w:contextualSpacing/>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noWrap/>
            <w:vAlign w:val="center"/>
          </w:tcPr>
          <w:p>
            <w:pPr>
              <w:spacing w:line="400" w:lineRule="exact"/>
              <w:contextualSpacing/>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p>
        </w:tc>
        <w:tc>
          <w:tcPr>
            <w:tcW w:w="1812" w:type="dxa"/>
            <w:tcBorders>
              <w:top w:val="single" w:color="auto" w:sz="4" w:space="0"/>
              <w:left w:val="single" w:color="auto" w:sz="4" w:space="0"/>
              <w:bottom w:val="single" w:color="auto" w:sz="4" w:space="0"/>
              <w:right w:val="single" w:color="auto" w:sz="4" w:space="0"/>
            </w:tcBorders>
            <w:noWrap/>
            <w:vAlign w:val="center"/>
          </w:tcPr>
          <w:p>
            <w:pPr>
              <w:spacing w:line="400" w:lineRule="exact"/>
              <w:contextualSpacing/>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拟投入本项目监理机构人数</w:t>
            </w:r>
          </w:p>
        </w:tc>
        <w:tc>
          <w:tcPr>
            <w:tcW w:w="4711" w:type="dxa"/>
            <w:tcBorders>
              <w:top w:val="single" w:color="auto" w:sz="4" w:space="0"/>
              <w:left w:val="single" w:color="auto" w:sz="4" w:space="0"/>
              <w:bottom w:val="single" w:color="auto" w:sz="4" w:space="0"/>
              <w:right w:val="single" w:color="auto" w:sz="4" w:space="0"/>
            </w:tcBorders>
            <w:noWrap/>
            <w:vAlign w:val="center"/>
          </w:tcPr>
          <w:p>
            <w:pPr>
              <w:spacing w:line="400" w:lineRule="exact"/>
              <w:contextualSpacing/>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人数：</w:t>
            </w:r>
          </w:p>
        </w:tc>
        <w:tc>
          <w:tcPr>
            <w:tcW w:w="1649" w:type="dxa"/>
            <w:tcBorders>
              <w:top w:val="single" w:color="auto" w:sz="4" w:space="0"/>
              <w:left w:val="single" w:color="auto" w:sz="4" w:space="0"/>
              <w:bottom w:val="single" w:color="auto" w:sz="4" w:space="0"/>
              <w:right w:val="single" w:color="auto" w:sz="4" w:space="0"/>
            </w:tcBorders>
            <w:noWrap/>
            <w:vAlign w:val="center"/>
          </w:tcPr>
          <w:p>
            <w:pPr>
              <w:tabs>
                <w:tab w:val="left" w:pos="360"/>
              </w:tabs>
              <w:spacing w:line="400" w:lineRule="exact"/>
              <w:contextualSpacing/>
              <w:jc w:val="center"/>
              <w:rPr>
                <w:rFonts w:ascii="宋体"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9" w:type="dxa"/>
            <w:tcBorders>
              <w:top w:val="single" w:color="auto" w:sz="4" w:space="0"/>
              <w:left w:val="single" w:color="auto" w:sz="4" w:space="0"/>
              <w:bottom w:val="single" w:color="auto" w:sz="4" w:space="0"/>
              <w:right w:val="single" w:color="auto" w:sz="4" w:space="0"/>
            </w:tcBorders>
            <w:noWrap/>
            <w:vAlign w:val="center"/>
          </w:tcPr>
          <w:p>
            <w:pPr>
              <w:spacing w:line="400" w:lineRule="exact"/>
              <w:contextualSpacing/>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w:t>
            </w:r>
          </w:p>
        </w:tc>
        <w:tc>
          <w:tcPr>
            <w:tcW w:w="1812" w:type="dxa"/>
            <w:tcBorders>
              <w:top w:val="single" w:color="auto" w:sz="4" w:space="0"/>
              <w:left w:val="single" w:color="auto" w:sz="4" w:space="0"/>
              <w:bottom w:val="single" w:color="auto" w:sz="4" w:space="0"/>
              <w:right w:val="single" w:color="auto" w:sz="4" w:space="0"/>
            </w:tcBorders>
            <w:noWrap/>
            <w:vAlign w:val="center"/>
          </w:tcPr>
          <w:p>
            <w:pPr>
              <w:spacing w:line="400" w:lineRule="exact"/>
              <w:contextualSpacing/>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监理费</w:t>
            </w:r>
            <w:r>
              <w:rPr>
                <w:rFonts w:hint="eastAsia" w:ascii="宋体" w:hAnsi="宋体"/>
                <w:color w:val="000000" w:themeColor="text1"/>
                <w:sz w:val="24"/>
                <w:szCs w:val="24"/>
                <w:highlight w:val="none"/>
                <w14:textFill>
                  <w14:solidFill>
                    <w14:schemeClr w14:val="tx1"/>
                  </w14:solidFill>
                </w14:textFill>
              </w:rPr>
              <w:t>投标</w:t>
            </w:r>
          </w:p>
          <w:p>
            <w:pPr>
              <w:spacing w:line="400" w:lineRule="exact"/>
              <w:contextualSpacing/>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总报价</w:t>
            </w:r>
          </w:p>
        </w:tc>
        <w:tc>
          <w:tcPr>
            <w:tcW w:w="4711" w:type="dxa"/>
            <w:tcBorders>
              <w:top w:val="single" w:color="auto" w:sz="4" w:space="0"/>
              <w:left w:val="single" w:color="auto" w:sz="4" w:space="0"/>
              <w:bottom w:val="single" w:color="auto" w:sz="4" w:space="0"/>
              <w:right w:val="single" w:color="auto" w:sz="4" w:space="0"/>
            </w:tcBorders>
            <w:noWrap/>
            <w:vAlign w:val="center"/>
          </w:tcPr>
          <w:p>
            <w:pPr>
              <w:spacing w:before="156" w:beforeLines="50" w:after="156" w:afterLines="50" w:line="400" w:lineRule="exact"/>
              <w:contextualSpacing/>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大写：</w:t>
            </w:r>
            <w:r>
              <w:rPr>
                <w:rFonts w:hint="eastAsia" w:ascii="宋体" w:hAnsi="宋体"/>
                <w:color w:val="000000" w:themeColor="text1"/>
                <w:sz w:val="24"/>
                <w:szCs w:val="24"/>
                <w:highlight w:val="none"/>
                <w:lang w:val="en-US" w:eastAsia="zh-CN"/>
                <w14:textFill>
                  <w14:solidFill>
                    <w14:schemeClr w14:val="tx1"/>
                  </w14:solidFill>
                </w14:textFill>
              </w:rPr>
              <w:t xml:space="preserve">                    元</w:t>
            </w:r>
          </w:p>
          <w:p>
            <w:pPr>
              <w:spacing w:before="156" w:beforeLines="50" w:after="156" w:afterLines="50" w:line="400" w:lineRule="exact"/>
              <w:contextualSpacing/>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小写：</w:t>
            </w:r>
          </w:p>
        </w:tc>
        <w:tc>
          <w:tcPr>
            <w:tcW w:w="1649" w:type="dxa"/>
            <w:tcBorders>
              <w:top w:val="single" w:color="auto" w:sz="4" w:space="0"/>
              <w:left w:val="single" w:color="auto" w:sz="4" w:space="0"/>
              <w:bottom w:val="single" w:color="auto" w:sz="4" w:space="0"/>
              <w:right w:val="single" w:color="auto" w:sz="4" w:space="0"/>
            </w:tcBorders>
            <w:noWrap/>
            <w:vAlign w:val="center"/>
          </w:tcPr>
          <w:p>
            <w:pPr>
              <w:tabs>
                <w:tab w:val="left" w:pos="360"/>
              </w:tabs>
              <w:spacing w:line="400" w:lineRule="exact"/>
              <w:contextualSpacing/>
              <w:jc w:val="left"/>
              <w:rPr>
                <w:rFonts w:ascii="宋体" w:hAnsi="宋体"/>
                <w:b/>
                <w:color w:val="000000" w:themeColor="text1"/>
                <w:szCs w:val="21"/>
                <w:highlight w:val="none"/>
                <w14:textFill>
                  <w14:solidFill>
                    <w14:schemeClr w14:val="tx1"/>
                  </w14:solidFill>
                </w14:textFill>
              </w:rPr>
            </w:pPr>
            <w:r>
              <w:rPr>
                <w:rFonts w:hint="eastAsia" w:ascii="宋体" w:hAnsi="宋体" w:cs="宋体"/>
                <w:bCs/>
                <w:color w:val="000000" w:themeColor="text1"/>
                <w:sz w:val="24"/>
                <w:szCs w:val="24"/>
                <w:highlight w:val="none"/>
                <w:u w:val="single"/>
                <w:lang w:val="en-US" w:eastAsia="zh-CN"/>
                <w14:textFill>
                  <w14:solidFill>
                    <w14:schemeClr w14:val="tx1"/>
                  </w14:solidFill>
                </w14:textFill>
              </w:rPr>
              <w:t>其中：含税单价报价：</w:t>
            </w:r>
            <w:r>
              <w:rPr>
                <w:rFonts w:hint="eastAsia" w:ascii="宋体" w:hAnsi="宋体" w:cs="宋体"/>
                <w:bCs/>
                <w:color w:val="000000" w:themeColor="text1"/>
                <w:sz w:val="24"/>
                <w:szCs w:val="24"/>
                <w:highlight w:val="none"/>
                <w:u w:val="single"/>
                <w14:textFill>
                  <w14:solidFill>
                    <w14:schemeClr w14:val="tx1"/>
                  </w14:solidFill>
                </w14:textFill>
              </w:rPr>
              <w:t xml:space="preserve">      元</w:t>
            </w:r>
            <w:r>
              <w:rPr>
                <w:rFonts w:hint="eastAsia" w:ascii="宋体" w:hAnsi="宋体" w:cs="宋体"/>
                <w:bCs/>
                <w:color w:val="000000" w:themeColor="text1"/>
                <w:sz w:val="24"/>
                <w:szCs w:val="24"/>
                <w:highlight w:val="none"/>
                <w:u w:val="single"/>
                <w:lang w:val="en-US" w:eastAsia="zh-CN"/>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99" w:type="dxa"/>
            <w:tcBorders>
              <w:top w:val="single" w:color="auto" w:sz="4" w:space="0"/>
              <w:left w:val="single" w:color="auto" w:sz="4" w:space="0"/>
              <w:bottom w:val="single" w:color="auto" w:sz="4" w:space="0"/>
              <w:right w:val="single" w:color="auto" w:sz="4" w:space="0"/>
            </w:tcBorders>
            <w:noWrap/>
            <w:vAlign w:val="center"/>
          </w:tcPr>
          <w:p>
            <w:pPr>
              <w:spacing w:line="400" w:lineRule="exact"/>
              <w:contextualSpacing/>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w:t>
            </w:r>
          </w:p>
        </w:tc>
        <w:tc>
          <w:tcPr>
            <w:tcW w:w="1812" w:type="dxa"/>
            <w:tcBorders>
              <w:top w:val="single" w:color="auto" w:sz="4" w:space="0"/>
              <w:left w:val="single" w:color="auto" w:sz="4" w:space="0"/>
              <w:bottom w:val="single" w:color="auto" w:sz="4" w:space="0"/>
              <w:right w:val="single" w:color="auto" w:sz="4" w:space="0"/>
            </w:tcBorders>
            <w:noWrap/>
            <w:vAlign w:val="center"/>
          </w:tcPr>
          <w:p>
            <w:pPr>
              <w:spacing w:line="400" w:lineRule="exact"/>
              <w:contextualSpacing/>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投标有效期</w:t>
            </w:r>
          </w:p>
        </w:tc>
        <w:tc>
          <w:tcPr>
            <w:tcW w:w="4711" w:type="dxa"/>
            <w:tcBorders>
              <w:top w:val="single" w:color="auto" w:sz="4" w:space="0"/>
              <w:left w:val="single" w:color="auto" w:sz="4" w:space="0"/>
              <w:bottom w:val="single" w:color="auto" w:sz="4" w:space="0"/>
              <w:right w:val="single" w:color="auto" w:sz="4" w:space="0"/>
            </w:tcBorders>
            <w:noWrap/>
            <w:vAlign w:val="center"/>
          </w:tcPr>
          <w:p>
            <w:pPr>
              <w:spacing w:line="400" w:lineRule="exact"/>
              <w:contextualSpacing/>
              <w:jc w:val="both"/>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按招标文件要求</w:t>
            </w:r>
            <w:r>
              <w:rPr>
                <w:rFonts w:hint="eastAsia" w:ascii="宋体" w:hAnsi="宋体"/>
                <w:color w:val="000000" w:themeColor="text1"/>
                <w:sz w:val="24"/>
                <w:szCs w:val="24"/>
                <w:highlight w:val="none"/>
                <w:lang w:eastAsia="zh-CN"/>
                <w14:textFill>
                  <w14:solidFill>
                    <w14:schemeClr w14:val="tx1"/>
                  </w14:solidFill>
                </w14:textFill>
              </w:rPr>
              <w:t>。</w:t>
            </w:r>
          </w:p>
        </w:tc>
        <w:tc>
          <w:tcPr>
            <w:tcW w:w="1649" w:type="dxa"/>
            <w:tcBorders>
              <w:top w:val="single" w:color="auto" w:sz="4" w:space="0"/>
              <w:left w:val="single" w:color="auto" w:sz="4" w:space="0"/>
              <w:bottom w:val="single" w:color="auto" w:sz="4" w:space="0"/>
              <w:right w:val="single" w:color="auto" w:sz="4" w:space="0"/>
            </w:tcBorders>
            <w:noWrap/>
            <w:vAlign w:val="center"/>
          </w:tcPr>
          <w:p>
            <w:pPr>
              <w:spacing w:line="400" w:lineRule="exact"/>
              <w:contextualSpacing/>
              <w:jc w:val="center"/>
              <w:rPr>
                <w:rFonts w:ascii="宋体" w:hAnsi="宋体"/>
                <w:color w:val="000000" w:themeColor="text1"/>
                <w:sz w:val="24"/>
                <w:szCs w:val="24"/>
                <w:highlight w:val="none"/>
                <w14:textFill>
                  <w14:solidFill>
                    <w14:schemeClr w14:val="tx1"/>
                  </w14:solidFill>
                </w14:textFill>
              </w:rPr>
            </w:pPr>
          </w:p>
        </w:tc>
      </w:tr>
    </w:tbl>
    <w:p>
      <w:pPr>
        <w:spacing w:line="440" w:lineRule="exact"/>
        <w:ind w:firstLine="0" w:firstLineChars="0"/>
        <w:jc w:val="left"/>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w:t>
      </w:r>
      <w:r>
        <w:rPr>
          <w:rFonts w:hint="eastAsia"/>
          <w:b/>
          <w:bCs/>
          <w:color w:val="000000" w:themeColor="text1"/>
          <w:highlight w:val="none"/>
          <w14:textFill>
            <w14:solidFill>
              <w14:schemeClr w14:val="tx1"/>
            </w14:solidFill>
          </w14:textFill>
        </w:rPr>
        <w:t>投标人根据企业自身情况进行报价，</w:t>
      </w:r>
      <w:r>
        <w:rPr>
          <w:rFonts w:hint="eastAsia" w:ascii="宋体" w:hAnsi="宋体"/>
          <w:b/>
          <w:bCs/>
          <w:color w:val="000000" w:themeColor="text1"/>
          <w:szCs w:val="21"/>
          <w:highlight w:val="none"/>
          <w14:textFill>
            <w14:solidFill>
              <w14:schemeClr w14:val="tx1"/>
            </w14:solidFill>
          </w14:textFill>
        </w:rPr>
        <w:t>小数点后保留两位小数，第三位小数四舍五入。</w:t>
      </w:r>
      <w:r>
        <w:rPr>
          <w:rFonts w:hint="eastAsia" w:ascii="宋体" w:hAnsi="宋体" w:cs="宋体"/>
          <w:b/>
          <w:bCs/>
          <w:color w:val="000000" w:themeColor="text1"/>
          <w:szCs w:val="21"/>
          <w:highlight w:val="none"/>
          <w:u w:val="single"/>
          <w14:textFill>
            <w14:solidFill>
              <w14:schemeClr w14:val="tx1"/>
            </w14:solidFill>
          </w14:textFill>
        </w:rPr>
        <w:t>投标</w:t>
      </w:r>
      <w:r>
        <w:rPr>
          <w:rFonts w:hint="eastAsia" w:ascii="宋体" w:hAnsi="宋体" w:cs="宋体"/>
          <w:b/>
          <w:bCs/>
          <w:color w:val="000000" w:themeColor="text1"/>
          <w:szCs w:val="21"/>
          <w:highlight w:val="none"/>
          <w:u w:val="single"/>
          <w:lang w:val="en-US" w:eastAsia="zh-CN"/>
          <w14:textFill>
            <w14:solidFill>
              <w14:schemeClr w14:val="tx1"/>
            </w14:solidFill>
          </w14:textFill>
        </w:rPr>
        <w:t>总</w:t>
      </w:r>
      <w:r>
        <w:rPr>
          <w:rFonts w:hint="eastAsia" w:ascii="宋体" w:hAnsi="宋体" w:cs="宋体"/>
          <w:b/>
          <w:bCs/>
          <w:color w:val="000000" w:themeColor="text1"/>
          <w:szCs w:val="21"/>
          <w:highlight w:val="none"/>
          <w:u w:val="single"/>
          <w14:textFill>
            <w14:solidFill>
              <w14:schemeClr w14:val="tx1"/>
            </w14:solidFill>
          </w14:textFill>
        </w:rPr>
        <w:t>报价</w:t>
      </w:r>
      <w:r>
        <w:rPr>
          <w:rFonts w:hint="eastAsia" w:ascii="宋体" w:hAnsi="宋体" w:cs="宋体"/>
          <w:b/>
          <w:bCs/>
          <w:color w:val="000000" w:themeColor="text1"/>
          <w:szCs w:val="21"/>
          <w:highlight w:val="none"/>
          <w:u w:val="single"/>
          <w:lang w:val="en-US" w:eastAsia="zh-CN"/>
          <w14:textFill>
            <w14:solidFill>
              <w14:schemeClr w14:val="tx1"/>
            </w14:solidFill>
          </w14:textFill>
        </w:rPr>
        <w:t>及含税单价报价不得</w:t>
      </w:r>
      <w:r>
        <w:rPr>
          <w:rFonts w:hint="eastAsia" w:ascii="宋体" w:hAnsi="宋体" w:cs="宋体"/>
          <w:b/>
          <w:bCs/>
          <w:color w:val="000000" w:themeColor="text1"/>
          <w:szCs w:val="21"/>
          <w:highlight w:val="none"/>
          <w:u w:val="single"/>
          <w14:textFill>
            <w14:solidFill>
              <w14:schemeClr w14:val="tx1"/>
            </w14:solidFill>
          </w14:textFill>
        </w:rPr>
        <w:t>超过</w:t>
      </w:r>
      <w:r>
        <w:rPr>
          <w:rFonts w:hint="eastAsia" w:ascii="宋体" w:hAnsi="宋体" w:cs="宋体"/>
          <w:b/>
          <w:bCs/>
          <w:color w:val="000000" w:themeColor="text1"/>
          <w:szCs w:val="21"/>
          <w:highlight w:val="none"/>
          <w:u w:val="single"/>
          <w:lang w:val="en-US" w:eastAsia="zh-CN"/>
          <w14:textFill>
            <w14:solidFill>
              <w14:schemeClr w14:val="tx1"/>
            </w14:solidFill>
          </w14:textFill>
        </w:rPr>
        <w:t>其</w:t>
      </w:r>
      <w:r>
        <w:rPr>
          <w:rFonts w:hint="eastAsia" w:ascii="宋体" w:hAnsi="宋体" w:cs="宋体"/>
          <w:b/>
          <w:bCs/>
          <w:color w:val="000000" w:themeColor="text1"/>
          <w:szCs w:val="21"/>
          <w:highlight w:val="none"/>
          <w:u w:val="single"/>
          <w14:textFill>
            <w14:solidFill>
              <w14:schemeClr w14:val="tx1"/>
            </w14:solidFill>
          </w14:textFill>
        </w:rPr>
        <w:t>最高投标限价</w:t>
      </w:r>
      <w:r>
        <w:rPr>
          <w:rFonts w:hint="eastAsia"/>
          <w:b/>
          <w:bCs/>
          <w:color w:val="000000" w:themeColor="text1"/>
          <w:highlight w:val="none"/>
          <w14:textFill>
            <w14:solidFill>
              <w14:schemeClr w14:val="tx1"/>
            </w14:solidFill>
          </w14:textFill>
        </w:rPr>
        <w:t>。</w:t>
      </w:r>
    </w:p>
    <w:p>
      <w:pPr>
        <w:spacing w:line="480" w:lineRule="exact"/>
        <w:ind w:firstLine="0" w:firstLineChars="0"/>
        <w:jc w:val="left"/>
        <w:rPr>
          <w:rFonts w:hint="eastAsia" w:ascii="宋体" w:hAnsi="宋体" w:cs="宋体"/>
          <w:color w:val="000000" w:themeColor="text1"/>
          <w:sz w:val="24"/>
          <w:szCs w:val="24"/>
          <w:highlight w:val="none"/>
          <w14:textFill>
            <w14:solidFill>
              <w14:schemeClr w14:val="tx1"/>
            </w14:solidFill>
          </w14:textFill>
        </w:rPr>
      </w:pPr>
    </w:p>
    <w:p>
      <w:pPr>
        <w:spacing w:line="480" w:lineRule="exact"/>
        <w:ind w:firstLine="2880" w:firstLineChars="1200"/>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投标人：（盖单位章） </w:t>
      </w:r>
    </w:p>
    <w:p>
      <w:pPr>
        <w:tabs>
          <w:tab w:val="left" w:pos="9333"/>
        </w:tabs>
        <w:spacing w:line="480" w:lineRule="exact"/>
        <w:ind w:right="178" w:rightChars="85" w:firstLine="2880" w:firstLineChars="1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法定代表人或委托代理人： （签字或盖章）   </w:t>
      </w:r>
    </w:p>
    <w:p>
      <w:pPr>
        <w:spacing w:line="440" w:lineRule="exact"/>
        <w:ind w:firstLine="2880" w:firstLineChars="1200"/>
        <w:rPr>
          <w:rFonts w:ascii="宋体" w:hAnsi="宋体"/>
          <w:color w:val="000000" w:themeColor="text1"/>
          <w:sz w:val="2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  年  月  日</w:t>
      </w:r>
    </w:p>
    <w:p>
      <w:pPr>
        <w:spacing w:line="44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bookmarkEnd w:id="380"/>
    <w:bookmarkEnd w:id="381"/>
    <w:bookmarkEnd w:id="382"/>
    <w:bookmarkEnd w:id="383"/>
    <w:bookmarkEnd w:id="384"/>
    <w:bookmarkEnd w:id="385"/>
    <w:bookmarkEnd w:id="386"/>
    <w:bookmarkEnd w:id="387"/>
    <w:bookmarkEnd w:id="388"/>
    <w:bookmarkEnd w:id="389"/>
    <w:bookmarkEnd w:id="390"/>
    <w:p>
      <w:pPr>
        <w:spacing w:line="600" w:lineRule="auto"/>
        <w:jc w:val="left"/>
        <w:outlineLvl w:val="1"/>
        <w:rPr>
          <w:rFonts w:ascii="宋体" w:hAnsi="宋体"/>
          <w:b/>
          <w:bCs/>
          <w:color w:val="000000" w:themeColor="text1"/>
          <w:kern w:val="0"/>
          <w:sz w:val="30"/>
          <w:szCs w:val="30"/>
          <w:highlight w:val="none"/>
          <w14:textFill>
            <w14:solidFill>
              <w14:schemeClr w14:val="tx1"/>
            </w14:solidFill>
          </w14:textFill>
        </w:rPr>
      </w:pPr>
      <w:bookmarkStart w:id="399" w:name="_Toc529196603"/>
      <w:bookmarkStart w:id="400" w:name="_Toc535938754"/>
      <w:bookmarkStart w:id="401" w:name="_Toc530470646"/>
      <w:bookmarkStart w:id="402" w:name="_Toc516145374"/>
      <w:bookmarkStart w:id="403" w:name="_Toc492300723"/>
      <w:bookmarkStart w:id="404" w:name="_Toc515450416"/>
      <w:r>
        <w:rPr>
          <w:rFonts w:hint="eastAsia" w:ascii="宋体" w:hAnsi="宋体"/>
          <w:b/>
          <w:bCs/>
          <w:color w:val="000000" w:themeColor="text1"/>
          <w:kern w:val="0"/>
          <w:sz w:val="30"/>
          <w:szCs w:val="30"/>
          <w:highlight w:val="none"/>
          <w14:textFill>
            <w14:solidFill>
              <w14:schemeClr w14:val="tx1"/>
            </w14:solidFill>
          </w14:textFill>
        </w:rPr>
        <w:t>二、法定代表人身份证明或授权委托书（格式可自定）</w:t>
      </w:r>
      <w:bookmarkEnd w:id="399"/>
      <w:bookmarkEnd w:id="400"/>
      <w:bookmarkEnd w:id="401"/>
    </w:p>
    <w:p>
      <w:pPr>
        <w:spacing w:line="440" w:lineRule="exact"/>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法定代表人身份证明</w:t>
      </w:r>
      <w:bookmarkEnd w:id="402"/>
      <w:bookmarkEnd w:id="403"/>
      <w:bookmarkEnd w:id="404"/>
    </w:p>
    <w:p>
      <w:pPr>
        <w:spacing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投标人名称：</w:t>
      </w:r>
      <w:r>
        <w:rPr>
          <w:rFonts w:hint="eastAsia" w:ascii="宋体" w:hAnsi="宋体"/>
          <w:color w:val="000000" w:themeColor="text1"/>
          <w:szCs w:val="21"/>
          <w:highlight w:val="none"/>
          <w:u w:val="single"/>
          <w14:textFill>
            <w14:solidFill>
              <w14:schemeClr w14:val="tx1"/>
            </w14:solidFill>
          </w14:textFill>
        </w:rPr>
        <w:t xml:space="preserve">                                </w:t>
      </w:r>
    </w:p>
    <w:p>
      <w:pPr>
        <w:spacing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姓名：</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性别：</w:t>
      </w:r>
      <w:bookmarkStart w:id="405" w:name="_Toc369531698"/>
      <w:bookmarkStart w:id="406" w:name="_Toc27897"/>
      <w:bookmarkStart w:id="407" w:name="_Toc352691662"/>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年</w:t>
      </w:r>
      <w:bookmarkEnd w:id="405"/>
      <w:bookmarkEnd w:id="406"/>
      <w:bookmarkEnd w:id="407"/>
      <w:r>
        <w:rPr>
          <w:rFonts w:ascii="宋体" w:hAnsi="宋体"/>
          <w:color w:val="000000" w:themeColor="text1"/>
          <w:highlight w:val="none"/>
          <w14:textFill>
            <w14:solidFill>
              <w14:schemeClr w14:val="tx1"/>
            </w14:solidFill>
          </w14:textFill>
        </w:rPr>
        <w:t>龄</w:t>
      </w:r>
      <w:bookmarkStart w:id="408" w:name="_Toc369531699"/>
      <w:bookmarkStart w:id="409" w:name="_Toc15573"/>
      <w:bookmarkStart w:id="410" w:name="_Toc247514248"/>
      <w:bookmarkStart w:id="411" w:name="_Toc247527829"/>
      <w:bookmarkStart w:id="412" w:name="_Toc352691663"/>
      <w:bookmarkStart w:id="413" w:name="_Toc384308377"/>
      <w:bookmarkStart w:id="414" w:name="_Toc361508754"/>
      <w:bookmarkStart w:id="415" w:name="_Toc300835211"/>
      <w:bookmarkStart w:id="416" w:name="_Toc144974858"/>
      <w:bookmarkStart w:id="417" w:name="_Toc152045789"/>
      <w:bookmarkStart w:id="418" w:name="_Toc152042578"/>
      <w:r>
        <w:rPr>
          <w:rFonts w:ascii="宋体" w:hAnsi="宋体"/>
          <w:color w:val="000000" w:themeColor="text1"/>
          <w:highlight w:val="none"/>
          <w14:textFill>
            <w14:solidFill>
              <w14:schemeClr w14:val="tx1"/>
            </w14:solidFill>
          </w14:textFill>
        </w:rPr>
        <w:t>：</w:t>
      </w:r>
      <w:bookmarkEnd w:id="408"/>
      <w:bookmarkEnd w:id="409"/>
      <w:bookmarkEnd w:id="410"/>
      <w:bookmarkEnd w:id="411"/>
      <w:bookmarkEnd w:id="412"/>
      <w:bookmarkEnd w:id="413"/>
      <w:bookmarkEnd w:id="414"/>
      <w:bookmarkEnd w:id="415"/>
      <w:bookmarkEnd w:id="416"/>
      <w:bookmarkEnd w:id="417"/>
      <w:bookmarkEnd w:id="418"/>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职务：</w:t>
      </w:r>
      <w:r>
        <w:rPr>
          <w:rFonts w:hint="eastAsia" w:ascii="宋体" w:hAnsi="宋体"/>
          <w:color w:val="000000" w:themeColor="text1"/>
          <w:szCs w:val="21"/>
          <w:highlight w:val="none"/>
          <w:u w:val="single"/>
          <w14:textFill>
            <w14:solidFill>
              <w14:schemeClr w14:val="tx1"/>
            </w14:solidFill>
          </w14:textFill>
        </w:rPr>
        <w:t xml:space="preserve">             </w:t>
      </w:r>
    </w:p>
    <w:p>
      <w:pPr>
        <w:spacing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系</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（投标人名称）的法定代表人。</w:t>
      </w:r>
    </w:p>
    <w:p>
      <w:pPr>
        <w:spacing w:line="44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特此证明。</w:t>
      </w:r>
    </w:p>
    <w:p>
      <w:pPr>
        <w:spacing w:line="440" w:lineRule="exact"/>
        <w:rPr>
          <w:rFonts w:ascii="宋体" w:hAnsi="宋体"/>
          <w:color w:val="000000" w:themeColor="text1"/>
          <w:highlight w:val="none"/>
          <w14:textFill>
            <w14:solidFill>
              <w14:schemeClr w14:val="tx1"/>
            </w14:solidFill>
          </w14:textFill>
        </w:rPr>
      </w:pPr>
    </w:p>
    <w:p>
      <w:pPr>
        <w:spacing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附：法定代表人身份证扫描件。</w:t>
      </w:r>
    </w:p>
    <w:p>
      <w:pPr>
        <w:spacing w:line="440" w:lineRule="exact"/>
        <w:rPr>
          <w:rFonts w:ascii="宋体" w:hAnsi="宋体"/>
          <w:color w:val="000000" w:themeColor="text1"/>
          <w:highlight w:val="none"/>
          <w14:textFill>
            <w14:solidFill>
              <w14:schemeClr w14:val="tx1"/>
            </w14:solidFill>
          </w14:textFill>
        </w:rPr>
      </w:pPr>
    </w:p>
    <w:p>
      <w:pPr>
        <w:spacing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注：本身份证明需由投标人加盖单位公章。</w:t>
      </w:r>
    </w:p>
    <w:p>
      <w:pPr>
        <w:spacing w:line="440" w:lineRule="exact"/>
        <w:rPr>
          <w:rFonts w:ascii="宋体" w:hAnsi="宋体"/>
          <w:color w:val="000000" w:themeColor="text1"/>
          <w:highlight w:val="none"/>
          <w14:textFill>
            <w14:solidFill>
              <w14:schemeClr w14:val="tx1"/>
            </w14:solidFill>
          </w14:textFill>
        </w:rPr>
      </w:pPr>
    </w:p>
    <w:p>
      <w:pPr>
        <w:spacing w:line="440" w:lineRule="exact"/>
        <w:rPr>
          <w:rFonts w:ascii="宋体" w:hAnsi="宋体"/>
          <w:color w:val="000000" w:themeColor="text1"/>
          <w:highlight w:val="none"/>
          <w14:textFill>
            <w14:solidFill>
              <w14:schemeClr w14:val="tx1"/>
            </w14:solidFill>
          </w14:textFill>
        </w:rPr>
      </w:pPr>
    </w:p>
    <w:p>
      <w:pPr>
        <w:spacing w:line="44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bookmarkStart w:id="419" w:name="_Toc21557"/>
      <w:bookmarkStart w:id="420" w:name="_Toc17279"/>
      <w:r>
        <w:rPr>
          <w:rFonts w:ascii="宋体" w:hAnsi="宋体"/>
          <w:color w:val="000000" w:themeColor="text1"/>
          <w:highlight w:val="none"/>
          <w14:textFill>
            <w14:solidFill>
              <w14:schemeClr w14:val="tx1"/>
            </w14:solidFill>
          </w14:textFill>
        </w:rPr>
        <w:t>投标人：</w:t>
      </w:r>
      <w:r>
        <w:rPr>
          <w:rFonts w:ascii="宋体" w:hAnsi="宋体"/>
          <w:color w:val="000000" w:themeColor="text1"/>
          <w:szCs w:val="21"/>
          <w:highlight w:val="none"/>
          <w:u w:val="single"/>
          <w14:textFill>
            <w14:solidFill>
              <w14:schemeClr w14:val="tx1"/>
            </w14:solidFill>
          </w14:textFill>
        </w:rPr>
        <w:tab/>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盖</w:t>
      </w:r>
      <w:r>
        <w:rPr>
          <w:rFonts w:ascii="宋体" w:hAnsi="宋体"/>
          <w:color w:val="000000" w:themeColor="text1"/>
          <w:highlight w:val="none"/>
          <w14:textFill>
            <w14:solidFill>
              <w14:schemeClr w14:val="tx1"/>
            </w14:solidFill>
          </w14:textFill>
        </w:rPr>
        <w:t>单位</w:t>
      </w:r>
      <w:r>
        <w:rPr>
          <w:rFonts w:hint="eastAsia" w:ascii="宋体" w:hAnsi="宋体"/>
          <w:color w:val="000000" w:themeColor="text1"/>
          <w:highlight w:val="none"/>
          <w14:textFill>
            <w14:solidFill>
              <w14:schemeClr w14:val="tx1"/>
            </w14:solidFill>
          </w14:textFill>
        </w:rPr>
        <w:t>章</w:t>
      </w:r>
      <w:r>
        <w:rPr>
          <w:rFonts w:ascii="宋体" w:hAnsi="宋体"/>
          <w:color w:val="000000" w:themeColor="text1"/>
          <w:highlight w:val="none"/>
          <w14:textFill>
            <w14:solidFill>
              <w14:schemeClr w14:val="tx1"/>
            </w14:solidFill>
          </w14:textFill>
        </w:rPr>
        <w:t>）</w:t>
      </w:r>
      <w:bookmarkEnd w:id="419"/>
      <w:bookmarkEnd w:id="420"/>
    </w:p>
    <w:p>
      <w:pPr>
        <w:spacing w:line="440" w:lineRule="exact"/>
        <w:rPr>
          <w:rFonts w:ascii="宋体" w:hAnsi="宋体"/>
          <w:color w:val="000000" w:themeColor="text1"/>
          <w:highlight w:val="none"/>
          <w14:textFill>
            <w14:solidFill>
              <w14:schemeClr w14:val="tx1"/>
            </w14:solidFill>
          </w14:textFill>
        </w:rPr>
      </w:pPr>
    </w:p>
    <w:p>
      <w:pPr>
        <w:spacing w:line="440" w:lineRule="exact"/>
        <w:ind w:firstLine="5040" w:firstLineChars="24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日</w:t>
      </w:r>
    </w:p>
    <w:p>
      <w:pPr>
        <w:spacing w:line="440" w:lineRule="exact"/>
        <w:rPr>
          <w:rFonts w:ascii="宋体" w:hAnsi="宋体"/>
          <w:color w:val="000000" w:themeColor="text1"/>
          <w:sz w:val="20"/>
          <w:highlight w:val="none"/>
          <w14:textFill>
            <w14:solidFill>
              <w14:schemeClr w14:val="tx1"/>
            </w14:solidFill>
          </w14:textFill>
        </w:rPr>
      </w:pPr>
    </w:p>
    <w:p>
      <w:pPr>
        <w:rPr>
          <w:rFonts w:hint="eastAsia" w:ascii="宋体" w:hAnsi="宋体"/>
          <w:b/>
          <w:color w:val="000000" w:themeColor="text1"/>
          <w:sz w:val="32"/>
          <w:szCs w:val="32"/>
          <w:highlight w:val="none"/>
          <w14:textFill>
            <w14:solidFill>
              <w14:schemeClr w14:val="tx1"/>
            </w14:solidFill>
          </w14:textFill>
        </w:rPr>
      </w:pPr>
      <w:r>
        <w:rPr>
          <w:rFonts w:ascii="宋体" w:hAnsi="宋体"/>
          <w:color w:val="000000" w:themeColor="text1"/>
          <w:sz w:val="20"/>
          <w:highlight w:val="none"/>
          <w14:textFill>
            <w14:solidFill>
              <w14:schemeClr w14:val="tx1"/>
            </w14:solidFill>
          </w14:textFill>
        </w:rPr>
        <w:br w:type="page"/>
      </w:r>
    </w:p>
    <w:p>
      <w:pPr>
        <w:spacing w:line="440" w:lineRule="exact"/>
        <w:jc w:val="center"/>
        <w:rPr>
          <w:rFonts w:ascii="宋体" w:hAnsi="宋体"/>
          <w:color w:val="000000" w:themeColor="text1"/>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授权委托书</w:t>
      </w:r>
    </w:p>
    <w:p>
      <w:pPr>
        <w:topLinePunct/>
        <w:spacing w:line="440" w:lineRule="exact"/>
        <w:ind w:firstLine="420" w:firstLineChars="200"/>
        <w:rPr>
          <w:rFonts w:ascii="宋体" w:hAnsi="宋体"/>
          <w:color w:val="000000" w:themeColor="text1"/>
          <w:highlight w:val="none"/>
          <w14:textFill>
            <w14:solidFill>
              <w14:schemeClr w14:val="tx1"/>
            </w14:solidFill>
          </w14:textFill>
        </w:rPr>
      </w:pPr>
    </w:p>
    <w:p>
      <w:pPr>
        <w:topLinePunct/>
        <w:spacing w:line="44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本人</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（姓名）系</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（投标人名称）的法定代表人，现委托</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（姓名）为我方代理人。代理人根据授权，以我方名义签署、澄清确认、递交、撤回、修改</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（项目名称）</w:t>
      </w:r>
      <w:r>
        <w:rPr>
          <w:rFonts w:ascii="宋体" w:hAnsi="宋体"/>
          <w:color w:val="000000" w:themeColor="text1"/>
          <w:highlight w:val="none"/>
          <w14:textFill>
            <w14:solidFill>
              <w14:schemeClr w14:val="tx1"/>
            </w14:solidFill>
          </w14:textFill>
        </w:rPr>
        <w:t>投标文件、签订合同和处理有关事宜，其法律后果由我方承担。</w:t>
      </w:r>
    </w:p>
    <w:p>
      <w:pPr>
        <w:spacing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委托期限：</w:t>
      </w:r>
      <w:r>
        <w:rPr>
          <w:rFonts w:hint="eastAsia" w:ascii="宋体" w:hAnsi="宋体"/>
          <w:color w:val="000000" w:themeColor="text1"/>
          <w:szCs w:val="21"/>
          <w:highlight w:val="none"/>
          <w:u w:val="single"/>
          <w14:textFill>
            <w14:solidFill>
              <w14:schemeClr w14:val="tx1"/>
            </w14:solidFill>
          </w14:textFill>
        </w:rPr>
        <w:t xml:space="preserve">     90日历天       </w:t>
      </w:r>
      <w:r>
        <w:rPr>
          <w:rFonts w:ascii="宋体" w:hAnsi="宋体"/>
          <w:color w:val="000000" w:themeColor="text1"/>
          <w:highlight w:val="none"/>
          <w14:textFill>
            <w14:solidFill>
              <w14:schemeClr w14:val="tx1"/>
            </w14:solidFill>
          </w14:textFill>
        </w:rPr>
        <w:t>。</w:t>
      </w:r>
    </w:p>
    <w:p>
      <w:pPr>
        <w:spacing w:line="440" w:lineRule="exact"/>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代理人无转委托权。</w:t>
      </w:r>
    </w:p>
    <w:p>
      <w:pPr>
        <w:spacing w:line="440" w:lineRule="exact"/>
        <w:ind w:firstLine="420" w:firstLineChars="200"/>
        <w:rPr>
          <w:rFonts w:ascii="宋体" w:hAnsi="宋体"/>
          <w:color w:val="000000" w:themeColor="text1"/>
          <w:highlight w:val="none"/>
          <w14:textFill>
            <w14:solidFill>
              <w14:schemeClr w14:val="tx1"/>
            </w14:solidFill>
          </w14:textFill>
        </w:rPr>
      </w:pPr>
    </w:p>
    <w:p>
      <w:pPr>
        <w:spacing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附：法定代表人身份证扫描件及委托代理人身份证扫描件</w:t>
      </w:r>
    </w:p>
    <w:p>
      <w:pPr>
        <w:spacing w:line="440" w:lineRule="exact"/>
        <w:rPr>
          <w:rFonts w:ascii="宋体" w:hAnsi="宋体"/>
          <w:color w:val="000000" w:themeColor="text1"/>
          <w:highlight w:val="none"/>
          <w14:textFill>
            <w14:solidFill>
              <w14:schemeClr w14:val="tx1"/>
            </w14:solidFill>
          </w14:textFill>
        </w:rPr>
      </w:pPr>
    </w:p>
    <w:p>
      <w:pPr>
        <w:spacing w:line="44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注：本授权委托书需由投标人加盖单位公章并由其法定代表人和委托代理人签字</w:t>
      </w:r>
      <w:r>
        <w:rPr>
          <w:rFonts w:hint="eastAsia" w:ascii="宋体" w:hAnsi="宋体"/>
          <w:color w:val="000000" w:themeColor="text1"/>
          <w:highlight w:val="none"/>
          <w14:textFill>
            <w14:solidFill>
              <w14:schemeClr w14:val="tx1"/>
            </w14:solidFill>
          </w14:textFill>
        </w:rPr>
        <w:t>或盖章</w:t>
      </w:r>
      <w:r>
        <w:rPr>
          <w:rFonts w:ascii="宋体" w:hAnsi="宋体"/>
          <w:color w:val="000000" w:themeColor="text1"/>
          <w:highlight w:val="none"/>
          <w14:textFill>
            <w14:solidFill>
              <w14:schemeClr w14:val="tx1"/>
            </w14:solidFill>
          </w14:textFill>
        </w:rPr>
        <w:t>。</w:t>
      </w:r>
    </w:p>
    <w:p>
      <w:pPr>
        <w:spacing w:line="440" w:lineRule="exact"/>
        <w:rPr>
          <w:rFonts w:ascii="宋体" w:hAnsi="宋体"/>
          <w:color w:val="000000" w:themeColor="text1"/>
          <w:highlight w:val="none"/>
          <w14:textFill>
            <w14:solidFill>
              <w14:schemeClr w14:val="tx1"/>
            </w14:solidFill>
          </w14:textFill>
        </w:rPr>
      </w:pPr>
    </w:p>
    <w:p>
      <w:pPr>
        <w:spacing w:line="440" w:lineRule="exact"/>
        <w:ind w:firstLine="2692" w:firstLineChars="1282"/>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投标人：</w:t>
      </w:r>
      <w:r>
        <w:rPr>
          <w:rFonts w:ascii="宋体" w:hAnsi="宋体"/>
          <w:color w:val="000000" w:themeColor="text1"/>
          <w:szCs w:val="21"/>
          <w:highlight w:val="none"/>
          <w:u w:val="single"/>
          <w14:textFill>
            <w14:solidFill>
              <w14:schemeClr w14:val="tx1"/>
            </w14:solidFill>
          </w14:textFill>
        </w:rPr>
        <w:tab/>
      </w:r>
      <w:r>
        <w:rPr>
          <w:rFonts w:ascii="宋体" w:hAnsi="宋体"/>
          <w:color w:val="000000" w:themeColor="text1"/>
          <w:szCs w:val="21"/>
          <w:highlight w:val="none"/>
          <w:u w:val="single"/>
          <w14:textFill>
            <w14:solidFill>
              <w14:schemeClr w14:val="tx1"/>
            </w14:solidFill>
          </w14:textFill>
        </w:rPr>
        <w:tab/>
      </w:r>
      <w:r>
        <w:rPr>
          <w:rFonts w:ascii="宋体" w:hAnsi="宋体"/>
          <w:color w:val="000000" w:themeColor="text1"/>
          <w:szCs w:val="21"/>
          <w:highlight w:val="none"/>
          <w:u w:val="single"/>
          <w14:textFill>
            <w14:solidFill>
              <w14:schemeClr w14:val="tx1"/>
            </w14:solidFill>
          </w14:textFill>
        </w:rPr>
        <w:tab/>
      </w:r>
      <w:r>
        <w:rPr>
          <w:rFonts w:ascii="宋体" w:hAnsi="宋体"/>
          <w:color w:val="000000" w:themeColor="text1"/>
          <w:szCs w:val="21"/>
          <w:highlight w:val="none"/>
          <w:u w:val="single"/>
          <w14:textFill>
            <w14:solidFill>
              <w14:schemeClr w14:val="tx1"/>
            </w14:solidFill>
          </w14:textFill>
        </w:rPr>
        <w:tab/>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盖</w:t>
      </w:r>
      <w:r>
        <w:rPr>
          <w:rFonts w:ascii="宋体" w:hAnsi="宋体"/>
          <w:color w:val="000000" w:themeColor="text1"/>
          <w:highlight w:val="none"/>
          <w14:textFill>
            <w14:solidFill>
              <w14:schemeClr w14:val="tx1"/>
            </w14:solidFill>
          </w14:textFill>
        </w:rPr>
        <w:t>单位</w:t>
      </w:r>
      <w:r>
        <w:rPr>
          <w:rFonts w:hint="eastAsia" w:ascii="宋体" w:hAnsi="宋体"/>
          <w:color w:val="000000" w:themeColor="text1"/>
          <w:highlight w:val="none"/>
          <w14:textFill>
            <w14:solidFill>
              <w14:schemeClr w14:val="tx1"/>
            </w14:solidFill>
          </w14:textFill>
        </w:rPr>
        <w:t>章</w:t>
      </w:r>
      <w:r>
        <w:rPr>
          <w:rFonts w:ascii="宋体" w:hAnsi="宋体"/>
          <w:color w:val="000000" w:themeColor="text1"/>
          <w:highlight w:val="none"/>
          <w14:textFill>
            <w14:solidFill>
              <w14:schemeClr w14:val="tx1"/>
            </w14:solidFill>
          </w14:textFill>
        </w:rPr>
        <w:t>）</w:t>
      </w:r>
    </w:p>
    <w:p>
      <w:pPr>
        <w:spacing w:line="440" w:lineRule="exact"/>
        <w:ind w:firstLine="2692" w:firstLineChars="1282"/>
        <w:rPr>
          <w:rFonts w:ascii="宋体" w:hAnsi="宋体"/>
          <w:color w:val="000000" w:themeColor="text1"/>
          <w:highlight w:val="none"/>
          <w14:textFill>
            <w14:solidFill>
              <w14:schemeClr w14:val="tx1"/>
            </w14:solidFill>
          </w14:textFill>
        </w:rPr>
      </w:pPr>
    </w:p>
    <w:p>
      <w:pPr>
        <w:spacing w:line="440" w:lineRule="exact"/>
        <w:ind w:firstLine="2690" w:firstLineChars="1281"/>
        <w:jc w:val="lef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法定代表人：</w:t>
      </w:r>
      <w:r>
        <w:rPr>
          <w:rFonts w:ascii="宋体" w:hAnsi="宋体"/>
          <w:color w:val="000000" w:themeColor="text1"/>
          <w:szCs w:val="21"/>
          <w:highlight w:val="none"/>
          <w:u w:val="single"/>
          <w14:textFill>
            <w14:solidFill>
              <w14:schemeClr w14:val="tx1"/>
            </w14:solidFill>
          </w14:textFill>
        </w:rPr>
        <w:tab/>
      </w:r>
      <w:r>
        <w:rPr>
          <w:rFonts w:ascii="宋体" w:hAnsi="宋体"/>
          <w:color w:val="000000" w:themeColor="text1"/>
          <w:szCs w:val="21"/>
          <w:highlight w:val="none"/>
          <w:u w:val="single"/>
          <w14:textFill>
            <w14:solidFill>
              <w14:schemeClr w14:val="tx1"/>
            </w14:solidFill>
          </w14:textFill>
        </w:rPr>
        <w:tab/>
      </w:r>
      <w:r>
        <w:rPr>
          <w:rFonts w:ascii="宋体" w:hAnsi="宋体"/>
          <w:color w:val="000000" w:themeColor="text1"/>
          <w:szCs w:val="21"/>
          <w:highlight w:val="none"/>
          <w:u w:val="single"/>
          <w14:textFill>
            <w14:solidFill>
              <w14:schemeClr w14:val="tx1"/>
            </w14:solidFill>
          </w14:textFill>
        </w:rPr>
        <w:tab/>
      </w:r>
      <w:r>
        <w:rPr>
          <w:rFonts w:ascii="宋体" w:hAnsi="宋体"/>
          <w:color w:val="000000" w:themeColor="text1"/>
          <w:szCs w:val="21"/>
          <w:highlight w:val="none"/>
          <w:u w:val="single"/>
          <w14:textFill>
            <w14:solidFill>
              <w14:schemeClr w14:val="tx1"/>
            </w14:solidFill>
          </w14:textFill>
        </w:rPr>
        <w:tab/>
      </w:r>
      <w:r>
        <w:rPr>
          <w:rFonts w:ascii="宋体" w:hAnsi="宋体"/>
          <w:color w:val="000000" w:themeColor="text1"/>
          <w:highlight w:val="none"/>
          <w14:textFill>
            <w14:solidFill>
              <w14:schemeClr w14:val="tx1"/>
            </w14:solidFill>
          </w14:textFill>
        </w:rPr>
        <w:t>（签字</w:t>
      </w:r>
      <w:r>
        <w:rPr>
          <w:rFonts w:hint="eastAsia" w:ascii="宋体" w:hAnsi="宋体"/>
          <w:color w:val="000000" w:themeColor="text1"/>
          <w:highlight w:val="none"/>
          <w14:textFill>
            <w14:solidFill>
              <w14:schemeClr w14:val="tx1"/>
            </w14:solidFill>
          </w14:textFill>
        </w:rPr>
        <w:t>或盖章</w:t>
      </w:r>
      <w:r>
        <w:rPr>
          <w:rFonts w:ascii="宋体" w:hAnsi="宋体"/>
          <w:color w:val="000000" w:themeColor="text1"/>
          <w:highlight w:val="none"/>
          <w14:textFill>
            <w14:solidFill>
              <w14:schemeClr w14:val="tx1"/>
            </w14:solidFill>
          </w14:textFill>
        </w:rPr>
        <w:t>）</w:t>
      </w:r>
    </w:p>
    <w:p>
      <w:pPr>
        <w:spacing w:line="440" w:lineRule="exact"/>
        <w:ind w:firstLine="2692" w:firstLineChars="1282"/>
        <w:rPr>
          <w:rFonts w:ascii="宋体" w:hAnsi="宋体"/>
          <w:color w:val="000000" w:themeColor="text1"/>
          <w:highlight w:val="none"/>
          <w14:textFill>
            <w14:solidFill>
              <w14:schemeClr w14:val="tx1"/>
            </w14:solidFill>
          </w14:textFill>
        </w:rPr>
      </w:pPr>
    </w:p>
    <w:p>
      <w:pPr>
        <w:spacing w:line="440" w:lineRule="exact"/>
        <w:ind w:firstLine="2692" w:firstLineChars="1282"/>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身份证号码：</w:t>
      </w:r>
      <w:r>
        <w:rPr>
          <w:rFonts w:ascii="宋体" w:hAnsi="宋体"/>
          <w:color w:val="000000" w:themeColor="text1"/>
          <w:szCs w:val="21"/>
          <w:highlight w:val="none"/>
          <w:u w:val="single"/>
          <w14:textFill>
            <w14:solidFill>
              <w14:schemeClr w14:val="tx1"/>
            </w14:solidFill>
          </w14:textFill>
        </w:rPr>
        <w:tab/>
      </w:r>
      <w:r>
        <w:rPr>
          <w:rFonts w:ascii="宋体" w:hAnsi="宋体"/>
          <w:color w:val="000000" w:themeColor="text1"/>
          <w:szCs w:val="21"/>
          <w:highlight w:val="none"/>
          <w:u w:val="single"/>
          <w14:textFill>
            <w14:solidFill>
              <w14:schemeClr w14:val="tx1"/>
            </w14:solidFill>
          </w14:textFill>
        </w:rPr>
        <w:tab/>
      </w:r>
      <w:r>
        <w:rPr>
          <w:rFonts w:ascii="宋体" w:hAnsi="宋体"/>
          <w:color w:val="000000" w:themeColor="text1"/>
          <w:szCs w:val="21"/>
          <w:highlight w:val="none"/>
          <w:u w:val="single"/>
          <w14:textFill>
            <w14:solidFill>
              <w14:schemeClr w14:val="tx1"/>
            </w14:solidFill>
          </w14:textFill>
        </w:rPr>
        <w:tab/>
      </w:r>
      <w:r>
        <w:rPr>
          <w:rFonts w:ascii="宋体" w:hAnsi="宋体"/>
          <w:color w:val="000000" w:themeColor="text1"/>
          <w:szCs w:val="21"/>
          <w:highlight w:val="none"/>
          <w:u w:val="single"/>
          <w14:textFill>
            <w14:solidFill>
              <w14:schemeClr w14:val="tx1"/>
            </w14:solidFill>
          </w14:textFill>
        </w:rPr>
        <w:tab/>
      </w:r>
    </w:p>
    <w:p>
      <w:pPr>
        <w:spacing w:line="440" w:lineRule="exact"/>
        <w:ind w:firstLine="2692" w:firstLineChars="1282"/>
        <w:rPr>
          <w:rFonts w:ascii="宋体" w:hAnsi="宋体"/>
          <w:color w:val="000000" w:themeColor="text1"/>
          <w:highlight w:val="none"/>
          <w14:textFill>
            <w14:solidFill>
              <w14:schemeClr w14:val="tx1"/>
            </w14:solidFill>
          </w14:textFill>
        </w:rPr>
      </w:pPr>
    </w:p>
    <w:p>
      <w:pPr>
        <w:spacing w:line="440" w:lineRule="exact"/>
        <w:ind w:firstLine="2692" w:firstLineChars="1282"/>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委托代理人：</w:t>
      </w:r>
      <w:r>
        <w:rPr>
          <w:rFonts w:ascii="宋体" w:hAnsi="宋体"/>
          <w:color w:val="000000" w:themeColor="text1"/>
          <w:szCs w:val="21"/>
          <w:highlight w:val="none"/>
          <w:u w:val="single"/>
          <w14:textFill>
            <w14:solidFill>
              <w14:schemeClr w14:val="tx1"/>
            </w14:solidFill>
          </w14:textFill>
        </w:rPr>
        <w:tab/>
      </w:r>
      <w:r>
        <w:rPr>
          <w:rFonts w:ascii="宋体" w:hAnsi="宋体"/>
          <w:color w:val="000000" w:themeColor="text1"/>
          <w:szCs w:val="21"/>
          <w:highlight w:val="none"/>
          <w:u w:val="single"/>
          <w14:textFill>
            <w14:solidFill>
              <w14:schemeClr w14:val="tx1"/>
            </w14:solidFill>
          </w14:textFill>
        </w:rPr>
        <w:tab/>
      </w:r>
      <w:r>
        <w:rPr>
          <w:rFonts w:ascii="宋体" w:hAnsi="宋体"/>
          <w:color w:val="000000" w:themeColor="text1"/>
          <w:szCs w:val="21"/>
          <w:highlight w:val="none"/>
          <w:u w:val="single"/>
          <w14:textFill>
            <w14:solidFill>
              <w14:schemeClr w14:val="tx1"/>
            </w14:solidFill>
          </w14:textFill>
        </w:rPr>
        <w:tab/>
      </w:r>
      <w:r>
        <w:rPr>
          <w:rFonts w:ascii="宋体" w:hAnsi="宋体"/>
          <w:color w:val="000000" w:themeColor="text1"/>
          <w:szCs w:val="21"/>
          <w:highlight w:val="none"/>
          <w:u w:val="single"/>
          <w14:textFill>
            <w14:solidFill>
              <w14:schemeClr w14:val="tx1"/>
            </w14:solidFill>
          </w14:textFill>
        </w:rPr>
        <w:tab/>
      </w:r>
      <w:r>
        <w:rPr>
          <w:rFonts w:ascii="宋体" w:hAnsi="宋体"/>
          <w:color w:val="000000" w:themeColor="text1"/>
          <w:highlight w:val="none"/>
          <w14:textFill>
            <w14:solidFill>
              <w14:schemeClr w14:val="tx1"/>
            </w14:solidFill>
          </w14:textFill>
        </w:rPr>
        <w:t>（签字</w:t>
      </w:r>
      <w:r>
        <w:rPr>
          <w:rFonts w:hint="eastAsia" w:ascii="宋体" w:hAnsi="宋体"/>
          <w:color w:val="000000" w:themeColor="text1"/>
          <w:highlight w:val="none"/>
          <w14:textFill>
            <w14:solidFill>
              <w14:schemeClr w14:val="tx1"/>
            </w14:solidFill>
          </w14:textFill>
        </w:rPr>
        <w:t>或盖章</w:t>
      </w:r>
      <w:r>
        <w:rPr>
          <w:rFonts w:ascii="宋体" w:hAnsi="宋体"/>
          <w:color w:val="000000" w:themeColor="text1"/>
          <w:highlight w:val="none"/>
          <w14:textFill>
            <w14:solidFill>
              <w14:schemeClr w14:val="tx1"/>
            </w14:solidFill>
          </w14:textFill>
        </w:rPr>
        <w:t>）</w:t>
      </w:r>
    </w:p>
    <w:p>
      <w:pPr>
        <w:spacing w:line="440" w:lineRule="exact"/>
        <w:ind w:firstLine="2692" w:firstLineChars="1282"/>
        <w:rPr>
          <w:rFonts w:ascii="宋体" w:hAnsi="宋体"/>
          <w:color w:val="000000" w:themeColor="text1"/>
          <w:highlight w:val="none"/>
          <w14:textFill>
            <w14:solidFill>
              <w14:schemeClr w14:val="tx1"/>
            </w14:solidFill>
          </w14:textFill>
        </w:rPr>
      </w:pPr>
    </w:p>
    <w:p>
      <w:pPr>
        <w:spacing w:line="440" w:lineRule="exact"/>
        <w:ind w:firstLine="2692" w:firstLineChars="1282"/>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身份证号码：</w:t>
      </w:r>
      <w:r>
        <w:rPr>
          <w:rFonts w:ascii="宋体" w:hAnsi="宋体"/>
          <w:color w:val="000000" w:themeColor="text1"/>
          <w:szCs w:val="21"/>
          <w:highlight w:val="none"/>
          <w:u w:val="single"/>
          <w14:textFill>
            <w14:solidFill>
              <w14:schemeClr w14:val="tx1"/>
            </w14:solidFill>
          </w14:textFill>
        </w:rPr>
        <w:tab/>
      </w:r>
      <w:r>
        <w:rPr>
          <w:rFonts w:ascii="宋体" w:hAnsi="宋体"/>
          <w:color w:val="000000" w:themeColor="text1"/>
          <w:szCs w:val="21"/>
          <w:highlight w:val="none"/>
          <w:u w:val="single"/>
          <w14:textFill>
            <w14:solidFill>
              <w14:schemeClr w14:val="tx1"/>
            </w14:solidFill>
          </w14:textFill>
        </w:rPr>
        <w:tab/>
      </w:r>
      <w:r>
        <w:rPr>
          <w:rFonts w:ascii="宋体" w:hAnsi="宋体"/>
          <w:color w:val="000000" w:themeColor="text1"/>
          <w:szCs w:val="21"/>
          <w:highlight w:val="none"/>
          <w:u w:val="single"/>
          <w14:textFill>
            <w14:solidFill>
              <w14:schemeClr w14:val="tx1"/>
            </w14:solidFill>
          </w14:textFill>
        </w:rPr>
        <w:tab/>
      </w:r>
      <w:r>
        <w:rPr>
          <w:rFonts w:ascii="宋体" w:hAnsi="宋体"/>
          <w:color w:val="000000" w:themeColor="text1"/>
          <w:szCs w:val="21"/>
          <w:highlight w:val="none"/>
          <w:u w:val="single"/>
          <w14:textFill>
            <w14:solidFill>
              <w14:schemeClr w14:val="tx1"/>
            </w14:solidFill>
          </w14:textFill>
        </w:rPr>
        <w:tab/>
      </w:r>
    </w:p>
    <w:p>
      <w:pPr>
        <w:spacing w:line="440" w:lineRule="exact"/>
        <w:ind w:firstLine="2692" w:firstLineChars="1282"/>
        <w:rPr>
          <w:rFonts w:ascii="宋体" w:hAnsi="宋体"/>
          <w:color w:val="000000" w:themeColor="text1"/>
          <w:highlight w:val="none"/>
          <w14:textFill>
            <w14:solidFill>
              <w14:schemeClr w14:val="tx1"/>
            </w14:solidFill>
          </w14:textFill>
        </w:rPr>
      </w:pPr>
    </w:p>
    <w:p>
      <w:pPr>
        <w:spacing w:line="440" w:lineRule="exact"/>
        <w:ind w:firstLine="2692" w:firstLineChars="1282"/>
        <w:rPr>
          <w:rFonts w:ascii="宋体" w:hAnsi="宋体"/>
          <w:color w:val="000000" w:themeColor="text1"/>
          <w:highlight w:val="none"/>
          <w14:textFill>
            <w14:solidFill>
              <w14:schemeClr w14:val="tx1"/>
            </w14:solidFill>
          </w14:textFill>
        </w:rPr>
      </w:pPr>
    </w:p>
    <w:p>
      <w:pPr>
        <w:spacing w:line="440" w:lineRule="exact"/>
        <w:ind w:firstLine="4057" w:firstLineChars="1932"/>
        <w:jc w:val="righ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日</w:t>
      </w:r>
    </w:p>
    <w:p>
      <w:pPr>
        <w:spacing w:line="600" w:lineRule="auto"/>
        <w:jc w:val="left"/>
        <w:outlineLvl w:val="1"/>
        <w:rPr>
          <w:rFonts w:hint="eastAsia" w:ascii="宋体" w:hAnsi="宋体"/>
          <w:b/>
          <w:bCs/>
          <w:color w:val="000000" w:themeColor="text1"/>
          <w:kern w:val="0"/>
          <w:sz w:val="30"/>
          <w:szCs w:val="3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421" w:name="_Toc516145377"/>
      <w:bookmarkStart w:id="422" w:name="_Toc8916"/>
      <w:bookmarkStart w:id="423" w:name="_Toc515205280"/>
      <w:bookmarkStart w:id="424" w:name="_Toc30672"/>
      <w:bookmarkStart w:id="425" w:name="_Toc492300728"/>
      <w:bookmarkStart w:id="426" w:name="_Toc361508760"/>
      <w:bookmarkStart w:id="427" w:name="_Toc515450421"/>
      <w:r>
        <w:rPr>
          <w:rFonts w:hint="eastAsia" w:ascii="宋体" w:hAnsi="宋体"/>
          <w:b/>
          <w:bCs/>
          <w:color w:val="000000" w:themeColor="text1"/>
          <w:kern w:val="0"/>
          <w:sz w:val="30"/>
          <w:szCs w:val="30"/>
          <w:highlight w:val="none"/>
          <w14:textFill>
            <w14:solidFill>
              <w14:schemeClr w14:val="tx1"/>
            </w14:solidFill>
          </w14:textFill>
        </w:rPr>
        <w:t>三、</w:t>
      </w:r>
      <w:bookmarkEnd w:id="421"/>
      <w:bookmarkEnd w:id="422"/>
      <w:bookmarkEnd w:id="423"/>
      <w:bookmarkEnd w:id="424"/>
      <w:r>
        <w:rPr>
          <w:rFonts w:hint="eastAsia" w:ascii="宋体" w:hAnsi="宋体"/>
          <w:b/>
          <w:bCs/>
          <w:color w:val="000000" w:themeColor="text1"/>
          <w:kern w:val="0"/>
          <w:sz w:val="30"/>
          <w:szCs w:val="30"/>
          <w:highlight w:val="none"/>
          <w14:textFill>
            <w14:solidFill>
              <w14:schemeClr w14:val="tx1"/>
            </w14:solidFill>
          </w14:textFill>
        </w:rPr>
        <w:t>监理报酬清单（格式可自定）</w:t>
      </w:r>
    </w:p>
    <w:p>
      <w:pPr>
        <w:spacing w:before="240" w:line="360" w:lineRule="auto"/>
        <w:jc w:val="center"/>
        <w:rPr>
          <w:rFonts w:hint="eastAsia" w:ascii="宋体" w:hAnsi="宋体" w:eastAsia="宋体"/>
          <w:b/>
          <w:color w:val="000000" w:themeColor="text1"/>
          <w:sz w:val="28"/>
          <w:szCs w:val="28"/>
          <w:highlight w:val="none"/>
          <w:lang w:val="en-US" w:eastAsia="zh-CN"/>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监理费用</w:t>
      </w:r>
      <w:r>
        <w:rPr>
          <w:rFonts w:hint="eastAsia" w:ascii="宋体" w:hAnsi="宋体"/>
          <w:b/>
          <w:color w:val="000000" w:themeColor="text1"/>
          <w:sz w:val="28"/>
          <w:szCs w:val="28"/>
          <w:highlight w:val="none"/>
          <w:lang w:val="en-US" w:eastAsia="zh-CN"/>
          <w14:textFill>
            <w14:solidFill>
              <w14:schemeClr w14:val="tx1"/>
            </w14:solidFill>
          </w14:textFill>
        </w:rPr>
        <w:t>报价表</w:t>
      </w:r>
    </w:p>
    <w:p>
      <w:pPr>
        <w:bidi w:val="0"/>
        <w:rPr>
          <w:rFonts w:hint="default"/>
          <w:color w:val="000000" w:themeColor="text1"/>
          <w:highlight w:val="none"/>
          <w:lang w:val="en-US" w:eastAsia="zh-CN"/>
          <w14:textFill>
            <w14:solidFill>
              <w14:schemeClr w14:val="tx1"/>
            </w14:solidFill>
          </w14:textFill>
        </w:rPr>
      </w:pPr>
    </w:p>
    <w:tbl>
      <w:tblPr>
        <w:tblStyle w:val="46"/>
        <w:tblW w:w="4997" w:type="pct"/>
        <w:jc w:val="center"/>
        <w:tblLayout w:type="fixed"/>
        <w:tblCellMar>
          <w:top w:w="0" w:type="dxa"/>
          <w:left w:w="0" w:type="dxa"/>
          <w:bottom w:w="0" w:type="dxa"/>
          <w:right w:w="0" w:type="dxa"/>
        </w:tblCellMar>
      </w:tblPr>
      <w:tblGrid>
        <w:gridCol w:w="660"/>
        <w:gridCol w:w="2852"/>
        <w:gridCol w:w="1636"/>
        <w:gridCol w:w="1467"/>
        <w:gridCol w:w="2248"/>
      </w:tblGrid>
      <w:tr>
        <w:tblPrEx>
          <w:tblCellMar>
            <w:top w:w="0" w:type="dxa"/>
            <w:left w:w="0" w:type="dxa"/>
            <w:bottom w:w="0" w:type="dxa"/>
            <w:right w:w="0" w:type="dxa"/>
          </w:tblCellMar>
        </w:tblPrEx>
        <w:trPr>
          <w:trHeight w:val="620" w:hRule="atLeast"/>
          <w:jc w:val="center"/>
        </w:trPr>
        <w:tc>
          <w:tcPr>
            <w:tcW w:w="3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序号</w:t>
            </w:r>
          </w:p>
        </w:tc>
        <w:tc>
          <w:tcPr>
            <w:tcW w:w="1608"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事项</w:t>
            </w:r>
          </w:p>
        </w:tc>
        <w:tc>
          <w:tcPr>
            <w:tcW w:w="92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color w:val="000000" w:themeColor="text1"/>
                <w:highlight w:val="none"/>
                <w:lang w:val="en-US"/>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建筑面积（m</w:t>
            </w:r>
            <w:r>
              <w:rPr>
                <w:rFonts w:hint="eastAsia" w:ascii="宋体" w:hAnsi="宋体" w:eastAsia="宋体" w:cs="宋体"/>
                <w:i w:val="0"/>
                <w:color w:val="000000" w:themeColor="text1"/>
                <w:kern w:val="0"/>
                <w:sz w:val="22"/>
                <w:szCs w:val="22"/>
                <w:highlight w:val="none"/>
                <w:u w:val="none"/>
                <w:vertAlign w:val="superscript"/>
                <w:lang w:val="en-US" w:eastAsia="zh-CN" w:bidi="ar"/>
                <w14:textFill>
                  <w14:solidFill>
                    <w14:schemeClr w14:val="tx1"/>
                  </w14:solidFill>
                </w14:textFill>
              </w:rPr>
              <w:t xml:space="preserve">2 </w:t>
            </w:r>
            <w:r>
              <w:rPr>
                <w:rFonts w:hint="eastAsia" w:ascii="宋体" w:hAnsi="宋体" w:eastAsia="宋体" w:cs="宋体"/>
                <w:color w:val="000000" w:themeColor="text1"/>
                <w:sz w:val="20"/>
                <w:szCs w:val="20"/>
                <w:highlight w:val="none"/>
                <w:u w:val="none"/>
                <w:lang w:val="en-US" w:eastAsia="zh-CN" w:bidi="ar"/>
                <w14:textFill>
                  <w14:solidFill>
                    <w14:schemeClr w14:val="tx1"/>
                  </w14:solidFill>
                </w14:textFill>
              </w:rPr>
              <w:t>)</w:t>
            </w:r>
          </w:p>
        </w:tc>
        <w:tc>
          <w:tcPr>
            <w:tcW w:w="8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color w:val="000000" w:themeColor="text1"/>
                <w:sz w:val="22"/>
                <w:highlight w:val="none"/>
                <w:u w:val="none"/>
                <w:lang w:val="en-US" w:eastAsia="zh-CN" w:bidi="ar"/>
                <w14:textFill>
                  <w14:solidFill>
                    <w14:schemeClr w14:val="tx1"/>
                  </w14:solidFill>
                </w14:textFill>
              </w:rPr>
              <w:t>含税单价报价</w:t>
            </w:r>
            <w:r>
              <w:rPr>
                <w:rFonts w:hint="eastAsia" w:ascii="宋体" w:hAnsi="宋体" w:eastAsia="宋体" w:cs="宋体"/>
                <w:color w:val="000000" w:themeColor="text1"/>
                <w:sz w:val="22"/>
                <w:highlight w:val="none"/>
                <w:u w:val="none"/>
                <w:lang w:val="en-US" w:eastAsia="zh-CN" w:bidi="ar"/>
                <w14:textFill>
                  <w14:solidFill>
                    <w14:schemeClr w14:val="tx1"/>
                  </w14:solidFill>
                </w14:textFill>
              </w:rPr>
              <w:br w:type="textWrapping"/>
            </w:r>
            <w:r>
              <w:rPr>
                <w:rFonts w:hint="eastAsia" w:ascii="宋体" w:hAnsi="宋体" w:eastAsia="宋体" w:cs="宋体"/>
                <w:color w:val="000000" w:themeColor="text1"/>
                <w:sz w:val="20"/>
                <w:szCs w:val="20"/>
                <w:highlight w:val="none"/>
                <w:u w:val="none"/>
                <w:lang w:val="en-US" w:eastAsia="zh-CN" w:bidi="ar"/>
                <w14:textFill>
                  <w14:solidFill>
                    <w14:schemeClr w14:val="tx1"/>
                  </w14:solidFill>
                </w14:textFill>
              </w:rPr>
              <w:t>(元/</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m</w:t>
            </w:r>
            <w:r>
              <w:rPr>
                <w:rFonts w:hint="eastAsia" w:ascii="宋体" w:hAnsi="宋体" w:eastAsia="宋体" w:cs="宋体"/>
                <w:i w:val="0"/>
                <w:color w:val="000000" w:themeColor="text1"/>
                <w:kern w:val="0"/>
                <w:sz w:val="22"/>
                <w:szCs w:val="22"/>
                <w:highlight w:val="none"/>
                <w:u w:val="none"/>
                <w:vertAlign w:val="superscript"/>
                <w:lang w:val="en-US" w:eastAsia="zh-CN" w:bidi="ar"/>
                <w14:textFill>
                  <w14:solidFill>
                    <w14:schemeClr w14:val="tx1"/>
                  </w14:solidFill>
                </w14:textFill>
              </w:rPr>
              <w:t>2</w:t>
            </w:r>
            <w:r>
              <w:rPr>
                <w:rFonts w:hint="eastAsia" w:ascii="宋体" w:hAnsi="宋体" w:eastAsia="宋体" w:cs="宋体"/>
                <w:color w:val="000000" w:themeColor="text1"/>
                <w:sz w:val="20"/>
                <w:szCs w:val="20"/>
                <w:highlight w:val="none"/>
                <w:u w:val="none"/>
                <w:lang w:val="en-US" w:eastAsia="zh-CN" w:bidi="ar"/>
                <w14:textFill>
                  <w14:solidFill>
                    <w14:schemeClr w14:val="tx1"/>
                  </w14:solidFill>
                </w14:textFill>
              </w:rPr>
              <w:t>)</w:t>
            </w:r>
          </w:p>
        </w:tc>
        <w:tc>
          <w:tcPr>
            <w:tcW w:w="12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含税综合合价</w:t>
            </w:r>
          </w:p>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（元）</w:t>
            </w:r>
          </w:p>
        </w:tc>
      </w:tr>
      <w:tr>
        <w:tblPrEx>
          <w:tblCellMar>
            <w:top w:w="0" w:type="dxa"/>
            <w:left w:w="0" w:type="dxa"/>
            <w:bottom w:w="0" w:type="dxa"/>
            <w:right w:w="0" w:type="dxa"/>
          </w:tblCellMar>
        </w:tblPrEx>
        <w:trPr>
          <w:trHeight w:val="540" w:hRule="atLeast"/>
          <w:jc w:val="center"/>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监理酬金</w:t>
            </w:r>
          </w:p>
        </w:tc>
        <w:tc>
          <w:tcPr>
            <w:tcW w:w="9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lang w:val="en-US" w:eastAsia="zh-CN"/>
                <w14:textFill>
                  <w14:solidFill>
                    <w14:schemeClr w14:val="tx1"/>
                  </w14:solidFill>
                </w14:textFill>
              </w:rPr>
            </w:pPr>
          </w:p>
        </w:tc>
        <w:tc>
          <w:tcPr>
            <w:tcW w:w="8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lang w:val="en-US" w:eastAsia="zh-CN"/>
                <w14:textFill>
                  <w14:solidFill>
                    <w14:schemeClr w14:val="tx1"/>
                  </w14:solidFill>
                </w14:textFill>
              </w:rPr>
            </w:pPr>
          </w:p>
        </w:tc>
        <w:tc>
          <w:tcPr>
            <w:tcW w:w="1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lang w:val="en-US" w:eastAsia="zh-CN"/>
                <w14:textFill>
                  <w14:solidFill>
                    <w14:schemeClr w14:val="tx1"/>
                  </w14:solidFill>
                </w14:textFill>
              </w:rPr>
            </w:pPr>
          </w:p>
        </w:tc>
      </w:tr>
      <w:tr>
        <w:tblPrEx>
          <w:tblCellMar>
            <w:top w:w="0" w:type="dxa"/>
            <w:left w:w="0" w:type="dxa"/>
            <w:bottom w:w="0" w:type="dxa"/>
            <w:right w:w="0" w:type="dxa"/>
          </w:tblCellMar>
        </w:tblPrEx>
        <w:trPr>
          <w:trHeight w:val="536" w:hRule="atLeast"/>
          <w:jc w:val="center"/>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16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9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8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lang w:val="en-US" w:eastAsia="zh-CN"/>
                <w14:textFill>
                  <w14:solidFill>
                    <w14:schemeClr w14:val="tx1"/>
                  </w14:solidFill>
                </w14:textFill>
              </w:rPr>
            </w:pPr>
          </w:p>
        </w:tc>
        <w:tc>
          <w:tcPr>
            <w:tcW w:w="12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lang w:val="en-US" w:eastAsia="zh-CN"/>
                <w14:textFill>
                  <w14:solidFill>
                    <w14:schemeClr w14:val="tx1"/>
                  </w14:solidFill>
                </w14:textFill>
              </w:rPr>
            </w:pPr>
          </w:p>
        </w:tc>
      </w:tr>
      <w:tr>
        <w:tblPrEx>
          <w:tblCellMar>
            <w:top w:w="0" w:type="dxa"/>
            <w:left w:w="0" w:type="dxa"/>
            <w:bottom w:w="0" w:type="dxa"/>
            <w:right w:w="0" w:type="dxa"/>
          </w:tblCellMar>
        </w:tblPrEx>
        <w:trPr>
          <w:trHeight w:val="540" w:hRule="atLeast"/>
          <w:jc w:val="center"/>
        </w:trPr>
        <w:tc>
          <w:tcPr>
            <w:tcW w:w="198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1"/>
                <w:szCs w:val="21"/>
                <w:highlight w:val="none"/>
                <w:u w:val="none"/>
                <w:lang w:val="en-US" w:eastAsia="zh-CN" w:bidi="ar"/>
                <w14:textFill>
                  <w14:solidFill>
                    <w14:schemeClr w14:val="tx1"/>
                  </w14:solidFill>
                </w14:textFill>
              </w:rPr>
              <w:t>含税合计(元）：</w:t>
            </w:r>
          </w:p>
        </w:tc>
        <w:tc>
          <w:tcPr>
            <w:tcW w:w="3018"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i w:val="0"/>
                <w:color w:val="000000" w:themeColor="text1"/>
                <w:sz w:val="22"/>
                <w:szCs w:val="22"/>
                <w:highlight w:val="none"/>
                <w:u w:val="none"/>
                <w:lang w:val="en-US" w:eastAsia="zh-CN"/>
                <w14:textFill>
                  <w14:solidFill>
                    <w14:schemeClr w14:val="tx1"/>
                  </w14:solidFill>
                </w14:textFill>
              </w:rPr>
            </w:pPr>
          </w:p>
        </w:tc>
      </w:tr>
    </w:tbl>
    <w:p>
      <w:pPr>
        <w:pStyle w:val="112"/>
        <w:ind w:firstLine="0" w:firstLineChars="0"/>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注：</w:t>
      </w:r>
      <w:r>
        <w:rPr>
          <w:rFonts w:hint="eastAsia" w:ascii="宋体" w:hAnsi="宋体" w:cs="宋体"/>
          <w:b/>
          <w:bCs/>
          <w:color w:val="000000" w:themeColor="text1"/>
          <w:highlight w:val="none"/>
          <w:lang w:val="en-US" w:eastAsia="zh-CN"/>
          <w14:textFill>
            <w14:solidFill>
              <w14:schemeClr w14:val="tx1"/>
            </w14:solidFill>
          </w14:textFill>
        </w:rPr>
        <w:t>1.</w:t>
      </w:r>
      <w:r>
        <w:rPr>
          <w:rFonts w:hint="eastAsia" w:ascii="宋体" w:hAnsi="宋体" w:cs="宋体"/>
          <w:b/>
          <w:bCs/>
          <w:color w:val="000000" w:themeColor="text1"/>
          <w:highlight w:val="none"/>
          <w:lang w:eastAsia="zh-CN"/>
          <w14:textFill>
            <w14:solidFill>
              <w14:schemeClr w14:val="tx1"/>
            </w14:solidFill>
          </w14:textFill>
        </w:rPr>
        <w:t>监理费</w:t>
      </w:r>
      <w:r>
        <w:rPr>
          <w:rFonts w:hint="eastAsia" w:ascii="宋体" w:hAnsi="宋体" w:cs="宋体"/>
          <w:b/>
          <w:bCs/>
          <w:color w:val="000000" w:themeColor="text1"/>
          <w:highlight w:val="none"/>
          <w:lang w:val="en-US" w:eastAsia="zh-CN"/>
          <w14:textFill>
            <w14:solidFill>
              <w14:schemeClr w14:val="tx1"/>
            </w14:solidFill>
          </w14:textFill>
        </w:rPr>
        <w:t>用报价表含税</w:t>
      </w:r>
      <w:r>
        <w:rPr>
          <w:rFonts w:hint="eastAsia" w:ascii="宋体" w:hAnsi="宋体" w:cs="宋体"/>
          <w:b/>
          <w:bCs/>
          <w:color w:val="000000" w:themeColor="text1"/>
          <w:highlight w:val="none"/>
          <w:lang w:eastAsia="zh-CN"/>
          <w14:textFill>
            <w14:solidFill>
              <w14:schemeClr w14:val="tx1"/>
            </w14:solidFill>
          </w14:textFill>
        </w:rPr>
        <w:t>合计</w:t>
      </w:r>
      <w:r>
        <w:rPr>
          <w:rFonts w:hint="eastAsia" w:ascii="宋体" w:hAnsi="宋体" w:cs="宋体"/>
          <w:b/>
          <w:bCs/>
          <w:color w:val="000000" w:themeColor="text1"/>
          <w:highlight w:val="none"/>
          <w14:textFill>
            <w14:solidFill>
              <w14:schemeClr w14:val="tx1"/>
            </w14:solidFill>
          </w14:textFill>
        </w:rPr>
        <w:t>应与投标</w:t>
      </w:r>
      <w:r>
        <w:rPr>
          <w:rFonts w:hint="eastAsia" w:ascii="宋体" w:hAnsi="宋体" w:cs="宋体"/>
          <w:b/>
          <w:bCs/>
          <w:color w:val="000000" w:themeColor="text1"/>
          <w:highlight w:val="none"/>
          <w:u w:val="none"/>
          <w:lang w:val="en-US" w:eastAsia="zh-CN"/>
          <w14:textFill>
            <w14:solidFill>
              <w14:schemeClr w14:val="tx1"/>
            </w14:solidFill>
          </w14:textFill>
        </w:rPr>
        <w:t>函附录</w:t>
      </w:r>
      <w:r>
        <w:rPr>
          <w:rFonts w:hint="eastAsia" w:ascii="宋体" w:hAnsi="宋体" w:cs="宋体"/>
          <w:b/>
          <w:bCs/>
          <w:color w:val="000000" w:themeColor="text1"/>
          <w:highlight w:val="none"/>
          <w14:textFill>
            <w14:solidFill>
              <w14:schemeClr w14:val="tx1"/>
            </w14:solidFill>
          </w14:textFill>
        </w:rPr>
        <w:t>的监理费</w:t>
      </w:r>
      <w:r>
        <w:rPr>
          <w:rFonts w:hint="eastAsia" w:ascii="宋体" w:hAnsi="宋体" w:cs="宋体"/>
          <w:b/>
          <w:bCs/>
          <w:color w:val="000000" w:themeColor="text1"/>
          <w:highlight w:val="none"/>
          <w:lang w:val="en-US" w:eastAsia="zh-CN"/>
          <w14:textFill>
            <w14:solidFill>
              <w14:schemeClr w14:val="tx1"/>
            </w14:solidFill>
          </w14:textFill>
        </w:rPr>
        <w:t>投标总</w:t>
      </w:r>
      <w:r>
        <w:rPr>
          <w:rFonts w:hint="eastAsia" w:ascii="宋体" w:hAnsi="宋体" w:cs="宋体"/>
          <w:b/>
          <w:bCs/>
          <w:color w:val="000000" w:themeColor="text1"/>
          <w:highlight w:val="none"/>
          <w14:textFill>
            <w14:solidFill>
              <w14:schemeClr w14:val="tx1"/>
            </w14:solidFill>
          </w14:textFill>
        </w:rPr>
        <w:t>报价一致。</w:t>
      </w:r>
    </w:p>
    <w:p>
      <w:pPr>
        <w:pStyle w:val="112"/>
        <w:ind w:firstLine="496"/>
        <w:rPr>
          <w:rFonts w:hint="eastAsia" w:ascii="宋体" w:hAnsi="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2.</w:t>
      </w:r>
      <w:r>
        <w:rPr>
          <w:rFonts w:hint="eastAsia" w:ascii="宋体" w:hAnsi="宋体" w:cs="宋体"/>
          <w:b/>
          <w:bCs/>
          <w:color w:val="000000" w:themeColor="text1"/>
          <w:highlight w:val="none"/>
          <w14:textFill>
            <w14:solidFill>
              <w14:schemeClr w14:val="tx1"/>
            </w14:solidFill>
          </w14:textFill>
        </w:rPr>
        <w:t>报价</w:t>
      </w:r>
      <w:r>
        <w:rPr>
          <w:rFonts w:hint="eastAsia" w:ascii="宋体" w:hAnsi="宋体" w:cs="宋体"/>
          <w:b/>
          <w:bCs/>
          <w:color w:val="000000" w:themeColor="text1"/>
          <w:szCs w:val="21"/>
          <w:highlight w:val="none"/>
          <w14:textFill>
            <w14:solidFill>
              <w14:schemeClr w14:val="tx1"/>
            </w14:solidFill>
          </w14:textFill>
        </w:rPr>
        <w:t>小数点后保留两位小数，第三位小数四舍五入。</w:t>
      </w:r>
    </w:p>
    <w:p>
      <w:pPr>
        <w:pStyle w:val="112"/>
        <w:ind w:firstLine="496"/>
        <w:rPr>
          <w:rFonts w:hint="eastAsia" w:ascii="宋体" w:hAnsi="宋体" w:cs="宋体"/>
          <w:b/>
          <w:bCs/>
          <w:color w:val="000000" w:themeColor="text1"/>
          <w:highlight w:val="none"/>
          <w:lang w:eastAsia="zh-CN"/>
          <w14:textFill>
            <w14:solidFill>
              <w14:schemeClr w14:val="tx1"/>
            </w14:solidFill>
          </w14:textFill>
        </w:rPr>
      </w:pPr>
      <w:r>
        <w:rPr>
          <w:rFonts w:hint="eastAsia" w:ascii="宋体" w:hAnsi="宋体" w:cs="宋体"/>
          <w:b/>
          <w:bCs/>
          <w:color w:val="000000" w:themeColor="text1"/>
          <w:highlight w:val="none"/>
          <w:lang w:val="en-US" w:eastAsia="zh-CN"/>
          <w14:textFill>
            <w14:solidFill>
              <w14:schemeClr w14:val="tx1"/>
            </w14:solidFill>
          </w14:textFill>
        </w:rPr>
        <w:t>3.投标报价已包含投标人为实施和完成本项目所需的的全部费用，具体的服务要求及结算方式等内容详见招标文件及合同。</w:t>
      </w:r>
    </w:p>
    <w:p>
      <w:pPr>
        <w:spacing w:line="480" w:lineRule="exact"/>
        <w:ind w:firstLine="2880" w:firstLineChars="1200"/>
        <w:jc w:val="left"/>
        <w:rPr>
          <w:rFonts w:hint="eastAsia" w:ascii="宋体" w:hAnsi="宋体" w:cs="宋体"/>
          <w:color w:val="000000" w:themeColor="text1"/>
          <w:sz w:val="24"/>
          <w:szCs w:val="24"/>
          <w:highlight w:val="none"/>
          <w14:textFill>
            <w14:solidFill>
              <w14:schemeClr w14:val="tx1"/>
            </w14:solidFill>
          </w14:textFill>
        </w:rPr>
      </w:pPr>
    </w:p>
    <w:p>
      <w:pPr>
        <w:spacing w:line="480" w:lineRule="exact"/>
        <w:ind w:firstLine="2880" w:firstLineChars="1200"/>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投标人：（盖单位章） </w:t>
      </w:r>
    </w:p>
    <w:p>
      <w:pPr>
        <w:spacing w:line="440" w:lineRule="exact"/>
        <w:ind w:firstLine="2880" w:firstLineChars="1200"/>
        <w:rPr>
          <w:rFonts w:ascii="宋体" w:hAnsi="宋体"/>
          <w:color w:val="000000" w:themeColor="text1"/>
          <w:sz w:val="20"/>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  年  月  日</w:t>
      </w:r>
    </w:p>
    <w:p>
      <w:pPr>
        <w:widowControl/>
        <w:spacing w:line="360" w:lineRule="auto"/>
        <w:jc w:val="left"/>
        <w:rPr>
          <w:rFonts w:ascii="宋体" w:hAnsi="宋体"/>
          <w:b/>
          <w:bCs/>
          <w:color w:val="000000" w:themeColor="text1"/>
          <w:sz w:val="32"/>
          <w:szCs w:val="32"/>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End w:id="425"/>
      <w:bookmarkEnd w:id="426"/>
      <w:bookmarkEnd w:id="427"/>
      <w:bookmarkStart w:id="428" w:name="_Toc9088"/>
      <w:r>
        <w:rPr>
          <w:rFonts w:hint="eastAsia" w:ascii="宋体" w:hAnsi="宋体"/>
          <w:b/>
          <w:bCs/>
          <w:color w:val="000000" w:themeColor="text1"/>
          <w:sz w:val="32"/>
          <w:szCs w:val="32"/>
          <w:highlight w:val="none"/>
          <w14:textFill>
            <w14:solidFill>
              <w14:schemeClr w14:val="tx1"/>
            </w14:solidFill>
          </w14:textFill>
        </w:rPr>
        <w:t>四、</w:t>
      </w:r>
      <w:r>
        <w:rPr>
          <w:rFonts w:ascii="宋体" w:hAnsi="宋体"/>
          <w:b/>
          <w:bCs/>
          <w:color w:val="000000" w:themeColor="text1"/>
          <w:sz w:val="32"/>
          <w:szCs w:val="32"/>
          <w:highlight w:val="none"/>
          <w14:textFill>
            <w14:solidFill>
              <w14:schemeClr w14:val="tx1"/>
            </w14:solidFill>
          </w14:textFill>
        </w:rPr>
        <w:t>资格审查资料</w:t>
      </w:r>
      <w:r>
        <w:rPr>
          <w:rFonts w:hint="eastAsia" w:ascii="宋体" w:hAnsi="宋体"/>
          <w:b/>
          <w:bCs/>
          <w:color w:val="000000" w:themeColor="text1"/>
          <w:kern w:val="0"/>
          <w:sz w:val="32"/>
          <w:szCs w:val="32"/>
          <w:highlight w:val="none"/>
          <w14:textFill>
            <w14:solidFill>
              <w14:schemeClr w14:val="tx1"/>
            </w14:solidFill>
          </w14:textFill>
        </w:rPr>
        <w:t>（格式可自定）</w:t>
      </w:r>
    </w:p>
    <w:p>
      <w:pPr>
        <w:jc w:val="center"/>
        <w:rPr>
          <w:rFonts w:ascii="宋体" w:hAnsi="宋体" w:cs="宋体"/>
          <w:b/>
          <w:color w:val="000000" w:themeColor="text1"/>
          <w:sz w:val="32"/>
          <w:szCs w:val="32"/>
          <w:highlight w:val="none"/>
          <w14:textFill>
            <w14:solidFill>
              <w14:schemeClr w14:val="tx1"/>
            </w14:solidFill>
          </w14:textFill>
        </w:rPr>
      </w:pPr>
      <w:bookmarkStart w:id="429" w:name="_Toc4257"/>
      <w:bookmarkStart w:id="430" w:name="_Toc32629"/>
      <w:bookmarkStart w:id="431" w:name="_Toc526786515"/>
      <w:r>
        <w:rPr>
          <w:rFonts w:hint="eastAsia" w:ascii="宋体" w:hAnsi="宋体" w:cs="宋体"/>
          <w:b/>
          <w:color w:val="000000" w:themeColor="text1"/>
          <w:sz w:val="32"/>
          <w:szCs w:val="32"/>
          <w:highlight w:val="none"/>
          <w14:textFill>
            <w14:solidFill>
              <w14:schemeClr w14:val="tx1"/>
            </w14:solidFill>
          </w14:textFill>
        </w:rPr>
        <w:t>资格审查资料</w:t>
      </w:r>
    </w:p>
    <w:tbl>
      <w:tblPr>
        <w:tblStyle w:val="4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6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序号</w:t>
            </w:r>
          </w:p>
        </w:tc>
        <w:tc>
          <w:tcPr>
            <w:tcW w:w="804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6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w:t>
            </w:r>
          </w:p>
        </w:tc>
        <w:tc>
          <w:tcPr>
            <w:tcW w:w="804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营业执照</w:t>
            </w:r>
            <w:r>
              <w:rPr>
                <w:rFonts w:hint="eastAsia" w:ascii="宋体" w:hAnsi="宋体" w:cs="宋体"/>
                <w:color w:val="000000" w:themeColor="text1"/>
                <w:sz w:val="28"/>
                <w:szCs w:val="28"/>
                <w:highlight w:val="none"/>
                <w:lang w:val="en-US" w:eastAsia="zh-CN"/>
                <w14:textFill>
                  <w14:solidFill>
                    <w14:schemeClr w14:val="tx1"/>
                  </w14:solidFill>
                </w14:textFill>
              </w:rPr>
              <w:t>等</w:t>
            </w:r>
            <w:r>
              <w:rPr>
                <w:rFonts w:ascii="宋体" w:hAnsi="宋体" w:cs="宋体"/>
                <w:color w:val="000000" w:themeColor="text1"/>
                <w:sz w:val="28"/>
                <w:szCs w:val="28"/>
                <w:highlight w:val="none"/>
                <w14:textFill>
                  <w14:solidFill>
                    <w14:schemeClr w14:val="tx1"/>
                  </w14:solidFill>
                </w14:textFill>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6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w:t>
            </w:r>
          </w:p>
        </w:tc>
        <w:tc>
          <w:tcPr>
            <w:tcW w:w="804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资质证书</w:t>
            </w:r>
            <w:r>
              <w:rPr>
                <w:rFonts w:ascii="宋体" w:hAnsi="宋体" w:cs="宋体"/>
                <w:color w:val="000000" w:themeColor="text1"/>
                <w:sz w:val="28"/>
                <w:szCs w:val="28"/>
                <w:highlight w:val="none"/>
                <w14:textFill>
                  <w14:solidFill>
                    <w14:schemeClr w14:val="tx1"/>
                  </w14:solidFill>
                </w14:textFill>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06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w:t>
            </w:r>
          </w:p>
        </w:tc>
        <w:tc>
          <w:tcPr>
            <w:tcW w:w="804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拟派项目总监理工程师证明资料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6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w:t>
            </w:r>
          </w:p>
        </w:tc>
        <w:tc>
          <w:tcPr>
            <w:tcW w:w="804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其他</w:t>
            </w:r>
            <w:r>
              <w:rPr>
                <w:rFonts w:hint="eastAsia" w:ascii="宋体" w:hAnsi="宋体" w:cs="宋体"/>
                <w:color w:val="000000" w:themeColor="text1"/>
                <w:sz w:val="28"/>
                <w:szCs w:val="28"/>
                <w:highlight w:val="none"/>
                <w14:textFill>
                  <w14:solidFill>
                    <w14:schemeClr w14:val="tx1"/>
                  </w14:solidFill>
                </w14:textFill>
              </w:rPr>
              <w:t>证明资料（《投标人声明》格式详见招标公告附件）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6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w:t>
            </w:r>
          </w:p>
        </w:tc>
        <w:tc>
          <w:tcPr>
            <w:tcW w:w="804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投标人认为需要提供的资料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06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color w:val="000000" w:themeColor="text1"/>
                <w:sz w:val="28"/>
                <w:szCs w:val="28"/>
                <w:highlight w:val="none"/>
                <w14:textFill>
                  <w14:solidFill>
                    <w14:schemeClr w14:val="tx1"/>
                  </w14:solidFill>
                </w14:textFill>
              </w:rPr>
            </w:pPr>
          </w:p>
        </w:tc>
        <w:tc>
          <w:tcPr>
            <w:tcW w:w="804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p>
        </w:tc>
      </w:tr>
    </w:tbl>
    <w:p>
      <w:pPr>
        <w:ind w:firstLine="1120" w:firstLineChars="400"/>
        <w:rPr>
          <w:rFonts w:ascii="宋体" w:hAnsi="宋体" w:cs="宋体"/>
          <w:color w:val="000000" w:themeColor="text1"/>
          <w:sz w:val="28"/>
          <w:szCs w:val="28"/>
          <w:highlight w:val="none"/>
          <w14:textFill>
            <w14:solidFill>
              <w14:schemeClr w14:val="tx1"/>
            </w14:solidFill>
          </w14:textFill>
        </w:rPr>
      </w:pPr>
    </w:p>
    <w:p>
      <w:pPr>
        <w:keepNext/>
        <w:keepLines/>
        <w:spacing w:line="480" w:lineRule="auto"/>
        <w:jc w:val="left"/>
        <w:outlineLvl w:val="2"/>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五、监理大纲</w:t>
      </w:r>
      <w:r>
        <w:rPr>
          <w:rFonts w:hint="eastAsia" w:ascii="宋体" w:hAnsi="宋体"/>
          <w:b/>
          <w:bCs/>
          <w:color w:val="000000" w:themeColor="text1"/>
          <w:kern w:val="0"/>
          <w:sz w:val="30"/>
          <w:szCs w:val="30"/>
          <w:highlight w:val="none"/>
          <w14:textFill>
            <w14:solidFill>
              <w14:schemeClr w14:val="tx1"/>
            </w14:solidFill>
          </w14:textFill>
        </w:rPr>
        <w:t>（格式可自定）</w:t>
      </w:r>
    </w:p>
    <w:p>
      <w:pPr>
        <w:spacing w:line="360" w:lineRule="auto"/>
        <w:ind w:firstLine="542" w:firstLineChars="2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监理大纲应包括（但不限于）下列内容：</w:t>
      </w:r>
    </w:p>
    <w:p>
      <w:pPr>
        <w:spacing w:line="360" w:lineRule="auto"/>
        <w:ind w:firstLine="542" w:firstLineChars="2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一、监理工程概况；</w:t>
      </w:r>
    </w:p>
    <w:p>
      <w:pPr>
        <w:spacing w:line="360" w:lineRule="auto"/>
        <w:ind w:firstLine="542" w:firstLineChars="2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二、监理范围、监理内容；</w:t>
      </w:r>
    </w:p>
    <w:p>
      <w:pPr>
        <w:spacing w:line="360" w:lineRule="auto"/>
        <w:ind w:firstLine="542" w:firstLineChars="2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三、监理依据、监理工作目标；</w:t>
      </w:r>
    </w:p>
    <w:p>
      <w:pPr>
        <w:spacing w:line="360" w:lineRule="auto"/>
        <w:ind w:firstLine="542" w:firstLineChars="2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四、监理机构设置（监理组织架构框图）、岗位职责；</w:t>
      </w:r>
    </w:p>
    <w:p>
      <w:pPr>
        <w:spacing w:line="360" w:lineRule="auto"/>
        <w:ind w:firstLine="542" w:firstLineChars="2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五、质量控制、进度控制、投资控制措施；</w:t>
      </w:r>
    </w:p>
    <w:p>
      <w:pPr>
        <w:spacing w:line="360" w:lineRule="auto"/>
        <w:ind w:firstLine="542" w:firstLineChars="2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六、安全、文明施工管理；</w:t>
      </w:r>
    </w:p>
    <w:p>
      <w:pPr>
        <w:spacing w:line="360" w:lineRule="auto"/>
        <w:ind w:firstLine="542" w:firstLineChars="2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七、合同、信息管理方案；</w:t>
      </w:r>
    </w:p>
    <w:p>
      <w:pPr>
        <w:spacing w:line="360" w:lineRule="auto"/>
        <w:ind w:firstLine="542" w:firstLineChars="2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八、监理组织协调内容及措施；</w:t>
      </w:r>
    </w:p>
    <w:p>
      <w:pPr>
        <w:spacing w:line="360" w:lineRule="auto"/>
        <w:ind w:firstLine="542" w:firstLineChars="2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九、监理工作程序、方法和制度；</w:t>
      </w:r>
    </w:p>
    <w:p>
      <w:pPr>
        <w:spacing w:line="360" w:lineRule="auto"/>
        <w:ind w:firstLine="542" w:firstLineChars="2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十、会议制度；</w:t>
      </w:r>
    </w:p>
    <w:p>
      <w:pPr>
        <w:spacing w:line="360" w:lineRule="auto"/>
        <w:ind w:firstLine="542" w:firstLineChars="2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十一、工程进度款、工程结算管理；</w:t>
      </w:r>
    </w:p>
    <w:p>
      <w:pPr>
        <w:spacing w:line="360" w:lineRule="auto"/>
        <w:ind w:firstLine="542" w:firstLineChars="2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十二、监理工作重点、难点分析；</w:t>
      </w:r>
    </w:p>
    <w:p>
      <w:pPr>
        <w:numPr>
          <w:ilvl w:val="0"/>
          <w:numId w:val="2"/>
        </w:numPr>
        <w:spacing w:line="360" w:lineRule="auto"/>
        <w:ind w:firstLine="542" w:firstLineChars="226"/>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合理化建议。</w:t>
      </w:r>
    </w:p>
    <w:p>
      <w:pPr>
        <w:spacing w:line="360" w:lineRule="auto"/>
        <w:jc w:val="left"/>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六、其他资料</w:t>
      </w:r>
      <w:r>
        <w:rPr>
          <w:rFonts w:hint="eastAsia" w:ascii="宋体" w:hAnsi="宋体"/>
          <w:b/>
          <w:bCs/>
          <w:color w:val="000000" w:themeColor="text1"/>
          <w:kern w:val="0"/>
          <w:sz w:val="30"/>
          <w:szCs w:val="30"/>
          <w:highlight w:val="none"/>
          <w14:textFill>
            <w14:solidFill>
              <w14:schemeClr w14:val="tx1"/>
            </w14:solidFill>
          </w14:textFill>
        </w:rPr>
        <w:t>（格式可自定）</w:t>
      </w:r>
    </w:p>
    <w:p>
      <w:pPr>
        <w:pStyle w:val="4"/>
        <w:keepNext w:val="0"/>
        <w:keepLines w:val="0"/>
        <w:spacing w:before="20" w:line="240" w:lineRule="auto"/>
        <w:ind w:firstLine="157"/>
        <w:jc w:val="center"/>
        <w:rPr>
          <w:rFonts w:ascii="宋体" w:hAnsi="宋体" w:cs="宋体"/>
          <w:color w:val="000000" w:themeColor="text1"/>
          <w:highlight w:val="none"/>
          <w14:textFill>
            <w14:solidFill>
              <w14:schemeClr w14:val="tx1"/>
            </w14:solidFill>
          </w14:textFill>
        </w:rPr>
      </w:pPr>
      <w:bookmarkStart w:id="432" w:name="_Toc517280608"/>
      <w:r>
        <w:rPr>
          <w:rFonts w:hint="eastAsia" w:ascii="宋体" w:hAnsi="宋体" w:cs="宋体"/>
          <w:b/>
          <w:color w:val="000000" w:themeColor="text1"/>
          <w:sz w:val="32"/>
          <w:highlight w:val="none"/>
          <w14:textFill>
            <w14:solidFill>
              <w14:schemeClr w14:val="tx1"/>
            </w14:solidFill>
          </w14:textFill>
        </w:rPr>
        <w:t>（一）基本情况表</w:t>
      </w:r>
      <w:bookmarkEnd w:id="432"/>
    </w:p>
    <w:tbl>
      <w:tblPr>
        <w:tblStyle w:val="4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05"/>
        <w:gridCol w:w="1210"/>
        <w:gridCol w:w="714"/>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p>
        </w:tc>
        <w:tc>
          <w:tcPr>
            <w:tcW w:w="6840" w:type="dxa"/>
            <w:gridSpan w:val="8"/>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注册地址</w:t>
            </w:r>
          </w:p>
        </w:tc>
        <w:tc>
          <w:tcPr>
            <w:tcW w:w="3211"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87"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vMerge w:val="restart"/>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联系方式</w:t>
            </w:r>
          </w:p>
        </w:tc>
        <w:tc>
          <w:tcPr>
            <w:tcW w:w="1210"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tc>
        <w:tc>
          <w:tcPr>
            <w:tcW w:w="2001"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87"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vMerge w:val="continue"/>
            <w:tcBorders>
              <w:top w:val="single" w:color="auto" w:sz="4" w:space="0"/>
              <w:left w:val="single" w:color="auto" w:sz="4" w:space="0"/>
              <w:bottom w:val="single" w:color="auto" w:sz="4" w:space="0"/>
              <w:right w:val="single" w:color="auto" w:sz="4" w:space="0"/>
            </w:tcBorders>
            <w:noWrap/>
            <w:vAlign w:val="center"/>
          </w:tcPr>
          <w:p>
            <w:pPr>
              <w:rPr>
                <w:color w:val="000000" w:themeColor="text1"/>
                <w:highlight w:val="none"/>
                <w14:textFill>
                  <w14:solidFill>
                    <w14:schemeClr w14:val="tx1"/>
                  </w14:solidFill>
                </w14:textFill>
              </w:rPr>
            </w:pPr>
          </w:p>
        </w:tc>
        <w:tc>
          <w:tcPr>
            <w:tcW w:w="1210"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  真</w:t>
            </w:r>
          </w:p>
        </w:tc>
        <w:tc>
          <w:tcPr>
            <w:tcW w:w="2001"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87"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网 址</w:t>
            </w:r>
          </w:p>
        </w:tc>
        <w:tc>
          <w:tcPr>
            <w:tcW w:w="2342"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p>
        </w:tc>
        <w:tc>
          <w:tcPr>
            <w:tcW w:w="1210"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p>
        </w:tc>
        <w:tc>
          <w:tcPr>
            <w:tcW w:w="714"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2"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tc>
        <w:tc>
          <w:tcPr>
            <w:tcW w:w="1230"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技术负责人</w:t>
            </w:r>
          </w:p>
        </w:tc>
        <w:tc>
          <w:tcPr>
            <w:tcW w:w="1210"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p>
        </w:tc>
        <w:tc>
          <w:tcPr>
            <w:tcW w:w="714"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87"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2"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w:t>
            </w:r>
          </w:p>
        </w:tc>
        <w:tc>
          <w:tcPr>
            <w:tcW w:w="1230"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企业监理资质证书</w:t>
            </w:r>
          </w:p>
        </w:tc>
        <w:tc>
          <w:tcPr>
            <w:tcW w:w="6840" w:type="dxa"/>
            <w:gridSpan w:val="8"/>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ind w:firstLine="120" w:firstLineChars="5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ind w:firstLine="120" w:firstLineChars="5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统一社会信用代码</w:t>
            </w:r>
          </w:p>
        </w:tc>
        <w:tc>
          <w:tcPr>
            <w:tcW w:w="3211"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3629" w:type="dxa"/>
            <w:gridSpan w:val="5"/>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注册资本</w:t>
            </w:r>
          </w:p>
        </w:tc>
        <w:tc>
          <w:tcPr>
            <w:tcW w:w="3211"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414" w:type="dxa"/>
            <w:vMerge w:val="restart"/>
            <w:tcBorders>
              <w:top w:val="single" w:color="auto" w:sz="4" w:space="0"/>
              <w:left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其中</w:t>
            </w: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高级职称人员</w:t>
            </w:r>
          </w:p>
        </w:tc>
        <w:tc>
          <w:tcPr>
            <w:tcW w:w="1514"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成立日期</w:t>
            </w:r>
          </w:p>
        </w:tc>
        <w:tc>
          <w:tcPr>
            <w:tcW w:w="3211"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414" w:type="dxa"/>
            <w:vMerge w:val="continue"/>
            <w:tcBorders>
              <w:left w:val="single" w:color="auto" w:sz="4" w:space="0"/>
              <w:right w:val="single" w:color="auto" w:sz="4" w:space="0"/>
            </w:tcBorders>
            <w:noWrap/>
            <w:vAlign w:val="center"/>
          </w:tcPr>
          <w:p>
            <w:pPr>
              <w:rPr>
                <w:color w:val="000000" w:themeColor="text1"/>
                <w:highlight w:val="none"/>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中级职称人员</w:t>
            </w:r>
          </w:p>
        </w:tc>
        <w:tc>
          <w:tcPr>
            <w:tcW w:w="1514"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414" w:type="dxa"/>
            <w:vMerge w:val="continue"/>
            <w:tcBorders>
              <w:left w:val="single" w:color="auto" w:sz="4" w:space="0"/>
              <w:right w:val="single" w:color="auto" w:sz="4" w:space="0"/>
            </w:tcBorders>
            <w:noWrap/>
            <w:vAlign w:val="center"/>
          </w:tcPr>
          <w:p>
            <w:pPr>
              <w:rPr>
                <w:color w:val="000000" w:themeColor="text1"/>
                <w:highlight w:val="none"/>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技术人员数量</w:t>
            </w:r>
          </w:p>
        </w:tc>
        <w:tc>
          <w:tcPr>
            <w:tcW w:w="1514"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414" w:type="dxa"/>
            <w:vMerge w:val="continue"/>
            <w:tcBorders>
              <w:left w:val="single" w:color="auto" w:sz="4" w:space="0"/>
              <w:right w:val="single" w:color="auto" w:sz="4" w:space="0"/>
            </w:tcBorders>
            <w:noWrap/>
            <w:vAlign w:val="center"/>
          </w:tcPr>
          <w:p>
            <w:pPr>
              <w:rPr>
                <w:color w:val="000000" w:themeColor="text1"/>
                <w:highlight w:val="none"/>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各类注册人员</w:t>
            </w:r>
          </w:p>
        </w:tc>
        <w:tc>
          <w:tcPr>
            <w:tcW w:w="1514" w:type="dxa"/>
            <w:gridSpan w:val="2"/>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right w:val="single" w:color="auto" w:sz="4" w:space="0"/>
            </w:tcBorders>
            <w:noWrap/>
            <w:vAlign w:val="center"/>
          </w:tcPr>
          <w:p>
            <w:pPr>
              <w:topLinePunct/>
              <w:spacing w:before="100" w:beforeAutospacing="1" w:after="100" w:afterAutospacing="1" w:line="440" w:lineRule="exact"/>
              <w:ind w:firstLine="240" w:firstLineChars="10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经营范围</w:t>
            </w:r>
          </w:p>
        </w:tc>
        <w:tc>
          <w:tcPr>
            <w:tcW w:w="6840" w:type="dxa"/>
            <w:gridSpan w:val="8"/>
            <w:tcBorders>
              <w:top w:val="single" w:color="auto" w:sz="4" w:space="0"/>
              <w:left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305" w:type="dxa"/>
            <w:tcBorders>
              <w:top w:val="single" w:color="auto" w:sz="4" w:space="0"/>
              <w:left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305" w:type="dxa"/>
            <w:tcBorders>
              <w:top w:val="single" w:color="auto" w:sz="4" w:space="0"/>
              <w:left w:val="single" w:color="auto" w:sz="4" w:space="0"/>
              <w:bottom w:val="single" w:color="auto" w:sz="4" w:space="0"/>
              <w:right w:val="single" w:color="auto" w:sz="4" w:space="0"/>
            </w:tcBorders>
            <w:noWrap/>
            <w:vAlign w:val="center"/>
          </w:tcPr>
          <w:p>
            <w:pPr>
              <w:topLinePunct/>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c>
          <w:tcPr>
            <w:tcW w:w="6840" w:type="dxa"/>
            <w:gridSpan w:val="8"/>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p>
        </w:tc>
      </w:tr>
    </w:tbl>
    <w:p>
      <w:pPr>
        <w:pStyle w:val="4"/>
        <w:keepNext w:val="0"/>
        <w:keepLines w:val="0"/>
        <w:spacing w:line="240" w:lineRule="auto"/>
        <w:ind w:firstLine="137"/>
        <w:jc w:val="center"/>
        <w:rPr>
          <w:rFonts w:ascii="宋体" w:hAnsi="宋体" w:cs="宋体"/>
          <w:color w:val="000000" w:themeColor="text1"/>
          <w:highlight w:val="none"/>
          <w14:textFill>
            <w14:solidFill>
              <w14:schemeClr w14:val="tx1"/>
            </w14:solidFill>
          </w14:textFill>
        </w:rPr>
      </w:pPr>
      <w:bookmarkStart w:id="433" w:name="_Toc517280609"/>
      <w:r>
        <w:rPr>
          <w:rFonts w:hint="eastAsia"/>
          <w:color w:val="000000" w:themeColor="text1"/>
          <w:highlight w:val="none"/>
          <w14:textFill>
            <w14:solidFill>
              <w14:schemeClr w14:val="tx1"/>
            </w14:solidFill>
          </w14:textFill>
        </w:rPr>
        <w:br w:type="page"/>
      </w:r>
      <w:r>
        <w:rPr>
          <w:rFonts w:hint="eastAsia" w:ascii="宋体" w:hAnsi="宋体" w:cs="宋体"/>
          <w:b/>
          <w:color w:val="000000" w:themeColor="text1"/>
          <w:sz w:val="32"/>
          <w:highlight w:val="none"/>
          <w14:textFill>
            <w14:solidFill>
              <w14:schemeClr w14:val="tx1"/>
            </w14:solidFill>
          </w14:textFill>
        </w:rPr>
        <w:t>（二）近年完成的类似监理项目情况表</w:t>
      </w:r>
      <w:bookmarkEnd w:id="433"/>
    </w:p>
    <w:tbl>
      <w:tblPr>
        <w:tblStyle w:val="46"/>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7077"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项目所在地</w:t>
            </w:r>
          </w:p>
        </w:tc>
        <w:tc>
          <w:tcPr>
            <w:tcW w:w="7077"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委托人名称</w:t>
            </w:r>
          </w:p>
        </w:tc>
        <w:tc>
          <w:tcPr>
            <w:tcW w:w="7077"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委托人地址</w:t>
            </w:r>
          </w:p>
        </w:tc>
        <w:tc>
          <w:tcPr>
            <w:tcW w:w="7077"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委托人电话</w:t>
            </w:r>
          </w:p>
        </w:tc>
        <w:tc>
          <w:tcPr>
            <w:tcW w:w="7077"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合同价格</w:t>
            </w:r>
          </w:p>
        </w:tc>
        <w:tc>
          <w:tcPr>
            <w:tcW w:w="7077"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监理服务期限</w:t>
            </w:r>
          </w:p>
        </w:tc>
        <w:tc>
          <w:tcPr>
            <w:tcW w:w="7077"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监理内容</w:t>
            </w:r>
          </w:p>
        </w:tc>
        <w:tc>
          <w:tcPr>
            <w:tcW w:w="7077"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总监理工程师</w:t>
            </w:r>
          </w:p>
        </w:tc>
        <w:tc>
          <w:tcPr>
            <w:tcW w:w="7077"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3"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项目描述</w:t>
            </w:r>
          </w:p>
        </w:tc>
        <w:tc>
          <w:tcPr>
            <w:tcW w:w="7077"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ascii="宋体" w:hAnsi="宋体" w:cs="宋体"/>
                <w:color w:val="000000" w:themeColor="text1"/>
                <w:sz w:val="24"/>
                <w:szCs w:val="24"/>
                <w:highlight w:val="none"/>
                <w14:textFill>
                  <w14:solidFill>
                    <w14:schemeClr w14:val="tx1"/>
                  </w14:solidFill>
                </w14:textFill>
              </w:rPr>
            </w:pPr>
          </w:p>
          <w:p>
            <w:pPr>
              <w:topLinePunct/>
              <w:spacing w:line="440" w:lineRule="exact"/>
              <w:rPr>
                <w:rFonts w:ascii="宋体" w:hAnsi="宋体" w:cs="宋体"/>
                <w:color w:val="000000" w:themeColor="text1"/>
                <w:sz w:val="24"/>
                <w:szCs w:val="24"/>
                <w:highlight w:val="none"/>
                <w14:textFill>
                  <w14:solidFill>
                    <w14:schemeClr w14:val="tx1"/>
                  </w14:solidFill>
                </w14:textFill>
              </w:rPr>
            </w:pPr>
          </w:p>
          <w:p>
            <w:pPr>
              <w:topLinePunct/>
              <w:spacing w:line="440" w:lineRule="exact"/>
              <w:rPr>
                <w:rFonts w:ascii="宋体" w:hAnsi="宋体" w:cs="宋体"/>
                <w:color w:val="000000" w:themeColor="text1"/>
                <w:sz w:val="24"/>
                <w:szCs w:val="24"/>
                <w:highlight w:val="none"/>
                <w14:textFill>
                  <w14:solidFill>
                    <w14:schemeClr w14:val="tx1"/>
                  </w14:solidFill>
                </w14:textFill>
              </w:rPr>
            </w:pPr>
          </w:p>
          <w:p>
            <w:pPr>
              <w:topLinePunct/>
              <w:spacing w:line="440" w:lineRule="exact"/>
              <w:rPr>
                <w:rFonts w:ascii="宋体" w:hAnsi="宋体" w:cs="宋体"/>
                <w:color w:val="000000" w:themeColor="text1"/>
                <w:sz w:val="24"/>
                <w:szCs w:val="24"/>
                <w:highlight w:val="none"/>
                <w14:textFill>
                  <w14:solidFill>
                    <w14:schemeClr w14:val="tx1"/>
                  </w14:solidFill>
                </w14:textFill>
              </w:rPr>
            </w:pPr>
          </w:p>
          <w:p>
            <w:pPr>
              <w:topLinePunct/>
              <w:spacing w:line="440" w:lineRule="exact"/>
              <w:rPr>
                <w:rFonts w:ascii="宋体" w:hAnsi="宋体" w:cs="宋体"/>
                <w:color w:val="000000" w:themeColor="text1"/>
                <w:sz w:val="24"/>
                <w:szCs w:val="24"/>
                <w:highlight w:val="none"/>
                <w14:textFill>
                  <w14:solidFill>
                    <w14:schemeClr w14:val="tx1"/>
                  </w14:solidFill>
                </w14:textFill>
              </w:rPr>
            </w:pPr>
          </w:p>
          <w:p>
            <w:pPr>
              <w:topLinePunct/>
              <w:spacing w:line="440" w:lineRule="exact"/>
              <w:rPr>
                <w:rFonts w:ascii="宋体" w:hAnsi="宋体" w:cs="宋体"/>
                <w:color w:val="000000" w:themeColor="text1"/>
                <w:sz w:val="24"/>
                <w:szCs w:val="24"/>
                <w:highlight w:val="none"/>
                <w14:textFill>
                  <w14:solidFill>
                    <w14:schemeClr w14:val="tx1"/>
                  </w14:solidFill>
                </w14:textFill>
              </w:rPr>
            </w:pPr>
          </w:p>
          <w:p>
            <w:pPr>
              <w:topLinePunct/>
              <w:spacing w:line="440" w:lineRule="exact"/>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c>
          <w:tcPr>
            <w:tcW w:w="7077" w:type="dxa"/>
            <w:tcBorders>
              <w:top w:val="single" w:color="auto" w:sz="4" w:space="0"/>
              <w:left w:val="single" w:color="auto" w:sz="4" w:space="0"/>
              <w:bottom w:val="single" w:color="auto" w:sz="4" w:space="0"/>
              <w:right w:val="single" w:color="auto" w:sz="4" w:space="0"/>
            </w:tcBorders>
            <w:noWrap/>
          </w:tcPr>
          <w:p>
            <w:pPr>
              <w:topLinePunct/>
              <w:spacing w:line="440" w:lineRule="exact"/>
              <w:rPr>
                <w:rFonts w:ascii="宋体" w:hAnsi="宋体" w:cs="宋体"/>
                <w:color w:val="000000" w:themeColor="text1"/>
                <w:sz w:val="24"/>
                <w:szCs w:val="24"/>
                <w:highlight w:val="none"/>
                <w14:textFill>
                  <w14:solidFill>
                    <w14:schemeClr w14:val="tx1"/>
                  </w14:solidFill>
                </w14:textFill>
              </w:rPr>
            </w:pPr>
          </w:p>
        </w:tc>
      </w:tr>
    </w:tbl>
    <w:p>
      <w:pPr>
        <w:rPr>
          <w:rFonts w:hint="eastAsia" w:ascii="宋体" w:hAnsi="宋体" w:cs="宋体"/>
          <w:color w:val="000000" w:themeColor="text1"/>
          <w:sz w:val="24"/>
          <w:szCs w:val="24"/>
          <w:highlight w:val="none"/>
          <w14:textFill>
            <w14:solidFill>
              <w14:schemeClr w14:val="tx1"/>
            </w14:solidFill>
          </w14:textFill>
        </w:rPr>
      </w:pPr>
      <w:bookmarkStart w:id="434" w:name="_Toc517280611"/>
      <w:r>
        <w:rPr>
          <w:rFonts w:hint="eastAsia" w:ascii="宋体" w:hAnsi="宋体" w:cs="宋体"/>
          <w:color w:val="000000" w:themeColor="text1"/>
          <w:sz w:val="24"/>
          <w:szCs w:val="24"/>
          <w:highlight w:val="none"/>
          <w14:textFill>
            <w14:solidFill>
              <w14:schemeClr w14:val="tx1"/>
            </w14:solidFill>
          </w14:textFill>
        </w:rPr>
        <w:br w:type="page"/>
      </w:r>
    </w:p>
    <w:p>
      <w:pPr>
        <w:spacing w:line="360" w:lineRule="auto"/>
        <w:jc w:val="center"/>
        <w:rPr>
          <w:rFonts w:hint="eastAsia" w:ascii="黑体" w:hAnsi="黑体" w:eastAsia="黑体" w:cs="黑体"/>
          <w:b/>
          <w:color w:val="000000" w:themeColor="text1"/>
          <w:sz w:val="32"/>
          <w:szCs w:val="32"/>
          <w:highlight w:val="none"/>
          <w14:textFill>
            <w14:solidFill>
              <w14:schemeClr w14:val="tx1"/>
            </w14:solidFill>
          </w14:textFill>
        </w:rPr>
      </w:pPr>
      <w:r>
        <w:rPr>
          <w:rFonts w:hint="eastAsia" w:ascii="黑体" w:hAnsi="黑体" w:eastAsia="黑体" w:cs="黑体"/>
          <w:b/>
          <w:color w:val="000000" w:themeColor="text1"/>
          <w:sz w:val="32"/>
          <w:szCs w:val="32"/>
          <w:highlight w:val="none"/>
          <w14:textFill>
            <w14:solidFill>
              <w14:schemeClr w14:val="tx1"/>
            </w14:solidFill>
          </w14:textFill>
        </w:rPr>
        <w:t>（三）拟委任的主要人员汇总表</w:t>
      </w:r>
      <w:bookmarkEnd w:id="434"/>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538"/>
        <w:gridCol w:w="1115"/>
        <w:gridCol w:w="810"/>
        <w:gridCol w:w="710"/>
        <w:gridCol w:w="1246"/>
        <w:gridCol w:w="856"/>
        <w:gridCol w:w="1051"/>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vMerge w:val="restart"/>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序号</w:t>
            </w:r>
          </w:p>
        </w:tc>
        <w:tc>
          <w:tcPr>
            <w:tcW w:w="1538" w:type="dxa"/>
            <w:vMerge w:val="restart"/>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本项目任职</w:t>
            </w:r>
          </w:p>
        </w:tc>
        <w:tc>
          <w:tcPr>
            <w:tcW w:w="1115" w:type="dxa"/>
            <w:vMerge w:val="restart"/>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p>
        </w:tc>
        <w:tc>
          <w:tcPr>
            <w:tcW w:w="810" w:type="dxa"/>
            <w:vMerge w:val="restart"/>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职称</w:t>
            </w:r>
          </w:p>
        </w:tc>
        <w:tc>
          <w:tcPr>
            <w:tcW w:w="710" w:type="dxa"/>
            <w:vMerge w:val="restart"/>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专业</w:t>
            </w:r>
          </w:p>
        </w:tc>
        <w:tc>
          <w:tcPr>
            <w:tcW w:w="3153" w:type="dxa"/>
            <w:gridSpan w:val="3"/>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执业或职业资格证明</w:t>
            </w:r>
          </w:p>
        </w:tc>
        <w:tc>
          <w:tcPr>
            <w:tcW w:w="1369" w:type="dxa"/>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85" w:type="dxa"/>
            <w:vMerge w:val="continue"/>
            <w:noWrap/>
            <w:vAlign w:val="center"/>
          </w:tcPr>
          <w:p>
            <w:pPr>
              <w:rPr>
                <w:color w:val="000000" w:themeColor="text1"/>
                <w:highlight w:val="none"/>
                <w14:textFill>
                  <w14:solidFill>
                    <w14:schemeClr w14:val="tx1"/>
                  </w14:solidFill>
                </w14:textFill>
              </w:rPr>
            </w:pPr>
          </w:p>
        </w:tc>
        <w:tc>
          <w:tcPr>
            <w:tcW w:w="1538" w:type="dxa"/>
            <w:vMerge w:val="continue"/>
            <w:tcBorders>
              <w:left w:val="single" w:color="auto" w:sz="4" w:space="0"/>
            </w:tcBorders>
            <w:noWrap/>
          </w:tcPr>
          <w:p>
            <w:pPr>
              <w:rPr>
                <w:color w:val="000000" w:themeColor="text1"/>
                <w:highlight w:val="none"/>
                <w14:textFill>
                  <w14:solidFill>
                    <w14:schemeClr w14:val="tx1"/>
                  </w14:solidFill>
                </w14:textFill>
              </w:rPr>
            </w:pPr>
          </w:p>
        </w:tc>
        <w:tc>
          <w:tcPr>
            <w:tcW w:w="1115" w:type="dxa"/>
            <w:vMerge w:val="continue"/>
            <w:tcBorders>
              <w:left w:val="single" w:color="auto" w:sz="4" w:space="0"/>
            </w:tcBorders>
            <w:noWrap/>
            <w:vAlign w:val="center"/>
          </w:tcPr>
          <w:p>
            <w:pPr>
              <w:rPr>
                <w:color w:val="000000" w:themeColor="text1"/>
                <w:highlight w:val="none"/>
                <w14:textFill>
                  <w14:solidFill>
                    <w14:schemeClr w14:val="tx1"/>
                  </w14:solidFill>
                </w14:textFill>
              </w:rPr>
            </w:pPr>
          </w:p>
        </w:tc>
        <w:tc>
          <w:tcPr>
            <w:tcW w:w="810" w:type="dxa"/>
            <w:vMerge w:val="continue"/>
            <w:tcBorders>
              <w:left w:val="single" w:color="auto" w:sz="4" w:space="0"/>
            </w:tcBorders>
            <w:noWrap/>
            <w:vAlign w:val="center"/>
          </w:tcPr>
          <w:p>
            <w:pPr>
              <w:rPr>
                <w:color w:val="000000" w:themeColor="text1"/>
                <w:highlight w:val="none"/>
                <w14:textFill>
                  <w14:solidFill>
                    <w14:schemeClr w14:val="tx1"/>
                  </w14:solidFill>
                </w14:textFill>
              </w:rPr>
            </w:pPr>
          </w:p>
        </w:tc>
        <w:tc>
          <w:tcPr>
            <w:tcW w:w="710" w:type="dxa"/>
            <w:vMerge w:val="continue"/>
            <w:tcBorders>
              <w:left w:val="single" w:color="auto" w:sz="4" w:space="0"/>
            </w:tcBorders>
            <w:noWrap/>
            <w:vAlign w:val="center"/>
          </w:tcPr>
          <w:p>
            <w:pPr>
              <w:rPr>
                <w:color w:val="000000" w:themeColor="text1"/>
                <w:highlight w:val="none"/>
                <w14:textFill>
                  <w14:solidFill>
                    <w14:schemeClr w14:val="tx1"/>
                  </w14:solidFill>
                </w14:textFill>
              </w:rPr>
            </w:pPr>
          </w:p>
        </w:tc>
        <w:tc>
          <w:tcPr>
            <w:tcW w:w="1246" w:type="dxa"/>
            <w:tcBorders>
              <w:left w:val="single" w:color="auto" w:sz="4" w:space="0"/>
            </w:tcBorders>
            <w:noWrap/>
            <w:vAlign w:val="center"/>
          </w:tcPr>
          <w:p>
            <w:pPr>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证书名称</w:t>
            </w:r>
          </w:p>
        </w:tc>
        <w:tc>
          <w:tcPr>
            <w:tcW w:w="856" w:type="dxa"/>
            <w:tcBorders>
              <w:left w:val="single" w:color="auto" w:sz="4" w:space="0"/>
            </w:tcBorders>
            <w:noWrap/>
            <w:vAlign w:val="center"/>
          </w:tcPr>
          <w:p>
            <w:pPr>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级别</w:t>
            </w:r>
          </w:p>
        </w:tc>
        <w:tc>
          <w:tcPr>
            <w:tcW w:w="1051" w:type="dxa"/>
            <w:tcBorders>
              <w:left w:val="single" w:color="auto" w:sz="4" w:space="0"/>
            </w:tcBorders>
            <w:noWrap/>
            <w:vAlign w:val="center"/>
          </w:tcPr>
          <w:p>
            <w:pPr>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证号</w:t>
            </w:r>
          </w:p>
        </w:tc>
        <w:tc>
          <w:tcPr>
            <w:tcW w:w="1369" w:type="dxa"/>
            <w:tcBorders>
              <w:left w:val="single" w:color="auto" w:sz="4" w:space="0"/>
            </w:tcBorders>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85" w:type="dxa"/>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538"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115"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710"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24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856"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51"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369" w:type="dxa"/>
            <w:tcBorders>
              <w:left w:val="single" w:color="auto" w:sz="4" w:space="0"/>
            </w:tcBorders>
            <w:noWrap/>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bl>
    <w:p>
      <w:pPr>
        <w:spacing w:line="440" w:lineRule="exact"/>
        <w:rPr>
          <w:rFonts w:ascii="宋体" w:hAnsi="宋体" w:cs="宋体"/>
          <w:color w:val="000000" w:themeColor="text1"/>
          <w:highlight w:val="none"/>
          <w14:textFill>
            <w14:solidFill>
              <w14:schemeClr w14:val="tx1"/>
            </w14:solidFill>
          </w14:textFill>
        </w:rPr>
      </w:pPr>
      <w:bookmarkStart w:id="435" w:name="_Toc517280612"/>
    </w:p>
    <w:p>
      <w:pPr>
        <w:spacing w:line="440" w:lineRule="exact"/>
        <w:rPr>
          <w:rFonts w:ascii="宋体" w:hAnsi="宋体" w:cs="宋体"/>
          <w:color w:val="000000" w:themeColor="text1"/>
          <w:highlight w:val="none"/>
          <w14:textFill>
            <w14:solidFill>
              <w14:schemeClr w14:val="tx1"/>
            </w14:solidFill>
          </w14:textFill>
        </w:rPr>
      </w:pPr>
    </w:p>
    <w:p>
      <w:pPr>
        <w:pStyle w:val="4"/>
        <w:keepNext w:val="0"/>
        <w:keepLines w:val="0"/>
        <w:spacing w:line="240" w:lineRule="auto"/>
        <w:ind w:firstLine="137"/>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b/>
          <w:color w:val="000000" w:themeColor="text1"/>
          <w:sz w:val="32"/>
          <w:highlight w:val="none"/>
          <w14:textFill>
            <w14:solidFill>
              <w14:schemeClr w14:val="tx1"/>
            </w14:solidFill>
          </w14:textFill>
        </w:rPr>
        <w:t>（四）</w:t>
      </w:r>
      <w:r>
        <w:rPr>
          <w:rFonts w:ascii="宋体" w:hAnsi="宋体" w:cs="宋体"/>
          <w:b/>
          <w:color w:val="000000" w:themeColor="text1"/>
          <w:sz w:val="32"/>
          <w:highlight w:val="none"/>
          <w14:textFill>
            <w14:solidFill>
              <w14:schemeClr w14:val="tx1"/>
            </w14:solidFill>
          </w14:textFill>
        </w:rPr>
        <w:t>主要人员简历表</w:t>
      </w:r>
      <w:bookmarkEnd w:id="435"/>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406"/>
        <w:gridCol w:w="787"/>
        <w:gridCol w:w="1090"/>
        <w:gridCol w:w="1213"/>
        <w:gridCol w:w="803"/>
        <w:gridCol w:w="1435"/>
        <w:gridCol w:w="457"/>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351" w:type="dxa"/>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  名</w:t>
            </w:r>
          </w:p>
        </w:tc>
        <w:tc>
          <w:tcPr>
            <w:tcW w:w="1193" w:type="dxa"/>
            <w:gridSpan w:val="2"/>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90" w:type="dxa"/>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年龄</w:t>
            </w:r>
          </w:p>
        </w:tc>
        <w:tc>
          <w:tcPr>
            <w:tcW w:w="1213" w:type="dxa"/>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2695" w:type="dxa"/>
            <w:gridSpan w:val="3"/>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执业资格证书（或上岗证书）名称</w:t>
            </w:r>
          </w:p>
        </w:tc>
        <w:tc>
          <w:tcPr>
            <w:tcW w:w="2158" w:type="dxa"/>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  称</w:t>
            </w:r>
          </w:p>
        </w:tc>
        <w:tc>
          <w:tcPr>
            <w:tcW w:w="1193" w:type="dxa"/>
            <w:gridSpan w:val="2"/>
            <w:tcBorders>
              <w:left w:val="single" w:color="auto" w:sz="4" w:space="0"/>
            </w:tcBorders>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1090" w:type="dxa"/>
            <w:tcBorders>
              <w:left w:val="single" w:color="auto" w:sz="4" w:space="0"/>
            </w:tcBorders>
            <w:noWrap/>
            <w:vAlign w:val="center"/>
          </w:tcPr>
          <w:p>
            <w:pPr>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学历</w:t>
            </w:r>
          </w:p>
        </w:tc>
        <w:tc>
          <w:tcPr>
            <w:tcW w:w="1213" w:type="dxa"/>
            <w:tcBorders>
              <w:left w:val="single" w:color="auto" w:sz="4" w:space="0"/>
            </w:tcBorders>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2695" w:type="dxa"/>
            <w:gridSpan w:val="3"/>
            <w:tcBorders>
              <w:left w:val="single" w:color="auto" w:sz="4" w:space="0"/>
            </w:tcBorders>
            <w:noWrap/>
            <w:vAlign w:val="center"/>
          </w:tcPr>
          <w:p>
            <w:pPr>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拟在本项目任职</w:t>
            </w:r>
          </w:p>
        </w:tc>
        <w:tc>
          <w:tcPr>
            <w:tcW w:w="2158" w:type="dxa"/>
            <w:tcBorders>
              <w:left w:val="single" w:color="auto" w:sz="4" w:space="0"/>
            </w:tcBorders>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351" w:type="dxa"/>
            <w:noWrap/>
            <w:vAlign w:val="center"/>
          </w:tcPr>
          <w:p>
            <w:pPr>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工作年限</w:t>
            </w:r>
          </w:p>
        </w:tc>
        <w:tc>
          <w:tcPr>
            <w:tcW w:w="3496" w:type="dxa"/>
            <w:gridSpan w:val="4"/>
            <w:tcBorders>
              <w:left w:val="single" w:color="auto" w:sz="4" w:space="0"/>
            </w:tcBorders>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c>
          <w:tcPr>
            <w:tcW w:w="2695" w:type="dxa"/>
            <w:gridSpan w:val="3"/>
            <w:tcBorders>
              <w:left w:val="single" w:color="auto" w:sz="4" w:space="0"/>
            </w:tcBorders>
            <w:noWrap/>
            <w:vAlign w:val="center"/>
          </w:tcPr>
          <w:p>
            <w:pPr>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从事监理工作年限</w:t>
            </w:r>
          </w:p>
        </w:tc>
        <w:tc>
          <w:tcPr>
            <w:tcW w:w="2158" w:type="dxa"/>
            <w:tcBorders>
              <w:left w:val="single" w:color="auto" w:sz="4" w:space="0"/>
            </w:tcBorders>
            <w:noWrap/>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51" w:type="dxa"/>
            <w:noWrap/>
            <w:vAlign w:val="center"/>
          </w:tcPr>
          <w:p>
            <w:pPr>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毕业学校</w:t>
            </w:r>
          </w:p>
        </w:tc>
        <w:tc>
          <w:tcPr>
            <w:tcW w:w="8349" w:type="dxa"/>
            <w:gridSpan w:val="8"/>
            <w:tcBorders>
              <w:left w:val="single" w:color="auto" w:sz="4" w:space="0"/>
            </w:tcBorders>
            <w:noWrap/>
            <w:vAlign w:val="center"/>
          </w:tcPr>
          <w:p>
            <w:pPr>
              <w:spacing w:before="100" w:beforeAutospacing="1" w:after="100" w:afterAutospacing="1" w:line="440" w:lineRule="exact"/>
              <w:ind w:firstLine="1320" w:firstLineChars="5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700" w:type="dxa"/>
            <w:gridSpan w:val="9"/>
            <w:noWrap/>
            <w:vAlign w:val="center"/>
          </w:tcPr>
          <w:p>
            <w:pPr>
              <w:spacing w:before="100" w:beforeAutospacing="1" w:after="100" w:afterAutospacing="1" w:line="44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757" w:type="dxa"/>
            <w:gridSpan w:val="2"/>
            <w:noWrap/>
            <w:vAlign w:val="center"/>
          </w:tcPr>
          <w:p>
            <w:pPr>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时  间</w:t>
            </w:r>
          </w:p>
        </w:tc>
        <w:tc>
          <w:tcPr>
            <w:tcW w:w="3893" w:type="dxa"/>
            <w:gridSpan w:val="4"/>
            <w:tcBorders>
              <w:left w:val="single" w:color="auto" w:sz="4" w:space="0"/>
            </w:tcBorders>
            <w:noWrap/>
            <w:vAlign w:val="center"/>
          </w:tcPr>
          <w:p>
            <w:pPr>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参加过的类似项目</w:t>
            </w:r>
          </w:p>
        </w:tc>
        <w:tc>
          <w:tcPr>
            <w:tcW w:w="1435" w:type="dxa"/>
            <w:tcBorders>
              <w:left w:val="single" w:color="auto" w:sz="4" w:space="0"/>
            </w:tcBorders>
            <w:noWrap/>
            <w:vAlign w:val="center"/>
          </w:tcPr>
          <w:p>
            <w:pPr>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担任职务</w:t>
            </w:r>
          </w:p>
        </w:tc>
        <w:tc>
          <w:tcPr>
            <w:tcW w:w="2615" w:type="dxa"/>
            <w:gridSpan w:val="2"/>
            <w:tcBorders>
              <w:left w:val="single" w:color="auto" w:sz="4" w:space="0"/>
            </w:tcBorders>
            <w:noWrap/>
            <w:vAlign w:val="center"/>
          </w:tcPr>
          <w:p>
            <w:pPr>
              <w:spacing w:before="100" w:beforeAutospacing="1" w:after="100" w:afterAutospacing="1"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757" w:type="dxa"/>
            <w:gridSpan w:val="2"/>
            <w:noWrap/>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3893" w:type="dxa"/>
            <w:gridSpan w:val="4"/>
            <w:tcBorders>
              <w:left w:val="single" w:color="auto" w:sz="4" w:space="0"/>
            </w:tcBorders>
            <w:noWrap/>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1435" w:type="dxa"/>
            <w:tcBorders>
              <w:left w:val="single" w:color="auto" w:sz="4" w:space="0"/>
            </w:tcBorders>
            <w:noWrap/>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2615" w:type="dxa"/>
            <w:gridSpan w:val="2"/>
            <w:tcBorders>
              <w:left w:val="single" w:color="auto" w:sz="4" w:space="0"/>
            </w:tcBorders>
            <w:noWrap/>
          </w:tcPr>
          <w:p>
            <w:pPr>
              <w:spacing w:line="440" w:lineRule="exact"/>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757" w:type="dxa"/>
            <w:gridSpan w:val="2"/>
            <w:noWrap/>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3893" w:type="dxa"/>
            <w:gridSpan w:val="4"/>
            <w:tcBorders>
              <w:left w:val="single" w:color="auto" w:sz="4" w:space="0"/>
            </w:tcBorders>
            <w:noWrap/>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1435" w:type="dxa"/>
            <w:tcBorders>
              <w:left w:val="single" w:color="auto" w:sz="4" w:space="0"/>
            </w:tcBorders>
            <w:noWrap/>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2615" w:type="dxa"/>
            <w:gridSpan w:val="2"/>
            <w:tcBorders>
              <w:left w:val="single" w:color="auto" w:sz="4" w:space="0"/>
            </w:tcBorders>
            <w:noWrap/>
          </w:tcPr>
          <w:p>
            <w:pPr>
              <w:spacing w:line="440" w:lineRule="exact"/>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757" w:type="dxa"/>
            <w:gridSpan w:val="2"/>
            <w:noWrap/>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3893" w:type="dxa"/>
            <w:gridSpan w:val="4"/>
            <w:tcBorders>
              <w:left w:val="single" w:color="auto" w:sz="4" w:space="0"/>
            </w:tcBorders>
            <w:noWrap/>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1435" w:type="dxa"/>
            <w:tcBorders>
              <w:left w:val="single" w:color="auto" w:sz="4" w:space="0"/>
            </w:tcBorders>
            <w:noWrap/>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2615" w:type="dxa"/>
            <w:gridSpan w:val="2"/>
            <w:tcBorders>
              <w:left w:val="single" w:color="auto" w:sz="4" w:space="0"/>
            </w:tcBorders>
            <w:noWrap/>
          </w:tcPr>
          <w:p>
            <w:pPr>
              <w:spacing w:line="440" w:lineRule="exact"/>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757" w:type="dxa"/>
            <w:gridSpan w:val="2"/>
            <w:noWrap/>
            <w:vAlign w:val="center"/>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3893" w:type="dxa"/>
            <w:gridSpan w:val="4"/>
            <w:tcBorders>
              <w:left w:val="single" w:color="auto" w:sz="4" w:space="0"/>
            </w:tcBorders>
            <w:noWrap/>
            <w:vAlign w:val="center"/>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1435" w:type="dxa"/>
            <w:tcBorders>
              <w:left w:val="single" w:color="auto" w:sz="4" w:space="0"/>
            </w:tcBorders>
            <w:noWrap/>
            <w:vAlign w:val="center"/>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2615" w:type="dxa"/>
            <w:gridSpan w:val="2"/>
            <w:tcBorders>
              <w:left w:val="single" w:color="auto" w:sz="4" w:space="0"/>
            </w:tcBorders>
            <w:noWrap/>
            <w:vAlign w:val="center"/>
          </w:tcPr>
          <w:p>
            <w:pPr>
              <w:spacing w:line="440" w:lineRule="exact"/>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757" w:type="dxa"/>
            <w:gridSpan w:val="2"/>
            <w:noWrap/>
            <w:vAlign w:val="center"/>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3893" w:type="dxa"/>
            <w:gridSpan w:val="4"/>
            <w:tcBorders>
              <w:left w:val="single" w:color="auto" w:sz="4" w:space="0"/>
            </w:tcBorders>
            <w:noWrap/>
            <w:vAlign w:val="center"/>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1435" w:type="dxa"/>
            <w:tcBorders>
              <w:left w:val="single" w:color="auto" w:sz="4" w:space="0"/>
            </w:tcBorders>
            <w:noWrap/>
            <w:vAlign w:val="center"/>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2615" w:type="dxa"/>
            <w:gridSpan w:val="2"/>
            <w:tcBorders>
              <w:left w:val="single" w:color="auto" w:sz="4" w:space="0"/>
            </w:tcBorders>
            <w:noWrap/>
            <w:vAlign w:val="center"/>
          </w:tcPr>
          <w:p>
            <w:pPr>
              <w:spacing w:line="440" w:lineRule="exact"/>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757" w:type="dxa"/>
            <w:gridSpan w:val="2"/>
            <w:noWrap/>
            <w:vAlign w:val="center"/>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3893" w:type="dxa"/>
            <w:gridSpan w:val="4"/>
            <w:tcBorders>
              <w:left w:val="single" w:color="auto" w:sz="4" w:space="0"/>
            </w:tcBorders>
            <w:noWrap/>
            <w:vAlign w:val="center"/>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1435" w:type="dxa"/>
            <w:tcBorders>
              <w:left w:val="single" w:color="auto" w:sz="4" w:space="0"/>
            </w:tcBorders>
            <w:noWrap/>
            <w:vAlign w:val="center"/>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2615" w:type="dxa"/>
            <w:gridSpan w:val="2"/>
            <w:tcBorders>
              <w:left w:val="single" w:color="auto" w:sz="4" w:space="0"/>
            </w:tcBorders>
            <w:noWrap/>
            <w:vAlign w:val="center"/>
          </w:tcPr>
          <w:p>
            <w:pPr>
              <w:spacing w:line="440" w:lineRule="exact"/>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757" w:type="dxa"/>
            <w:gridSpan w:val="2"/>
            <w:noWrap/>
            <w:vAlign w:val="center"/>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3893" w:type="dxa"/>
            <w:gridSpan w:val="4"/>
            <w:tcBorders>
              <w:left w:val="single" w:color="auto" w:sz="4" w:space="0"/>
            </w:tcBorders>
            <w:noWrap/>
            <w:vAlign w:val="center"/>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1435" w:type="dxa"/>
            <w:tcBorders>
              <w:left w:val="single" w:color="auto" w:sz="4" w:space="0"/>
            </w:tcBorders>
            <w:noWrap/>
            <w:vAlign w:val="center"/>
          </w:tcPr>
          <w:p>
            <w:pPr>
              <w:spacing w:line="440" w:lineRule="exact"/>
              <w:rPr>
                <w:rFonts w:ascii="宋体" w:hAnsi="宋体" w:cs="宋体"/>
                <w:color w:val="000000" w:themeColor="text1"/>
                <w:sz w:val="24"/>
                <w:szCs w:val="24"/>
                <w:highlight w:val="none"/>
                <w14:textFill>
                  <w14:solidFill>
                    <w14:schemeClr w14:val="tx1"/>
                  </w14:solidFill>
                </w14:textFill>
              </w:rPr>
            </w:pPr>
          </w:p>
        </w:tc>
        <w:tc>
          <w:tcPr>
            <w:tcW w:w="2615" w:type="dxa"/>
            <w:gridSpan w:val="2"/>
            <w:tcBorders>
              <w:left w:val="single" w:color="auto" w:sz="4" w:space="0"/>
            </w:tcBorders>
            <w:noWrap/>
            <w:vAlign w:val="center"/>
          </w:tcPr>
          <w:p>
            <w:pPr>
              <w:spacing w:line="440" w:lineRule="exact"/>
              <w:rPr>
                <w:rFonts w:ascii="宋体" w:hAnsi="宋体" w:cs="宋体"/>
                <w:color w:val="000000" w:themeColor="text1"/>
                <w:sz w:val="24"/>
                <w:szCs w:val="24"/>
                <w:highlight w:val="none"/>
                <w14:textFill>
                  <w14:solidFill>
                    <w14:schemeClr w14:val="tx1"/>
                  </w14:solidFill>
                </w14:textFill>
              </w:rPr>
            </w:pPr>
          </w:p>
        </w:tc>
      </w:tr>
    </w:tbl>
    <w:p>
      <w:pPr>
        <w:spacing w:line="440" w:lineRule="exact"/>
        <w:rPr>
          <w:rFonts w:ascii="宋体" w:hAnsi="宋体" w:cs="宋体"/>
          <w:color w:val="000000" w:themeColor="text1"/>
          <w:highlight w:val="none"/>
          <w14:textFill>
            <w14:solidFill>
              <w14:schemeClr w14:val="tx1"/>
            </w14:solidFill>
          </w14:textFill>
        </w:rPr>
      </w:pPr>
      <w:bookmarkStart w:id="436" w:name="_Toc300835229"/>
      <w:bookmarkStart w:id="437" w:name="_Toc352703741"/>
    </w:p>
    <w:p>
      <w:pPr>
        <w:spacing w:line="440" w:lineRule="exact"/>
        <w:rPr>
          <w:rFonts w:ascii="宋体" w:hAnsi="宋体" w:cs="宋体"/>
          <w:color w:val="000000" w:themeColor="text1"/>
          <w:highlight w:val="none"/>
          <w14:textFill>
            <w14:solidFill>
              <w14:schemeClr w14:val="tx1"/>
            </w14:solidFill>
          </w14:textFill>
        </w:rPr>
      </w:pPr>
    </w:p>
    <w:p>
      <w:pPr>
        <w:rPr>
          <w:rFonts w:hint="eastAsia"/>
          <w:b/>
          <w:bCs/>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14:textFill>
            <w14:solidFill>
              <w14:schemeClr w14:val="tx1"/>
            </w14:solidFill>
          </w14:textFill>
        </w:rPr>
        <w:br w:type="page"/>
      </w:r>
    </w:p>
    <w:p>
      <w:pPr>
        <w:pStyle w:val="24"/>
        <w:spacing w:line="360" w:lineRule="auto"/>
        <w:jc w:val="center"/>
        <w:outlineLvl w:val="1"/>
        <w:rPr>
          <w:b/>
          <w:bCs/>
          <w:color w:val="000000" w:themeColor="text1"/>
          <w:sz w:val="32"/>
          <w:szCs w:val="32"/>
          <w:highlight w:val="none"/>
          <w14:textFill>
            <w14:solidFill>
              <w14:schemeClr w14:val="tx1"/>
            </w14:solidFill>
          </w14:textFill>
        </w:rPr>
      </w:pPr>
      <w:r>
        <w:rPr>
          <w:rFonts w:hint="eastAsia" w:hAnsi="宋体" w:eastAsia="黑体" w:cs="宋体"/>
          <w:b/>
          <w:color w:val="000000" w:themeColor="text1"/>
          <w:sz w:val="32"/>
          <w:szCs w:val="20"/>
          <w:highlight w:val="none"/>
          <w14:textFill>
            <w14:solidFill>
              <w14:schemeClr w14:val="tx1"/>
            </w14:solidFill>
          </w14:textFill>
        </w:rPr>
        <w:t>（五）投标人认为需提供的其他材料（格式自拟）</w:t>
      </w:r>
    </w:p>
    <w:p>
      <w:pPr>
        <w:pStyle w:val="82"/>
        <w:spacing w:line="500" w:lineRule="exact"/>
        <w:outlineLvl w:val="0"/>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（投标人根据《定标因素表》要求提供其他证明材料或投标人认为需要提供的其他材料）</w:t>
      </w:r>
    </w:p>
    <w:p>
      <w:pPr>
        <w:pStyle w:val="24"/>
        <w:spacing w:line="360" w:lineRule="auto"/>
        <w:jc w:val="left"/>
        <w:outlineLvl w:val="1"/>
        <w:rPr>
          <w:b/>
          <w:bCs/>
          <w:color w:val="000000" w:themeColor="text1"/>
          <w:sz w:val="28"/>
          <w:szCs w:val="28"/>
          <w:highlight w:val="none"/>
          <w14:textFill>
            <w14:solidFill>
              <w14:schemeClr w14:val="tx1"/>
            </w14:solidFill>
          </w14:textFill>
        </w:rPr>
      </w:pPr>
    </w:p>
    <w:bookmarkEnd w:id="436"/>
    <w:bookmarkEnd w:id="437"/>
    <w:p>
      <w:pPr>
        <w:rPr>
          <w:rFonts w:ascii="宋体" w:hAnsi="宋体" w:cs="宋体"/>
          <w:color w:val="000000" w:themeColor="text1"/>
          <w:highlight w:val="none"/>
          <w14:textFill>
            <w14:solidFill>
              <w14:schemeClr w14:val="tx1"/>
            </w14:solidFill>
          </w14:textFill>
        </w:rPr>
      </w:pPr>
    </w:p>
    <w:p>
      <w:pPr>
        <w:pStyle w:val="24"/>
        <w:spacing w:line="360" w:lineRule="auto"/>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bookmarkEnd w:id="428"/>
    <w:bookmarkEnd w:id="429"/>
    <w:bookmarkEnd w:id="430"/>
    <w:bookmarkEnd w:id="431"/>
    <w:p>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pStyle w:val="3"/>
        <w:spacing w:before="0" w:after="0" w:line="360" w:lineRule="auto"/>
        <w:jc w:val="center"/>
        <w:rPr>
          <w:rFonts w:hint="eastAsia" w:ascii="宋体" w:hAnsi="宋体" w:eastAsia="宋体"/>
          <w:color w:val="000000" w:themeColor="text1"/>
          <w:szCs w:val="30"/>
          <w:highlight w:val="none"/>
          <w14:textFill>
            <w14:solidFill>
              <w14:schemeClr w14:val="tx1"/>
            </w14:solidFill>
          </w14:textFill>
        </w:rPr>
      </w:pPr>
      <w:bookmarkStart w:id="438" w:name="_Toc19391"/>
      <w:r>
        <w:rPr>
          <w:rFonts w:hint="eastAsia" w:ascii="宋体" w:hAnsi="宋体" w:eastAsia="宋体"/>
          <w:color w:val="000000" w:themeColor="text1"/>
          <w:kern w:val="44"/>
          <w:sz w:val="44"/>
          <w:highlight w:val="none"/>
          <w14:textFill>
            <w14:solidFill>
              <w14:schemeClr w14:val="tx1"/>
            </w14:solidFill>
          </w14:textFill>
        </w:rPr>
        <w:t>第七章</w:t>
      </w:r>
      <w:bookmarkEnd w:id="438"/>
      <w:r>
        <w:rPr>
          <w:rFonts w:hint="eastAsia" w:ascii="宋体" w:hAnsi="宋体" w:eastAsia="宋体"/>
          <w:color w:val="000000" w:themeColor="text1"/>
          <w:kern w:val="44"/>
          <w:sz w:val="44"/>
          <w:szCs w:val="20"/>
          <w:highlight w:val="none"/>
          <w14:textFill>
            <w14:solidFill>
              <w14:schemeClr w14:val="tx1"/>
            </w14:solidFill>
          </w14:textFill>
        </w:rPr>
        <w:t xml:space="preserve"> 否决性条款汇总</w:t>
      </w:r>
    </w:p>
    <w:p>
      <w:pPr>
        <w:wordWrap w:val="0"/>
        <w:spacing w:line="360" w:lineRule="auto"/>
        <w:ind w:firstLine="480" w:firstLineChars="200"/>
        <w:jc w:val="left"/>
        <w:rPr>
          <w:rFonts w:hint="eastAsia" w:ascii="宋体" w:hAnsi="宋体" w:cs="宋体"/>
          <w:color w:val="000000" w:themeColor="text1"/>
          <w:kern w:val="21"/>
          <w:sz w:val="24"/>
          <w:highlight w:val="none"/>
          <w14:textFill>
            <w14:solidFill>
              <w14:schemeClr w14:val="tx1"/>
            </w14:solidFill>
          </w14:textFill>
        </w:rPr>
      </w:pPr>
      <w:r>
        <w:rPr>
          <w:rFonts w:hint="eastAsia" w:ascii="宋体" w:hAnsi="宋体" w:cs="宋体"/>
          <w:color w:val="000000" w:themeColor="text1"/>
          <w:kern w:val="21"/>
          <w:sz w:val="24"/>
          <w:highlight w:val="none"/>
          <w14:textFill>
            <w14:solidFill>
              <w14:schemeClr w14:val="tx1"/>
            </w14:solidFill>
          </w14:textFill>
        </w:rPr>
        <w:t>招标人应当在招标文件中将投标文件的否决性条款单列，招标文件的其他条款与该单列的否决性条款不一致的，以单列的否决性条款为准。如招标文件澄清或修改的内容中增加否决性条款的，招标人应当重新单列完整的投标文件否决性条款，并依法发给所有投标人。否决性条款是指招标文件中规定的不予受理投标或者作无效标、废标以及不合格标处理等否定投标文件效力的条款。</w:t>
      </w:r>
    </w:p>
    <w:p>
      <w:pPr>
        <w:rPr>
          <w:rFonts w:hint="eastAsia"/>
          <w:color w:val="000000" w:themeColor="text1"/>
          <w:highlight w:val="none"/>
          <w14:textFill>
            <w14:solidFill>
              <w14:schemeClr w14:val="tx1"/>
            </w14:solidFill>
          </w14:textFill>
        </w:rPr>
      </w:pPr>
    </w:p>
    <w:tbl>
      <w:tblPr>
        <w:tblStyle w:val="46"/>
        <w:tblW w:w="9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20" w:type="dxa"/>
            <w:vAlign w:val="center"/>
          </w:tcPr>
          <w:p>
            <w:pPr>
              <w:wordWrap w:val="0"/>
              <w:spacing w:before="100"/>
              <w:jc w:val="center"/>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序号</w:t>
            </w:r>
          </w:p>
        </w:tc>
        <w:tc>
          <w:tcPr>
            <w:tcW w:w="8867" w:type="dxa"/>
            <w:vAlign w:val="center"/>
          </w:tcPr>
          <w:p>
            <w:pPr>
              <w:wordWrap w:val="0"/>
              <w:spacing w:before="100"/>
              <w:jc w:val="center"/>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87" w:type="dxa"/>
            <w:gridSpan w:val="2"/>
            <w:vAlign w:val="center"/>
          </w:tcPr>
          <w:p>
            <w:pPr>
              <w:numPr>
                <w:ilvl w:val="0"/>
                <w:numId w:val="3"/>
              </w:numPr>
              <w:wordWrap w:val="0"/>
              <w:spacing w:line="360" w:lineRule="auto"/>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投标文件、投标文件光盘</w:t>
            </w:r>
            <w:r>
              <w:rPr>
                <w:rFonts w:ascii="宋体" w:hAnsi="宋体" w:cs="宋体"/>
                <w:b/>
                <w:bCs/>
                <w:color w:val="000000" w:themeColor="text1"/>
                <w:sz w:val="24"/>
                <w:highlight w:val="none"/>
                <w14:textFill>
                  <w14:solidFill>
                    <w14:schemeClr w14:val="tx1"/>
                  </w14:solidFill>
                </w14:textFill>
              </w:rPr>
              <w:t>或U盘</w:t>
            </w:r>
            <w:r>
              <w:rPr>
                <w:rFonts w:hint="eastAsia" w:ascii="宋体" w:hAnsi="宋体" w:cs="宋体"/>
                <w:b/>
                <w:bCs/>
                <w:color w:val="000000" w:themeColor="text1"/>
                <w:sz w:val="24"/>
                <w:highlight w:val="none"/>
                <w14:textFill>
                  <w14:solidFill>
                    <w14:schemeClr w14:val="tx1"/>
                  </w14:solidFill>
                </w14:textFill>
              </w:rPr>
              <w:t>（备用）出现下列情形之一的，拒绝受理：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pPr>
              <w:wordWrap w:val="0"/>
              <w:spacing w:before="100"/>
              <w:jc w:val="center"/>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1</w:t>
            </w:r>
          </w:p>
        </w:tc>
        <w:tc>
          <w:tcPr>
            <w:tcW w:w="8867" w:type="dxa"/>
            <w:vAlign w:val="center"/>
          </w:tcPr>
          <w:p>
            <w:pPr>
              <w:wordWrap w:val="0"/>
              <w:spacing w:before="100"/>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（1）逾期送达的投标文件，电子招标投标交易平台将予以拒收。</w:t>
            </w:r>
          </w:p>
          <w:p>
            <w:pPr>
              <w:wordWrap w:val="0"/>
              <w:spacing w:before="100"/>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（2）逾期未上传成功的电子投标文件，招标人拒绝接收。</w:t>
            </w:r>
          </w:p>
          <w:p>
            <w:pPr>
              <w:wordWrap w:val="0"/>
              <w:spacing w:before="100"/>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（3）逾期或未在指定地点递交投标文件光盘（或U盘）的,招标人拒绝接收其投标文件光盘（或U盘）。</w:t>
            </w:r>
          </w:p>
          <w:p>
            <w:pPr>
              <w:wordWrap w:val="0"/>
              <w:spacing w:before="100"/>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（4）逾期送达的投标文件，电子招标投标交易平台将予以拒收。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pPr>
              <w:wordWrap w:val="0"/>
              <w:spacing w:before="100"/>
              <w:jc w:val="center"/>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2</w:t>
            </w:r>
          </w:p>
        </w:tc>
        <w:tc>
          <w:tcPr>
            <w:tcW w:w="8867" w:type="dxa"/>
            <w:vAlign w:val="center"/>
          </w:tcPr>
          <w:p>
            <w:pPr>
              <w:wordWrap w:val="0"/>
              <w:spacing w:before="100"/>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在投标截止时间后半小时内为投标人投标文件解密时间，投标人通过广州公共资源交易平台对已递交的电子投标文件进行解密，超过时间未解密的视为撤销其投标文件。因投标人原因造成投标文件未解密的或未在投标截止时间后一小时内解密的且未提交备用光盘（或U盘）的，视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pPr>
              <w:wordWrap w:val="0"/>
              <w:spacing w:before="100"/>
              <w:jc w:val="center"/>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3</w:t>
            </w:r>
          </w:p>
        </w:tc>
        <w:tc>
          <w:tcPr>
            <w:tcW w:w="8867" w:type="dxa"/>
            <w:vAlign w:val="center"/>
          </w:tcPr>
          <w:p>
            <w:pPr>
              <w:wordWrap w:val="0"/>
              <w:spacing w:before="100"/>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递交的投标文件光盘</w:t>
            </w:r>
            <w:r>
              <w:rPr>
                <w:rFonts w:ascii="宋体" w:hAnsi="宋体" w:cs="宋体"/>
                <w:b/>
                <w:bCs/>
                <w:color w:val="000000" w:themeColor="text1"/>
                <w:kern w:val="21"/>
                <w:sz w:val="24"/>
                <w:highlight w:val="none"/>
                <w14:textFill>
                  <w14:solidFill>
                    <w14:schemeClr w14:val="tx1"/>
                  </w14:solidFill>
                </w14:textFill>
              </w:rPr>
              <w:t>或U盘</w:t>
            </w:r>
            <w:r>
              <w:rPr>
                <w:rFonts w:hint="eastAsia" w:ascii="宋体" w:hAnsi="宋体" w:cs="宋体"/>
                <w:b/>
                <w:bCs/>
                <w:color w:val="000000" w:themeColor="text1"/>
                <w:kern w:val="21"/>
                <w:sz w:val="24"/>
                <w:highlight w:val="none"/>
                <w14:textFill>
                  <w14:solidFill>
                    <w14:schemeClr w14:val="tx1"/>
                  </w14:solidFill>
                </w14:textFill>
              </w:rPr>
              <w:t>不得加密。投标文件光盘</w:t>
            </w:r>
            <w:r>
              <w:rPr>
                <w:rFonts w:ascii="宋体" w:hAnsi="宋体" w:cs="宋体"/>
                <w:b/>
                <w:bCs/>
                <w:color w:val="000000" w:themeColor="text1"/>
                <w:kern w:val="21"/>
                <w:sz w:val="24"/>
                <w:highlight w:val="none"/>
                <w14:textFill>
                  <w14:solidFill>
                    <w14:schemeClr w14:val="tx1"/>
                  </w14:solidFill>
                </w14:textFill>
              </w:rPr>
              <w:t>或U盘</w:t>
            </w:r>
            <w:r>
              <w:rPr>
                <w:rFonts w:hint="eastAsia" w:ascii="宋体" w:hAnsi="宋体" w:cs="宋体"/>
                <w:b/>
                <w:bCs/>
                <w:color w:val="000000" w:themeColor="text1"/>
                <w:kern w:val="21"/>
                <w:sz w:val="24"/>
                <w:highlight w:val="none"/>
                <w14:textFill>
                  <w14:solidFill>
                    <w14:schemeClr w14:val="tx1"/>
                  </w14:solidFill>
                </w14:textFill>
              </w:rPr>
              <w:t>无法读取或导入的，则视为未提交备用投标文件光盘。如果投标人没有按规定通过交易平台网上递交电子投标文件的，不再接受提交的光盘。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687" w:type="dxa"/>
            <w:gridSpan w:val="2"/>
            <w:vAlign w:val="center"/>
          </w:tcPr>
          <w:p>
            <w:pPr>
              <w:wordWrap w:val="0"/>
              <w:spacing w:before="100"/>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二、开标时，出现下列情形之一的，不参与资格审查和评标：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pPr>
              <w:wordWrap w:val="0"/>
              <w:spacing w:before="100"/>
              <w:jc w:val="center"/>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4</w:t>
            </w:r>
          </w:p>
        </w:tc>
        <w:tc>
          <w:tcPr>
            <w:tcW w:w="8867" w:type="dxa"/>
            <w:vAlign w:val="center"/>
          </w:tcPr>
          <w:p>
            <w:pPr>
              <w:wordWrap w:val="0"/>
              <w:spacing w:before="100"/>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（1）未成功递交投标文件的。</w:t>
            </w:r>
          </w:p>
          <w:p>
            <w:pPr>
              <w:wordWrap w:val="0"/>
              <w:spacing w:before="100"/>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（2）因投标人原因造成投标文件未解密的。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7" w:type="dxa"/>
            <w:gridSpan w:val="2"/>
            <w:vAlign w:val="center"/>
          </w:tcPr>
          <w:p>
            <w:pPr>
              <w:wordWrap w:val="0"/>
              <w:spacing w:before="100"/>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三、投标文件（投标人）有下列情形之一的，由评标委员会否决其投标：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pPr>
              <w:wordWrap w:val="0"/>
              <w:spacing w:before="100"/>
              <w:jc w:val="center"/>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5</w:t>
            </w:r>
          </w:p>
        </w:tc>
        <w:tc>
          <w:tcPr>
            <w:tcW w:w="8867" w:type="dxa"/>
            <w:vAlign w:val="center"/>
          </w:tcPr>
          <w:p>
            <w:pPr>
              <w:wordWrap w:val="0"/>
              <w:spacing w:before="100"/>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两个（含两个）以上的投标人加密打包的电子投标文件电脑机器码一致的；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pPr>
              <w:wordWrap w:val="0"/>
              <w:spacing w:before="100"/>
              <w:jc w:val="center"/>
              <w:rPr>
                <w:rFonts w:hint="eastAsia" w:ascii="宋体" w:hAnsi="宋体" w:cs="宋体"/>
                <w:b/>
                <w:bCs/>
                <w:color w:val="000000" w:themeColor="text1"/>
                <w:kern w:val="21"/>
                <w:sz w:val="24"/>
                <w:highlight w:val="none"/>
                <w:lang w:val="zh-CN"/>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6</w:t>
            </w:r>
          </w:p>
        </w:tc>
        <w:tc>
          <w:tcPr>
            <w:tcW w:w="8867" w:type="dxa"/>
            <w:vAlign w:val="center"/>
          </w:tcPr>
          <w:p>
            <w:pPr>
              <w:wordWrap w:val="0"/>
              <w:spacing w:before="100"/>
              <w:rPr>
                <w:rFonts w:hint="eastAsia" w:ascii="宋体" w:hAnsi="宋体" w:cs="宋体"/>
                <w:b/>
                <w:bCs/>
                <w:color w:val="000000" w:themeColor="text1"/>
                <w:kern w:val="21"/>
                <w:sz w:val="24"/>
                <w:highlight w:val="none"/>
                <w:lang w:val="zh-CN"/>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投标文件（投标人）有不符合招标文件第三章第2.1款中规定的任何一项情形的。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pPr>
              <w:wordWrap w:val="0"/>
              <w:spacing w:before="100"/>
              <w:jc w:val="center"/>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7</w:t>
            </w:r>
          </w:p>
        </w:tc>
        <w:tc>
          <w:tcPr>
            <w:tcW w:w="8867" w:type="dxa"/>
            <w:vAlign w:val="center"/>
          </w:tcPr>
          <w:p>
            <w:pPr>
              <w:wordWrap w:val="0"/>
              <w:spacing w:before="100"/>
              <w:rPr>
                <w:rFonts w:hint="eastAsia" w:ascii="宋体" w:hAnsi="宋体" w:cs="宋体"/>
                <w:b/>
                <w:bCs/>
                <w:color w:val="000000" w:themeColor="text1"/>
                <w:kern w:val="21"/>
                <w:sz w:val="24"/>
                <w:highlight w:val="none"/>
                <w14:textFill>
                  <w14:solidFill>
                    <w14:schemeClr w14:val="tx1"/>
                  </w14:solidFill>
                </w14:textFill>
              </w:rPr>
            </w:pPr>
            <w:r>
              <w:rPr>
                <w:rFonts w:hint="eastAsia" w:ascii="宋体" w:hAnsi="宋体" w:cs="宋体"/>
                <w:b/>
                <w:bCs/>
                <w:color w:val="000000" w:themeColor="text1"/>
                <w:kern w:val="21"/>
                <w:sz w:val="24"/>
                <w:highlight w:val="none"/>
                <w14:textFill>
                  <w14:solidFill>
                    <w14:schemeClr w14:val="tx1"/>
                  </w14:solidFill>
                </w14:textFill>
              </w:rPr>
              <w:t>投标文件（投标人）符合招标文件第三章第3.1款中规定的否决投标任何一项情形的。</w:t>
            </w:r>
          </w:p>
        </w:tc>
      </w:tr>
    </w:tbl>
    <w:p>
      <w:pPr>
        <w:pStyle w:val="82"/>
        <w:spacing w:line="500" w:lineRule="exact"/>
        <w:outlineLvl w:val="0"/>
        <w:rPr>
          <w:rFonts w:ascii="宋体" w:hAnsi="宋体"/>
          <w:color w:val="000000" w:themeColor="text1"/>
          <w:sz w:val="28"/>
          <w:szCs w:val="28"/>
          <w:highlight w:val="none"/>
          <w14:textFill>
            <w14:solidFill>
              <w14:schemeClr w14:val="tx1"/>
            </w14:solidFill>
          </w14:textFill>
        </w:rPr>
      </w:pPr>
    </w:p>
    <w:sectPr>
      <w:headerReference r:id="rId3" w:type="default"/>
      <w:footerReference r:id="rId4" w:type="default"/>
      <w:pgSz w:w="12240" w:h="15840"/>
      <w:pgMar w:top="1417" w:right="1701" w:bottom="1134" w:left="1701" w:header="850" w:footer="85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Calisto MT">
    <w:panose1 w:val="02040603050505030304"/>
    <w:charset w:val="00"/>
    <w:family w:val="roman"/>
    <w:pitch w:val="default"/>
    <w:sig w:usb0="00000003"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72720"/>
              <wp:effectExtent l="0" t="0" r="0" b="2540"/>
              <wp:wrapNone/>
              <wp:docPr id="1" name="文本框 1"/>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w="15875">
                        <a:noFill/>
                      </a:ln>
                      <a:effectLst/>
                    </wps:spPr>
                    <wps:txbx>
                      <w:txbxContent>
                        <w:p>
                          <w:pPr>
                            <w:pStyle w:val="29"/>
                            <w:jc w:val="center"/>
                            <w:rPr>
                              <w:rFonts w:hint="eastAsia" w:ascii="宋体" w:hAnsi="宋体" w:cs="宋体"/>
                              <w:sz w:val="21"/>
                              <w:szCs w:val="21"/>
                            </w:rPr>
                          </w:pPr>
                          <w:r>
                            <w:rPr>
                              <w:rFonts w:hint="eastAsia" w:ascii="宋体" w:hAnsi="宋体" w:cs="宋体"/>
                              <w:kern w:val="0"/>
                              <w:sz w:val="21"/>
                              <w:szCs w:val="21"/>
                            </w:rPr>
                            <w:fldChar w:fldCharType="begin"/>
                          </w:r>
                          <w:r>
                            <w:rPr>
                              <w:rFonts w:hint="eastAsia" w:ascii="宋体" w:hAnsi="宋体" w:cs="宋体"/>
                              <w:kern w:val="0"/>
                              <w:sz w:val="21"/>
                              <w:szCs w:val="21"/>
                            </w:rPr>
                            <w:instrText xml:space="preserve"> PAGE </w:instrText>
                          </w:r>
                          <w:r>
                            <w:rPr>
                              <w:rFonts w:hint="eastAsia" w:ascii="宋体" w:hAnsi="宋体" w:cs="宋体"/>
                              <w:kern w:val="0"/>
                              <w:sz w:val="21"/>
                              <w:szCs w:val="21"/>
                            </w:rPr>
                            <w:fldChar w:fldCharType="separate"/>
                          </w:r>
                          <w:r>
                            <w:rPr>
                              <w:rFonts w:ascii="宋体" w:hAnsi="宋体" w:cs="宋体"/>
                              <w:kern w:val="0"/>
                              <w:sz w:val="21"/>
                              <w:szCs w:val="21"/>
                            </w:rPr>
                            <w:t>3</w:t>
                          </w:r>
                          <w:r>
                            <w:rPr>
                              <w:rFonts w:hint="eastAsia" w:ascii="宋体" w:hAnsi="宋体" w:cs="宋体"/>
                              <w:kern w:val="0"/>
                              <w:sz w:val="21"/>
                              <w:szCs w:val="21"/>
                            </w:rPr>
                            <w:fldChar w:fldCharType="end"/>
                          </w:r>
                          <w:r>
                            <w:rPr>
                              <w:rFonts w:hint="eastAsia" w:ascii="宋体" w:hAnsi="宋体" w:cs="宋体"/>
                              <w:kern w:val="0"/>
                              <w:sz w:val="21"/>
                              <w:szCs w:val="21"/>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6pt;width:10.55pt;mso-position-horizontal:center;mso-position-horizontal-relative:margin;mso-wrap-style:none;z-index:251659264;mso-width-relative:page;mso-height-relative:page;" filled="f" stroked="f" coordsize="21600,21600" o:gfxdata="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wWRv21AAAAAMBAAAPAAAAAAAA&#10;AAEAIAAAACIAAABkcnMvZG93bnJldi54bWxQSwECFAAUAAAACACHTuJAqX2lqN0BAACvAwAADgAA&#10;AAAAAAABACAAAAAjAQAAZHJzL2Uyb0RvYy54bWxQSwUGAAAAAAYABgBZAQAAcgUAAAAA&#10;">
              <v:fill on="f" focussize="0,0"/>
              <v:stroke on="f" weight="1.25pt"/>
              <v:imagedata o:title=""/>
              <o:lock v:ext="edit" aspectratio="f"/>
              <v:textbox inset="0mm,0mm,0mm,0mm" style="mso-fit-shape-to-text:t;">
                <w:txbxContent>
                  <w:p>
                    <w:pPr>
                      <w:pStyle w:val="29"/>
                      <w:jc w:val="center"/>
                      <w:rPr>
                        <w:rFonts w:hint="eastAsia" w:ascii="宋体" w:hAnsi="宋体" w:cs="宋体"/>
                        <w:sz w:val="21"/>
                        <w:szCs w:val="21"/>
                      </w:rPr>
                    </w:pPr>
                    <w:r>
                      <w:rPr>
                        <w:rFonts w:hint="eastAsia" w:ascii="宋体" w:hAnsi="宋体" w:cs="宋体"/>
                        <w:kern w:val="0"/>
                        <w:sz w:val="21"/>
                        <w:szCs w:val="21"/>
                      </w:rPr>
                      <w:fldChar w:fldCharType="begin"/>
                    </w:r>
                    <w:r>
                      <w:rPr>
                        <w:rFonts w:hint="eastAsia" w:ascii="宋体" w:hAnsi="宋体" w:cs="宋体"/>
                        <w:kern w:val="0"/>
                        <w:sz w:val="21"/>
                        <w:szCs w:val="21"/>
                      </w:rPr>
                      <w:instrText xml:space="preserve"> PAGE </w:instrText>
                    </w:r>
                    <w:r>
                      <w:rPr>
                        <w:rFonts w:hint="eastAsia" w:ascii="宋体" w:hAnsi="宋体" w:cs="宋体"/>
                        <w:kern w:val="0"/>
                        <w:sz w:val="21"/>
                        <w:szCs w:val="21"/>
                      </w:rPr>
                      <w:fldChar w:fldCharType="separate"/>
                    </w:r>
                    <w:r>
                      <w:rPr>
                        <w:rFonts w:ascii="宋体" w:hAnsi="宋体" w:cs="宋体"/>
                        <w:kern w:val="0"/>
                        <w:sz w:val="21"/>
                        <w:szCs w:val="21"/>
                      </w:rPr>
                      <w:t>3</w:t>
                    </w:r>
                    <w:r>
                      <w:rPr>
                        <w:rFonts w:hint="eastAsia" w:ascii="宋体" w:hAnsi="宋体" w:cs="宋体"/>
                        <w:kern w:val="0"/>
                        <w:sz w:val="21"/>
                        <w:szCs w:val="21"/>
                      </w:rPr>
                      <w:fldChar w:fldCharType="end"/>
                    </w:r>
                    <w:r>
                      <w:rPr>
                        <w:rFonts w:hint="eastAsia" w:ascii="宋体" w:hAnsi="宋体" w:cs="宋体"/>
                        <w:kern w:val="0"/>
                        <w:sz w:val="21"/>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B1DC2"/>
    <w:multiLevelType w:val="singleLevel"/>
    <w:tmpl w:val="A6EB1DC2"/>
    <w:lvl w:ilvl="0" w:tentative="0">
      <w:start w:val="13"/>
      <w:numFmt w:val="chineseCounting"/>
      <w:suff w:val="nothing"/>
      <w:lvlText w:val="%1、"/>
      <w:lvlJc w:val="left"/>
      <w:rPr>
        <w:rFonts w:hint="eastAsia"/>
      </w:rPr>
    </w:lvl>
  </w:abstractNum>
  <w:abstractNum w:abstractNumId="1">
    <w:nsid w:val="0000001D"/>
    <w:multiLevelType w:val="multilevel"/>
    <w:tmpl w:val="0000001D"/>
    <w:lvl w:ilvl="0" w:tentative="0">
      <w:start w:val="1"/>
      <w:numFmt w:val="decimal"/>
      <w:pStyle w:val="122"/>
      <w:lvlText w:val="%1."/>
      <w:lvlJc w:val="left"/>
      <w:pPr>
        <w:tabs>
          <w:tab w:val="left" w:pos="420"/>
        </w:tabs>
        <w:ind w:left="420" w:hanging="420"/>
      </w:p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
    <w:nsid w:val="4057F449"/>
    <w:multiLevelType w:val="singleLevel"/>
    <w:tmpl w:val="4057F449"/>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1ZTk4Mzc2ZWJmYWMwNDcxYTU1ZGI4MDkyZDg2ZDcifQ=="/>
  </w:docVars>
  <w:rsids>
    <w:rsidRoot w:val="00172A27"/>
    <w:rsid w:val="00000B56"/>
    <w:rsid w:val="0000261C"/>
    <w:rsid w:val="00002A60"/>
    <w:rsid w:val="00004603"/>
    <w:rsid w:val="00004DA7"/>
    <w:rsid w:val="000055E5"/>
    <w:rsid w:val="00006802"/>
    <w:rsid w:val="00007319"/>
    <w:rsid w:val="000106AE"/>
    <w:rsid w:val="000109BA"/>
    <w:rsid w:val="000113EC"/>
    <w:rsid w:val="00011560"/>
    <w:rsid w:val="00011684"/>
    <w:rsid w:val="00012703"/>
    <w:rsid w:val="0001485E"/>
    <w:rsid w:val="00014DB1"/>
    <w:rsid w:val="0001572D"/>
    <w:rsid w:val="00016D03"/>
    <w:rsid w:val="0001751A"/>
    <w:rsid w:val="00020140"/>
    <w:rsid w:val="00020F53"/>
    <w:rsid w:val="000214EF"/>
    <w:rsid w:val="00021763"/>
    <w:rsid w:val="00021BFE"/>
    <w:rsid w:val="000225C3"/>
    <w:rsid w:val="00022662"/>
    <w:rsid w:val="000240B5"/>
    <w:rsid w:val="00024206"/>
    <w:rsid w:val="00024685"/>
    <w:rsid w:val="00024D77"/>
    <w:rsid w:val="000250D6"/>
    <w:rsid w:val="00025ACC"/>
    <w:rsid w:val="00026171"/>
    <w:rsid w:val="00026AA0"/>
    <w:rsid w:val="00026B40"/>
    <w:rsid w:val="0002793E"/>
    <w:rsid w:val="00027FC6"/>
    <w:rsid w:val="00030469"/>
    <w:rsid w:val="00030736"/>
    <w:rsid w:val="00030804"/>
    <w:rsid w:val="00032288"/>
    <w:rsid w:val="00032762"/>
    <w:rsid w:val="000351AE"/>
    <w:rsid w:val="000351C2"/>
    <w:rsid w:val="00037128"/>
    <w:rsid w:val="00043778"/>
    <w:rsid w:val="00045007"/>
    <w:rsid w:val="00046C42"/>
    <w:rsid w:val="00047D8D"/>
    <w:rsid w:val="0005057A"/>
    <w:rsid w:val="000520CE"/>
    <w:rsid w:val="000527A6"/>
    <w:rsid w:val="000545CB"/>
    <w:rsid w:val="00055E20"/>
    <w:rsid w:val="00062431"/>
    <w:rsid w:val="00062AC6"/>
    <w:rsid w:val="00064EA9"/>
    <w:rsid w:val="00065A9E"/>
    <w:rsid w:val="000668F1"/>
    <w:rsid w:val="00067035"/>
    <w:rsid w:val="00070145"/>
    <w:rsid w:val="0007102F"/>
    <w:rsid w:val="00071945"/>
    <w:rsid w:val="0007298C"/>
    <w:rsid w:val="00072F2A"/>
    <w:rsid w:val="00073A9E"/>
    <w:rsid w:val="00075311"/>
    <w:rsid w:val="0007648C"/>
    <w:rsid w:val="0007798B"/>
    <w:rsid w:val="0008132B"/>
    <w:rsid w:val="00081360"/>
    <w:rsid w:val="00081482"/>
    <w:rsid w:val="0008187D"/>
    <w:rsid w:val="0008253E"/>
    <w:rsid w:val="00082A70"/>
    <w:rsid w:val="000838B3"/>
    <w:rsid w:val="00084FC3"/>
    <w:rsid w:val="00085690"/>
    <w:rsid w:val="00087558"/>
    <w:rsid w:val="000905EC"/>
    <w:rsid w:val="00090FED"/>
    <w:rsid w:val="0009240C"/>
    <w:rsid w:val="00093200"/>
    <w:rsid w:val="00094388"/>
    <w:rsid w:val="000943B0"/>
    <w:rsid w:val="00094C66"/>
    <w:rsid w:val="00095CBC"/>
    <w:rsid w:val="00097B3B"/>
    <w:rsid w:val="000A118B"/>
    <w:rsid w:val="000A1262"/>
    <w:rsid w:val="000A287B"/>
    <w:rsid w:val="000A2B6C"/>
    <w:rsid w:val="000A47E5"/>
    <w:rsid w:val="000A4AE1"/>
    <w:rsid w:val="000A5C81"/>
    <w:rsid w:val="000A5C92"/>
    <w:rsid w:val="000A76B3"/>
    <w:rsid w:val="000B09DF"/>
    <w:rsid w:val="000B119E"/>
    <w:rsid w:val="000B1A92"/>
    <w:rsid w:val="000B345A"/>
    <w:rsid w:val="000B6379"/>
    <w:rsid w:val="000B65E2"/>
    <w:rsid w:val="000B676B"/>
    <w:rsid w:val="000B69E2"/>
    <w:rsid w:val="000C0018"/>
    <w:rsid w:val="000C0AF1"/>
    <w:rsid w:val="000C1A9B"/>
    <w:rsid w:val="000C1AC9"/>
    <w:rsid w:val="000C2AB5"/>
    <w:rsid w:val="000C345B"/>
    <w:rsid w:val="000C3D51"/>
    <w:rsid w:val="000C4710"/>
    <w:rsid w:val="000C4924"/>
    <w:rsid w:val="000C6FFB"/>
    <w:rsid w:val="000C7720"/>
    <w:rsid w:val="000C7A74"/>
    <w:rsid w:val="000D204D"/>
    <w:rsid w:val="000D2C4B"/>
    <w:rsid w:val="000D3177"/>
    <w:rsid w:val="000D4336"/>
    <w:rsid w:val="000D49B4"/>
    <w:rsid w:val="000D50E2"/>
    <w:rsid w:val="000D75FB"/>
    <w:rsid w:val="000E08CB"/>
    <w:rsid w:val="000E10B1"/>
    <w:rsid w:val="000E1668"/>
    <w:rsid w:val="000E168C"/>
    <w:rsid w:val="000E205A"/>
    <w:rsid w:val="000E2EFB"/>
    <w:rsid w:val="000E54ED"/>
    <w:rsid w:val="000E5673"/>
    <w:rsid w:val="000E5F67"/>
    <w:rsid w:val="000E63A3"/>
    <w:rsid w:val="000E7256"/>
    <w:rsid w:val="000E7505"/>
    <w:rsid w:val="000E77D1"/>
    <w:rsid w:val="000E792F"/>
    <w:rsid w:val="000F021C"/>
    <w:rsid w:val="000F0A72"/>
    <w:rsid w:val="000F143B"/>
    <w:rsid w:val="000F2186"/>
    <w:rsid w:val="000F2A12"/>
    <w:rsid w:val="000F2ECC"/>
    <w:rsid w:val="000F4077"/>
    <w:rsid w:val="000F44D2"/>
    <w:rsid w:val="000F49F4"/>
    <w:rsid w:val="000F4A44"/>
    <w:rsid w:val="000F5E14"/>
    <w:rsid w:val="000F73BD"/>
    <w:rsid w:val="001011FC"/>
    <w:rsid w:val="00102618"/>
    <w:rsid w:val="00102BAF"/>
    <w:rsid w:val="00102F0B"/>
    <w:rsid w:val="00105423"/>
    <w:rsid w:val="001119B6"/>
    <w:rsid w:val="00111DA6"/>
    <w:rsid w:val="00112059"/>
    <w:rsid w:val="0011232A"/>
    <w:rsid w:val="001129F5"/>
    <w:rsid w:val="00114A34"/>
    <w:rsid w:val="00115124"/>
    <w:rsid w:val="0011582D"/>
    <w:rsid w:val="00117658"/>
    <w:rsid w:val="00117F0F"/>
    <w:rsid w:val="001209A9"/>
    <w:rsid w:val="001219F2"/>
    <w:rsid w:val="001223CF"/>
    <w:rsid w:val="00122852"/>
    <w:rsid w:val="001236C9"/>
    <w:rsid w:val="00123706"/>
    <w:rsid w:val="00123EDF"/>
    <w:rsid w:val="00124116"/>
    <w:rsid w:val="00124AED"/>
    <w:rsid w:val="00126510"/>
    <w:rsid w:val="0012660F"/>
    <w:rsid w:val="00126D88"/>
    <w:rsid w:val="00126E2B"/>
    <w:rsid w:val="001270CD"/>
    <w:rsid w:val="00127541"/>
    <w:rsid w:val="001276F8"/>
    <w:rsid w:val="00131FF3"/>
    <w:rsid w:val="001335BF"/>
    <w:rsid w:val="001335D9"/>
    <w:rsid w:val="00134701"/>
    <w:rsid w:val="00136D67"/>
    <w:rsid w:val="0013766F"/>
    <w:rsid w:val="0014098E"/>
    <w:rsid w:val="00140A44"/>
    <w:rsid w:val="00142058"/>
    <w:rsid w:val="00144947"/>
    <w:rsid w:val="00144EBD"/>
    <w:rsid w:val="00145049"/>
    <w:rsid w:val="001506DC"/>
    <w:rsid w:val="0015172C"/>
    <w:rsid w:val="00151C38"/>
    <w:rsid w:val="001530C6"/>
    <w:rsid w:val="00153218"/>
    <w:rsid w:val="00154706"/>
    <w:rsid w:val="00157753"/>
    <w:rsid w:val="001667FD"/>
    <w:rsid w:val="0016686C"/>
    <w:rsid w:val="00166A4E"/>
    <w:rsid w:val="00170389"/>
    <w:rsid w:val="0017159D"/>
    <w:rsid w:val="001728B0"/>
    <w:rsid w:val="00172A27"/>
    <w:rsid w:val="00172EB3"/>
    <w:rsid w:val="001735B4"/>
    <w:rsid w:val="00173B36"/>
    <w:rsid w:val="00174751"/>
    <w:rsid w:val="001748A3"/>
    <w:rsid w:val="00182822"/>
    <w:rsid w:val="00182B11"/>
    <w:rsid w:val="001831D5"/>
    <w:rsid w:val="001834D3"/>
    <w:rsid w:val="00183748"/>
    <w:rsid w:val="00183B4A"/>
    <w:rsid w:val="00184F11"/>
    <w:rsid w:val="00185D79"/>
    <w:rsid w:val="00186361"/>
    <w:rsid w:val="00186A85"/>
    <w:rsid w:val="0019161E"/>
    <w:rsid w:val="00193AC3"/>
    <w:rsid w:val="00193C1D"/>
    <w:rsid w:val="00193EF0"/>
    <w:rsid w:val="00194621"/>
    <w:rsid w:val="0019493C"/>
    <w:rsid w:val="00194BAE"/>
    <w:rsid w:val="0019551E"/>
    <w:rsid w:val="001964D6"/>
    <w:rsid w:val="001A067F"/>
    <w:rsid w:val="001A093D"/>
    <w:rsid w:val="001A0CCF"/>
    <w:rsid w:val="001A2E05"/>
    <w:rsid w:val="001A2E74"/>
    <w:rsid w:val="001A304A"/>
    <w:rsid w:val="001A341D"/>
    <w:rsid w:val="001A3AC6"/>
    <w:rsid w:val="001A4491"/>
    <w:rsid w:val="001A4684"/>
    <w:rsid w:val="001A713F"/>
    <w:rsid w:val="001A7435"/>
    <w:rsid w:val="001A7E77"/>
    <w:rsid w:val="001B1289"/>
    <w:rsid w:val="001B174D"/>
    <w:rsid w:val="001B2960"/>
    <w:rsid w:val="001B2DA3"/>
    <w:rsid w:val="001B2F79"/>
    <w:rsid w:val="001B4033"/>
    <w:rsid w:val="001B4065"/>
    <w:rsid w:val="001B5478"/>
    <w:rsid w:val="001B5D40"/>
    <w:rsid w:val="001B6CEE"/>
    <w:rsid w:val="001B7F5B"/>
    <w:rsid w:val="001B7FEF"/>
    <w:rsid w:val="001C122A"/>
    <w:rsid w:val="001C30C7"/>
    <w:rsid w:val="001C39A7"/>
    <w:rsid w:val="001C3B37"/>
    <w:rsid w:val="001C4420"/>
    <w:rsid w:val="001C4A74"/>
    <w:rsid w:val="001C540A"/>
    <w:rsid w:val="001C54F2"/>
    <w:rsid w:val="001D0AD8"/>
    <w:rsid w:val="001D1B41"/>
    <w:rsid w:val="001D1BB6"/>
    <w:rsid w:val="001D398F"/>
    <w:rsid w:val="001D414D"/>
    <w:rsid w:val="001D5C14"/>
    <w:rsid w:val="001E1433"/>
    <w:rsid w:val="001E3FE9"/>
    <w:rsid w:val="001E55FC"/>
    <w:rsid w:val="001E6B93"/>
    <w:rsid w:val="001F0EB6"/>
    <w:rsid w:val="001F0FC2"/>
    <w:rsid w:val="001F1937"/>
    <w:rsid w:val="001F2208"/>
    <w:rsid w:val="001F25D1"/>
    <w:rsid w:val="001F285E"/>
    <w:rsid w:val="001F4134"/>
    <w:rsid w:val="001F415C"/>
    <w:rsid w:val="001F4547"/>
    <w:rsid w:val="001F45EE"/>
    <w:rsid w:val="001F4850"/>
    <w:rsid w:val="001F619D"/>
    <w:rsid w:val="00202BA8"/>
    <w:rsid w:val="00202E8C"/>
    <w:rsid w:val="00203ADF"/>
    <w:rsid w:val="002049E3"/>
    <w:rsid w:val="00204A5C"/>
    <w:rsid w:val="0020545D"/>
    <w:rsid w:val="002065DE"/>
    <w:rsid w:val="00206887"/>
    <w:rsid w:val="00206EDA"/>
    <w:rsid w:val="00207A0B"/>
    <w:rsid w:val="002102FD"/>
    <w:rsid w:val="0021226E"/>
    <w:rsid w:val="00212A53"/>
    <w:rsid w:val="00212E14"/>
    <w:rsid w:val="0021322F"/>
    <w:rsid w:val="00213B90"/>
    <w:rsid w:val="00215AF0"/>
    <w:rsid w:val="00217143"/>
    <w:rsid w:val="002207EA"/>
    <w:rsid w:val="00221119"/>
    <w:rsid w:val="00221F1E"/>
    <w:rsid w:val="00221FAC"/>
    <w:rsid w:val="002229E2"/>
    <w:rsid w:val="0022434B"/>
    <w:rsid w:val="00224E45"/>
    <w:rsid w:val="00226041"/>
    <w:rsid w:val="00226F89"/>
    <w:rsid w:val="00226F8B"/>
    <w:rsid w:val="0022793C"/>
    <w:rsid w:val="00230836"/>
    <w:rsid w:val="002337D9"/>
    <w:rsid w:val="0023398E"/>
    <w:rsid w:val="00234213"/>
    <w:rsid w:val="0023423F"/>
    <w:rsid w:val="0023563A"/>
    <w:rsid w:val="00236FA0"/>
    <w:rsid w:val="002379D4"/>
    <w:rsid w:val="00237A22"/>
    <w:rsid w:val="00237B0E"/>
    <w:rsid w:val="00237F75"/>
    <w:rsid w:val="002400D0"/>
    <w:rsid w:val="00241348"/>
    <w:rsid w:val="00242200"/>
    <w:rsid w:val="002430C2"/>
    <w:rsid w:val="0024369C"/>
    <w:rsid w:val="00244D06"/>
    <w:rsid w:val="0024530F"/>
    <w:rsid w:val="00246A0E"/>
    <w:rsid w:val="00246A31"/>
    <w:rsid w:val="00247B5E"/>
    <w:rsid w:val="002506CC"/>
    <w:rsid w:val="00250B0E"/>
    <w:rsid w:val="00250B40"/>
    <w:rsid w:val="00250B63"/>
    <w:rsid w:val="00250CB7"/>
    <w:rsid w:val="00251A49"/>
    <w:rsid w:val="002521B3"/>
    <w:rsid w:val="0025316D"/>
    <w:rsid w:val="00253832"/>
    <w:rsid w:val="00254609"/>
    <w:rsid w:val="0025460A"/>
    <w:rsid w:val="00254EDC"/>
    <w:rsid w:val="00255D0D"/>
    <w:rsid w:val="002562E4"/>
    <w:rsid w:val="0025646F"/>
    <w:rsid w:val="002564CE"/>
    <w:rsid w:val="00260197"/>
    <w:rsid w:val="00260C77"/>
    <w:rsid w:val="00261352"/>
    <w:rsid w:val="00261480"/>
    <w:rsid w:val="00262223"/>
    <w:rsid w:val="00263F0B"/>
    <w:rsid w:val="00264EB1"/>
    <w:rsid w:val="00265192"/>
    <w:rsid w:val="00270F04"/>
    <w:rsid w:val="00271923"/>
    <w:rsid w:val="00272808"/>
    <w:rsid w:val="0027292C"/>
    <w:rsid w:val="00272A39"/>
    <w:rsid w:val="002735AD"/>
    <w:rsid w:val="00275B6D"/>
    <w:rsid w:val="002762ED"/>
    <w:rsid w:val="00276832"/>
    <w:rsid w:val="00276C71"/>
    <w:rsid w:val="00280A4F"/>
    <w:rsid w:val="00281526"/>
    <w:rsid w:val="00282C8E"/>
    <w:rsid w:val="0028346F"/>
    <w:rsid w:val="002845A0"/>
    <w:rsid w:val="00285406"/>
    <w:rsid w:val="002855A0"/>
    <w:rsid w:val="00287C6E"/>
    <w:rsid w:val="00287CC2"/>
    <w:rsid w:val="00291CF3"/>
    <w:rsid w:val="00292881"/>
    <w:rsid w:val="002933B8"/>
    <w:rsid w:val="00294A20"/>
    <w:rsid w:val="0029511C"/>
    <w:rsid w:val="00296618"/>
    <w:rsid w:val="00297099"/>
    <w:rsid w:val="00297678"/>
    <w:rsid w:val="00297D4D"/>
    <w:rsid w:val="002A1546"/>
    <w:rsid w:val="002A4757"/>
    <w:rsid w:val="002A4926"/>
    <w:rsid w:val="002A521E"/>
    <w:rsid w:val="002A552C"/>
    <w:rsid w:val="002A65ED"/>
    <w:rsid w:val="002A6DC0"/>
    <w:rsid w:val="002A6EE4"/>
    <w:rsid w:val="002B30C2"/>
    <w:rsid w:val="002B3BF7"/>
    <w:rsid w:val="002B3EB9"/>
    <w:rsid w:val="002B4133"/>
    <w:rsid w:val="002B44A7"/>
    <w:rsid w:val="002B5216"/>
    <w:rsid w:val="002B591E"/>
    <w:rsid w:val="002B66ED"/>
    <w:rsid w:val="002B6722"/>
    <w:rsid w:val="002C0C29"/>
    <w:rsid w:val="002C0DD3"/>
    <w:rsid w:val="002C1772"/>
    <w:rsid w:val="002C1C1A"/>
    <w:rsid w:val="002C31DD"/>
    <w:rsid w:val="002C3CD8"/>
    <w:rsid w:val="002C4530"/>
    <w:rsid w:val="002C489A"/>
    <w:rsid w:val="002C636F"/>
    <w:rsid w:val="002C7229"/>
    <w:rsid w:val="002C7B9B"/>
    <w:rsid w:val="002D0877"/>
    <w:rsid w:val="002D13B2"/>
    <w:rsid w:val="002D2B90"/>
    <w:rsid w:val="002D4528"/>
    <w:rsid w:val="002D58F2"/>
    <w:rsid w:val="002D6292"/>
    <w:rsid w:val="002D6F32"/>
    <w:rsid w:val="002D7AA9"/>
    <w:rsid w:val="002D7B78"/>
    <w:rsid w:val="002E1DAC"/>
    <w:rsid w:val="002E6D05"/>
    <w:rsid w:val="002E70E1"/>
    <w:rsid w:val="002F4028"/>
    <w:rsid w:val="002F6CA3"/>
    <w:rsid w:val="002F6D21"/>
    <w:rsid w:val="002F72A0"/>
    <w:rsid w:val="003006A6"/>
    <w:rsid w:val="00300733"/>
    <w:rsid w:val="003008A4"/>
    <w:rsid w:val="00301A6C"/>
    <w:rsid w:val="00301BC6"/>
    <w:rsid w:val="00301EBE"/>
    <w:rsid w:val="0030224A"/>
    <w:rsid w:val="00302993"/>
    <w:rsid w:val="00303653"/>
    <w:rsid w:val="00303B93"/>
    <w:rsid w:val="00304733"/>
    <w:rsid w:val="00304976"/>
    <w:rsid w:val="0030589B"/>
    <w:rsid w:val="00305ECA"/>
    <w:rsid w:val="00305F3A"/>
    <w:rsid w:val="00306555"/>
    <w:rsid w:val="00307AA3"/>
    <w:rsid w:val="0031016B"/>
    <w:rsid w:val="00311256"/>
    <w:rsid w:val="00311324"/>
    <w:rsid w:val="00311BD5"/>
    <w:rsid w:val="003122C4"/>
    <w:rsid w:val="00313660"/>
    <w:rsid w:val="0031412C"/>
    <w:rsid w:val="00314419"/>
    <w:rsid w:val="00314AF6"/>
    <w:rsid w:val="003151A3"/>
    <w:rsid w:val="003160FD"/>
    <w:rsid w:val="0032031D"/>
    <w:rsid w:val="00320F01"/>
    <w:rsid w:val="003214BA"/>
    <w:rsid w:val="00321647"/>
    <w:rsid w:val="00321989"/>
    <w:rsid w:val="00323E45"/>
    <w:rsid w:val="00324178"/>
    <w:rsid w:val="003243EC"/>
    <w:rsid w:val="003244DA"/>
    <w:rsid w:val="003247CD"/>
    <w:rsid w:val="00330D54"/>
    <w:rsid w:val="003325A0"/>
    <w:rsid w:val="00332802"/>
    <w:rsid w:val="00332962"/>
    <w:rsid w:val="003340C8"/>
    <w:rsid w:val="003341B5"/>
    <w:rsid w:val="00334385"/>
    <w:rsid w:val="0033585F"/>
    <w:rsid w:val="00335FCB"/>
    <w:rsid w:val="003362AD"/>
    <w:rsid w:val="00337591"/>
    <w:rsid w:val="00337703"/>
    <w:rsid w:val="003419A7"/>
    <w:rsid w:val="00342011"/>
    <w:rsid w:val="00342688"/>
    <w:rsid w:val="00342B09"/>
    <w:rsid w:val="00343FDF"/>
    <w:rsid w:val="0034440E"/>
    <w:rsid w:val="00344D96"/>
    <w:rsid w:val="00344F5D"/>
    <w:rsid w:val="00345499"/>
    <w:rsid w:val="003470E1"/>
    <w:rsid w:val="003475BD"/>
    <w:rsid w:val="00347899"/>
    <w:rsid w:val="00350F3E"/>
    <w:rsid w:val="0035125A"/>
    <w:rsid w:val="003518D6"/>
    <w:rsid w:val="00352BE0"/>
    <w:rsid w:val="00352FC6"/>
    <w:rsid w:val="00354B7A"/>
    <w:rsid w:val="00355AC2"/>
    <w:rsid w:val="00356080"/>
    <w:rsid w:val="003576A2"/>
    <w:rsid w:val="00360007"/>
    <w:rsid w:val="00362CA2"/>
    <w:rsid w:val="00363072"/>
    <w:rsid w:val="00363965"/>
    <w:rsid w:val="00363966"/>
    <w:rsid w:val="00365359"/>
    <w:rsid w:val="00367F0C"/>
    <w:rsid w:val="0037294E"/>
    <w:rsid w:val="003741B0"/>
    <w:rsid w:val="00374FFA"/>
    <w:rsid w:val="00375481"/>
    <w:rsid w:val="00377513"/>
    <w:rsid w:val="00377894"/>
    <w:rsid w:val="00380B97"/>
    <w:rsid w:val="003819F2"/>
    <w:rsid w:val="0038240C"/>
    <w:rsid w:val="0038245C"/>
    <w:rsid w:val="00382D56"/>
    <w:rsid w:val="0038359A"/>
    <w:rsid w:val="003836B0"/>
    <w:rsid w:val="00386466"/>
    <w:rsid w:val="003865F8"/>
    <w:rsid w:val="00386AA0"/>
    <w:rsid w:val="0038742C"/>
    <w:rsid w:val="00387996"/>
    <w:rsid w:val="003879FB"/>
    <w:rsid w:val="0039048C"/>
    <w:rsid w:val="00391D39"/>
    <w:rsid w:val="00391F03"/>
    <w:rsid w:val="003925EA"/>
    <w:rsid w:val="003937D8"/>
    <w:rsid w:val="0039407B"/>
    <w:rsid w:val="0039566A"/>
    <w:rsid w:val="00396091"/>
    <w:rsid w:val="003979D4"/>
    <w:rsid w:val="003A11D0"/>
    <w:rsid w:val="003A18E7"/>
    <w:rsid w:val="003A2368"/>
    <w:rsid w:val="003A2E53"/>
    <w:rsid w:val="003A4F4E"/>
    <w:rsid w:val="003A593E"/>
    <w:rsid w:val="003A5E9B"/>
    <w:rsid w:val="003A6775"/>
    <w:rsid w:val="003A7C47"/>
    <w:rsid w:val="003B17B0"/>
    <w:rsid w:val="003B1B15"/>
    <w:rsid w:val="003B408F"/>
    <w:rsid w:val="003B62E6"/>
    <w:rsid w:val="003B74D2"/>
    <w:rsid w:val="003B7A5C"/>
    <w:rsid w:val="003C0203"/>
    <w:rsid w:val="003C0D7D"/>
    <w:rsid w:val="003C16E4"/>
    <w:rsid w:val="003C17B5"/>
    <w:rsid w:val="003C19E2"/>
    <w:rsid w:val="003C1B76"/>
    <w:rsid w:val="003C339D"/>
    <w:rsid w:val="003C4858"/>
    <w:rsid w:val="003C5BB3"/>
    <w:rsid w:val="003C69C9"/>
    <w:rsid w:val="003C7F8F"/>
    <w:rsid w:val="003D1170"/>
    <w:rsid w:val="003D1B8E"/>
    <w:rsid w:val="003D1D5F"/>
    <w:rsid w:val="003D2243"/>
    <w:rsid w:val="003D2D72"/>
    <w:rsid w:val="003D36EE"/>
    <w:rsid w:val="003D3F57"/>
    <w:rsid w:val="003D4394"/>
    <w:rsid w:val="003D4C29"/>
    <w:rsid w:val="003D50AB"/>
    <w:rsid w:val="003D5701"/>
    <w:rsid w:val="003D6348"/>
    <w:rsid w:val="003D6C7E"/>
    <w:rsid w:val="003D6E0A"/>
    <w:rsid w:val="003D72DA"/>
    <w:rsid w:val="003E078C"/>
    <w:rsid w:val="003E2DAB"/>
    <w:rsid w:val="003E361B"/>
    <w:rsid w:val="003E71BB"/>
    <w:rsid w:val="003E789E"/>
    <w:rsid w:val="003E7EF2"/>
    <w:rsid w:val="003F13A5"/>
    <w:rsid w:val="003F1823"/>
    <w:rsid w:val="003F29B4"/>
    <w:rsid w:val="003F3224"/>
    <w:rsid w:val="003F3518"/>
    <w:rsid w:val="003F3D30"/>
    <w:rsid w:val="003F4218"/>
    <w:rsid w:val="003F504F"/>
    <w:rsid w:val="003F58DC"/>
    <w:rsid w:val="003F5B69"/>
    <w:rsid w:val="003F760E"/>
    <w:rsid w:val="0040121D"/>
    <w:rsid w:val="0040276D"/>
    <w:rsid w:val="00402DA4"/>
    <w:rsid w:val="00402F34"/>
    <w:rsid w:val="0040361B"/>
    <w:rsid w:val="0040556C"/>
    <w:rsid w:val="004064F4"/>
    <w:rsid w:val="00407637"/>
    <w:rsid w:val="004105EF"/>
    <w:rsid w:val="00414074"/>
    <w:rsid w:val="0041516D"/>
    <w:rsid w:val="0041521C"/>
    <w:rsid w:val="0041528A"/>
    <w:rsid w:val="00415A1A"/>
    <w:rsid w:val="00421293"/>
    <w:rsid w:val="00421A9F"/>
    <w:rsid w:val="00422A52"/>
    <w:rsid w:val="004230D0"/>
    <w:rsid w:val="0042326A"/>
    <w:rsid w:val="00423F96"/>
    <w:rsid w:val="004249F9"/>
    <w:rsid w:val="00430056"/>
    <w:rsid w:val="004306FF"/>
    <w:rsid w:val="00431939"/>
    <w:rsid w:val="00431F4F"/>
    <w:rsid w:val="0043220E"/>
    <w:rsid w:val="004334AD"/>
    <w:rsid w:val="0043351E"/>
    <w:rsid w:val="00433676"/>
    <w:rsid w:val="004337DF"/>
    <w:rsid w:val="00436504"/>
    <w:rsid w:val="004366EB"/>
    <w:rsid w:val="00436A3B"/>
    <w:rsid w:val="00436BA8"/>
    <w:rsid w:val="004405C7"/>
    <w:rsid w:val="00441479"/>
    <w:rsid w:val="00441D39"/>
    <w:rsid w:val="00441DD5"/>
    <w:rsid w:val="00442AF8"/>
    <w:rsid w:val="00443D0A"/>
    <w:rsid w:val="00444F53"/>
    <w:rsid w:val="0044514A"/>
    <w:rsid w:val="00445BC7"/>
    <w:rsid w:val="00446D07"/>
    <w:rsid w:val="00447E59"/>
    <w:rsid w:val="004510BC"/>
    <w:rsid w:val="00451551"/>
    <w:rsid w:val="00453255"/>
    <w:rsid w:val="00455981"/>
    <w:rsid w:val="00457DC2"/>
    <w:rsid w:val="00460EF7"/>
    <w:rsid w:val="0046206A"/>
    <w:rsid w:val="00462299"/>
    <w:rsid w:val="00465E37"/>
    <w:rsid w:val="00466339"/>
    <w:rsid w:val="00466534"/>
    <w:rsid w:val="0046780A"/>
    <w:rsid w:val="00467F3C"/>
    <w:rsid w:val="004700AB"/>
    <w:rsid w:val="0047012B"/>
    <w:rsid w:val="004728C2"/>
    <w:rsid w:val="004733D3"/>
    <w:rsid w:val="00473945"/>
    <w:rsid w:val="00475AED"/>
    <w:rsid w:val="00477358"/>
    <w:rsid w:val="00477E47"/>
    <w:rsid w:val="004809EB"/>
    <w:rsid w:val="00481869"/>
    <w:rsid w:val="00481968"/>
    <w:rsid w:val="00482274"/>
    <w:rsid w:val="00482675"/>
    <w:rsid w:val="0048324D"/>
    <w:rsid w:val="004837BE"/>
    <w:rsid w:val="00483B34"/>
    <w:rsid w:val="00484166"/>
    <w:rsid w:val="00485F54"/>
    <w:rsid w:val="00487315"/>
    <w:rsid w:val="00491763"/>
    <w:rsid w:val="00491D96"/>
    <w:rsid w:val="00491E40"/>
    <w:rsid w:val="004922E5"/>
    <w:rsid w:val="00492A1E"/>
    <w:rsid w:val="00494530"/>
    <w:rsid w:val="00494624"/>
    <w:rsid w:val="00494A5F"/>
    <w:rsid w:val="00495001"/>
    <w:rsid w:val="004956D1"/>
    <w:rsid w:val="0049597A"/>
    <w:rsid w:val="004976F9"/>
    <w:rsid w:val="004977CA"/>
    <w:rsid w:val="004977FD"/>
    <w:rsid w:val="004A0267"/>
    <w:rsid w:val="004A112E"/>
    <w:rsid w:val="004A2B7D"/>
    <w:rsid w:val="004A37F9"/>
    <w:rsid w:val="004A549A"/>
    <w:rsid w:val="004A605D"/>
    <w:rsid w:val="004A69D8"/>
    <w:rsid w:val="004A76F2"/>
    <w:rsid w:val="004B1FD6"/>
    <w:rsid w:val="004B27A9"/>
    <w:rsid w:val="004B463C"/>
    <w:rsid w:val="004B488C"/>
    <w:rsid w:val="004B4C84"/>
    <w:rsid w:val="004B4DED"/>
    <w:rsid w:val="004B505E"/>
    <w:rsid w:val="004B51E3"/>
    <w:rsid w:val="004B5467"/>
    <w:rsid w:val="004B6736"/>
    <w:rsid w:val="004B6B56"/>
    <w:rsid w:val="004B6ED7"/>
    <w:rsid w:val="004B78CE"/>
    <w:rsid w:val="004B7E42"/>
    <w:rsid w:val="004C12F8"/>
    <w:rsid w:val="004C2BEE"/>
    <w:rsid w:val="004C351C"/>
    <w:rsid w:val="004C4753"/>
    <w:rsid w:val="004C509C"/>
    <w:rsid w:val="004D025B"/>
    <w:rsid w:val="004D0866"/>
    <w:rsid w:val="004D0DD7"/>
    <w:rsid w:val="004D0EAD"/>
    <w:rsid w:val="004D1209"/>
    <w:rsid w:val="004D2ABE"/>
    <w:rsid w:val="004D34EB"/>
    <w:rsid w:val="004D3B6A"/>
    <w:rsid w:val="004D4247"/>
    <w:rsid w:val="004D4BD6"/>
    <w:rsid w:val="004D540F"/>
    <w:rsid w:val="004D6328"/>
    <w:rsid w:val="004D7237"/>
    <w:rsid w:val="004D794D"/>
    <w:rsid w:val="004D7FCB"/>
    <w:rsid w:val="004E0C05"/>
    <w:rsid w:val="004E1098"/>
    <w:rsid w:val="004E2BAD"/>
    <w:rsid w:val="004E3473"/>
    <w:rsid w:val="004E4D4E"/>
    <w:rsid w:val="004E5F03"/>
    <w:rsid w:val="004E618D"/>
    <w:rsid w:val="004E752E"/>
    <w:rsid w:val="004F0052"/>
    <w:rsid w:val="004F0460"/>
    <w:rsid w:val="004F1425"/>
    <w:rsid w:val="004F2BD3"/>
    <w:rsid w:val="004F3309"/>
    <w:rsid w:val="004F3E6D"/>
    <w:rsid w:val="004F4F17"/>
    <w:rsid w:val="004F6169"/>
    <w:rsid w:val="005012F7"/>
    <w:rsid w:val="00501AEF"/>
    <w:rsid w:val="00501B4F"/>
    <w:rsid w:val="005029BC"/>
    <w:rsid w:val="00502CA1"/>
    <w:rsid w:val="005034E3"/>
    <w:rsid w:val="0050669A"/>
    <w:rsid w:val="00506A2D"/>
    <w:rsid w:val="0050739A"/>
    <w:rsid w:val="0050760D"/>
    <w:rsid w:val="005100DC"/>
    <w:rsid w:val="005101D2"/>
    <w:rsid w:val="00511660"/>
    <w:rsid w:val="00511FFD"/>
    <w:rsid w:val="00512A0D"/>
    <w:rsid w:val="00515CE9"/>
    <w:rsid w:val="00515E4E"/>
    <w:rsid w:val="00517CCE"/>
    <w:rsid w:val="00517D83"/>
    <w:rsid w:val="00520706"/>
    <w:rsid w:val="00520746"/>
    <w:rsid w:val="005216F1"/>
    <w:rsid w:val="00521F97"/>
    <w:rsid w:val="005229A0"/>
    <w:rsid w:val="00522D2E"/>
    <w:rsid w:val="00522D50"/>
    <w:rsid w:val="0052426A"/>
    <w:rsid w:val="0052712A"/>
    <w:rsid w:val="00527D92"/>
    <w:rsid w:val="005307FD"/>
    <w:rsid w:val="00530B0B"/>
    <w:rsid w:val="00530F83"/>
    <w:rsid w:val="00531BAF"/>
    <w:rsid w:val="00532FBE"/>
    <w:rsid w:val="005333BF"/>
    <w:rsid w:val="0053355D"/>
    <w:rsid w:val="00533AC9"/>
    <w:rsid w:val="00534E5A"/>
    <w:rsid w:val="0053689C"/>
    <w:rsid w:val="00537781"/>
    <w:rsid w:val="00537C89"/>
    <w:rsid w:val="005409DB"/>
    <w:rsid w:val="00540C70"/>
    <w:rsid w:val="005419F7"/>
    <w:rsid w:val="005426C1"/>
    <w:rsid w:val="00542C62"/>
    <w:rsid w:val="00543F5F"/>
    <w:rsid w:val="005442F3"/>
    <w:rsid w:val="0054553E"/>
    <w:rsid w:val="00545698"/>
    <w:rsid w:val="00545745"/>
    <w:rsid w:val="00546149"/>
    <w:rsid w:val="005461D8"/>
    <w:rsid w:val="0055163A"/>
    <w:rsid w:val="00551696"/>
    <w:rsid w:val="00551A9E"/>
    <w:rsid w:val="00551C64"/>
    <w:rsid w:val="00554347"/>
    <w:rsid w:val="00554840"/>
    <w:rsid w:val="00554AEC"/>
    <w:rsid w:val="00555089"/>
    <w:rsid w:val="00555976"/>
    <w:rsid w:val="005565F1"/>
    <w:rsid w:val="00557E58"/>
    <w:rsid w:val="0056091D"/>
    <w:rsid w:val="00562259"/>
    <w:rsid w:val="005622A9"/>
    <w:rsid w:val="005655BD"/>
    <w:rsid w:val="00565F3C"/>
    <w:rsid w:val="00566997"/>
    <w:rsid w:val="00566B4E"/>
    <w:rsid w:val="005725D3"/>
    <w:rsid w:val="00573B46"/>
    <w:rsid w:val="00573C8F"/>
    <w:rsid w:val="00574014"/>
    <w:rsid w:val="005749AB"/>
    <w:rsid w:val="00576243"/>
    <w:rsid w:val="00576C5E"/>
    <w:rsid w:val="00577C17"/>
    <w:rsid w:val="00580957"/>
    <w:rsid w:val="00581336"/>
    <w:rsid w:val="00581F42"/>
    <w:rsid w:val="0058248B"/>
    <w:rsid w:val="005824FB"/>
    <w:rsid w:val="005827A7"/>
    <w:rsid w:val="00582D85"/>
    <w:rsid w:val="00584876"/>
    <w:rsid w:val="00585B39"/>
    <w:rsid w:val="00586041"/>
    <w:rsid w:val="00586955"/>
    <w:rsid w:val="005872CE"/>
    <w:rsid w:val="0058730F"/>
    <w:rsid w:val="005875F6"/>
    <w:rsid w:val="0058769A"/>
    <w:rsid w:val="0058797C"/>
    <w:rsid w:val="005905E2"/>
    <w:rsid w:val="00591B1C"/>
    <w:rsid w:val="005937C9"/>
    <w:rsid w:val="005955BA"/>
    <w:rsid w:val="0059598D"/>
    <w:rsid w:val="00596536"/>
    <w:rsid w:val="005A0443"/>
    <w:rsid w:val="005A0B59"/>
    <w:rsid w:val="005A0CA3"/>
    <w:rsid w:val="005A230F"/>
    <w:rsid w:val="005A245A"/>
    <w:rsid w:val="005A29DB"/>
    <w:rsid w:val="005A2C7B"/>
    <w:rsid w:val="005A328C"/>
    <w:rsid w:val="005A3AFA"/>
    <w:rsid w:val="005A3DA6"/>
    <w:rsid w:val="005A689F"/>
    <w:rsid w:val="005A7987"/>
    <w:rsid w:val="005B0966"/>
    <w:rsid w:val="005B0F9A"/>
    <w:rsid w:val="005B1A42"/>
    <w:rsid w:val="005B1D03"/>
    <w:rsid w:val="005B1D42"/>
    <w:rsid w:val="005B1DC2"/>
    <w:rsid w:val="005B46BD"/>
    <w:rsid w:val="005B4D4D"/>
    <w:rsid w:val="005B4DB1"/>
    <w:rsid w:val="005B6024"/>
    <w:rsid w:val="005B6D33"/>
    <w:rsid w:val="005C162E"/>
    <w:rsid w:val="005C1B19"/>
    <w:rsid w:val="005C1B88"/>
    <w:rsid w:val="005C25C7"/>
    <w:rsid w:val="005C26F3"/>
    <w:rsid w:val="005C319D"/>
    <w:rsid w:val="005C3259"/>
    <w:rsid w:val="005C379E"/>
    <w:rsid w:val="005C417A"/>
    <w:rsid w:val="005C5E4B"/>
    <w:rsid w:val="005C658D"/>
    <w:rsid w:val="005C77A2"/>
    <w:rsid w:val="005C7FA2"/>
    <w:rsid w:val="005D0F9E"/>
    <w:rsid w:val="005D1B82"/>
    <w:rsid w:val="005D22FC"/>
    <w:rsid w:val="005D2829"/>
    <w:rsid w:val="005D32E0"/>
    <w:rsid w:val="005D3D41"/>
    <w:rsid w:val="005D53CA"/>
    <w:rsid w:val="005D586B"/>
    <w:rsid w:val="005D736F"/>
    <w:rsid w:val="005E209A"/>
    <w:rsid w:val="005E4F70"/>
    <w:rsid w:val="005E593B"/>
    <w:rsid w:val="005E5C95"/>
    <w:rsid w:val="005E6192"/>
    <w:rsid w:val="005E6267"/>
    <w:rsid w:val="005E7457"/>
    <w:rsid w:val="005E7CE8"/>
    <w:rsid w:val="005F1282"/>
    <w:rsid w:val="005F162E"/>
    <w:rsid w:val="005F16C3"/>
    <w:rsid w:val="005F19DE"/>
    <w:rsid w:val="005F204E"/>
    <w:rsid w:val="005F328B"/>
    <w:rsid w:val="005F4644"/>
    <w:rsid w:val="005F5410"/>
    <w:rsid w:val="005F601B"/>
    <w:rsid w:val="005F6547"/>
    <w:rsid w:val="005F74F3"/>
    <w:rsid w:val="006011C3"/>
    <w:rsid w:val="0060161F"/>
    <w:rsid w:val="00601D7A"/>
    <w:rsid w:val="00601E1E"/>
    <w:rsid w:val="00602907"/>
    <w:rsid w:val="00604551"/>
    <w:rsid w:val="00604B7D"/>
    <w:rsid w:val="006055E3"/>
    <w:rsid w:val="00605A28"/>
    <w:rsid w:val="00606510"/>
    <w:rsid w:val="006065D3"/>
    <w:rsid w:val="00610319"/>
    <w:rsid w:val="00610BA9"/>
    <w:rsid w:val="00610DD1"/>
    <w:rsid w:val="00613604"/>
    <w:rsid w:val="0061399D"/>
    <w:rsid w:val="00614E98"/>
    <w:rsid w:val="0061587D"/>
    <w:rsid w:val="00617712"/>
    <w:rsid w:val="00620A89"/>
    <w:rsid w:val="00621F2A"/>
    <w:rsid w:val="0062205A"/>
    <w:rsid w:val="00622822"/>
    <w:rsid w:val="0062295C"/>
    <w:rsid w:val="006234BC"/>
    <w:rsid w:val="00623AD2"/>
    <w:rsid w:val="0062425B"/>
    <w:rsid w:val="00624EBB"/>
    <w:rsid w:val="00625197"/>
    <w:rsid w:val="00625729"/>
    <w:rsid w:val="006259BD"/>
    <w:rsid w:val="00626BCD"/>
    <w:rsid w:val="0062717C"/>
    <w:rsid w:val="00627814"/>
    <w:rsid w:val="00627B16"/>
    <w:rsid w:val="00632B51"/>
    <w:rsid w:val="00633021"/>
    <w:rsid w:val="00633CD9"/>
    <w:rsid w:val="00636962"/>
    <w:rsid w:val="00636EDC"/>
    <w:rsid w:val="00636EE3"/>
    <w:rsid w:val="006410D9"/>
    <w:rsid w:val="00641AD3"/>
    <w:rsid w:val="00641EE5"/>
    <w:rsid w:val="00641FDC"/>
    <w:rsid w:val="00644420"/>
    <w:rsid w:val="0064474B"/>
    <w:rsid w:val="00644C71"/>
    <w:rsid w:val="00645E1A"/>
    <w:rsid w:val="0064622D"/>
    <w:rsid w:val="006462FA"/>
    <w:rsid w:val="00650C82"/>
    <w:rsid w:val="006520A5"/>
    <w:rsid w:val="00653DE0"/>
    <w:rsid w:val="00655172"/>
    <w:rsid w:val="00656C79"/>
    <w:rsid w:val="00657169"/>
    <w:rsid w:val="00657446"/>
    <w:rsid w:val="0065748A"/>
    <w:rsid w:val="006575E3"/>
    <w:rsid w:val="00660744"/>
    <w:rsid w:val="00660AFC"/>
    <w:rsid w:val="00660EBB"/>
    <w:rsid w:val="00661021"/>
    <w:rsid w:val="00661ACD"/>
    <w:rsid w:val="00662890"/>
    <w:rsid w:val="00663629"/>
    <w:rsid w:val="00663CC5"/>
    <w:rsid w:val="00663D25"/>
    <w:rsid w:val="0066472A"/>
    <w:rsid w:val="00665F7D"/>
    <w:rsid w:val="00666A14"/>
    <w:rsid w:val="00670660"/>
    <w:rsid w:val="00670F73"/>
    <w:rsid w:val="00672298"/>
    <w:rsid w:val="00673822"/>
    <w:rsid w:val="00674A6D"/>
    <w:rsid w:val="00674AFC"/>
    <w:rsid w:val="00675032"/>
    <w:rsid w:val="00675C9E"/>
    <w:rsid w:val="00675EAD"/>
    <w:rsid w:val="0067610D"/>
    <w:rsid w:val="00676963"/>
    <w:rsid w:val="00677359"/>
    <w:rsid w:val="00677666"/>
    <w:rsid w:val="00682125"/>
    <w:rsid w:val="006830CD"/>
    <w:rsid w:val="00683165"/>
    <w:rsid w:val="0068435A"/>
    <w:rsid w:val="00684D69"/>
    <w:rsid w:val="00684E55"/>
    <w:rsid w:val="00686AF3"/>
    <w:rsid w:val="006928F3"/>
    <w:rsid w:val="00693A6A"/>
    <w:rsid w:val="00693B0E"/>
    <w:rsid w:val="006952F5"/>
    <w:rsid w:val="00695857"/>
    <w:rsid w:val="00695D76"/>
    <w:rsid w:val="00695FAD"/>
    <w:rsid w:val="006973EE"/>
    <w:rsid w:val="00697CEE"/>
    <w:rsid w:val="006A047B"/>
    <w:rsid w:val="006A0DB3"/>
    <w:rsid w:val="006A350C"/>
    <w:rsid w:val="006A4312"/>
    <w:rsid w:val="006A4857"/>
    <w:rsid w:val="006A5596"/>
    <w:rsid w:val="006A68D0"/>
    <w:rsid w:val="006A73FD"/>
    <w:rsid w:val="006A7706"/>
    <w:rsid w:val="006A7F51"/>
    <w:rsid w:val="006B1BC0"/>
    <w:rsid w:val="006B2087"/>
    <w:rsid w:val="006B3827"/>
    <w:rsid w:val="006B4620"/>
    <w:rsid w:val="006B4ED2"/>
    <w:rsid w:val="006B5EB3"/>
    <w:rsid w:val="006B6285"/>
    <w:rsid w:val="006B6E3B"/>
    <w:rsid w:val="006B7A41"/>
    <w:rsid w:val="006C047A"/>
    <w:rsid w:val="006C0ADC"/>
    <w:rsid w:val="006C11CE"/>
    <w:rsid w:val="006C1246"/>
    <w:rsid w:val="006C1B42"/>
    <w:rsid w:val="006C285C"/>
    <w:rsid w:val="006C3A53"/>
    <w:rsid w:val="006C56C9"/>
    <w:rsid w:val="006C5DA4"/>
    <w:rsid w:val="006C67D7"/>
    <w:rsid w:val="006C7D9A"/>
    <w:rsid w:val="006C7E82"/>
    <w:rsid w:val="006D144F"/>
    <w:rsid w:val="006D567B"/>
    <w:rsid w:val="006D72C7"/>
    <w:rsid w:val="006D771E"/>
    <w:rsid w:val="006E06C6"/>
    <w:rsid w:val="006E0B76"/>
    <w:rsid w:val="006E1437"/>
    <w:rsid w:val="006E1537"/>
    <w:rsid w:val="006E18DB"/>
    <w:rsid w:val="006E1B7C"/>
    <w:rsid w:val="006E1CF0"/>
    <w:rsid w:val="006E2BDC"/>
    <w:rsid w:val="006E2EB3"/>
    <w:rsid w:val="006E3EAB"/>
    <w:rsid w:val="006E4343"/>
    <w:rsid w:val="006E44F8"/>
    <w:rsid w:val="006E4A7F"/>
    <w:rsid w:val="006E4F98"/>
    <w:rsid w:val="006E521B"/>
    <w:rsid w:val="006E5BDD"/>
    <w:rsid w:val="006E798E"/>
    <w:rsid w:val="006F110C"/>
    <w:rsid w:val="006F30B4"/>
    <w:rsid w:val="006F31C3"/>
    <w:rsid w:val="006F3F8C"/>
    <w:rsid w:val="006F46C3"/>
    <w:rsid w:val="006F5377"/>
    <w:rsid w:val="006F6E12"/>
    <w:rsid w:val="006F75DD"/>
    <w:rsid w:val="007009AA"/>
    <w:rsid w:val="00701A84"/>
    <w:rsid w:val="00701F31"/>
    <w:rsid w:val="007026E3"/>
    <w:rsid w:val="007030E8"/>
    <w:rsid w:val="007036C3"/>
    <w:rsid w:val="007045BD"/>
    <w:rsid w:val="007051D4"/>
    <w:rsid w:val="00705859"/>
    <w:rsid w:val="00706041"/>
    <w:rsid w:val="007112CD"/>
    <w:rsid w:val="00711375"/>
    <w:rsid w:val="0071219E"/>
    <w:rsid w:val="00712398"/>
    <w:rsid w:val="007123AF"/>
    <w:rsid w:val="00712A96"/>
    <w:rsid w:val="00713C77"/>
    <w:rsid w:val="0071474D"/>
    <w:rsid w:val="00716280"/>
    <w:rsid w:val="00721056"/>
    <w:rsid w:val="00721F2B"/>
    <w:rsid w:val="00723914"/>
    <w:rsid w:val="00725B88"/>
    <w:rsid w:val="00725C94"/>
    <w:rsid w:val="00726A6C"/>
    <w:rsid w:val="00726B23"/>
    <w:rsid w:val="00726DB7"/>
    <w:rsid w:val="00727E29"/>
    <w:rsid w:val="00730DA6"/>
    <w:rsid w:val="0073129B"/>
    <w:rsid w:val="00732126"/>
    <w:rsid w:val="00732304"/>
    <w:rsid w:val="00733083"/>
    <w:rsid w:val="00733388"/>
    <w:rsid w:val="007342E5"/>
    <w:rsid w:val="007343B9"/>
    <w:rsid w:val="00734B58"/>
    <w:rsid w:val="00734C1B"/>
    <w:rsid w:val="00736CE8"/>
    <w:rsid w:val="007377D1"/>
    <w:rsid w:val="00741F09"/>
    <w:rsid w:val="00742B21"/>
    <w:rsid w:val="00743283"/>
    <w:rsid w:val="007433FD"/>
    <w:rsid w:val="0074397E"/>
    <w:rsid w:val="00744517"/>
    <w:rsid w:val="00745942"/>
    <w:rsid w:val="00746C98"/>
    <w:rsid w:val="00746DE7"/>
    <w:rsid w:val="00746F1A"/>
    <w:rsid w:val="00750137"/>
    <w:rsid w:val="0075115C"/>
    <w:rsid w:val="007525B7"/>
    <w:rsid w:val="00752B19"/>
    <w:rsid w:val="00752BB4"/>
    <w:rsid w:val="007549A9"/>
    <w:rsid w:val="00755157"/>
    <w:rsid w:val="00755C94"/>
    <w:rsid w:val="0075605F"/>
    <w:rsid w:val="0075687C"/>
    <w:rsid w:val="00760472"/>
    <w:rsid w:val="00761E12"/>
    <w:rsid w:val="00766147"/>
    <w:rsid w:val="00766DD4"/>
    <w:rsid w:val="00767246"/>
    <w:rsid w:val="00770518"/>
    <w:rsid w:val="0077087F"/>
    <w:rsid w:val="0077088B"/>
    <w:rsid w:val="00770FF1"/>
    <w:rsid w:val="00771F84"/>
    <w:rsid w:val="007724D2"/>
    <w:rsid w:val="00772E30"/>
    <w:rsid w:val="00776765"/>
    <w:rsid w:val="0077695C"/>
    <w:rsid w:val="007769FC"/>
    <w:rsid w:val="00780304"/>
    <w:rsid w:val="00780470"/>
    <w:rsid w:val="00780A56"/>
    <w:rsid w:val="00785BF9"/>
    <w:rsid w:val="00787DE0"/>
    <w:rsid w:val="00787E4F"/>
    <w:rsid w:val="007908B5"/>
    <w:rsid w:val="00790A94"/>
    <w:rsid w:val="007911B2"/>
    <w:rsid w:val="00793DAE"/>
    <w:rsid w:val="007946C2"/>
    <w:rsid w:val="007951BA"/>
    <w:rsid w:val="007965C5"/>
    <w:rsid w:val="007972F1"/>
    <w:rsid w:val="0079798B"/>
    <w:rsid w:val="00797ACE"/>
    <w:rsid w:val="007A08F7"/>
    <w:rsid w:val="007A0A41"/>
    <w:rsid w:val="007A1416"/>
    <w:rsid w:val="007A159F"/>
    <w:rsid w:val="007A1E5B"/>
    <w:rsid w:val="007A203B"/>
    <w:rsid w:val="007A36C9"/>
    <w:rsid w:val="007A4461"/>
    <w:rsid w:val="007A4CF9"/>
    <w:rsid w:val="007A4E3F"/>
    <w:rsid w:val="007A5188"/>
    <w:rsid w:val="007A6512"/>
    <w:rsid w:val="007A67FD"/>
    <w:rsid w:val="007B0CB2"/>
    <w:rsid w:val="007B239D"/>
    <w:rsid w:val="007B29E3"/>
    <w:rsid w:val="007B2B09"/>
    <w:rsid w:val="007B3449"/>
    <w:rsid w:val="007B3D71"/>
    <w:rsid w:val="007B4108"/>
    <w:rsid w:val="007B435F"/>
    <w:rsid w:val="007B5213"/>
    <w:rsid w:val="007B5790"/>
    <w:rsid w:val="007B5FDA"/>
    <w:rsid w:val="007B7DDF"/>
    <w:rsid w:val="007C07CC"/>
    <w:rsid w:val="007C1C47"/>
    <w:rsid w:val="007C1ED9"/>
    <w:rsid w:val="007C292F"/>
    <w:rsid w:val="007C2D30"/>
    <w:rsid w:val="007C3EA8"/>
    <w:rsid w:val="007C447B"/>
    <w:rsid w:val="007C4B61"/>
    <w:rsid w:val="007C793D"/>
    <w:rsid w:val="007D06C7"/>
    <w:rsid w:val="007D07A2"/>
    <w:rsid w:val="007D16DC"/>
    <w:rsid w:val="007D41F4"/>
    <w:rsid w:val="007D4C26"/>
    <w:rsid w:val="007D4EF4"/>
    <w:rsid w:val="007D5CBB"/>
    <w:rsid w:val="007D60C5"/>
    <w:rsid w:val="007D6572"/>
    <w:rsid w:val="007D7CAA"/>
    <w:rsid w:val="007E0563"/>
    <w:rsid w:val="007E6590"/>
    <w:rsid w:val="007E6CFA"/>
    <w:rsid w:val="007E6FB5"/>
    <w:rsid w:val="007E76B5"/>
    <w:rsid w:val="007E78FD"/>
    <w:rsid w:val="007F33A5"/>
    <w:rsid w:val="007F34D2"/>
    <w:rsid w:val="007F363B"/>
    <w:rsid w:val="007F407D"/>
    <w:rsid w:val="007F50C5"/>
    <w:rsid w:val="007F568B"/>
    <w:rsid w:val="007F5864"/>
    <w:rsid w:val="007F675C"/>
    <w:rsid w:val="007F6A96"/>
    <w:rsid w:val="00800AF7"/>
    <w:rsid w:val="00800F31"/>
    <w:rsid w:val="00801640"/>
    <w:rsid w:val="008016DA"/>
    <w:rsid w:val="00803860"/>
    <w:rsid w:val="00803D1B"/>
    <w:rsid w:val="00804854"/>
    <w:rsid w:val="00804C75"/>
    <w:rsid w:val="00804F04"/>
    <w:rsid w:val="00805A87"/>
    <w:rsid w:val="00805D01"/>
    <w:rsid w:val="0080724A"/>
    <w:rsid w:val="0081155D"/>
    <w:rsid w:val="00811567"/>
    <w:rsid w:val="00814074"/>
    <w:rsid w:val="008141AC"/>
    <w:rsid w:val="00814ACE"/>
    <w:rsid w:val="00815876"/>
    <w:rsid w:val="00815DE7"/>
    <w:rsid w:val="00816182"/>
    <w:rsid w:val="0081785A"/>
    <w:rsid w:val="008215A0"/>
    <w:rsid w:val="00822B05"/>
    <w:rsid w:val="00823971"/>
    <w:rsid w:val="00825170"/>
    <w:rsid w:val="00826534"/>
    <w:rsid w:val="00826784"/>
    <w:rsid w:val="00826C28"/>
    <w:rsid w:val="00827F93"/>
    <w:rsid w:val="0083003E"/>
    <w:rsid w:val="0083097F"/>
    <w:rsid w:val="008309E8"/>
    <w:rsid w:val="00830D14"/>
    <w:rsid w:val="008319EC"/>
    <w:rsid w:val="008321F0"/>
    <w:rsid w:val="00832B54"/>
    <w:rsid w:val="008331F8"/>
    <w:rsid w:val="00833E5B"/>
    <w:rsid w:val="00834D6E"/>
    <w:rsid w:val="0083513D"/>
    <w:rsid w:val="00835825"/>
    <w:rsid w:val="00836317"/>
    <w:rsid w:val="008376D6"/>
    <w:rsid w:val="00840D54"/>
    <w:rsid w:val="00840DB3"/>
    <w:rsid w:val="00840F0E"/>
    <w:rsid w:val="0084183E"/>
    <w:rsid w:val="00842D0A"/>
    <w:rsid w:val="0084316D"/>
    <w:rsid w:val="00844CF6"/>
    <w:rsid w:val="0084602F"/>
    <w:rsid w:val="00847378"/>
    <w:rsid w:val="00847755"/>
    <w:rsid w:val="00847E2F"/>
    <w:rsid w:val="008508EA"/>
    <w:rsid w:val="00851FB3"/>
    <w:rsid w:val="0085267C"/>
    <w:rsid w:val="008557AF"/>
    <w:rsid w:val="008567AE"/>
    <w:rsid w:val="00856C9B"/>
    <w:rsid w:val="008602E0"/>
    <w:rsid w:val="0086125C"/>
    <w:rsid w:val="008622F6"/>
    <w:rsid w:val="008625DD"/>
    <w:rsid w:val="008631FE"/>
    <w:rsid w:val="0086397B"/>
    <w:rsid w:val="008639BD"/>
    <w:rsid w:val="00863F1F"/>
    <w:rsid w:val="00863F6B"/>
    <w:rsid w:val="00865816"/>
    <w:rsid w:val="00865A18"/>
    <w:rsid w:val="00865A39"/>
    <w:rsid w:val="0086722C"/>
    <w:rsid w:val="008707EB"/>
    <w:rsid w:val="00871514"/>
    <w:rsid w:val="008719F7"/>
    <w:rsid w:val="00873DD8"/>
    <w:rsid w:val="00873E39"/>
    <w:rsid w:val="008748DD"/>
    <w:rsid w:val="0087661F"/>
    <w:rsid w:val="00877B50"/>
    <w:rsid w:val="008804FF"/>
    <w:rsid w:val="00880C01"/>
    <w:rsid w:val="00880C4E"/>
    <w:rsid w:val="0088112B"/>
    <w:rsid w:val="00881FBD"/>
    <w:rsid w:val="0088249A"/>
    <w:rsid w:val="00882933"/>
    <w:rsid w:val="00882A6E"/>
    <w:rsid w:val="00884568"/>
    <w:rsid w:val="008846D9"/>
    <w:rsid w:val="0088534C"/>
    <w:rsid w:val="00886D39"/>
    <w:rsid w:val="00891D32"/>
    <w:rsid w:val="00892B48"/>
    <w:rsid w:val="008932B4"/>
    <w:rsid w:val="008936E5"/>
    <w:rsid w:val="008940CB"/>
    <w:rsid w:val="008946EA"/>
    <w:rsid w:val="008948B6"/>
    <w:rsid w:val="008964D9"/>
    <w:rsid w:val="008A0C4A"/>
    <w:rsid w:val="008A215B"/>
    <w:rsid w:val="008A221E"/>
    <w:rsid w:val="008A3781"/>
    <w:rsid w:val="008A4584"/>
    <w:rsid w:val="008A4F8A"/>
    <w:rsid w:val="008A5600"/>
    <w:rsid w:val="008A6265"/>
    <w:rsid w:val="008A7791"/>
    <w:rsid w:val="008B128B"/>
    <w:rsid w:val="008B17F2"/>
    <w:rsid w:val="008B3246"/>
    <w:rsid w:val="008B3A0C"/>
    <w:rsid w:val="008B4958"/>
    <w:rsid w:val="008B6D1A"/>
    <w:rsid w:val="008B6D6F"/>
    <w:rsid w:val="008B779D"/>
    <w:rsid w:val="008B7B1E"/>
    <w:rsid w:val="008C11B1"/>
    <w:rsid w:val="008C42A4"/>
    <w:rsid w:val="008C451E"/>
    <w:rsid w:val="008C479F"/>
    <w:rsid w:val="008C4B94"/>
    <w:rsid w:val="008C4D93"/>
    <w:rsid w:val="008C4FBC"/>
    <w:rsid w:val="008C5D7B"/>
    <w:rsid w:val="008C5DE5"/>
    <w:rsid w:val="008C7832"/>
    <w:rsid w:val="008D03A1"/>
    <w:rsid w:val="008D0EA5"/>
    <w:rsid w:val="008D1879"/>
    <w:rsid w:val="008D2463"/>
    <w:rsid w:val="008D2B4F"/>
    <w:rsid w:val="008D41FB"/>
    <w:rsid w:val="008D43B6"/>
    <w:rsid w:val="008D4DCF"/>
    <w:rsid w:val="008D753E"/>
    <w:rsid w:val="008E0C18"/>
    <w:rsid w:val="008E1387"/>
    <w:rsid w:val="008E17F5"/>
    <w:rsid w:val="008E206A"/>
    <w:rsid w:val="008E2938"/>
    <w:rsid w:val="008E41E0"/>
    <w:rsid w:val="008E4AD8"/>
    <w:rsid w:val="008E5399"/>
    <w:rsid w:val="008E6632"/>
    <w:rsid w:val="008E6766"/>
    <w:rsid w:val="008F1370"/>
    <w:rsid w:val="008F20E6"/>
    <w:rsid w:val="008F28E8"/>
    <w:rsid w:val="008F2DB6"/>
    <w:rsid w:val="008F46B9"/>
    <w:rsid w:val="008F6AF6"/>
    <w:rsid w:val="008F6DF6"/>
    <w:rsid w:val="008F78BF"/>
    <w:rsid w:val="00900455"/>
    <w:rsid w:val="00900ABA"/>
    <w:rsid w:val="00900FA4"/>
    <w:rsid w:val="00900FFC"/>
    <w:rsid w:val="0090152F"/>
    <w:rsid w:val="00905AE6"/>
    <w:rsid w:val="00906163"/>
    <w:rsid w:val="009070F2"/>
    <w:rsid w:val="009102B1"/>
    <w:rsid w:val="009112D5"/>
    <w:rsid w:val="009117AF"/>
    <w:rsid w:val="00913A8F"/>
    <w:rsid w:val="00913BD8"/>
    <w:rsid w:val="00913DA9"/>
    <w:rsid w:val="00913FD1"/>
    <w:rsid w:val="0091476B"/>
    <w:rsid w:val="0091482E"/>
    <w:rsid w:val="00914D8C"/>
    <w:rsid w:val="009150E0"/>
    <w:rsid w:val="00915BD0"/>
    <w:rsid w:val="00916397"/>
    <w:rsid w:val="009165B6"/>
    <w:rsid w:val="00916BB9"/>
    <w:rsid w:val="00917280"/>
    <w:rsid w:val="0091764F"/>
    <w:rsid w:val="009218FD"/>
    <w:rsid w:val="00921EF2"/>
    <w:rsid w:val="00922D1D"/>
    <w:rsid w:val="00923A54"/>
    <w:rsid w:val="00924596"/>
    <w:rsid w:val="0092577B"/>
    <w:rsid w:val="00926831"/>
    <w:rsid w:val="00927B25"/>
    <w:rsid w:val="0093010D"/>
    <w:rsid w:val="00931126"/>
    <w:rsid w:val="009311B2"/>
    <w:rsid w:val="00931BBB"/>
    <w:rsid w:val="009336D5"/>
    <w:rsid w:val="009358E2"/>
    <w:rsid w:val="00936043"/>
    <w:rsid w:val="00936940"/>
    <w:rsid w:val="00936F8B"/>
    <w:rsid w:val="00937163"/>
    <w:rsid w:val="00940CBF"/>
    <w:rsid w:val="00940D5F"/>
    <w:rsid w:val="00940E75"/>
    <w:rsid w:val="00942BA3"/>
    <w:rsid w:val="00942FF5"/>
    <w:rsid w:val="00943B39"/>
    <w:rsid w:val="00943F58"/>
    <w:rsid w:val="0094443B"/>
    <w:rsid w:val="0094469F"/>
    <w:rsid w:val="0094561E"/>
    <w:rsid w:val="00946FE4"/>
    <w:rsid w:val="00947226"/>
    <w:rsid w:val="00947848"/>
    <w:rsid w:val="0094784E"/>
    <w:rsid w:val="009478B6"/>
    <w:rsid w:val="0094793B"/>
    <w:rsid w:val="00950795"/>
    <w:rsid w:val="00950A4D"/>
    <w:rsid w:val="009513DE"/>
    <w:rsid w:val="009522E0"/>
    <w:rsid w:val="009531D4"/>
    <w:rsid w:val="0095367A"/>
    <w:rsid w:val="00953D09"/>
    <w:rsid w:val="00954401"/>
    <w:rsid w:val="0095527C"/>
    <w:rsid w:val="00955FF7"/>
    <w:rsid w:val="00956336"/>
    <w:rsid w:val="00956DBA"/>
    <w:rsid w:val="00956DCC"/>
    <w:rsid w:val="0095717E"/>
    <w:rsid w:val="009571BE"/>
    <w:rsid w:val="00957D2A"/>
    <w:rsid w:val="0096197F"/>
    <w:rsid w:val="00964057"/>
    <w:rsid w:val="00964882"/>
    <w:rsid w:val="00964999"/>
    <w:rsid w:val="00964BFB"/>
    <w:rsid w:val="00965593"/>
    <w:rsid w:val="00967161"/>
    <w:rsid w:val="009678EF"/>
    <w:rsid w:val="00967A3B"/>
    <w:rsid w:val="009713A0"/>
    <w:rsid w:val="00972361"/>
    <w:rsid w:val="00972737"/>
    <w:rsid w:val="00972764"/>
    <w:rsid w:val="009727B4"/>
    <w:rsid w:val="00972D10"/>
    <w:rsid w:val="0097599B"/>
    <w:rsid w:val="009763A1"/>
    <w:rsid w:val="00976894"/>
    <w:rsid w:val="0098095B"/>
    <w:rsid w:val="00981293"/>
    <w:rsid w:val="009812B2"/>
    <w:rsid w:val="009816BB"/>
    <w:rsid w:val="0098332A"/>
    <w:rsid w:val="00983476"/>
    <w:rsid w:val="00984168"/>
    <w:rsid w:val="009841D2"/>
    <w:rsid w:val="009845A0"/>
    <w:rsid w:val="0098472D"/>
    <w:rsid w:val="0098473F"/>
    <w:rsid w:val="00984E29"/>
    <w:rsid w:val="0098548A"/>
    <w:rsid w:val="009857A5"/>
    <w:rsid w:val="00985B61"/>
    <w:rsid w:val="009864D2"/>
    <w:rsid w:val="00986EC3"/>
    <w:rsid w:val="009874CD"/>
    <w:rsid w:val="0098760F"/>
    <w:rsid w:val="00987946"/>
    <w:rsid w:val="00990D37"/>
    <w:rsid w:val="009914DB"/>
    <w:rsid w:val="00993DD3"/>
    <w:rsid w:val="00995C8F"/>
    <w:rsid w:val="0099765D"/>
    <w:rsid w:val="00997DBB"/>
    <w:rsid w:val="009A0419"/>
    <w:rsid w:val="009A21F7"/>
    <w:rsid w:val="009A24A1"/>
    <w:rsid w:val="009A6828"/>
    <w:rsid w:val="009A682E"/>
    <w:rsid w:val="009A77FB"/>
    <w:rsid w:val="009B005A"/>
    <w:rsid w:val="009B115E"/>
    <w:rsid w:val="009B29E3"/>
    <w:rsid w:val="009B46E3"/>
    <w:rsid w:val="009B53DD"/>
    <w:rsid w:val="009B54E6"/>
    <w:rsid w:val="009B57BD"/>
    <w:rsid w:val="009B5AC0"/>
    <w:rsid w:val="009B6A7A"/>
    <w:rsid w:val="009C0579"/>
    <w:rsid w:val="009C0DC1"/>
    <w:rsid w:val="009C2700"/>
    <w:rsid w:val="009C2F1C"/>
    <w:rsid w:val="009C390B"/>
    <w:rsid w:val="009C409D"/>
    <w:rsid w:val="009C42F0"/>
    <w:rsid w:val="009C54A4"/>
    <w:rsid w:val="009C5D2B"/>
    <w:rsid w:val="009C608D"/>
    <w:rsid w:val="009D0589"/>
    <w:rsid w:val="009D0A6C"/>
    <w:rsid w:val="009D0E76"/>
    <w:rsid w:val="009D0EB0"/>
    <w:rsid w:val="009D0F98"/>
    <w:rsid w:val="009D38D1"/>
    <w:rsid w:val="009D3F99"/>
    <w:rsid w:val="009E1407"/>
    <w:rsid w:val="009E20DB"/>
    <w:rsid w:val="009E280D"/>
    <w:rsid w:val="009E28DC"/>
    <w:rsid w:val="009E2C44"/>
    <w:rsid w:val="009E31DA"/>
    <w:rsid w:val="009E3CF4"/>
    <w:rsid w:val="009E3F4F"/>
    <w:rsid w:val="009E4354"/>
    <w:rsid w:val="009E4449"/>
    <w:rsid w:val="009E77CE"/>
    <w:rsid w:val="009F1AC6"/>
    <w:rsid w:val="009F39D9"/>
    <w:rsid w:val="009F3D52"/>
    <w:rsid w:val="009F46DE"/>
    <w:rsid w:val="009F58D6"/>
    <w:rsid w:val="009F5CFC"/>
    <w:rsid w:val="009F7053"/>
    <w:rsid w:val="00A00218"/>
    <w:rsid w:val="00A00586"/>
    <w:rsid w:val="00A00B02"/>
    <w:rsid w:val="00A01041"/>
    <w:rsid w:val="00A013E6"/>
    <w:rsid w:val="00A0204F"/>
    <w:rsid w:val="00A02DC3"/>
    <w:rsid w:val="00A03AF9"/>
    <w:rsid w:val="00A057B3"/>
    <w:rsid w:val="00A05978"/>
    <w:rsid w:val="00A059CF"/>
    <w:rsid w:val="00A064C0"/>
    <w:rsid w:val="00A067C0"/>
    <w:rsid w:val="00A07166"/>
    <w:rsid w:val="00A0759E"/>
    <w:rsid w:val="00A1079F"/>
    <w:rsid w:val="00A10A26"/>
    <w:rsid w:val="00A10D4C"/>
    <w:rsid w:val="00A12588"/>
    <w:rsid w:val="00A12E63"/>
    <w:rsid w:val="00A14067"/>
    <w:rsid w:val="00A14161"/>
    <w:rsid w:val="00A161A9"/>
    <w:rsid w:val="00A17C0C"/>
    <w:rsid w:val="00A20C87"/>
    <w:rsid w:val="00A214E6"/>
    <w:rsid w:val="00A21F26"/>
    <w:rsid w:val="00A236AA"/>
    <w:rsid w:val="00A239C4"/>
    <w:rsid w:val="00A24AE5"/>
    <w:rsid w:val="00A26987"/>
    <w:rsid w:val="00A27041"/>
    <w:rsid w:val="00A27544"/>
    <w:rsid w:val="00A27AD2"/>
    <w:rsid w:val="00A27FC5"/>
    <w:rsid w:val="00A31D81"/>
    <w:rsid w:val="00A31E31"/>
    <w:rsid w:val="00A31FBE"/>
    <w:rsid w:val="00A32FE4"/>
    <w:rsid w:val="00A33EF4"/>
    <w:rsid w:val="00A34367"/>
    <w:rsid w:val="00A355B3"/>
    <w:rsid w:val="00A3571C"/>
    <w:rsid w:val="00A37284"/>
    <w:rsid w:val="00A40975"/>
    <w:rsid w:val="00A40B09"/>
    <w:rsid w:val="00A40E53"/>
    <w:rsid w:val="00A41FD2"/>
    <w:rsid w:val="00A443E0"/>
    <w:rsid w:val="00A47F7A"/>
    <w:rsid w:val="00A51D94"/>
    <w:rsid w:val="00A51E2E"/>
    <w:rsid w:val="00A53C1E"/>
    <w:rsid w:val="00A53CEA"/>
    <w:rsid w:val="00A549E2"/>
    <w:rsid w:val="00A54A28"/>
    <w:rsid w:val="00A57970"/>
    <w:rsid w:val="00A57A63"/>
    <w:rsid w:val="00A6216F"/>
    <w:rsid w:val="00A62D74"/>
    <w:rsid w:val="00A64CF3"/>
    <w:rsid w:val="00A64CFB"/>
    <w:rsid w:val="00A660F9"/>
    <w:rsid w:val="00A7044F"/>
    <w:rsid w:val="00A7108D"/>
    <w:rsid w:val="00A710DF"/>
    <w:rsid w:val="00A71467"/>
    <w:rsid w:val="00A71821"/>
    <w:rsid w:val="00A71C6A"/>
    <w:rsid w:val="00A74B5E"/>
    <w:rsid w:val="00A752BC"/>
    <w:rsid w:val="00A75A0E"/>
    <w:rsid w:val="00A75AAB"/>
    <w:rsid w:val="00A76D8F"/>
    <w:rsid w:val="00A77068"/>
    <w:rsid w:val="00A77434"/>
    <w:rsid w:val="00A777D8"/>
    <w:rsid w:val="00A77C2A"/>
    <w:rsid w:val="00A802F6"/>
    <w:rsid w:val="00A80521"/>
    <w:rsid w:val="00A8150A"/>
    <w:rsid w:val="00A83315"/>
    <w:rsid w:val="00A83523"/>
    <w:rsid w:val="00A8366F"/>
    <w:rsid w:val="00A83DC5"/>
    <w:rsid w:val="00A83DE4"/>
    <w:rsid w:val="00A83FD8"/>
    <w:rsid w:val="00A8455C"/>
    <w:rsid w:val="00A84C2F"/>
    <w:rsid w:val="00A86BC1"/>
    <w:rsid w:val="00A909F4"/>
    <w:rsid w:val="00A90FFC"/>
    <w:rsid w:val="00A91A12"/>
    <w:rsid w:val="00A92362"/>
    <w:rsid w:val="00A92D0F"/>
    <w:rsid w:val="00A92DDF"/>
    <w:rsid w:val="00A93CEE"/>
    <w:rsid w:val="00A9490F"/>
    <w:rsid w:val="00A95DBF"/>
    <w:rsid w:val="00A97ECB"/>
    <w:rsid w:val="00AA0676"/>
    <w:rsid w:val="00AA273F"/>
    <w:rsid w:val="00AA5798"/>
    <w:rsid w:val="00AA6A61"/>
    <w:rsid w:val="00AA74C2"/>
    <w:rsid w:val="00AA77E6"/>
    <w:rsid w:val="00AA7D1C"/>
    <w:rsid w:val="00AB069B"/>
    <w:rsid w:val="00AB1247"/>
    <w:rsid w:val="00AB134A"/>
    <w:rsid w:val="00AB22FD"/>
    <w:rsid w:val="00AB249C"/>
    <w:rsid w:val="00AB2E17"/>
    <w:rsid w:val="00AB3141"/>
    <w:rsid w:val="00AB3F3C"/>
    <w:rsid w:val="00AB4DA8"/>
    <w:rsid w:val="00AB4FA9"/>
    <w:rsid w:val="00AB53F6"/>
    <w:rsid w:val="00AB5EF7"/>
    <w:rsid w:val="00AB609D"/>
    <w:rsid w:val="00AB66B8"/>
    <w:rsid w:val="00AB6EDE"/>
    <w:rsid w:val="00AB74F6"/>
    <w:rsid w:val="00AB7C45"/>
    <w:rsid w:val="00AC09B6"/>
    <w:rsid w:val="00AC12CA"/>
    <w:rsid w:val="00AC2268"/>
    <w:rsid w:val="00AC3363"/>
    <w:rsid w:val="00AC3B84"/>
    <w:rsid w:val="00AC3E69"/>
    <w:rsid w:val="00AC487F"/>
    <w:rsid w:val="00AC6253"/>
    <w:rsid w:val="00AC719F"/>
    <w:rsid w:val="00AD0E44"/>
    <w:rsid w:val="00AD4728"/>
    <w:rsid w:val="00AD4B19"/>
    <w:rsid w:val="00AD4C93"/>
    <w:rsid w:val="00AD5508"/>
    <w:rsid w:val="00AD746E"/>
    <w:rsid w:val="00AD75D8"/>
    <w:rsid w:val="00AD7CAC"/>
    <w:rsid w:val="00AD7DE4"/>
    <w:rsid w:val="00AE1A84"/>
    <w:rsid w:val="00AE2B32"/>
    <w:rsid w:val="00AE3D01"/>
    <w:rsid w:val="00AE4747"/>
    <w:rsid w:val="00AE4FC4"/>
    <w:rsid w:val="00AE5260"/>
    <w:rsid w:val="00AE5CF7"/>
    <w:rsid w:val="00AE5EAC"/>
    <w:rsid w:val="00AE67B6"/>
    <w:rsid w:val="00AE6861"/>
    <w:rsid w:val="00AE6902"/>
    <w:rsid w:val="00AE71CF"/>
    <w:rsid w:val="00AF0289"/>
    <w:rsid w:val="00AF08A4"/>
    <w:rsid w:val="00AF0D29"/>
    <w:rsid w:val="00AF17DC"/>
    <w:rsid w:val="00AF2F12"/>
    <w:rsid w:val="00AF3442"/>
    <w:rsid w:val="00AF3762"/>
    <w:rsid w:val="00AF49A0"/>
    <w:rsid w:val="00AF5D13"/>
    <w:rsid w:val="00AF6DD3"/>
    <w:rsid w:val="00AF7736"/>
    <w:rsid w:val="00AF782A"/>
    <w:rsid w:val="00AF7CFA"/>
    <w:rsid w:val="00B0104C"/>
    <w:rsid w:val="00B01A0B"/>
    <w:rsid w:val="00B01CD0"/>
    <w:rsid w:val="00B031A6"/>
    <w:rsid w:val="00B03B08"/>
    <w:rsid w:val="00B04B21"/>
    <w:rsid w:val="00B04DB9"/>
    <w:rsid w:val="00B05EB7"/>
    <w:rsid w:val="00B06086"/>
    <w:rsid w:val="00B0641E"/>
    <w:rsid w:val="00B07759"/>
    <w:rsid w:val="00B10AB8"/>
    <w:rsid w:val="00B128CB"/>
    <w:rsid w:val="00B12FB2"/>
    <w:rsid w:val="00B14A65"/>
    <w:rsid w:val="00B161CE"/>
    <w:rsid w:val="00B17226"/>
    <w:rsid w:val="00B1739F"/>
    <w:rsid w:val="00B2037B"/>
    <w:rsid w:val="00B20435"/>
    <w:rsid w:val="00B20689"/>
    <w:rsid w:val="00B216AE"/>
    <w:rsid w:val="00B2193F"/>
    <w:rsid w:val="00B22D70"/>
    <w:rsid w:val="00B253DD"/>
    <w:rsid w:val="00B258D8"/>
    <w:rsid w:val="00B25DE3"/>
    <w:rsid w:val="00B26048"/>
    <w:rsid w:val="00B27C5E"/>
    <w:rsid w:val="00B306D8"/>
    <w:rsid w:val="00B30F59"/>
    <w:rsid w:val="00B32120"/>
    <w:rsid w:val="00B3233C"/>
    <w:rsid w:val="00B34169"/>
    <w:rsid w:val="00B3442D"/>
    <w:rsid w:val="00B34D4C"/>
    <w:rsid w:val="00B34FC1"/>
    <w:rsid w:val="00B361FF"/>
    <w:rsid w:val="00B40AC5"/>
    <w:rsid w:val="00B40DB4"/>
    <w:rsid w:val="00B41E4A"/>
    <w:rsid w:val="00B41F6B"/>
    <w:rsid w:val="00B42C68"/>
    <w:rsid w:val="00B43529"/>
    <w:rsid w:val="00B45726"/>
    <w:rsid w:val="00B45828"/>
    <w:rsid w:val="00B46FEF"/>
    <w:rsid w:val="00B470E5"/>
    <w:rsid w:val="00B4722B"/>
    <w:rsid w:val="00B47646"/>
    <w:rsid w:val="00B47B86"/>
    <w:rsid w:val="00B50BCD"/>
    <w:rsid w:val="00B50E10"/>
    <w:rsid w:val="00B50E37"/>
    <w:rsid w:val="00B516BC"/>
    <w:rsid w:val="00B517BC"/>
    <w:rsid w:val="00B51807"/>
    <w:rsid w:val="00B51936"/>
    <w:rsid w:val="00B51D11"/>
    <w:rsid w:val="00B52066"/>
    <w:rsid w:val="00B52304"/>
    <w:rsid w:val="00B52358"/>
    <w:rsid w:val="00B53724"/>
    <w:rsid w:val="00B538C4"/>
    <w:rsid w:val="00B5565F"/>
    <w:rsid w:val="00B568D1"/>
    <w:rsid w:val="00B56F9E"/>
    <w:rsid w:val="00B57049"/>
    <w:rsid w:val="00B57DBB"/>
    <w:rsid w:val="00B6040F"/>
    <w:rsid w:val="00B60D18"/>
    <w:rsid w:val="00B60E79"/>
    <w:rsid w:val="00B6264C"/>
    <w:rsid w:val="00B63793"/>
    <w:rsid w:val="00B63C7B"/>
    <w:rsid w:val="00B65B8E"/>
    <w:rsid w:val="00B70939"/>
    <w:rsid w:val="00B70AB4"/>
    <w:rsid w:val="00B718FB"/>
    <w:rsid w:val="00B729FB"/>
    <w:rsid w:val="00B74242"/>
    <w:rsid w:val="00B752A8"/>
    <w:rsid w:val="00B754DD"/>
    <w:rsid w:val="00B756FD"/>
    <w:rsid w:val="00B759AD"/>
    <w:rsid w:val="00B76B0D"/>
    <w:rsid w:val="00B76EAC"/>
    <w:rsid w:val="00B77DCB"/>
    <w:rsid w:val="00B80B5A"/>
    <w:rsid w:val="00B82CF7"/>
    <w:rsid w:val="00B82E6C"/>
    <w:rsid w:val="00B8318E"/>
    <w:rsid w:val="00B83298"/>
    <w:rsid w:val="00B83E5B"/>
    <w:rsid w:val="00B840FF"/>
    <w:rsid w:val="00B84A8B"/>
    <w:rsid w:val="00B84AD5"/>
    <w:rsid w:val="00B84BA7"/>
    <w:rsid w:val="00B850F5"/>
    <w:rsid w:val="00B8570F"/>
    <w:rsid w:val="00B86E23"/>
    <w:rsid w:val="00B86F2F"/>
    <w:rsid w:val="00B87737"/>
    <w:rsid w:val="00B87855"/>
    <w:rsid w:val="00B8792A"/>
    <w:rsid w:val="00B87E24"/>
    <w:rsid w:val="00B916D6"/>
    <w:rsid w:val="00B91C97"/>
    <w:rsid w:val="00B923D8"/>
    <w:rsid w:val="00B924CB"/>
    <w:rsid w:val="00B92C19"/>
    <w:rsid w:val="00B94166"/>
    <w:rsid w:val="00B958DA"/>
    <w:rsid w:val="00B95D05"/>
    <w:rsid w:val="00B9606C"/>
    <w:rsid w:val="00B96D11"/>
    <w:rsid w:val="00B97AB6"/>
    <w:rsid w:val="00B97DF1"/>
    <w:rsid w:val="00B97E9D"/>
    <w:rsid w:val="00BA1742"/>
    <w:rsid w:val="00BA29E5"/>
    <w:rsid w:val="00BA2D2D"/>
    <w:rsid w:val="00BA35A1"/>
    <w:rsid w:val="00BA40DC"/>
    <w:rsid w:val="00BA4A15"/>
    <w:rsid w:val="00BA6A1E"/>
    <w:rsid w:val="00BA779B"/>
    <w:rsid w:val="00BB12EC"/>
    <w:rsid w:val="00BB14E3"/>
    <w:rsid w:val="00BB156E"/>
    <w:rsid w:val="00BB167E"/>
    <w:rsid w:val="00BB184C"/>
    <w:rsid w:val="00BB20AB"/>
    <w:rsid w:val="00BB4C07"/>
    <w:rsid w:val="00BB6955"/>
    <w:rsid w:val="00BC31D7"/>
    <w:rsid w:val="00BC475D"/>
    <w:rsid w:val="00BC5B66"/>
    <w:rsid w:val="00BC6182"/>
    <w:rsid w:val="00BC7BDB"/>
    <w:rsid w:val="00BD0888"/>
    <w:rsid w:val="00BD0E92"/>
    <w:rsid w:val="00BD16CC"/>
    <w:rsid w:val="00BD2382"/>
    <w:rsid w:val="00BD389F"/>
    <w:rsid w:val="00BD38A7"/>
    <w:rsid w:val="00BD3F81"/>
    <w:rsid w:val="00BD4251"/>
    <w:rsid w:val="00BD4CB1"/>
    <w:rsid w:val="00BD4D58"/>
    <w:rsid w:val="00BD4F10"/>
    <w:rsid w:val="00BD5130"/>
    <w:rsid w:val="00BD5685"/>
    <w:rsid w:val="00BD56F4"/>
    <w:rsid w:val="00BD58EC"/>
    <w:rsid w:val="00BD6AE4"/>
    <w:rsid w:val="00BD6C5E"/>
    <w:rsid w:val="00BD7122"/>
    <w:rsid w:val="00BD7527"/>
    <w:rsid w:val="00BD79C4"/>
    <w:rsid w:val="00BE0628"/>
    <w:rsid w:val="00BE11E1"/>
    <w:rsid w:val="00BE1564"/>
    <w:rsid w:val="00BE17E4"/>
    <w:rsid w:val="00BE1F3A"/>
    <w:rsid w:val="00BE1F7A"/>
    <w:rsid w:val="00BE40A3"/>
    <w:rsid w:val="00BE5002"/>
    <w:rsid w:val="00BE52C6"/>
    <w:rsid w:val="00BE6138"/>
    <w:rsid w:val="00BE6BE1"/>
    <w:rsid w:val="00BF1014"/>
    <w:rsid w:val="00BF1EA6"/>
    <w:rsid w:val="00BF1F32"/>
    <w:rsid w:val="00BF3487"/>
    <w:rsid w:val="00BF3C2B"/>
    <w:rsid w:val="00BF4EBD"/>
    <w:rsid w:val="00BF4F39"/>
    <w:rsid w:val="00BF5005"/>
    <w:rsid w:val="00BF6789"/>
    <w:rsid w:val="00BF71A8"/>
    <w:rsid w:val="00BF7CA8"/>
    <w:rsid w:val="00C000E6"/>
    <w:rsid w:val="00C007BC"/>
    <w:rsid w:val="00C018FE"/>
    <w:rsid w:val="00C02ECF"/>
    <w:rsid w:val="00C04D6B"/>
    <w:rsid w:val="00C04F57"/>
    <w:rsid w:val="00C06252"/>
    <w:rsid w:val="00C062CA"/>
    <w:rsid w:val="00C10A53"/>
    <w:rsid w:val="00C114E1"/>
    <w:rsid w:val="00C11B1A"/>
    <w:rsid w:val="00C12447"/>
    <w:rsid w:val="00C136A3"/>
    <w:rsid w:val="00C137B7"/>
    <w:rsid w:val="00C142D3"/>
    <w:rsid w:val="00C15196"/>
    <w:rsid w:val="00C1558A"/>
    <w:rsid w:val="00C15A17"/>
    <w:rsid w:val="00C16717"/>
    <w:rsid w:val="00C16E65"/>
    <w:rsid w:val="00C175E8"/>
    <w:rsid w:val="00C22324"/>
    <w:rsid w:val="00C23328"/>
    <w:rsid w:val="00C234AD"/>
    <w:rsid w:val="00C24458"/>
    <w:rsid w:val="00C2451E"/>
    <w:rsid w:val="00C24695"/>
    <w:rsid w:val="00C25167"/>
    <w:rsid w:val="00C26986"/>
    <w:rsid w:val="00C26BD7"/>
    <w:rsid w:val="00C273D4"/>
    <w:rsid w:val="00C27890"/>
    <w:rsid w:val="00C30FF5"/>
    <w:rsid w:val="00C33549"/>
    <w:rsid w:val="00C338AF"/>
    <w:rsid w:val="00C33ADF"/>
    <w:rsid w:val="00C36E71"/>
    <w:rsid w:val="00C36F9D"/>
    <w:rsid w:val="00C409F2"/>
    <w:rsid w:val="00C40EFF"/>
    <w:rsid w:val="00C426BD"/>
    <w:rsid w:val="00C427EF"/>
    <w:rsid w:val="00C4498C"/>
    <w:rsid w:val="00C455DC"/>
    <w:rsid w:val="00C46569"/>
    <w:rsid w:val="00C465CD"/>
    <w:rsid w:val="00C46AD6"/>
    <w:rsid w:val="00C473A5"/>
    <w:rsid w:val="00C47EFF"/>
    <w:rsid w:val="00C50F27"/>
    <w:rsid w:val="00C52432"/>
    <w:rsid w:val="00C53861"/>
    <w:rsid w:val="00C53AA6"/>
    <w:rsid w:val="00C53DCB"/>
    <w:rsid w:val="00C55458"/>
    <w:rsid w:val="00C55A31"/>
    <w:rsid w:val="00C55FDC"/>
    <w:rsid w:val="00C561A1"/>
    <w:rsid w:val="00C57185"/>
    <w:rsid w:val="00C575DC"/>
    <w:rsid w:val="00C60031"/>
    <w:rsid w:val="00C60374"/>
    <w:rsid w:val="00C60A20"/>
    <w:rsid w:val="00C61B39"/>
    <w:rsid w:val="00C650E2"/>
    <w:rsid w:val="00C656FD"/>
    <w:rsid w:val="00C65F10"/>
    <w:rsid w:val="00C66CD5"/>
    <w:rsid w:val="00C7157A"/>
    <w:rsid w:val="00C738A5"/>
    <w:rsid w:val="00C740CD"/>
    <w:rsid w:val="00C74CE6"/>
    <w:rsid w:val="00C750F1"/>
    <w:rsid w:val="00C75439"/>
    <w:rsid w:val="00C75CB4"/>
    <w:rsid w:val="00C75D0D"/>
    <w:rsid w:val="00C76152"/>
    <w:rsid w:val="00C77695"/>
    <w:rsid w:val="00C776FC"/>
    <w:rsid w:val="00C77D07"/>
    <w:rsid w:val="00C8014F"/>
    <w:rsid w:val="00C8145F"/>
    <w:rsid w:val="00C8182A"/>
    <w:rsid w:val="00C81ABC"/>
    <w:rsid w:val="00C8459E"/>
    <w:rsid w:val="00C85444"/>
    <w:rsid w:val="00C854C6"/>
    <w:rsid w:val="00C87499"/>
    <w:rsid w:val="00C87D83"/>
    <w:rsid w:val="00C913DA"/>
    <w:rsid w:val="00C91FE6"/>
    <w:rsid w:val="00C9312C"/>
    <w:rsid w:val="00C936C7"/>
    <w:rsid w:val="00C95151"/>
    <w:rsid w:val="00C97537"/>
    <w:rsid w:val="00C975F0"/>
    <w:rsid w:val="00C97B27"/>
    <w:rsid w:val="00C97FB4"/>
    <w:rsid w:val="00CA039A"/>
    <w:rsid w:val="00CA0A07"/>
    <w:rsid w:val="00CA1260"/>
    <w:rsid w:val="00CA2106"/>
    <w:rsid w:val="00CA4107"/>
    <w:rsid w:val="00CA4761"/>
    <w:rsid w:val="00CA54D2"/>
    <w:rsid w:val="00CA6029"/>
    <w:rsid w:val="00CB1CFE"/>
    <w:rsid w:val="00CB2000"/>
    <w:rsid w:val="00CB48A6"/>
    <w:rsid w:val="00CB621C"/>
    <w:rsid w:val="00CB6371"/>
    <w:rsid w:val="00CB684E"/>
    <w:rsid w:val="00CB74F5"/>
    <w:rsid w:val="00CC02F2"/>
    <w:rsid w:val="00CC10AF"/>
    <w:rsid w:val="00CC1569"/>
    <w:rsid w:val="00CC3289"/>
    <w:rsid w:val="00CC3746"/>
    <w:rsid w:val="00CC3C36"/>
    <w:rsid w:val="00CC4FF5"/>
    <w:rsid w:val="00CC5C32"/>
    <w:rsid w:val="00CC6621"/>
    <w:rsid w:val="00CC69FA"/>
    <w:rsid w:val="00CC6A46"/>
    <w:rsid w:val="00CC6B34"/>
    <w:rsid w:val="00CC7C07"/>
    <w:rsid w:val="00CD09B4"/>
    <w:rsid w:val="00CD0E2D"/>
    <w:rsid w:val="00CD14E9"/>
    <w:rsid w:val="00CD235A"/>
    <w:rsid w:val="00CD38C7"/>
    <w:rsid w:val="00CD4661"/>
    <w:rsid w:val="00CD5446"/>
    <w:rsid w:val="00CD6EE8"/>
    <w:rsid w:val="00CD737F"/>
    <w:rsid w:val="00CD7773"/>
    <w:rsid w:val="00CE211C"/>
    <w:rsid w:val="00CE2AE1"/>
    <w:rsid w:val="00CE363D"/>
    <w:rsid w:val="00CE3C51"/>
    <w:rsid w:val="00CE691B"/>
    <w:rsid w:val="00CE6C96"/>
    <w:rsid w:val="00CE78B9"/>
    <w:rsid w:val="00CE78DD"/>
    <w:rsid w:val="00CE78E4"/>
    <w:rsid w:val="00CE7E27"/>
    <w:rsid w:val="00CF0367"/>
    <w:rsid w:val="00CF0FFC"/>
    <w:rsid w:val="00CF1A27"/>
    <w:rsid w:val="00CF237E"/>
    <w:rsid w:val="00CF24BB"/>
    <w:rsid w:val="00CF48A1"/>
    <w:rsid w:val="00CF4CDC"/>
    <w:rsid w:val="00CF4D9F"/>
    <w:rsid w:val="00CF5CD9"/>
    <w:rsid w:val="00CF67F1"/>
    <w:rsid w:val="00CF73F2"/>
    <w:rsid w:val="00CF7486"/>
    <w:rsid w:val="00CF7772"/>
    <w:rsid w:val="00D00DAC"/>
    <w:rsid w:val="00D01E73"/>
    <w:rsid w:val="00D02EC1"/>
    <w:rsid w:val="00D0314D"/>
    <w:rsid w:val="00D03A85"/>
    <w:rsid w:val="00D04E4E"/>
    <w:rsid w:val="00D05D5C"/>
    <w:rsid w:val="00D05F0E"/>
    <w:rsid w:val="00D0693F"/>
    <w:rsid w:val="00D1028B"/>
    <w:rsid w:val="00D11074"/>
    <w:rsid w:val="00D12612"/>
    <w:rsid w:val="00D13DA8"/>
    <w:rsid w:val="00D13E49"/>
    <w:rsid w:val="00D14C32"/>
    <w:rsid w:val="00D164E8"/>
    <w:rsid w:val="00D17618"/>
    <w:rsid w:val="00D17F26"/>
    <w:rsid w:val="00D20931"/>
    <w:rsid w:val="00D2120A"/>
    <w:rsid w:val="00D21D38"/>
    <w:rsid w:val="00D24844"/>
    <w:rsid w:val="00D26006"/>
    <w:rsid w:val="00D2665C"/>
    <w:rsid w:val="00D30DE7"/>
    <w:rsid w:val="00D31A22"/>
    <w:rsid w:val="00D32320"/>
    <w:rsid w:val="00D32C1E"/>
    <w:rsid w:val="00D32CD6"/>
    <w:rsid w:val="00D355AF"/>
    <w:rsid w:val="00D367F7"/>
    <w:rsid w:val="00D37527"/>
    <w:rsid w:val="00D378B4"/>
    <w:rsid w:val="00D4185E"/>
    <w:rsid w:val="00D41BB6"/>
    <w:rsid w:val="00D4242F"/>
    <w:rsid w:val="00D424F4"/>
    <w:rsid w:val="00D42CA3"/>
    <w:rsid w:val="00D4316F"/>
    <w:rsid w:val="00D44563"/>
    <w:rsid w:val="00D5132E"/>
    <w:rsid w:val="00D532A0"/>
    <w:rsid w:val="00D5337D"/>
    <w:rsid w:val="00D53670"/>
    <w:rsid w:val="00D538D9"/>
    <w:rsid w:val="00D54455"/>
    <w:rsid w:val="00D55740"/>
    <w:rsid w:val="00D57DAA"/>
    <w:rsid w:val="00D57F85"/>
    <w:rsid w:val="00D613F7"/>
    <w:rsid w:val="00D6190A"/>
    <w:rsid w:val="00D61E00"/>
    <w:rsid w:val="00D61F1F"/>
    <w:rsid w:val="00D63500"/>
    <w:rsid w:val="00D63B31"/>
    <w:rsid w:val="00D640F5"/>
    <w:rsid w:val="00D6563F"/>
    <w:rsid w:val="00D661CF"/>
    <w:rsid w:val="00D66F5E"/>
    <w:rsid w:val="00D67254"/>
    <w:rsid w:val="00D6771B"/>
    <w:rsid w:val="00D67C13"/>
    <w:rsid w:val="00D67DC9"/>
    <w:rsid w:val="00D70137"/>
    <w:rsid w:val="00D70B9C"/>
    <w:rsid w:val="00D711AF"/>
    <w:rsid w:val="00D71664"/>
    <w:rsid w:val="00D7199F"/>
    <w:rsid w:val="00D71AF2"/>
    <w:rsid w:val="00D732FA"/>
    <w:rsid w:val="00D73671"/>
    <w:rsid w:val="00D74914"/>
    <w:rsid w:val="00D75633"/>
    <w:rsid w:val="00D75821"/>
    <w:rsid w:val="00D763A3"/>
    <w:rsid w:val="00D7651E"/>
    <w:rsid w:val="00D765FC"/>
    <w:rsid w:val="00D769A5"/>
    <w:rsid w:val="00D77DDB"/>
    <w:rsid w:val="00D80AC9"/>
    <w:rsid w:val="00D80CDC"/>
    <w:rsid w:val="00D821D1"/>
    <w:rsid w:val="00D8220D"/>
    <w:rsid w:val="00D8264B"/>
    <w:rsid w:val="00D827A7"/>
    <w:rsid w:val="00D82B53"/>
    <w:rsid w:val="00D83964"/>
    <w:rsid w:val="00D83D70"/>
    <w:rsid w:val="00D861CD"/>
    <w:rsid w:val="00D870B4"/>
    <w:rsid w:val="00D8763F"/>
    <w:rsid w:val="00D8767F"/>
    <w:rsid w:val="00D879E6"/>
    <w:rsid w:val="00D9028D"/>
    <w:rsid w:val="00D90DFF"/>
    <w:rsid w:val="00D90E2B"/>
    <w:rsid w:val="00D90E59"/>
    <w:rsid w:val="00D91990"/>
    <w:rsid w:val="00D91F21"/>
    <w:rsid w:val="00D92205"/>
    <w:rsid w:val="00D935CD"/>
    <w:rsid w:val="00D9377C"/>
    <w:rsid w:val="00D94273"/>
    <w:rsid w:val="00D944A0"/>
    <w:rsid w:val="00D946E9"/>
    <w:rsid w:val="00D9480A"/>
    <w:rsid w:val="00D95BB3"/>
    <w:rsid w:val="00D9680C"/>
    <w:rsid w:val="00D968A1"/>
    <w:rsid w:val="00D969B9"/>
    <w:rsid w:val="00D976DF"/>
    <w:rsid w:val="00DA1D6D"/>
    <w:rsid w:val="00DA3C2E"/>
    <w:rsid w:val="00DA3C81"/>
    <w:rsid w:val="00DA40A7"/>
    <w:rsid w:val="00DA47F3"/>
    <w:rsid w:val="00DA63B9"/>
    <w:rsid w:val="00DA7EB6"/>
    <w:rsid w:val="00DB1859"/>
    <w:rsid w:val="00DB2502"/>
    <w:rsid w:val="00DB3262"/>
    <w:rsid w:val="00DB442A"/>
    <w:rsid w:val="00DB45CC"/>
    <w:rsid w:val="00DB521C"/>
    <w:rsid w:val="00DB74BA"/>
    <w:rsid w:val="00DB7E05"/>
    <w:rsid w:val="00DB7E41"/>
    <w:rsid w:val="00DC01BD"/>
    <w:rsid w:val="00DC1BF6"/>
    <w:rsid w:val="00DC29ED"/>
    <w:rsid w:val="00DC3A4D"/>
    <w:rsid w:val="00DC4FA6"/>
    <w:rsid w:val="00DC500F"/>
    <w:rsid w:val="00DC76AE"/>
    <w:rsid w:val="00DD0B44"/>
    <w:rsid w:val="00DD1543"/>
    <w:rsid w:val="00DD230C"/>
    <w:rsid w:val="00DD2358"/>
    <w:rsid w:val="00DD3673"/>
    <w:rsid w:val="00DD48FD"/>
    <w:rsid w:val="00DD6663"/>
    <w:rsid w:val="00DD70E1"/>
    <w:rsid w:val="00DD7714"/>
    <w:rsid w:val="00DD7D1C"/>
    <w:rsid w:val="00DE0C34"/>
    <w:rsid w:val="00DE1006"/>
    <w:rsid w:val="00DE160D"/>
    <w:rsid w:val="00DE1B4B"/>
    <w:rsid w:val="00DE27A7"/>
    <w:rsid w:val="00DE2824"/>
    <w:rsid w:val="00DE2DF3"/>
    <w:rsid w:val="00DE2F53"/>
    <w:rsid w:val="00DE3A72"/>
    <w:rsid w:val="00DE3B31"/>
    <w:rsid w:val="00DE55B4"/>
    <w:rsid w:val="00DE6B22"/>
    <w:rsid w:val="00DE6EE9"/>
    <w:rsid w:val="00DE7014"/>
    <w:rsid w:val="00DE74C8"/>
    <w:rsid w:val="00DF02D8"/>
    <w:rsid w:val="00DF0541"/>
    <w:rsid w:val="00DF09BF"/>
    <w:rsid w:val="00DF291B"/>
    <w:rsid w:val="00DF736C"/>
    <w:rsid w:val="00DF7414"/>
    <w:rsid w:val="00E00B48"/>
    <w:rsid w:val="00E00C77"/>
    <w:rsid w:val="00E027DB"/>
    <w:rsid w:val="00E02DBA"/>
    <w:rsid w:val="00E030EE"/>
    <w:rsid w:val="00E03E8B"/>
    <w:rsid w:val="00E04FB3"/>
    <w:rsid w:val="00E05073"/>
    <w:rsid w:val="00E0723B"/>
    <w:rsid w:val="00E108C3"/>
    <w:rsid w:val="00E10B33"/>
    <w:rsid w:val="00E11C55"/>
    <w:rsid w:val="00E11F03"/>
    <w:rsid w:val="00E120B9"/>
    <w:rsid w:val="00E12705"/>
    <w:rsid w:val="00E12A19"/>
    <w:rsid w:val="00E1307E"/>
    <w:rsid w:val="00E133E9"/>
    <w:rsid w:val="00E13480"/>
    <w:rsid w:val="00E13758"/>
    <w:rsid w:val="00E13799"/>
    <w:rsid w:val="00E148F3"/>
    <w:rsid w:val="00E151DA"/>
    <w:rsid w:val="00E15382"/>
    <w:rsid w:val="00E16F7C"/>
    <w:rsid w:val="00E20944"/>
    <w:rsid w:val="00E21BC2"/>
    <w:rsid w:val="00E21E67"/>
    <w:rsid w:val="00E22239"/>
    <w:rsid w:val="00E223B0"/>
    <w:rsid w:val="00E224DE"/>
    <w:rsid w:val="00E238A2"/>
    <w:rsid w:val="00E23E12"/>
    <w:rsid w:val="00E24B7F"/>
    <w:rsid w:val="00E24E4A"/>
    <w:rsid w:val="00E25120"/>
    <w:rsid w:val="00E26A6B"/>
    <w:rsid w:val="00E27844"/>
    <w:rsid w:val="00E3243B"/>
    <w:rsid w:val="00E32E58"/>
    <w:rsid w:val="00E335D8"/>
    <w:rsid w:val="00E33707"/>
    <w:rsid w:val="00E33791"/>
    <w:rsid w:val="00E33837"/>
    <w:rsid w:val="00E338E0"/>
    <w:rsid w:val="00E33E35"/>
    <w:rsid w:val="00E34005"/>
    <w:rsid w:val="00E347FA"/>
    <w:rsid w:val="00E350D7"/>
    <w:rsid w:val="00E3512D"/>
    <w:rsid w:val="00E35B31"/>
    <w:rsid w:val="00E36C7B"/>
    <w:rsid w:val="00E36C84"/>
    <w:rsid w:val="00E413AB"/>
    <w:rsid w:val="00E4170E"/>
    <w:rsid w:val="00E41A9E"/>
    <w:rsid w:val="00E43274"/>
    <w:rsid w:val="00E4665E"/>
    <w:rsid w:val="00E46893"/>
    <w:rsid w:val="00E50AC1"/>
    <w:rsid w:val="00E516F4"/>
    <w:rsid w:val="00E52985"/>
    <w:rsid w:val="00E53F38"/>
    <w:rsid w:val="00E544D8"/>
    <w:rsid w:val="00E548E0"/>
    <w:rsid w:val="00E5508D"/>
    <w:rsid w:val="00E57028"/>
    <w:rsid w:val="00E60C82"/>
    <w:rsid w:val="00E61190"/>
    <w:rsid w:val="00E63282"/>
    <w:rsid w:val="00E63DBE"/>
    <w:rsid w:val="00E63FE9"/>
    <w:rsid w:val="00E64E71"/>
    <w:rsid w:val="00E65017"/>
    <w:rsid w:val="00E66EDF"/>
    <w:rsid w:val="00E6738C"/>
    <w:rsid w:val="00E673C4"/>
    <w:rsid w:val="00E678D3"/>
    <w:rsid w:val="00E70263"/>
    <w:rsid w:val="00E70644"/>
    <w:rsid w:val="00E7159D"/>
    <w:rsid w:val="00E72036"/>
    <w:rsid w:val="00E73E35"/>
    <w:rsid w:val="00E740D3"/>
    <w:rsid w:val="00E766BD"/>
    <w:rsid w:val="00E7776F"/>
    <w:rsid w:val="00E80553"/>
    <w:rsid w:val="00E807BA"/>
    <w:rsid w:val="00E80F7E"/>
    <w:rsid w:val="00E8164C"/>
    <w:rsid w:val="00E824B5"/>
    <w:rsid w:val="00E82B5F"/>
    <w:rsid w:val="00E82D3E"/>
    <w:rsid w:val="00E83210"/>
    <w:rsid w:val="00E83931"/>
    <w:rsid w:val="00E854D1"/>
    <w:rsid w:val="00E86C37"/>
    <w:rsid w:val="00E90D94"/>
    <w:rsid w:val="00E91219"/>
    <w:rsid w:val="00E91F69"/>
    <w:rsid w:val="00E92D69"/>
    <w:rsid w:val="00E92E2B"/>
    <w:rsid w:val="00E93B4E"/>
    <w:rsid w:val="00E945AD"/>
    <w:rsid w:val="00E95194"/>
    <w:rsid w:val="00E95A14"/>
    <w:rsid w:val="00E96F65"/>
    <w:rsid w:val="00E97C94"/>
    <w:rsid w:val="00EA099C"/>
    <w:rsid w:val="00EA10DE"/>
    <w:rsid w:val="00EA1FDA"/>
    <w:rsid w:val="00EA29E0"/>
    <w:rsid w:val="00EA3034"/>
    <w:rsid w:val="00EA49B8"/>
    <w:rsid w:val="00EA52D5"/>
    <w:rsid w:val="00EA5BBB"/>
    <w:rsid w:val="00EA5EC8"/>
    <w:rsid w:val="00EA6A83"/>
    <w:rsid w:val="00EB10A7"/>
    <w:rsid w:val="00EB2328"/>
    <w:rsid w:val="00EB2DE1"/>
    <w:rsid w:val="00EB33CE"/>
    <w:rsid w:val="00EB37FC"/>
    <w:rsid w:val="00EB4439"/>
    <w:rsid w:val="00EB48A2"/>
    <w:rsid w:val="00EB6634"/>
    <w:rsid w:val="00EB6DE7"/>
    <w:rsid w:val="00EB71F5"/>
    <w:rsid w:val="00EC0AE0"/>
    <w:rsid w:val="00EC0BB7"/>
    <w:rsid w:val="00EC3F00"/>
    <w:rsid w:val="00EC43AA"/>
    <w:rsid w:val="00EC6890"/>
    <w:rsid w:val="00EC72A4"/>
    <w:rsid w:val="00ED1D25"/>
    <w:rsid w:val="00ED694A"/>
    <w:rsid w:val="00ED6C13"/>
    <w:rsid w:val="00ED76D9"/>
    <w:rsid w:val="00ED7949"/>
    <w:rsid w:val="00EE0225"/>
    <w:rsid w:val="00EE0DDA"/>
    <w:rsid w:val="00EE2A51"/>
    <w:rsid w:val="00EE2F4D"/>
    <w:rsid w:val="00EE3F53"/>
    <w:rsid w:val="00EE4722"/>
    <w:rsid w:val="00EE4AD4"/>
    <w:rsid w:val="00EE5409"/>
    <w:rsid w:val="00EE5CAF"/>
    <w:rsid w:val="00EF4BA3"/>
    <w:rsid w:val="00EF590D"/>
    <w:rsid w:val="00EF6324"/>
    <w:rsid w:val="00EF71FF"/>
    <w:rsid w:val="00EF7CA9"/>
    <w:rsid w:val="00F00607"/>
    <w:rsid w:val="00F01F8C"/>
    <w:rsid w:val="00F02295"/>
    <w:rsid w:val="00F02850"/>
    <w:rsid w:val="00F02D08"/>
    <w:rsid w:val="00F046BE"/>
    <w:rsid w:val="00F060A4"/>
    <w:rsid w:val="00F060F2"/>
    <w:rsid w:val="00F06124"/>
    <w:rsid w:val="00F071F3"/>
    <w:rsid w:val="00F07523"/>
    <w:rsid w:val="00F07A75"/>
    <w:rsid w:val="00F10710"/>
    <w:rsid w:val="00F127F3"/>
    <w:rsid w:val="00F12BF7"/>
    <w:rsid w:val="00F12CBF"/>
    <w:rsid w:val="00F1326E"/>
    <w:rsid w:val="00F13626"/>
    <w:rsid w:val="00F155B4"/>
    <w:rsid w:val="00F15D39"/>
    <w:rsid w:val="00F16B10"/>
    <w:rsid w:val="00F2227B"/>
    <w:rsid w:val="00F22598"/>
    <w:rsid w:val="00F231AB"/>
    <w:rsid w:val="00F24BB1"/>
    <w:rsid w:val="00F27476"/>
    <w:rsid w:val="00F27C51"/>
    <w:rsid w:val="00F304EE"/>
    <w:rsid w:val="00F31887"/>
    <w:rsid w:val="00F31E20"/>
    <w:rsid w:val="00F331FA"/>
    <w:rsid w:val="00F341AE"/>
    <w:rsid w:val="00F34AA1"/>
    <w:rsid w:val="00F35671"/>
    <w:rsid w:val="00F35A86"/>
    <w:rsid w:val="00F35B7D"/>
    <w:rsid w:val="00F36FAB"/>
    <w:rsid w:val="00F370F1"/>
    <w:rsid w:val="00F3737E"/>
    <w:rsid w:val="00F37F90"/>
    <w:rsid w:val="00F400C4"/>
    <w:rsid w:val="00F40538"/>
    <w:rsid w:val="00F405D8"/>
    <w:rsid w:val="00F416BD"/>
    <w:rsid w:val="00F41CA3"/>
    <w:rsid w:val="00F41E90"/>
    <w:rsid w:val="00F43005"/>
    <w:rsid w:val="00F456C4"/>
    <w:rsid w:val="00F46B42"/>
    <w:rsid w:val="00F4710F"/>
    <w:rsid w:val="00F47F02"/>
    <w:rsid w:val="00F51932"/>
    <w:rsid w:val="00F52EF0"/>
    <w:rsid w:val="00F53A81"/>
    <w:rsid w:val="00F54426"/>
    <w:rsid w:val="00F54732"/>
    <w:rsid w:val="00F5644B"/>
    <w:rsid w:val="00F56D63"/>
    <w:rsid w:val="00F57D8D"/>
    <w:rsid w:val="00F60E88"/>
    <w:rsid w:val="00F60EA0"/>
    <w:rsid w:val="00F62568"/>
    <w:rsid w:val="00F63946"/>
    <w:rsid w:val="00F651D6"/>
    <w:rsid w:val="00F66AD8"/>
    <w:rsid w:val="00F725CC"/>
    <w:rsid w:val="00F72BA3"/>
    <w:rsid w:val="00F7329D"/>
    <w:rsid w:val="00F73AD7"/>
    <w:rsid w:val="00F73B29"/>
    <w:rsid w:val="00F73FB6"/>
    <w:rsid w:val="00F757F6"/>
    <w:rsid w:val="00F7595F"/>
    <w:rsid w:val="00F765D1"/>
    <w:rsid w:val="00F7741C"/>
    <w:rsid w:val="00F80B00"/>
    <w:rsid w:val="00F80C2E"/>
    <w:rsid w:val="00F80DB2"/>
    <w:rsid w:val="00F81097"/>
    <w:rsid w:val="00F8152D"/>
    <w:rsid w:val="00F823B7"/>
    <w:rsid w:val="00F82B69"/>
    <w:rsid w:val="00F84E09"/>
    <w:rsid w:val="00F85631"/>
    <w:rsid w:val="00F86321"/>
    <w:rsid w:val="00F86FC2"/>
    <w:rsid w:val="00F91188"/>
    <w:rsid w:val="00F914CB"/>
    <w:rsid w:val="00F91819"/>
    <w:rsid w:val="00F9546C"/>
    <w:rsid w:val="00F96CCD"/>
    <w:rsid w:val="00F96CF9"/>
    <w:rsid w:val="00F974A1"/>
    <w:rsid w:val="00F97B5E"/>
    <w:rsid w:val="00F97B72"/>
    <w:rsid w:val="00FA0C6D"/>
    <w:rsid w:val="00FA0CA0"/>
    <w:rsid w:val="00FA0F93"/>
    <w:rsid w:val="00FA10A8"/>
    <w:rsid w:val="00FA1111"/>
    <w:rsid w:val="00FA1427"/>
    <w:rsid w:val="00FA26C8"/>
    <w:rsid w:val="00FA2DB5"/>
    <w:rsid w:val="00FA32DD"/>
    <w:rsid w:val="00FA45BA"/>
    <w:rsid w:val="00FA4829"/>
    <w:rsid w:val="00FA4BED"/>
    <w:rsid w:val="00FA5296"/>
    <w:rsid w:val="00FA670E"/>
    <w:rsid w:val="00FA6C76"/>
    <w:rsid w:val="00FA7086"/>
    <w:rsid w:val="00FB0FB5"/>
    <w:rsid w:val="00FB184E"/>
    <w:rsid w:val="00FB1F93"/>
    <w:rsid w:val="00FB2A35"/>
    <w:rsid w:val="00FB324A"/>
    <w:rsid w:val="00FB3267"/>
    <w:rsid w:val="00FB48DF"/>
    <w:rsid w:val="00FB54DB"/>
    <w:rsid w:val="00FB5972"/>
    <w:rsid w:val="00FB632F"/>
    <w:rsid w:val="00FB748F"/>
    <w:rsid w:val="00FC0963"/>
    <w:rsid w:val="00FC2AB9"/>
    <w:rsid w:val="00FC369C"/>
    <w:rsid w:val="00FC3BAF"/>
    <w:rsid w:val="00FC5824"/>
    <w:rsid w:val="00FC5AFE"/>
    <w:rsid w:val="00FC5D22"/>
    <w:rsid w:val="00FC6002"/>
    <w:rsid w:val="00FD01BA"/>
    <w:rsid w:val="00FD0CA5"/>
    <w:rsid w:val="00FD17BA"/>
    <w:rsid w:val="00FD4012"/>
    <w:rsid w:val="00FD5A0C"/>
    <w:rsid w:val="00FD606E"/>
    <w:rsid w:val="00FD7B75"/>
    <w:rsid w:val="00FE1195"/>
    <w:rsid w:val="00FE1868"/>
    <w:rsid w:val="00FE1F9B"/>
    <w:rsid w:val="00FE20F3"/>
    <w:rsid w:val="00FE45E5"/>
    <w:rsid w:val="00FE4D45"/>
    <w:rsid w:val="00FE5279"/>
    <w:rsid w:val="00FE5412"/>
    <w:rsid w:val="00FE6874"/>
    <w:rsid w:val="00FE6ACC"/>
    <w:rsid w:val="00FE7064"/>
    <w:rsid w:val="00FE71EC"/>
    <w:rsid w:val="00FF0084"/>
    <w:rsid w:val="00FF05FE"/>
    <w:rsid w:val="00FF094D"/>
    <w:rsid w:val="00FF1F88"/>
    <w:rsid w:val="00FF3315"/>
    <w:rsid w:val="00FF3336"/>
    <w:rsid w:val="00FF4840"/>
    <w:rsid w:val="00FF4F25"/>
    <w:rsid w:val="00FF5A7C"/>
    <w:rsid w:val="00FF5F77"/>
    <w:rsid w:val="00FF6B57"/>
    <w:rsid w:val="00FF7F91"/>
    <w:rsid w:val="0107437C"/>
    <w:rsid w:val="01254ECA"/>
    <w:rsid w:val="013A1E5D"/>
    <w:rsid w:val="01B036EA"/>
    <w:rsid w:val="01DA2D06"/>
    <w:rsid w:val="0293726D"/>
    <w:rsid w:val="02BA55A5"/>
    <w:rsid w:val="03130EE3"/>
    <w:rsid w:val="03187A90"/>
    <w:rsid w:val="032D2B4E"/>
    <w:rsid w:val="035B792A"/>
    <w:rsid w:val="03F2214E"/>
    <w:rsid w:val="042E5D0C"/>
    <w:rsid w:val="04C45905"/>
    <w:rsid w:val="04F55751"/>
    <w:rsid w:val="0573248A"/>
    <w:rsid w:val="06CE68DF"/>
    <w:rsid w:val="079C35FC"/>
    <w:rsid w:val="07DB0BF3"/>
    <w:rsid w:val="082171DA"/>
    <w:rsid w:val="08C53285"/>
    <w:rsid w:val="092A6705"/>
    <w:rsid w:val="09395F3E"/>
    <w:rsid w:val="0A694F0D"/>
    <w:rsid w:val="0B9A267C"/>
    <w:rsid w:val="0CA60FE3"/>
    <w:rsid w:val="0CF74215"/>
    <w:rsid w:val="0D2964EB"/>
    <w:rsid w:val="0D35413B"/>
    <w:rsid w:val="0D3F493B"/>
    <w:rsid w:val="0D510EE5"/>
    <w:rsid w:val="0D5D1C86"/>
    <w:rsid w:val="0E1135B8"/>
    <w:rsid w:val="0E8465F4"/>
    <w:rsid w:val="0E927B6D"/>
    <w:rsid w:val="0EB50EEF"/>
    <w:rsid w:val="0EDE4455"/>
    <w:rsid w:val="0EF22AE4"/>
    <w:rsid w:val="0F0F4736"/>
    <w:rsid w:val="107A50A7"/>
    <w:rsid w:val="10D82889"/>
    <w:rsid w:val="11313AFF"/>
    <w:rsid w:val="114E4E24"/>
    <w:rsid w:val="11567CCE"/>
    <w:rsid w:val="12515F59"/>
    <w:rsid w:val="12F42BCB"/>
    <w:rsid w:val="13332891"/>
    <w:rsid w:val="13BC6BE3"/>
    <w:rsid w:val="141C411B"/>
    <w:rsid w:val="148176FD"/>
    <w:rsid w:val="15B31457"/>
    <w:rsid w:val="16034057"/>
    <w:rsid w:val="16111176"/>
    <w:rsid w:val="16D46F0E"/>
    <w:rsid w:val="17A54C03"/>
    <w:rsid w:val="19A33895"/>
    <w:rsid w:val="1A006D57"/>
    <w:rsid w:val="1CC35FBB"/>
    <w:rsid w:val="1DF37C19"/>
    <w:rsid w:val="1E5B61CE"/>
    <w:rsid w:val="1E820121"/>
    <w:rsid w:val="1E8967F2"/>
    <w:rsid w:val="1F330C9F"/>
    <w:rsid w:val="200911CE"/>
    <w:rsid w:val="21843F56"/>
    <w:rsid w:val="2200200E"/>
    <w:rsid w:val="224A51CD"/>
    <w:rsid w:val="22BF327D"/>
    <w:rsid w:val="233B239E"/>
    <w:rsid w:val="23C768B6"/>
    <w:rsid w:val="24595AE5"/>
    <w:rsid w:val="24963A82"/>
    <w:rsid w:val="24D3646B"/>
    <w:rsid w:val="24D43B61"/>
    <w:rsid w:val="24D773EC"/>
    <w:rsid w:val="25453918"/>
    <w:rsid w:val="25DE3B0A"/>
    <w:rsid w:val="2660783A"/>
    <w:rsid w:val="26861129"/>
    <w:rsid w:val="28086284"/>
    <w:rsid w:val="282A2387"/>
    <w:rsid w:val="286F7C76"/>
    <w:rsid w:val="289059BF"/>
    <w:rsid w:val="28A24F1B"/>
    <w:rsid w:val="29E00C91"/>
    <w:rsid w:val="2AD95CCC"/>
    <w:rsid w:val="2B080EDD"/>
    <w:rsid w:val="2B204686"/>
    <w:rsid w:val="2B34492F"/>
    <w:rsid w:val="2C1B7E68"/>
    <w:rsid w:val="2C334600"/>
    <w:rsid w:val="2C7874B1"/>
    <w:rsid w:val="2D442B46"/>
    <w:rsid w:val="2E5F4781"/>
    <w:rsid w:val="2F741EBF"/>
    <w:rsid w:val="2FE858D3"/>
    <w:rsid w:val="302B06D5"/>
    <w:rsid w:val="30782B12"/>
    <w:rsid w:val="30FB318D"/>
    <w:rsid w:val="31241BDB"/>
    <w:rsid w:val="31472444"/>
    <w:rsid w:val="31542911"/>
    <w:rsid w:val="31942F80"/>
    <w:rsid w:val="31BF654C"/>
    <w:rsid w:val="31DC5421"/>
    <w:rsid w:val="32AD5A98"/>
    <w:rsid w:val="32B34905"/>
    <w:rsid w:val="32CF0E49"/>
    <w:rsid w:val="32F0499C"/>
    <w:rsid w:val="336A405C"/>
    <w:rsid w:val="342D1890"/>
    <w:rsid w:val="3509137F"/>
    <w:rsid w:val="35125609"/>
    <w:rsid w:val="35341D68"/>
    <w:rsid w:val="35D030A4"/>
    <w:rsid w:val="36016248"/>
    <w:rsid w:val="364C317E"/>
    <w:rsid w:val="36F7289A"/>
    <w:rsid w:val="37D1071F"/>
    <w:rsid w:val="380926DD"/>
    <w:rsid w:val="38172D49"/>
    <w:rsid w:val="386C75FF"/>
    <w:rsid w:val="390C013F"/>
    <w:rsid w:val="39A93E39"/>
    <w:rsid w:val="3A611754"/>
    <w:rsid w:val="3B5419A7"/>
    <w:rsid w:val="3C853F1C"/>
    <w:rsid w:val="3CBD5B44"/>
    <w:rsid w:val="3CCD6091"/>
    <w:rsid w:val="3CCD6E91"/>
    <w:rsid w:val="3CF27791"/>
    <w:rsid w:val="3CFA45ED"/>
    <w:rsid w:val="3D460A34"/>
    <w:rsid w:val="3DDF2859"/>
    <w:rsid w:val="40AE33B4"/>
    <w:rsid w:val="41A93EC6"/>
    <w:rsid w:val="425F11B5"/>
    <w:rsid w:val="42F67A0B"/>
    <w:rsid w:val="43000B49"/>
    <w:rsid w:val="43286A88"/>
    <w:rsid w:val="434B0908"/>
    <w:rsid w:val="44065E25"/>
    <w:rsid w:val="446A581C"/>
    <w:rsid w:val="454D1E82"/>
    <w:rsid w:val="45856D49"/>
    <w:rsid w:val="45F52C70"/>
    <w:rsid w:val="46307AEF"/>
    <w:rsid w:val="46A634F2"/>
    <w:rsid w:val="48510BD3"/>
    <w:rsid w:val="48F607C2"/>
    <w:rsid w:val="4A0E55F8"/>
    <w:rsid w:val="4AE02F6B"/>
    <w:rsid w:val="4C091B3D"/>
    <w:rsid w:val="4C441290"/>
    <w:rsid w:val="4CF35C20"/>
    <w:rsid w:val="4D787807"/>
    <w:rsid w:val="4E3E4542"/>
    <w:rsid w:val="4E9F661C"/>
    <w:rsid w:val="4F4449E8"/>
    <w:rsid w:val="4FA75A56"/>
    <w:rsid w:val="50654544"/>
    <w:rsid w:val="5125254A"/>
    <w:rsid w:val="51C2188B"/>
    <w:rsid w:val="52FA6CC9"/>
    <w:rsid w:val="538D31E9"/>
    <w:rsid w:val="53BC3A52"/>
    <w:rsid w:val="55217F03"/>
    <w:rsid w:val="553045F8"/>
    <w:rsid w:val="55543D00"/>
    <w:rsid w:val="55CA71B9"/>
    <w:rsid w:val="561741E7"/>
    <w:rsid w:val="56EB59B9"/>
    <w:rsid w:val="58240BF2"/>
    <w:rsid w:val="582D7E30"/>
    <w:rsid w:val="583A1153"/>
    <w:rsid w:val="58D942C0"/>
    <w:rsid w:val="594453FD"/>
    <w:rsid w:val="5A322B4A"/>
    <w:rsid w:val="5A4F06DB"/>
    <w:rsid w:val="5A9B5FA0"/>
    <w:rsid w:val="5B1909C7"/>
    <w:rsid w:val="5B4F7D05"/>
    <w:rsid w:val="5C4C698F"/>
    <w:rsid w:val="5DAB5B74"/>
    <w:rsid w:val="5EAB13CA"/>
    <w:rsid w:val="5EB81FFB"/>
    <w:rsid w:val="5F7B6651"/>
    <w:rsid w:val="5F944039"/>
    <w:rsid w:val="5F9C3975"/>
    <w:rsid w:val="5FF81F73"/>
    <w:rsid w:val="607F1367"/>
    <w:rsid w:val="60ED7350"/>
    <w:rsid w:val="60F6452F"/>
    <w:rsid w:val="60FC5E3D"/>
    <w:rsid w:val="61305953"/>
    <w:rsid w:val="61F63CD3"/>
    <w:rsid w:val="61F72785"/>
    <w:rsid w:val="62406DE0"/>
    <w:rsid w:val="626F3413"/>
    <w:rsid w:val="64135E04"/>
    <w:rsid w:val="6477313A"/>
    <w:rsid w:val="648A69ED"/>
    <w:rsid w:val="64B67BE7"/>
    <w:rsid w:val="665D601E"/>
    <w:rsid w:val="669B4986"/>
    <w:rsid w:val="67717BBE"/>
    <w:rsid w:val="67E332A1"/>
    <w:rsid w:val="680C4BBE"/>
    <w:rsid w:val="685F3F6A"/>
    <w:rsid w:val="68717D68"/>
    <w:rsid w:val="68E563A4"/>
    <w:rsid w:val="693B4EA8"/>
    <w:rsid w:val="69CC731C"/>
    <w:rsid w:val="6A851B00"/>
    <w:rsid w:val="6B937D00"/>
    <w:rsid w:val="6C2361B3"/>
    <w:rsid w:val="6CCB00A5"/>
    <w:rsid w:val="6D27495E"/>
    <w:rsid w:val="6DEB5A94"/>
    <w:rsid w:val="6EAD7848"/>
    <w:rsid w:val="6EC679C7"/>
    <w:rsid w:val="6FC8087F"/>
    <w:rsid w:val="70D00FBA"/>
    <w:rsid w:val="715B1235"/>
    <w:rsid w:val="720F4108"/>
    <w:rsid w:val="72290770"/>
    <w:rsid w:val="737A5C66"/>
    <w:rsid w:val="74ED140B"/>
    <w:rsid w:val="75F479B7"/>
    <w:rsid w:val="762D2658"/>
    <w:rsid w:val="76472C11"/>
    <w:rsid w:val="76EE3581"/>
    <w:rsid w:val="770E6AAE"/>
    <w:rsid w:val="77264AC1"/>
    <w:rsid w:val="77BC5572"/>
    <w:rsid w:val="78411E39"/>
    <w:rsid w:val="78E404CD"/>
    <w:rsid w:val="7AFB28FA"/>
    <w:rsid w:val="7B1562E1"/>
    <w:rsid w:val="7CD018B5"/>
    <w:rsid w:val="7CDE0391"/>
    <w:rsid w:val="7E18194B"/>
    <w:rsid w:val="7E9B3045"/>
    <w:rsid w:val="7EF46F04"/>
    <w:rsid w:val="7F634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6"/>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57"/>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58"/>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59"/>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0"/>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6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62"/>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6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64"/>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8">
    <w:name w:val="Default Paragraph Font"/>
    <w:unhideWhenUsed/>
    <w:qFormat/>
    <w:uiPriority w:val="1"/>
  </w:style>
  <w:style w:type="table" w:default="1" w:styleId="46">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13">
    <w:name w:val="Normal Indent"/>
    <w:basedOn w:val="1"/>
    <w:next w:val="1"/>
    <w:link w:val="65"/>
    <w:qFormat/>
    <w:uiPriority w:val="0"/>
    <w:pPr>
      <w:ind w:firstLine="420"/>
    </w:pPr>
  </w:style>
  <w:style w:type="paragraph" w:styleId="14">
    <w:name w:val="index 5"/>
    <w:basedOn w:val="1"/>
    <w:next w:val="1"/>
    <w:qFormat/>
    <w:uiPriority w:val="0"/>
    <w:pPr>
      <w:ind w:left="1680"/>
    </w:pPr>
  </w:style>
  <w:style w:type="paragraph" w:styleId="15">
    <w:name w:val="Document Map"/>
    <w:basedOn w:val="1"/>
    <w:link w:val="66"/>
    <w:qFormat/>
    <w:uiPriority w:val="99"/>
    <w:rPr>
      <w:rFonts w:ascii="宋体"/>
      <w:sz w:val="18"/>
      <w:szCs w:val="18"/>
    </w:rPr>
  </w:style>
  <w:style w:type="paragraph" w:styleId="16">
    <w:name w:val="toa heading"/>
    <w:basedOn w:val="1"/>
    <w:next w:val="1"/>
    <w:qFormat/>
    <w:uiPriority w:val="0"/>
    <w:pPr>
      <w:spacing w:before="120"/>
    </w:pPr>
    <w:rPr>
      <w:rFonts w:ascii="Arial" w:hAnsi="Arial"/>
    </w:rPr>
  </w:style>
  <w:style w:type="paragraph" w:styleId="17">
    <w:name w:val="annotation text"/>
    <w:basedOn w:val="1"/>
    <w:link w:val="67"/>
    <w:qFormat/>
    <w:uiPriority w:val="0"/>
    <w:pPr>
      <w:jc w:val="left"/>
    </w:pPr>
    <w:rPr>
      <w:rFonts w:ascii="Times New Roman" w:hAnsi="Times New Roman"/>
      <w:szCs w:val="20"/>
    </w:rPr>
  </w:style>
  <w:style w:type="paragraph" w:styleId="18">
    <w:name w:val="Body Text 3"/>
    <w:basedOn w:val="1"/>
    <w:link w:val="68"/>
    <w:qFormat/>
    <w:uiPriority w:val="0"/>
    <w:rPr>
      <w:rFonts w:ascii="宋体"/>
      <w:sz w:val="24"/>
      <w:szCs w:val="20"/>
    </w:rPr>
  </w:style>
  <w:style w:type="paragraph" w:styleId="19">
    <w:name w:val="Body Text"/>
    <w:basedOn w:val="1"/>
    <w:next w:val="1"/>
    <w:link w:val="69"/>
    <w:unhideWhenUsed/>
    <w:qFormat/>
    <w:uiPriority w:val="0"/>
    <w:pPr>
      <w:spacing w:after="120"/>
    </w:pPr>
    <w:rPr>
      <w:rFonts w:ascii="Times New Roman" w:hAnsi="Times New Roman"/>
      <w:szCs w:val="20"/>
    </w:rPr>
  </w:style>
  <w:style w:type="paragraph" w:styleId="20">
    <w:name w:val="Body Text Indent"/>
    <w:basedOn w:val="1"/>
    <w:next w:val="21"/>
    <w:link w:val="55"/>
    <w:qFormat/>
    <w:uiPriority w:val="0"/>
    <w:pPr>
      <w:spacing w:after="120"/>
      <w:ind w:left="420" w:leftChars="200"/>
    </w:pPr>
    <w:rPr>
      <w:rFonts w:ascii="Times New Roman" w:hAnsi="Times New Roman"/>
      <w:szCs w:val="20"/>
    </w:rPr>
  </w:style>
  <w:style w:type="paragraph" w:styleId="21">
    <w:name w:val="envelope return"/>
    <w:basedOn w:val="1"/>
    <w:qFormat/>
    <w:uiPriority w:val="0"/>
    <w:pPr>
      <w:snapToGrid w:val="0"/>
    </w:pPr>
    <w:rPr>
      <w:rFonts w:ascii="Arial" w:hAnsi="Arial"/>
      <w:szCs w:val="24"/>
    </w:rPr>
  </w:style>
  <w:style w:type="paragraph" w:styleId="22">
    <w:name w:val="toc 5"/>
    <w:basedOn w:val="1"/>
    <w:next w:val="1"/>
    <w:qFormat/>
    <w:uiPriority w:val="39"/>
    <w:pPr>
      <w:ind w:left="800" w:leftChars="800"/>
    </w:pPr>
  </w:style>
  <w:style w:type="paragraph" w:styleId="23">
    <w:name w:val="toc 3"/>
    <w:basedOn w:val="1"/>
    <w:next w:val="1"/>
    <w:qFormat/>
    <w:uiPriority w:val="0"/>
    <w:pPr>
      <w:ind w:left="400" w:leftChars="400"/>
    </w:pPr>
  </w:style>
  <w:style w:type="paragraph" w:styleId="24">
    <w:name w:val="Plain Text"/>
    <w:basedOn w:val="1"/>
    <w:next w:val="1"/>
    <w:link w:val="70"/>
    <w:qFormat/>
    <w:uiPriority w:val="0"/>
    <w:rPr>
      <w:rFonts w:ascii="宋体"/>
    </w:rPr>
  </w:style>
  <w:style w:type="paragraph" w:styleId="25">
    <w:name w:val="toc 8"/>
    <w:basedOn w:val="1"/>
    <w:next w:val="1"/>
    <w:qFormat/>
    <w:uiPriority w:val="39"/>
    <w:pPr>
      <w:ind w:left="1400" w:leftChars="1400"/>
    </w:pPr>
  </w:style>
  <w:style w:type="paragraph" w:styleId="26">
    <w:name w:val="Date"/>
    <w:basedOn w:val="1"/>
    <w:next w:val="1"/>
    <w:link w:val="71"/>
    <w:qFormat/>
    <w:uiPriority w:val="0"/>
    <w:pPr>
      <w:ind w:left="2500" w:leftChars="2500"/>
    </w:pPr>
    <w:rPr>
      <w:rFonts w:ascii="Times New Roman" w:hAnsi="Times New Roman"/>
      <w:szCs w:val="20"/>
    </w:rPr>
  </w:style>
  <w:style w:type="paragraph" w:styleId="27">
    <w:name w:val="Body Text Indent 2"/>
    <w:basedOn w:val="1"/>
    <w:link w:val="72"/>
    <w:unhideWhenUsed/>
    <w:qFormat/>
    <w:uiPriority w:val="0"/>
    <w:pPr>
      <w:spacing w:after="120" w:line="480" w:lineRule="auto"/>
      <w:ind w:left="420" w:leftChars="200"/>
    </w:pPr>
  </w:style>
  <w:style w:type="paragraph" w:styleId="28">
    <w:name w:val="Balloon Text"/>
    <w:basedOn w:val="1"/>
    <w:link w:val="73"/>
    <w:qFormat/>
    <w:uiPriority w:val="0"/>
    <w:rPr>
      <w:rFonts w:ascii="Times New Roman" w:hAnsi="Times New Roman"/>
      <w:sz w:val="18"/>
      <w:szCs w:val="20"/>
    </w:rPr>
  </w:style>
  <w:style w:type="paragraph" w:styleId="29">
    <w:name w:val="footer"/>
    <w:basedOn w:val="1"/>
    <w:link w:val="74"/>
    <w:qFormat/>
    <w:uiPriority w:val="99"/>
    <w:pPr>
      <w:tabs>
        <w:tab w:val="center" w:pos="4153"/>
        <w:tab w:val="right" w:pos="8306"/>
      </w:tabs>
      <w:snapToGrid w:val="0"/>
      <w:jc w:val="left"/>
    </w:pPr>
    <w:rPr>
      <w:sz w:val="18"/>
    </w:rPr>
  </w:style>
  <w:style w:type="paragraph" w:styleId="30">
    <w:name w:val="header"/>
    <w:basedOn w:val="1"/>
    <w:link w:val="75"/>
    <w:qFormat/>
    <w:uiPriority w:val="99"/>
    <w:pPr>
      <w:tabs>
        <w:tab w:val="center" w:pos="4153"/>
        <w:tab w:val="right" w:pos="8306"/>
      </w:tabs>
      <w:snapToGrid w:val="0"/>
    </w:pPr>
    <w:rPr>
      <w:rFonts w:ascii="Times New Roman" w:hAnsi="Times New Roman"/>
      <w:sz w:val="18"/>
      <w:szCs w:val="20"/>
    </w:rPr>
  </w:style>
  <w:style w:type="paragraph" w:styleId="31">
    <w:name w:val="toc 1"/>
    <w:basedOn w:val="1"/>
    <w:next w:val="1"/>
    <w:qFormat/>
    <w:uiPriority w:val="0"/>
  </w:style>
  <w:style w:type="paragraph" w:styleId="32">
    <w:name w:val="toc 4"/>
    <w:basedOn w:val="1"/>
    <w:next w:val="1"/>
    <w:qFormat/>
    <w:uiPriority w:val="39"/>
    <w:pPr>
      <w:ind w:left="600" w:leftChars="600"/>
    </w:pPr>
  </w:style>
  <w:style w:type="paragraph" w:styleId="33">
    <w:name w:val="Subtitle"/>
    <w:basedOn w:val="1"/>
    <w:next w:val="1"/>
    <w:link w:val="76"/>
    <w:qFormat/>
    <w:uiPriority w:val="11"/>
    <w:pPr>
      <w:spacing w:before="240" w:after="60" w:line="312" w:lineRule="auto"/>
      <w:jc w:val="center"/>
      <w:outlineLvl w:val="1"/>
    </w:pPr>
    <w:rPr>
      <w:rFonts w:ascii="Calibri Light" w:hAnsi="Calibri Light"/>
      <w:b/>
      <w:bCs/>
      <w:kern w:val="28"/>
      <w:sz w:val="32"/>
      <w:szCs w:val="32"/>
    </w:rPr>
  </w:style>
  <w:style w:type="paragraph" w:styleId="34">
    <w:name w:val="toc 6"/>
    <w:basedOn w:val="1"/>
    <w:next w:val="1"/>
    <w:qFormat/>
    <w:uiPriority w:val="39"/>
    <w:pPr>
      <w:ind w:left="1000" w:leftChars="1000"/>
    </w:pPr>
  </w:style>
  <w:style w:type="paragraph" w:styleId="35">
    <w:name w:val="List 5"/>
    <w:basedOn w:val="1"/>
    <w:qFormat/>
    <w:uiPriority w:val="0"/>
    <w:pPr>
      <w:spacing w:line="360" w:lineRule="auto"/>
      <w:ind w:left="2100" w:hanging="420"/>
      <w:jc w:val="left"/>
    </w:pPr>
    <w:rPr>
      <w:rFonts w:ascii="Times New Roman" w:hAnsi="Times New Roman"/>
      <w:sz w:val="24"/>
      <w:szCs w:val="20"/>
    </w:rPr>
  </w:style>
  <w:style w:type="paragraph" w:styleId="36">
    <w:name w:val="Body Text Indent 3"/>
    <w:basedOn w:val="1"/>
    <w:link w:val="77"/>
    <w:qFormat/>
    <w:uiPriority w:val="0"/>
    <w:pPr>
      <w:spacing w:after="120"/>
      <w:ind w:left="200" w:leftChars="200"/>
    </w:pPr>
    <w:rPr>
      <w:sz w:val="16"/>
      <w:szCs w:val="16"/>
    </w:rPr>
  </w:style>
  <w:style w:type="paragraph" w:styleId="37">
    <w:name w:val="toc 2"/>
    <w:basedOn w:val="1"/>
    <w:next w:val="1"/>
    <w:qFormat/>
    <w:uiPriority w:val="0"/>
    <w:pPr>
      <w:ind w:left="200" w:leftChars="200"/>
    </w:pPr>
  </w:style>
  <w:style w:type="paragraph" w:styleId="38">
    <w:name w:val="toc 9"/>
    <w:basedOn w:val="1"/>
    <w:next w:val="1"/>
    <w:qFormat/>
    <w:uiPriority w:val="39"/>
    <w:pPr>
      <w:ind w:left="1600" w:leftChars="1600"/>
    </w:pPr>
  </w:style>
  <w:style w:type="paragraph" w:styleId="39">
    <w:name w:val="Body Text 2"/>
    <w:basedOn w:val="1"/>
    <w:link w:val="78"/>
    <w:qFormat/>
    <w:uiPriority w:val="0"/>
    <w:pPr>
      <w:spacing w:after="120" w:line="480" w:lineRule="auto"/>
      <w:jc w:val="left"/>
    </w:pPr>
    <w:rPr>
      <w:rFonts w:ascii="Times New Roman" w:hAnsi="Times New Roman"/>
      <w:sz w:val="24"/>
      <w:szCs w:val="24"/>
    </w:rPr>
  </w:style>
  <w:style w:type="paragraph" w:styleId="40">
    <w:name w:val="Normal (Web)"/>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styleId="41">
    <w:name w:val="index 1"/>
    <w:basedOn w:val="1"/>
    <w:next w:val="1"/>
    <w:qFormat/>
    <w:uiPriority w:val="0"/>
    <w:pPr>
      <w:spacing w:line="220" w:lineRule="exact"/>
      <w:jc w:val="center"/>
    </w:pPr>
    <w:rPr>
      <w:rFonts w:ascii="仿宋_GB2312" w:hAnsi="Times New Roman" w:eastAsia="仿宋_GB2312"/>
      <w:szCs w:val="21"/>
    </w:rPr>
  </w:style>
  <w:style w:type="paragraph" w:styleId="42">
    <w:name w:val="Title"/>
    <w:basedOn w:val="1"/>
    <w:link w:val="7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3">
    <w:name w:val="annotation subject"/>
    <w:basedOn w:val="17"/>
    <w:next w:val="17"/>
    <w:link w:val="80"/>
    <w:qFormat/>
    <w:uiPriority w:val="0"/>
  </w:style>
  <w:style w:type="paragraph" w:styleId="44">
    <w:name w:val="Body Text First Indent"/>
    <w:basedOn w:val="19"/>
    <w:link w:val="81"/>
    <w:qFormat/>
    <w:uiPriority w:val="99"/>
    <w:pPr>
      <w:spacing w:line="312" w:lineRule="auto"/>
      <w:ind w:firstLine="420"/>
    </w:pPr>
    <w:rPr>
      <w:szCs w:val="24"/>
    </w:rPr>
  </w:style>
  <w:style w:type="paragraph" w:styleId="45">
    <w:name w:val="Body Text First Indent 2"/>
    <w:basedOn w:val="20"/>
    <w:qFormat/>
    <w:uiPriority w:val="0"/>
    <w:pPr>
      <w:ind w:firstLine="420"/>
    </w:pPr>
    <w:rPr>
      <w:sz w:val="20"/>
    </w:rPr>
  </w:style>
  <w:style w:type="table" w:styleId="47">
    <w:name w:val="Table Grid"/>
    <w:basedOn w:val="4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qFormat/>
    <w:uiPriority w:val="0"/>
  </w:style>
  <w:style w:type="character" w:styleId="51">
    <w:name w:val="Emphasis"/>
    <w:qFormat/>
    <w:uiPriority w:val="20"/>
    <w:rPr>
      <w:i/>
      <w:iCs/>
    </w:rPr>
  </w:style>
  <w:style w:type="character" w:styleId="52">
    <w:name w:val="Hyperlink"/>
    <w:qFormat/>
    <w:uiPriority w:val="0"/>
    <w:rPr>
      <w:color w:val="0000FF"/>
      <w:u w:val="single"/>
    </w:rPr>
  </w:style>
  <w:style w:type="character" w:styleId="53">
    <w:name w:val="annotation reference"/>
    <w:qFormat/>
    <w:uiPriority w:val="0"/>
    <w:rPr>
      <w:sz w:val="21"/>
    </w:rPr>
  </w:style>
  <w:style w:type="character" w:styleId="54">
    <w:name w:val="footnote reference"/>
    <w:qFormat/>
    <w:uiPriority w:val="0"/>
    <w:rPr>
      <w:vertAlign w:val="superscript"/>
    </w:rPr>
  </w:style>
  <w:style w:type="character" w:customStyle="1" w:styleId="55">
    <w:name w:val="正文文本缩进 Char"/>
    <w:link w:val="20"/>
    <w:qFormat/>
    <w:uiPriority w:val="0"/>
    <w:rPr>
      <w:rFonts w:eastAsia="宋体"/>
      <w:kern w:val="2"/>
      <w:sz w:val="21"/>
    </w:rPr>
  </w:style>
  <w:style w:type="character" w:customStyle="1" w:styleId="56">
    <w:name w:val="标题 1 Char"/>
    <w:link w:val="2"/>
    <w:qFormat/>
    <w:uiPriority w:val="0"/>
    <w:rPr>
      <w:rFonts w:eastAsia="宋体"/>
      <w:b/>
      <w:kern w:val="44"/>
      <w:sz w:val="44"/>
    </w:rPr>
  </w:style>
  <w:style w:type="character" w:customStyle="1" w:styleId="57">
    <w:name w:val="标题 2 Char"/>
    <w:link w:val="3"/>
    <w:qFormat/>
    <w:uiPriority w:val="0"/>
    <w:rPr>
      <w:rFonts w:ascii="Arial" w:hAnsi="Arial" w:eastAsia="黑体"/>
      <w:b/>
      <w:kern w:val="2"/>
      <w:sz w:val="32"/>
    </w:rPr>
  </w:style>
  <w:style w:type="character" w:customStyle="1" w:styleId="58">
    <w:name w:val="标题 3 Char"/>
    <w:link w:val="4"/>
    <w:qFormat/>
    <w:uiPriority w:val="0"/>
    <w:rPr>
      <w:rFonts w:ascii="黑体" w:hAnsi="Calibri" w:eastAsia="黑体"/>
      <w:kern w:val="2"/>
      <w:sz w:val="28"/>
    </w:rPr>
  </w:style>
  <w:style w:type="character" w:customStyle="1" w:styleId="59">
    <w:name w:val="标题 4 Char"/>
    <w:link w:val="5"/>
    <w:qFormat/>
    <w:uiPriority w:val="0"/>
    <w:rPr>
      <w:rFonts w:ascii="Arial" w:hAnsi="Arial" w:eastAsia="黑体"/>
      <w:b/>
      <w:bCs/>
      <w:kern w:val="2"/>
      <w:sz w:val="28"/>
      <w:szCs w:val="28"/>
    </w:rPr>
  </w:style>
  <w:style w:type="character" w:customStyle="1" w:styleId="60">
    <w:name w:val="标题 5 Char"/>
    <w:link w:val="6"/>
    <w:semiHidden/>
    <w:qFormat/>
    <w:uiPriority w:val="9"/>
    <w:rPr>
      <w:rFonts w:eastAsia="宋体"/>
      <w:b/>
      <w:bCs/>
      <w:kern w:val="2"/>
      <w:sz w:val="28"/>
      <w:szCs w:val="28"/>
    </w:rPr>
  </w:style>
  <w:style w:type="character" w:customStyle="1" w:styleId="61">
    <w:name w:val="标题 6 Char"/>
    <w:link w:val="7"/>
    <w:qFormat/>
    <w:uiPriority w:val="0"/>
    <w:rPr>
      <w:rFonts w:ascii="Arial" w:hAnsi="Arial" w:eastAsia="黑体"/>
      <w:b/>
      <w:bCs/>
      <w:sz w:val="24"/>
    </w:rPr>
  </w:style>
  <w:style w:type="character" w:customStyle="1" w:styleId="62">
    <w:name w:val="标题 7 Char"/>
    <w:link w:val="8"/>
    <w:qFormat/>
    <w:uiPriority w:val="0"/>
    <w:rPr>
      <w:rFonts w:eastAsia="宋体"/>
      <w:b/>
      <w:bCs/>
      <w:sz w:val="24"/>
    </w:rPr>
  </w:style>
  <w:style w:type="character" w:customStyle="1" w:styleId="63">
    <w:name w:val="标题 8 Char"/>
    <w:link w:val="9"/>
    <w:qFormat/>
    <w:uiPriority w:val="0"/>
    <w:rPr>
      <w:rFonts w:ascii="Arial" w:hAnsi="Arial" w:eastAsia="黑体"/>
      <w:sz w:val="24"/>
    </w:rPr>
  </w:style>
  <w:style w:type="character" w:customStyle="1" w:styleId="64">
    <w:name w:val="标题 9 Char"/>
    <w:link w:val="10"/>
    <w:qFormat/>
    <w:uiPriority w:val="0"/>
    <w:rPr>
      <w:rFonts w:ascii="Arial" w:hAnsi="Arial" w:eastAsia="黑体"/>
      <w:sz w:val="21"/>
      <w:szCs w:val="21"/>
    </w:rPr>
  </w:style>
  <w:style w:type="character" w:customStyle="1" w:styleId="65">
    <w:name w:val="正文缩进 Char"/>
    <w:link w:val="13"/>
    <w:qFormat/>
    <w:uiPriority w:val="0"/>
    <w:rPr>
      <w:rFonts w:ascii="Calibri" w:hAnsi="Calibri" w:eastAsia="宋体"/>
      <w:kern w:val="2"/>
      <w:sz w:val="21"/>
      <w:szCs w:val="22"/>
    </w:rPr>
  </w:style>
  <w:style w:type="character" w:customStyle="1" w:styleId="66">
    <w:name w:val="文档结构图 Char"/>
    <w:link w:val="15"/>
    <w:qFormat/>
    <w:uiPriority w:val="99"/>
    <w:rPr>
      <w:rFonts w:ascii="宋体" w:hAnsi="Calibri" w:eastAsia="宋体" w:cs="宋体"/>
      <w:kern w:val="2"/>
      <w:sz w:val="18"/>
      <w:szCs w:val="18"/>
    </w:rPr>
  </w:style>
  <w:style w:type="character" w:customStyle="1" w:styleId="67">
    <w:name w:val="批注文字 Char2"/>
    <w:link w:val="17"/>
    <w:qFormat/>
    <w:uiPriority w:val="0"/>
    <w:rPr>
      <w:rFonts w:eastAsia="宋体"/>
      <w:kern w:val="2"/>
      <w:sz w:val="21"/>
    </w:rPr>
  </w:style>
  <w:style w:type="character" w:customStyle="1" w:styleId="68">
    <w:name w:val="正文文本 3 Char"/>
    <w:link w:val="18"/>
    <w:qFormat/>
    <w:uiPriority w:val="0"/>
    <w:rPr>
      <w:rFonts w:ascii="宋体" w:hAnsi="Calibri" w:eastAsia="宋体"/>
      <w:kern w:val="2"/>
      <w:sz w:val="24"/>
    </w:rPr>
  </w:style>
  <w:style w:type="character" w:customStyle="1" w:styleId="69">
    <w:name w:val="正文文本 Char1"/>
    <w:link w:val="19"/>
    <w:qFormat/>
    <w:uiPriority w:val="0"/>
    <w:rPr>
      <w:rFonts w:eastAsia="宋体"/>
      <w:kern w:val="2"/>
      <w:sz w:val="21"/>
    </w:rPr>
  </w:style>
  <w:style w:type="character" w:customStyle="1" w:styleId="70">
    <w:name w:val="纯文本 Char"/>
    <w:link w:val="24"/>
    <w:qFormat/>
    <w:uiPriority w:val="0"/>
    <w:rPr>
      <w:rFonts w:ascii="宋体" w:hAnsi="Calibri" w:eastAsia="宋体"/>
      <w:kern w:val="2"/>
      <w:sz w:val="21"/>
      <w:szCs w:val="22"/>
    </w:rPr>
  </w:style>
  <w:style w:type="character" w:customStyle="1" w:styleId="71">
    <w:name w:val="日期 Char"/>
    <w:link w:val="26"/>
    <w:qFormat/>
    <w:uiPriority w:val="0"/>
    <w:rPr>
      <w:rFonts w:eastAsia="宋体"/>
      <w:kern w:val="2"/>
      <w:sz w:val="21"/>
    </w:rPr>
  </w:style>
  <w:style w:type="character" w:customStyle="1" w:styleId="72">
    <w:name w:val="正文文本缩进 2 Char"/>
    <w:link w:val="27"/>
    <w:qFormat/>
    <w:uiPriority w:val="0"/>
    <w:rPr>
      <w:rFonts w:ascii="Calibri" w:hAnsi="Calibri" w:eastAsia="宋体"/>
      <w:kern w:val="2"/>
      <w:sz w:val="21"/>
      <w:szCs w:val="22"/>
    </w:rPr>
  </w:style>
  <w:style w:type="character" w:customStyle="1" w:styleId="73">
    <w:name w:val="批注框文本 Char"/>
    <w:link w:val="28"/>
    <w:qFormat/>
    <w:uiPriority w:val="0"/>
    <w:rPr>
      <w:rFonts w:eastAsia="宋体"/>
      <w:kern w:val="2"/>
      <w:sz w:val="18"/>
    </w:rPr>
  </w:style>
  <w:style w:type="character" w:customStyle="1" w:styleId="74">
    <w:name w:val="页脚 Char"/>
    <w:link w:val="29"/>
    <w:qFormat/>
    <w:uiPriority w:val="99"/>
    <w:rPr>
      <w:rFonts w:ascii="Calibri" w:hAnsi="Calibri" w:eastAsia="宋体"/>
      <w:kern w:val="2"/>
      <w:sz w:val="18"/>
      <w:szCs w:val="22"/>
    </w:rPr>
  </w:style>
  <w:style w:type="character" w:customStyle="1" w:styleId="75">
    <w:name w:val="页眉 Char"/>
    <w:link w:val="30"/>
    <w:qFormat/>
    <w:uiPriority w:val="99"/>
    <w:rPr>
      <w:rFonts w:eastAsia="宋体"/>
      <w:kern w:val="2"/>
      <w:sz w:val="18"/>
    </w:rPr>
  </w:style>
  <w:style w:type="character" w:customStyle="1" w:styleId="76">
    <w:name w:val="副标题 Char"/>
    <w:link w:val="33"/>
    <w:qFormat/>
    <w:uiPriority w:val="11"/>
    <w:rPr>
      <w:rFonts w:ascii="Calibri Light" w:hAnsi="Calibri Light" w:eastAsia="宋体" w:cs="Times New Roman"/>
      <w:b/>
      <w:bCs/>
      <w:kern w:val="28"/>
      <w:sz w:val="32"/>
      <w:szCs w:val="32"/>
    </w:rPr>
  </w:style>
  <w:style w:type="character" w:customStyle="1" w:styleId="77">
    <w:name w:val="正文文本缩进 3 Char"/>
    <w:link w:val="36"/>
    <w:qFormat/>
    <w:uiPriority w:val="0"/>
    <w:rPr>
      <w:rFonts w:ascii="Calibri" w:hAnsi="Calibri" w:eastAsia="宋体"/>
      <w:kern w:val="2"/>
      <w:sz w:val="16"/>
      <w:szCs w:val="16"/>
    </w:rPr>
  </w:style>
  <w:style w:type="character" w:customStyle="1" w:styleId="78">
    <w:name w:val="正文文本 2 Char"/>
    <w:link w:val="39"/>
    <w:qFormat/>
    <w:uiPriority w:val="0"/>
    <w:rPr>
      <w:rFonts w:eastAsia="宋体"/>
      <w:kern w:val="2"/>
      <w:sz w:val="24"/>
      <w:szCs w:val="24"/>
    </w:rPr>
  </w:style>
  <w:style w:type="character" w:customStyle="1" w:styleId="79">
    <w:name w:val="标题 Char"/>
    <w:link w:val="42"/>
    <w:qFormat/>
    <w:uiPriority w:val="0"/>
    <w:rPr>
      <w:rFonts w:ascii="Arial" w:hAnsi="Arial" w:eastAsia="宋体"/>
      <w:b/>
      <w:sz w:val="32"/>
    </w:rPr>
  </w:style>
  <w:style w:type="character" w:customStyle="1" w:styleId="80">
    <w:name w:val="批注主题 Char"/>
    <w:link w:val="43"/>
    <w:qFormat/>
    <w:uiPriority w:val="0"/>
    <w:rPr>
      <w:rFonts w:eastAsia="宋体"/>
      <w:kern w:val="2"/>
      <w:sz w:val="21"/>
    </w:rPr>
  </w:style>
  <w:style w:type="character" w:customStyle="1" w:styleId="81">
    <w:name w:val="正文首行缩进 Char"/>
    <w:link w:val="44"/>
    <w:qFormat/>
    <w:uiPriority w:val="99"/>
    <w:rPr>
      <w:rFonts w:eastAsia="宋体"/>
      <w:kern w:val="2"/>
      <w:sz w:val="21"/>
      <w:szCs w:val="24"/>
      <w:lang w:val="en-US" w:eastAsia="zh-CN" w:bidi="ar-SA"/>
    </w:rPr>
  </w:style>
  <w:style w:type="paragraph" w:customStyle="1" w:styleId="82">
    <w:name w:val="_Style 3"/>
    <w:qFormat/>
    <w:uiPriority w:val="1"/>
    <w:pPr>
      <w:widowControl w:val="0"/>
      <w:jc w:val="both"/>
    </w:pPr>
    <w:rPr>
      <w:rFonts w:ascii="Calibri" w:hAnsi="Calibri" w:eastAsia="宋体" w:cs="Times New Roman"/>
      <w:kern w:val="2"/>
      <w:sz w:val="21"/>
      <w:szCs w:val="22"/>
      <w:lang w:val="en-US" w:eastAsia="zh-CN" w:bidi="ar-SA"/>
    </w:rPr>
  </w:style>
  <w:style w:type="character" w:customStyle="1" w:styleId="83">
    <w:name w:val="style_kwd"/>
    <w:qFormat/>
    <w:uiPriority w:val="0"/>
  </w:style>
  <w:style w:type="character" w:customStyle="1" w:styleId="84">
    <w:name w:val="批注文字 Char1"/>
    <w:qFormat/>
    <w:uiPriority w:val="0"/>
    <w:rPr>
      <w:rFonts w:ascii="Times New Roman" w:hAnsi="Times New Roman" w:eastAsia="宋体" w:cs="Times New Roman"/>
      <w:sz w:val="20"/>
      <w:szCs w:val="20"/>
      <w:lang w:bidi="ar-SA"/>
    </w:rPr>
  </w:style>
  <w:style w:type="character" w:customStyle="1" w:styleId="85">
    <w:name w:val="Comment Text Char"/>
    <w:qFormat/>
    <w:uiPriority w:val="0"/>
  </w:style>
  <w:style w:type="paragraph" w:customStyle="1" w:styleId="86">
    <w:name w:val="修订1"/>
    <w:qFormat/>
    <w:uiPriority w:val="99"/>
    <w:rPr>
      <w:rFonts w:ascii="Times New Roman" w:hAnsi="Times New Roman" w:eastAsia="宋体" w:cs="Times New Roman"/>
      <w:kern w:val="2"/>
      <w:sz w:val="21"/>
      <w:lang w:val="en-US" w:eastAsia="zh-CN" w:bidi="ar-SA"/>
    </w:rPr>
  </w:style>
  <w:style w:type="paragraph" w:customStyle="1" w:styleId="87">
    <w:name w:val="_Style 23"/>
    <w:basedOn w:val="1"/>
    <w:qFormat/>
    <w:uiPriority w:val="0"/>
    <w:pPr>
      <w:widowControl/>
      <w:spacing w:after="160" w:line="240" w:lineRule="exact"/>
      <w:jc w:val="left"/>
    </w:pPr>
  </w:style>
  <w:style w:type="paragraph" w:customStyle="1" w:styleId="88">
    <w:name w:val="TOC 标题1"/>
    <w:basedOn w:val="2"/>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89">
    <w:name w:val="font161"/>
    <w:qFormat/>
    <w:uiPriority w:val="0"/>
    <w:rPr>
      <w:b/>
      <w:bCs/>
      <w:sz w:val="32"/>
      <w:szCs w:val="32"/>
    </w:rPr>
  </w:style>
  <w:style w:type="character" w:customStyle="1" w:styleId="90">
    <w:name w:val="正文文本 Char"/>
    <w:qFormat/>
    <w:uiPriority w:val="0"/>
    <w:rPr>
      <w:rFonts w:eastAsia="宋体"/>
      <w:kern w:val="2"/>
      <w:sz w:val="21"/>
      <w:szCs w:val="24"/>
      <w:lang w:val="en-US" w:eastAsia="zh-CN" w:bidi="ar-SA"/>
    </w:rPr>
  </w:style>
  <w:style w:type="paragraph" w:customStyle="1" w:styleId="91">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92">
    <w:name w:val="Char"/>
    <w:basedOn w:val="1"/>
    <w:qFormat/>
    <w:uiPriority w:val="0"/>
    <w:pPr>
      <w:widowControl/>
      <w:spacing w:after="160" w:line="240" w:lineRule="exact"/>
      <w:jc w:val="left"/>
    </w:pPr>
    <w:rPr>
      <w:rFonts w:ascii="Verdana" w:hAnsi="Verdana"/>
      <w:kern w:val="0"/>
      <w:sz w:val="20"/>
      <w:szCs w:val="20"/>
      <w:lang w:eastAsia="en-US"/>
    </w:rPr>
  </w:style>
  <w:style w:type="paragraph" w:styleId="93">
    <w:name w:val="List Paragraph"/>
    <w:basedOn w:val="1"/>
    <w:qFormat/>
    <w:uiPriority w:val="34"/>
    <w:pPr>
      <w:ind w:firstLine="420" w:firstLineChars="200"/>
    </w:pPr>
  </w:style>
  <w:style w:type="character" w:customStyle="1" w:styleId="94">
    <w:name w:val="正文首行缩进 Char1"/>
    <w:qFormat/>
    <w:uiPriority w:val="99"/>
    <w:rPr>
      <w:rFonts w:eastAsia="宋体"/>
      <w:kern w:val="2"/>
      <w:sz w:val="21"/>
    </w:rPr>
  </w:style>
  <w:style w:type="paragraph" w:customStyle="1" w:styleId="95">
    <w:name w:val="我的正文"/>
    <w:basedOn w:val="1"/>
    <w:qFormat/>
    <w:uiPriority w:val="0"/>
    <w:rPr>
      <w:rFonts w:ascii="宋体" w:hAnsi="宋体"/>
      <w:sz w:val="24"/>
      <w:szCs w:val="24"/>
    </w:rPr>
  </w:style>
  <w:style w:type="paragraph" w:customStyle="1" w:styleId="9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97">
    <w:name w:val="样式2"/>
    <w:basedOn w:val="4"/>
    <w:qFormat/>
    <w:uiPriority w:val="0"/>
    <w:pPr>
      <w:spacing w:line="415" w:lineRule="auto"/>
      <w:ind w:firstLine="137"/>
    </w:pPr>
    <w:rPr>
      <w:rFonts w:hAnsi="Times New Roman"/>
      <w:bCs/>
      <w:i/>
      <w:szCs w:val="28"/>
    </w:rPr>
  </w:style>
  <w:style w:type="paragraph" w:customStyle="1" w:styleId="98">
    <w:name w:val="Char1"/>
    <w:basedOn w:val="1"/>
    <w:qFormat/>
    <w:uiPriority w:val="0"/>
    <w:pPr>
      <w:tabs>
        <w:tab w:val="left" w:pos="360"/>
      </w:tabs>
    </w:pPr>
    <w:rPr>
      <w:rFonts w:ascii="Times New Roman" w:hAnsi="Times New Roman"/>
      <w:sz w:val="24"/>
      <w:szCs w:val="20"/>
    </w:rPr>
  </w:style>
  <w:style w:type="paragraph" w:customStyle="1" w:styleId="99">
    <w:name w:val="修订11"/>
    <w:qFormat/>
    <w:uiPriority w:val="0"/>
    <w:rPr>
      <w:rFonts w:ascii="Times New Roman" w:hAnsi="Times New Roman" w:eastAsia="宋体" w:cs="Times New Roman"/>
      <w:kern w:val="2"/>
      <w:sz w:val="21"/>
      <w:szCs w:val="24"/>
      <w:lang w:val="en-US" w:eastAsia="zh-CN" w:bidi="ar-SA"/>
    </w:rPr>
  </w:style>
  <w:style w:type="paragraph" w:customStyle="1" w:styleId="100">
    <w:name w:val="样式1"/>
    <w:basedOn w:val="1"/>
    <w:next w:val="5"/>
    <w:link w:val="101"/>
    <w:qFormat/>
    <w:uiPriority w:val="0"/>
    <w:pPr>
      <w:spacing w:line="360" w:lineRule="auto"/>
      <w:ind w:firstLine="420" w:firstLineChars="200"/>
    </w:pPr>
    <w:rPr>
      <w:rFonts w:ascii="宋体" w:hAnsi="宋体"/>
      <w:szCs w:val="21"/>
    </w:rPr>
  </w:style>
  <w:style w:type="character" w:customStyle="1" w:styleId="101">
    <w:name w:val="样式1 Char"/>
    <w:link w:val="100"/>
    <w:qFormat/>
    <w:uiPriority w:val="0"/>
    <w:rPr>
      <w:rFonts w:ascii="宋体" w:hAnsi="宋体" w:eastAsia="宋体"/>
      <w:kern w:val="2"/>
      <w:sz w:val="21"/>
      <w:szCs w:val="21"/>
    </w:rPr>
  </w:style>
  <w:style w:type="paragraph" w:customStyle="1" w:styleId="102">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03">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104">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105">
    <w:name w:val="1"/>
    <w:basedOn w:val="1"/>
    <w:qFormat/>
    <w:uiPriority w:val="0"/>
    <w:rPr>
      <w:rFonts w:ascii="Times New Roman" w:hAnsi="Times New Roman"/>
      <w:szCs w:val="20"/>
    </w:rPr>
  </w:style>
  <w:style w:type="paragraph" w:customStyle="1" w:styleId="106">
    <w:name w:val="表格"/>
    <w:basedOn w:val="1"/>
    <w:qFormat/>
    <w:uiPriority w:val="0"/>
    <w:pPr>
      <w:jc w:val="center"/>
      <w:textAlignment w:val="center"/>
    </w:pPr>
    <w:rPr>
      <w:rFonts w:ascii="华文细黑" w:hAnsi="华文细黑"/>
      <w:kern w:val="0"/>
      <w:szCs w:val="20"/>
    </w:rPr>
  </w:style>
  <w:style w:type="paragraph" w:customStyle="1" w:styleId="107">
    <w:name w:val="修订2"/>
    <w:qFormat/>
    <w:uiPriority w:val="0"/>
    <w:rPr>
      <w:rFonts w:ascii="Times New Roman" w:hAnsi="Times New Roman" w:eastAsia="宋体" w:cs="Times New Roman"/>
      <w:kern w:val="2"/>
      <w:sz w:val="21"/>
      <w:szCs w:val="24"/>
      <w:lang w:val="en-US" w:eastAsia="zh-CN" w:bidi="ar-SA"/>
    </w:rPr>
  </w:style>
  <w:style w:type="paragraph" w:customStyle="1" w:styleId="10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09">
    <w:name w:val="Table Paragraph"/>
    <w:basedOn w:val="1"/>
    <w:unhideWhenUsed/>
    <w:qFormat/>
    <w:uiPriority w:val="99"/>
    <w:pPr>
      <w:widowControl/>
    </w:pPr>
    <w:rPr>
      <w:rFonts w:hint="eastAsia" w:ascii="Times New Roman" w:hAnsi="Times New Roman"/>
      <w:szCs w:val="20"/>
    </w:rPr>
  </w:style>
  <w:style w:type="paragraph" w:customStyle="1" w:styleId="110">
    <w:name w:val="表中"/>
    <w:basedOn w:val="1"/>
    <w:qFormat/>
    <w:uiPriority w:val="0"/>
    <w:pPr>
      <w:adjustRightInd w:val="0"/>
      <w:spacing w:line="360" w:lineRule="atLeast"/>
      <w:jc w:val="center"/>
      <w:textAlignment w:val="baseline"/>
    </w:pPr>
    <w:rPr>
      <w:rFonts w:ascii="Times New Roman" w:hAnsi="Times New Roman"/>
      <w:kern w:val="0"/>
      <w:szCs w:val="20"/>
    </w:rPr>
  </w:style>
  <w:style w:type="character" w:customStyle="1" w:styleId="111">
    <w:name w:val="文一 Char"/>
    <w:link w:val="112"/>
    <w:qFormat/>
    <w:locked/>
    <w:uiPriority w:val="0"/>
    <w:rPr>
      <w:spacing w:val="4"/>
      <w:sz w:val="24"/>
      <w:szCs w:val="24"/>
    </w:rPr>
  </w:style>
  <w:style w:type="paragraph" w:customStyle="1" w:styleId="112">
    <w:name w:val="文一"/>
    <w:basedOn w:val="1"/>
    <w:link w:val="111"/>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113">
    <w:name w:val="文二"/>
    <w:basedOn w:val="1"/>
    <w:qFormat/>
    <w:uiPriority w:val="0"/>
    <w:pPr>
      <w:jc w:val="left"/>
    </w:pPr>
    <w:rPr>
      <w:rFonts w:ascii="宋体" w:hAnsi="宋体"/>
      <w:szCs w:val="21"/>
    </w:rPr>
  </w:style>
  <w:style w:type="paragraph" w:customStyle="1" w:styleId="114">
    <w:name w:val="TOC 标题11"/>
    <w:basedOn w:val="2"/>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115">
    <w:name w:val="文档结构图 字符"/>
    <w:qFormat/>
    <w:uiPriority w:val="99"/>
    <w:rPr>
      <w:kern w:val="2"/>
      <w:sz w:val="21"/>
      <w:szCs w:val="24"/>
      <w:shd w:val="clear" w:color="auto" w:fill="000080"/>
    </w:rPr>
  </w:style>
  <w:style w:type="character" w:customStyle="1" w:styleId="116">
    <w:name w:val="正文文本 3 字符"/>
    <w:qFormat/>
    <w:uiPriority w:val="0"/>
    <w:rPr>
      <w:kern w:val="2"/>
      <w:sz w:val="16"/>
      <w:szCs w:val="16"/>
    </w:rPr>
  </w:style>
  <w:style w:type="paragraph" w:customStyle="1" w:styleId="117">
    <w:name w:val="p0"/>
    <w:basedOn w:val="1"/>
    <w:qFormat/>
    <w:uiPriority w:val="0"/>
    <w:pPr>
      <w:widowControl/>
      <w:spacing w:line="360" w:lineRule="auto"/>
      <w:jc w:val="left"/>
    </w:pPr>
    <w:rPr>
      <w:rFonts w:ascii="Times New Roman" w:hAnsi="Times New Roman"/>
      <w:kern w:val="0"/>
      <w:sz w:val="24"/>
      <w:szCs w:val="21"/>
    </w:rPr>
  </w:style>
  <w:style w:type="paragraph" w:customStyle="1" w:styleId="118">
    <w:name w:val="目录文字"/>
    <w:basedOn w:val="1"/>
    <w:qFormat/>
    <w:uiPriority w:val="0"/>
    <w:pPr>
      <w:widowControl/>
      <w:spacing w:line="480" w:lineRule="auto"/>
      <w:jc w:val="left"/>
    </w:pPr>
    <w:rPr>
      <w:rFonts w:ascii="宋体" w:hAnsi="宋体"/>
      <w:kern w:val="0"/>
      <w:sz w:val="24"/>
      <w:szCs w:val="20"/>
    </w:rPr>
  </w:style>
  <w:style w:type="paragraph" w:customStyle="1" w:styleId="119">
    <w:name w:val="charchar20"/>
    <w:basedOn w:val="1"/>
    <w:qFormat/>
    <w:uiPriority w:val="0"/>
    <w:pPr>
      <w:widowControl/>
      <w:spacing w:after="160" w:line="240" w:lineRule="atLeast"/>
      <w:jc w:val="left"/>
    </w:pPr>
    <w:rPr>
      <w:rFonts w:ascii="Verdana" w:hAnsi="Verdana" w:cs="宋体"/>
      <w:kern w:val="0"/>
      <w:sz w:val="24"/>
      <w:szCs w:val="24"/>
    </w:rPr>
  </w:style>
  <w:style w:type="character" w:customStyle="1" w:styleId="120">
    <w:name w:val="纯文本 Char1"/>
    <w:semiHidden/>
    <w:qFormat/>
    <w:uiPriority w:val="99"/>
    <w:rPr>
      <w:rFonts w:ascii="宋体" w:hAnsi="Courier New" w:eastAsia="宋体" w:cs="Courier New"/>
      <w:szCs w:val="21"/>
    </w:rPr>
  </w:style>
  <w:style w:type="paragraph" w:customStyle="1" w:styleId="121">
    <w:name w:val="text"/>
    <w:basedOn w:val="1"/>
    <w:qFormat/>
    <w:uiPriority w:val="0"/>
    <w:pPr>
      <w:widowControl/>
      <w:spacing w:before="100" w:beforeAutospacing="1" w:after="100" w:afterAutospacing="1" w:line="312" w:lineRule="auto"/>
      <w:jc w:val="left"/>
    </w:pPr>
    <w:rPr>
      <w:rFonts w:ascii="ˎ̥" w:hAnsi="ˎ̥" w:cs="宋体"/>
      <w:color w:val="333333"/>
      <w:kern w:val="0"/>
      <w:sz w:val="18"/>
      <w:szCs w:val="18"/>
    </w:rPr>
  </w:style>
  <w:style w:type="paragraph" w:customStyle="1" w:styleId="122">
    <w:name w:val="自定义标题１"/>
    <w:basedOn w:val="4"/>
    <w:qFormat/>
    <w:uiPriority w:val="0"/>
    <w:pPr>
      <w:numPr>
        <w:ilvl w:val="0"/>
        <w:numId w:val="1"/>
      </w:numPr>
      <w:spacing w:before="100" w:beforeAutospacing="1" w:after="100" w:afterAutospacing="1" w:line="240" w:lineRule="auto"/>
      <w:ind w:firstLine="0" w:firstLineChars="0"/>
    </w:pPr>
    <w:rPr>
      <w:rFonts w:ascii="Times New Roman" w:hAnsi="Times New Roman" w:eastAsia="宋体"/>
      <w:bCs/>
      <w:sz w:val="24"/>
      <w:szCs w:val="32"/>
    </w:rPr>
  </w:style>
  <w:style w:type="paragraph" w:customStyle="1" w:styleId="123">
    <w:name w:val="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4">
    <w:name w:val="a"/>
    <w:basedOn w:val="1"/>
    <w:qFormat/>
    <w:uiPriority w:val="0"/>
    <w:pPr>
      <w:widowControl/>
      <w:spacing w:line="480" w:lineRule="auto"/>
      <w:jc w:val="left"/>
    </w:pPr>
    <w:rPr>
      <w:rFonts w:ascii="宋体" w:hAnsi="宋体" w:cs="宋体"/>
      <w:kern w:val="0"/>
      <w:sz w:val="24"/>
      <w:szCs w:val="24"/>
    </w:rPr>
  </w:style>
  <w:style w:type="paragraph" w:customStyle="1" w:styleId="125">
    <w:name w:val="charchar2"/>
    <w:basedOn w:val="1"/>
    <w:qFormat/>
    <w:uiPriority w:val="0"/>
    <w:pPr>
      <w:widowControl/>
      <w:spacing w:after="160" w:line="240" w:lineRule="atLeast"/>
      <w:jc w:val="left"/>
    </w:pPr>
    <w:rPr>
      <w:rFonts w:ascii="Verdana" w:hAnsi="Verdana" w:cs="宋体"/>
      <w:kern w:val="0"/>
      <w:sz w:val="24"/>
      <w:szCs w:val="24"/>
    </w:rPr>
  </w:style>
  <w:style w:type="paragraph" w:customStyle="1" w:styleId="126">
    <w:name w:val="副标题1"/>
    <w:basedOn w:val="1"/>
    <w:next w:val="1"/>
    <w:qFormat/>
    <w:uiPriority w:val="11"/>
    <w:pPr>
      <w:spacing w:before="240" w:after="60" w:line="312" w:lineRule="auto"/>
      <w:jc w:val="center"/>
      <w:outlineLvl w:val="1"/>
    </w:pPr>
    <w:rPr>
      <w:rFonts w:ascii="Calibri Light" w:hAnsi="Calibri Light"/>
      <w:b/>
      <w:bCs/>
      <w:kern w:val="28"/>
      <w:sz w:val="32"/>
      <w:szCs w:val="32"/>
    </w:rPr>
  </w:style>
  <w:style w:type="paragraph" w:customStyle="1" w:styleId="127">
    <w:name w:val="Char Char Char Char Char Char Char Char Char Char Char Char Char Char Char Char Char Char Char"/>
    <w:basedOn w:val="1"/>
    <w:qFormat/>
    <w:uiPriority w:val="0"/>
    <w:pPr>
      <w:widowControl/>
      <w:spacing w:after="160" w:line="240" w:lineRule="exact"/>
      <w:jc w:val="left"/>
    </w:pPr>
    <w:rPr>
      <w:rFonts w:ascii="宋体" w:hAnsi="宋体"/>
      <w:sz w:val="28"/>
      <w:szCs w:val="20"/>
    </w:rPr>
  </w:style>
  <w:style w:type="table" w:customStyle="1" w:styleId="128">
    <w:name w:val="网格型1"/>
    <w:basedOn w:val="4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9">
    <w:name w:val="副标题 Char1"/>
    <w:qFormat/>
    <w:uiPriority w:val="0"/>
    <w:rPr>
      <w:rFonts w:ascii="Cambria" w:hAnsi="Cambria" w:eastAsia="宋体" w:cs="Times New Roman"/>
      <w:b/>
      <w:bCs/>
      <w:kern w:val="28"/>
      <w:sz w:val="32"/>
      <w:szCs w:val="32"/>
    </w:rPr>
  </w:style>
  <w:style w:type="character" w:customStyle="1" w:styleId="130">
    <w:name w:val="批注文字 字符1"/>
    <w:qFormat/>
    <w:uiPriority w:val="0"/>
    <w:rPr>
      <w:kern w:val="2"/>
      <w:sz w:val="21"/>
      <w:szCs w:val="24"/>
    </w:rPr>
  </w:style>
  <w:style w:type="character" w:customStyle="1" w:styleId="131">
    <w:name w:val="批注文字 Char"/>
    <w:qFormat/>
    <w:uiPriority w:val="0"/>
    <w:rPr>
      <w:kern w:val="2"/>
      <w:sz w:val="21"/>
    </w:rPr>
  </w:style>
  <w:style w:type="paragraph" w:customStyle="1" w:styleId="132">
    <w:name w:val="字元 字元 Char Char Char Char"/>
    <w:basedOn w:val="1"/>
    <w:qFormat/>
    <w:uiPriority w:val="0"/>
    <w:pPr>
      <w:widowControl/>
      <w:spacing w:after="160" w:line="240" w:lineRule="exact"/>
      <w:jc w:val="left"/>
    </w:pPr>
    <w:rPr>
      <w:rFonts w:ascii="Verdana" w:hAnsi="Verdana" w:eastAsia="Times New Roman"/>
      <w:kern w:val="0"/>
      <w:sz w:val="20"/>
      <w:szCs w:val="20"/>
      <w:lang w:eastAsia="en-US"/>
    </w:rPr>
  </w:style>
  <w:style w:type="paragraph" w:customStyle="1" w:styleId="133">
    <w:name w:val="章节二"/>
    <w:basedOn w:val="1"/>
    <w:next w:val="1"/>
    <w:qFormat/>
    <w:uiPriority w:val="0"/>
    <w:pPr>
      <w:topLinePunct/>
      <w:adjustRightInd w:val="0"/>
      <w:snapToGrid w:val="0"/>
      <w:spacing w:beforeLines="50" w:afterLines="50"/>
      <w:jc w:val="center"/>
      <w:outlineLvl w:val="1"/>
    </w:pPr>
    <w:rPr>
      <w:rFonts w:eastAsia="黑体" w:cs="Calibri"/>
      <w:b/>
      <w:spacing w:val="4"/>
      <w:kern w:val="0"/>
      <w:sz w:val="30"/>
      <w:szCs w:val="30"/>
    </w:rPr>
  </w:style>
  <w:style w:type="paragraph" w:customStyle="1" w:styleId="134">
    <w:name w:val="WPSOffice手动目录 1"/>
    <w:qFormat/>
    <w:uiPriority w:val="0"/>
    <w:rPr>
      <w:rFonts w:ascii="Times New Roman" w:hAnsi="Times New Roman" w:eastAsia="宋体" w:cs="Times New Roman"/>
      <w:lang w:val="en-US" w:eastAsia="zh-CN" w:bidi="ar-SA"/>
    </w:rPr>
  </w:style>
  <w:style w:type="paragraph" w:customStyle="1" w:styleId="135">
    <w:name w:val="正文文本 31"/>
    <w:basedOn w:val="1"/>
    <w:qFormat/>
    <w:uiPriority w:val="0"/>
    <w:rPr>
      <w:rFonts w:ascii="宋体"/>
      <w:sz w:val="24"/>
      <w:szCs w:val="20"/>
    </w:rPr>
  </w:style>
  <w:style w:type="paragraph" w:customStyle="1" w:styleId="136">
    <w:name w:val="章节三"/>
    <w:basedOn w:val="1"/>
    <w:next w:val="1"/>
    <w:qFormat/>
    <w:uiPriority w:val="0"/>
    <w:pPr>
      <w:topLinePunct/>
      <w:adjustRightInd w:val="0"/>
      <w:snapToGrid w:val="0"/>
      <w:spacing w:beforeLines="50" w:afterLines="50"/>
      <w:jc w:val="left"/>
      <w:outlineLvl w:val="2"/>
    </w:pPr>
    <w:rPr>
      <w:rFonts w:ascii="黑体" w:hAnsi="宋体" w:eastAsia="黑体"/>
      <w:b/>
      <w:snapToGrid w:val="0"/>
      <w:spacing w:val="4"/>
      <w:kern w:val="0"/>
      <w:sz w:val="24"/>
      <w:szCs w:val="24"/>
    </w:rPr>
  </w:style>
  <w:style w:type="paragraph" w:customStyle="1" w:styleId="137">
    <w:name w:val="Revision"/>
    <w:unhideWhenUsed/>
    <w:qFormat/>
    <w:uiPriority w:val="99"/>
    <w:rPr>
      <w:rFonts w:ascii="Calibri" w:hAnsi="Calibri" w:eastAsia="宋体" w:cs="Times New Roman"/>
      <w:kern w:val="2"/>
      <w:sz w:val="21"/>
      <w:szCs w:val="22"/>
      <w:lang w:val="en-US" w:eastAsia="zh-CN" w:bidi="ar-SA"/>
    </w:rPr>
  </w:style>
  <w:style w:type="paragraph" w:customStyle="1" w:styleId="138">
    <w:name w:val="样式 宋体 行距: 1.5 倍行距"/>
    <w:basedOn w:val="1"/>
    <w:qFormat/>
    <w:uiPriority w:val="0"/>
    <w:pPr>
      <w:jc w:val="center"/>
    </w:pPr>
    <w:rPr>
      <w:b/>
    </w:rPr>
  </w:style>
  <w:style w:type="paragraph" w:styleId="139">
    <w:name w:val="No Spacing"/>
    <w:qFormat/>
    <w:uiPriority w:val="1"/>
    <w:pPr>
      <w:widowControl w:val="0"/>
      <w:jc w:val="both"/>
    </w:pPr>
    <w:rPr>
      <w:rFonts w:ascii="Times New Roman" w:hAnsi="Times New Roman"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57</Pages>
  <Words>19617</Words>
  <Characters>20729</Characters>
  <Lines>201</Lines>
  <Paragraphs>56</Paragraphs>
  <TotalTime>18</TotalTime>
  <ScaleCrop>false</ScaleCrop>
  <LinksUpToDate>false</LinksUpToDate>
  <CharactersWithSpaces>20956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2025-01-10T11:11:00Z</dcterms:created>
  <dc:creator>袁静</dc:creator>
  <cp:lastModifiedBy>user</cp:lastModifiedBy>
  <cp:lastPrinted>2025-01-16T09:10:00Z</cp:lastPrinted>
  <dcterms:modified xsi:type="dcterms:W3CDTF">2025-04-10T06:29:49Z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81D6A82662544A08B06B8D9A8FA520E3_13</vt:lpwstr>
  </property>
  <property fmtid="{D5CDD505-2E9C-101B-9397-08002B2CF9AE}" pid="4" name="KSOTemplateDocerSaveRecord">
    <vt:lpwstr>eyJoZGlkIjoiNDc3NGYxN2Y3ZDAzNzczOWU5MDVlMWEwMmM4MDMxOTUiLCJ1c2VySWQiOiI5NDU4MjY5ODYifQ==</vt:lpwstr>
  </property>
</Properties>
</file>