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6E5485">
      <w:pPr>
        <w:spacing w:line="360" w:lineRule="auto"/>
        <w:jc w:val="center"/>
        <w:outlineLvl w:val="1"/>
        <w:rPr>
          <w:rFonts w:hint="eastAsia" w:ascii="黑体" w:hAnsi="黑体" w:eastAsia="黑体"/>
          <w:color w:val="000000" w:themeColor="text1"/>
          <w:sz w:val="32"/>
          <w:szCs w:val="27"/>
          <w14:textFill>
            <w14:solidFill>
              <w14:schemeClr w14:val="tx1"/>
            </w14:solidFill>
          </w14:textFill>
        </w:rPr>
      </w:pPr>
      <w:bookmarkStart w:id="14" w:name="_GoBack"/>
      <w:bookmarkEnd w:id="14"/>
      <w:bookmarkStart w:id="0" w:name="_Toc259524409"/>
      <w:bookmarkStart w:id="1" w:name="_Toc17556957"/>
      <w:bookmarkStart w:id="2" w:name="_Toc17452690"/>
      <w:bookmarkStart w:id="3" w:name="_Toc17451604"/>
      <w:bookmarkStart w:id="4" w:name="_Toc88928077"/>
      <w:bookmarkStart w:id="5" w:name="_Toc17454897"/>
      <w:bookmarkStart w:id="6" w:name="_Toc17451127"/>
      <w:bookmarkStart w:id="7" w:name="_Toc17454948"/>
      <w:bookmarkStart w:id="8" w:name="_Toc17451649"/>
      <w:bookmarkStart w:id="9" w:name="_Toc17556902"/>
      <w:r>
        <w:rPr>
          <w:rFonts w:hint="eastAsia" w:ascii="黑体" w:hAnsi="黑体" w:eastAsia="黑体"/>
          <w:color w:val="000000" w:themeColor="text1"/>
          <w:sz w:val="32"/>
          <w:szCs w:val="27"/>
          <w14:textFill>
            <w14:solidFill>
              <w14:schemeClr w14:val="tx1"/>
            </w14:solidFill>
          </w14:textFill>
        </w:rPr>
        <w:t>第七章 技术标准和要求</w:t>
      </w:r>
      <w:bookmarkEnd w:id="0"/>
      <w:r>
        <w:rPr>
          <w:rFonts w:hint="eastAsia" w:ascii="黑体" w:hAnsi="黑体" w:eastAsia="黑体"/>
          <w:color w:val="000000" w:themeColor="text1"/>
          <w:sz w:val="32"/>
          <w:szCs w:val="27"/>
          <w14:textFill>
            <w14:solidFill>
              <w14:schemeClr w14:val="tx1"/>
            </w14:solidFill>
          </w14:textFill>
        </w:rPr>
        <w:t>（合同技术条款）</w:t>
      </w:r>
      <w:bookmarkEnd w:id="1"/>
      <w:bookmarkEnd w:id="2"/>
      <w:bookmarkEnd w:id="3"/>
      <w:bookmarkEnd w:id="4"/>
      <w:bookmarkEnd w:id="5"/>
      <w:bookmarkEnd w:id="6"/>
      <w:bookmarkEnd w:id="7"/>
      <w:bookmarkEnd w:id="8"/>
      <w:bookmarkEnd w:id="9"/>
    </w:p>
    <w:p w14:paraId="08D047B0">
      <w:pPr>
        <w:spacing w:line="360" w:lineRule="auto"/>
        <w:jc w:val="center"/>
        <w:rPr>
          <w:rFonts w:hint="eastAsia" w:ascii="宋体" w:hAnsi="宋体"/>
          <w:b/>
          <w:bCs/>
          <w:color w:val="000000" w:themeColor="text1"/>
          <w:sz w:val="36"/>
          <w:szCs w:val="36"/>
          <w14:textFill>
            <w14:solidFill>
              <w14:schemeClr w14:val="tx1"/>
            </w14:solidFill>
          </w14:textFill>
        </w:rPr>
      </w:pPr>
      <w:bookmarkStart w:id="10" w:name="_Toc434853565"/>
      <w:r>
        <w:rPr>
          <w:rFonts w:hint="eastAsia" w:ascii="宋体" w:hAnsi="宋体"/>
          <w:b/>
          <w:bCs/>
          <w:color w:val="000000" w:themeColor="text1"/>
          <w:sz w:val="36"/>
          <w:szCs w:val="36"/>
          <w14:textFill>
            <w14:solidFill>
              <w14:schemeClr w14:val="tx1"/>
            </w14:solidFill>
          </w14:textFill>
        </w:rPr>
        <w:t>工程技术标准</w:t>
      </w:r>
    </w:p>
    <w:p w14:paraId="1E017B56">
      <w:pPr>
        <w:spacing w:line="360" w:lineRule="auto"/>
        <w:jc w:val="center"/>
        <w:rPr>
          <w:rFonts w:hint="eastAsia" w:ascii="宋体" w:hAnsi="宋体"/>
          <w:b/>
          <w:bCs/>
          <w:color w:val="000000" w:themeColor="text1"/>
          <w:sz w:val="36"/>
          <w:szCs w:val="36"/>
          <w14:textFill>
            <w14:solidFill>
              <w14:schemeClr w14:val="tx1"/>
            </w14:solidFill>
          </w14:textFill>
        </w:rPr>
      </w:pPr>
    </w:p>
    <w:bookmarkEnd w:id="10"/>
    <w:p w14:paraId="68E77C08">
      <w:pPr>
        <w:spacing w:line="360" w:lineRule="auto"/>
        <w:jc w:val="center"/>
        <w:rPr>
          <w:rFonts w:hint="eastAsia" w:ascii="宋体" w:hAnsi="宋体"/>
          <w:b/>
          <w:bCs/>
          <w:color w:val="000000" w:themeColor="text1"/>
          <w:sz w:val="30"/>
          <w:szCs w:val="30"/>
          <w14:textFill>
            <w14:solidFill>
              <w14:schemeClr w14:val="tx1"/>
            </w14:solidFill>
          </w14:textFill>
        </w:rPr>
      </w:pPr>
      <w:bookmarkStart w:id="11" w:name="OLE_LINK4"/>
      <w:r>
        <w:rPr>
          <w:rFonts w:hint="eastAsia" w:ascii="宋体" w:hAnsi="宋体"/>
          <w:b/>
          <w:bCs/>
          <w:color w:val="000000" w:themeColor="text1"/>
          <w:sz w:val="30"/>
          <w:szCs w:val="30"/>
          <w14:textFill>
            <w14:solidFill>
              <w14:schemeClr w14:val="tx1"/>
            </w14:solidFill>
          </w14:textFill>
        </w:rPr>
        <w:t>第一部分 材料管理标准</w:t>
      </w:r>
    </w:p>
    <w:p w14:paraId="31DA9156">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 本工程使用的工程材料，须有建材质检部门的产品合格证、生产许可证及出厂合格证的优等品。</w:t>
      </w:r>
    </w:p>
    <w:bookmarkEnd w:id="11"/>
    <w:p w14:paraId="3C18D274">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2.本工程使用商品混凝土及商品砂浆。</w:t>
      </w:r>
    </w:p>
    <w:p w14:paraId="699F3E15">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本工程使用的钢筋、水泥、球墨铸铁防盗井盖、排水管等重点工程材料，订货前，承包人应提供生产厂家的合格证书及试验报告，并由发包人到现场检验核实后方能订货，主要装饰材料须提供样板并经发包人及监理单位确认，符合工程要求，方可使用。如发生货不对板，发包人及监理单位有权拒用，并由承包人承担损失。</w:t>
      </w:r>
    </w:p>
    <w:p w14:paraId="081F17DF">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管材、井环、井盖到达工地现场后，由监理单位抽样（抽样率执行相关规定，且不得低于1%）到发包人委托的具有国家认证的检测机构进行检验，检验合格方可采用；电气设备、自控设备必须经调试合格，并符合使用要求，运行满2年后方作保修期满确认，否则整改至符合发包人要求为止。</w:t>
      </w:r>
    </w:p>
    <w:p w14:paraId="1E334259">
      <w:pPr>
        <w:spacing w:line="360" w:lineRule="auto"/>
        <w:jc w:val="center"/>
        <w:rPr>
          <w:rFonts w:hint="eastAsia" w:ascii="宋体" w:hAnsi="宋体"/>
          <w:color w:val="000000" w:themeColor="text1"/>
          <w:sz w:val="24"/>
          <w:szCs w:val="24"/>
          <w14:textFill>
            <w14:solidFill>
              <w14:schemeClr w14:val="tx1"/>
            </w14:solidFill>
          </w14:textFill>
        </w:rPr>
      </w:pPr>
    </w:p>
    <w:p w14:paraId="4CF2841A">
      <w:pPr>
        <w:spacing w:line="360" w:lineRule="auto"/>
        <w:jc w:val="center"/>
        <w:rPr>
          <w:rFonts w:hint="eastAsia"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第二部分  路面施工技术要求</w:t>
      </w:r>
    </w:p>
    <w:p w14:paraId="090EAF29">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手续办理：承包人在申请开挖、利用权属公路和市政道路部门该段公路前，协助发包人到区行政审批中心或相关权属部门申请并办理相关手续。涉及开挖、利用部分城镇和乡村所属产权的道路及道路两侧构建物、农田、农用地和水道等，由承包人自行负责联系有关单位商定解决。</w:t>
      </w:r>
    </w:p>
    <w:p w14:paraId="24DEEF20">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2．技术要求：</w:t>
      </w:r>
    </w:p>
    <w:p w14:paraId="0A89F829">
      <w:pPr>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（1）开挖水泥混凝土路面时，应使用电锯等先进技术切割。减少用气锤击打方式开挖路面。</w:t>
      </w:r>
    </w:p>
    <w:p w14:paraId="22529D91">
      <w:pPr>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（2）沥青砼路面应满足《城镇道路路面设计规范》CJJ169-2012、《公路沥青路面施工技术规范》JTG F40-2004要求。</w:t>
      </w:r>
    </w:p>
    <w:p w14:paraId="1C1A2A30">
      <w:pPr>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（3）基层施工要满足《公路路面基层施工技术细则》（JTG/TF20-2015）要求。</w:t>
      </w:r>
    </w:p>
    <w:p w14:paraId="35470B59">
      <w:pPr>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（4）雨季施工应特别注意天气变化，勿使水泥和混合料遭雨淋。降雨时应停止施工，但已经摊铺的混合料应尽快碾压密实。</w:t>
      </w:r>
    </w:p>
    <w:p w14:paraId="0D83085A">
      <w:pPr>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（5）应严格控制基层厚度和高程，其路拱横坡应与面层一致。</w:t>
      </w:r>
    </w:p>
    <w:p w14:paraId="42EC053A">
      <w:pPr>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（6）水稳基层应采用12t以上的压路机分层碾压，压实厚度满足规范要求。</w:t>
      </w:r>
    </w:p>
    <w:p w14:paraId="39D9553D">
      <w:pPr>
        <w:spacing w:before="120"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（7）基层中碎石要求压碎值不大于30%。</w:t>
      </w:r>
    </w:p>
    <w:p w14:paraId="55E7C3BA">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3．施工方案报批及安全责任：为确保施工期间的道路安全畅通 ，承包人应向发包人及路产所属部门申报施工方案，待批复后方可展开施工。承包人施工路段必须具备的主要安全措施包括但不限于如下：</w:t>
      </w:r>
    </w:p>
    <w:p w14:paraId="03E35B9F">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（1）在施工路段按道路交通标志和标线 第4部分：作业区（GB 5768.4-2017）设置施工告示标志（夜间放光型），并在夜间悬挂红灯。</w:t>
      </w:r>
    </w:p>
    <w:p w14:paraId="742B3A19">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（2）在施工围蔽范围外严禁占道施工和在行车道上堆放石块、木头、挖掘坑槽等障碍物。</w:t>
      </w:r>
    </w:p>
    <w:p w14:paraId="6AD62E2A">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（3）分段施工时，应保证交通顺畅。在施工较长路段，应派专人指挥疏导交通。</w:t>
      </w:r>
    </w:p>
    <w:p w14:paraId="071A5E32">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（4）应采取围蔽等交通施工措施，防止施工人员随意穿行道路和泥沙污染行车路面。开挖及防护方案应确保未受影响道路的安全使用。</w:t>
      </w:r>
    </w:p>
    <w:p w14:paraId="6D97C0FD">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（5）施工展开前，注意探明并保护好原有地下管线设施。如因施工管理不善引发各类安全事故，由承包人承担全部经济赔偿责任及相应的法律责任。</w:t>
      </w:r>
    </w:p>
    <w:p w14:paraId="446B2D2A">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4．路面修复标准：</w:t>
      </w:r>
    </w:p>
    <w:p w14:paraId="514FF2E8">
      <w:p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引用标准</w:t>
      </w:r>
    </w:p>
    <w:p w14:paraId="59F4CEFA">
      <w:pPr>
        <w:numPr>
          <w:ilvl w:val="0"/>
          <w:numId w:val="1"/>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《城市道路交通工程项目规范》（</w:t>
      </w:r>
      <w:r>
        <w:rPr>
          <w:rFonts w:ascii="宋体" w:hAnsi="宋体"/>
          <w:color w:val="000000" w:themeColor="text1"/>
          <w:szCs w:val="21"/>
          <w14:textFill>
            <w14:solidFill>
              <w14:schemeClr w14:val="tx1"/>
            </w14:solidFill>
          </w14:textFill>
        </w:rPr>
        <w:t>GB55011-2021</w:t>
      </w:r>
      <w:r>
        <w:rPr>
          <w:rFonts w:hint="eastAsia" w:ascii="宋体" w:hAnsi="宋体"/>
          <w:color w:val="000000" w:themeColor="text1"/>
          <w:szCs w:val="21"/>
          <w14:textFill>
            <w14:solidFill>
              <w14:schemeClr w14:val="tx1"/>
            </w14:solidFill>
          </w14:textFill>
        </w:rPr>
        <w:t>）；</w:t>
      </w:r>
    </w:p>
    <w:p w14:paraId="4CE31515">
      <w:pPr>
        <w:numPr>
          <w:ilvl w:val="0"/>
          <w:numId w:val="1"/>
        </w:numPr>
        <w:spacing w:line="360" w:lineRule="auto"/>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《城市道路</w:t>
      </w:r>
      <w:r>
        <w:rPr>
          <w:rFonts w:hint="eastAsia" w:ascii="宋体" w:hAnsi="宋体"/>
          <w:color w:val="000000" w:themeColor="text1"/>
          <w:szCs w:val="21"/>
          <w14:textFill>
            <w14:solidFill>
              <w14:schemeClr w14:val="tx1"/>
            </w14:solidFill>
          </w14:textFill>
        </w:rPr>
        <w:t>工程</w:t>
      </w:r>
      <w:r>
        <w:rPr>
          <w:rFonts w:ascii="宋体" w:hAnsi="宋体"/>
          <w:color w:val="000000" w:themeColor="text1"/>
          <w:szCs w:val="21"/>
          <w14:textFill>
            <w14:solidFill>
              <w14:schemeClr w14:val="tx1"/>
            </w14:solidFill>
          </w14:textFill>
        </w:rPr>
        <w:t>设计规范</w:t>
      </w:r>
      <w:r>
        <w:rPr>
          <w:rFonts w:hint="eastAsia" w:ascii="宋体" w:hAnsi="宋体"/>
          <w:color w:val="000000" w:themeColor="text1"/>
          <w:szCs w:val="21"/>
          <w14:textFill>
            <w14:solidFill>
              <w14:schemeClr w14:val="tx1"/>
            </w14:solidFill>
          </w14:textFill>
        </w:rPr>
        <w:t>（2016年版）</w:t>
      </w:r>
      <w:r>
        <w:rPr>
          <w:rFonts w:ascii="宋体" w:hAnsi="宋体"/>
          <w:color w:val="000000" w:themeColor="text1"/>
          <w:szCs w:val="21"/>
          <w14:textFill>
            <w14:solidFill>
              <w14:schemeClr w14:val="tx1"/>
            </w14:solidFill>
          </w14:textFill>
        </w:rPr>
        <w:t>》（CJJ37–</w:t>
      </w:r>
      <w:r>
        <w:rPr>
          <w:rFonts w:hint="eastAsia" w:ascii="宋体" w:hAnsi="宋体"/>
          <w:color w:val="000000" w:themeColor="text1"/>
          <w:szCs w:val="21"/>
          <w14:textFill>
            <w14:solidFill>
              <w14:schemeClr w14:val="tx1"/>
            </w14:solidFill>
          </w14:textFill>
        </w:rPr>
        <w:t>2012</w:t>
      </w:r>
      <w:r>
        <w:rPr>
          <w:rFonts w:ascii="宋体" w:hAnsi="宋体"/>
          <w:color w:val="000000" w:themeColor="text1"/>
          <w:szCs w:val="21"/>
          <w14:textFill>
            <w14:solidFill>
              <w14:schemeClr w14:val="tx1"/>
            </w14:solidFill>
          </w14:textFill>
        </w:rPr>
        <w:t>）；</w:t>
      </w:r>
    </w:p>
    <w:p w14:paraId="4015705D">
      <w:pPr>
        <w:numPr>
          <w:ilvl w:val="0"/>
          <w:numId w:val="1"/>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《城市道路路线设计规范》（</w:t>
      </w:r>
      <w:r>
        <w:rPr>
          <w:rFonts w:ascii="宋体" w:hAnsi="宋体"/>
          <w:color w:val="000000" w:themeColor="text1"/>
          <w:szCs w:val="21"/>
          <w14:textFill>
            <w14:solidFill>
              <w14:schemeClr w14:val="tx1"/>
            </w14:solidFill>
          </w14:textFill>
        </w:rPr>
        <w:t>CJJ193-2012</w:t>
      </w:r>
      <w:r>
        <w:rPr>
          <w:rFonts w:hint="eastAsia" w:ascii="宋体" w:hAnsi="宋体"/>
          <w:color w:val="000000" w:themeColor="text1"/>
          <w:szCs w:val="21"/>
          <w14:textFill>
            <w14:solidFill>
              <w14:schemeClr w14:val="tx1"/>
            </w14:solidFill>
          </w14:textFill>
        </w:rPr>
        <w:t>）；</w:t>
      </w:r>
    </w:p>
    <w:p w14:paraId="0E738ACE">
      <w:pPr>
        <w:numPr>
          <w:ilvl w:val="0"/>
          <w:numId w:val="1"/>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《城市道路交叉口设计规程》（CJJ152-2010</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p>
    <w:p w14:paraId="29872410">
      <w:pPr>
        <w:numPr>
          <w:ilvl w:val="0"/>
          <w:numId w:val="1"/>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乡村道路工程技术规范</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GB/T51224-2017</w:t>
      </w:r>
      <w:r>
        <w:rPr>
          <w:rFonts w:hint="eastAsia" w:ascii="宋体" w:hAnsi="宋体"/>
          <w:color w:val="000000" w:themeColor="text1"/>
          <w:szCs w:val="21"/>
          <w14:textFill>
            <w14:solidFill>
              <w14:schemeClr w14:val="tx1"/>
            </w14:solidFill>
          </w14:textFill>
        </w:rPr>
        <w:t>）；</w:t>
      </w:r>
    </w:p>
    <w:p w14:paraId="126FE1BA">
      <w:pPr>
        <w:numPr>
          <w:ilvl w:val="0"/>
          <w:numId w:val="1"/>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《城市道路路基设计规范》（CJJ194-2013）；</w:t>
      </w:r>
    </w:p>
    <w:p w14:paraId="6B977ABC">
      <w:pPr>
        <w:numPr>
          <w:ilvl w:val="0"/>
          <w:numId w:val="1"/>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《城镇道路路面设计规范》（CJJ169-2012）；</w:t>
      </w:r>
    </w:p>
    <w:p w14:paraId="10DE8CB7">
      <w:pPr>
        <w:numPr>
          <w:ilvl w:val="0"/>
          <w:numId w:val="1"/>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《公路水泥混凝土路面施工技术细则》（JTG/T</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F30-2014）；</w:t>
      </w:r>
    </w:p>
    <w:p w14:paraId="17A88949">
      <w:pPr>
        <w:numPr>
          <w:ilvl w:val="0"/>
          <w:numId w:val="1"/>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《公路路面基层施工技术细则》(JTG/T</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F20-2015)；</w:t>
      </w:r>
    </w:p>
    <w:p w14:paraId="42DB6B2F">
      <w:pPr>
        <w:numPr>
          <w:ilvl w:val="0"/>
          <w:numId w:val="1"/>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《城镇道路工程施工与质量验收规范》（CJJ1-2008）；</w:t>
      </w:r>
    </w:p>
    <w:p w14:paraId="3D4E7169">
      <w:pPr>
        <w:numPr>
          <w:ilvl w:val="0"/>
          <w:numId w:val="1"/>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《机动车道挖掘修复技术方案指引（试行）》2</w:t>
      </w:r>
      <w:r>
        <w:rPr>
          <w:rFonts w:ascii="宋体" w:hAnsi="宋体"/>
          <w:color w:val="000000" w:themeColor="text1"/>
          <w:szCs w:val="21"/>
          <w14:textFill>
            <w14:solidFill>
              <w14:schemeClr w14:val="tx1"/>
            </w14:solidFill>
          </w14:textFill>
        </w:rPr>
        <w:t>022.11</w:t>
      </w:r>
      <w:r>
        <w:rPr>
          <w:rFonts w:hint="eastAsia" w:ascii="宋体" w:hAnsi="宋体"/>
          <w:color w:val="000000" w:themeColor="text1"/>
          <w:szCs w:val="21"/>
          <w14:textFill>
            <w14:solidFill>
              <w14:schemeClr w14:val="tx1"/>
            </w14:solidFill>
          </w14:textFill>
        </w:rPr>
        <w:t>，广州</w:t>
      </w:r>
    </w:p>
    <w:p w14:paraId="76EC5620">
      <w:pPr>
        <w:numPr>
          <w:ilvl w:val="255"/>
          <w:numId w:val="0"/>
        </w:num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修复标准</w:t>
      </w:r>
    </w:p>
    <w:p w14:paraId="04413F5B">
      <w:pPr>
        <w:numPr>
          <w:ilvl w:val="255"/>
          <w:numId w:val="0"/>
        </w:num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1．管道开挖前需对现状路面进行切缝以保障施工期间开挖面周边路面不被破坏。</w:t>
      </w:r>
    </w:p>
    <w:p w14:paraId="0E97303F">
      <w:pPr>
        <w:numPr>
          <w:ilvl w:val="255"/>
          <w:numId w:val="0"/>
        </w:num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2．基层修复：对于市政道路及村道干路应按照沟槽开挖宽度两侧各加宽30cm进行修复，对于村道支路、巷道及冷巷按照沟槽开挖宽度进行恢复。</w:t>
      </w:r>
    </w:p>
    <w:p w14:paraId="32A5F997">
      <w:pPr>
        <w:numPr>
          <w:ilvl w:val="255"/>
          <w:numId w:val="0"/>
        </w:num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3．面层修复：</w:t>
      </w:r>
    </w:p>
    <w:p w14:paraId="55894A8E">
      <w:pPr>
        <w:numPr>
          <w:ilvl w:val="255"/>
          <w:numId w:val="0"/>
        </w:num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（1）沥青路面：</w:t>
      </w:r>
    </w:p>
    <w:p w14:paraId="5AD189E9">
      <w:pPr>
        <w:numPr>
          <w:ilvl w:val="255"/>
          <w:numId w:val="0"/>
        </w:num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市政道路、村道干路：修复宽度原则上按沟槽开挖宽度两侧各加50cm进行恢复，条件许可应按单车道宽度进行恢复。</w:t>
      </w:r>
    </w:p>
    <w:p w14:paraId="404982DC">
      <w:pPr>
        <w:numPr>
          <w:ilvl w:val="255"/>
          <w:numId w:val="0"/>
        </w:num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（2）水泥混凝土路面：</w:t>
      </w:r>
    </w:p>
    <w:p w14:paraId="555F59FD">
      <w:pPr>
        <w:numPr>
          <w:ilvl w:val="255"/>
          <w:numId w:val="0"/>
        </w:num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市政道路、村道干路：应当按照整板恢复，板宽按照实际板宽计量。</w:t>
      </w:r>
    </w:p>
    <w:p w14:paraId="60F1D5CF">
      <w:pPr>
        <w:numPr>
          <w:ilvl w:val="255"/>
          <w:numId w:val="0"/>
        </w:num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（3）人行道</w:t>
      </w:r>
    </w:p>
    <w:p w14:paraId="65F36B1E">
      <w:pPr>
        <w:numPr>
          <w:ilvl w:val="255"/>
          <w:numId w:val="0"/>
        </w:num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现状人行道砖类型标准不统一，建议根据现场进行原样恢复，恢复的宽度应按照开挖宽度加单块砖的宽度进行计量。</w:t>
      </w:r>
    </w:p>
    <w:p w14:paraId="3D451D67">
      <w:pPr>
        <w:numPr>
          <w:ilvl w:val="255"/>
          <w:numId w:val="0"/>
        </w:num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4．路面结构按不低于原路面结构标准进行恢复，平面中将补充标注恢复的路面结构类别及范围，结构厚度等要求详见路面结构设计图。</w:t>
      </w:r>
    </w:p>
    <w:p w14:paraId="6C17FC16">
      <w:pPr>
        <w:numPr>
          <w:ilvl w:val="255"/>
          <w:numId w:val="0"/>
        </w:num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5．石渣、土路面恢复采用现状开挖的原土恢复，平面图不作区分考虑。</w:t>
      </w:r>
    </w:p>
    <w:p w14:paraId="6A94A30A">
      <w:pPr>
        <w:numPr>
          <w:ilvl w:val="255"/>
          <w:numId w:val="0"/>
        </w:numPr>
        <w:spacing w:line="360" w:lineRule="auto"/>
        <w:ind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6．施工过程中涉及现有路灯迁改应经业主同意，施工完成后按原状恢复。</w:t>
      </w:r>
    </w:p>
    <w:p w14:paraId="2951FF52">
      <w:pPr>
        <w:numPr>
          <w:ilvl w:val="0"/>
          <w:numId w:val="2"/>
        </w:numPr>
        <w:tabs>
          <w:tab w:val="left" w:pos="0"/>
        </w:tabs>
        <w:ind w:firstLine="654" w:firstLineChars="217"/>
        <w:jc w:val="center"/>
        <w:rPr>
          <w:rFonts w:hint="eastAsia" w:ascii="宋体" w:hAnsi="宋体"/>
          <w:b/>
          <w:bCs/>
          <w:sz w:val="30"/>
          <w:szCs w:val="30"/>
        </w:rPr>
      </w:pPr>
      <w:r>
        <w:rPr>
          <w:rFonts w:hint="eastAsia" w:ascii="宋体" w:hAnsi="宋体"/>
          <w:b/>
          <w:bCs/>
          <w:sz w:val="30"/>
          <w:szCs w:val="30"/>
        </w:rPr>
        <w:t xml:space="preserve"> 建筑垃圾处理要求</w:t>
      </w:r>
    </w:p>
    <w:p w14:paraId="0980CEA6">
      <w:pPr>
        <w:tabs>
          <w:tab w:val="left" w:pos="0"/>
        </w:tabs>
        <w:spacing w:line="440" w:lineRule="exact"/>
        <w:ind w:firstLine="588"/>
        <w:rPr>
          <w:b/>
          <w:bCs/>
          <w:szCs w:val="21"/>
        </w:rPr>
      </w:pPr>
      <w:r>
        <w:rPr>
          <w:rFonts w:hint="eastAsia"/>
          <w:b/>
          <w:bCs/>
          <w:szCs w:val="21"/>
        </w:rPr>
        <w:t>一、建筑垃圾源头减量</w:t>
      </w:r>
    </w:p>
    <w:p w14:paraId="71F72018">
      <w:pPr>
        <w:tabs>
          <w:tab w:val="left" w:pos="0"/>
        </w:tabs>
        <w:spacing w:line="440" w:lineRule="exact"/>
        <w:ind w:firstLine="588"/>
        <w:rPr>
          <w:szCs w:val="21"/>
        </w:rPr>
      </w:pPr>
      <w:r>
        <w:rPr>
          <w:rFonts w:hint="eastAsia"/>
          <w:szCs w:val="21"/>
        </w:rPr>
        <w:t>1.施工现场建筑垃圾的源头减量应通过施工图纸深化、施工方案优化、永临结合、临时设施和周转材料重复利用、施工过程管控等措施，减少建筑垃圾的产生。</w:t>
      </w:r>
    </w:p>
    <w:p w14:paraId="2242FC14">
      <w:pPr>
        <w:tabs>
          <w:tab w:val="left" w:pos="0"/>
        </w:tabs>
        <w:spacing w:line="440" w:lineRule="exact"/>
        <w:ind w:firstLine="588"/>
        <w:rPr>
          <w:szCs w:val="21"/>
        </w:rPr>
      </w:pPr>
      <w:r>
        <w:rPr>
          <w:rFonts w:hint="eastAsia"/>
          <w:szCs w:val="21"/>
        </w:rPr>
        <w:t>2.施工单位应在不降低设计标准、不影响设计功能的前提下，与设计人员充分沟通，合理优化、深化原设计，避免或减少施工过程中拆改、变更产生建筑垃圾：</w:t>
      </w:r>
    </w:p>
    <w:p w14:paraId="2F331BA8">
      <w:pPr>
        <w:tabs>
          <w:tab w:val="left" w:pos="0"/>
        </w:tabs>
        <w:spacing w:line="440" w:lineRule="exact"/>
        <w:ind w:firstLine="588"/>
        <w:rPr>
          <w:szCs w:val="21"/>
        </w:rPr>
      </w:pPr>
      <w:r>
        <w:rPr>
          <w:rFonts w:hint="eastAsia"/>
          <w:szCs w:val="21"/>
        </w:rPr>
        <w:t>1）地基基础优（深）化设计：结合实际地质情况优化基坑支护方案、优化基础埋深和桩基础深度等；</w:t>
      </w:r>
    </w:p>
    <w:p w14:paraId="19225257">
      <w:pPr>
        <w:tabs>
          <w:tab w:val="left" w:pos="0"/>
        </w:tabs>
        <w:spacing w:line="440" w:lineRule="exact"/>
        <w:ind w:firstLine="588"/>
        <w:rPr>
          <w:szCs w:val="21"/>
        </w:rPr>
      </w:pPr>
      <w:r>
        <w:rPr>
          <w:rFonts w:hint="eastAsia"/>
          <w:szCs w:val="21"/>
        </w:rPr>
        <w:t>2）主体结构优（深）化设计：优化并减少异形复杂节点、节约使用结构临时支撑体系周转材料等；</w:t>
      </w:r>
    </w:p>
    <w:p w14:paraId="493C0E5B">
      <w:pPr>
        <w:tabs>
          <w:tab w:val="left" w:pos="0"/>
        </w:tabs>
        <w:spacing w:line="440" w:lineRule="exact"/>
        <w:ind w:firstLine="588"/>
        <w:rPr>
          <w:szCs w:val="21"/>
        </w:rPr>
      </w:pPr>
      <w:r>
        <w:rPr>
          <w:rFonts w:hint="eastAsia"/>
          <w:szCs w:val="21"/>
        </w:rPr>
        <w:t>3.在满足相关标准规范的情况下，建设单位应支持施工单位对具备条件的施工现场，水、电、道路等临时设施工程实施“永临结合”，并通过合理的维护措施，确保交付时满足使用功能需要：</w:t>
      </w:r>
    </w:p>
    <w:p w14:paraId="370D4779">
      <w:pPr>
        <w:tabs>
          <w:tab w:val="left" w:pos="0"/>
        </w:tabs>
        <w:spacing w:line="440" w:lineRule="exact"/>
        <w:ind w:firstLine="588"/>
        <w:rPr>
          <w:szCs w:val="21"/>
        </w:rPr>
      </w:pPr>
      <w:r>
        <w:rPr>
          <w:rFonts w:hint="eastAsia"/>
          <w:szCs w:val="21"/>
        </w:rPr>
        <w:t>1）现场临时道路布置应与原有及永久道路兼顾考虑，充分利用原有及永久道路基层，并加设预制拼装可周转的临时路面，如：钢制路面、装配式混凝土路面等，加强路基成品保护；</w:t>
      </w:r>
    </w:p>
    <w:p w14:paraId="3EB35861">
      <w:pPr>
        <w:tabs>
          <w:tab w:val="left" w:pos="0"/>
        </w:tabs>
        <w:spacing w:line="440" w:lineRule="exact"/>
        <w:ind w:firstLine="588"/>
        <w:rPr>
          <w:szCs w:val="21"/>
        </w:rPr>
      </w:pPr>
      <w:r>
        <w:rPr>
          <w:rFonts w:hint="eastAsia"/>
          <w:szCs w:val="21"/>
        </w:rPr>
        <w:t>2）现场临时围挡应最大限度利用原有围墙，或永久围墙；</w:t>
      </w:r>
    </w:p>
    <w:p w14:paraId="496F5084">
      <w:pPr>
        <w:tabs>
          <w:tab w:val="left" w:pos="0"/>
        </w:tabs>
        <w:spacing w:line="440" w:lineRule="exact"/>
        <w:ind w:firstLine="588"/>
        <w:rPr>
          <w:szCs w:val="21"/>
        </w:rPr>
      </w:pPr>
      <w:r>
        <w:rPr>
          <w:rFonts w:hint="eastAsia"/>
          <w:szCs w:val="21"/>
        </w:rPr>
        <w:t>3）现场临时用电应根据结构及电气施工图纸，经现场优化选用合适的正式配电线路；</w:t>
      </w:r>
    </w:p>
    <w:p w14:paraId="33009723">
      <w:pPr>
        <w:tabs>
          <w:tab w:val="left" w:pos="0"/>
        </w:tabs>
        <w:spacing w:line="440" w:lineRule="exact"/>
        <w:ind w:firstLine="588"/>
        <w:rPr>
          <w:szCs w:val="21"/>
        </w:rPr>
      </w:pPr>
      <w:r>
        <w:rPr>
          <w:rFonts w:hint="eastAsia"/>
          <w:szCs w:val="21"/>
        </w:rPr>
        <w:t>4）现场垂直运输可充分利用正式消防电梯；</w:t>
      </w:r>
    </w:p>
    <w:p w14:paraId="116A855A">
      <w:pPr>
        <w:tabs>
          <w:tab w:val="left" w:pos="0"/>
        </w:tabs>
        <w:spacing w:line="440" w:lineRule="exact"/>
        <w:ind w:firstLine="588"/>
        <w:rPr>
          <w:szCs w:val="21"/>
        </w:rPr>
      </w:pPr>
      <w:r>
        <w:rPr>
          <w:rFonts w:hint="eastAsia"/>
          <w:szCs w:val="21"/>
        </w:rPr>
        <w:t>5）临时市政管线可利用处内正式市政工程管线；</w:t>
      </w:r>
    </w:p>
    <w:p w14:paraId="38F4F865">
      <w:pPr>
        <w:tabs>
          <w:tab w:val="left" w:pos="0"/>
        </w:tabs>
        <w:spacing w:line="440" w:lineRule="exact"/>
        <w:ind w:firstLine="588"/>
        <w:rPr>
          <w:szCs w:val="21"/>
        </w:rPr>
      </w:pPr>
      <w:r>
        <w:rPr>
          <w:rFonts w:hint="eastAsia"/>
          <w:szCs w:val="21"/>
        </w:rPr>
        <w:t>6）现场临时绿化可利用场内原有及永久绿化。</w:t>
      </w:r>
    </w:p>
    <w:p w14:paraId="092C2A3F">
      <w:pPr>
        <w:tabs>
          <w:tab w:val="left" w:pos="0"/>
        </w:tabs>
        <w:spacing w:line="440" w:lineRule="exact"/>
        <w:ind w:firstLine="588"/>
        <w:rPr>
          <w:szCs w:val="21"/>
        </w:rPr>
      </w:pPr>
      <w:r>
        <w:rPr>
          <w:rFonts w:hint="eastAsia"/>
          <w:szCs w:val="21"/>
        </w:rPr>
        <w:t>4.施工现场办公用房、宿舍、工地围挡、大门、工具棚、安全防护栏杆等临时设施推广采用重复利用率高的标准化设施。</w:t>
      </w:r>
    </w:p>
    <w:p w14:paraId="6D24B25A">
      <w:pPr>
        <w:tabs>
          <w:tab w:val="left" w:pos="0"/>
        </w:tabs>
        <w:spacing w:line="440" w:lineRule="exact"/>
        <w:ind w:firstLine="588"/>
        <w:rPr>
          <w:szCs w:val="21"/>
        </w:rPr>
      </w:pPr>
      <w:r>
        <w:rPr>
          <w:rFonts w:hint="eastAsia"/>
          <w:szCs w:val="21"/>
        </w:rPr>
        <w:t>5.施工单位应优化施工方案，合理确定施工工序，实现精细化管理。</w:t>
      </w:r>
    </w:p>
    <w:p w14:paraId="6DB8AB14">
      <w:pPr>
        <w:tabs>
          <w:tab w:val="left" w:pos="0"/>
        </w:tabs>
        <w:spacing w:line="440" w:lineRule="exact"/>
        <w:ind w:firstLine="588"/>
        <w:rPr>
          <w:szCs w:val="21"/>
        </w:rPr>
      </w:pPr>
      <w:r>
        <w:rPr>
          <w:rFonts w:hint="eastAsia"/>
          <w:szCs w:val="21"/>
        </w:rPr>
        <w:t>6.在地基与根蒂根基工程中，可采取以下措施：</w:t>
      </w:r>
    </w:p>
    <w:p w14:paraId="4D9CC854">
      <w:pPr>
        <w:tabs>
          <w:tab w:val="left" w:pos="0"/>
        </w:tabs>
        <w:spacing w:line="440" w:lineRule="exact"/>
        <w:ind w:firstLine="588"/>
        <w:rPr>
          <w:szCs w:val="21"/>
        </w:rPr>
      </w:pPr>
      <w:r>
        <w:rPr>
          <w:rFonts w:hint="eastAsia"/>
          <w:szCs w:val="21"/>
        </w:rPr>
        <w:t>1）根据场地地质情况和标高，优化施工工艺和施工措施，均衡挖方与填方量，减少场地内土方外运量；</w:t>
      </w:r>
    </w:p>
    <w:p w14:paraId="0157BE8E">
      <w:pPr>
        <w:tabs>
          <w:tab w:val="left" w:pos="0"/>
        </w:tabs>
        <w:spacing w:line="440" w:lineRule="exact"/>
        <w:ind w:firstLine="588"/>
        <w:rPr>
          <w:szCs w:val="21"/>
        </w:rPr>
      </w:pPr>
      <w:r>
        <w:rPr>
          <w:rFonts w:hint="eastAsia"/>
          <w:szCs w:val="21"/>
        </w:rPr>
        <w:t>2）基坑支护选用无肥槽工艺，避免放坡开挖，减少渣土产生；</w:t>
      </w:r>
    </w:p>
    <w:p w14:paraId="47F52459">
      <w:pPr>
        <w:tabs>
          <w:tab w:val="left" w:pos="0"/>
        </w:tabs>
        <w:spacing w:line="440" w:lineRule="exact"/>
        <w:ind w:firstLine="588"/>
        <w:rPr>
          <w:szCs w:val="21"/>
        </w:rPr>
      </w:pPr>
      <w:r>
        <w:rPr>
          <w:rFonts w:hint="eastAsia"/>
          <w:szCs w:val="21"/>
        </w:rPr>
        <w:t>3）根据支护设计及施工方案，精确计算材料用量，鼓励采用先进施工方法减少基坑支护量；</w:t>
      </w:r>
    </w:p>
    <w:p w14:paraId="1B87861B">
      <w:pPr>
        <w:tabs>
          <w:tab w:val="left" w:pos="0"/>
        </w:tabs>
        <w:spacing w:line="440" w:lineRule="exact"/>
        <w:ind w:firstLine="588"/>
        <w:rPr>
          <w:szCs w:val="21"/>
        </w:rPr>
      </w:pPr>
      <w:r>
        <w:rPr>
          <w:rFonts w:hint="eastAsia"/>
          <w:szCs w:val="21"/>
        </w:rPr>
        <w:t>4）根据现场环境条件，优先选用可重复利用的材料。如：可拆卸式锚杆、金属内支撑、SMW工法桩、钢板桩支护材料等。</w:t>
      </w:r>
    </w:p>
    <w:p w14:paraId="469836DC">
      <w:pPr>
        <w:tabs>
          <w:tab w:val="left" w:pos="0"/>
        </w:tabs>
        <w:spacing w:line="440" w:lineRule="exact"/>
        <w:ind w:firstLine="588"/>
        <w:rPr>
          <w:b/>
          <w:bCs/>
          <w:szCs w:val="21"/>
        </w:rPr>
      </w:pPr>
      <w:r>
        <w:rPr>
          <w:rFonts w:hint="eastAsia"/>
          <w:b/>
          <w:bCs/>
          <w:szCs w:val="21"/>
        </w:rPr>
        <w:t>二、综合利用产品使用要求</w:t>
      </w:r>
    </w:p>
    <w:p w14:paraId="32829756">
      <w:pPr>
        <w:tabs>
          <w:tab w:val="left" w:pos="0"/>
        </w:tabs>
        <w:spacing w:line="440" w:lineRule="exact"/>
        <w:ind w:firstLine="588"/>
        <w:rPr>
          <w:szCs w:val="21"/>
        </w:rPr>
      </w:pPr>
      <w:r>
        <w:rPr>
          <w:rFonts w:hint="eastAsia"/>
          <w:szCs w:val="21"/>
        </w:rPr>
        <w:t>1、建筑垃圾再生产品的种类</w:t>
      </w:r>
    </w:p>
    <w:p w14:paraId="3D475362">
      <w:pPr>
        <w:tabs>
          <w:tab w:val="left" w:pos="0"/>
        </w:tabs>
        <w:spacing w:line="440" w:lineRule="exact"/>
        <w:ind w:firstLine="588"/>
        <w:rPr>
          <w:szCs w:val="21"/>
        </w:rPr>
      </w:pPr>
      <w:r>
        <w:rPr>
          <w:rFonts w:hint="eastAsia"/>
          <w:szCs w:val="21"/>
        </w:rPr>
        <w:t>成熟(已使用量大)的再生产品：再生粗细骨料、再生砖，包括普通砖、古建砖等；</w:t>
      </w:r>
    </w:p>
    <w:p w14:paraId="34AB9CA7">
      <w:pPr>
        <w:tabs>
          <w:tab w:val="left" w:pos="0"/>
        </w:tabs>
        <w:spacing w:line="440" w:lineRule="exact"/>
        <w:ind w:firstLine="588"/>
        <w:rPr>
          <w:szCs w:val="21"/>
        </w:rPr>
      </w:pPr>
      <w:r>
        <w:rPr>
          <w:rFonts w:hint="eastAsia"/>
          <w:szCs w:val="21"/>
        </w:rPr>
        <w:t>其它(已使用量小)的再生产品：再生混凝土、再生无机混合料、再生砂浆、再生瓦、再生砌块等。</w:t>
      </w:r>
    </w:p>
    <w:p w14:paraId="2BC1ACEB">
      <w:pPr>
        <w:tabs>
          <w:tab w:val="left" w:pos="0"/>
        </w:tabs>
        <w:spacing w:line="440" w:lineRule="exact"/>
        <w:ind w:firstLine="588"/>
        <w:rPr>
          <w:szCs w:val="21"/>
        </w:rPr>
      </w:pPr>
      <w:r>
        <w:rPr>
          <w:rFonts w:hint="eastAsia"/>
          <w:szCs w:val="21"/>
        </w:rPr>
        <w:t>2、建筑垃圾再生产品的用途</w:t>
      </w:r>
    </w:p>
    <w:p w14:paraId="1683320C">
      <w:pPr>
        <w:tabs>
          <w:tab w:val="left" w:pos="0"/>
        </w:tabs>
        <w:spacing w:line="440" w:lineRule="exact"/>
        <w:ind w:firstLine="588"/>
        <w:rPr>
          <w:szCs w:val="21"/>
        </w:rPr>
      </w:pPr>
      <w:r>
        <w:rPr>
          <w:rFonts w:hint="eastAsia"/>
          <w:szCs w:val="21"/>
        </w:rPr>
        <w:t>1）再生粗细骨料：用于再生砖、再生混凝土、再生无机混合料、再生砂浆、再生砌块、再生瓦等的生产。</w:t>
      </w:r>
    </w:p>
    <w:p w14:paraId="50FD2D21">
      <w:pPr>
        <w:tabs>
          <w:tab w:val="left" w:pos="0"/>
        </w:tabs>
        <w:spacing w:line="440" w:lineRule="exact"/>
        <w:ind w:firstLine="588"/>
        <w:rPr>
          <w:szCs w:val="21"/>
        </w:rPr>
      </w:pPr>
      <w:r>
        <w:rPr>
          <w:rFonts w:hint="eastAsia"/>
          <w:szCs w:val="21"/>
        </w:rPr>
        <w:t>2）再生砖：废混凝土骨料宜生产MU15、MU10以上等级，废砖骨料宜生产MU10、MU7.5等级，再生骨料使用量达90%以上。MU10以上等级的再生普通砖适用于低层建筑的承重墙体、MU10以下等级的再生普通砖适用于非承重墙体；再生古建砖适用于仿古建筑的承重、非承重墙体。</w:t>
      </w:r>
    </w:p>
    <w:p w14:paraId="78BB49E7">
      <w:pPr>
        <w:tabs>
          <w:tab w:val="left" w:pos="0"/>
        </w:tabs>
        <w:spacing w:line="440" w:lineRule="exact"/>
        <w:ind w:firstLine="588"/>
        <w:rPr>
          <w:szCs w:val="21"/>
        </w:rPr>
      </w:pPr>
      <w:r>
        <w:rPr>
          <w:rFonts w:hint="eastAsia"/>
          <w:szCs w:val="21"/>
        </w:rPr>
        <w:t>3、建筑垃圾再生混凝土、瓦的应用</w:t>
      </w:r>
    </w:p>
    <w:p w14:paraId="26262CEE">
      <w:pPr>
        <w:tabs>
          <w:tab w:val="left" w:pos="0"/>
        </w:tabs>
        <w:spacing w:line="440" w:lineRule="exact"/>
        <w:ind w:firstLine="588"/>
        <w:rPr>
          <w:szCs w:val="21"/>
        </w:rPr>
      </w:pPr>
      <w:r>
        <w:rPr>
          <w:rFonts w:hint="eastAsia"/>
          <w:szCs w:val="21"/>
        </w:rPr>
        <w:t>1）再生混凝土：原则上再生骨料与普通骨料混合使用，再生粗细骨料掺量不宜超过50%，混凝土等级不宜大于C30(废混凝土再生骨料)、混凝土等级不宜大于C20(废砖再生骨料)适用于一般结构工程和非结构工程。</w:t>
      </w:r>
    </w:p>
    <w:p w14:paraId="340E5C91">
      <w:pPr>
        <w:tabs>
          <w:tab w:val="left" w:pos="0"/>
        </w:tabs>
        <w:spacing w:line="440" w:lineRule="exact"/>
        <w:ind w:firstLine="588"/>
        <w:rPr>
          <w:szCs w:val="21"/>
        </w:rPr>
      </w:pPr>
      <w:r>
        <w:rPr>
          <w:rFonts w:hint="eastAsia"/>
          <w:szCs w:val="21"/>
        </w:rPr>
        <w:t>2）再生无机混合料：一般道路工程的基层或底基层；公路的底基层，再生无机混合料中再生骨料的掺量可达20-100%。</w:t>
      </w:r>
    </w:p>
    <w:p w14:paraId="678F178E">
      <w:pPr>
        <w:tabs>
          <w:tab w:val="left" w:pos="0"/>
        </w:tabs>
        <w:spacing w:line="440" w:lineRule="exact"/>
        <w:ind w:firstLine="588"/>
        <w:rPr>
          <w:szCs w:val="21"/>
        </w:rPr>
      </w:pPr>
      <w:r>
        <w:rPr>
          <w:rFonts w:hint="eastAsia"/>
          <w:szCs w:val="21"/>
        </w:rPr>
        <w:t>3）再生砂浆：再生砂浆等级不宜大于M15，适用于一般抹灰、砌筑和地面，但不宜用于地面面层；用于抹灰和地面的再生砂浆再生骨料掺量不宜超过50%。</w:t>
      </w:r>
    </w:p>
    <w:p w14:paraId="640119EA">
      <w:pPr>
        <w:tabs>
          <w:tab w:val="left" w:pos="0"/>
        </w:tabs>
        <w:spacing w:line="440" w:lineRule="exact"/>
        <w:ind w:firstLine="588"/>
        <w:rPr>
          <w:szCs w:val="21"/>
        </w:rPr>
      </w:pPr>
      <w:r>
        <w:rPr>
          <w:rFonts w:hint="eastAsia"/>
          <w:szCs w:val="21"/>
        </w:rPr>
        <w:t>4）再生瓦：适用于一般屋面。</w:t>
      </w:r>
    </w:p>
    <w:p w14:paraId="1BB1124D">
      <w:pPr>
        <w:tabs>
          <w:tab w:val="left" w:pos="0"/>
        </w:tabs>
        <w:spacing w:line="440" w:lineRule="exact"/>
        <w:ind w:firstLine="588"/>
        <w:rPr>
          <w:szCs w:val="21"/>
        </w:rPr>
      </w:pPr>
      <w:r>
        <w:rPr>
          <w:rFonts w:hint="eastAsia"/>
          <w:szCs w:val="21"/>
        </w:rPr>
        <w:t>4、建筑垃圾再生产品执行标准</w:t>
      </w:r>
    </w:p>
    <w:p w14:paraId="141BBABA">
      <w:pPr>
        <w:tabs>
          <w:tab w:val="left" w:pos="0"/>
        </w:tabs>
        <w:spacing w:line="440" w:lineRule="exact"/>
        <w:ind w:firstLine="588"/>
        <w:rPr>
          <w:szCs w:val="21"/>
        </w:rPr>
      </w:pPr>
      <w:r>
        <w:rPr>
          <w:rFonts w:hint="eastAsia"/>
          <w:szCs w:val="21"/>
        </w:rPr>
        <w:t>1）再生砖执行标准：MU15以上执行《混凝土实心砖》(GB/T 21144-2007)或《非烧结垃圾尾矿砖》(JC/T422-2007)；MU10以下等级的再生普通砖无产品标准，待定，目前可执行《再生骨料应用技术规程》JGJ/T240-2011。</w:t>
      </w:r>
    </w:p>
    <w:p w14:paraId="0818A268">
      <w:pPr>
        <w:tabs>
          <w:tab w:val="left" w:pos="0"/>
        </w:tabs>
        <w:spacing w:line="440" w:lineRule="exact"/>
        <w:ind w:firstLine="588"/>
        <w:rPr>
          <w:szCs w:val="21"/>
        </w:rPr>
      </w:pPr>
      <w:r>
        <w:rPr>
          <w:rFonts w:hint="eastAsia"/>
          <w:szCs w:val="21"/>
        </w:rPr>
        <w:t>2）再生混凝土执行标准：《再生混凝土和砂浆用再生细骨料》GB/T 25176-2010、《再生混凝土用粗骨料》GB/T25177-2010、《再生骨料应用技术规程》JGJ/T240-2011及普通混凝土应执行的各项标准和技术规范。</w:t>
      </w:r>
    </w:p>
    <w:p w14:paraId="7782DDC2">
      <w:pPr>
        <w:tabs>
          <w:tab w:val="left" w:pos="0"/>
        </w:tabs>
        <w:ind w:firstLine="665" w:firstLineChars="317"/>
        <w:rPr>
          <w:rFonts w:hint="eastAsia" w:ascii="宋体" w:hAnsi="宋体"/>
          <w:b/>
          <w:bCs/>
          <w:sz w:val="30"/>
          <w:szCs w:val="30"/>
        </w:rPr>
      </w:pPr>
      <w:r>
        <w:rPr>
          <w:rFonts w:hint="eastAsia"/>
          <w:szCs w:val="21"/>
        </w:rPr>
        <w:t>3）其他产品参照现行国家或地方标准和技术规范。</w:t>
      </w:r>
    </w:p>
    <w:p w14:paraId="3E0ADA9C">
      <w:pPr>
        <w:spacing w:before="120" w:line="360" w:lineRule="auto"/>
        <w:ind w:firstLine="588"/>
        <w:rPr>
          <w:color w:val="000000" w:themeColor="text1"/>
          <w:szCs w:val="21"/>
          <w14:textFill>
            <w14:solidFill>
              <w14:schemeClr w14:val="tx1"/>
            </w14:solidFill>
          </w14:textFill>
        </w:rPr>
      </w:pPr>
    </w:p>
    <w:p w14:paraId="6DB2DA12">
      <w:pPr>
        <w:tabs>
          <w:tab w:val="left" w:pos="0"/>
        </w:tabs>
        <w:spacing w:line="360" w:lineRule="auto"/>
        <w:ind w:firstLine="654" w:firstLineChars="217"/>
        <w:jc w:val="center"/>
        <w:rPr>
          <w:rFonts w:hint="eastAsia"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第四部分  施工组织方案的设计要点</w:t>
      </w:r>
    </w:p>
    <w:p w14:paraId="3DCEFDA5">
      <w:pPr>
        <w:tabs>
          <w:tab w:val="left" w:pos="0"/>
        </w:tabs>
        <w:spacing w:line="360" w:lineRule="auto"/>
        <w:ind w:firstLine="523" w:firstLineChars="217"/>
        <w:jc w:val="center"/>
        <w:rPr>
          <w:rFonts w:hint="eastAsia"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第一节  编制要求</w:t>
      </w:r>
    </w:p>
    <w:p w14:paraId="25AF8D3A">
      <w:pPr>
        <w:tabs>
          <w:tab w:val="left" w:pos="0"/>
        </w:tabs>
        <w:spacing w:line="360" w:lineRule="auto"/>
        <w:ind w:firstLine="588"/>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一、编制依据</w:t>
      </w:r>
    </w:p>
    <w:p w14:paraId="450847A0">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1、本工程招标文件的有关要求。</w:t>
      </w:r>
    </w:p>
    <w:p w14:paraId="36805875">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2、国家、广东省、广州市、番禺区有关施工验收规范、质量标准和操作规程等要求，包括但不限于：</w:t>
      </w:r>
    </w:p>
    <w:p w14:paraId="2AE41DE8">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《室外排水设计标准》                        （GB 50014-2021）</w:t>
      </w:r>
    </w:p>
    <w:p w14:paraId="5A3D561D">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《给水排水工程管道结构设计规范》            （GB 50332-20</w:t>
      </w:r>
      <w:r>
        <w:rPr>
          <w:color w:val="000000" w:themeColor="text1"/>
          <w:szCs w:val="21"/>
          <w14:textFill>
            <w14:solidFill>
              <w14:schemeClr w14:val="tx1"/>
            </w14:solidFill>
          </w14:textFill>
        </w:rPr>
        <w:t>17</w:t>
      </w:r>
      <w:r>
        <w:rPr>
          <w:rFonts w:hint="eastAsia"/>
          <w:color w:val="000000" w:themeColor="text1"/>
          <w:szCs w:val="21"/>
          <w14:textFill>
            <w14:solidFill>
              <w14:schemeClr w14:val="tx1"/>
            </w14:solidFill>
          </w14:textFill>
        </w:rPr>
        <w:t>）</w:t>
      </w:r>
    </w:p>
    <w:p w14:paraId="0B172868">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《市政排水管道工程及附属设施》                    （06MS201）</w:t>
      </w:r>
    </w:p>
    <w:p w14:paraId="4BCFFECB">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《检查井井盖》                            （GB/T 23858-2009）</w:t>
      </w:r>
    </w:p>
    <w:p w14:paraId="50A7AABC">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《井盖设施技术规范》                     （DB4401/T 215-2023）</w:t>
      </w:r>
    </w:p>
    <w:p w14:paraId="2DD5A22B">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《给排水管道工程施工及验收规范》              （GB50268-2008)</w:t>
      </w:r>
    </w:p>
    <w:p w14:paraId="34695CE8">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《给水排水工程顶管技术规程》                   （CECS246-20</w:t>
      </w:r>
      <w:r>
        <w:rPr>
          <w:color w:val="000000" w:themeColor="text1"/>
          <w:szCs w:val="21"/>
          <w14:textFill>
            <w14:solidFill>
              <w14:schemeClr w14:val="tx1"/>
            </w14:solidFill>
          </w14:textFill>
        </w:rPr>
        <w:t>19</w:t>
      </w:r>
      <w:r>
        <w:rPr>
          <w:rFonts w:hint="eastAsia"/>
          <w:color w:val="000000" w:themeColor="text1"/>
          <w:szCs w:val="21"/>
          <w14:textFill>
            <w14:solidFill>
              <w14:schemeClr w14:val="tx1"/>
            </w14:solidFill>
          </w14:textFill>
        </w:rPr>
        <w:t>)</w:t>
      </w:r>
    </w:p>
    <w:p w14:paraId="5772863F">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《地下工程防水技术规范》                      （GB50108-2008)</w:t>
      </w:r>
    </w:p>
    <w:p w14:paraId="5B81B68E">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《混凝土和钢筋混凝土排水管》                 (GB/T 11836-2023)</w:t>
      </w:r>
    </w:p>
    <w:p w14:paraId="2D3F3860">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《顶进施工法用钢筋混凝土排水管》              （JC/T640-2010)</w:t>
      </w:r>
    </w:p>
    <w:p w14:paraId="54E724B6">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《低压流体输送用焊接钢管》                  （GB/T 3091-2015）</w:t>
      </w:r>
    </w:p>
    <w:p w14:paraId="0D31D71C">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《工业金属管道工程施工规范》                 （GB 50235-2010）</w:t>
      </w:r>
    </w:p>
    <w:p w14:paraId="21203AE5">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《国家给排水标准图集》</w:t>
      </w:r>
    </w:p>
    <w:p w14:paraId="279A4F37">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《疏浚与吹填工程技术规范》                      （SL17-2014）</w:t>
      </w:r>
    </w:p>
    <w:p w14:paraId="1C814B9E">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《城市工程管线综合规划规范》                 （GB 50289-</w:t>
      </w:r>
      <w:r>
        <w:rPr>
          <w:color w:val="000000" w:themeColor="text1"/>
          <w:szCs w:val="21"/>
          <w14:textFill>
            <w14:solidFill>
              <w14:schemeClr w14:val="tx1"/>
            </w14:solidFill>
          </w14:textFill>
        </w:rPr>
        <w:t>2016</w:t>
      </w:r>
      <w:r>
        <w:rPr>
          <w:rFonts w:hint="eastAsia"/>
          <w:color w:val="000000" w:themeColor="text1"/>
          <w:szCs w:val="21"/>
          <w14:textFill>
            <w14:solidFill>
              <w14:schemeClr w14:val="tx1"/>
            </w14:solidFill>
          </w14:textFill>
        </w:rPr>
        <w:t>）</w:t>
      </w:r>
    </w:p>
    <w:p w14:paraId="2F4F6199">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《给水排水构筑物工程施工及验收规范》         （GB 50141-2008）</w:t>
      </w:r>
    </w:p>
    <w:p w14:paraId="73F5CC9D">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《工业金属管道工程施工质量验收规范》         （GB 50184-2011）</w:t>
      </w:r>
    </w:p>
    <w:p w14:paraId="6BD09C86">
      <w:pPr>
        <w:tabs>
          <w:tab w:val="left" w:pos="0"/>
        </w:tabs>
        <w:spacing w:line="360" w:lineRule="auto"/>
        <w:ind w:firstLine="45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《水利水电工程施工质量检验与评定规程》         （SL176-2007）</w:t>
      </w:r>
    </w:p>
    <w:p w14:paraId="32E8686E">
      <w:pPr>
        <w:tabs>
          <w:tab w:val="left" w:pos="0"/>
        </w:tabs>
        <w:spacing w:line="360" w:lineRule="auto"/>
        <w:ind w:firstLine="45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《水利水电建设工程验收规程》                   （SL223-2008）</w:t>
      </w:r>
    </w:p>
    <w:p w14:paraId="0BBBB1C3">
      <w:pPr>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《水利工程建设项目施工监理规范》              （SL288-2014）</w:t>
      </w:r>
    </w:p>
    <w:p w14:paraId="72FC15CE">
      <w:pPr>
        <w:spacing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《水利水电工程土建施工安全技术规程》           （SL399-2007）</w:t>
      </w:r>
    </w:p>
    <w:p w14:paraId="768ABA28">
      <w:pPr>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《堤防工程施工质量验收评定标准》             （SL634-2012）</w:t>
      </w:r>
    </w:p>
    <w:p w14:paraId="0F0006CC">
      <w:pPr>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《堤防工程施工规范》                         （SL260-2014）</w:t>
      </w:r>
    </w:p>
    <w:p w14:paraId="4C392990">
      <w:pPr>
        <w:tabs>
          <w:tab w:val="left" w:pos="0"/>
        </w:tabs>
        <w:spacing w:line="360" w:lineRule="auto"/>
        <w:ind w:firstLine="45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3、施工图纸及有关资料。</w:t>
      </w:r>
    </w:p>
    <w:p w14:paraId="2FD7D0A9">
      <w:pPr>
        <w:tabs>
          <w:tab w:val="left" w:pos="0"/>
        </w:tabs>
        <w:spacing w:line="360" w:lineRule="auto"/>
        <w:ind w:firstLine="588"/>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二、具体要求</w:t>
      </w:r>
    </w:p>
    <w:p w14:paraId="28E585D2">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1、“重合同，守信誉”。按本工程规定的总工期，编制出完善的施工进度控制计划，在投标承诺了工期内完成工程任务。</w:t>
      </w:r>
    </w:p>
    <w:p w14:paraId="216E8D5C">
      <w:pPr>
        <w:tabs>
          <w:tab w:val="left" w:pos="0"/>
        </w:tabs>
        <w:spacing w:line="360" w:lineRule="auto"/>
        <w:ind w:firstLine="45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2、发挥技术优势，优化管理水平。安排经验丰富的优秀管理人员和高素质的工人参加本项目施工，采用先进的技术设备，优化施工管理，充分发挥承包人在管理和技术方面的优势。</w:t>
      </w:r>
    </w:p>
    <w:p w14:paraId="63B31899">
      <w:pPr>
        <w:tabs>
          <w:tab w:val="left" w:pos="0"/>
        </w:tabs>
        <w:spacing w:line="360" w:lineRule="auto"/>
        <w:ind w:firstLine="520" w:firstLineChars="217"/>
        <w:rPr>
          <w:rFonts w:hint="eastAsia" w:ascii="宋体" w:hAnsi="宋体"/>
          <w:color w:val="000000" w:themeColor="text1"/>
          <w:sz w:val="24"/>
          <w:szCs w:val="24"/>
          <w14:textFill>
            <w14:solidFill>
              <w14:schemeClr w14:val="tx1"/>
            </w14:solidFill>
          </w14:textFill>
        </w:rPr>
      </w:pPr>
    </w:p>
    <w:p w14:paraId="359F7CB0">
      <w:pPr>
        <w:tabs>
          <w:tab w:val="left" w:pos="0"/>
        </w:tabs>
        <w:spacing w:line="360" w:lineRule="auto"/>
        <w:ind w:firstLine="523" w:firstLineChars="217"/>
        <w:jc w:val="center"/>
        <w:rPr>
          <w:rFonts w:hint="eastAsia"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第二节  施工要求</w:t>
      </w:r>
    </w:p>
    <w:p w14:paraId="30CAB2D2">
      <w:pPr>
        <w:tabs>
          <w:tab w:val="left" w:pos="0"/>
        </w:tabs>
        <w:spacing w:line="360" w:lineRule="auto"/>
        <w:ind w:firstLine="588"/>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一、施工机构及现场管理要求</w:t>
      </w:r>
    </w:p>
    <w:p w14:paraId="75BE5F29">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为把好工程质量、安全、进度关，确保工程质量等级达到合格，要求委派一名项目负责人，一名技术负责人，对工程的质量、安全、进度和成本，实行高效益、有计划的组织、协调和管理。建立健全的施工组织管理机构。</w:t>
      </w:r>
    </w:p>
    <w:p w14:paraId="509C663C">
      <w:pPr>
        <w:tabs>
          <w:tab w:val="left" w:pos="0"/>
        </w:tabs>
        <w:spacing w:line="360" w:lineRule="auto"/>
        <w:ind w:firstLine="588"/>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二、施工要求</w:t>
      </w:r>
    </w:p>
    <w:p w14:paraId="13F8180D">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本工程施工要点如下：</w:t>
      </w:r>
    </w:p>
    <w:p w14:paraId="7DFC3487">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1、采用先进的施工技术；</w:t>
      </w:r>
    </w:p>
    <w:p w14:paraId="035DB85C">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2、投入现代化的施工机械设备；</w:t>
      </w:r>
    </w:p>
    <w:p w14:paraId="4A6DF0F7">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3、合理的施工方案和先进的施工组织。</w:t>
      </w:r>
    </w:p>
    <w:p w14:paraId="1B148A1C">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4、施工过程要求</w:t>
      </w:r>
    </w:p>
    <w:p w14:paraId="22D505FA">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A、严格按照国家、省市、地方施工规范要求进行施工。</w:t>
      </w:r>
    </w:p>
    <w:p w14:paraId="17A377FB">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B、根据工程进度计划，编制材料订购、质量检测、配方测试，确保材料质量和供应的计划。</w:t>
      </w:r>
    </w:p>
    <w:p w14:paraId="24A1B013">
      <w:pPr>
        <w:tabs>
          <w:tab w:val="left" w:pos="0"/>
        </w:tabs>
        <w:spacing w:line="360" w:lineRule="auto"/>
        <w:ind w:firstLine="588"/>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三、项目施工目标</w:t>
      </w:r>
    </w:p>
    <w:p w14:paraId="24CD7C40">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1、质量目标：符合招标人对项目质量要求：合格。</w:t>
      </w:r>
    </w:p>
    <w:p w14:paraId="7254B71F">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2、安全目标：确保不发生一般事故等级及以上的安全生产事故且死亡人数为零。</w:t>
      </w:r>
    </w:p>
    <w:p w14:paraId="3E6602F8">
      <w:pPr>
        <w:tabs>
          <w:tab w:val="left" w:pos="0"/>
        </w:tabs>
        <w:spacing w:line="360" w:lineRule="auto"/>
        <w:rPr>
          <w:rFonts w:hint="eastAsia" w:ascii="宋体" w:hAnsi="宋体"/>
          <w:color w:val="000000" w:themeColor="text1"/>
          <w:sz w:val="24"/>
          <w:szCs w:val="24"/>
          <w14:textFill>
            <w14:solidFill>
              <w14:schemeClr w14:val="tx1"/>
            </w14:solidFill>
          </w14:textFill>
        </w:rPr>
      </w:pPr>
    </w:p>
    <w:p w14:paraId="0ECD7B34">
      <w:pPr>
        <w:tabs>
          <w:tab w:val="left" w:pos="0"/>
        </w:tabs>
        <w:spacing w:line="360" w:lineRule="auto"/>
        <w:ind w:firstLine="523" w:firstLineChars="217"/>
        <w:jc w:val="center"/>
        <w:rPr>
          <w:rFonts w:hint="eastAsia"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第三节  主要施工方案与施工方法的要求</w:t>
      </w:r>
    </w:p>
    <w:p w14:paraId="7FD6E389">
      <w:pPr>
        <w:tabs>
          <w:tab w:val="left" w:pos="0"/>
        </w:tabs>
        <w:spacing w:line="360" w:lineRule="auto"/>
        <w:ind w:firstLine="45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1、工程施工要求：各分项工程在施工前，均应编制相应的施工技术措施，内容包括施工准备、操作工艺、质量标准、成品保护等。</w:t>
      </w:r>
    </w:p>
    <w:p w14:paraId="01DB3607">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2、所有施工项目均应按照国家、省市、地方有关法律法规及规范要求制定施工技术方案后方可施工。</w:t>
      </w:r>
    </w:p>
    <w:p w14:paraId="24A94C85">
      <w:pPr>
        <w:tabs>
          <w:tab w:val="left" w:pos="0"/>
        </w:tabs>
        <w:spacing w:line="360" w:lineRule="auto"/>
        <w:ind w:firstLine="523" w:firstLineChars="217"/>
        <w:jc w:val="center"/>
        <w:rPr>
          <w:rFonts w:hint="eastAsia" w:ascii="宋体" w:hAnsi="宋体"/>
          <w:b/>
          <w:bCs/>
          <w:color w:val="000000" w:themeColor="text1"/>
          <w:sz w:val="24"/>
          <w:szCs w:val="24"/>
          <w14:textFill>
            <w14:solidFill>
              <w14:schemeClr w14:val="tx1"/>
            </w14:solidFill>
          </w14:textFill>
        </w:rPr>
      </w:pPr>
    </w:p>
    <w:p w14:paraId="0864B7BA">
      <w:pPr>
        <w:tabs>
          <w:tab w:val="left" w:pos="0"/>
        </w:tabs>
        <w:spacing w:line="360" w:lineRule="auto"/>
        <w:ind w:firstLine="523" w:firstLineChars="217"/>
        <w:jc w:val="center"/>
        <w:rPr>
          <w:rFonts w:hint="eastAsia"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第四节  主要技术组织要求</w:t>
      </w:r>
    </w:p>
    <w:p w14:paraId="43B1CF7E">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工程施工中，要严格执行有关技术操作的各项规程，要注意落实下列各点中的技术措施。实行目标管理，明确总目标为合格。</w:t>
      </w:r>
    </w:p>
    <w:p w14:paraId="7F27E5CA">
      <w:pPr>
        <w:tabs>
          <w:tab w:val="left" w:pos="0"/>
          <w:tab w:val="left" w:pos="54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1、成立以总工程师为首的全面质量和管理小组。</w:t>
      </w:r>
    </w:p>
    <w:p w14:paraId="09A7485A">
      <w:pPr>
        <w:tabs>
          <w:tab w:val="left" w:pos="0"/>
          <w:tab w:val="left" w:pos="54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2、明确并认真落实技术岗位责任制和技术交底制度。</w:t>
      </w:r>
    </w:p>
    <w:p w14:paraId="28866B5C">
      <w:pPr>
        <w:tabs>
          <w:tab w:val="left" w:pos="0"/>
          <w:tab w:val="left" w:pos="54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3、落实图纸会审、定位放线、预检复核、材质验收、成品保护等有关规定。</w:t>
      </w:r>
    </w:p>
    <w:p w14:paraId="73FEA6C6">
      <w:pPr>
        <w:tabs>
          <w:tab w:val="left" w:pos="0"/>
          <w:tab w:val="left" w:pos="54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4、制定自检，互检（交接检）末检制度。</w:t>
      </w:r>
    </w:p>
    <w:p w14:paraId="67BCEF5E">
      <w:pPr>
        <w:tabs>
          <w:tab w:val="left" w:pos="0"/>
          <w:tab w:val="left" w:pos="54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5、对工程实行质量预控，施工程序及工艺标准施工。</w:t>
      </w:r>
    </w:p>
    <w:p w14:paraId="5714D989">
      <w:pPr>
        <w:tabs>
          <w:tab w:val="left" w:pos="0"/>
          <w:tab w:val="left" w:pos="54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6、特殊工种必须持证上岗。</w:t>
      </w:r>
    </w:p>
    <w:p w14:paraId="1139DFEA">
      <w:pPr>
        <w:tabs>
          <w:tab w:val="left" w:pos="0"/>
        </w:tabs>
        <w:spacing w:line="360" w:lineRule="auto"/>
        <w:ind w:firstLine="520" w:firstLineChars="217"/>
        <w:jc w:val="left"/>
        <w:rPr>
          <w:rFonts w:hint="eastAsia" w:ascii="宋体" w:hAnsi="宋体"/>
          <w:color w:val="000000" w:themeColor="text1"/>
          <w:sz w:val="24"/>
          <w:szCs w:val="24"/>
          <w14:textFill>
            <w14:solidFill>
              <w14:schemeClr w14:val="tx1"/>
            </w14:solidFill>
          </w14:textFill>
        </w:rPr>
      </w:pPr>
    </w:p>
    <w:p w14:paraId="0796F2A1">
      <w:pPr>
        <w:tabs>
          <w:tab w:val="left" w:pos="0"/>
        </w:tabs>
        <w:spacing w:line="360" w:lineRule="auto"/>
        <w:ind w:firstLine="523" w:firstLineChars="217"/>
        <w:jc w:val="center"/>
        <w:rPr>
          <w:rFonts w:hint="eastAsia"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第五节  质量、工期保证措施</w:t>
      </w:r>
    </w:p>
    <w:p w14:paraId="499A9FFE">
      <w:pPr>
        <w:spacing w:line="360" w:lineRule="auto"/>
        <w:ind w:firstLine="588"/>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一、质量保证措施</w:t>
      </w:r>
    </w:p>
    <w:p w14:paraId="53972530">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1、建立健全结构，施工从设备、材料、半成品、成品进场，施工安装直至交付验收的质量保证体系，并落实到人。</w:t>
      </w:r>
    </w:p>
    <w:p w14:paraId="6B339FA8">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2、严格贯彻“把关”和“积极预防”相结合的质量管理方法。</w:t>
      </w:r>
    </w:p>
    <w:p w14:paraId="180EBC21">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3、本工程实行全面质量管理、文明施工，整个工程实行专业性管理，提前组织培训，统一思想，熟悉操作。</w:t>
      </w:r>
    </w:p>
    <w:p w14:paraId="1130A188">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4、按进度计划施工，严格技术管理，当进度与质量发生矛盾时，要服从质量，承包任务者首先要承包质量。</w:t>
      </w:r>
    </w:p>
    <w:p w14:paraId="7AFF69AA">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5、加强质量监督检查，采取专业检查与自检相结合的检查方法，并以自检为主，坚持贯彻执行自检、互检、交接检的三检制度与挂牌制度，对工程质量要求一丝不苟。</w:t>
      </w:r>
    </w:p>
    <w:p w14:paraId="7A60650E">
      <w:pPr>
        <w:tabs>
          <w:tab w:val="left" w:pos="0"/>
        </w:tabs>
        <w:spacing w:line="360" w:lineRule="auto"/>
        <w:ind w:firstLine="588"/>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二、工期保证措施</w:t>
      </w:r>
    </w:p>
    <w:p w14:paraId="15C7BA1F">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1、运用现代化管理方法指导生产、加强动态管理。充分利用已有资源组织材料、人力资源的合理配置。保障各阶段施工的连续性，消除窝工、停工现象。</w:t>
      </w:r>
    </w:p>
    <w:p w14:paraId="1EC6F46E">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2、各工序严格按进度计划施工，项目经理有效协调人力资源，确保施工顺利；</w:t>
      </w:r>
    </w:p>
    <w:p w14:paraId="292E0DC3">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3、保证倒排工期，充分做好施工前的准备工作；</w:t>
      </w:r>
    </w:p>
    <w:p w14:paraId="6C8B3FFA">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4、优化网络计划管理，综合考虑机械、设备、材料的相应关系，使各工种、各工序实施紧密的交叉搭接，对每道工序制定相应的调整措施。</w:t>
      </w:r>
    </w:p>
    <w:p w14:paraId="788113E4">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5、合理配置施工机械设施，提高使用效率，保证各项作业、各工种之间的高度协调，发挥最大的生产潜力，实现工期目标值。</w:t>
      </w:r>
    </w:p>
    <w:p w14:paraId="17943D3F">
      <w:pPr>
        <w:tabs>
          <w:tab w:val="left" w:pos="0"/>
        </w:tabs>
        <w:spacing w:line="360" w:lineRule="auto"/>
        <w:ind w:firstLine="523" w:firstLineChars="217"/>
        <w:rPr>
          <w:rFonts w:hint="eastAsia" w:ascii="宋体" w:hAnsi="宋体"/>
          <w:b/>
          <w:bCs/>
          <w:color w:val="000000" w:themeColor="text1"/>
          <w:sz w:val="24"/>
          <w:szCs w:val="24"/>
          <w14:textFill>
            <w14:solidFill>
              <w14:schemeClr w14:val="tx1"/>
            </w14:solidFill>
          </w14:textFill>
        </w:rPr>
      </w:pPr>
    </w:p>
    <w:p w14:paraId="35A8D161">
      <w:pPr>
        <w:tabs>
          <w:tab w:val="left" w:pos="0"/>
        </w:tabs>
        <w:spacing w:line="360" w:lineRule="auto"/>
        <w:ind w:firstLine="523" w:firstLineChars="217"/>
        <w:jc w:val="center"/>
        <w:rPr>
          <w:rFonts w:hint="eastAsia"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第六节  投入的主要机械设备及劳动力计划</w:t>
      </w:r>
    </w:p>
    <w:p w14:paraId="0FA81920">
      <w:pPr>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根据经建设单位及监理批准的施工进度计划及现场施工情况，投入相应数量的机械设备及劳动力，满足工程进度要求，确保按期完工。</w:t>
      </w:r>
    </w:p>
    <w:p w14:paraId="63A45E86">
      <w:pPr>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1、在确保工程质量、安全生产的前提下，优化施工进度计划，动态管理，合理组织，严格控制关键线路节点，确保工期目标。</w:t>
      </w:r>
    </w:p>
    <w:p w14:paraId="4060FDDD">
      <w:pPr>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2、采用性能完好的机械设备并配齐数量，设现场专业机修班组，定期检查、调试。</w:t>
      </w:r>
    </w:p>
    <w:p w14:paraId="1B65FE50">
      <w:pPr>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3、现场职工及劳务认真挑选，竞争上岗，确保现场施工人员的岗位技能水平及劳动数量满足工期要求。</w:t>
      </w:r>
    </w:p>
    <w:p w14:paraId="61772574">
      <w:pPr>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4、根据施工进度控制统筹计划及时合理编制工程施工进度每周计划，直至落实到小时工作安排。</w:t>
      </w:r>
    </w:p>
    <w:p w14:paraId="4C3D3C99">
      <w:pPr>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5、平面按划定的施工区段组织流水施工，将分为多个工作班组，分段流水协调施工。</w:t>
      </w:r>
    </w:p>
    <w:p w14:paraId="1C1019A1">
      <w:pPr>
        <w:tabs>
          <w:tab w:val="left" w:pos="0"/>
        </w:tabs>
        <w:spacing w:line="360" w:lineRule="auto"/>
        <w:ind w:firstLine="520" w:firstLineChars="217"/>
        <w:rPr>
          <w:rFonts w:hint="eastAsia" w:ascii="宋体" w:hAnsi="宋体" w:cs="宋体"/>
          <w:color w:val="000000" w:themeColor="text1"/>
          <w:kern w:val="0"/>
          <w:sz w:val="24"/>
          <w:szCs w:val="24"/>
          <w14:textFill>
            <w14:solidFill>
              <w14:schemeClr w14:val="tx1"/>
            </w14:solidFill>
          </w14:textFill>
        </w:rPr>
      </w:pPr>
    </w:p>
    <w:p w14:paraId="6E69FEEC">
      <w:pPr>
        <w:tabs>
          <w:tab w:val="left" w:pos="0"/>
        </w:tabs>
        <w:spacing w:line="360" w:lineRule="auto"/>
        <w:ind w:firstLine="523" w:firstLineChars="217"/>
        <w:jc w:val="center"/>
        <w:rPr>
          <w:rFonts w:hint="eastAsia" w:ascii="宋体" w:hAnsi="宋体"/>
          <w:b/>
          <w:bCs/>
          <w:color w:val="000000" w:themeColor="text1"/>
          <w:sz w:val="24"/>
          <w:szCs w:val="24"/>
          <w14:textFill>
            <w14:solidFill>
              <w14:schemeClr w14:val="tx1"/>
            </w14:solidFill>
          </w14:textFill>
        </w:rPr>
      </w:pPr>
    </w:p>
    <w:p w14:paraId="131E2E02">
      <w:pPr>
        <w:tabs>
          <w:tab w:val="left" w:pos="0"/>
        </w:tabs>
        <w:spacing w:line="360" w:lineRule="auto"/>
        <w:ind w:firstLine="523" w:firstLineChars="217"/>
        <w:jc w:val="center"/>
        <w:rPr>
          <w:rFonts w:hint="eastAsia"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第七节  安全文明施工措施</w:t>
      </w:r>
    </w:p>
    <w:p w14:paraId="25E06982">
      <w:pPr>
        <w:tabs>
          <w:tab w:val="left" w:pos="0"/>
        </w:tabs>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采取严格的施工管理措施，严格按照《广州市安全文明施工管理标准》、《建筑施工安全检查标准》等管理规定的要求，做好本工程安全文明施工工作。</w:t>
      </w:r>
    </w:p>
    <w:p w14:paraId="6171DEB6">
      <w:pPr>
        <w:tabs>
          <w:tab w:val="left" w:pos="0"/>
          <w:tab w:val="left" w:pos="1080"/>
          <w:tab w:val="left" w:pos="1260"/>
        </w:tabs>
        <w:spacing w:line="360" w:lineRule="auto"/>
        <w:ind w:firstLine="457"/>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一、安全生产管理</w:t>
      </w:r>
    </w:p>
    <w:p w14:paraId="23B60F81">
      <w:pPr>
        <w:spacing w:before="120"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1、安全生产目标：达到五无目标，即“无死亡事故，无重大伤人事故，无重大机械事故，无火灾，无中毒事故”。并将一般减微事故发生频率控制在3‰以下。</w:t>
      </w:r>
    </w:p>
    <w:p w14:paraId="7E8A0165">
      <w:pPr>
        <w:spacing w:before="120"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2、安全方针：安全第一，预防为主</w:t>
      </w:r>
    </w:p>
    <w:p w14:paraId="3151B8FE">
      <w:pPr>
        <w:spacing w:before="120"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3、安全文明施工目标：确保不发生一般事故等级及以上的安全生产事故且死亡人数为零。</w:t>
      </w:r>
    </w:p>
    <w:p w14:paraId="2AD6057F">
      <w:pPr>
        <w:spacing w:before="120"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 、安全管理小组：项目经理必须对拆卸工程的安全生产负全面领导责任。项目经理部应设工程安全负责人，检查落实各项安全技术措施。施工安全分为施工管理、安全教育、机械设备、现场维护及日常生活5大部分，各部分设专人进行监督管理，负责将安全小组的决定落实并向各施工班组安全小组交底并监督。做到安全落实到人，专人专项，职权分明。</w:t>
      </w:r>
    </w:p>
    <w:p w14:paraId="552A8AB2">
      <w:pPr>
        <w:spacing w:before="120"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安全教育制度：实行安全教育制度，加强宣传教育，制订科学合理的施工方案，现场组织切合实际的作业程序，正确严格地执行和运用施工及安全规范。对进场的工人进行摸底测试，统一进行安全教育，增强质量、安全意识。各专业班组认真进行技术交底，认真学习和深刻体会施工技术规范和施工安全规范。经过培训交底达到合格的职工才允许上岗操作，为安全工作顺利圆满开展打下坚实的基础。在施工过程中，建立每周一次的安全教育，由项目经理或专职安全员主持。同时在每道施工工序进行前，由专职安全员做书面的安全技术交底，各班组长带领施工人员认真贯彻落实。</w:t>
      </w:r>
    </w:p>
    <w:p w14:paraId="22C2FFE1">
      <w:pPr>
        <w:tabs>
          <w:tab w:val="left" w:pos="0"/>
        </w:tabs>
        <w:spacing w:line="360" w:lineRule="auto"/>
        <w:ind w:firstLine="588"/>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二、文明施工管理</w:t>
      </w:r>
    </w:p>
    <w:p w14:paraId="072B4325">
      <w:pPr>
        <w:spacing w:before="120"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为加强文明施工管理，在认真学习贯彻国家及地方文明施工管理条例基础上，组织成立文明施工管理小组，由项目经理任组长，从现场施工、垃圾运输到日常生活文明均设专人管理，切实加强施工现场文明施工，并制作文明施工标志牌，放在醒目的地方提醒工人注意，共同维护一个文明的施工条件。文明施工注意事项：</w:t>
      </w:r>
    </w:p>
    <w:p w14:paraId="71283476">
      <w:pPr>
        <w:spacing w:before="120" w:line="360" w:lineRule="auto"/>
        <w:ind w:firstLine="42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1、清运渣土的车辆应在在施工封闭范围内停放；清运渣土的车辆应封闭或采用苫布覆盖，出入现场时应有专人指挥。清运渣土的作业时间应遵守有关规定，做到夜间不施工，减少对周围环境的噪音影响。</w:t>
      </w:r>
    </w:p>
    <w:p w14:paraId="55118D55">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2、对地下的各类管线，施工前在地面上设置明显标志，并标明管线用途，行进方向。对检查井也采取相应的保护措施。</w:t>
      </w:r>
    </w:p>
    <w:p w14:paraId="333DC083">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3、工程完工后，我方将及时将施工渣土清运出场，做到不积压。</w:t>
      </w:r>
    </w:p>
    <w:p w14:paraId="62442FEB">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4、执行广东省、广州市有关加强施工现场文明施工管理的规定。</w:t>
      </w:r>
    </w:p>
    <w:p w14:paraId="37FEDAE9">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落实防火安全责任制，建立义务消防组织，明确责任人，负责施工现场的日常防火安全管理工作。在保证充足的消防水源的基础上，在施工临设工人宿舍、现场办公室均配备足够的灭火器材，做到办公生活区每幢工棚挂设4kg干粉灭火器2—6只，在每幢办公或生活工棚外各设置2~3个消防沙箱；并对工人进行安全消防教育，学习正确使用安全器材的方法，加强安全防火意识。</w:t>
      </w:r>
    </w:p>
    <w:p w14:paraId="73D83844">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施工现场建立健全用火管理制度，对工人进行用火安全施工教育培训，提高工人用火安全意识。施工作业用火时，须履行用火审批手续，经施工安全负责人审查批准，领取用火证后，方可在指定时间、地点作业。作业时应配备专人监护，作业后必须确认无火源危险后方可离开作业地点。</w:t>
      </w:r>
    </w:p>
    <w:p w14:paraId="5DAC9003">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7、施工现场设置消防车道，并应保持畅通。施工现场道路保持两方向畅通，保证消防车辆能够及时进入事发现场进行救援工作。</w:t>
      </w:r>
    </w:p>
    <w:p w14:paraId="59B16F93">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8、对工人进行岗前教育，施工作业应当在批准的施工场地内进行，不得在施工场地范围外堆放物料、机具等。</w:t>
      </w:r>
    </w:p>
    <w:p w14:paraId="20982313">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施工现场的工棚和临时厕所等临时设施远离临街一侧，不得改变使用性质。施工现场设置临时环卫设施，有专人负责保洁和管理，做到场区内无暴露性生活垃圾；临时厕所有专人洗涮保洁，做好清掏、消杀工作，做到无蝇蛆孳生。</w:t>
      </w:r>
    </w:p>
    <w:p w14:paraId="576A299C">
      <w:pPr>
        <w:spacing w:before="120"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10、不得在施工现场焚烧油毡、橡胶、油漆、垃圾以及其他产生有毒、有害烟尘和恶臭气体的物质。</w:t>
      </w:r>
    </w:p>
    <w:p w14:paraId="652680FD">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11、劳动保护</w:t>
      </w:r>
    </w:p>
    <w:p w14:paraId="20B96B30">
      <w:pPr>
        <w:spacing w:line="360" w:lineRule="auto"/>
        <w:ind w:firstLine="588"/>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承包人应按照国家劳动保护法的规定，定期发给在现场施工的工作人员必需的劳动保护用品，如安全帽、水鞋、雨衣、手套、手灯、防护面具和安全带等。承包人还应按照劳动保护法的有关规定发给特殊工种作业人员的劳动保护津贴和营养补助。</w:t>
      </w:r>
    </w:p>
    <w:p w14:paraId="0A298C1E">
      <w:pPr>
        <w:spacing w:line="360" w:lineRule="auto"/>
        <w:rPr>
          <w:color w:val="000000" w:themeColor="text1"/>
          <w:szCs w:val="21"/>
          <w14:textFill>
            <w14:solidFill>
              <w14:schemeClr w14:val="tx1"/>
            </w14:solidFill>
          </w14:textFill>
        </w:rPr>
      </w:pPr>
      <w:r>
        <w:rPr>
          <w:rFonts w:hint="eastAsia"/>
          <w:b/>
          <w:color w:val="000000" w:themeColor="text1"/>
          <w:sz w:val="23"/>
          <w:szCs w:val="24"/>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12、照明安全</w:t>
      </w:r>
    </w:p>
    <w:p w14:paraId="5FA02E09">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承包人应在施工作业区、施工道路、临时设施、办公区和生活区设置足够的照明。在不便于使用电器照明的工作面应采用特殊照明设施。在潮湿和易触及带电体场所的照明供电电压不应大于 36V 。</w:t>
      </w:r>
    </w:p>
    <w:p w14:paraId="6D8D2CC1">
      <w:pPr>
        <w:spacing w:line="360" w:lineRule="auto"/>
        <w:rPr>
          <w:color w:val="000000" w:themeColor="text1"/>
          <w:szCs w:val="21"/>
          <w14:textFill>
            <w14:solidFill>
              <w14:schemeClr w14:val="tx1"/>
            </w14:solidFill>
          </w14:textFill>
        </w:rPr>
      </w:pPr>
      <w:r>
        <w:rPr>
          <w:rFonts w:hint="eastAsia"/>
          <w:b/>
          <w:color w:val="000000" w:themeColor="text1"/>
          <w:sz w:val="23"/>
          <w:szCs w:val="24"/>
          <w14:textFill>
            <w14:solidFill>
              <w14:schemeClr w14:val="tx1"/>
            </w14:solidFill>
          </w14:textFill>
        </w:rPr>
        <w:t xml:space="preserve">    </w:t>
      </w:r>
      <w:r>
        <w:rPr>
          <w:rFonts w:hint="eastAsia"/>
          <w:bCs/>
          <w:color w:val="000000" w:themeColor="text1"/>
          <w:sz w:val="23"/>
          <w:szCs w:val="24"/>
          <w14:textFill>
            <w14:solidFill>
              <w14:schemeClr w14:val="tx1"/>
            </w14:solidFill>
          </w14:textFill>
        </w:rPr>
        <w:t xml:space="preserve"> </w:t>
      </w:r>
      <w:r>
        <w:rPr>
          <w:rFonts w:hint="eastAsia"/>
          <w:color w:val="000000" w:themeColor="text1"/>
          <w:szCs w:val="21"/>
          <w14:textFill>
            <w14:solidFill>
              <w14:schemeClr w14:val="tx1"/>
            </w14:solidFill>
          </w14:textFill>
        </w:rPr>
        <w:t>13、接地及避雷装置</w:t>
      </w:r>
    </w:p>
    <w:p w14:paraId="7335A0D2">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凡可能漏电伤人或易受雷击的电器及建筑物均应设置接地或避雷装置。承包人应负责避雷装置的采购、安装、管理和维修，并建立定期检查制度。</w:t>
      </w:r>
    </w:p>
    <w:p w14:paraId="6A4050BF">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14、有害气体的控制</w:t>
      </w:r>
    </w:p>
    <w:p w14:paraId="4470C3AB">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在工程施工中，承包人应配备对有害气体的监测和报警装置以及工人使用的防护面具。一旦发现有毒气体，承包人应立即停止施工和疏散人员，并及时报告监理人。承包人应在经过慎重处理，确认不存在危险，并取得监理人同意后，方可复工。</w:t>
      </w:r>
    </w:p>
    <w:p w14:paraId="4044E005">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15、消防</w:t>
      </w:r>
    </w:p>
    <w:p w14:paraId="2EA9FF75">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承包人应负责做好其自己辖区内的消防工作，配备一定数量的常规消防器材，并对职工进行消防安全训练。承包人还应对其辖区内发生的火灾及其造成的人员伤亡和财产损失负责。</w:t>
      </w:r>
    </w:p>
    <w:p w14:paraId="09AC6A06">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16、安全防护设施</w:t>
      </w:r>
    </w:p>
    <w:p w14:paraId="072278B3">
      <w:pPr>
        <w:spacing w:line="360" w:lineRule="auto"/>
        <w:rPr>
          <w:color w:val="000000" w:themeColor="text1"/>
          <w:sz w:val="23"/>
          <w:szCs w:val="24"/>
          <w14:textFill>
            <w14:solidFill>
              <w14:schemeClr w14:val="tx1"/>
            </w14:solidFill>
          </w14:textFill>
        </w:rPr>
      </w:pPr>
      <w:r>
        <w:rPr>
          <w:rFonts w:hint="eastAsia"/>
          <w:color w:val="000000" w:themeColor="text1"/>
          <w:szCs w:val="21"/>
          <w14:textFill>
            <w14:solidFill>
              <w14:schemeClr w14:val="tx1"/>
            </w14:solidFill>
          </w14:textFill>
        </w:rPr>
        <w:t xml:space="preserve">     本合同工程施工期间，</w:t>
      </w:r>
      <w:r>
        <w:rPr>
          <w:rFonts w:hint="eastAsia"/>
          <w:color w:val="000000" w:themeColor="text1"/>
          <w:sz w:val="23"/>
          <w:szCs w:val="24"/>
          <w14:textFill>
            <w14:solidFill>
              <w14:schemeClr w14:val="tx1"/>
            </w14:solidFill>
          </w14:textFill>
        </w:rPr>
        <w:t>为保护本合同工程免遭破坏，或为了现场附近和过往群众的安全和方便，或当监理人或有关部门要求时，在确有必要的时候和地点，承包人应提供照明、警卫、护栅、警告标志等安全防护设施，并负责维修和保护施工区内自设或发包人设置的所有安全防护设施。</w:t>
      </w:r>
    </w:p>
    <w:p w14:paraId="728BC954">
      <w:pPr>
        <w:spacing w:line="360" w:lineRule="auto"/>
        <w:rPr>
          <w:color w:val="000000" w:themeColor="text1"/>
          <w:szCs w:val="21"/>
          <w14:textFill>
            <w14:solidFill>
              <w14:schemeClr w14:val="tx1"/>
            </w14:solidFill>
          </w14:textFill>
        </w:rPr>
      </w:pPr>
      <w:r>
        <w:rPr>
          <w:rFonts w:hint="eastAsia"/>
          <w:b/>
          <w:color w:val="000000" w:themeColor="text1"/>
          <w:sz w:val="23"/>
          <w:szCs w:val="24"/>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17、安全防护手册</w:t>
      </w:r>
    </w:p>
    <w:p w14:paraId="25B30BF0">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承包人应编制适合本工程需要的安全防护手册，其内容应遵守国家颁布的各种安全规程。承包人应在收到开工通知后 28 天内将手册的复制清样提交监理人。安全防护手册除发给承包人全体职工外，还应发给发包人、监理人，安全防护手册的基本内容应包括（但不限于）：</w:t>
      </w:r>
    </w:p>
    <w:p w14:paraId="1CB06E18">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⑴防护衣、安全帽、防护鞋袜及防护用品的使用；</w:t>
      </w:r>
    </w:p>
    <w:p w14:paraId="64F08DF0">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⑵升降机和起重机的使用；</w:t>
      </w:r>
    </w:p>
    <w:p w14:paraId="77A32E8C">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⑶各种施工机械的使用；  </w:t>
      </w:r>
    </w:p>
    <w:p w14:paraId="34C8B255">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⑷汽车驾驶安全；  </w:t>
      </w:r>
    </w:p>
    <w:p w14:paraId="6DD2EB1B">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⑸用电安全；</w:t>
      </w:r>
    </w:p>
    <w:p w14:paraId="64731D0B">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⑹模板、脚手架作业的安全；</w:t>
      </w:r>
    </w:p>
    <w:p w14:paraId="7B723535">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⑺皮带运输机使用的安全；</w:t>
      </w:r>
    </w:p>
    <w:p w14:paraId="12323884">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⑻混凝土浇筑作业的安全；</w:t>
      </w:r>
    </w:p>
    <w:p w14:paraId="0DD95956">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⑼机修作业的安全；</w:t>
      </w:r>
    </w:p>
    <w:p w14:paraId="0CED149A">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⑽压缩空气作业的安全；</w:t>
      </w:r>
    </w:p>
    <w:p w14:paraId="11D3DCCA">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⑾高空作业的安全；</w:t>
      </w:r>
    </w:p>
    <w:p w14:paraId="3645E74B">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⑿焊接作业的安全和防护；</w:t>
      </w:r>
    </w:p>
    <w:p w14:paraId="07ABB2FA">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⒀油漆作业的安全和防护；</w:t>
      </w:r>
    </w:p>
    <w:p w14:paraId="197EE853">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⒁意外事故和火灾的救护程序；</w:t>
      </w:r>
    </w:p>
    <w:p w14:paraId="580D7574">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⒂防洪和防气象灾害措施；</w:t>
      </w:r>
    </w:p>
    <w:p w14:paraId="06958412">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信号和告警知识；</w:t>
      </w:r>
    </w:p>
    <w:p w14:paraId="4EC72CA8">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其它有关规定。</w:t>
      </w:r>
    </w:p>
    <w:p w14:paraId="2E8F1501">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r>
        <w:rPr>
          <w:rFonts w:hint="eastAsia"/>
          <w:b/>
          <w:bCs/>
          <w:color w:val="000000" w:themeColor="text1"/>
          <w:szCs w:val="21"/>
          <w14:textFill>
            <w14:solidFill>
              <w14:schemeClr w14:val="tx1"/>
            </w14:solidFill>
          </w14:textFill>
        </w:rPr>
        <w:t xml:space="preserve">  三、环境保护</w:t>
      </w:r>
    </w:p>
    <w:p w14:paraId="3C6C6953">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1、遵守环境保护的法律、法规和规章</w:t>
      </w:r>
    </w:p>
    <w:p w14:paraId="199DFC94">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承包人必须遵守国家有关环境保护的法律、法规和规章，并按本合同《通用合同条款》第9.4条的有关规定，做好施工区的环境保护工作，防止由于工程施工造成施工区附近地区的环境污染和破坏。</w:t>
      </w:r>
    </w:p>
    <w:p w14:paraId="630EECE2">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2、环境保护措施计划</w:t>
      </w:r>
    </w:p>
    <w:p w14:paraId="688C4BCD">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承包人应在编报施工总布置设计文件的同时，编制一份施工区和生活区的环境保护措施计划，报送监理人审批。其内容应包括：</w:t>
      </w:r>
    </w:p>
    <w:p w14:paraId="447FA79D">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⑴施工弃渣的利用和堆放；</w:t>
      </w:r>
    </w:p>
    <w:p w14:paraId="04726DEA">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⑵施工场地开挖的边坡保护和水土流失防治措施；</w:t>
      </w:r>
    </w:p>
    <w:p w14:paraId="3EF65A9B">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⑶防止饮用水污染措施；</w:t>
      </w:r>
    </w:p>
    <w:p w14:paraId="36E1D911">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⑷施工活动中的噪声、粉尘、废气、废水和废油等的治理措施；</w:t>
      </w:r>
    </w:p>
    <w:p w14:paraId="27045F07">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⑸施工区和生活区的卫生设施以及粪便、垃圾的治理措施；</w:t>
      </w:r>
    </w:p>
    <w:p w14:paraId="6B94F613">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⑹完工后的场地清理。</w:t>
      </w:r>
    </w:p>
    <w:p w14:paraId="3A2392FD">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3、施工弃渣的治理</w:t>
      </w:r>
    </w:p>
    <w:p w14:paraId="73985778">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承包人应按本合同技术条款的规定和监理人的指示做好施工弃渣的治理措施，保护施工开挖边坡的稳定，防止料场、永久建筑物基础和施工场地的开挖弃渣冲蚀河床或淤积河道。</w:t>
      </w:r>
    </w:p>
    <w:p w14:paraId="4902D6FD">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4、环境污染的治理</w:t>
      </w:r>
    </w:p>
    <w:p w14:paraId="63FB675F">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⑴承包人应按国家和地方有关环境保护法规和规章的规定控制地下工程施工的噪声、粉尘和有毒气体，保障工人的劳动卫生条件。</w:t>
      </w:r>
    </w:p>
    <w:p w14:paraId="6B9F9387">
      <w:pPr>
        <w:tabs>
          <w:tab w:val="left" w:pos="0"/>
        </w:tabs>
        <w:spacing w:line="360" w:lineRule="auto"/>
        <w:ind w:firstLine="456"/>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⑵承包人应保护施工区和生活区的环境卫生，定时清除垃圾，并将其运至批准的地点掩埋或焚烧处理。承包人应在现场和生活区设置足够的临时卫生设施，定期清扫处理。</w:t>
      </w:r>
    </w:p>
    <w:p w14:paraId="0E3D917C">
      <w:pPr>
        <w:tabs>
          <w:tab w:val="left" w:pos="0"/>
        </w:tabs>
        <w:spacing w:line="360" w:lineRule="auto"/>
        <w:ind w:firstLine="501"/>
        <w:rPr>
          <w:rFonts w:hint="eastAsia"/>
          <w:b/>
          <w:bCs/>
          <w:color w:val="000000" w:themeColor="text1"/>
          <w:sz w:val="23"/>
          <w:szCs w:val="24"/>
          <w14:textFill>
            <w14:solidFill>
              <w14:schemeClr w14:val="tx1"/>
            </w14:solidFill>
          </w14:textFill>
        </w:rPr>
      </w:pPr>
      <w:r>
        <w:rPr>
          <w:rFonts w:hint="eastAsia"/>
          <w:b/>
          <w:bCs/>
          <w:color w:val="000000" w:themeColor="text1"/>
          <w:sz w:val="23"/>
          <w:szCs w:val="24"/>
          <w14:textFill>
            <w14:solidFill>
              <w14:schemeClr w14:val="tx1"/>
            </w14:solidFill>
          </w14:textFill>
        </w:rPr>
        <w:t>注：除应执行本施工组织设计要点外，应参照国家等现行有关规定及工程建设标准作进一步完善。</w:t>
      </w:r>
    </w:p>
    <w:p w14:paraId="0D330B06">
      <w:pPr>
        <w:spacing w:line="360" w:lineRule="auto"/>
        <w:jc w:val="center"/>
        <w:rPr>
          <w:rFonts w:hint="eastAsia" w:ascii="宋体" w:hAnsi="宋体"/>
          <w:b/>
          <w:bCs/>
          <w:color w:val="000000" w:themeColor="text1"/>
          <w:sz w:val="30"/>
          <w:szCs w:val="30"/>
          <w14:textFill>
            <w14:solidFill>
              <w14:schemeClr w14:val="tx1"/>
            </w14:solidFill>
          </w14:textFill>
        </w:rPr>
      </w:pPr>
    </w:p>
    <w:p w14:paraId="7F3B349D">
      <w:pPr>
        <w:spacing w:line="360" w:lineRule="auto"/>
        <w:jc w:val="center"/>
        <w:rPr>
          <w:rFonts w:hint="eastAsia" w:ascii="宋体" w:hAnsi="宋体"/>
          <w:b/>
          <w:bCs/>
          <w:color w:val="000000" w:themeColor="text1"/>
          <w:sz w:val="30"/>
          <w:szCs w:val="30"/>
          <w14:textFill>
            <w14:solidFill>
              <w14:schemeClr w14:val="tx1"/>
            </w14:solidFill>
          </w14:textFill>
        </w:rPr>
      </w:pPr>
      <w:r>
        <w:rPr>
          <w:rFonts w:hint="eastAsia" w:ascii="宋体" w:hAnsi="宋体"/>
          <w:b/>
          <w:bCs/>
          <w:color w:val="000000" w:themeColor="text1"/>
          <w:sz w:val="30"/>
          <w:szCs w:val="30"/>
          <w14:textFill>
            <w14:solidFill>
              <w14:schemeClr w14:val="tx1"/>
            </w14:solidFill>
          </w14:textFill>
        </w:rPr>
        <w:t>第五部分  各分部工程施工技术要求</w:t>
      </w:r>
    </w:p>
    <w:p w14:paraId="4B045972">
      <w:pPr>
        <w:numPr>
          <w:ilvl w:val="0"/>
          <w:numId w:val="3"/>
        </w:numPr>
        <w:autoSpaceDE w:val="0"/>
        <w:autoSpaceDN w:val="0"/>
        <w:adjustRightInd w:val="0"/>
        <w:spacing w:line="360" w:lineRule="auto"/>
        <w:jc w:val="left"/>
        <w:outlineLvl w:val="1"/>
        <w:rPr>
          <w:rFonts w:hint="eastAsia" w:ascii="黑体" w:hAnsi="黑体" w:eastAsia="黑体"/>
          <w:color w:val="000000" w:themeColor="text1"/>
          <w:kern w:val="0"/>
          <w:sz w:val="24"/>
          <w:szCs w:val="24"/>
          <w14:textFill>
            <w14:solidFill>
              <w14:schemeClr w14:val="tx1"/>
            </w14:solidFill>
          </w14:textFill>
        </w:rPr>
      </w:pPr>
      <w:r>
        <w:rPr>
          <w:rFonts w:ascii="黑体" w:hAnsi="黑体" w:eastAsia="黑体"/>
          <w:color w:val="000000" w:themeColor="text1"/>
          <w:kern w:val="0"/>
          <w:sz w:val="24"/>
          <w:szCs w:val="24"/>
          <w14:textFill>
            <w14:solidFill>
              <w14:schemeClr w14:val="tx1"/>
            </w14:solidFill>
          </w14:textFill>
        </w:rPr>
        <w:t>排水技术说明</w:t>
      </w:r>
    </w:p>
    <w:p w14:paraId="1D52D029">
      <w:pPr>
        <w:numPr>
          <w:ilvl w:val="0"/>
          <w:numId w:val="4"/>
        </w:numPr>
        <w:autoSpaceDE w:val="0"/>
        <w:autoSpaceDN w:val="0"/>
        <w:adjustRightInd w:val="0"/>
        <w:spacing w:line="360" w:lineRule="auto"/>
        <w:jc w:val="left"/>
        <w:outlineLvl w:val="2"/>
        <w:rPr>
          <w:rFonts w:eastAsia="黑体"/>
          <w:color w:val="000000" w:themeColor="text1"/>
          <w:kern w:val="0"/>
          <w:sz w:val="24"/>
          <w:szCs w:val="24"/>
          <w14:textFill>
            <w14:solidFill>
              <w14:schemeClr w14:val="tx1"/>
            </w14:solidFill>
          </w14:textFill>
        </w:rPr>
      </w:pPr>
      <w:r>
        <w:rPr>
          <w:rFonts w:eastAsia="黑体"/>
          <w:color w:val="000000" w:themeColor="text1"/>
          <w:kern w:val="0"/>
          <w:sz w:val="24"/>
          <w:szCs w:val="24"/>
          <w14:textFill>
            <w14:solidFill>
              <w14:schemeClr w14:val="tx1"/>
            </w14:solidFill>
          </w14:textFill>
        </w:rPr>
        <w:t>技术标准及参数</w:t>
      </w:r>
    </w:p>
    <w:p w14:paraId="2E054D9E">
      <w:pPr>
        <w:spacing w:line="360" w:lineRule="auto"/>
        <w:ind w:firstLine="420" w:firstLineChars="200"/>
        <w:rPr>
          <w:szCs w:val="21"/>
        </w:rPr>
      </w:pPr>
      <w:r>
        <w:rPr>
          <w:color w:val="000000" w:themeColor="text1"/>
          <w:szCs w:val="21"/>
          <w14:textFill>
            <w14:solidFill>
              <w14:schemeClr w14:val="tx1"/>
            </w14:solidFill>
          </w14:textFill>
        </w:rPr>
        <w:t>1、管材</w:t>
      </w:r>
    </w:p>
    <w:p w14:paraId="29CA8589">
      <w:pPr>
        <w:spacing w:line="440" w:lineRule="exact"/>
        <w:ind w:firstLine="420" w:firstLineChars="200"/>
        <w:rPr>
          <w:szCs w:val="21"/>
        </w:rPr>
      </w:pPr>
      <w:r>
        <w:rPr>
          <w:rFonts w:hint="eastAsia"/>
          <w:szCs w:val="21"/>
        </w:rPr>
        <w:t>（1）雨、污水管：管径DN≥300，且位于车行道下或施工条件良好的主巷道管道选用钢筋混凝土管，管材应符合《混凝土和钢筋混凝土排水管》（GB/T11836-2023）相应要求。同时，按照《广州市水务局关于推广使用广州市水务工程混凝土管质量监管系统的通知》（穗水质安【2017】11号）的相关规定，混凝土管道中需安装电子芯片，便于检测。</w:t>
      </w:r>
    </w:p>
    <w:p w14:paraId="54BE7E18">
      <w:pPr>
        <w:spacing w:line="440" w:lineRule="exact"/>
        <w:ind w:firstLine="420" w:firstLineChars="200"/>
        <w:rPr>
          <w:szCs w:val="21"/>
        </w:rPr>
      </w:pPr>
      <w:r>
        <w:rPr>
          <w:rFonts w:hint="eastAsia"/>
          <w:szCs w:val="21"/>
        </w:rPr>
        <w:t>（2）顶管施工：采用III级钢筋混凝土F管，用d表示公称内径。管材应采用耐腐蚀材料，其接口和附属构筑物应采取相应的防腐蚀措施，质量须满足《混凝土和钢筋混凝土排水管》GB/T11836-2023要求。</w:t>
      </w:r>
    </w:p>
    <w:p w14:paraId="2EBD0CCB">
      <w:pPr>
        <w:spacing w:line="440" w:lineRule="exact"/>
        <w:ind w:firstLine="420" w:firstLineChars="200"/>
        <w:rPr>
          <w:szCs w:val="21"/>
        </w:rPr>
      </w:pPr>
      <w:r>
        <w:rPr>
          <w:rFonts w:hint="eastAsia"/>
          <w:szCs w:val="21"/>
        </w:rPr>
        <w:t>（3）压力管：管径DN≥300，采用Q235B焊接钢管，焊缝须按《工业金属管道工程施工质量验收规范》GB 50184－2011规定进行检测，焊缝等级为IV级，无损检测比例≥5%。承插式连接的承口应逆水流方向，插口应顺水流方向。所有管道接口连接所需的止水圈、短管及带材等均由管材厂家配套供应。管径DN＜300，采用PE100级聚乙烯管，用DN表示公称直径，管材环刚度不小于8KN/m2/，管材质量须满足《给水用聚乙烯（PE）管道系统 第2部分：管材》（GB/T 13663.2-2018）要求。</w:t>
      </w:r>
    </w:p>
    <w:p w14:paraId="14EE909A">
      <w:pPr>
        <w:spacing w:line="440" w:lineRule="exact"/>
        <w:ind w:firstLine="420" w:firstLineChars="200"/>
        <w:rPr>
          <w:szCs w:val="21"/>
        </w:rPr>
      </w:pPr>
      <w:r>
        <w:rPr>
          <w:rFonts w:hint="eastAsia"/>
          <w:szCs w:val="21"/>
        </w:rPr>
        <w:t>管材订货时必须向生产厂家提供管道埋深、地质条件、地面荷载等管材安装使用条件资料，由厂家对管材环刚度、管材等级、防腐等级等各项技术参数进行复核，提供满足本工程使用要求的管材。</w:t>
      </w:r>
    </w:p>
    <w:p w14:paraId="042C726F">
      <w:pPr>
        <w:spacing w:line="440" w:lineRule="exact"/>
        <w:ind w:firstLine="420" w:firstLineChars="200"/>
        <w:rPr>
          <w:szCs w:val="21"/>
        </w:rPr>
      </w:pPr>
      <w:r>
        <w:rPr>
          <w:szCs w:val="21"/>
        </w:rPr>
        <w:t>2、管道连接及接口形式</w:t>
      </w:r>
    </w:p>
    <w:p w14:paraId="08E418D0">
      <w:pPr>
        <w:spacing w:line="440" w:lineRule="exact"/>
        <w:ind w:firstLine="420" w:firstLineChars="200"/>
        <w:rPr>
          <w:szCs w:val="21"/>
        </w:rPr>
      </w:pPr>
      <w:r>
        <w:rPr>
          <w:rFonts w:hint="eastAsia"/>
          <w:szCs w:val="21"/>
        </w:rPr>
        <w:t>（</w:t>
      </w:r>
      <w:r>
        <w:rPr>
          <w:szCs w:val="21"/>
        </w:rPr>
        <w:t>1</w:t>
      </w:r>
      <w:r>
        <w:rPr>
          <w:rFonts w:hint="eastAsia"/>
          <w:szCs w:val="21"/>
        </w:rPr>
        <w:t>）</w:t>
      </w:r>
      <w:r>
        <w:rPr>
          <w:szCs w:val="21"/>
        </w:rPr>
        <w:t>II</w:t>
      </w:r>
      <w:r>
        <w:rPr>
          <w:rFonts w:hint="eastAsia"/>
          <w:szCs w:val="21"/>
        </w:rPr>
        <w:t>级钢筋混凝土管：</w:t>
      </w:r>
      <w:r>
        <w:rPr>
          <w:szCs w:val="21"/>
        </w:rPr>
        <w:t>d</w:t>
      </w:r>
      <w:r>
        <w:rPr>
          <w:rFonts w:hint="eastAsia"/>
          <w:szCs w:val="21"/>
        </w:rPr>
        <w:t>≤</w:t>
      </w:r>
      <w:r>
        <w:rPr>
          <w:szCs w:val="21"/>
        </w:rPr>
        <w:t>1200</w:t>
      </w:r>
      <w:r>
        <w:rPr>
          <w:rFonts w:hint="eastAsia"/>
          <w:szCs w:val="21"/>
        </w:rPr>
        <w:t>采用弹性橡胶密封圈承插式接头；</w:t>
      </w:r>
      <w:r>
        <w:rPr>
          <w:szCs w:val="21"/>
        </w:rPr>
        <w:t>d&gt;1200</w:t>
      </w:r>
      <w:r>
        <w:rPr>
          <w:rFonts w:hint="eastAsia"/>
          <w:szCs w:val="21"/>
        </w:rPr>
        <w:t>采用弹性橡胶密封圈企口式接头；</w:t>
      </w:r>
    </w:p>
    <w:p w14:paraId="7CFABDA1">
      <w:pPr>
        <w:spacing w:line="440" w:lineRule="exact"/>
        <w:ind w:firstLine="420" w:firstLineChars="200"/>
        <w:rPr>
          <w:szCs w:val="21"/>
        </w:rPr>
      </w:pPr>
      <w:r>
        <w:rPr>
          <w:rFonts w:hint="eastAsia"/>
          <w:szCs w:val="21"/>
        </w:rPr>
        <w:t>（</w:t>
      </w:r>
      <w:r>
        <w:rPr>
          <w:szCs w:val="21"/>
        </w:rPr>
        <w:t>2</w:t>
      </w:r>
      <w:r>
        <w:rPr>
          <w:rFonts w:hint="eastAsia"/>
          <w:szCs w:val="21"/>
        </w:rPr>
        <w:t>）</w:t>
      </w:r>
      <w:r>
        <w:rPr>
          <w:szCs w:val="21"/>
        </w:rPr>
        <w:t>III</w:t>
      </w:r>
      <w:r>
        <w:rPr>
          <w:rFonts w:hint="eastAsia"/>
          <w:szCs w:val="21"/>
        </w:rPr>
        <w:t>级钢筋混凝土</w:t>
      </w:r>
      <w:r>
        <w:rPr>
          <w:szCs w:val="21"/>
        </w:rPr>
        <w:t>F</w:t>
      </w:r>
      <w:r>
        <w:rPr>
          <w:rFonts w:hint="eastAsia"/>
          <w:szCs w:val="21"/>
        </w:rPr>
        <w:t>管：采用</w:t>
      </w:r>
      <w:r>
        <w:rPr>
          <w:szCs w:val="21"/>
        </w:rPr>
        <w:t>F</w:t>
      </w:r>
      <w:r>
        <w:rPr>
          <w:rFonts w:hint="eastAsia"/>
          <w:szCs w:val="21"/>
        </w:rPr>
        <w:t>型橡胶圈承插接口；</w:t>
      </w:r>
    </w:p>
    <w:p w14:paraId="4AE60508">
      <w:pPr>
        <w:spacing w:line="440" w:lineRule="exact"/>
        <w:ind w:firstLine="420" w:firstLineChars="200"/>
        <w:rPr>
          <w:szCs w:val="21"/>
        </w:rPr>
      </w:pPr>
      <w:r>
        <w:rPr>
          <w:rFonts w:hint="eastAsia"/>
          <w:szCs w:val="21"/>
        </w:rPr>
        <w:t>（</w:t>
      </w:r>
      <w:r>
        <w:rPr>
          <w:szCs w:val="21"/>
        </w:rPr>
        <w:t>3</w:t>
      </w:r>
      <w:r>
        <w:rPr>
          <w:rFonts w:hint="eastAsia"/>
          <w:szCs w:val="21"/>
        </w:rPr>
        <w:t>）</w:t>
      </w:r>
      <w:r>
        <w:rPr>
          <w:szCs w:val="21"/>
        </w:rPr>
        <w:t>Q235B</w:t>
      </w:r>
      <w:r>
        <w:rPr>
          <w:rFonts w:hint="eastAsia"/>
          <w:szCs w:val="21"/>
        </w:rPr>
        <w:t>焊接钢管：采用对焊接口；</w:t>
      </w:r>
    </w:p>
    <w:p w14:paraId="4E86F513">
      <w:pPr>
        <w:spacing w:line="440" w:lineRule="exact"/>
        <w:ind w:firstLine="420" w:firstLineChars="200"/>
        <w:rPr>
          <w:szCs w:val="21"/>
        </w:rPr>
      </w:pPr>
      <w:r>
        <w:rPr>
          <w:rFonts w:hint="eastAsia"/>
          <w:szCs w:val="21"/>
        </w:rPr>
        <w:t>（</w:t>
      </w:r>
      <w:r>
        <w:rPr>
          <w:szCs w:val="21"/>
        </w:rPr>
        <w:t>4</w:t>
      </w:r>
      <w:r>
        <w:rPr>
          <w:rFonts w:hint="eastAsia"/>
          <w:szCs w:val="21"/>
        </w:rPr>
        <w:t>）</w:t>
      </w:r>
      <w:r>
        <w:rPr>
          <w:szCs w:val="21"/>
        </w:rPr>
        <w:t>PE100</w:t>
      </w:r>
      <w:r>
        <w:rPr>
          <w:rFonts w:hint="eastAsia"/>
          <w:szCs w:val="21"/>
        </w:rPr>
        <w:t>级聚乙烯管：采用热熔或电熔承插接口</w:t>
      </w:r>
      <w:r>
        <w:rPr>
          <w:szCs w:val="21"/>
        </w:rPr>
        <w:t>。</w:t>
      </w:r>
    </w:p>
    <w:p w14:paraId="5E62B956">
      <w:pPr>
        <w:spacing w:line="440" w:lineRule="exact"/>
        <w:ind w:firstLine="420" w:firstLineChars="200"/>
      </w:pPr>
      <w:r>
        <w:rPr>
          <w:rFonts w:hint="eastAsia"/>
        </w:rPr>
        <w:t>3、管道防腐</w:t>
      </w:r>
    </w:p>
    <w:p w14:paraId="67CA0E8F">
      <w:pPr>
        <w:spacing w:line="440" w:lineRule="exact"/>
        <w:ind w:firstLine="420" w:firstLineChars="200"/>
      </w:pPr>
      <w:r>
        <w:rPr>
          <w:rFonts w:hint="eastAsia"/>
        </w:rPr>
        <w:t>本工程所有钢制管道及管件均须进行防腐处理：</w:t>
      </w:r>
    </w:p>
    <w:p w14:paraId="54C0E37E">
      <w:pPr>
        <w:spacing w:line="440" w:lineRule="exact"/>
        <w:ind w:firstLine="420" w:firstLineChars="200"/>
      </w:pPr>
      <w:r>
        <w:rPr>
          <w:rFonts w:hint="eastAsia"/>
        </w:rPr>
        <w:t>（</w:t>
      </w:r>
      <w:r>
        <w:t>1</w:t>
      </w:r>
      <w:r>
        <w:rPr>
          <w:rFonts w:hint="eastAsia"/>
        </w:rPr>
        <w:t>）前处理：喷砂除锈达到</w:t>
      </w:r>
      <w:r>
        <w:t>Sa2.5</w:t>
      </w:r>
      <w:r>
        <w:rPr>
          <w:rFonts w:hint="eastAsia"/>
        </w:rPr>
        <w:t>级或电动砂轮除锈达到</w:t>
      </w:r>
      <w:r>
        <w:t>St3</w:t>
      </w:r>
      <w:r>
        <w:rPr>
          <w:rFonts w:hint="eastAsia"/>
        </w:rPr>
        <w:t>级标准</w:t>
      </w:r>
      <w:r>
        <w:t>;</w:t>
      </w:r>
      <w:r>
        <w:rPr>
          <w:rFonts w:hint="eastAsia"/>
        </w:rPr>
        <w:t>清理掉表面的灰尘、砂粒，使表面清洁、干燥；</w:t>
      </w:r>
    </w:p>
    <w:p w14:paraId="157B240E">
      <w:pPr>
        <w:spacing w:line="440" w:lineRule="exact"/>
        <w:ind w:firstLine="420" w:firstLineChars="200"/>
      </w:pPr>
      <w:r>
        <w:rPr>
          <w:rFonts w:hint="eastAsia"/>
        </w:rPr>
        <w:t>（</w:t>
      </w:r>
      <w:r>
        <w:t>2</w:t>
      </w:r>
      <w:r>
        <w:rPr>
          <w:rFonts w:hint="eastAsia"/>
        </w:rPr>
        <w:t>）钢管内防腐：在钢管内壁先涂底漆三遍，采用环氧重防腐涂料（铁红色），厚约</w:t>
      </w:r>
      <w:r>
        <w:t>80umx3</w:t>
      </w:r>
      <w:r>
        <w:rPr>
          <w:rFonts w:hint="eastAsia"/>
        </w:rPr>
        <w:t>。面漆两遍，采用高抗水性环氧重防腐涂料（棕黑色），厚约</w:t>
      </w:r>
      <w:r>
        <w:t>80umx2</w:t>
      </w:r>
      <w:r>
        <w:rPr>
          <w:rFonts w:hint="eastAsia"/>
        </w:rPr>
        <w:t>，涂层干膜厚约</w:t>
      </w:r>
      <w:r>
        <w:t>40um</w:t>
      </w:r>
      <w:r>
        <w:rPr>
          <w:rFonts w:hint="eastAsia"/>
        </w:rPr>
        <w:t>；</w:t>
      </w:r>
    </w:p>
    <w:p w14:paraId="1019C6CE">
      <w:pPr>
        <w:spacing w:line="440" w:lineRule="exact"/>
        <w:ind w:firstLine="420" w:firstLineChars="200"/>
      </w:pPr>
      <w:r>
        <w:rPr>
          <w:rFonts w:hint="eastAsia"/>
        </w:rPr>
        <w:t>（</w:t>
      </w:r>
      <w:r>
        <w:t>3</w:t>
      </w:r>
      <w:r>
        <w:rPr>
          <w:rFonts w:hint="eastAsia"/>
        </w:rPr>
        <w:t>）钢管外防腐：在钢管外壁先涂底漆三遍，采用环氧重防腐涂料（铁红色），厚约</w:t>
      </w:r>
      <w:r>
        <w:t>80umx3</w:t>
      </w:r>
      <w:r>
        <w:rPr>
          <w:rFonts w:hint="eastAsia"/>
        </w:rPr>
        <w:t>。钢管外壁加设玻璃纤维布（无碱、无腊）二层。面漆三遍，采用高抗水性环氧重防腐涂料（棕黑色），厚约</w:t>
      </w:r>
      <w:r>
        <w:t>80umx3</w:t>
      </w:r>
      <w:r>
        <w:rPr>
          <w:rFonts w:hint="eastAsia"/>
        </w:rPr>
        <w:t>，涂层干膜厚约</w:t>
      </w:r>
      <w:r>
        <w:t>50um</w:t>
      </w:r>
      <w:r>
        <w:rPr>
          <w:rFonts w:hint="eastAsia"/>
        </w:rPr>
        <w:t>。</w:t>
      </w:r>
    </w:p>
    <w:p w14:paraId="00B76A67">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、沟槽开挖</w:t>
      </w:r>
      <w:r>
        <w:rPr>
          <w:rFonts w:hint="eastAsia"/>
          <w:color w:val="000000" w:themeColor="text1"/>
          <w:szCs w:val="21"/>
          <w14:textFill>
            <w14:solidFill>
              <w14:schemeClr w14:val="tx1"/>
            </w14:solidFill>
          </w14:textFill>
        </w:rPr>
        <w:t>与回填</w:t>
      </w:r>
    </w:p>
    <w:p w14:paraId="4BAD83CE">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）管槽回填应从管道、检查井等构筑物两侧同时分层对称回填、夯实，每层回填高度不宜大于</w:t>
      </w:r>
      <w:r>
        <w:rPr>
          <w:color w:val="000000" w:themeColor="text1"/>
          <w:szCs w:val="21"/>
          <w14:textFill>
            <w14:solidFill>
              <w14:schemeClr w14:val="tx1"/>
            </w14:solidFill>
          </w14:textFill>
        </w:rPr>
        <w:t>0.3m</w:t>
      </w:r>
      <w:r>
        <w:rPr>
          <w:rFonts w:hint="eastAsia"/>
          <w:color w:val="000000" w:themeColor="text1"/>
          <w:szCs w:val="21"/>
          <w14:textFill>
            <w14:solidFill>
              <w14:schemeClr w14:val="tx1"/>
            </w14:solidFill>
          </w14:textFill>
        </w:rPr>
        <w:t>，并确保管道和构筑物不产生位移，必要时可以对管道采取限位措施。</w:t>
      </w:r>
    </w:p>
    <w:p w14:paraId="0B9D2366">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）从管底基础至管顶以上</w:t>
      </w:r>
      <w:r>
        <w:rPr>
          <w:color w:val="000000" w:themeColor="text1"/>
          <w:szCs w:val="21"/>
          <w14:textFill>
            <w14:solidFill>
              <w14:schemeClr w14:val="tx1"/>
            </w14:solidFill>
          </w14:textFill>
        </w:rPr>
        <w:t>0.5m</w:t>
      </w:r>
      <w:r>
        <w:rPr>
          <w:rFonts w:hint="eastAsia"/>
          <w:color w:val="000000" w:themeColor="text1"/>
          <w:szCs w:val="21"/>
          <w14:textFill>
            <w14:solidFill>
              <w14:schemeClr w14:val="tx1"/>
            </w14:solidFill>
          </w14:textFill>
        </w:rPr>
        <w:t>范围内，必须采用人工回填，人工夯打或轻型设备压实，严禁用机械推土回填。</w:t>
      </w:r>
    </w:p>
    <w:p w14:paraId="774DDDAD">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）管顶</w:t>
      </w:r>
      <w:r>
        <w:rPr>
          <w:color w:val="000000" w:themeColor="text1"/>
          <w:szCs w:val="21"/>
          <w14:textFill>
            <w14:solidFill>
              <w14:schemeClr w14:val="tx1"/>
            </w14:solidFill>
          </w14:textFill>
        </w:rPr>
        <w:t>0.5m</w:t>
      </w:r>
      <w:r>
        <w:rPr>
          <w:rFonts w:hint="eastAsia"/>
          <w:color w:val="000000" w:themeColor="text1"/>
          <w:szCs w:val="21"/>
          <w14:textFill>
            <w14:solidFill>
              <w14:schemeClr w14:val="tx1"/>
            </w14:solidFill>
          </w14:textFill>
        </w:rPr>
        <w:t>以上沟槽采用机械回填压实时应从管轴线两侧同时均匀进行，并夯实、碾压。</w:t>
      </w:r>
    </w:p>
    <w:p w14:paraId="5F5677C0">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）回填时沟槽应无积水，不得带水回填，不得回填淤泥、有机物或冻土等，回填土中不得有石块、砖及其它杂物。</w:t>
      </w:r>
    </w:p>
    <w:p w14:paraId="4A9AB3D4">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）当沟槽采用钢板桩支护时，在回填达到规定高度后，方可拔除钢板桩。拔桩应间隔进行，随拔随注浆。钢板桩拔除后应及时回填桩孔，并采取措施填实。</w:t>
      </w:r>
    </w:p>
    <w:p w14:paraId="60DA67D6">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6</w:t>
      </w:r>
      <w:r>
        <w:rPr>
          <w:rFonts w:hint="eastAsia"/>
          <w:color w:val="000000" w:themeColor="text1"/>
          <w:szCs w:val="21"/>
          <w14:textFill>
            <w14:solidFill>
              <w14:schemeClr w14:val="tx1"/>
            </w14:solidFill>
          </w14:textFill>
        </w:rPr>
        <w:t>）钢筋混凝土管道经闭水试验合格后方能回填。塑料管应在管道敷设后立即进行沟槽回填，在闭水试验前除接头外露外，管道两侧和管顶以上的回填高度不宜小于</w:t>
      </w:r>
      <w:r>
        <w:rPr>
          <w:color w:val="000000" w:themeColor="text1"/>
          <w:szCs w:val="21"/>
          <w14:textFill>
            <w14:solidFill>
              <w14:schemeClr w14:val="tx1"/>
            </w14:solidFill>
          </w14:textFill>
        </w:rPr>
        <w:t>0.5m</w:t>
      </w:r>
      <w:r>
        <w:rPr>
          <w:rFonts w:hint="eastAsia"/>
          <w:color w:val="000000" w:themeColor="text1"/>
          <w:szCs w:val="21"/>
          <w14:textFill>
            <w14:solidFill>
              <w14:schemeClr w14:val="tx1"/>
            </w14:solidFill>
          </w14:textFill>
        </w:rPr>
        <w:t>。当塑料排水管道沟槽回填至设计高程后，应在</w:t>
      </w:r>
      <w:r>
        <w:rPr>
          <w:color w:val="000000" w:themeColor="text1"/>
          <w:szCs w:val="21"/>
          <w14:textFill>
            <w14:solidFill>
              <w14:schemeClr w14:val="tx1"/>
            </w14:solidFill>
          </w14:textFill>
        </w:rPr>
        <w:t>12h</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24h</w:t>
      </w:r>
      <w:r>
        <w:rPr>
          <w:rFonts w:hint="eastAsia"/>
          <w:color w:val="000000" w:themeColor="text1"/>
          <w:szCs w:val="21"/>
          <w14:textFill>
            <w14:solidFill>
              <w14:schemeClr w14:val="tx1"/>
            </w14:solidFill>
          </w14:textFill>
        </w:rPr>
        <w:t>内测量管道竖向直径变形量，并应计算管道变形率，变形率不应超过</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w:t>
      </w:r>
    </w:p>
    <w:p w14:paraId="1769E7FF">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7</w:t>
      </w:r>
      <w:r>
        <w:rPr>
          <w:rFonts w:hint="eastAsia"/>
          <w:color w:val="000000" w:themeColor="text1"/>
          <w:szCs w:val="21"/>
          <w14:textFill>
            <w14:solidFill>
              <w14:schemeClr w14:val="tx1"/>
            </w14:solidFill>
          </w14:textFill>
        </w:rPr>
        <w:t>）管道装卸及堆放时，必须设置防止管道滚动的定位块，在管槽内下管时，所用索具要牢固，管槽内不得有人。</w:t>
      </w:r>
    </w:p>
    <w:p w14:paraId="2BB157A5">
      <w:pPr>
        <w:spacing w:line="360" w:lineRule="auto"/>
        <w:ind w:firstLine="420" w:firstLineChars="200"/>
        <w:rPr>
          <w:color w:val="000000" w:themeColor="text1"/>
          <w:szCs w:val="21"/>
          <w:u w:val="single"/>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8</w:t>
      </w:r>
      <w:r>
        <w:rPr>
          <w:rFonts w:hint="eastAsia"/>
          <w:color w:val="000000" w:themeColor="text1"/>
          <w:szCs w:val="21"/>
          <w14:textFill>
            <w14:solidFill>
              <w14:schemeClr w14:val="tx1"/>
            </w14:solidFill>
          </w14:textFill>
        </w:rPr>
        <w:t>）施工中如发现不良地基或设计推荐的地基处理方式不适用，应立即通知设计方，并会同甲方、勘察等参建单位协商确定方案，保证施工质量、安全、工期的</w:t>
      </w:r>
    </w:p>
    <w:p w14:paraId="03321133">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技术组织措施、施工计划以及保护周围环境的措施等。</w:t>
      </w:r>
    </w:p>
    <w:p w14:paraId="5099C80D">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9</w:t>
      </w:r>
      <w:r>
        <w:rPr>
          <w:rFonts w:hint="eastAsia"/>
          <w:color w:val="000000" w:themeColor="text1"/>
          <w:szCs w:val="21"/>
          <w14:textFill>
            <w14:solidFill>
              <w14:schemeClr w14:val="tx1"/>
            </w14:solidFill>
          </w14:textFill>
        </w:rPr>
        <w:t>）现状排水管渠的接驳应根据施工季节考虑其流量、流速，且应留有一定的富余，导流、截流措施必须可靠、有效，对较大型的接驳必须设置</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道</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种</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或以上数量</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类型</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的导流、截流措施</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在拆除导流、截流措施通水之前，应对每道措施的拆除顺序做出严格的安排和控制。</w:t>
      </w:r>
    </w:p>
    <w:p w14:paraId="1DCFF289">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10</w:t>
      </w:r>
      <w:r>
        <w:rPr>
          <w:rFonts w:hint="eastAsia"/>
          <w:color w:val="000000" w:themeColor="text1"/>
          <w:szCs w:val="21"/>
          <w14:textFill>
            <w14:solidFill>
              <w14:schemeClr w14:val="tx1"/>
            </w14:solidFill>
          </w14:textFill>
        </w:rPr>
        <w:t>）本工程新建管线与其他管道交叉或并行时，管线间水平净距和垂直净距应符合《城市工程管线综合规划规范》</w:t>
      </w:r>
      <w:r>
        <w:rPr>
          <w:color w:val="000000" w:themeColor="text1"/>
          <w:szCs w:val="21"/>
          <w14:textFill>
            <w14:solidFill>
              <w14:schemeClr w14:val="tx1"/>
            </w14:solidFill>
          </w14:textFill>
        </w:rPr>
        <w:t>(GB 50289-2016)</w:t>
      </w:r>
      <w:r>
        <w:rPr>
          <w:rFonts w:hint="eastAsia"/>
          <w:color w:val="000000" w:themeColor="text1"/>
          <w:szCs w:val="21"/>
          <w14:textFill>
            <w14:solidFill>
              <w14:schemeClr w14:val="tx1"/>
            </w14:solidFill>
          </w14:textFill>
        </w:rPr>
        <w:t>相关规范的要求。</w:t>
      </w:r>
    </w:p>
    <w:p w14:paraId="77B68CB8">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11</w:t>
      </w:r>
      <w:r>
        <w:rPr>
          <w:rFonts w:hint="eastAsia"/>
          <w:color w:val="000000" w:themeColor="text1"/>
          <w:szCs w:val="21"/>
          <w14:textFill>
            <w14:solidFill>
              <w14:schemeClr w14:val="tx1"/>
            </w14:solidFill>
          </w14:textFill>
        </w:rPr>
        <w:t>）河道中施工作业应在旱季进行，如果特殊情况必须在汛期施工，必须做好防洪技术评估，且施工组织设计必须经过政府相关部门审批通过方可实施。</w:t>
      </w:r>
      <w:r>
        <w:rPr>
          <w:color w:val="000000" w:themeColor="text1"/>
          <w:szCs w:val="21"/>
          <w14:textFill>
            <w14:solidFill>
              <w14:schemeClr w14:val="tx1"/>
            </w14:solidFill>
          </w14:textFill>
        </w:rPr>
        <w:t xml:space="preserve"> </w:t>
      </w:r>
    </w:p>
    <w:p w14:paraId="0FA56ADE">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12</w:t>
      </w:r>
      <w:r>
        <w:rPr>
          <w:rFonts w:hint="eastAsia"/>
          <w:color w:val="000000" w:themeColor="text1"/>
          <w:szCs w:val="21"/>
          <w14:textFill>
            <w14:solidFill>
              <w14:schemeClr w14:val="tx1"/>
            </w14:solidFill>
          </w14:textFill>
        </w:rPr>
        <w:t>）施工中需要拆迁现状挡土墙、围墙等构筑物的，应在事先沟通后，并按原样恢复。</w:t>
      </w:r>
    </w:p>
    <w:p w14:paraId="2043BADE">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13</w:t>
      </w:r>
      <w:r>
        <w:rPr>
          <w:rFonts w:hint="eastAsia"/>
          <w:color w:val="000000" w:themeColor="text1"/>
          <w:szCs w:val="21"/>
          <w14:textFill>
            <w14:solidFill>
              <w14:schemeClr w14:val="tx1"/>
            </w14:solidFill>
          </w14:textFill>
        </w:rPr>
        <w:t>）施工前应对现状排水设施进行核查，在核实现状排水设施标高与设计相符后方可动工。如存在与设计不符的情况，请及时与设计人联系协商解决。重力流管线应从下游开始施工为原则，如本次设计接入的为拟建管线或现状管线，应沿线摸查最终出路的现状管线并对其断面、位置、标高等进行实地测量、复核。如与设计不一致，应通知设计单位及相关部门研究解决，切不可盲目从上游施工，以免造成不必要的损失。</w:t>
      </w:r>
    </w:p>
    <w:p w14:paraId="68BCFBEC">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、管道基础及软基处理</w:t>
      </w:r>
    </w:p>
    <w:p w14:paraId="2494048D">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II</w:t>
      </w:r>
      <w:r>
        <w:rPr>
          <w:rFonts w:hint="eastAsia"/>
          <w:color w:val="000000" w:themeColor="text1"/>
          <w:szCs w:val="21"/>
          <w14:textFill>
            <w14:solidFill>
              <w14:schemeClr w14:val="tx1"/>
            </w14:solidFill>
          </w14:textFill>
        </w:rPr>
        <w:t>级钢筋混凝土管：采用</w:t>
      </w:r>
      <w:r>
        <w:rPr>
          <w:color w:val="000000" w:themeColor="text1"/>
          <w:szCs w:val="21"/>
          <w14:textFill>
            <w14:solidFill>
              <w14:schemeClr w14:val="tx1"/>
            </w14:solidFill>
          </w14:textFill>
        </w:rPr>
        <w:t>120</w:t>
      </w:r>
      <w:r>
        <w:rPr>
          <w:rFonts w:hint="eastAsia"/>
          <w:color w:val="000000" w:themeColor="text1"/>
          <w:szCs w:val="21"/>
          <w14:textFill>
            <w14:solidFill>
              <w14:schemeClr w14:val="tx1"/>
            </w14:solidFill>
          </w14:textFill>
        </w:rPr>
        <w:t>°砂石基础，管底以下采用不小于</w:t>
      </w:r>
      <w:r>
        <w:rPr>
          <w:color w:val="000000" w:themeColor="text1"/>
          <w:szCs w:val="21"/>
          <w14:textFill>
            <w14:solidFill>
              <w14:schemeClr w14:val="tx1"/>
            </w14:solidFill>
          </w14:textFill>
        </w:rPr>
        <w:t>150mm</w:t>
      </w:r>
      <w:r>
        <w:rPr>
          <w:rFonts w:hint="eastAsia"/>
          <w:color w:val="000000" w:themeColor="text1"/>
          <w:szCs w:val="21"/>
          <w14:textFill>
            <w14:solidFill>
              <w14:schemeClr w14:val="tx1"/>
            </w14:solidFill>
          </w14:textFill>
        </w:rPr>
        <w:t>的中粗砂基础。</w:t>
      </w:r>
    </w:p>
    <w:p w14:paraId="016E6D4B">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）钢管及塑料管：采用</w:t>
      </w:r>
      <w:r>
        <w:rPr>
          <w:color w:val="000000" w:themeColor="text1"/>
          <w:szCs w:val="21"/>
          <w14:textFill>
            <w14:solidFill>
              <w14:schemeClr w14:val="tx1"/>
            </w14:solidFill>
          </w14:textFill>
        </w:rPr>
        <w:t>120</w:t>
      </w:r>
      <w:r>
        <w:rPr>
          <w:rFonts w:hint="eastAsia"/>
          <w:color w:val="000000" w:themeColor="text1"/>
          <w:szCs w:val="21"/>
          <w14:textFill>
            <w14:solidFill>
              <w14:schemeClr w14:val="tx1"/>
            </w14:solidFill>
          </w14:textFill>
        </w:rPr>
        <w:t>°砂石基础，管底以下采用不小于</w:t>
      </w:r>
      <w:r>
        <w:rPr>
          <w:color w:val="000000" w:themeColor="text1"/>
          <w:szCs w:val="21"/>
          <w14:textFill>
            <w14:solidFill>
              <w14:schemeClr w14:val="tx1"/>
            </w14:solidFill>
          </w14:textFill>
        </w:rPr>
        <w:t>150mm</w:t>
      </w:r>
      <w:r>
        <w:rPr>
          <w:rFonts w:hint="eastAsia"/>
          <w:color w:val="000000" w:themeColor="text1"/>
          <w:szCs w:val="21"/>
          <w14:textFill>
            <w14:solidFill>
              <w14:schemeClr w14:val="tx1"/>
            </w14:solidFill>
          </w14:textFill>
        </w:rPr>
        <w:t>的中粗砂基础。</w:t>
      </w:r>
    </w:p>
    <w:p w14:paraId="32493D06">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7、房屋保护</w:t>
      </w:r>
    </w:p>
    <w:p w14:paraId="45D3C137">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）房屋鉴定：新建管道基坑深度超过</w:t>
      </w:r>
      <w:r>
        <w:rPr>
          <w:color w:val="000000" w:themeColor="text1"/>
          <w14:textFill>
            <w14:solidFill>
              <w14:schemeClr w14:val="tx1"/>
            </w14:solidFill>
          </w14:textFill>
        </w:rPr>
        <w:t>1.2</w:t>
      </w:r>
      <w:r>
        <w:rPr>
          <w:rFonts w:hint="eastAsia"/>
          <w:color w:val="000000" w:themeColor="text1"/>
          <w14:textFill>
            <w14:solidFill>
              <w14:schemeClr w14:val="tx1"/>
            </w14:solidFill>
          </w14:textFill>
        </w:rPr>
        <w:t>米，所有类型的房屋在</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倍开挖深度范围内的均需房屋鉴定，鉴定面积按照房屋的建筑面积，若房屋只有一部分在</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倍范围线内也需对房屋整体进行鉴定房屋鉴定需在项目施工进场前及施工完成后分别进行，鉴定次数不少于两次，过程中需做好相关监测。</w:t>
      </w:r>
    </w:p>
    <w:p w14:paraId="46BD95CD">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）房屋保护：具体位置详管道平面设计图。</w:t>
      </w:r>
    </w:p>
    <w:p w14:paraId="46B59A50">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检查井及雨水口</w:t>
      </w:r>
    </w:p>
    <w:p w14:paraId="303DBF1E">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）预制钢筋混凝土检查井：根据《广州市水务局关于推广使用预制装配式排水检查井及限制使用砖砌排水检查井的通知》（穗水排水【</w:t>
      </w:r>
      <w:r>
        <w:rPr>
          <w:color w:val="000000" w:themeColor="text1"/>
          <w:szCs w:val="21"/>
          <w14:textFill>
            <w14:solidFill>
              <w14:schemeClr w14:val="tx1"/>
            </w14:solidFill>
          </w14:textFill>
        </w:rPr>
        <w:t>2018</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16</w:t>
      </w:r>
      <w:r>
        <w:rPr>
          <w:rFonts w:hint="eastAsia"/>
          <w:color w:val="000000" w:themeColor="text1"/>
          <w:szCs w:val="21"/>
          <w14:textFill>
            <w14:solidFill>
              <w14:schemeClr w14:val="tx1"/>
            </w14:solidFill>
          </w14:textFill>
        </w:rPr>
        <w:t>号），本项目位于村内主干路（行车道路）的普通直埋管道采用预制钢筋混凝土检查井，具体做法详《预制装配式钢筋混凝土排水检查井</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标准图集（试行）》（广州市水务局，</w:t>
      </w:r>
      <w:r>
        <w:rPr>
          <w:color w:val="000000" w:themeColor="text1"/>
          <w:szCs w:val="21"/>
          <w14:textFill>
            <w14:solidFill>
              <w14:schemeClr w14:val="tx1"/>
            </w14:solidFill>
          </w14:textFill>
        </w:rPr>
        <w:t>2018.02</w:t>
      </w:r>
      <w:r>
        <w:rPr>
          <w:rFonts w:hint="eastAsia"/>
          <w:color w:val="000000" w:themeColor="text1"/>
          <w:szCs w:val="21"/>
          <w14:textFill>
            <w14:solidFill>
              <w14:schemeClr w14:val="tx1"/>
            </w14:solidFill>
          </w14:textFill>
        </w:rPr>
        <w:t>）。</w:t>
      </w:r>
    </w:p>
    <w:p w14:paraId="7E5E5902">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）管道与检查井的连接</w:t>
      </w:r>
    </w:p>
    <w:p w14:paraId="0C39433F">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r>
        <w:rPr>
          <w:color w:val="000000" w:themeColor="text1"/>
          <w:szCs w:val="21"/>
          <w14:textFill>
            <w14:solidFill>
              <w14:schemeClr w14:val="tx1"/>
            </w14:solidFill>
          </w14:textFill>
        </w:rPr>
        <w:t>a</w:t>
      </w:r>
      <w:r>
        <w:rPr>
          <w:rFonts w:hint="eastAsia"/>
          <w:color w:val="000000" w:themeColor="text1"/>
          <w:szCs w:val="21"/>
          <w14:textFill>
            <w14:solidFill>
              <w14:schemeClr w14:val="tx1"/>
            </w14:solidFill>
          </w14:textFill>
        </w:rPr>
        <w:t>、混凝土管与钢筋混凝土检查井之间连接按照</w:t>
      </w:r>
      <w:r>
        <w:rPr>
          <w:color w:val="000000" w:themeColor="text1"/>
          <w:szCs w:val="21"/>
          <w14:textFill>
            <w14:solidFill>
              <w14:schemeClr w14:val="tx1"/>
            </w14:solidFill>
          </w14:textFill>
        </w:rPr>
        <w:t>22S521-82</w:t>
      </w:r>
      <w:r>
        <w:rPr>
          <w:rFonts w:hint="eastAsia"/>
          <w:color w:val="000000" w:themeColor="text1"/>
          <w:szCs w:val="21"/>
          <w14:textFill>
            <w14:solidFill>
              <w14:schemeClr w14:val="tx1"/>
            </w14:solidFill>
          </w14:textFill>
        </w:rPr>
        <w:t>“管井柔性接口”施工，并满足《给水排水管道工程施工及验收规范》</w:t>
      </w:r>
      <w:r>
        <w:rPr>
          <w:color w:val="000000" w:themeColor="text1"/>
          <w:szCs w:val="21"/>
          <w14:textFill>
            <w14:solidFill>
              <w14:schemeClr w14:val="tx1"/>
            </w14:solidFill>
          </w14:textFill>
        </w:rPr>
        <w:t xml:space="preserve"> (GB50268-2008)</w:t>
      </w:r>
      <w:r>
        <w:rPr>
          <w:rFonts w:hint="eastAsia"/>
          <w:color w:val="000000" w:themeColor="text1"/>
          <w:szCs w:val="21"/>
          <w14:textFill>
            <w14:solidFill>
              <w14:schemeClr w14:val="tx1"/>
            </w14:solidFill>
          </w14:textFill>
        </w:rPr>
        <w:t>中的相关要求。</w:t>
      </w:r>
    </w:p>
    <w:p w14:paraId="73F0D13D">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w:t>
      </w:r>
      <w:r>
        <w:rPr>
          <w:color w:val="000000" w:themeColor="text1"/>
          <w:szCs w:val="21"/>
          <w14:textFill>
            <w14:solidFill>
              <w14:schemeClr w14:val="tx1"/>
            </w14:solidFill>
          </w14:textFill>
        </w:rPr>
        <w:t>b</w:t>
      </w:r>
      <w:r>
        <w:rPr>
          <w:rFonts w:hint="eastAsia"/>
          <w:color w:val="000000" w:themeColor="text1"/>
          <w:szCs w:val="21"/>
          <w14:textFill>
            <w14:solidFill>
              <w14:schemeClr w14:val="tx1"/>
            </w14:solidFill>
          </w14:textFill>
        </w:rPr>
        <w:t>、塑料管与钢筋混凝土检查的连接按国标</w:t>
      </w:r>
      <w:r>
        <w:rPr>
          <w:color w:val="000000" w:themeColor="text1"/>
          <w:szCs w:val="21"/>
          <w14:textFill>
            <w14:solidFill>
              <w14:schemeClr w14:val="tx1"/>
            </w14:solidFill>
          </w14:textFill>
        </w:rPr>
        <w:t>06MS201-2-57</w:t>
      </w:r>
      <w:r>
        <w:rPr>
          <w:rFonts w:hint="eastAsia"/>
          <w:color w:val="000000" w:themeColor="text1"/>
          <w:szCs w:val="21"/>
          <w14:textFill>
            <w14:solidFill>
              <w14:schemeClr w14:val="tx1"/>
            </w14:solidFill>
          </w14:textFill>
        </w:rPr>
        <w:t>“埋地塑料排水管道与检查井的连接</w:t>
      </w:r>
      <w:r>
        <w:rPr>
          <w:color w:val="000000" w:themeColor="text1"/>
          <w:szCs w:val="21"/>
          <w14:textFill>
            <w14:solidFill>
              <w14:schemeClr w14:val="tx1"/>
            </w14:solidFill>
          </w14:textFill>
        </w:rPr>
        <w:t>(I</w:t>
      </w:r>
      <w:r>
        <w:rPr>
          <w:rFonts w:hint="eastAsia"/>
          <w:color w:val="000000" w:themeColor="text1"/>
          <w:szCs w:val="21"/>
          <w14:textFill>
            <w14:solidFill>
              <w14:schemeClr w14:val="tx1"/>
            </w14:solidFill>
          </w14:textFill>
        </w:rPr>
        <w:t>型</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五</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”施工，并满足《给水排水管道工程施工及验收规范》</w:t>
      </w:r>
      <w:r>
        <w:rPr>
          <w:color w:val="000000" w:themeColor="text1"/>
          <w:szCs w:val="21"/>
          <w14:textFill>
            <w14:solidFill>
              <w14:schemeClr w14:val="tx1"/>
            </w14:solidFill>
          </w14:textFill>
        </w:rPr>
        <w:t xml:space="preserve"> (GB50268-2008)</w:t>
      </w:r>
      <w:r>
        <w:rPr>
          <w:rFonts w:hint="eastAsia"/>
          <w:color w:val="000000" w:themeColor="text1"/>
          <w:szCs w:val="21"/>
          <w14:textFill>
            <w14:solidFill>
              <w14:schemeClr w14:val="tx1"/>
            </w14:solidFill>
          </w14:textFill>
        </w:rPr>
        <w:t>中的相关要求。</w:t>
      </w:r>
    </w:p>
    <w:p w14:paraId="56D74F7F">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   c</w:t>
      </w:r>
      <w:r>
        <w:rPr>
          <w:rFonts w:hint="eastAsia"/>
          <w:color w:val="000000" w:themeColor="text1"/>
          <w:szCs w:val="21"/>
          <w14:textFill>
            <w14:solidFill>
              <w14:schemeClr w14:val="tx1"/>
            </w14:solidFill>
          </w14:textFill>
        </w:rPr>
        <w:t>、钢管与钢筋混凝土检查井连接采用柔性防水套管</w:t>
      </w:r>
      <w:r>
        <w:rPr>
          <w:color w:val="000000" w:themeColor="text1"/>
          <w:szCs w:val="21"/>
          <w14:textFill>
            <w14:solidFill>
              <w14:schemeClr w14:val="tx1"/>
            </w14:solidFill>
          </w14:textFill>
        </w:rPr>
        <w:t>(A</w:t>
      </w:r>
      <w:r>
        <w:rPr>
          <w:rFonts w:hint="eastAsia"/>
          <w:color w:val="000000" w:themeColor="text1"/>
          <w:szCs w:val="21"/>
          <w14:textFill>
            <w14:solidFill>
              <w14:schemeClr w14:val="tx1"/>
            </w14:solidFill>
          </w14:textFill>
        </w:rPr>
        <w:t>型</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，详见《防水套管》</w:t>
      </w:r>
      <w:r>
        <w:rPr>
          <w:color w:val="000000" w:themeColor="text1"/>
          <w:szCs w:val="21"/>
          <w14:textFill>
            <w14:solidFill>
              <w14:schemeClr w14:val="tx1"/>
            </w14:solidFill>
          </w14:textFill>
        </w:rPr>
        <w:t>02S404</w:t>
      </w:r>
      <w:r>
        <w:rPr>
          <w:rFonts w:hint="eastAsia"/>
          <w:color w:val="000000" w:themeColor="text1"/>
          <w:szCs w:val="21"/>
          <w14:textFill>
            <w14:solidFill>
              <w14:schemeClr w14:val="tx1"/>
            </w14:solidFill>
          </w14:textFill>
        </w:rPr>
        <w:t>页</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w:t>
      </w:r>
    </w:p>
    <w:p w14:paraId="7981A036">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）其余特殊井做法详见排水及结构专业设计图。</w:t>
      </w:r>
    </w:p>
    <w:p w14:paraId="2F10611F">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）检查井井盖位于车行道时，其井盖和井座应采用</w:t>
      </w:r>
      <w:r>
        <w:rPr>
          <w:color w:val="000000" w:themeColor="text1"/>
          <w:szCs w:val="21"/>
          <w14:textFill>
            <w14:solidFill>
              <w14:schemeClr w14:val="tx1"/>
            </w14:solidFill>
          </w14:textFill>
        </w:rPr>
        <w:t>D400</w:t>
      </w:r>
      <w:r>
        <w:rPr>
          <w:rFonts w:hint="eastAsia"/>
          <w:color w:val="000000" w:themeColor="text1"/>
          <w:szCs w:val="21"/>
          <w14:textFill>
            <w14:solidFill>
              <w14:schemeClr w14:val="tx1"/>
            </w14:solidFill>
          </w14:textFill>
        </w:rPr>
        <w:t>型荷载等级</w:t>
      </w:r>
      <w:r>
        <w:rPr>
          <w:color w:val="000000" w:themeColor="text1"/>
          <w:szCs w:val="21"/>
          <w14:textFill>
            <w14:solidFill>
              <w14:schemeClr w14:val="tx1"/>
            </w14:solidFill>
          </w14:textFill>
        </w:rPr>
        <w:t>400KN</w:t>
      </w:r>
      <w:r>
        <w:rPr>
          <w:rFonts w:hint="eastAsia"/>
          <w:color w:val="000000" w:themeColor="text1"/>
          <w:szCs w:val="21"/>
          <w14:textFill>
            <w14:solidFill>
              <w14:schemeClr w14:val="tx1"/>
            </w14:solidFill>
          </w14:textFill>
        </w:rPr>
        <w:t>，位于人行道及绿化带时，其井盖和井座采用</w:t>
      </w:r>
      <w:r>
        <w:rPr>
          <w:color w:val="000000" w:themeColor="text1"/>
          <w:szCs w:val="21"/>
          <w14:textFill>
            <w14:solidFill>
              <w14:schemeClr w14:val="tx1"/>
            </w14:solidFill>
          </w14:textFill>
        </w:rPr>
        <w:t>C250</w:t>
      </w:r>
      <w:r>
        <w:rPr>
          <w:rFonts w:hint="eastAsia"/>
          <w:color w:val="000000" w:themeColor="text1"/>
          <w:szCs w:val="21"/>
          <w14:textFill>
            <w14:solidFill>
              <w14:schemeClr w14:val="tx1"/>
            </w14:solidFill>
          </w14:textFill>
        </w:rPr>
        <w:t>型荷载等级</w:t>
      </w:r>
      <w:r>
        <w:rPr>
          <w:color w:val="000000" w:themeColor="text1"/>
          <w:szCs w:val="21"/>
          <w14:textFill>
            <w14:solidFill>
              <w14:schemeClr w14:val="tx1"/>
            </w14:solidFill>
          </w14:textFill>
        </w:rPr>
        <w:t>250KN</w:t>
      </w:r>
      <w:r>
        <w:rPr>
          <w:rFonts w:hint="eastAsia"/>
          <w:color w:val="000000" w:themeColor="text1"/>
          <w:szCs w:val="21"/>
          <w14:textFill>
            <w14:solidFill>
              <w14:schemeClr w14:val="tx1"/>
            </w14:solidFill>
          </w14:textFill>
        </w:rPr>
        <w:t>。井盖采用球墨铸铁材料，防沉降井盖，尺寸φ</w:t>
      </w:r>
      <w:r>
        <w:rPr>
          <w:color w:val="000000" w:themeColor="text1"/>
          <w:szCs w:val="21"/>
          <w14:textFill>
            <w14:solidFill>
              <w14:schemeClr w14:val="tx1"/>
            </w14:solidFill>
          </w14:textFill>
        </w:rPr>
        <w:t>700</w:t>
      </w:r>
      <w:r>
        <w:rPr>
          <w:rFonts w:hint="eastAsia"/>
          <w:color w:val="000000" w:themeColor="text1"/>
          <w:szCs w:val="21"/>
          <w14:textFill>
            <w14:solidFill>
              <w14:schemeClr w14:val="tx1"/>
            </w14:solidFill>
          </w14:textFill>
        </w:rPr>
        <w:t>；所有井盖需配“污”、“雨”字。检查井盖参照《检查井盖》</w:t>
      </w:r>
      <w:r>
        <w:rPr>
          <w:color w:val="000000" w:themeColor="text1"/>
          <w:szCs w:val="21"/>
          <w14:textFill>
            <w14:solidFill>
              <w14:schemeClr w14:val="tx1"/>
            </w14:solidFill>
          </w14:textFill>
        </w:rPr>
        <w:t>GB/T23858-2009</w:t>
      </w:r>
      <w:r>
        <w:rPr>
          <w:rFonts w:hint="eastAsia"/>
          <w:color w:val="000000" w:themeColor="text1"/>
          <w:szCs w:val="21"/>
          <w14:textFill>
            <w14:solidFill>
              <w14:schemeClr w14:val="tx1"/>
            </w14:solidFill>
          </w14:textFill>
        </w:rPr>
        <w:t>及广州市《井盖设施技术规范》（</w:t>
      </w:r>
      <w:r>
        <w:rPr>
          <w:color w:val="000000" w:themeColor="text1"/>
          <w:szCs w:val="21"/>
          <w14:textFill>
            <w14:solidFill>
              <w14:schemeClr w14:val="tx1"/>
            </w14:solidFill>
          </w14:textFill>
        </w:rPr>
        <w:t>DB4401/T 215</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2023</w:t>
      </w:r>
      <w:r>
        <w:rPr>
          <w:rFonts w:hint="eastAsia"/>
          <w:color w:val="000000" w:themeColor="text1"/>
          <w:szCs w:val="21"/>
          <w14:textFill>
            <w14:solidFill>
              <w14:schemeClr w14:val="tx1"/>
            </w14:solidFill>
          </w14:textFill>
        </w:rPr>
        <w:t>）执行，并满足当地主管部门对井盖样式的要求。。</w:t>
      </w:r>
    </w:p>
    <w:p w14:paraId="13B73E94">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）承插口的排水管道，接入检查井时，需插口接入。管道与检查井的连接方式详见结构专业设计图。</w:t>
      </w:r>
    </w:p>
    <w:p w14:paraId="57048B5D">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6</w:t>
      </w:r>
      <w:r>
        <w:rPr>
          <w:rFonts w:hint="eastAsia"/>
          <w:color w:val="000000" w:themeColor="text1"/>
          <w:kern w:val="0"/>
          <w:szCs w:val="21"/>
          <w14:textFill>
            <w14:solidFill>
              <w14:schemeClr w14:val="tx1"/>
            </w14:solidFill>
          </w14:textFill>
        </w:rPr>
        <w:t>）沉泥井：每隔</w:t>
      </w:r>
      <w:r>
        <w:rPr>
          <w:color w:val="000000" w:themeColor="text1"/>
          <w:kern w:val="0"/>
          <w:szCs w:val="21"/>
          <w14:textFill>
            <w14:solidFill>
              <w14:schemeClr w14:val="tx1"/>
            </w14:solidFill>
          </w14:textFill>
        </w:rPr>
        <w:t>80m~120m</w:t>
      </w:r>
      <w:r>
        <w:rPr>
          <w:rFonts w:hint="eastAsia"/>
          <w:color w:val="000000" w:themeColor="text1"/>
          <w:kern w:val="0"/>
          <w:szCs w:val="21"/>
          <w14:textFill>
            <w14:solidFill>
              <w14:schemeClr w14:val="tx1"/>
            </w14:solidFill>
          </w14:textFill>
        </w:rPr>
        <w:t>设沉泥井，沉泥井布置详见污水平面图，沉泥井落底深度均为</w:t>
      </w:r>
      <w:r>
        <w:rPr>
          <w:color w:val="000000" w:themeColor="text1"/>
          <w:kern w:val="0"/>
          <w:szCs w:val="21"/>
          <w14:textFill>
            <w14:solidFill>
              <w14:schemeClr w14:val="tx1"/>
            </w14:solidFill>
          </w14:textFill>
        </w:rPr>
        <w:t>600mm</w:t>
      </w:r>
      <w:r>
        <w:rPr>
          <w:rFonts w:hint="eastAsia"/>
          <w:color w:val="000000" w:themeColor="text1"/>
          <w:kern w:val="0"/>
          <w:szCs w:val="21"/>
          <w14:textFill>
            <w14:solidFill>
              <w14:schemeClr w14:val="tx1"/>
            </w14:solidFill>
          </w14:textFill>
        </w:rPr>
        <w:t>，做法详见国标图集《钢筋混凝土及砖砌排水检查井》（</w:t>
      </w:r>
      <w:r>
        <w:rPr>
          <w:color w:val="000000" w:themeColor="text1"/>
          <w:kern w:val="0"/>
          <w:szCs w:val="21"/>
          <w14:textFill>
            <w14:solidFill>
              <w14:schemeClr w14:val="tx1"/>
            </w14:solidFill>
          </w14:textFill>
        </w:rPr>
        <w:t>20S515</w:t>
      </w:r>
      <w:r>
        <w:rPr>
          <w:rFonts w:hint="eastAsia"/>
          <w:color w:val="000000" w:themeColor="text1"/>
          <w:kern w:val="0"/>
          <w:szCs w:val="21"/>
          <w14:textFill>
            <w14:solidFill>
              <w14:schemeClr w14:val="tx1"/>
            </w14:solidFill>
          </w14:textFill>
        </w:rPr>
        <w:t>）第</w:t>
      </w:r>
      <w:r>
        <w:rPr>
          <w:color w:val="000000" w:themeColor="text1"/>
          <w:kern w:val="0"/>
          <w:szCs w:val="21"/>
          <w14:textFill>
            <w14:solidFill>
              <w14:schemeClr w14:val="tx1"/>
            </w14:solidFill>
          </w14:textFill>
        </w:rPr>
        <w:t>313</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314</w:t>
      </w:r>
      <w:r>
        <w:rPr>
          <w:rFonts w:hint="eastAsia"/>
          <w:color w:val="000000" w:themeColor="text1"/>
          <w:kern w:val="0"/>
          <w:szCs w:val="21"/>
          <w14:textFill>
            <w14:solidFill>
              <w14:schemeClr w14:val="tx1"/>
            </w14:solidFill>
          </w14:textFill>
        </w:rPr>
        <w:t>页。</w:t>
      </w:r>
    </w:p>
    <w:p w14:paraId="7601639E">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7</w:t>
      </w:r>
      <w:r>
        <w:rPr>
          <w:rFonts w:hint="eastAsia"/>
          <w:color w:val="000000" w:themeColor="text1"/>
          <w:kern w:val="0"/>
          <w:szCs w:val="21"/>
          <w14:textFill>
            <w14:solidFill>
              <w14:schemeClr w14:val="tx1"/>
            </w14:solidFill>
          </w14:textFill>
        </w:rPr>
        <w:t>）为了增强抗冲击能力，检查井流槽采用</w:t>
      </w:r>
      <w:r>
        <w:rPr>
          <w:color w:val="000000" w:themeColor="text1"/>
          <w:kern w:val="0"/>
          <w:szCs w:val="21"/>
          <w14:textFill>
            <w14:solidFill>
              <w14:schemeClr w14:val="tx1"/>
            </w14:solidFill>
          </w14:textFill>
        </w:rPr>
        <w:t>C20</w:t>
      </w:r>
      <w:r>
        <w:rPr>
          <w:rFonts w:hint="eastAsia"/>
          <w:color w:val="000000" w:themeColor="text1"/>
          <w:kern w:val="0"/>
          <w:szCs w:val="21"/>
          <w14:textFill>
            <w14:solidFill>
              <w14:schemeClr w14:val="tx1"/>
            </w14:solidFill>
          </w14:textFill>
        </w:rPr>
        <w:t>混凝土流槽。除落底的沉泥检查井及特殊井外，井底均做流槽，流槽做法详见国标图集《钢筋混凝土及砖砌排水检查井》（</w:t>
      </w:r>
      <w:r>
        <w:rPr>
          <w:color w:val="000000" w:themeColor="text1"/>
          <w:kern w:val="0"/>
          <w:szCs w:val="21"/>
          <w14:textFill>
            <w14:solidFill>
              <w14:schemeClr w14:val="tx1"/>
            </w14:solidFill>
          </w14:textFill>
        </w:rPr>
        <w:t>20S515</w:t>
      </w:r>
      <w:r>
        <w:rPr>
          <w:rFonts w:hint="eastAsia"/>
          <w:color w:val="000000" w:themeColor="text1"/>
          <w:kern w:val="0"/>
          <w:szCs w:val="21"/>
          <w14:textFill>
            <w14:solidFill>
              <w14:schemeClr w14:val="tx1"/>
            </w14:solidFill>
          </w14:textFill>
        </w:rPr>
        <w:t>）第</w:t>
      </w:r>
      <w:r>
        <w:rPr>
          <w:color w:val="000000" w:themeColor="text1"/>
          <w:kern w:val="0"/>
          <w:szCs w:val="21"/>
          <w14:textFill>
            <w14:solidFill>
              <w14:schemeClr w14:val="tx1"/>
            </w14:solidFill>
          </w14:textFill>
        </w:rPr>
        <w:t>20</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36</w:t>
      </w:r>
      <w:r>
        <w:rPr>
          <w:rFonts w:hint="eastAsia"/>
          <w:color w:val="000000" w:themeColor="text1"/>
          <w:kern w:val="0"/>
          <w:szCs w:val="21"/>
          <w14:textFill>
            <w14:solidFill>
              <w14:schemeClr w14:val="tx1"/>
            </w14:solidFill>
          </w14:textFill>
        </w:rPr>
        <w:t>页。检查井其余施工要求详见《预制装配式钢筋混凝土排水检查井</w:t>
      </w:r>
      <w:r>
        <w:rPr>
          <w:color w:val="000000" w:themeColor="text1"/>
          <w:kern w:val="0"/>
          <w:szCs w:val="21"/>
          <w14:textFill>
            <w14:solidFill>
              <w14:schemeClr w14:val="tx1"/>
            </w14:solidFill>
          </w14:textFill>
        </w:rPr>
        <w:t xml:space="preserve"> </w:t>
      </w:r>
      <w:r>
        <w:rPr>
          <w:rFonts w:hint="eastAsia"/>
          <w:color w:val="000000" w:themeColor="text1"/>
          <w:kern w:val="0"/>
          <w:szCs w:val="21"/>
          <w14:textFill>
            <w14:solidFill>
              <w14:schemeClr w14:val="tx1"/>
            </w14:solidFill>
          </w14:textFill>
        </w:rPr>
        <w:t>标准图集（试行）》。</w:t>
      </w:r>
    </w:p>
    <w:p w14:paraId="1F225469">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8</w:t>
      </w:r>
      <w:r>
        <w:rPr>
          <w:rFonts w:hint="eastAsia"/>
          <w:color w:val="000000" w:themeColor="text1"/>
          <w:kern w:val="0"/>
          <w:szCs w:val="21"/>
          <w14:textFill>
            <w14:solidFill>
              <w14:schemeClr w14:val="tx1"/>
            </w14:solidFill>
          </w14:textFill>
        </w:rPr>
        <w:t>）检查井完成后需在井内加设成品防坠网，防坠网宜每隔两年更换一次，防坠网承重能力≥</w:t>
      </w:r>
      <w:r>
        <w:rPr>
          <w:color w:val="000000" w:themeColor="text1"/>
          <w:kern w:val="0"/>
          <w:szCs w:val="21"/>
          <w14:textFill>
            <w14:solidFill>
              <w14:schemeClr w14:val="tx1"/>
            </w14:solidFill>
          </w14:textFill>
        </w:rPr>
        <w:t>100kg</w:t>
      </w:r>
      <w:r>
        <w:rPr>
          <w:rFonts w:hint="eastAsia"/>
          <w:color w:val="000000" w:themeColor="text1"/>
          <w:kern w:val="0"/>
          <w:szCs w:val="21"/>
          <w14:textFill>
            <w14:solidFill>
              <w14:schemeClr w14:val="tx1"/>
            </w14:solidFill>
          </w14:textFill>
        </w:rPr>
        <w:t>。根据《井盖设施技术规范》（</w:t>
      </w:r>
      <w:r>
        <w:rPr>
          <w:color w:val="000000" w:themeColor="text1"/>
          <w:kern w:val="0"/>
          <w:szCs w:val="21"/>
          <w14:textFill>
            <w14:solidFill>
              <w14:schemeClr w14:val="tx1"/>
            </w14:solidFill>
          </w14:textFill>
        </w:rPr>
        <w:t>DB4401/T 215</w:t>
      </w: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2023</w:t>
      </w:r>
      <w:r>
        <w:rPr>
          <w:rFonts w:hint="eastAsia"/>
          <w:color w:val="000000" w:themeColor="text1"/>
          <w:kern w:val="0"/>
          <w:szCs w:val="21"/>
          <w14:textFill>
            <w14:solidFill>
              <w14:schemeClr w14:val="tx1"/>
            </w14:solidFill>
          </w14:textFill>
        </w:rPr>
        <w:t>及《广州市排水工程技术管理规定》井深超过</w:t>
      </w:r>
      <w:r>
        <w:rPr>
          <w:color w:val="000000" w:themeColor="text1"/>
          <w:kern w:val="0"/>
          <w:szCs w:val="21"/>
          <w14:textFill>
            <w14:solidFill>
              <w14:schemeClr w14:val="tx1"/>
            </w14:solidFill>
          </w14:textFill>
        </w:rPr>
        <w:t>1500mm</w:t>
      </w:r>
      <w:r>
        <w:rPr>
          <w:rFonts w:hint="eastAsia"/>
          <w:color w:val="000000" w:themeColor="text1"/>
          <w:kern w:val="0"/>
          <w:szCs w:val="21"/>
          <w14:textFill>
            <w14:solidFill>
              <w14:schemeClr w14:val="tx1"/>
            </w14:solidFill>
          </w14:textFill>
        </w:rPr>
        <w:t>的检查井，其井盖设施上应加装防坠落装置，其材质应为球墨铸铁。井深大于等于</w:t>
      </w:r>
      <w:r>
        <w:rPr>
          <w:color w:val="000000" w:themeColor="text1"/>
          <w:kern w:val="0"/>
          <w:szCs w:val="21"/>
          <w14:textFill>
            <w14:solidFill>
              <w14:schemeClr w14:val="tx1"/>
            </w14:solidFill>
          </w14:textFill>
        </w:rPr>
        <w:t>1000mm</w:t>
      </w:r>
      <w:r>
        <w:rPr>
          <w:rFonts w:hint="eastAsia"/>
          <w:color w:val="000000" w:themeColor="text1"/>
          <w:kern w:val="0"/>
          <w:szCs w:val="21"/>
          <w14:textFill>
            <w14:solidFill>
              <w14:schemeClr w14:val="tx1"/>
            </w14:solidFill>
          </w14:textFill>
        </w:rPr>
        <w:t>，小于</w:t>
      </w:r>
      <w:r>
        <w:rPr>
          <w:color w:val="000000" w:themeColor="text1"/>
          <w:kern w:val="0"/>
          <w:szCs w:val="21"/>
          <w14:textFill>
            <w14:solidFill>
              <w14:schemeClr w14:val="tx1"/>
            </w14:solidFill>
          </w14:textFill>
        </w:rPr>
        <w:t xml:space="preserve">1500mm </w:t>
      </w:r>
      <w:r>
        <w:rPr>
          <w:rFonts w:hint="eastAsia"/>
          <w:color w:val="000000" w:themeColor="text1"/>
          <w:kern w:val="0"/>
          <w:szCs w:val="21"/>
          <w14:textFill>
            <w14:solidFill>
              <w14:schemeClr w14:val="tx1"/>
            </w14:solidFill>
          </w14:textFill>
        </w:rPr>
        <w:t>的检查井，其井盖设施上应加装防坠落装置，其材质可选用高强度聚乙烯或尼龙等耐潮防腐材料。</w:t>
      </w:r>
    </w:p>
    <w:p w14:paraId="6C33862A">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w:t>
      </w:r>
      <w:r>
        <w:rPr>
          <w:color w:val="000000" w:themeColor="text1"/>
          <w:kern w:val="0"/>
          <w:szCs w:val="21"/>
          <w14:textFill>
            <w14:solidFill>
              <w14:schemeClr w14:val="tx1"/>
            </w14:solidFill>
          </w14:textFill>
        </w:rPr>
        <w:t>9</w:t>
      </w:r>
      <w:r>
        <w:rPr>
          <w:rFonts w:hint="eastAsia"/>
          <w:color w:val="000000" w:themeColor="text1"/>
          <w:kern w:val="0"/>
          <w:szCs w:val="21"/>
          <w14:textFill>
            <w14:solidFill>
              <w14:schemeClr w14:val="tx1"/>
            </w14:solidFill>
          </w14:textFill>
        </w:rPr>
        <w:t>）位于人行道、非机动车道和车行道下检查井井面标高要求与施工后地面平；位于绿化带内检查井井面标高要求比所处地面高</w:t>
      </w:r>
      <w:r>
        <w:rPr>
          <w:color w:val="000000" w:themeColor="text1"/>
          <w:kern w:val="0"/>
          <w:szCs w:val="21"/>
          <w14:textFill>
            <w14:solidFill>
              <w14:schemeClr w14:val="tx1"/>
            </w14:solidFill>
          </w14:textFill>
        </w:rPr>
        <w:t>0.1m</w:t>
      </w:r>
      <w:r>
        <w:rPr>
          <w:rFonts w:hint="eastAsia"/>
          <w:color w:val="000000" w:themeColor="text1"/>
          <w:kern w:val="0"/>
          <w:szCs w:val="21"/>
          <w14:textFill>
            <w14:solidFill>
              <w14:schemeClr w14:val="tx1"/>
            </w14:solidFill>
          </w14:textFill>
        </w:rPr>
        <w:t>；位于河涌内检查井井盖标高现状岸堤齐平。检查井标高与现状不符时，应立即通知设计，待设计确认后方可施工。</w:t>
      </w:r>
    </w:p>
    <w:p w14:paraId="1139722C">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检查井按控制点坐标放线定位，施工时可视管道接驳位置、管节长度对管位进行局部适当调整。</w:t>
      </w:r>
    </w:p>
    <w:p w14:paraId="6804B32B">
      <w:pPr>
        <w:pStyle w:val="2"/>
        <w:rPr>
          <w:szCs w:val="21"/>
        </w:rPr>
      </w:pPr>
      <w:r>
        <w:rPr>
          <w:rFonts w:hint="eastAsia"/>
          <w:szCs w:val="21"/>
        </w:rPr>
        <w:t>9、管道安装</w:t>
      </w:r>
    </w:p>
    <w:p w14:paraId="185355AF">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1、如无特殊说明重力流排水管道标高均为管底标高，其余管道标高均指管中心标高。</w:t>
      </w:r>
    </w:p>
    <w:p w14:paraId="2E369835">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2、定位原则：建筑物以轴线交点坐标，构筑物内角交点坐标，圆形构筑物圆心坐标，道路标注道路中心坐标。</w:t>
      </w:r>
    </w:p>
    <w:p w14:paraId="353068D1">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3、明装（架空）管道施工</w:t>
      </w:r>
    </w:p>
    <w:p w14:paraId="653E8343">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（1）钢管、塑料管：除特别注明外，支架、管箍、吊架等做法参见国标图集03S402。</w:t>
      </w:r>
    </w:p>
    <w:p w14:paraId="7EEF30FD">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（2）钢管接口：钢管连接方式采用焊接。</w:t>
      </w:r>
    </w:p>
    <w:p w14:paraId="0D5CAB45">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Q235B钢管焊条采用E4303型焊条的化学成分、机械强度应与母材相同且匹配兼顾工作条件和工艺性·焊条质量应符合现行国家标准《非合金钢及细晶粒钢焊条》(GB/T 5117-2012)、《热强钢焊条》(GB/T 5118-2012)的规定:焊条应燥。钢管坡口应在出厂市完成，焊接坡口角度60·DN&gt;800mm钢管应采用双面焊。对口时错口的允许偏差为壁厚的20% 且不得大于2mm。焊接与焊后热处理执国家标准《现场设备、工业管道焊接工程施工规范》(GB 50236-2011)、《工业金属管道工程施工规范》(GB 50235-2010)。所有焊缝质量等级要求为I级。</w:t>
      </w:r>
    </w:p>
    <w:p w14:paraId="2B764D1D">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（3）UPVC管：</w:t>
      </w:r>
    </w:p>
    <w:p w14:paraId="6C51327C">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*安装应符合《建筑给水塑料管道安装》（11S405-1）和《建筑给水排水及采暖工程施工质量验收规范》（GB 50242-2002）的有关规定。</w:t>
      </w:r>
    </w:p>
    <w:p w14:paraId="1BA88D5C">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*管件及胶粘剂应由合格证、说明书、生产厂名、生产日期（粘胶剂尚应有使用有效日期）、执行标准等。</w:t>
      </w:r>
    </w:p>
    <w:p w14:paraId="14AFDCCA">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*管道粘接时，应将承口内外侧擦拭干净，无尘沙、无水剂，无油污。粘接环境温度低于-10°时，应采取防寒、防冻措施。</w:t>
      </w:r>
    </w:p>
    <w:p w14:paraId="2FF9B65F">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*给水UPVC管支架参考图集11S405-1；排水UPVC管支架参考图集《建筑排水塑料管道工程技术规程》（CJJ/T 29-2010）。</w:t>
      </w:r>
    </w:p>
    <w:p w14:paraId="59770906">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（4）各类设备接口的标高、位置可在供货商各类技术人员指导下，视现场情况调整，但必须满足工艺运行、检修和维护方便且美观的要求。</w:t>
      </w:r>
    </w:p>
    <w:p w14:paraId="7CBAF1DA">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4、Q235钢管及管件应进行防腐处理,做法如下:</w:t>
      </w:r>
    </w:p>
    <w:p w14:paraId="5B2DA642">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（1）前处理:喷砂除锈达到Sa2.5级或电动砂轮机除锈达到St3级标准。</w:t>
      </w:r>
    </w:p>
    <w:p w14:paraId="429C7D96">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（2）钢管内壁防腐:底漆采用KY-2021厚浆型环氧重防腐涂料,铁红色,三道约80umX3;面漆采用KY-2026高抗水性环氧重防腐涂料,棕黑色,棕黑色,三道约80umX3;涂层干膜厚度480um。</w:t>
      </w:r>
    </w:p>
    <w:p w14:paraId="54F75956">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（3）埋地钢管外壁防腐:底漆采用KY-2021厚浆型环氧重防腐涂料,铁红色,三道约80umX3;面漆采用KY-2026高抗水性环氧重防腐涂料,棕黑色,四道约80umX4;涂层干膜厚度560um。</w:t>
      </w:r>
    </w:p>
    <w:p w14:paraId="20A913F6">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（4）外露、架空钢管外壁防腐:底漆采用KY-2021厚浆型环氧重防腐涂料,铁红色,三道约80umX3;面漆采用KY-2062脂肪族聚氨脂防腐耐晒面漆,中灰或天蓝色,二道约35umX2;涂层干膜厚度310um。</w:t>
      </w:r>
    </w:p>
    <w:p w14:paraId="0E963372">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（5）埋入混凝土中的翼环和钢管防腐：均刷水泥桨一遍 (425#)，焊缝防腐同外壁，但在焊缝处二端各留出150MM不做内外防腐处理，待管道焊接后，补做焊缝处内外防腐,防腐材料同前。</w:t>
      </w:r>
    </w:p>
    <w:p w14:paraId="0BA3BBD6">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6）管道支（吊、托）架、支座的设置：沿池（墙）壁、地面敷设的架空管道，在安装时均应设管道支（吊）架，详见相关大样图；若无特别标示位置详国家建筑标筑标准设计图集（03S402）《室内管道支架及吊架》：</w:t>
      </w:r>
    </w:p>
    <w:p w14:paraId="041E7F2E">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1）管道拐弯处（平面或竖向拐弯处均应设置）；</w:t>
      </w:r>
    </w:p>
    <w:p w14:paraId="4E8DDAFB">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2）支管接入处（三通或四通）；</w:t>
      </w:r>
    </w:p>
    <w:p w14:paraId="5D942BE2">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3）阀门安装处；</w:t>
      </w:r>
    </w:p>
    <w:p w14:paraId="519392B9">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4）每隔一定距离的直线管段，设置距离见标准图集。</w:t>
      </w:r>
    </w:p>
    <w:p w14:paraId="756F0E2E">
      <w:pPr>
        <w:pStyle w:val="2"/>
        <w:rPr>
          <w:szCs w:val="21"/>
        </w:rPr>
      </w:pPr>
      <w:r>
        <w:rPr>
          <w:rFonts w:hint="eastAsia"/>
          <w:szCs w:val="21"/>
        </w:rPr>
        <w:t>10、设备安装</w:t>
      </w:r>
    </w:p>
    <w:p w14:paraId="1B796EF7">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1</w:t>
      </w:r>
      <w:r>
        <w:rPr>
          <w:rFonts w:hint="eastAsia"/>
          <w:color w:val="000000" w:themeColor="text1"/>
          <w:kern w:val="0"/>
          <w:szCs w:val="21"/>
          <w14:textFill>
            <w14:solidFill>
              <w14:schemeClr w14:val="tx1"/>
            </w14:solidFill>
          </w14:textFill>
        </w:rPr>
        <w:t>、所有阀门、水泵、电机、风机、吊车等设备均应按照供货方提供的产品使用说明书及有关规范安装、调试、验收。</w:t>
      </w:r>
    </w:p>
    <w:p w14:paraId="4F75D2E6">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2</w:t>
      </w:r>
      <w:r>
        <w:rPr>
          <w:rFonts w:hint="eastAsia"/>
          <w:color w:val="000000" w:themeColor="text1"/>
          <w:kern w:val="0"/>
          <w:szCs w:val="21"/>
          <w14:textFill>
            <w14:solidFill>
              <w14:schemeClr w14:val="tx1"/>
            </w14:solidFill>
          </w14:textFill>
        </w:rPr>
        <w:t>、设备安装前应对照核对各专业（工艺、土建、电气、暖通等）图纸，保证型号与尺寸准确无误。设备实际选用型号与设计图纸中型号不符时，应重新核对安装尺寸。</w:t>
      </w:r>
    </w:p>
    <w:p w14:paraId="73B505C6">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3</w:t>
      </w:r>
      <w:r>
        <w:rPr>
          <w:rFonts w:hint="eastAsia"/>
          <w:color w:val="000000" w:themeColor="text1"/>
          <w:kern w:val="0"/>
          <w:szCs w:val="21"/>
          <w14:textFill>
            <w14:solidFill>
              <w14:schemeClr w14:val="tx1"/>
            </w14:solidFill>
          </w14:textFill>
        </w:rPr>
        <w:t>、主要设备应通过实地考察及招标方式选择具有业绩的生产厂家进行设备供货，并负责指导安装或承包安装。</w:t>
      </w:r>
    </w:p>
    <w:p w14:paraId="6C6123AA">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4</w:t>
      </w:r>
      <w:r>
        <w:rPr>
          <w:rFonts w:hint="eastAsia"/>
          <w:color w:val="000000" w:themeColor="text1"/>
          <w:kern w:val="0"/>
          <w:szCs w:val="21"/>
          <w14:textFill>
            <w14:solidFill>
              <w14:schemeClr w14:val="tx1"/>
            </w14:solidFill>
          </w14:textFill>
        </w:rPr>
        <w:t>、设备安装后，应对设备本体及前后管路系统进行检查。管路内杂物应清除干净，保证管路通畅且不影响阀门等设备的自由开启及关闭。如止回阀后的管道或伸缩器内径应不小于止回阀内径，或止回阀前后安装短管等，确保止回阀的阀板能自由开关（安装后应检查）。</w:t>
      </w:r>
    </w:p>
    <w:p w14:paraId="2206576A">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5</w:t>
      </w:r>
      <w:r>
        <w:rPr>
          <w:rFonts w:hint="eastAsia"/>
          <w:color w:val="000000" w:themeColor="text1"/>
          <w:kern w:val="0"/>
          <w:szCs w:val="21"/>
          <w14:textFill>
            <w14:solidFill>
              <w14:schemeClr w14:val="tx1"/>
            </w14:solidFill>
          </w14:textFill>
        </w:rPr>
        <w:t>、土建施工单位应与设备安装单位密切配合，相互协调，确保设备安装质量。</w:t>
      </w:r>
    </w:p>
    <w:p w14:paraId="1F8A9D7B">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6</w:t>
      </w:r>
      <w:r>
        <w:rPr>
          <w:rFonts w:hint="eastAsia"/>
          <w:color w:val="000000" w:themeColor="text1"/>
          <w:kern w:val="0"/>
          <w:szCs w:val="21"/>
          <w14:textFill>
            <w14:solidFill>
              <w14:schemeClr w14:val="tx1"/>
            </w14:solidFill>
          </w14:textFill>
        </w:rPr>
        <w:t>、由于本项目尚未设备招标，图中设备外形、安装尺寸、预留孔洞、预埋件等仅供参考，均需待设备招标后，核实无误方可进行相关土建预埋施工。成套技术设备供应的系统需由供货厂家进行二次深化设计，进设备厂商及设计确认后方可施工。</w:t>
      </w:r>
    </w:p>
    <w:p w14:paraId="44B361A8">
      <w:pPr>
        <w:autoSpaceDE w:val="0"/>
        <w:autoSpaceDN w:val="0"/>
        <w:adjustRightInd w:val="0"/>
        <w:spacing w:line="360" w:lineRule="auto"/>
        <w:ind w:firstLine="420" w:firstLineChars="20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7</w:t>
      </w:r>
      <w:r>
        <w:rPr>
          <w:rFonts w:hint="eastAsia"/>
          <w:color w:val="000000" w:themeColor="text1"/>
          <w:kern w:val="0"/>
          <w:szCs w:val="21"/>
          <w14:textFill>
            <w14:solidFill>
              <w14:schemeClr w14:val="tx1"/>
            </w14:solidFill>
          </w14:textFill>
        </w:rPr>
        <w:t>、水泵、设备等基础螺栓孔位置，以到货的实际尺寸为准。所有水泵的基础均要做减震处理。同时水泵采取以下措施来降低噪声</w:t>
      </w:r>
      <w:r>
        <w:rPr>
          <w:color w:val="000000" w:themeColor="text1"/>
          <w:kern w:val="0"/>
          <w:szCs w:val="21"/>
          <w14:textFill>
            <w14:solidFill>
              <w14:schemeClr w14:val="tx1"/>
            </w14:solidFill>
          </w14:textFill>
        </w:rPr>
        <w:t>:</w:t>
      </w:r>
      <w:r>
        <w:rPr>
          <w:rFonts w:hint="eastAsia"/>
          <w:color w:val="000000" w:themeColor="text1"/>
          <w:kern w:val="0"/>
          <w:szCs w:val="21"/>
          <w14:textFill>
            <w14:solidFill>
              <w14:schemeClr w14:val="tx1"/>
            </w14:solidFill>
          </w14:textFill>
        </w:rPr>
        <w:t>管道支架采用弹性吊架或弹性托架和隔振支架；水泵出水管穿墙和楼板处，洞口与管外壁间填充弹性减振消音材料；水泵吸水管和出水管上，装设可曲挠橡胶接头或其他隔振管件；水泵机组设置弹簧减震器。由厂家配套。</w:t>
      </w:r>
    </w:p>
    <w:p w14:paraId="7ACC5F86">
      <w:pPr>
        <w:numPr>
          <w:ilvl w:val="0"/>
          <w:numId w:val="3"/>
        </w:numPr>
        <w:autoSpaceDE w:val="0"/>
        <w:autoSpaceDN w:val="0"/>
        <w:adjustRightInd w:val="0"/>
        <w:spacing w:line="360" w:lineRule="auto"/>
        <w:jc w:val="left"/>
        <w:outlineLvl w:val="1"/>
        <w:rPr>
          <w:rFonts w:hint="eastAsia" w:ascii="黑体" w:hAnsi="黑体" w:eastAsia="黑体"/>
          <w:b/>
          <w:color w:val="000000" w:themeColor="text1"/>
          <w:kern w:val="0"/>
          <w:sz w:val="24"/>
          <w:szCs w:val="24"/>
          <w14:textFill>
            <w14:solidFill>
              <w14:schemeClr w14:val="tx1"/>
            </w14:solidFill>
          </w14:textFill>
        </w:rPr>
      </w:pPr>
      <w:r>
        <w:rPr>
          <w:rFonts w:ascii="黑体" w:hAnsi="黑体" w:eastAsia="黑体"/>
          <w:b/>
          <w:color w:val="000000" w:themeColor="text1"/>
          <w:kern w:val="0"/>
          <w:sz w:val="24"/>
          <w:szCs w:val="24"/>
          <w14:textFill>
            <w14:solidFill>
              <w14:schemeClr w14:val="tx1"/>
            </w14:solidFill>
          </w14:textFill>
        </w:rPr>
        <w:t>排水构筑物技术说明</w:t>
      </w:r>
    </w:p>
    <w:p w14:paraId="24F0A6E7">
      <w:pPr>
        <w:numPr>
          <w:ilvl w:val="1"/>
          <w:numId w:val="5"/>
        </w:numPr>
        <w:autoSpaceDE w:val="0"/>
        <w:autoSpaceDN w:val="0"/>
        <w:adjustRightInd w:val="0"/>
        <w:spacing w:line="360" w:lineRule="auto"/>
        <w:jc w:val="left"/>
        <w:outlineLvl w:val="2"/>
        <w:rPr>
          <w:rFonts w:eastAsia="黑体"/>
          <w:b/>
          <w:color w:val="000000" w:themeColor="text1"/>
          <w:kern w:val="0"/>
          <w:sz w:val="24"/>
          <w:szCs w:val="24"/>
          <w14:textFill>
            <w14:solidFill>
              <w14:schemeClr w14:val="tx1"/>
            </w14:solidFill>
          </w14:textFill>
        </w:rPr>
      </w:pPr>
      <w:r>
        <w:rPr>
          <w:rFonts w:eastAsia="黑体"/>
          <w:b/>
          <w:color w:val="000000" w:themeColor="text1"/>
          <w:kern w:val="0"/>
          <w:sz w:val="24"/>
          <w:szCs w:val="24"/>
          <w14:textFill>
            <w14:solidFill>
              <w14:schemeClr w14:val="tx1"/>
            </w14:solidFill>
          </w14:textFill>
        </w:rPr>
        <w:t>材料</w:t>
      </w:r>
    </w:p>
    <w:p w14:paraId="0D49F268">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1、混凝土：(本工程全部采用商品砼)</w:t>
      </w:r>
    </w:p>
    <w:p w14:paraId="6E827436">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1）混凝土强度等级：除另有规定外，本工程混凝土等级垫层为C20，素混凝土填料为C20，池体为C30/C35。</w:t>
      </w:r>
    </w:p>
    <w:p w14:paraId="3CB6A25B">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2）砼中最大氯离子含量小于0.10%，最大碱含量应小于3.0kg/m3。</w:t>
      </w:r>
    </w:p>
    <w:p w14:paraId="72917BAB">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2、池体抗渗等级：P6/P8。</w:t>
      </w:r>
    </w:p>
    <w:p w14:paraId="44ACBB73">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、钢筋：本工程除吊钩、吊环采用HPB300外，其余均采用HRB400钢筋，且吊钩、吊环不得采用冷加工钢筋。所有钢筋强度标准值应具有不小于95%的保证率。</w:t>
      </w:r>
    </w:p>
    <w:p w14:paraId="24EDFA97">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4、钢材：钢梯、预埋件采用钢材Q235B钢；钢制管件、管道支架等均采用Q235B钢。</w:t>
      </w:r>
    </w:p>
    <w:p w14:paraId="289D388A">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5、焊条：E43型用于Q235钢及HPB300钢筋，E50型用于HRB400钢筋。</w:t>
      </w:r>
    </w:p>
    <w:p w14:paraId="22D142D2">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6、砌体：</w:t>
      </w:r>
    </w:p>
    <w:p w14:paraId="46A4D59E">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1）砖砌体：MU25混凝土普通砖、WM M10水泥砂浆，采用预拌砂浆。</w:t>
      </w:r>
    </w:p>
    <w:p w14:paraId="256232F9">
      <w:pPr>
        <w:spacing w:line="360" w:lineRule="auto"/>
        <w:ind w:firstLine="42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2）挡土墙：MU10水泥砂浆，M40毛石。</w:t>
      </w:r>
    </w:p>
    <w:p w14:paraId="72BFBBC9">
      <w:pPr>
        <w:numPr>
          <w:ilvl w:val="1"/>
          <w:numId w:val="5"/>
        </w:numPr>
        <w:autoSpaceDE w:val="0"/>
        <w:autoSpaceDN w:val="0"/>
        <w:adjustRightInd w:val="0"/>
        <w:spacing w:line="360" w:lineRule="auto"/>
        <w:jc w:val="left"/>
        <w:outlineLvl w:val="2"/>
        <w:rPr>
          <w:rFonts w:eastAsia="黑体"/>
          <w:b/>
          <w:color w:val="000000" w:themeColor="text1"/>
          <w:kern w:val="0"/>
          <w:sz w:val="24"/>
          <w:szCs w:val="24"/>
          <w14:textFill>
            <w14:solidFill>
              <w14:schemeClr w14:val="tx1"/>
            </w14:solidFill>
          </w14:textFill>
        </w:rPr>
      </w:pPr>
      <w:r>
        <w:rPr>
          <w:rFonts w:eastAsia="黑体"/>
          <w:b/>
          <w:color w:val="000000" w:themeColor="text1"/>
          <w:kern w:val="0"/>
          <w:sz w:val="24"/>
          <w:szCs w:val="24"/>
          <w14:textFill>
            <w14:solidFill>
              <w14:schemeClr w14:val="tx1"/>
            </w14:solidFill>
          </w14:textFill>
        </w:rPr>
        <w:t>钢筋制作、安装</w:t>
      </w:r>
    </w:p>
    <w:p w14:paraId="68488C25">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1、受力钢筋宜用自动对焊机对焊接长（焊口需经检验合格）。</w:t>
      </w:r>
    </w:p>
    <w:p w14:paraId="48D3E182">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2、侧墙竖向钢筋、底板钢筋接头均需采用焊接搭接。</w:t>
      </w:r>
    </w:p>
    <w:p w14:paraId="3C60B900">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3、钢筋只允许在其长度两头各（1/5~1/4）L及后浇带处接驳。</w:t>
      </w:r>
    </w:p>
    <w:p w14:paraId="58D01B50">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4、在任一搭接截面范围内，只允许50%钢筋接驳。接驳长度：单面焊10d；双面焊5d；冷驳长度42d。</w:t>
      </w:r>
    </w:p>
    <w:p w14:paraId="4BAB4FFD">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5、梁、柱箍筋弯钩135 ，弯钩直段长度10d（d为箍筋直径）。</w:t>
      </w:r>
    </w:p>
    <w:p w14:paraId="291B5638">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6、若图纸未表示底板的构造支撑“Π”筋，则16@1000x1000布置。</w:t>
      </w:r>
    </w:p>
    <w:p w14:paraId="1669D9CF">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7、若图纸未表示侧墙水平“S”拉筋，则按</w:t>
      </w:r>
      <w:r>
        <w:rPr>
          <w:rFonts w:ascii="Cambria Math" w:hAnsi="Cambria Math" w:cs="Cambria Math"/>
          <w:color w:val="000000" w:themeColor="text1"/>
          <w:szCs w:val="21"/>
          <w14:textFill>
            <w14:solidFill>
              <w14:schemeClr w14:val="tx1"/>
            </w14:solidFill>
          </w14:textFill>
        </w:rPr>
        <w:t>∅</w:t>
      </w:r>
      <w:r>
        <w:rPr>
          <w:color w:val="000000" w:themeColor="text1"/>
          <w:szCs w:val="21"/>
          <w14:textFill>
            <w14:solidFill>
              <w14:schemeClr w14:val="tx1"/>
            </w14:solidFill>
          </w14:textFill>
        </w:rPr>
        <w:t>8@600x600布置。</w:t>
      </w:r>
    </w:p>
    <w:p w14:paraId="1A0F7E89">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8、钢筋遇孔洞时应尽量绕过，不得截断。如必须截断时，应与孔洞口加固环筋焊接锚固。</w:t>
      </w:r>
    </w:p>
    <w:p w14:paraId="007C3BDE">
      <w:pPr>
        <w:numPr>
          <w:ilvl w:val="1"/>
          <w:numId w:val="5"/>
        </w:numPr>
        <w:autoSpaceDE w:val="0"/>
        <w:autoSpaceDN w:val="0"/>
        <w:adjustRightInd w:val="0"/>
        <w:spacing w:line="360" w:lineRule="auto"/>
        <w:jc w:val="left"/>
        <w:outlineLvl w:val="2"/>
        <w:rPr>
          <w:rFonts w:eastAsia="黑体"/>
          <w:b/>
          <w:color w:val="000000" w:themeColor="text1"/>
          <w:kern w:val="0"/>
          <w:sz w:val="24"/>
          <w:szCs w:val="24"/>
          <w14:textFill>
            <w14:solidFill>
              <w14:schemeClr w14:val="tx1"/>
            </w14:solidFill>
          </w14:textFill>
        </w:rPr>
      </w:pPr>
      <w:r>
        <w:rPr>
          <w:rFonts w:eastAsia="黑体"/>
          <w:b/>
          <w:color w:val="000000" w:themeColor="text1"/>
          <w:kern w:val="0"/>
          <w:sz w:val="24"/>
          <w:szCs w:val="24"/>
          <w14:textFill>
            <w14:solidFill>
              <w14:schemeClr w14:val="tx1"/>
            </w14:solidFill>
          </w14:textFill>
        </w:rPr>
        <w:t>模板要求</w:t>
      </w:r>
    </w:p>
    <w:p w14:paraId="4B1BB3C9">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1、基坑内的杂物、积水必须清除干净，必要时地模应找坡并设集水井抽升排水。</w:t>
      </w:r>
    </w:p>
    <w:p w14:paraId="45E6C82F">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模板要求拼缝严密，保证不漏浆，凹凸面必须符合要求；水平支撑不得贯穿结构构件，如用穿墙螺栓拉结模板，必须采用焊接钢板止水环（50x50x5），钢板与螺栓必须满焊，砼面做30x30x20凹面，拆模时拧去螺栓两端活动拉杆头，切除螺栓，清理干净后，用1：2防水水泥砂浆抹平。</w:t>
      </w:r>
    </w:p>
    <w:p w14:paraId="727DA3D4">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3、钢筋砼结构构件尺寸误差、结构总体尺寸误差必须符合有关施工与验收规范的要求。</w:t>
      </w:r>
    </w:p>
    <w:p w14:paraId="01DC6CCF">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4、各种预埋件、预留孔都必须在模板封闭前按有关图纸（以工艺图为准）要求安装妥当，其标高、中心轴线偏差要求在5mm内。</w:t>
      </w:r>
    </w:p>
    <w:p w14:paraId="010D721B">
      <w:pPr>
        <w:numPr>
          <w:ilvl w:val="1"/>
          <w:numId w:val="5"/>
        </w:numPr>
        <w:autoSpaceDE w:val="0"/>
        <w:autoSpaceDN w:val="0"/>
        <w:adjustRightInd w:val="0"/>
        <w:spacing w:line="360" w:lineRule="auto"/>
        <w:jc w:val="left"/>
        <w:outlineLvl w:val="2"/>
        <w:rPr>
          <w:rFonts w:eastAsia="黑体"/>
          <w:b/>
          <w:color w:val="000000" w:themeColor="text1"/>
          <w:kern w:val="0"/>
          <w:sz w:val="24"/>
          <w:szCs w:val="24"/>
          <w14:textFill>
            <w14:solidFill>
              <w14:schemeClr w14:val="tx1"/>
            </w14:solidFill>
          </w14:textFill>
        </w:rPr>
      </w:pPr>
      <w:r>
        <w:rPr>
          <w:rFonts w:eastAsia="黑体"/>
          <w:b/>
          <w:color w:val="000000" w:themeColor="text1"/>
          <w:kern w:val="0"/>
          <w:sz w:val="24"/>
          <w:szCs w:val="24"/>
          <w14:textFill>
            <w14:solidFill>
              <w14:schemeClr w14:val="tx1"/>
            </w14:solidFill>
          </w14:textFill>
        </w:rPr>
        <w:t>施工缝和后浇带</w:t>
      </w:r>
    </w:p>
    <w:p w14:paraId="7104BB48">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1、底板施工缝应设在底板上500mm以上位置，除设计要求的施工缝外，不得以施工理由擅自增设施工缝。</w:t>
      </w:r>
    </w:p>
    <w:p w14:paraId="79912BCA">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2、施工缝和后浇带设计应严格按施工缝有关施工规范、构造要求施工。</w:t>
      </w:r>
    </w:p>
    <w:p w14:paraId="1F08E857">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3、施工时应将施工缝处先浇砼的浮浆凿除并用高压水冲刷干净，扫水泥浆两遍再浇砼。</w:t>
      </w:r>
    </w:p>
    <w:p w14:paraId="353989B4">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4、止水钢片埋设位置应准确、妥善固定；止水钢片接缝应平整、密闭、无渗水，与两侧钢筋拉结牢固。</w:t>
      </w:r>
    </w:p>
    <w:p w14:paraId="2A6B6684">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5、后浇带应在混凝土浇筑28天后才能焊接钢筋，浇筑后浇带用的混凝土强度等级应比两侧的混凝土高一个等级，并应掺入更高比例的混凝土外加剂。</w:t>
      </w:r>
    </w:p>
    <w:p w14:paraId="1BA072D9">
      <w:pPr>
        <w:numPr>
          <w:ilvl w:val="1"/>
          <w:numId w:val="5"/>
        </w:numPr>
        <w:autoSpaceDE w:val="0"/>
        <w:autoSpaceDN w:val="0"/>
        <w:adjustRightInd w:val="0"/>
        <w:spacing w:line="360" w:lineRule="auto"/>
        <w:jc w:val="left"/>
        <w:outlineLvl w:val="2"/>
        <w:rPr>
          <w:rFonts w:eastAsia="黑体"/>
          <w:b/>
          <w:color w:val="000000" w:themeColor="text1"/>
          <w:kern w:val="0"/>
          <w:sz w:val="24"/>
          <w:szCs w:val="24"/>
          <w14:textFill>
            <w14:solidFill>
              <w14:schemeClr w14:val="tx1"/>
            </w14:solidFill>
          </w14:textFill>
        </w:rPr>
      </w:pPr>
      <w:r>
        <w:rPr>
          <w:rFonts w:eastAsia="黑体"/>
          <w:b/>
          <w:color w:val="000000" w:themeColor="text1"/>
          <w:kern w:val="0"/>
          <w:sz w:val="24"/>
          <w:szCs w:val="24"/>
          <w14:textFill>
            <w14:solidFill>
              <w14:schemeClr w14:val="tx1"/>
            </w14:solidFill>
          </w14:textFill>
        </w:rPr>
        <w:t>砼浇筑</w:t>
      </w:r>
    </w:p>
    <w:p w14:paraId="4A2447C7">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1、浇筑砼前应将模板内杂物清理干净，用水将模板淋透。</w:t>
      </w:r>
    </w:p>
    <w:p w14:paraId="79C05180">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2、必须做好施工组织计划，合理调配砼及保持砼浇筑的连续性，不得因施工不当而随意留设施工缝。</w:t>
      </w:r>
    </w:p>
    <w:p w14:paraId="6F88F7F2">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3、较厚的底板、所有的侧墙（池壁、闸墩）应分层浇筑，层厚300~400mm，循序渐进，砼落高不得超过2m，否则应使用流槽或漏斗管。</w:t>
      </w:r>
    </w:p>
    <w:p w14:paraId="2781EB23">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4、使用砼震动器时必须防止震动器振动钢筋，破坏已进入初凝阶段的砼。</w:t>
      </w:r>
    </w:p>
    <w:p w14:paraId="5B7A10B0">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5、应优先采用商品砼，如在现场搅拌宜建立中心搅拌站及采用砼泵输送。</w:t>
      </w:r>
    </w:p>
    <w:p w14:paraId="567382A3">
      <w:pPr>
        <w:numPr>
          <w:ilvl w:val="1"/>
          <w:numId w:val="5"/>
        </w:numPr>
        <w:autoSpaceDE w:val="0"/>
        <w:autoSpaceDN w:val="0"/>
        <w:adjustRightInd w:val="0"/>
        <w:spacing w:line="360" w:lineRule="auto"/>
        <w:jc w:val="left"/>
        <w:outlineLvl w:val="2"/>
        <w:rPr>
          <w:rFonts w:eastAsia="黑体"/>
          <w:b/>
          <w:color w:val="000000" w:themeColor="text1"/>
          <w:kern w:val="0"/>
          <w:sz w:val="24"/>
          <w:szCs w:val="24"/>
          <w14:textFill>
            <w14:solidFill>
              <w14:schemeClr w14:val="tx1"/>
            </w14:solidFill>
          </w14:textFill>
        </w:rPr>
      </w:pPr>
      <w:r>
        <w:rPr>
          <w:rFonts w:eastAsia="黑体"/>
          <w:b/>
          <w:color w:val="000000" w:themeColor="text1"/>
          <w:kern w:val="0"/>
          <w:sz w:val="24"/>
          <w:szCs w:val="24"/>
          <w14:textFill>
            <w14:solidFill>
              <w14:schemeClr w14:val="tx1"/>
            </w14:solidFill>
          </w14:textFill>
        </w:rPr>
        <w:t>砼养护</w:t>
      </w:r>
    </w:p>
    <w:p w14:paraId="1D19DD72">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1、砼浇筑后4~6小时就应开始淋水养护，养护时间不少于14昼夜。</w:t>
      </w:r>
    </w:p>
    <w:p w14:paraId="31D561DC">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2、施工期间应防止太阳暴晒，必要时采取临时遮盖措施。可储水的地下构筑物应注水养护。</w:t>
      </w:r>
    </w:p>
    <w:p w14:paraId="791604A7">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3、按要求需要做注水试验的，注水试验后应从速进行防水层的施工。</w:t>
      </w:r>
    </w:p>
    <w:p w14:paraId="33FAE929">
      <w:pPr>
        <w:numPr>
          <w:ilvl w:val="1"/>
          <w:numId w:val="5"/>
        </w:numPr>
        <w:autoSpaceDE w:val="0"/>
        <w:autoSpaceDN w:val="0"/>
        <w:adjustRightInd w:val="0"/>
        <w:spacing w:line="360" w:lineRule="auto"/>
        <w:jc w:val="left"/>
        <w:outlineLvl w:val="2"/>
        <w:rPr>
          <w:b/>
          <w:color w:val="000000" w:themeColor="text1"/>
          <w:kern w:val="0"/>
          <w:sz w:val="24"/>
          <w:szCs w:val="24"/>
          <w14:textFill>
            <w14:solidFill>
              <w14:schemeClr w14:val="tx1"/>
            </w14:solidFill>
          </w14:textFill>
        </w:rPr>
      </w:pPr>
      <w:r>
        <w:rPr>
          <w:rFonts w:eastAsia="黑体"/>
          <w:b/>
          <w:color w:val="000000" w:themeColor="text1"/>
          <w:kern w:val="0"/>
          <w:sz w:val="24"/>
          <w:szCs w:val="24"/>
          <w14:textFill>
            <w14:solidFill>
              <w14:schemeClr w14:val="tx1"/>
            </w14:solidFill>
          </w14:textFill>
        </w:rPr>
        <w:t>防水施工</w:t>
      </w:r>
    </w:p>
    <w:p w14:paraId="7028D201">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1、构筑物防水涂料采用《水泥基渗透结晶型》（GB18445-2001）</w:t>
      </w:r>
      <w:r>
        <w:rPr>
          <w:rFonts w:hint="eastAsia"/>
          <w:color w:val="000000" w:themeColor="text1"/>
          <w:szCs w:val="21"/>
          <w14:textFill>
            <w14:solidFill>
              <w14:schemeClr w14:val="tx1"/>
            </w14:solidFill>
          </w14:textFill>
        </w:rPr>
        <w:t>Ⅱ</w:t>
      </w:r>
      <w:r>
        <w:rPr>
          <w:color w:val="000000" w:themeColor="text1"/>
          <w:szCs w:val="21"/>
          <w14:textFill>
            <w14:solidFill>
              <w14:schemeClr w14:val="tx1"/>
            </w14:solidFill>
          </w14:textFill>
        </w:rPr>
        <w:t>型防水涂料，涂刷部位为池体底板面、壁板迎水、背水面及面板底面。</w:t>
      </w:r>
    </w:p>
    <w:p w14:paraId="142E3A25">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2、防水涂料施工前，混凝土结构表面应满刮一道素浆，将气孔、小孔洞堵塞平整。</w:t>
      </w:r>
    </w:p>
    <w:p w14:paraId="66802A28">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3、池体底板面、壁板迎水面做二底一面，厚度1.0mm，其余按一底一面做法，厚度0.8mm。</w:t>
      </w:r>
    </w:p>
    <w:p w14:paraId="11921668">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4、涂料施工应遵守下列规定：</w:t>
      </w:r>
    </w:p>
    <w:p w14:paraId="6445CAF9">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1）涂料施工前，应将砼面接槎处用砂轮打磨平整.</w:t>
      </w:r>
    </w:p>
    <w:p w14:paraId="1D488FEC">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2）用滚子蘸料时，应先在料桶底部滚动并上下搅拌，不能有局部沉淀。</w:t>
      </w:r>
    </w:p>
    <w:p w14:paraId="6D26DD8D">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3）涂刷时要均匀，每层之间的时间间隔以一层涂膜干固为准。</w:t>
      </w:r>
    </w:p>
    <w:p w14:paraId="13BB6F5F">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4）每层用量不过度，应按规定用量取料。</w:t>
      </w:r>
    </w:p>
    <w:p w14:paraId="78664C7A">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5）施工温度不应低于5</w: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，雨天不宜施工。</w:t>
      </w:r>
    </w:p>
    <w:p w14:paraId="799D9674">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6）施工完毕后应进行养护不少于7天。</w:t>
      </w:r>
    </w:p>
    <w:p w14:paraId="0FF5D6BF">
      <w:pPr>
        <w:numPr>
          <w:ilvl w:val="1"/>
          <w:numId w:val="5"/>
        </w:numPr>
        <w:autoSpaceDE w:val="0"/>
        <w:autoSpaceDN w:val="0"/>
        <w:adjustRightInd w:val="0"/>
        <w:spacing w:line="360" w:lineRule="auto"/>
        <w:jc w:val="left"/>
        <w:outlineLvl w:val="2"/>
        <w:rPr>
          <w:rFonts w:eastAsia="黑体"/>
          <w:b/>
          <w:color w:val="000000" w:themeColor="text1"/>
          <w:kern w:val="0"/>
          <w:sz w:val="24"/>
          <w:szCs w:val="24"/>
          <w14:textFill>
            <w14:solidFill>
              <w14:schemeClr w14:val="tx1"/>
            </w14:solidFill>
          </w14:textFill>
        </w:rPr>
      </w:pPr>
      <w:r>
        <w:rPr>
          <w:rFonts w:eastAsia="黑体"/>
          <w:b/>
          <w:color w:val="000000" w:themeColor="text1"/>
          <w:kern w:val="0"/>
          <w:sz w:val="24"/>
          <w:szCs w:val="24"/>
          <w14:textFill>
            <w14:solidFill>
              <w14:schemeClr w14:val="tx1"/>
            </w14:solidFill>
          </w14:textFill>
        </w:rPr>
        <w:t>注水试验及渗漏检查</w:t>
      </w:r>
    </w:p>
    <w:p w14:paraId="3AB319D2">
      <w:pPr>
        <w:spacing w:line="360" w:lineRule="auto"/>
        <w:rPr>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 xml:space="preserve">    </w:t>
      </w:r>
      <w:r>
        <w:rPr>
          <w:color w:val="000000" w:themeColor="text1"/>
          <w:szCs w:val="21"/>
          <w14:textFill>
            <w14:solidFill>
              <w14:schemeClr w14:val="tx1"/>
            </w14:solidFill>
          </w14:textFill>
        </w:rPr>
        <w:t>1、当池体砼强度达到设计强度时，应及时进行满水试验，防止空池暴晒。</w:t>
      </w:r>
    </w:p>
    <w:p w14:paraId="3775995A">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2、注水方式：每升高1m水位不少于4小时，然后停止12小时，直至设计水位（墙外未填土，墙面未批荡）。</w:t>
      </w:r>
    </w:p>
    <w:p w14:paraId="251BCEFD">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3、抗渗标准：（1）.24小时渗水量不超过1/1000；（2）.施工缝、后浇带不漏水。</w:t>
      </w:r>
    </w:p>
    <w:p w14:paraId="7AEF5900">
      <w:pPr>
        <w:numPr>
          <w:ilvl w:val="1"/>
          <w:numId w:val="5"/>
        </w:numPr>
        <w:autoSpaceDE w:val="0"/>
        <w:autoSpaceDN w:val="0"/>
        <w:adjustRightInd w:val="0"/>
        <w:spacing w:line="360" w:lineRule="auto"/>
        <w:jc w:val="left"/>
        <w:outlineLvl w:val="2"/>
        <w:rPr>
          <w:rFonts w:eastAsia="黑体"/>
          <w:b/>
          <w:color w:val="000000" w:themeColor="text1"/>
          <w:kern w:val="0"/>
          <w:sz w:val="24"/>
          <w:szCs w:val="24"/>
          <w14:textFill>
            <w14:solidFill>
              <w14:schemeClr w14:val="tx1"/>
            </w14:solidFill>
          </w14:textFill>
        </w:rPr>
      </w:pPr>
      <w:r>
        <w:rPr>
          <w:rFonts w:eastAsia="黑体"/>
          <w:b/>
          <w:color w:val="000000" w:themeColor="text1"/>
          <w:kern w:val="0"/>
          <w:sz w:val="24"/>
          <w:szCs w:val="24"/>
          <w14:textFill>
            <w14:solidFill>
              <w14:schemeClr w14:val="tx1"/>
            </w14:solidFill>
          </w14:textFill>
        </w:rPr>
        <w:t>施工期间排水</w:t>
      </w:r>
    </w:p>
    <w:p w14:paraId="44BEC78B">
      <w:pPr>
        <w:spacing w:line="360" w:lineRule="auto"/>
        <w:rPr>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1、基坑施工时应设置排水沟及集水井，防止基坑破坏。</w:t>
      </w:r>
    </w:p>
    <w:p w14:paraId="4DECFBAC">
      <w:pPr>
        <w:spacing w:line="360" w:lineRule="auto"/>
        <w:ind w:firstLine="42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2、各单体建、构筑物在施工期间，要采取有效措施防止其上浮。</w:t>
      </w:r>
    </w:p>
    <w:p w14:paraId="134FC069">
      <w:pPr>
        <w:pStyle w:val="2"/>
      </w:pPr>
    </w:p>
    <w:p w14:paraId="20F414D7">
      <w:pPr>
        <w:numPr>
          <w:ilvl w:val="1"/>
          <w:numId w:val="5"/>
        </w:numPr>
        <w:autoSpaceDE w:val="0"/>
        <w:autoSpaceDN w:val="0"/>
        <w:adjustRightInd w:val="0"/>
        <w:spacing w:line="360" w:lineRule="auto"/>
        <w:jc w:val="left"/>
        <w:outlineLvl w:val="2"/>
        <w:rPr>
          <w:rFonts w:eastAsia="黑体"/>
          <w:b/>
          <w:color w:val="000000" w:themeColor="text1"/>
          <w:kern w:val="0"/>
          <w:sz w:val="24"/>
          <w:szCs w:val="24"/>
          <w14:textFill>
            <w14:solidFill>
              <w14:schemeClr w14:val="tx1"/>
            </w14:solidFill>
          </w14:textFill>
        </w:rPr>
      </w:pPr>
      <w:r>
        <w:rPr>
          <w:rFonts w:eastAsia="黑体"/>
          <w:b/>
          <w:color w:val="000000" w:themeColor="text1"/>
          <w:kern w:val="0"/>
          <w:sz w:val="24"/>
          <w:szCs w:val="24"/>
          <w14:textFill>
            <w14:solidFill>
              <w14:schemeClr w14:val="tx1"/>
            </w14:solidFill>
          </w14:textFill>
        </w:rPr>
        <w:t>回填土要求</w:t>
      </w:r>
    </w:p>
    <w:p w14:paraId="7EF77FFA">
      <w:pPr>
        <w:spacing w:line="360" w:lineRule="auto"/>
        <w:rPr>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 xml:space="preserve">   </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1、基坑超挖部分必须用中粗砂回填，并用平板震动器振实，才能做素砼垫层的施工。</w:t>
      </w:r>
    </w:p>
    <w:p w14:paraId="12518EE3">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2、墙外回填土必须两侧对称等高分层进行，分层虚铺高度300mm，用蛙式打夯机夯实。回填土密实度不小于90%，路基以下按路基要求。回填土须分层、对称、均匀回填。试水合格后尽量及时回填外侧土方。回填材料：石屑或中砂。</w:t>
      </w:r>
    </w:p>
    <w:p w14:paraId="665F9F4E">
      <w:pPr>
        <w:autoSpaceDE w:val="0"/>
        <w:autoSpaceDN w:val="0"/>
        <w:adjustRightInd w:val="0"/>
        <w:spacing w:line="360" w:lineRule="auto"/>
        <w:ind w:firstLine="480" w:firstLineChars="200"/>
        <w:jc w:val="left"/>
        <w:rPr>
          <w:color w:val="000000" w:themeColor="text1"/>
          <w:kern w:val="0"/>
          <w:sz w:val="24"/>
          <w:szCs w:val="24"/>
          <w14:textFill>
            <w14:solidFill>
              <w14:schemeClr w14:val="tx1"/>
            </w14:solidFill>
          </w14:textFill>
        </w:rPr>
      </w:pPr>
    </w:p>
    <w:p w14:paraId="2638D084">
      <w:pPr>
        <w:numPr>
          <w:ilvl w:val="0"/>
          <w:numId w:val="3"/>
        </w:numPr>
        <w:autoSpaceDE w:val="0"/>
        <w:autoSpaceDN w:val="0"/>
        <w:adjustRightInd w:val="0"/>
        <w:spacing w:line="360" w:lineRule="auto"/>
        <w:jc w:val="left"/>
        <w:outlineLvl w:val="1"/>
        <w:rPr>
          <w:rFonts w:hint="eastAsia" w:ascii="黑体" w:hAnsi="黑体" w:eastAsia="黑体"/>
          <w:b/>
          <w:color w:val="000000" w:themeColor="text1"/>
          <w:kern w:val="0"/>
          <w:sz w:val="24"/>
          <w:szCs w:val="24"/>
          <w14:textFill>
            <w14:solidFill>
              <w14:schemeClr w14:val="tx1"/>
            </w14:solidFill>
          </w14:textFill>
        </w:rPr>
      </w:pPr>
      <w:r>
        <w:rPr>
          <w:rFonts w:ascii="黑体" w:hAnsi="黑体" w:eastAsia="黑体"/>
          <w:b/>
          <w:color w:val="000000" w:themeColor="text1"/>
          <w:kern w:val="0"/>
          <w:sz w:val="24"/>
          <w:szCs w:val="24"/>
          <w14:textFill>
            <w14:solidFill>
              <w14:schemeClr w14:val="tx1"/>
            </w14:solidFill>
          </w14:textFill>
        </w:rPr>
        <w:t>结构技术说明</w:t>
      </w:r>
    </w:p>
    <w:p w14:paraId="20A977AC">
      <w:pPr>
        <w:autoSpaceDE w:val="0"/>
        <w:autoSpaceDN w:val="0"/>
        <w:adjustRightInd w:val="0"/>
        <w:spacing w:line="360" w:lineRule="auto"/>
        <w:ind w:left="420"/>
        <w:jc w:val="left"/>
        <w:outlineLvl w:val="2"/>
        <w:rPr>
          <w:rFonts w:eastAsia="黑体"/>
          <w:b/>
          <w:color w:val="000000" w:themeColor="text1"/>
          <w:kern w:val="0"/>
          <w:sz w:val="24"/>
          <w:szCs w:val="24"/>
          <w14:textFill>
            <w14:solidFill>
              <w14:schemeClr w14:val="tx1"/>
            </w14:solidFill>
          </w14:textFill>
        </w:rPr>
      </w:pPr>
      <w:r>
        <w:rPr>
          <w:rFonts w:hint="eastAsia" w:eastAsia="黑体"/>
          <w:b/>
          <w:color w:val="000000" w:themeColor="text1"/>
          <w:kern w:val="0"/>
          <w:sz w:val="24"/>
          <w:szCs w:val="24"/>
          <w14:textFill>
            <w14:solidFill>
              <w14:schemeClr w14:val="tx1"/>
            </w14:solidFill>
          </w14:textFill>
        </w:rPr>
        <w:t>3</w:t>
      </w:r>
      <w:r>
        <w:rPr>
          <w:rFonts w:eastAsia="黑体"/>
          <w:b/>
          <w:color w:val="000000" w:themeColor="text1"/>
          <w:kern w:val="0"/>
          <w:sz w:val="24"/>
          <w:szCs w:val="24"/>
          <w14:textFill>
            <w14:solidFill>
              <w14:schemeClr w14:val="tx1"/>
            </w14:solidFill>
          </w14:textFill>
        </w:rPr>
        <w:t>.1.</w:t>
      </w:r>
      <w:r>
        <w:rPr>
          <w:rFonts w:hint="eastAsia" w:eastAsia="黑体"/>
          <w:b/>
          <w:color w:val="000000" w:themeColor="text1"/>
          <w:kern w:val="0"/>
          <w:sz w:val="24"/>
          <w:szCs w:val="24"/>
          <w14:textFill>
            <w14:solidFill>
              <w14:schemeClr w14:val="tx1"/>
            </w14:solidFill>
          </w14:textFill>
        </w:rPr>
        <w:t>引用标准</w:t>
      </w:r>
    </w:p>
    <w:p w14:paraId="114A1E3D">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《工程结构通用规范》(GB 55001-2021)</w:t>
      </w:r>
    </w:p>
    <w:p w14:paraId="486421FD">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《建筑与市政工程抗震通用规范》（GB 55002-2021）</w:t>
      </w:r>
    </w:p>
    <w:p w14:paraId="7AF4CF94">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《建筑与市政地基基础通用规范》(GB 55003-2021)</w:t>
      </w:r>
    </w:p>
    <w:p w14:paraId="1D31E8E8">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《钢结构通用规范》(GB 55006-2021)</w:t>
      </w:r>
    </w:p>
    <w:p w14:paraId="3D719695">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《砌体结构通用规范》(GB 55007-2021)</w:t>
      </w:r>
    </w:p>
    <w:p w14:paraId="67C2235D">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《混凝土结构通用规范》(GB 55008-2021)</w:t>
      </w:r>
    </w:p>
    <w:p w14:paraId="5824EF8D">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《工程勘察通用规范》(GB 55017-2021)</w:t>
      </w:r>
    </w:p>
    <w:p w14:paraId="7A0DC1F9">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《建筑与市政工程施工质量控制通用规范》(GB 55032-2022）</w:t>
      </w:r>
    </w:p>
    <w:p w14:paraId="1FFDA816">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《建筑与市政施工现场安全卫生与职业健康通用规范》(GB 55034-2022）</w:t>
      </w:r>
    </w:p>
    <w:p w14:paraId="35F7A49A">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《建筑与市政工程防水通用规范》(GB 55030-2022）</w:t>
      </w:r>
    </w:p>
    <w:p w14:paraId="69B01A36">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《建筑结构可靠性设计统一标准》（GB 50068-2018）</w:t>
      </w:r>
    </w:p>
    <w:p w14:paraId="55957D1A">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《建筑结构荷载规范》（GB 50009-2012）</w:t>
      </w:r>
    </w:p>
    <w:p w14:paraId="33FBB81F">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《混凝土结构设计标准》（GB/T 50010-2010(2024年版)）</w:t>
      </w:r>
    </w:p>
    <w:p w14:paraId="1562A58E">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《钢结构设计标准》(GB 50017-2017)</w:t>
      </w:r>
    </w:p>
    <w:p w14:paraId="18F8A1D9">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《砌体结构设计规范》（GB 50003-2011）</w:t>
      </w:r>
    </w:p>
    <w:p w14:paraId="43A69679">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《建筑工程抗震设防分类标准》（GB 50223-2008）</w:t>
      </w:r>
    </w:p>
    <w:p w14:paraId="749A163D">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《建筑抗震设计标准》（GB/T 50011-2010(2024年版)）</w:t>
      </w:r>
    </w:p>
    <w:p w14:paraId="752FA1D4">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《地下结构抗震设计标准》（GB/T 51336-2018）</w:t>
      </w:r>
    </w:p>
    <w:p w14:paraId="3E9F0A09">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《室外给水排水和燃气热力工程抗震设计规范》GB 50032-2003</w:t>
      </w:r>
    </w:p>
    <w:p w14:paraId="4A6753AE">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《建筑桩基技术规范》（JGJ 94-2008）</w:t>
      </w:r>
    </w:p>
    <w:p w14:paraId="0D6E4582">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《建筑地基基础设计规范》（GB 50007-2011）</w:t>
      </w:r>
    </w:p>
    <w:p w14:paraId="6E385840">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《建筑基坑支护技术规程》（JGJ 120-2012）</w:t>
      </w:r>
    </w:p>
    <w:p w14:paraId="0AF80D99">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《建筑基坑工程监测技术标准》(GB 50497-2019)</w:t>
      </w:r>
    </w:p>
    <w:p w14:paraId="5062CB24">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《建筑边坡工程技术规范》（GB 50330-2013）</w:t>
      </w:r>
    </w:p>
    <w:p w14:paraId="5047EBB1">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《城市道路路基设计规范》（CJJ 194-2013）</w:t>
      </w:r>
    </w:p>
    <w:p w14:paraId="1CC7CCB4">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《地下工程防水技术规范》(GB 50108-2008)</w:t>
      </w:r>
    </w:p>
    <w:p w14:paraId="7C06493E">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《给水排水工程管道结构设计规范》（GB 50332-2002）</w:t>
      </w:r>
    </w:p>
    <w:p w14:paraId="5DA89545">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《给水排水工程构筑物结构设计规范》（GB 50069-2002）</w:t>
      </w:r>
    </w:p>
    <w:p w14:paraId="48BE3330">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《给水排水工程顶管技术规程》（CECS 246:2008）</w:t>
      </w:r>
    </w:p>
    <w:p w14:paraId="31D4F64D">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《给水排水工程钢筋混凝土沉井结构设计规程》(CECS 137:2015)</w:t>
      </w:r>
    </w:p>
    <w:p w14:paraId="3E4DAA25">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《混凝土和钢筋混凝土排水管》（GB/T 11836-2023）</w:t>
      </w:r>
    </w:p>
    <w:p w14:paraId="2DB0E3E9">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《给水排水工程埋地预制混凝土圆形管管道结构设计标准》(T/CECS 143-2022)</w:t>
      </w:r>
    </w:p>
    <w:p w14:paraId="4839AC0D">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《给水排水工程埋地钢管管道结构设计规程》（CECS 141-2002）</w:t>
      </w:r>
    </w:p>
    <w:p w14:paraId="7FEA2368">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《涂覆涂料前钢材表面处理表面清洁度的目视评定第1部分：未涂覆过的钢材表面和全面清除原有涂层后的钢材表面的锈蚀等级和处理等级》（GB/T 8923.1-2011）</w:t>
      </w:r>
    </w:p>
    <w:p w14:paraId="00C02C4D">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《混凝土结构耐久性设计标准》(GB/T 50476-2019)</w:t>
      </w:r>
    </w:p>
    <w:p w14:paraId="006F5055">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《混凝土结构工程施工质量验收规范》（GB 50204-2015）</w:t>
      </w:r>
    </w:p>
    <w:p w14:paraId="202B93D9">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《建筑地基基础工程施工质量验收标准》（GB 50202-2018）</w:t>
      </w:r>
    </w:p>
    <w:p w14:paraId="076D42F7">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《给水排水管道工程施工及验收规范》（GB 50268-2008）</w:t>
      </w:r>
    </w:p>
    <w:p w14:paraId="2CD2C0B7">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《给水排水构筑物工程施工及验收规范》（GB 50141-2008）</w:t>
      </w:r>
    </w:p>
    <w:p w14:paraId="0A3E9569">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《公路路基设计规范》（JTGD 30-2015）</w:t>
      </w:r>
    </w:p>
    <w:p w14:paraId="6DFB46E9">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《顶管技术规程》(广东省标准 DBJT 15-106-2015)</w:t>
      </w:r>
    </w:p>
    <w:p w14:paraId="718A37CD">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《建筑地基基础设计规范》（广东省标准 DBJ 15-31-2016）</w:t>
      </w:r>
    </w:p>
    <w:p w14:paraId="3537DDE8">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《建筑基坑工程技术规程》（广东省标准 DBJ/T 15-20-2016）</w:t>
      </w:r>
    </w:p>
    <w:p w14:paraId="45161429">
      <w:pPr>
        <w:pStyle w:val="12"/>
        <w:numPr>
          <w:ilvl w:val="0"/>
          <w:numId w:val="6"/>
        </w:numPr>
        <w:spacing w:line="360" w:lineRule="auto"/>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其他相关国家和地方法律、法规。</w:t>
      </w:r>
    </w:p>
    <w:p w14:paraId="3DCFFAA9">
      <w:pPr>
        <w:autoSpaceDE w:val="0"/>
        <w:autoSpaceDN w:val="0"/>
        <w:adjustRightInd w:val="0"/>
        <w:spacing w:line="360" w:lineRule="auto"/>
        <w:ind w:left="284"/>
        <w:jc w:val="left"/>
        <w:outlineLvl w:val="2"/>
        <w:rPr>
          <w:rFonts w:eastAsia="黑体"/>
          <w:b/>
          <w:color w:val="000000" w:themeColor="text1"/>
          <w:kern w:val="0"/>
          <w:sz w:val="24"/>
          <w:szCs w:val="24"/>
          <w14:textFill>
            <w14:solidFill>
              <w14:schemeClr w14:val="tx1"/>
            </w14:solidFill>
          </w14:textFill>
        </w:rPr>
      </w:pPr>
      <w:r>
        <w:rPr>
          <w:rFonts w:hint="eastAsia" w:eastAsia="黑体"/>
          <w:b/>
          <w:color w:val="000000" w:themeColor="text1"/>
          <w:kern w:val="0"/>
          <w:sz w:val="24"/>
          <w:szCs w:val="24"/>
          <w14:textFill>
            <w14:solidFill>
              <w14:schemeClr w14:val="tx1"/>
            </w14:solidFill>
          </w14:textFill>
        </w:rPr>
        <w:t>3</w:t>
      </w:r>
      <w:r>
        <w:rPr>
          <w:rFonts w:eastAsia="黑体"/>
          <w:b/>
          <w:color w:val="000000" w:themeColor="text1"/>
          <w:kern w:val="0"/>
          <w:sz w:val="24"/>
          <w:szCs w:val="24"/>
          <w14:textFill>
            <w14:solidFill>
              <w14:schemeClr w14:val="tx1"/>
            </w14:solidFill>
          </w14:textFill>
        </w:rPr>
        <w:t>.2.钢板桩施工</w:t>
      </w:r>
    </w:p>
    <w:p w14:paraId="114F0011">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1、施工前准备工作</w:t>
      </w:r>
    </w:p>
    <w:p w14:paraId="0CD95746">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钢板桩的设置位置应该在基础结构边缘之外并留有支拆模板的余地。钢板桩的平面布置应尽量平直整齐、避免不规则的转角以便充分利用标准钢板桩和便于设置支撑。</w:t>
      </w:r>
    </w:p>
    <w:p w14:paraId="136426C5">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(1)钢板桩的检验及矫正</w:t>
      </w:r>
    </w:p>
    <w:p w14:paraId="526EC825">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钢板桩的长度、宽度、厚度、高度等要符合以下要求，不符合要求的要予以矫正。</w:t>
      </w:r>
    </w:p>
    <w:p w14:paraId="5238DC42">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桩型：U型；有效宽度：±2%；端头矩形比：&lt;2mm；厚度比±0.5mm；平直度&lt;0.15%.L(垂直向)、&lt;0.5%.L(水平向)；重量±4%；长度≤±200mm；表面欠缺&lt;4%δ；锁口。</w:t>
      </w:r>
    </w:p>
    <w:p w14:paraId="33BBEF35">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(2)施工围檩安装</w:t>
      </w:r>
    </w:p>
    <w:p w14:paraId="16403E15">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为保证沉桩轴线位置的正确竖直，需设置一定刚度的坚固导架。导架的位置不能与钢板桩相碰，围檩桩不能随着钢板桩的打设而下沉或变形。</w:t>
      </w:r>
    </w:p>
    <w:p w14:paraId="2DA1D6B9">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(3)沉桩机械的选择</w:t>
      </w:r>
    </w:p>
    <w:p w14:paraId="59E67D8A">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采用震动锤振动打入法进行打设和拔除钢板桩，并在桩锤和钢板桩间设桩帽，以使桩锤的冲击力能均匀分布在板桩断面上，保护桩顶免受损坏。</w:t>
      </w:r>
    </w:p>
    <w:p w14:paraId="409E877B">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(4)钢板桩的焊接</w:t>
      </w:r>
    </w:p>
    <w:p w14:paraId="402CB6FA">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为保证钢板桩自身的强度，接桩位置不可在同一平面上，必须采用一根上、下颠倒的接桩方法。</w:t>
      </w:r>
    </w:p>
    <w:p w14:paraId="4809B1EA">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2、钢板桩的打设</w:t>
      </w:r>
    </w:p>
    <w:p w14:paraId="045141C4">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选用吊车将钢板桩吊至插桩点处进行插桩，插桩时锁口要对准，每插入一块即套上桩帽，并轻轻加以锤击。钢板桩应分几次打入。开始打设的第一、二块钢板桩的打入位置和方向要确保精度，每打入1m就应测量一次。</w:t>
      </w:r>
    </w:p>
    <w:p w14:paraId="2E319394">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3、钢板桩的拔除</w:t>
      </w:r>
    </w:p>
    <w:p w14:paraId="47D8F21B">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钢板桩的拨除采用震动锤与起重机机共同拔除，震动锤拔不出的钢板桩，在钢板桩上架设吊架，起重机在震动锤振拔同时向上引拔。对夯桩产生的桩孔需要及时回填。</w:t>
      </w:r>
    </w:p>
    <w:p w14:paraId="15A11E3A">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4、钢板桩施工监测</w:t>
      </w:r>
    </w:p>
    <w:p w14:paraId="3C1982D5">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在钢板桩施工中，打设的允许偏差一般分别为：桩顶标高偏差±100mm；钢板桩轴线偏差±100mm；钢板桩垂直度偏差1%。</w:t>
      </w:r>
    </w:p>
    <w:p w14:paraId="5F43B996">
      <w:pPr>
        <w:autoSpaceDE w:val="0"/>
        <w:autoSpaceDN w:val="0"/>
        <w:adjustRightInd w:val="0"/>
        <w:spacing w:line="360" w:lineRule="auto"/>
        <w:ind w:left="-1" w:leftChars="-1" w:hanging="1"/>
        <w:jc w:val="left"/>
        <w:outlineLvl w:val="2"/>
        <w:rPr>
          <w:rFonts w:eastAsia="黑体"/>
          <w:b/>
          <w:color w:val="000000" w:themeColor="text1"/>
          <w:kern w:val="0"/>
          <w:sz w:val="24"/>
          <w:szCs w:val="24"/>
          <w14:textFill>
            <w14:solidFill>
              <w14:schemeClr w14:val="tx1"/>
            </w14:solidFill>
          </w14:textFill>
        </w:rPr>
      </w:pPr>
      <w:r>
        <w:rPr>
          <w:rFonts w:hint="eastAsia" w:eastAsia="黑体"/>
          <w:b/>
          <w:color w:val="000000" w:themeColor="text1"/>
          <w:kern w:val="0"/>
          <w:sz w:val="24"/>
          <w:szCs w:val="24"/>
          <w14:textFill>
            <w14:solidFill>
              <w14:schemeClr w14:val="tx1"/>
            </w14:solidFill>
          </w14:textFill>
        </w:rPr>
        <w:t>3</w:t>
      </w:r>
      <w:r>
        <w:rPr>
          <w:rFonts w:eastAsia="黑体"/>
          <w:b/>
          <w:color w:val="000000" w:themeColor="text1"/>
          <w:kern w:val="0"/>
          <w:sz w:val="24"/>
          <w:szCs w:val="24"/>
          <w14:textFill>
            <w14:solidFill>
              <w14:schemeClr w14:val="tx1"/>
            </w14:solidFill>
          </w14:textFill>
        </w:rPr>
        <w:t>.3.高压旋喷桩</w:t>
      </w:r>
      <w:r>
        <w:rPr>
          <w:rFonts w:hint="eastAsia" w:eastAsia="黑体"/>
          <w:b/>
          <w:color w:val="000000" w:themeColor="text1"/>
          <w:kern w:val="0"/>
          <w:sz w:val="24"/>
          <w:szCs w:val="24"/>
          <w14:textFill>
            <w14:solidFill>
              <w14:schemeClr w14:val="tx1"/>
            </w14:solidFill>
          </w14:textFill>
        </w:rPr>
        <w:t>施工</w:t>
      </w:r>
    </w:p>
    <w:p w14:paraId="00A1FEFF">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w:t>
      </w:r>
      <w:bookmarkStart w:id="12" w:name="_Hlk132377017"/>
      <w:r>
        <w:rPr>
          <w:rFonts w:hint="eastAsia"/>
          <w:color w:val="000000" w:themeColor="text1"/>
          <w:szCs w:val="21"/>
          <w14:textFill>
            <w14:solidFill>
              <w14:schemeClr w14:val="tx1"/>
            </w14:solidFill>
          </w14:textFill>
        </w:rPr>
        <w:t xml:space="preserve"> </w:t>
      </w:r>
      <w:bookmarkStart w:id="13" w:name="_Hlk132377031"/>
      <w:r>
        <w:rPr>
          <w:rFonts w:hint="eastAsia"/>
          <w:color w:val="000000" w:themeColor="text1"/>
          <w:szCs w:val="21"/>
          <w14:textFill>
            <w14:solidFill>
              <w14:schemeClr w14:val="tx1"/>
            </w14:solidFill>
          </w14:textFill>
        </w:rPr>
        <w:t>1、房屋保护、沉井洞口止水桩和部分管道地基处理采用Ф500高压旋喷桩。</w:t>
      </w:r>
      <w:bookmarkEnd w:id="12"/>
    </w:p>
    <w:bookmarkEnd w:id="13"/>
    <w:p w14:paraId="2B59EB34">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2、高压旋喷桩水泥采用PO42.5级。基础桩要求摆旋喷桩进入密实土层不小于1.0m；支护桩最短要求进入基坑开挖面下1m。</w:t>
      </w:r>
    </w:p>
    <w:p w14:paraId="576D4A34">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3、高压旋喷采用单管法进行施工，承包人在进行高压旋喷桩施工之前先进行成桩及载荷试验，试验结果满足图纸设计要求。 </w:t>
      </w:r>
    </w:p>
    <w:p w14:paraId="3B5F5F14">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试验成功后才能正式施工。其中对止水桩采用抽芯进行成桩检测，并进行止水效果检验；对基础处理桩除进行成桩质量检测外还需进行桩身强度检测，要求单桩承载力特征值满足设计图纸要求。</w:t>
      </w:r>
    </w:p>
    <w:p w14:paraId="77F65D98">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4、高压旋喷桩采用42.5R普通硅酸盐水泥配浆，建议成桩实验参数：水灰比为1：1，水泥掺入量不小于35%，具体参数根据现场试验确定。</w:t>
      </w:r>
    </w:p>
    <w:p w14:paraId="3CC1882E">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5、提升速度20cm/min，当达不到要求时可适当增大压力和流量或降低提升速度。摆喷桩的孔位偏差&lt;50mm，桩体垂直度偏差不超过1.0%。 </w:t>
      </w:r>
    </w:p>
    <w:p w14:paraId="7CE170DD">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6、由于地层中可能存在砖渣、建筑垃圾、砼块等地下障碍物，要求在施工的过程中，详细记录地下障碍物的情况，尽最大可能清除障碍物，如果不能清除，必须标明障碍物的位置，深度，类型等资料。</w:t>
      </w:r>
    </w:p>
    <w:p w14:paraId="06778FB3">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7、止水桩施工完成后，开挖基坑前应对基坑进行降水试验，检验基坑止水桩止水效果。</w:t>
      </w:r>
    </w:p>
    <w:p w14:paraId="698DA37F">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8、高压旋喷桩施工完成后对随机抽取总桩数的1％进行质量检验，基础桩进行单桩载荷试验及复合地基承载力试验，其数量为基础桩总数的1%，且不少于3根。要求单桩承载力特征值及复合地基承载力特征值满足图纸要求。所有检验应在注浆结束28d后进行。</w:t>
      </w:r>
    </w:p>
    <w:p w14:paraId="66733225">
      <w:pPr>
        <w:autoSpaceDE w:val="0"/>
        <w:autoSpaceDN w:val="0"/>
        <w:adjustRightInd w:val="0"/>
        <w:spacing w:line="360" w:lineRule="auto"/>
        <w:ind w:left="284"/>
        <w:jc w:val="left"/>
        <w:outlineLvl w:val="2"/>
        <w:rPr>
          <w:rFonts w:eastAsia="黑体"/>
          <w:b/>
          <w:color w:val="000000" w:themeColor="text1"/>
          <w:kern w:val="0"/>
          <w:sz w:val="24"/>
          <w:szCs w:val="24"/>
          <w14:textFill>
            <w14:solidFill>
              <w14:schemeClr w14:val="tx1"/>
            </w14:solidFill>
          </w14:textFill>
        </w:rPr>
      </w:pPr>
      <w:r>
        <w:rPr>
          <w:rFonts w:hint="eastAsia" w:eastAsia="黑体"/>
          <w:b/>
          <w:color w:val="000000" w:themeColor="text1"/>
          <w:kern w:val="0"/>
          <w:sz w:val="24"/>
          <w:szCs w:val="24"/>
          <w14:textFill>
            <w14:solidFill>
              <w14:schemeClr w14:val="tx1"/>
            </w14:solidFill>
          </w14:textFill>
        </w:rPr>
        <w:t>3</w:t>
      </w:r>
      <w:r>
        <w:rPr>
          <w:rFonts w:eastAsia="黑体"/>
          <w:b/>
          <w:color w:val="000000" w:themeColor="text1"/>
          <w:kern w:val="0"/>
          <w:sz w:val="24"/>
          <w:szCs w:val="24"/>
          <w14:textFill>
            <w14:solidFill>
              <w14:schemeClr w14:val="tx1"/>
            </w14:solidFill>
          </w14:textFill>
        </w:rPr>
        <w:t>.4.</w:t>
      </w:r>
      <w:r>
        <w:rPr>
          <w:rFonts w:hint="eastAsia" w:eastAsia="黑体"/>
          <w:b/>
          <w:color w:val="000000" w:themeColor="text1"/>
          <w:kern w:val="0"/>
          <w:sz w:val="24"/>
          <w:szCs w:val="24"/>
          <w14:textFill>
            <w14:solidFill>
              <w14:schemeClr w14:val="tx1"/>
            </w14:solidFill>
          </w14:textFill>
        </w:rPr>
        <w:t>顶管施工</w:t>
      </w:r>
    </w:p>
    <w:p w14:paraId="421BE761">
      <w:pPr>
        <w:pStyle w:val="2"/>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采用机械顶管施工，禁止使用人工顶管。施工单位尚应根据后座、地质情况、单坑顶进长度等情况采用注浆减阻、设置中继等措施；应根据土层、岩层考虑相适应的刀具，刀盘及偏心破碎的机具。顶进施工应按《给水排水工程顶管技术规程》(CECS246:2008)要求进行管内通风。当顶管穿越淤泥、流沙、道路或河涌等特殊地段时，施工单位应严格按照各现行规范执行，采取合理的技术措施，保证工程质量。包括但不限于：a.减少减阻泥浆套的厚度。b.不可采用大角度纠偏。c.严格控制出泥量，不可超量出泥。并严格按照规范执行施工监测，地面沉降量不得超出规范要求。</w:t>
      </w:r>
    </w:p>
    <w:p w14:paraId="1F546BBD">
      <w:pPr>
        <w:pStyle w:val="2"/>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2、千斤顶的安装应符合：千斤顶应固定在支架上，其数量应为偶数，设置在管道两侧，并与管道中心左右对称，每只千斤顶应与管轴线平行，其合力的作用点应在管道中心的垂直线上。</w:t>
      </w:r>
    </w:p>
    <w:p w14:paraId="685F172E">
      <w:pPr>
        <w:pStyle w:val="2"/>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3、工具头外径与管道外径之比(D机/D管):不大于1.003~1.005。</w:t>
      </w:r>
    </w:p>
    <w:p w14:paraId="4DD9599C">
      <w:pPr>
        <w:pStyle w:val="2"/>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4、洞口止水要求：（1）洞口外侧，旋喷桩止水、加固；（2）洞口内侧必须设置橡胶止水圈，止水圈橡胶的拉伸量&gt;300%，肖氏硬度在50°±5°。</w:t>
      </w:r>
    </w:p>
    <w:p w14:paraId="3B8D6B56">
      <w:pPr>
        <w:pStyle w:val="2"/>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5、施工前要对顶管位置处进行实地摸查探测。</w:t>
      </w:r>
    </w:p>
    <w:p w14:paraId="22676930">
      <w:pPr>
        <w:pStyle w:val="2"/>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5.1、探测范围：工作井围护外边线外围3m及沿线的范围，探测的深度至管底或工作井底以下2m的范围。</w:t>
      </w:r>
    </w:p>
    <w:p w14:paraId="6AD20869">
      <w:pPr>
        <w:pStyle w:val="2"/>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5.2、探测要求：探明现有地下管线的分布情况，包括管线的中心线位置、管线类型、埋深、管外径、现场所有管线检查井的位置。提供相关管线变形的警戒值；探明有无孤石等障碍物和临近建筑物的基础的形式及其标高。</w:t>
      </w:r>
    </w:p>
    <w:p w14:paraId="159821CB">
      <w:pPr>
        <w:pStyle w:val="2"/>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6、测量与纠偏</w:t>
      </w:r>
    </w:p>
    <w:p w14:paraId="20BC5D6B">
      <w:pPr>
        <w:pStyle w:val="2"/>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6.1、顶管中心测量，应建立地面与地下测量控制系统，控制点应设在不易扰动、视线清楚、方便校核、易于保护处。</w:t>
      </w:r>
    </w:p>
    <w:p w14:paraId="53F82DE4">
      <w:pPr>
        <w:pStyle w:val="2"/>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6.2、工具管开始顶进5～10m的范围内，允许偏差应为：轴线位置3mm，高程0～+3mm，当超过允许偏差时，应采取措施纠正。纠正偏差应缓慢进行，使管节逐渐复位，不得猛纠硬调。</w:t>
      </w:r>
    </w:p>
    <w:p w14:paraId="2912B1E9">
      <w:pPr>
        <w:autoSpaceDE w:val="0"/>
        <w:autoSpaceDN w:val="0"/>
        <w:adjustRightInd w:val="0"/>
        <w:spacing w:line="360" w:lineRule="auto"/>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6.3、管道顶进应连续作业,管道顶进过程中,遇下列情况时,应暂停顶进,并应及时处理。（1）工具管前方遇到障碍；（2）后背墙变形严重；（3）顶铁发生扭曲现象；（4）管位偏差过大且校正无效；（5）顶力超过管端的允许顶力；（6）油泵、油路发生异常现象；（7）接缝中漏泥浆。当管道停止顶进时，应采取防止管前塌方的措施。</w:t>
      </w:r>
    </w:p>
    <w:p w14:paraId="2B5B0D49">
      <w:pPr>
        <w:numPr>
          <w:ilvl w:val="0"/>
          <w:numId w:val="3"/>
        </w:numPr>
        <w:autoSpaceDE w:val="0"/>
        <w:autoSpaceDN w:val="0"/>
        <w:adjustRightInd w:val="0"/>
        <w:spacing w:line="360" w:lineRule="auto"/>
        <w:jc w:val="left"/>
        <w:outlineLvl w:val="1"/>
        <w:rPr>
          <w:rFonts w:ascii="黑体" w:hAnsi="黑体" w:eastAsia="黑体"/>
          <w:b/>
          <w:color w:val="000000" w:themeColor="text1"/>
          <w:kern w:val="0"/>
          <w:sz w:val="24"/>
          <w:szCs w:val="24"/>
          <w14:textFill>
            <w14:solidFill>
              <w14:schemeClr w14:val="tx1"/>
            </w14:solidFill>
          </w14:textFill>
        </w:rPr>
      </w:pPr>
      <w:r>
        <w:rPr>
          <w:rFonts w:hint="eastAsia" w:ascii="黑体" w:hAnsi="黑体" w:eastAsia="黑体"/>
          <w:b/>
          <w:color w:val="000000" w:themeColor="text1"/>
          <w:kern w:val="0"/>
          <w:sz w:val="24"/>
          <w:szCs w:val="24"/>
          <w14:textFill>
            <w14:solidFill>
              <w14:schemeClr w14:val="tx1"/>
            </w14:solidFill>
          </w14:textFill>
        </w:rPr>
        <w:t>交通疏解技术要求</w:t>
      </w:r>
    </w:p>
    <w:p w14:paraId="5124A210">
      <w:pPr>
        <w:spacing w:line="360" w:lineRule="auto"/>
        <w:ind w:firstLine="480" w:firstLineChars="200"/>
        <w:rPr>
          <w:rFonts w:eastAsia="黑体"/>
          <w:color w:val="000000" w:themeColor="text1"/>
          <w:sz w:val="24"/>
          <w:szCs w:val="24"/>
          <w14:textFill>
            <w14:solidFill>
              <w14:schemeClr w14:val="tx1"/>
            </w14:solidFill>
          </w14:textFill>
        </w:rPr>
      </w:pPr>
      <w:r>
        <w:rPr>
          <w:rFonts w:hint="eastAsia" w:eastAsia="黑体"/>
          <w:color w:val="000000" w:themeColor="text1"/>
          <w:sz w:val="24"/>
          <w:szCs w:val="24"/>
          <w14:textFill>
            <w14:solidFill>
              <w14:schemeClr w14:val="tx1"/>
            </w14:solidFill>
          </w14:textFill>
        </w:rPr>
        <w:t>1</w:t>
      </w:r>
      <w:r>
        <w:rPr>
          <w:rFonts w:eastAsia="黑体"/>
          <w:color w:val="000000" w:themeColor="text1"/>
          <w:sz w:val="24"/>
          <w:szCs w:val="24"/>
          <w14:textFill>
            <w14:solidFill>
              <w14:schemeClr w14:val="tx1"/>
            </w14:solidFill>
          </w14:textFill>
        </w:rPr>
        <w:t>.</w:t>
      </w:r>
      <w:r>
        <w:rPr>
          <w:rFonts w:hint="eastAsia" w:eastAsia="黑体"/>
          <w:color w:val="000000" w:themeColor="text1"/>
          <w:sz w:val="24"/>
          <w:szCs w:val="24"/>
          <w14:textFill>
            <w14:solidFill>
              <w14:schemeClr w14:val="tx1"/>
            </w14:solidFill>
          </w14:textFill>
        </w:rPr>
        <w:t>引用标准</w:t>
      </w:r>
    </w:p>
    <w:p w14:paraId="1A91CE0B">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《市政公用工程设计文件编制深度规定》（建设部，2013版）；</w:t>
      </w:r>
    </w:p>
    <w:p w14:paraId="60F17BC3">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《城市道路交通工程项目规范》（GB55011-2021）；</w:t>
      </w:r>
    </w:p>
    <w:p w14:paraId="751F1FA0">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《城市道路工程设计规范（2016年版）》（CJJ37–2012）；</w:t>
      </w:r>
    </w:p>
    <w:p w14:paraId="2C9132E4">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《城市道路路线设计规范》（CJJ193-2012）；</w:t>
      </w:r>
    </w:p>
    <w:p w14:paraId="54E80E81">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《城市道路交叉口设计规程》（CJJ152-2010）；</w:t>
      </w:r>
    </w:p>
    <w:p w14:paraId="093E3442">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《乡村道路工程技术规范》（GB/T51224-2017）；</w:t>
      </w:r>
    </w:p>
    <w:p w14:paraId="69BD0698">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《城市道路路基设计规范》（CJJ194-2013）；</w:t>
      </w:r>
    </w:p>
    <w:p w14:paraId="3A9B94B6">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《城镇道路路面设计规范》（CJJ169-2012）；</w:t>
      </w:r>
    </w:p>
    <w:p w14:paraId="55E60A85">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fldChar w:fldCharType="begin"/>
      </w:r>
      <w:r>
        <w:instrText xml:space="preserve"> HYPERLINK "http://www.weboos.com/result.aspx?Standardid=752&amp;A100=CJJ36-2006" \t "http://www.weboos.com/_blank" </w:instrText>
      </w:r>
      <w:r>
        <w:fldChar w:fldCharType="separate"/>
      </w:r>
      <w:r>
        <w:rPr>
          <w:rFonts w:ascii="宋体" w:hAnsi="宋体"/>
          <w:color w:val="000000" w:themeColor="text1"/>
          <w:szCs w:val="21"/>
          <w14:textFill>
            <w14:solidFill>
              <w14:schemeClr w14:val="tx1"/>
            </w14:solidFill>
          </w14:textFill>
        </w:rPr>
        <w:t>城镇道路养护技术规范</w: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》（CJJ36-2016）；</w:t>
      </w:r>
    </w:p>
    <w:p w14:paraId="3D5C3586">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《公路水泥混凝土路面施工技术细则》（JTG/T F30-2014）；</w:t>
      </w:r>
    </w:p>
    <w:p w14:paraId="0409493C">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《公路路面基层施工技术细则》(JTG/T F20-2015)；</w:t>
      </w:r>
    </w:p>
    <w:p w14:paraId="5408072F">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《城镇道路工程施工与质量验收规范》（CJJ1-2008）；</w:t>
      </w:r>
    </w:p>
    <w:p w14:paraId="7C0D0686">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《城市道路交通标志和标线设置规范》（GB51038-2015）；</w:t>
      </w:r>
    </w:p>
    <w:p w14:paraId="124528F0">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《城市道路交通设施设计规范(2019年版)》（GB50688-2011）；</w:t>
      </w:r>
    </w:p>
    <w:p w14:paraId="6A7E3970">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《道路交通标志和标线第1部分：总则》（GB5768.1-2009）；</w:t>
      </w:r>
    </w:p>
    <w:p w14:paraId="3DDF7D34">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《道路交通标志和标线第2部分：道路交通标志》（GB5768.2-2022）；</w:t>
      </w:r>
    </w:p>
    <w:p w14:paraId="3A1359A9">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《道路交通标志和标线第3部分：道路交通标线》（GB5768.3-2009）；</w:t>
      </w:r>
    </w:p>
    <w:p w14:paraId="25B92630">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《道路交通标志和标线第4部分：作业区》（GB5768.4-2017）；</w:t>
      </w:r>
    </w:p>
    <w:p w14:paraId="5C65192F">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《道路交通标志和标线第5部分:限制速度》（GB5768.5-2017）；</w:t>
      </w:r>
    </w:p>
    <w:p w14:paraId="30F3CC7E">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《道路交通标志和标线第7部分：非机动车和行人》（GB5768.7-2018）；</w:t>
      </w:r>
    </w:p>
    <w:p w14:paraId="1F99A3E4">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《道路交通标志和标线第8部分：学校区域》（GB5768.8-2018）；</w:t>
      </w:r>
    </w:p>
    <w:p w14:paraId="40B547A4">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《城市道路施工作业交通组织规范》（GA/T 900-2010）；</w:t>
      </w:r>
    </w:p>
    <w:p w14:paraId="2A72C9EF">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《建筑与市政工程无障碍通用规范》GB55019-2021；</w:t>
      </w:r>
    </w:p>
    <w:p w14:paraId="30FD5B1F">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《广州市建设工程绿色施工围蔽指导图集（V2.0版）》</w:t>
      </w:r>
    </w:p>
    <w:p w14:paraId="0D8BB3C4">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《机动车道挖掘修复技术方案指引（试行）》2</w:t>
      </w:r>
      <w:r>
        <w:rPr>
          <w:rFonts w:ascii="宋体" w:hAnsi="宋体"/>
          <w:color w:val="000000" w:themeColor="text1"/>
          <w:szCs w:val="21"/>
          <w14:textFill>
            <w14:solidFill>
              <w14:schemeClr w14:val="tx1"/>
            </w14:solidFill>
          </w14:textFill>
        </w:rPr>
        <w:t>022.11</w:t>
      </w:r>
      <w:r>
        <w:rPr>
          <w:rFonts w:hint="eastAsia" w:ascii="宋体" w:hAnsi="宋体"/>
          <w:color w:val="000000" w:themeColor="text1"/>
          <w:szCs w:val="21"/>
          <w14:textFill>
            <w14:solidFill>
              <w14:schemeClr w14:val="tx1"/>
            </w14:solidFill>
          </w14:textFill>
        </w:rPr>
        <w:t>，广州</w:t>
      </w:r>
    </w:p>
    <w:p w14:paraId="64075719">
      <w:pPr>
        <w:numPr>
          <w:ilvl w:val="0"/>
          <w:numId w:val="7"/>
        </w:numPr>
        <w:spacing w:line="360" w:lineRule="auto"/>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其他相关规范</w:t>
      </w:r>
    </w:p>
    <w:p w14:paraId="1D43C110">
      <w:pPr>
        <w:spacing w:line="360" w:lineRule="auto"/>
        <w:ind w:firstLine="480" w:firstLineChars="200"/>
        <w:rPr>
          <w:rFonts w:eastAsia="黑体"/>
          <w:color w:val="000000" w:themeColor="text1"/>
          <w:sz w:val="24"/>
          <w:szCs w:val="24"/>
          <w14:textFill>
            <w14:solidFill>
              <w14:schemeClr w14:val="tx1"/>
            </w14:solidFill>
          </w14:textFill>
        </w:rPr>
      </w:pPr>
      <w:r>
        <w:rPr>
          <w:rFonts w:eastAsia="黑体"/>
          <w:color w:val="000000" w:themeColor="text1"/>
          <w:sz w:val="24"/>
          <w:szCs w:val="24"/>
          <w14:textFill>
            <w14:solidFill>
              <w14:schemeClr w14:val="tx1"/>
            </w14:solidFill>
          </w14:textFill>
        </w:rPr>
        <w:t>2.</w:t>
      </w:r>
      <w:r>
        <w:rPr>
          <w:rFonts w:hint="eastAsia" w:eastAsia="黑体"/>
          <w:color w:val="000000" w:themeColor="text1"/>
          <w:sz w:val="24"/>
          <w:szCs w:val="24"/>
          <w14:textFill>
            <w14:solidFill>
              <w14:schemeClr w14:val="tx1"/>
            </w14:solidFill>
          </w14:textFill>
        </w:rPr>
        <w:t>技术要求</w:t>
      </w:r>
    </w:p>
    <w:p w14:paraId="738DF6C5">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材料参数要求：</w:t>
      </w:r>
    </w:p>
    <w:p w14:paraId="24D4D837">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新画标线：白色反光标线的逆反射亮度系数不应低于150mcd•m-2•lx-1，黄色反光标线的逆反射亮度系数不应低于lOOmcd•m-2•lx-1。正常使用期间：，白色反光标线的逆反射亮度系数不应低于80mcd•m-2•lx-1，黄色反光标线的逆反射亮度系数不应低于50mcd•m-2•lx-1。</w:t>
      </w:r>
    </w:p>
    <w:p w14:paraId="7CBD7FE8">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标线应使用抗滑材料，抗滑值应不小于45BPN。</w:t>
      </w:r>
    </w:p>
    <w:p w14:paraId="5650EBE3">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道路预成形标线带的性能应符合现行国家标准《道路预成形标线带》GB/T 24717-2009的要求，路面标线用玻璃珠的性能应符合现行国家标准《路面标线用玻璃珠》GB/T 24722-2020的要求。</w:t>
      </w:r>
    </w:p>
    <w:p w14:paraId="215E39F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玻璃珠含量≥30%，耐磨性：200转/kg后减重≤50mg,23℃时抗压强度≥15Mpa,50℃时抗压强度≥1.8Mpa，软化点：100-120℃，标线厚度除减速标线厚度为实测≥4mm外，其余均为≥2mm。其余注意事项参看前面叙述要求。</w:t>
      </w:r>
    </w:p>
    <w:p w14:paraId="6DF63CF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施工过程中的临时标志牌按照平面图的相关要求进行布置，施工期间的临时标志牌为橙色底、黑色图案；施工过程中对现状标志牌损坏的，施工完成后应按照原状进行恢复。</w:t>
      </w:r>
    </w:p>
    <w:p w14:paraId="7F430F2B">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（1）设计标准</w:t>
      </w:r>
    </w:p>
    <w:p w14:paraId="22C0EFFE">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A</w:t>
      </w:r>
      <w:r>
        <w:rPr>
          <w:rFonts w:hint="eastAsia" w:ascii="宋体" w:hAnsi="宋体"/>
          <w:color w:val="000000" w:themeColor="text1"/>
          <w:szCs w:val="21"/>
          <w14:textFill>
            <w14:solidFill>
              <w14:schemeClr w14:val="tx1"/>
            </w14:solidFill>
          </w14:textFill>
        </w:rPr>
        <w:t>）标志结构设计风速：基本风速采用广州地区（50年一遇：</w:t>
      </w:r>
      <w:r>
        <w:rPr>
          <w:rFonts w:ascii="宋体" w:hAnsi="宋体"/>
          <w:color w:val="000000" w:themeColor="text1"/>
          <w:szCs w:val="21"/>
          <w14:textFill>
            <w14:solidFill>
              <w14:schemeClr w14:val="tx1"/>
            </w14:solidFill>
          </w14:textFill>
        </w:rPr>
        <w:t>31.1</w:t>
      </w:r>
      <w:r>
        <w:rPr>
          <w:rFonts w:hint="eastAsia" w:ascii="宋体" w:hAnsi="宋体"/>
          <w:color w:val="000000" w:themeColor="text1"/>
          <w:szCs w:val="21"/>
          <w14:textFill>
            <w14:solidFill>
              <w14:schemeClr w14:val="tx1"/>
            </w14:solidFill>
          </w14:textFill>
        </w:rPr>
        <w:t>m/s）。</w:t>
      </w:r>
    </w:p>
    <w:p w14:paraId="56A52501">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B</w:t>
      </w:r>
      <w:r>
        <w:rPr>
          <w:rFonts w:hint="eastAsia" w:ascii="宋体" w:hAnsi="宋体"/>
          <w:color w:val="000000" w:themeColor="text1"/>
          <w:szCs w:val="21"/>
          <w14:textFill>
            <w14:solidFill>
              <w14:schemeClr w14:val="tx1"/>
            </w14:solidFill>
          </w14:textFill>
        </w:rPr>
        <w:t>）标志结构设计使用年限：单立杆设计适用年限为25年，悬臂杆设计使用年限为50年。</w:t>
      </w:r>
    </w:p>
    <w:p w14:paraId="501D2CEA">
      <w:pPr>
        <w:spacing w:line="360" w:lineRule="auto"/>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（2）一般规定（施工完成后永久恢复的标志牌）</w:t>
      </w:r>
    </w:p>
    <w:p w14:paraId="4A22DD52">
      <w:pPr>
        <w:spacing w:line="360" w:lineRule="auto"/>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A</w:t>
      </w:r>
      <w:r>
        <w:rPr>
          <w:rFonts w:hint="eastAsia" w:ascii="宋体" w:hAnsi="宋体"/>
          <w:color w:val="000000" w:themeColor="text1"/>
          <w:szCs w:val="21"/>
          <w14:textFill>
            <w14:solidFill>
              <w14:schemeClr w14:val="tx1"/>
            </w14:solidFill>
          </w14:textFill>
        </w:rPr>
        <w:t>）交通标志牌面颜色由底色、图形或字符色、边框色和衬边色组成，除特别规定的标志种类外，标志边框颜色应与标志的图形或字符颜色一致，标志衬边颜色应与标志底色一致，各类标志的边框和衬边颜色根据国标《道路交通标志和标线 第2部分：道路交通标志》GB5768.2规定执行。</w:t>
      </w:r>
    </w:p>
    <w:p w14:paraId="3F494C57">
      <w:pPr>
        <w:numPr>
          <w:ilvl w:val="0"/>
          <w:numId w:val="3"/>
        </w:numPr>
        <w:autoSpaceDE w:val="0"/>
        <w:autoSpaceDN w:val="0"/>
        <w:adjustRightInd w:val="0"/>
        <w:spacing w:line="360" w:lineRule="auto"/>
        <w:jc w:val="left"/>
        <w:outlineLvl w:val="1"/>
        <w:rPr>
          <w:rFonts w:hint="eastAsia" w:ascii="黑体" w:hAnsi="黑体" w:eastAsia="黑体"/>
          <w:b/>
          <w:color w:val="000000" w:themeColor="text1"/>
          <w:kern w:val="0"/>
          <w:sz w:val="24"/>
          <w:szCs w:val="24"/>
          <w14:textFill>
            <w14:solidFill>
              <w14:schemeClr w14:val="tx1"/>
            </w14:solidFill>
          </w14:textFill>
        </w:rPr>
      </w:pPr>
      <w:r>
        <w:rPr>
          <w:rFonts w:hint="eastAsia" w:ascii="黑体" w:hAnsi="黑体" w:eastAsia="黑体"/>
          <w:b/>
          <w:color w:val="000000" w:themeColor="text1"/>
          <w:kern w:val="0"/>
          <w:sz w:val="24"/>
          <w:szCs w:val="24"/>
          <w14:textFill>
            <w14:solidFill>
              <w14:schemeClr w14:val="tx1"/>
            </w14:solidFill>
          </w14:textFill>
        </w:rPr>
        <w:t>电器自控技术要求</w:t>
      </w:r>
    </w:p>
    <w:p w14:paraId="6D245AE8">
      <w:pPr>
        <w:spacing w:line="360" w:lineRule="auto"/>
        <w:rPr>
          <w:rFonts w:hint="eastAsia" w:ascii="宋体" w:hAnsi="宋体"/>
          <w:szCs w:val="21"/>
        </w:rPr>
      </w:pPr>
      <w:r>
        <w:rPr>
          <w:rFonts w:hint="eastAsia" w:eastAsia="黑体"/>
          <w:sz w:val="24"/>
          <w:szCs w:val="24"/>
        </w:rPr>
        <w:t>一、设计依据</w:t>
      </w:r>
    </w:p>
    <w:p w14:paraId="1369750B">
      <w:pPr>
        <w:spacing w:line="360" w:lineRule="auto"/>
        <w:ind w:firstLine="420" w:firstLineChars="200"/>
        <w:rPr>
          <w:rFonts w:hint="eastAsia" w:ascii="宋体" w:hAnsi="宋体"/>
          <w:szCs w:val="21"/>
        </w:rPr>
      </w:pPr>
      <w:r>
        <w:rPr>
          <w:rFonts w:ascii="宋体" w:hAnsi="宋体"/>
          <w:szCs w:val="21"/>
        </w:rPr>
        <w:t>1</w:t>
      </w:r>
      <w:r>
        <w:rPr>
          <w:rFonts w:hint="eastAsia" w:ascii="宋体" w:hAnsi="宋体"/>
          <w:szCs w:val="21"/>
        </w:rPr>
        <w:t>）《泵站设计标准》</w:t>
      </w:r>
      <w:r>
        <w:rPr>
          <w:rFonts w:ascii="宋体" w:hAnsi="宋体"/>
          <w:szCs w:val="21"/>
        </w:rPr>
        <w:t>GB50265-2022</w:t>
      </w:r>
    </w:p>
    <w:p w14:paraId="54752CF7">
      <w:pPr>
        <w:spacing w:line="360" w:lineRule="auto"/>
        <w:ind w:firstLine="420" w:firstLineChars="200"/>
        <w:rPr>
          <w:rFonts w:hint="eastAsia" w:ascii="宋体" w:hAnsi="宋体"/>
          <w:szCs w:val="21"/>
        </w:rPr>
      </w:pPr>
      <w:r>
        <w:rPr>
          <w:rFonts w:ascii="宋体" w:hAnsi="宋体"/>
          <w:szCs w:val="21"/>
        </w:rPr>
        <w:t>2</w:t>
      </w:r>
      <w:r>
        <w:rPr>
          <w:rFonts w:hint="eastAsia" w:ascii="宋体" w:hAnsi="宋体"/>
          <w:szCs w:val="21"/>
        </w:rPr>
        <w:t>）《城镇排水系统电气与自动化工程技术标准》</w:t>
      </w:r>
      <w:r>
        <w:rPr>
          <w:rFonts w:ascii="宋体" w:hAnsi="宋体"/>
          <w:szCs w:val="21"/>
        </w:rPr>
        <w:t>CJJ/T120-2018</w:t>
      </w:r>
    </w:p>
    <w:p w14:paraId="3522FAA8">
      <w:pPr>
        <w:spacing w:line="360" w:lineRule="auto"/>
        <w:ind w:firstLine="420" w:firstLineChars="200"/>
        <w:rPr>
          <w:rFonts w:hint="eastAsia" w:ascii="宋体" w:hAnsi="宋体"/>
          <w:szCs w:val="21"/>
        </w:rPr>
      </w:pPr>
      <w:r>
        <w:rPr>
          <w:rFonts w:ascii="宋体" w:hAnsi="宋体"/>
          <w:szCs w:val="21"/>
        </w:rPr>
        <w:t>3</w:t>
      </w:r>
      <w:r>
        <w:rPr>
          <w:rFonts w:hint="eastAsia" w:ascii="宋体" w:hAnsi="宋体"/>
          <w:szCs w:val="21"/>
        </w:rPr>
        <w:t>）《供配电系统设计规范》</w:t>
      </w:r>
      <w:r>
        <w:rPr>
          <w:rFonts w:ascii="宋体" w:hAnsi="宋体"/>
          <w:szCs w:val="21"/>
        </w:rPr>
        <w:t>GB50052-2009</w:t>
      </w:r>
    </w:p>
    <w:p w14:paraId="5B1C93BC">
      <w:pPr>
        <w:spacing w:line="360" w:lineRule="auto"/>
        <w:ind w:firstLine="420" w:firstLineChars="200"/>
        <w:rPr>
          <w:rFonts w:hint="eastAsia" w:ascii="宋体" w:hAnsi="宋体"/>
          <w:szCs w:val="21"/>
        </w:rPr>
      </w:pPr>
      <w:r>
        <w:rPr>
          <w:rFonts w:ascii="宋体" w:hAnsi="宋体"/>
          <w:szCs w:val="21"/>
        </w:rPr>
        <w:t>4</w:t>
      </w:r>
      <w:r>
        <w:rPr>
          <w:rFonts w:hint="eastAsia" w:ascii="宋体" w:hAnsi="宋体"/>
          <w:szCs w:val="21"/>
        </w:rPr>
        <w:t>）《通用用电设备配电设计规范》</w:t>
      </w:r>
      <w:r>
        <w:rPr>
          <w:rFonts w:ascii="宋体" w:hAnsi="宋体"/>
          <w:szCs w:val="21"/>
        </w:rPr>
        <w:t>GB50055-2011</w:t>
      </w:r>
    </w:p>
    <w:p w14:paraId="4E3604C8">
      <w:pPr>
        <w:spacing w:line="360" w:lineRule="auto"/>
        <w:ind w:firstLine="420" w:firstLineChars="200"/>
        <w:rPr>
          <w:rFonts w:hint="eastAsia" w:ascii="宋体" w:hAnsi="宋体"/>
          <w:szCs w:val="21"/>
        </w:rPr>
      </w:pPr>
      <w:r>
        <w:rPr>
          <w:rFonts w:ascii="宋体" w:hAnsi="宋体"/>
          <w:szCs w:val="21"/>
        </w:rPr>
        <w:t>5</w:t>
      </w:r>
      <w:r>
        <w:rPr>
          <w:rFonts w:hint="eastAsia" w:ascii="宋体" w:hAnsi="宋体"/>
          <w:szCs w:val="21"/>
        </w:rPr>
        <w:t>）《低压配电设计规范》</w:t>
      </w:r>
      <w:r>
        <w:rPr>
          <w:rFonts w:ascii="宋体" w:hAnsi="宋体"/>
          <w:szCs w:val="21"/>
        </w:rPr>
        <w:t>GB50054-2011</w:t>
      </w:r>
    </w:p>
    <w:p w14:paraId="6B331FCB">
      <w:pPr>
        <w:spacing w:line="360" w:lineRule="auto"/>
        <w:ind w:firstLine="420" w:firstLineChars="200"/>
        <w:rPr>
          <w:rFonts w:hint="eastAsia" w:ascii="宋体" w:hAnsi="宋体"/>
          <w:szCs w:val="21"/>
        </w:rPr>
      </w:pPr>
      <w:r>
        <w:rPr>
          <w:rFonts w:ascii="宋体" w:hAnsi="宋体"/>
          <w:szCs w:val="21"/>
        </w:rPr>
        <w:t>6</w:t>
      </w:r>
      <w:r>
        <w:rPr>
          <w:rFonts w:hint="eastAsia" w:ascii="宋体" w:hAnsi="宋体"/>
          <w:szCs w:val="21"/>
        </w:rPr>
        <w:t>）《电力装置的电测量仪表装置设计规范》</w:t>
      </w:r>
      <w:r>
        <w:rPr>
          <w:rFonts w:ascii="宋体" w:hAnsi="宋体"/>
          <w:szCs w:val="21"/>
        </w:rPr>
        <w:t>GB/T50063-2017</w:t>
      </w:r>
    </w:p>
    <w:p w14:paraId="469301EC">
      <w:pPr>
        <w:spacing w:line="360" w:lineRule="auto"/>
        <w:ind w:firstLine="420" w:firstLineChars="200"/>
        <w:rPr>
          <w:rFonts w:hint="eastAsia" w:ascii="宋体" w:hAnsi="宋体"/>
          <w:szCs w:val="21"/>
        </w:rPr>
      </w:pPr>
      <w:r>
        <w:rPr>
          <w:rFonts w:ascii="宋体" w:hAnsi="宋体"/>
          <w:szCs w:val="21"/>
        </w:rPr>
        <w:t>7</w:t>
      </w:r>
      <w:r>
        <w:rPr>
          <w:rFonts w:hint="eastAsia" w:ascii="宋体" w:hAnsi="宋体"/>
          <w:szCs w:val="21"/>
        </w:rPr>
        <w:t>）《电力工程电缆设计标准》</w:t>
      </w:r>
      <w:r>
        <w:rPr>
          <w:rFonts w:ascii="宋体" w:hAnsi="宋体"/>
          <w:szCs w:val="21"/>
        </w:rPr>
        <w:t>GB50217-2018</w:t>
      </w:r>
    </w:p>
    <w:p w14:paraId="14C032E2">
      <w:pPr>
        <w:spacing w:line="360" w:lineRule="auto"/>
        <w:ind w:firstLine="420" w:firstLineChars="200"/>
        <w:rPr>
          <w:rFonts w:hint="eastAsia" w:ascii="宋体" w:hAnsi="宋体"/>
          <w:szCs w:val="21"/>
        </w:rPr>
      </w:pPr>
      <w:r>
        <w:rPr>
          <w:rFonts w:ascii="宋体" w:hAnsi="宋体"/>
          <w:szCs w:val="21"/>
        </w:rPr>
        <w:t>8</w:t>
      </w:r>
      <w:r>
        <w:rPr>
          <w:rFonts w:hint="eastAsia" w:ascii="宋体" w:hAnsi="宋体"/>
          <w:szCs w:val="21"/>
        </w:rPr>
        <w:t>）《建筑机电工程抗震设计规范》</w:t>
      </w:r>
      <w:r>
        <w:rPr>
          <w:rFonts w:ascii="宋体" w:hAnsi="宋体"/>
          <w:szCs w:val="21"/>
        </w:rPr>
        <w:t>GB50981-2014</w:t>
      </w:r>
    </w:p>
    <w:p w14:paraId="4D41025C">
      <w:pPr>
        <w:spacing w:line="360" w:lineRule="auto"/>
        <w:ind w:firstLine="420" w:firstLineChars="200"/>
        <w:rPr>
          <w:rFonts w:hint="eastAsia" w:ascii="宋体" w:hAnsi="宋体"/>
          <w:szCs w:val="21"/>
        </w:rPr>
      </w:pPr>
      <w:r>
        <w:rPr>
          <w:rFonts w:ascii="宋体" w:hAnsi="宋体"/>
          <w:szCs w:val="21"/>
        </w:rPr>
        <w:t>9</w:t>
      </w:r>
      <w:r>
        <w:rPr>
          <w:rFonts w:hint="eastAsia" w:ascii="宋体" w:hAnsi="宋体"/>
          <w:szCs w:val="21"/>
        </w:rPr>
        <w:t>）《</w:t>
      </w:r>
      <w:r>
        <w:rPr>
          <w:rFonts w:ascii="宋体" w:hAnsi="宋体"/>
          <w:szCs w:val="21"/>
        </w:rPr>
        <w:t>20kV</w:t>
      </w:r>
      <w:r>
        <w:rPr>
          <w:rFonts w:hint="eastAsia" w:ascii="宋体" w:hAnsi="宋体"/>
          <w:szCs w:val="21"/>
        </w:rPr>
        <w:t>及以下变电所设计规范》</w:t>
      </w:r>
      <w:r>
        <w:rPr>
          <w:rFonts w:ascii="宋体" w:hAnsi="宋体"/>
          <w:szCs w:val="21"/>
        </w:rPr>
        <w:t>GB50053-2013</w:t>
      </w:r>
    </w:p>
    <w:p w14:paraId="51890243">
      <w:pPr>
        <w:spacing w:line="360" w:lineRule="auto"/>
        <w:ind w:firstLine="420" w:firstLineChars="200"/>
        <w:rPr>
          <w:rFonts w:hint="eastAsia" w:ascii="宋体" w:hAnsi="宋体"/>
          <w:szCs w:val="21"/>
        </w:rPr>
      </w:pPr>
      <w:r>
        <w:rPr>
          <w:rFonts w:ascii="宋体" w:hAnsi="宋体"/>
          <w:szCs w:val="21"/>
        </w:rPr>
        <w:t>10</w:t>
      </w:r>
      <w:r>
        <w:rPr>
          <w:rFonts w:hint="eastAsia" w:ascii="宋体" w:hAnsi="宋体"/>
          <w:szCs w:val="21"/>
        </w:rPr>
        <w:t>）《建筑物防雷设计规范》</w:t>
      </w:r>
      <w:r>
        <w:rPr>
          <w:rFonts w:ascii="宋体" w:hAnsi="宋体"/>
          <w:szCs w:val="21"/>
        </w:rPr>
        <w:t>GB50057-2010</w:t>
      </w:r>
    </w:p>
    <w:p w14:paraId="082E3987">
      <w:pPr>
        <w:spacing w:line="360" w:lineRule="auto"/>
        <w:ind w:firstLine="420" w:firstLineChars="200"/>
        <w:rPr>
          <w:rFonts w:hint="eastAsia" w:ascii="宋体" w:hAnsi="宋体"/>
          <w:szCs w:val="21"/>
        </w:rPr>
      </w:pPr>
      <w:r>
        <w:rPr>
          <w:rFonts w:ascii="宋体" w:hAnsi="宋体"/>
          <w:szCs w:val="21"/>
        </w:rPr>
        <w:t>11</w:t>
      </w:r>
      <w:r>
        <w:rPr>
          <w:rFonts w:hint="eastAsia" w:ascii="宋体" w:hAnsi="宋体"/>
          <w:szCs w:val="21"/>
        </w:rPr>
        <w:t>）《并联电容器装置设计规范》</w:t>
      </w:r>
      <w:r>
        <w:rPr>
          <w:rFonts w:ascii="宋体" w:hAnsi="宋体"/>
          <w:szCs w:val="21"/>
        </w:rPr>
        <w:t>GB50227-2017</w:t>
      </w:r>
    </w:p>
    <w:p w14:paraId="04672473">
      <w:pPr>
        <w:spacing w:line="360" w:lineRule="auto"/>
        <w:ind w:firstLine="420" w:firstLineChars="200"/>
        <w:rPr>
          <w:rFonts w:hint="eastAsia" w:ascii="宋体" w:hAnsi="宋体"/>
          <w:szCs w:val="21"/>
        </w:rPr>
      </w:pPr>
      <w:r>
        <w:rPr>
          <w:rFonts w:ascii="宋体" w:hAnsi="宋体"/>
          <w:szCs w:val="21"/>
        </w:rPr>
        <w:t>12</w:t>
      </w:r>
      <w:r>
        <w:rPr>
          <w:rFonts w:hint="eastAsia" w:ascii="宋体" w:hAnsi="宋体"/>
          <w:szCs w:val="21"/>
        </w:rPr>
        <w:t>）《建筑电气与智能化通用规范》</w:t>
      </w:r>
      <w:r>
        <w:rPr>
          <w:rFonts w:ascii="宋体" w:hAnsi="宋体"/>
          <w:szCs w:val="21"/>
        </w:rPr>
        <w:t xml:space="preserve">GB55024-2022 </w:t>
      </w:r>
    </w:p>
    <w:p w14:paraId="420B18B0">
      <w:pPr>
        <w:spacing w:line="360" w:lineRule="auto"/>
        <w:ind w:firstLine="420" w:firstLineChars="200"/>
        <w:rPr>
          <w:rFonts w:hint="eastAsia" w:ascii="宋体" w:hAnsi="宋体"/>
          <w:szCs w:val="21"/>
        </w:rPr>
      </w:pPr>
      <w:r>
        <w:rPr>
          <w:rFonts w:hint="eastAsia" w:ascii="宋体" w:hAnsi="宋体"/>
          <w:szCs w:val="21"/>
        </w:rPr>
        <w:t>13）《仪表供电设计规范》 HG/T 20509-2014</w:t>
      </w:r>
    </w:p>
    <w:p w14:paraId="488ED736">
      <w:pPr>
        <w:spacing w:line="360" w:lineRule="auto"/>
        <w:ind w:firstLine="420" w:firstLineChars="200"/>
        <w:rPr>
          <w:rFonts w:hint="eastAsia" w:ascii="宋体" w:hAnsi="宋体"/>
          <w:szCs w:val="21"/>
        </w:rPr>
      </w:pPr>
      <w:r>
        <w:rPr>
          <w:rFonts w:hint="eastAsia" w:ascii="宋体" w:hAnsi="宋体"/>
          <w:szCs w:val="21"/>
        </w:rPr>
        <w:t>14）《交流电气装置的接地设计规范》 GB/T50065-2011</w:t>
      </w:r>
    </w:p>
    <w:p w14:paraId="5D60B6E1">
      <w:pPr>
        <w:spacing w:line="360" w:lineRule="auto"/>
        <w:ind w:firstLine="420" w:firstLineChars="200"/>
        <w:rPr>
          <w:rFonts w:hint="eastAsia" w:ascii="宋体" w:hAnsi="宋体"/>
          <w:szCs w:val="21"/>
        </w:rPr>
      </w:pPr>
      <w:r>
        <w:rPr>
          <w:rFonts w:hint="eastAsia" w:ascii="宋体" w:hAnsi="宋体"/>
          <w:szCs w:val="21"/>
        </w:rPr>
        <w:t>15）《视频安防监控系统工程设计规范》GB50395-2007</w:t>
      </w:r>
    </w:p>
    <w:p w14:paraId="0994D2EC">
      <w:pPr>
        <w:spacing w:line="360" w:lineRule="auto"/>
        <w:ind w:firstLine="420" w:firstLineChars="200"/>
        <w:rPr>
          <w:rFonts w:hint="eastAsia" w:ascii="宋体" w:hAnsi="宋体"/>
          <w:szCs w:val="21"/>
        </w:rPr>
      </w:pPr>
      <w:r>
        <w:rPr>
          <w:rFonts w:hint="eastAsia" w:ascii="宋体" w:hAnsi="宋体"/>
          <w:szCs w:val="21"/>
        </w:rPr>
        <w:t>16）《安全防范工程通用规范》GB55029-2022</w:t>
      </w:r>
    </w:p>
    <w:p w14:paraId="24129F7B">
      <w:pPr>
        <w:spacing w:line="360" w:lineRule="auto"/>
        <w:ind w:firstLine="240" w:firstLineChars="100"/>
        <w:rPr>
          <w:rFonts w:eastAsia="黑体"/>
          <w:sz w:val="24"/>
          <w:szCs w:val="24"/>
        </w:rPr>
      </w:pPr>
      <w:r>
        <w:rPr>
          <w:rFonts w:hint="eastAsia" w:eastAsia="黑体"/>
          <w:sz w:val="24"/>
          <w:szCs w:val="24"/>
        </w:rPr>
        <w:t>二、供配电部分</w:t>
      </w:r>
    </w:p>
    <w:p w14:paraId="04314683">
      <w:pPr>
        <w:spacing w:line="360" w:lineRule="auto"/>
        <w:ind w:firstLine="420" w:firstLineChars="200"/>
        <w:rPr>
          <w:rFonts w:hint="eastAsia" w:ascii="宋体" w:hAnsi="宋体"/>
          <w:szCs w:val="21"/>
        </w:rPr>
      </w:pPr>
      <w:r>
        <w:rPr>
          <w:rFonts w:hint="eastAsia" w:ascii="宋体" w:hAnsi="宋体"/>
          <w:szCs w:val="21"/>
        </w:rPr>
        <w:t>1、本工程负荷等级按二级考虑，根据当地供电局要求，设计拟采用一路高压电源进线，并预留移动式柴油发电机组接口。正常运行时，高压进线供电；进线失电时，备供电源（移动式柴油发电机组）投入。根据供电局提供的电源接入点，电源引自就近10kV户外开关箱或架空线，外电电源接入方案需当地供电局复核后确定。</w:t>
      </w:r>
    </w:p>
    <w:p w14:paraId="1497CCDE">
      <w:pPr>
        <w:spacing w:line="360" w:lineRule="auto"/>
        <w:ind w:firstLine="420" w:firstLineChars="200"/>
        <w:rPr>
          <w:rFonts w:hint="eastAsia" w:ascii="宋体" w:hAnsi="宋体"/>
          <w:szCs w:val="21"/>
        </w:rPr>
      </w:pPr>
      <w:r>
        <w:rPr>
          <w:rFonts w:hint="eastAsia" w:ascii="宋体" w:hAnsi="宋体"/>
          <w:szCs w:val="21"/>
        </w:rPr>
        <w:t>2、配电控制柜需预留智慧水务等相关设备安装位置，新增低压负荷较大，统一在箱变低压侧设置集中补偿装置。</w:t>
      </w:r>
    </w:p>
    <w:p w14:paraId="5B015178">
      <w:pPr>
        <w:spacing w:line="360" w:lineRule="auto"/>
        <w:ind w:firstLine="240" w:firstLineChars="100"/>
        <w:rPr>
          <w:rFonts w:hint="eastAsia" w:ascii="宋体" w:hAnsi="宋体"/>
          <w:szCs w:val="21"/>
        </w:rPr>
      </w:pPr>
      <w:r>
        <w:rPr>
          <w:rFonts w:hint="eastAsia" w:eastAsia="黑体"/>
          <w:sz w:val="24"/>
          <w:szCs w:val="24"/>
        </w:rPr>
        <w:t>三、自动控制部分</w:t>
      </w:r>
    </w:p>
    <w:p w14:paraId="7C9F3DE8">
      <w:pPr>
        <w:spacing w:line="360" w:lineRule="auto"/>
        <w:ind w:firstLine="420" w:firstLineChars="200"/>
        <w:rPr>
          <w:rFonts w:hint="eastAsia" w:ascii="宋体" w:hAnsi="宋体"/>
          <w:szCs w:val="21"/>
        </w:rPr>
      </w:pPr>
      <w:r>
        <w:rPr>
          <w:rFonts w:hint="eastAsia" w:ascii="宋体" w:hAnsi="宋体"/>
          <w:szCs w:val="21"/>
        </w:rPr>
        <w:t>1、PLC负责泵站及外围设备所有仪表和设备数据的采集处理，并根据预先编制好的程序，控制泵站内设备自动运行、仪表和设备数据的采集处理。PLC现场控制站设置触摸式显示屏（HMI）作为操作界面，操作人员可以在线修改泵站主要设备的运行参数，实现流程图、测量值、报警显示、趋势图等显示功能。另外配电控制需带数据通信接口及4G调制解调器，用于实现监管综合平台与本泵站间的数据传输。</w:t>
      </w:r>
    </w:p>
    <w:p w14:paraId="59C6826F">
      <w:pPr>
        <w:spacing w:line="360" w:lineRule="auto"/>
        <w:ind w:firstLine="420" w:firstLineChars="200"/>
        <w:rPr>
          <w:rFonts w:hint="eastAsia" w:ascii="宋体" w:hAnsi="宋体"/>
          <w:szCs w:val="21"/>
        </w:rPr>
      </w:pPr>
      <w:r>
        <w:rPr>
          <w:rFonts w:hint="eastAsia" w:ascii="宋体" w:hAnsi="宋体"/>
          <w:szCs w:val="21"/>
        </w:rPr>
        <w:t>2、设备控制方式：各设备的控制方式由高至低分别为：机旁手动控制、就地程序控制、中央控制。每一级控制均设置转换开关，进行控制方式选择。</w:t>
      </w:r>
    </w:p>
    <w:p w14:paraId="2D7A631D">
      <w:pPr>
        <w:spacing w:line="360" w:lineRule="auto"/>
        <w:ind w:firstLine="630" w:firstLineChars="300"/>
        <w:rPr>
          <w:rFonts w:hint="eastAsia" w:ascii="宋体" w:hAnsi="宋体"/>
          <w:szCs w:val="21"/>
        </w:rPr>
      </w:pPr>
      <w:r>
        <w:rPr>
          <w:rFonts w:hint="eastAsia" w:ascii="宋体" w:hAnsi="宋体"/>
          <w:szCs w:val="21"/>
        </w:rPr>
        <w:t>1）机旁手动：机旁手动控制是通过安装在设备附近的设备控制箱（柜）或操作按钮实施手动控制。</w:t>
      </w:r>
    </w:p>
    <w:p w14:paraId="1ABF4021">
      <w:pPr>
        <w:spacing w:line="360" w:lineRule="auto"/>
        <w:ind w:firstLine="630" w:firstLineChars="300"/>
        <w:rPr>
          <w:rFonts w:hint="eastAsia" w:ascii="宋体" w:hAnsi="宋体"/>
          <w:szCs w:val="21"/>
        </w:rPr>
      </w:pPr>
      <w:r>
        <w:rPr>
          <w:rFonts w:hint="eastAsia" w:ascii="宋体" w:hAnsi="宋体"/>
          <w:szCs w:val="21"/>
        </w:rPr>
        <w:t>2）就地程序控制：就地程序控制是通过自控系统现场控制级实施设备控制。该控制方式下可通过PLC的触摸显示屏选择就地手动控制和就地自动控制两种方式。其中就地手动控制通过现场控制站的操作界面实施手动控制；就地自动控制由自控系统根据仪表检测数据、设备状态等参数以及预先编制好的程序进行自动控制，无需人工干预。</w:t>
      </w:r>
    </w:p>
    <w:p w14:paraId="5F948C51">
      <w:pPr>
        <w:spacing w:line="360" w:lineRule="auto"/>
        <w:ind w:firstLine="630" w:firstLineChars="300"/>
        <w:rPr>
          <w:rFonts w:hint="eastAsia" w:ascii="宋体" w:hAnsi="宋体"/>
          <w:szCs w:val="21"/>
        </w:rPr>
      </w:pPr>
      <w:r>
        <w:rPr>
          <w:rFonts w:hint="eastAsia" w:ascii="宋体" w:hAnsi="宋体"/>
          <w:szCs w:val="21"/>
        </w:rPr>
        <w:t>3）中央控制：中央控制是在监管运营平台内通过中央监控计算机操作界面完成调度和控制。在该控制模式下，项目范围内各设备的基本的联动、连锁和保护控制亦由现场控制提供并完成。</w:t>
      </w:r>
    </w:p>
    <w:p w14:paraId="3F450D4C">
      <w:pPr>
        <w:spacing w:line="360" w:lineRule="auto"/>
        <w:ind w:firstLine="420" w:firstLineChars="200"/>
        <w:rPr>
          <w:rFonts w:hint="eastAsia" w:ascii="宋体" w:hAnsi="宋体"/>
          <w:szCs w:val="21"/>
        </w:rPr>
      </w:pPr>
      <w:r>
        <w:rPr>
          <w:rFonts w:hint="eastAsia" w:ascii="宋体" w:hAnsi="宋体"/>
          <w:szCs w:val="21"/>
        </w:rPr>
        <w:t>3、主要设备控制要求</w:t>
      </w:r>
    </w:p>
    <w:p w14:paraId="45B5B202">
      <w:pPr>
        <w:spacing w:line="360" w:lineRule="auto"/>
        <w:ind w:firstLine="420" w:firstLineChars="200"/>
        <w:rPr>
          <w:rFonts w:hint="eastAsia" w:ascii="宋体" w:hAnsi="宋体"/>
          <w:szCs w:val="21"/>
        </w:rPr>
      </w:pPr>
      <w:r>
        <w:rPr>
          <w:rFonts w:hint="eastAsia" w:ascii="宋体" w:hAnsi="宋体"/>
          <w:szCs w:val="21"/>
        </w:rPr>
        <w:t xml:space="preserve">  1、水泵：</w:t>
      </w:r>
    </w:p>
    <w:p w14:paraId="3A665BE9">
      <w:pPr>
        <w:spacing w:line="360" w:lineRule="auto"/>
        <w:ind w:firstLine="420" w:firstLineChars="200"/>
        <w:rPr>
          <w:rFonts w:hint="eastAsia" w:ascii="宋体" w:hAnsi="宋体"/>
          <w:szCs w:val="21"/>
        </w:rPr>
      </w:pPr>
      <w:r>
        <w:rPr>
          <w:rFonts w:hint="eastAsia" w:ascii="宋体" w:hAnsi="宋体"/>
          <w:szCs w:val="21"/>
        </w:rPr>
        <w:t xml:space="preserve">  (1)水泵的工况和报警应以图形或文字方式在控制系统人机操作界面上显示。</w:t>
      </w:r>
    </w:p>
    <w:p w14:paraId="47FC27FD">
      <w:pPr>
        <w:spacing w:line="360" w:lineRule="auto"/>
        <w:ind w:firstLine="420" w:firstLineChars="200"/>
        <w:rPr>
          <w:rFonts w:hint="eastAsia" w:ascii="宋体" w:hAnsi="宋体"/>
          <w:szCs w:val="21"/>
        </w:rPr>
      </w:pPr>
      <w:r>
        <w:rPr>
          <w:rFonts w:hint="eastAsia" w:ascii="宋体" w:hAnsi="宋体"/>
          <w:szCs w:val="21"/>
        </w:rPr>
        <w:t xml:space="preserve">  (2)水泵根据集水井测量的水位自动开停，开停泵设定值及开停泵台数，参见工艺专业图纸，设定值以0.01米为单位可修改设定。</w:t>
      </w:r>
    </w:p>
    <w:p w14:paraId="44D040CD">
      <w:pPr>
        <w:spacing w:line="360" w:lineRule="auto"/>
        <w:ind w:firstLine="420" w:firstLineChars="200"/>
        <w:rPr>
          <w:rFonts w:hint="eastAsia" w:ascii="宋体" w:hAnsi="宋体"/>
          <w:szCs w:val="21"/>
        </w:rPr>
      </w:pPr>
      <w:r>
        <w:rPr>
          <w:rFonts w:hint="eastAsia" w:ascii="宋体" w:hAnsi="宋体"/>
          <w:szCs w:val="21"/>
        </w:rPr>
        <w:t xml:space="preserve">  (3)水泵在一定时间范围内的启停次数及时间间隔应符合水泵特性要求，时间范围及时间间隔以分钟为单位可修改设定，启停次数可修改设定。</w:t>
      </w:r>
    </w:p>
    <w:p w14:paraId="73FAE073">
      <w:pPr>
        <w:spacing w:line="360" w:lineRule="auto"/>
        <w:ind w:firstLine="420" w:firstLineChars="200"/>
        <w:rPr>
          <w:rFonts w:hint="eastAsia" w:ascii="宋体" w:hAnsi="宋体"/>
          <w:szCs w:val="21"/>
        </w:rPr>
      </w:pPr>
      <w:r>
        <w:rPr>
          <w:rFonts w:hint="eastAsia" w:ascii="宋体" w:hAnsi="宋体"/>
          <w:szCs w:val="21"/>
        </w:rPr>
        <w:t xml:space="preserve">  2、高低液位报警：当浮球开关检测到高低液位报警时，泵站自动控制系统发出报警。低液位报警时强制停泵。</w:t>
      </w:r>
    </w:p>
    <w:p w14:paraId="76BC94CC">
      <w:pPr>
        <w:spacing w:line="360" w:lineRule="auto"/>
        <w:ind w:firstLine="420" w:firstLineChars="200"/>
        <w:rPr>
          <w:rFonts w:hint="eastAsia" w:ascii="宋体" w:hAnsi="宋体"/>
          <w:szCs w:val="21"/>
        </w:rPr>
      </w:pPr>
      <w:r>
        <w:rPr>
          <w:rFonts w:hint="eastAsia" w:ascii="宋体" w:hAnsi="宋体"/>
          <w:szCs w:val="21"/>
        </w:rPr>
        <w:t>4、电力系统设备：自控系统通过Modbus－RTU现场总线协议与智能电力仪表以数字方式表示供配电系统工况和运行参数。应包括三相电流，有功功率，有功电度，功率因数等重要参数。</w:t>
      </w:r>
    </w:p>
    <w:p w14:paraId="4F3F49ED">
      <w:pPr>
        <w:spacing w:line="360" w:lineRule="auto"/>
        <w:ind w:firstLine="240" w:firstLineChars="100"/>
        <w:rPr>
          <w:rFonts w:eastAsia="黑体"/>
          <w:sz w:val="24"/>
          <w:szCs w:val="24"/>
        </w:rPr>
      </w:pPr>
      <w:r>
        <w:rPr>
          <w:rFonts w:hint="eastAsia" w:eastAsia="黑体"/>
          <w:sz w:val="24"/>
          <w:szCs w:val="24"/>
        </w:rPr>
        <w:t>四、视频监控部分</w:t>
      </w:r>
    </w:p>
    <w:p w14:paraId="5638AF6D">
      <w:pPr>
        <w:spacing w:line="360" w:lineRule="auto"/>
        <w:ind w:firstLine="420" w:firstLineChars="200"/>
        <w:rPr>
          <w:rFonts w:hint="eastAsia" w:ascii="宋体" w:hAnsi="宋体"/>
          <w:szCs w:val="21"/>
        </w:rPr>
      </w:pPr>
      <w:r>
        <w:rPr>
          <w:rFonts w:hint="eastAsia" w:ascii="宋体" w:hAnsi="宋体"/>
          <w:szCs w:val="21"/>
        </w:rPr>
        <w:t>系统主要由如下三部分组成：前端视频采集设备、数据传输设备、监控中心终端显示管理设备。</w:t>
      </w:r>
    </w:p>
    <w:p w14:paraId="112B7DA2">
      <w:pPr>
        <w:spacing w:line="360" w:lineRule="auto"/>
        <w:ind w:firstLine="420" w:firstLineChars="200"/>
        <w:rPr>
          <w:rFonts w:hint="eastAsia" w:ascii="宋体" w:hAnsi="宋体"/>
          <w:szCs w:val="21"/>
        </w:rPr>
      </w:pPr>
      <w:r>
        <w:rPr>
          <w:rFonts w:hint="eastAsia" w:ascii="宋体" w:hAnsi="宋体"/>
          <w:szCs w:val="21"/>
        </w:rPr>
        <w:t xml:space="preserve">  1、视频监视系统中所有摄像机应能同时录像，存储设备的容量应按照录像保存时间不少于30天配置，并可随时提供调阅及快速检索。视频图像存储系统记录的图像信息需包含图像编号／地址、记录时的时间和日期。数字视频矩阵控制器的矩阵切换功能应具有系统信息存储能力，在供电中断或关机后，所有编程信息和时间信息均能保持。</w:t>
      </w:r>
    </w:p>
    <w:p w14:paraId="5848E07D">
      <w:pPr>
        <w:spacing w:line="360" w:lineRule="auto"/>
        <w:ind w:firstLine="420" w:firstLineChars="200"/>
        <w:rPr>
          <w:rFonts w:hint="eastAsia" w:ascii="宋体" w:hAnsi="宋体"/>
          <w:szCs w:val="21"/>
        </w:rPr>
      </w:pPr>
      <w:r>
        <w:rPr>
          <w:rFonts w:hint="eastAsia" w:ascii="宋体" w:hAnsi="宋体"/>
          <w:szCs w:val="21"/>
        </w:rPr>
        <w:t xml:space="preserve">  2、视频监控系统设计应根据视频图像采集、目标识别的需要和现场环境条件等因素，选择相应的设备，具备对监控区域和目标进行视频采集、传输、处理、控制、显示、存储与回放等功能，并应符合下列规定：a、系统的监控区域应有效覆盖保护区域、部位和目标，监视效果应满足场景监控或目标特征识别的需求；b、系统应具备按照授权对前端视频采集设备进行实时控制，或进行工作状态调整的能力；c、系统应具备按照授权实施调度指定视频信号到指定终端的能力；d、系统应能实时显示系统内的所有视频图像；e、视频图像信息存储的时间不应小于30天；f、系统应具备设备管理，用户管理及日志管理等功能。</w:t>
      </w:r>
    </w:p>
    <w:p w14:paraId="4D2299F7">
      <w:pPr>
        <w:spacing w:line="360" w:lineRule="auto"/>
        <w:ind w:firstLine="420" w:firstLineChars="200"/>
        <w:rPr>
          <w:rFonts w:hint="eastAsia" w:ascii="宋体" w:hAnsi="宋体"/>
          <w:szCs w:val="21"/>
        </w:rPr>
      </w:pPr>
      <w:r>
        <w:rPr>
          <w:rFonts w:hint="eastAsia" w:ascii="宋体" w:hAnsi="宋体"/>
          <w:szCs w:val="21"/>
        </w:rPr>
        <w:t xml:space="preserve">  3、视频监视系统图像质量的主观评价，采用五级损伤制评定，图像等级应符合表一规定；系统正常工作条件下，监视图像质量不应低于4级，回放图像质量不应低于3级，在允许的最恶劣工作条件或应急照明下，监视图像质量不应低于3级。</w:t>
      </w:r>
    </w:p>
    <w:p w14:paraId="67855C84">
      <w:pPr>
        <w:spacing w:line="360" w:lineRule="auto"/>
        <w:ind w:firstLine="240" w:firstLineChars="100"/>
        <w:rPr>
          <w:rFonts w:eastAsia="黑体"/>
          <w:sz w:val="24"/>
          <w:szCs w:val="24"/>
        </w:rPr>
      </w:pPr>
      <w:r>
        <w:rPr>
          <w:rFonts w:hint="eastAsia" w:eastAsia="黑体"/>
          <w:sz w:val="24"/>
          <w:szCs w:val="24"/>
        </w:rPr>
        <w:t>五、电气设备安装要求</w:t>
      </w:r>
    </w:p>
    <w:p w14:paraId="7E9B27AE">
      <w:pPr>
        <w:spacing w:line="360" w:lineRule="auto"/>
        <w:ind w:firstLine="420" w:firstLineChars="200"/>
        <w:rPr>
          <w:rFonts w:hint="eastAsia" w:ascii="宋体" w:hAnsi="宋体"/>
          <w:szCs w:val="21"/>
        </w:rPr>
      </w:pPr>
      <w:r>
        <w:rPr>
          <w:rFonts w:hint="eastAsia" w:ascii="宋体" w:hAnsi="宋体"/>
          <w:szCs w:val="21"/>
        </w:rPr>
        <w:t xml:space="preserve">  1、电控柜靠近泵井放置，基础抬高500mm，电控柜安装位置应设置于地势较高点，无积水，避免在泵站下风口，并远离泵站通气管，具体位置可根据现场实际情况进行微调。</w:t>
      </w:r>
    </w:p>
    <w:p w14:paraId="5B4B9EE8">
      <w:pPr>
        <w:spacing w:line="360" w:lineRule="auto"/>
        <w:ind w:firstLine="420" w:firstLineChars="200"/>
        <w:rPr>
          <w:rFonts w:hint="eastAsia" w:ascii="宋体" w:hAnsi="宋体"/>
          <w:szCs w:val="21"/>
        </w:rPr>
      </w:pPr>
      <w:r>
        <w:rPr>
          <w:rFonts w:hint="eastAsia" w:ascii="宋体" w:hAnsi="宋体"/>
          <w:szCs w:val="21"/>
        </w:rPr>
        <w:t xml:space="preserve">  2、电控柜采用不锈钢材质，板厚≥2.0mm，防护等级不低于IP65，柜门带锁。柜体内部配置散热风扇，并设置温湿度控制器，自动开停风扇。电控柜地基承载力为100kpa。电控柜基础槽钢与基础采用不锈钢膨胀螺栓固定，安装大样参考18D802《建筑电气工程施工安装》。</w:t>
      </w:r>
    </w:p>
    <w:p w14:paraId="089591C2">
      <w:pPr>
        <w:spacing w:line="360" w:lineRule="auto"/>
        <w:ind w:firstLine="420" w:firstLineChars="200"/>
        <w:rPr>
          <w:rFonts w:hint="eastAsia" w:ascii="宋体" w:hAnsi="宋体"/>
          <w:szCs w:val="21"/>
        </w:rPr>
      </w:pPr>
      <w:r>
        <w:rPr>
          <w:rFonts w:hint="eastAsia" w:ascii="宋体" w:hAnsi="宋体"/>
          <w:szCs w:val="21"/>
        </w:rPr>
        <w:t xml:space="preserve">  3、电控柜安装要保证牢固、无晃动，柜门可以平滑开关。柜体与水平面垂直，无明显柜面不齐。</w:t>
      </w:r>
    </w:p>
    <w:p w14:paraId="5ADB4DFB">
      <w:pPr>
        <w:spacing w:line="360" w:lineRule="auto"/>
        <w:ind w:firstLine="420" w:firstLineChars="200"/>
        <w:rPr>
          <w:rFonts w:hint="eastAsia" w:ascii="宋体" w:hAnsi="宋体"/>
          <w:szCs w:val="21"/>
        </w:rPr>
      </w:pPr>
      <w:r>
        <w:rPr>
          <w:rFonts w:hint="eastAsia" w:ascii="宋体" w:hAnsi="宋体"/>
          <w:szCs w:val="21"/>
        </w:rPr>
        <w:t xml:space="preserve">  4、室外安装电控柜应带有防鼠板等防止小动物进入的措施。</w:t>
      </w:r>
    </w:p>
    <w:p w14:paraId="2F7B111C">
      <w:pPr>
        <w:spacing w:line="360" w:lineRule="auto"/>
        <w:ind w:firstLine="240" w:firstLineChars="100"/>
        <w:rPr>
          <w:rFonts w:eastAsia="黑体"/>
          <w:sz w:val="24"/>
          <w:szCs w:val="24"/>
        </w:rPr>
      </w:pPr>
      <w:r>
        <w:rPr>
          <w:rFonts w:hint="eastAsia" w:eastAsia="黑体"/>
          <w:sz w:val="24"/>
          <w:szCs w:val="24"/>
        </w:rPr>
        <w:t>六、电缆、导线敷设要求</w:t>
      </w:r>
    </w:p>
    <w:p w14:paraId="0AF91BF1">
      <w:pPr>
        <w:spacing w:line="360" w:lineRule="auto"/>
        <w:ind w:firstLine="420" w:firstLineChars="200"/>
        <w:rPr>
          <w:rFonts w:hint="eastAsia" w:ascii="宋体" w:hAnsi="宋体"/>
          <w:szCs w:val="21"/>
        </w:rPr>
      </w:pPr>
      <w:r>
        <w:rPr>
          <w:rFonts w:hint="eastAsia" w:ascii="宋体" w:hAnsi="宋体"/>
          <w:szCs w:val="21"/>
        </w:rPr>
        <w:t xml:space="preserve">  1、电缆敷设在保护管内时，保护管内径不应小于电缆外径的1.5倍。保护管的弯曲半径不应小于所穿电缆的最小允许弯曲半径。当电缆有中间接头时，应放在电缆手井中。在没有特殊说明的情况下每管只穿一根电缆。与其他管线交叉或平行敷设时应符合国家有关规定（详见国家标准图集）。</w:t>
      </w:r>
    </w:p>
    <w:p w14:paraId="0FC39DC9">
      <w:pPr>
        <w:spacing w:line="360" w:lineRule="auto"/>
        <w:ind w:firstLine="420" w:firstLineChars="200"/>
        <w:rPr>
          <w:rFonts w:hint="eastAsia" w:ascii="宋体" w:hAnsi="宋体"/>
          <w:szCs w:val="21"/>
        </w:rPr>
      </w:pPr>
      <w:r>
        <w:rPr>
          <w:rFonts w:hint="eastAsia" w:ascii="宋体" w:hAnsi="宋体"/>
          <w:szCs w:val="21"/>
        </w:rPr>
        <w:t xml:space="preserve">  2、电缆在穿越建筑物孔、洞或配电柜、箱体处，均需采用防火堵料予以封堵，同时避免有害气体通过电缆排管进入电控柜。</w:t>
      </w:r>
    </w:p>
    <w:p w14:paraId="3F6F9F5B">
      <w:pPr>
        <w:spacing w:line="360" w:lineRule="auto"/>
        <w:ind w:firstLine="420" w:firstLineChars="200"/>
        <w:rPr>
          <w:rFonts w:hint="eastAsia" w:ascii="宋体" w:hAnsi="宋体"/>
          <w:szCs w:val="21"/>
        </w:rPr>
      </w:pPr>
      <w:r>
        <w:rPr>
          <w:rFonts w:hint="eastAsia" w:ascii="宋体" w:hAnsi="宋体"/>
          <w:szCs w:val="21"/>
        </w:rPr>
        <w:t xml:space="preserve">  3、PE线必须采用绿/黄导线或标识。</w:t>
      </w:r>
    </w:p>
    <w:p w14:paraId="50F28D1E">
      <w:pPr>
        <w:spacing w:line="360" w:lineRule="auto"/>
        <w:ind w:firstLine="420" w:firstLineChars="200"/>
        <w:rPr>
          <w:rFonts w:hint="eastAsia" w:ascii="宋体" w:hAnsi="宋体"/>
          <w:szCs w:val="21"/>
        </w:rPr>
      </w:pPr>
      <w:r>
        <w:rPr>
          <w:rFonts w:hint="eastAsia" w:ascii="宋体" w:hAnsi="宋体"/>
          <w:szCs w:val="21"/>
        </w:rPr>
        <w:t xml:space="preserve">  4、仪表及自控系统配线采用屏蔽电缆以抗外界信号干扰，敷设时宜与强电线路分开布置。</w:t>
      </w:r>
    </w:p>
    <w:p w14:paraId="676376CE">
      <w:pPr>
        <w:spacing w:line="360" w:lineRule="auto"/>
        <w:ind w:firstLine="420" w:firstLineChars="200"/>
        <w:rPr>
          <w:rFonts w:hint="eastAsia" w:ascii="宋体" w:hAnsi="宋体"/>
          <w:szCs w:val="21"/>
        </w:rPr>
      </w:pPr>
      <w:r>
        <w:rPr>
          <w:rFonts w:hint="eastAsia" w:ascii="宋体" w:hAnsi="宋体"/>
          <w:szCs w:val="21"/>
        </w:rPr>
        <w:t xml:space="preserve">  5、所有穿过建（构）筑物伸缩缝、沉降缝、后浇带的管线应按国家、地方标准图集中的有关做法施工。</w:t>
      </w:r>
    </w:p>
    <w:p w14:paraId="5313BF56">
      <w:pPr>
        <w:spacing w:line="360" w:lineRule="auto"/>
        <w:ind w:firstLine="240" w:firstLineChars="100"/>
        <w:rPr>
          <w:rFonts w:eastAsia="黑体"/>
          <w:sz w:val="24"/>
          <w:szCs w:val="24"/>
        </w:rPr>
      </w:pPr>
      <w:r>
        <w:rPr>
          <w:rFonts w:hint="eastAsia" w:eastAsia="黑体"/>
          <w:sz w:val="24"/>
          <w:szCs w:val="24"/>
        </w:rPr>
        <w:t>七、接地安全要求</w:t>
      </w:r>
    </w:p>
    <w:p w14:paraId="26B3093F">
      <w:pPr>
        <w:spacing w:line="360" w:lineRule="auto"/>
        <w:ind w:firstLine="420" w:firstLineChars="200"/>
        <w:rPr>
          <w:rFonts w:hint="eastAsia" w:ascii="宋体" w:hAnsi="宋体"/>
          <w:szCs w:val="21"/>
        </w:rPr>
      </w:pPr>
      <w:r>
        <w:rPr>
          <w:rFonts w:hint="eastAsia" w:ascii="宋体" w:hAnsi="宋体"/>
          <w:szCs w:val="21"/>
        </w:rPr>
        <w:t xml:space="preserve">  1、本工程采用TN-S系统配线，配电柜应良好接地，除与系统总接地线连接外，采用热镀锌扁钢40x4mm就近与泵井钢筋焊接连通，以确保安全，接地电阻不应大于1欧姆。如实测接地电阻不满足要求，则需增打接地极。接地极采用L50X5热镀锌角钢，长2.5m，在土壤中的埋设深度不应小于0.5m。</w:t>
      </w:r>
    </w:p>
    <w:p w14:paraId="136B55D2">
      <w:pPr>
        <w:spacing w:line="360" w:lineRule="auto"/>
        <w:ind w:firstLine="420" w:firstLineChars="200"/>
        <w:rPr>
          <w:rFonts w:hint="eastAsia" w:ascii="宋体" w:hAnsi="宋体"/>
          <w:szCs w:val="21"/>
        </w:rPr>
      </w:pPr>
      <w:r>
        <w:rPr>
          <w:rFonts w:hint="eastAsia" w:ascii="宋体" w:hAnsi="宋体"/>
          <w:szCs w:val="21"/>
        </w:rPr>
        <w:t xml:space="preserve">  2、本工程电气设备的保护接地及控制系统的保护接地共用统一的接地系统。</w:t>
      </w:r>
    </w:p>
    <w:p w14:paraId="40D542F7">
      <w:pPr>
        <w:spacing w:line="360" w:lineRule="auto"/>
        <w:ind w:firstLine="420" w:firstLineChars="200"/>
        <w:rPr>
          <w:rFonts w:hint="eastAsia" w:ascii="宋体" w:hAnsi="宋体"/>
          <w:szCs w:val="21"/>
        </w:rPr>
      </w:pPr>
      <w:r>
        <w:rPr>
          <w:rFonts w:hint="eastAsia" w:ascii="宋体" w:hAnsi="宋体"/>
          <w:szCs w:val="21"/>
        </w:rPr>
        <w:t xml:space="preserve">  3、室外接地凡焊接处均应刷沥青防腐。</w:t>
      </w:r>
    </w:p>
    <w:p w14:paraId="08DD02BC">
      <w:pPr>
        <w:spacing w:line="360" w:lineRule="auto"/>
        <w:ind w:firstLine="420" w:firstLineChars="200"/>
        <w:rPr>
          <w:rFonts w:hint="eastAsia" w:ascii="宋体" w:hAnsi="宋体"/>
          <w:szCs w:val="21"/>
        </w:rPr>
      </w:pPr>
      <w:r>
        <w:rPr>
          <w:rFonts w:hint="eastAsia" w:ascii="宋体" w:hAnsi="宋体"/>
          <w:szCs w:val="21"/>
        </w:rPr>
        <w:t xml:space="preserve">  4、凡正常不带电，绝缘破坏时可能带电的电气设备的金属外壳、穿线钢管、电缆外皮、支架等均应可靠接地。</w:t>
      </w:r>
    </w:p>
    <w:p w14:paraId="6252F1CF">
      <w:pPr>
        <w:spacing w:line="360" w:lineRule="auto"/>
        <w:ind w:firstLine="420" w:firstLineChars="200"/>
        <w:rPr>
          <w:rFonts w:hint="eastAsia" w:ascii="宋体" w:hAnsi="宋体"/>
          <w:szCs w:val="21"/>
        </w:rPr>
      </w:pPr>
      <w:r>
        <w:rPr>
          <w:rFonts w:hint="eastAsia" w:ascii="宋体" w:hAnsi="宋体"/>
          <w:szCs w:val="21"/>
        </w:rPr>
        <w:t xml:space="preserve">  5、接地装置、接地线的安装详见14D504《接地装置安装》。</w:t>
      </w:r>
    </w:p>
    <w:p w14:paraId="477D1B06">
      <w:pPr>
        <w:spacing w:line="360" w:lineRule="auto"/>
        <w:ind w:firstLine="420" w:firstLineChars="200"/>
        <w:rPr>
          <w:rFonts w:hint="eastAsia" w:ascii="宋体" w:hAnsi="宋体"/>
          <w:szCs w:val="21"/>
        </w:rPr>
      </w:pPr>
      <w:r>
        <w:rPr>
          <w:rFonts w:hint="eastAsia" w:ascii="宋体" w:hAnsi="宋体"/>
          <w:szCs w:val="21"/>
        </w:rPr>
        <w:t xml:space="preserve">  6、建筑物金属体做防雷及接地装置的安装详见国标15D503《利用建筑物金属体做防雷及接地装置安装》。</w:t>
      </w:r>
    </w:p>
    <w:p w14:paraId="03750B42">
      <w:pPr>
        <w:spacing w:line="360" w:lineRule="auto"/>
        <w:ind w:firstLine="240" w:firstLineChars="100"/>
        <w:rPr>
          <w:rFonts w:eastAsia="黑体"/>
          <w:sz w:val="24"/>
          <w:szCs w:val="24"/>
        </w:rPr>
      </w:pPr>
      <w:r>
        <w:rPr>
          <w:rFonts w:hint="eastAsia" w:eastAsia="黑体"/>
          <w:sz w:val="24"/>
          <w:szCs w:val="24"/>
        </w:rPr>
        <w:t>八、机电抗震要求</w:t>
      </w:r>
    </w:p>
    <w:p w14:paraId="28A857D7">
      <w:pPr>
        <w:spacing w:line="360" w:lineRule="auto"/>
        <w:ind w:firstLine="420" w:firstLineChars="200"/>
        <w:rPr>
          <w:rFonts w:hint="eastAsia" w:ascii="宋体" w:hAnsi="宋体"/>
          <w:szCs w:val="21"/>
        </w:rPr>
      </w:pPr>
      <w:r>
        <w:rPr>
          <w:rFonts w:hint="eastAsia" w:ascii="宋体" w:hAnsi="宋体"/>
          <w:szCs w:val="21"/>
        </w:rPr>
        <w:t xml:space="preserve">  1、内径不小于60mm的电气配管及重力不小于150N/m的电缆槽盒均应进行抗震设防。</w:t>
      </w:r>
    </w:p>
    <w:p w14:paraId="0183C503">
      <w:pPr>
        <w:spacing w:line="360" w:lineRule="auto"/>
        <w:ind w:firstLine="420" w:firstLineChars="200"/>
        <w:rPr>
          <w:rFonts w:hint="eastAsia" w:ascii="宋体" w:hAnsi="宋体"/>
          <w:szCs w:val="21"/>
        </w:rPr>
      </w:pPr>
      <w:r>
        <w:rPr>
          <w:rFonts w:hint="eastAsia" w:ascii="宋体" w:hAnsi="宋体"/>
          <w:szCs w:val="21"/>
        </w:rPr>
        <w:t xml:space="preserve">  2、配电柜底部采用金属膨胀螺栓或焊接的固定方式，配电柜的安装螺栓或焊接强度应满足抗震要求。</w:t>
      </w:r>
    </w:p>
    <w:p w14:paraId="1DEFA3F2">
      <w:pPr>
        <w:spacing w:line="360" w:lineRule="auto"/>
        <w:ind w:firstLine="240" w:firstLineChars="100"/>
        <w:rPr>
          <w:rFonts w:eastAsia="黑体"/>
          <w:sz w:val="24"/>
          <w:szCs w:val="24"/>
        </w:rPr>
      </w:pPr>
      <w:r>
        <w:rPr>
          <w:rFonts w:hint="eastAsia" w:eastAsia="黑体"/>
          <w:sz w:val="24"/>
          <w:szCs w:val="24"/>
        </w:rPr>
        <w:t>九、其他注意事项</w:t>
      </w:r>
    </w:p>
    <w:p w14:paraId="45CD203D">
      <w:pPr>
        <w:spacing w:line="360" w:lineRule="auto"/>
        <w:ind w:firstLine="420" w:firstLineChars="200"/>
        <w:rPr>
          <w:rFonts w:hint="eastAsia" w:ascii="宋体" w:hAnsi="宋体"/>
          <w:szCs w:val="21"/>
        </w:rPr>
      </w:pPr>
      <w:r>
        <w:rPr>
          <w:rFonts w:hint="eastAsia" w:ascii="宋体" w:hAnsi="宋体"/>
          <w:szCs w:val="21"/>
        </w:rPr>
        <w:t xml:space="preserve">  1、土建施工时,电气施工人员应与土建施工人员紧密配合, 做好电气安装所需预埋件预留孔洞工作,特别是在利用泵房基础钢筋作接地装置的工作中,必须与土建施工人员做好钢筋焊接及外引钢筋的预埋工作。</w:t>
      </w:r>
    </w:p>
    <w:p w14:paraId="02165AC9">
      <w:pPr>
        <w:spacing w:line="360" w:lineRule="auto"/>
        <w:ind w:firstLine="420" w:firstLineChars="200"/>
        <w:rPr>
          <w:rFonts w:hint="eastAsia" w:ascii="宋体" w:hAnsi="宋体"/>
          <w:szCs w:val="21"/>
        </w:rPr>
      </w:pPr>
      <w:r>
        <w:rPr>
          <w:rFonts w:hint="eastAsia" w:ascii="宋体" w:hAnsi="宋体"/>
          <w:szCs w:val="21"/>
        </w:rPr>
        <w:t xml:space="preserve">  2、安装于水池附近、地下、阴冷环境及其他潮湿环境的配电箱、控制箱、检测仪表等电气设备常会因凝露受潮而导致故障。为保障设备的可靠运行，可以根据安装环境的不同，采用加热器、除湿机、风扇等防凝露措施。除独立房间外，仪表箱、控制箱等应采用不锈钢（SUS304）制作，板厚≥2.0mm，并满足安装结构强度、刚度要求，有防雨淋、防暴晒、通风散热（通风网为SUS304）功能。</w:t>
      </w:r>
    </w:p>
    <w:p w14:paraId="6AEB3749">
      <w:pPr>
        <w:spacing w:line="360" w:lineRule="auto"/>
        <w:ind w:firstLine="420" w:firstLineChars="200"/>
        <w:rPr>
          <w:rFonts w:hint="eastAsia" w:ascii="宋体" w:hAnsi="宋体"/>
          <w:szCs w:val="21"/>
        </w:rPr>
      </w:pPr>
      <w:r>
        <w:rPr>
          <w:rFonts w:hint="eastAsia" w:ascii="宋体" w:hAnsi="宋体"/>
          <w:szCs w:val="21"/>
        </w:rPr>
        <w:t xml:space="preserve">  3、为使自动化系统免招雷击损坏，本工程采取相应的防雷措施：</w:t>
      </w:r>
    </w:p>
    <w:p w14:paraId="2FC0C8FA">
      <w:pPr>
        <w:spacing w:line="360" w:lineRule="auto"/>
        <w:ind w:firstLine="420" w:firstLineChars="200"/>
        <w:rPr>
          <w:rFonts w:hint="eastAsia" w:ascii="宋体" w:hAnsi="宋体"/>
          <w:szCs w:val="21"/>
        </w:rPr>
      </w:pPr>
      <w:r>
        <w:rPr>
          <w:rFonts w:hint="eastAsia" w:ascii="宋体" w:hAnsi="宋体"/>
          <w:szCs w:val="21"/>
        </w:rPr>
        <w:t xml:space="preserve">    1）由AC220V电源供电的检测仪表、PLC的电源端加装电源避雷器，以抑制出现在电力网络中的暂态浪涌电压和吸收暂态浪涌电压能量，在保障供电连续的条件下，使仪表、PLC终端等主要设备免受过电压的干扰和侵害。</w:t>
      </w:r>
    </w:p>
    <w:p w14:paraId="52666056">
      <w:pPr>
        <w:spacing w:line="360" w:lineRule="auto"/>
        <w:ind w:firstLine="420" w:firstLineChars="200"/>
        <w:rPr>
          <w:rFonts w:hint="eastAsia" w:ascii="宋体" w:hAnsi="宋体"/>
          <w:szCs w:val="21"/>
        </w:rPr>
      </w:pPr>
      <w:r>
        <w:rPr>
          <w:rFonts w:hint="eastAsia" w:ascii="宋体" w:hAnsi="宋体"/>
          <w:szCs w:val="21"/>
        </w:rPr>
        <w:t xml:space="preserve">    2）在室外检测仪表4~20mA DC信号的输出端和PLC终端机的模拟量输入端加装信号避雷器，以抑制信号回路的雷电干扰。</w:t>
      </w:r>
    </w:p>
    <w:p w14:paraId="6ACD9FDD">
      <w:pPr>
        <w:spacing w:line="360" w:lineRule="auto"/>
        <w:ind w:firstLine="420" w:firstLineChars="200"/>
        <w:rPr>
          <w:rFonts w:hint="eastAsia" w:ascii="宋体" w:hAnsi="宋体"/>
          <w:szCs w:val="21"/>
        </w:rPr>
      </w:pPr>
      <w:r>
        <w:rPr>
          <w:rFonts w:hint="eastAsia" w:ascii="宋体" w:hAnsi="宋体"/>
          <w:szCs w:val="21"/>
        </w:rPr>
        <w:t xml:space="preserve">    3）在室外设备Modbus总线信号输出端和PLC的Modbus总线信号入口端设置总线防雷器，抑制总线回路的雷电干扰。</w:t>
      </w:r>
    </w:p>
    <w:p w14:paraId="0FE22355">
      <w:pPr>
        <w:spacing w:line="360" w:lineRule="auto"/>
        <w:ind w:firstLine="420" w:firstLineChars="200"/>
        <w:rPr>
          <w:rFonts w:hint="eastAsia" w:ascii="宋体" w:hAnsi="宋体"/>
          <w:szCs w:val="21"/>
        </w:rPr>
      </w:pPr>
      <w:r>
        <w:rPr>
          <w:rFonts w:hint="eastAsia" w:ascii="宋体" w:hAnsi="宋体"/>
          <w:szCs w:val="21"/>
        </w:rPr>
        <w:t xml:space="preserve">    4）所有仪表、计算机系统设备外壳均要安全接地，接地电阻不应大于1欧姆。仪表信号电缆（双绞屏蔽电缆）的屏蔽层应在PLC终端机侧可靠接地。</w:t>
      </w:r>
    </w:p>
    <w:p w14:paraId="09E6F293">
      <w:pPr>
        <w:spacing w:line="360" w:lineRule="auto"/>
        <w:ind w:firstLine="420" w:firstLineChars="200"/>
        <w:rPr>
          <w:rFonts w:hint="eastAsia" w:ascii="宋体" w:hAnsi="宋体"/>
          <w:szCs w:val="21"/>
        </w:rPr>
      </w:pPr>
      <w:r>
        <w:rPr>
          <w:rFonts w:hint="eastAsia" w:ascii="宋体" w:hAnsi="宋体"/>
          <w:szCs w:val="21"/>
        </w:rPr>
        <w:t xml:space="preserve">  4、室外埋地敷设的电力线缆、控制线缆和智能化线缆不应平行布置在地下管道的正上方或正下方。</w:t>
      </w:r>
    </w:p>
    <w:p w14:paraId="757D7BED">
      <w:pPr>
        <w:spacing w:line="360" w:lineRule="auto"/>
        <w:ind w:firstLine="420" w:firstLineChars="200"/>
        <w:rPr>
          <w:rFonts w:hint="eastAsia" w:ascii="宋体" w:hAnsi="宋体"/>
          <w:szCs w:val="21"/>
        </w:rPr>
      </w:pPr>
      <w:r>
        <w:rPr>
          <w:rFonts w:hint="eastAsia" w:ascii="宋体" w:hAnsi="宋体"/>
          <w:szCs w:val="21"/>
        </w:rPr>
        <w:t xml:space="preserve">  5、工程管线之间及其与建（构）筑物之间的最小水平净距应符合《城市工程管线综合规划规范》GB50289-2016第4.1.9条的规定。</w:t>
      </w:r>
    </w:p>
    <w:p w14:paraId="17AC7207">
      <w:pPr>
        <w:pStyle w:val="3"/>
        <w:rPr>
          <w:rFonts w:hint="eastAsia"/>
        </w:rPr>
      </w:pPr>
      <w:r>
        <w:rPr>
          <w:rFonts w:hint="eastAsia" w:ascii="宋体" w:hAnsi="宋体"/>
          <w:szCs w:val="21"/>
        </w:rPr>
        <w:t xml:space="preserve">  6、工程管线交叉时的最小垂直净距，应符合《城市工程管线综合规划规范》GB50289-2016第4.1.14条的规定</w:t>
      </w:r>
    </w:p>
    <w:p w14:paraId="6D74876C">
      <w:pPr>
        <w:numPr>
          <w:ilvl w:val="0"/>
          <w:numId w:val="3"/>
        </w:numPr>
        <w:autoSpaceDE w:val="0"/>
        <w:autoSpaceDN w:val="0"/>
        <w:adjustRightInd w:val="0"/>
        <w:spacing w:line="360" w:lineRule="auto"/>
        <w:jc w:val="left"/>
        <w:outlineLvl w:val="1"/>
        <w:rPr>
          <w:rFonts w:hint="eastAsia" w:ascii="黑体" w:hAnsi="黑体" w:eastAsia="黑体"/>
          <w:b/>
          <w:color w:val="000000" w:themeColor="text1"/>
          <w:kern w:val="0"/>
          <w:sz w:val="24"/>
          <w:szCs w:val="24"/>
          <w14:textFill>
            <w14:solidFill>
              <w14:schemeClr w14:val="tx1"/>
            </w14:solidFill>
          </w14:textFill>
        </w:rPr>
      </w:pPr>
      <w:r>
        <w:rPr>
          <w:rFonts w:ascii="黑体" w:hAnsi="黑体" w:eastAsia="黑体"/>
          <w:b/>
          <w:color w:val="000000" w:themeColor="text1"/>
          <w:kern w:val="0"/>
          <w:sz w:val="24"/>
          <w:szCs w:val="24"/>
          <w14:textFill>
            <w14:solidFill>
              <w14:schemeClr w14:val="tx1"/>
            </w14:solidFill>
          </w14:textFill>
        </w:rPr>
        <w:t>施工注意事项</w:t>
      </w:r>
    </w:p>
    <w:p w14:paraId="0049D3DA">
      <w:pPr>
        <w:spacing w:line="360" w:lineRule="auto"/>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施工单位在施工前，应理解设计图纸，根据实际的施工组织和施工设备情况，确定本单位施工步续的危大工程内容。针对危大工程，施工单位施工前应分析可能造成严重后果的危险源情况，编制专项施工方案，超过一定规模的危大工程还需进行专家论证。施工方案经专家论证通过后方可进行施工。严禁在安全生产条件不具备、隐患未排除、安全措施不到位，施工方案未通过的情况下施工。</w:t>
      </w:r>
    </w:p>
    <w:p w14:paraId="19A957F1">
      <w:pPr>
        <w:spacing w:line="360" w:lineRule="auto"/>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施工前必须认真阅读和研究与本工程有关的全部勘察资料，包括排污口测量、地下管线探测资料及工程地质详细勘察报告等，并以此为依据开展施工，不得直接利用本施工图上相关勘察数据，使用前必须进行复核。并应会同勘察单位、建设单位复核所有接驳口现状检查井的形式、坐标及高程，确保施工交接点顺利衔接。</w:t>
      </w:r>
    </w:p>
    <w:p w14:paraId="6E28DA18">
      <w:pPr>
        <w:spacing w:line="360" w:lineRule="auto"/>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、凡涉及轨道交通、铁路、高架桥、高速公路、电塔等特殊重要构筑物，高压燃气、输油管线、军用缆线、高压电缆等特种管线的，施工前均需征得权属部门同意，并做好安全措施。</w:t>
      </w:r>
    </w:p>
    <w:p w14:paraId="112D1BE6">
      <w:pPr>
        <w:spacing w:line="360" w:lineRule="auto"/>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穿越河道、铁路、桥梁、轨道交通等特殊重要构筑物的污水管道在施工前应查明工程场区周边状况，重视施工过程对周边环境可能造成的人员、构筑物破坏的安全影响，设计及施工方案需报主管部门审批后方可实施。。</w:t>
      </w:r>
    </w:p>
    <w:p w14:paraId="20EAE85E">
      <w:pPr>
        <w:spacing w:line="360" w:lineRule="auto"/>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、施工区离燃气、石油等易燃易爆管线较近的，施工前必须报相关部门进行安全确认，做好安全防护措施。</w:t>
      </w:r>
    </w:p>
    <w:p w14:paraId="2A1CBEC8">
      <w:pPr>
        <w:spacing w:line="360" w:lineRule="auto"/>
        <w:ind w:firstLine="420" w:firstLineChars="200"/>
        <w:rPr>
          <w:rFonts w:hint="eastAsia"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、施工区离</w:t>
      </w:r>
      <w:r>
        <w:rPr>
          <w:rFonts w:ascii="宋体" w:hAnsi="宋体"/>
          <w:color w:val="000000" w:themeColor="text1"/>
          <w:szCs w:val="21"/>
          <w14:textFill>
            <w14:solidFill>
              <w14:schemeClr w14:val="tx1"/>
            </w14:solidFill>
          </w14:textFill>
        </w:rPr>
        <w:t>10Kv</w:t>
      </w:r>
      <w:r>
        <w:rPr>
          <w:rFonts w:hint="eastAsia" w:ascii="宋体" w:hAnsi="宋体"/>
          <w:color w:val="000000" w:themeColor="text1"/>
          <w:szCs w:val="21"/>
          <w14:textFill>
            <w14:solidFill>
              <w14:schemeClr w14:val="tx1"/>
            </w14:solidFill>
          </w14:textFill>
        </w:rPr>
        <w:t>及以上电压等线电线较近的，施工前必须报当地供电部门进行安全确认，做好安全防护措施。</w:t>
      </w:r>
    </w:p>
    <w:p w14:paraId="06F01B77">
      <w:pPr>
        <w:numPr>
          <w:ilvl w:val="0"/>
          <w:numId w:val="3"/>
        </w:numPr>
        <w:autoSpaceDE w:val="0"/>
        <w:autoSpaceDN w:val="0"/>
        <w:adjustRightInd w:val="0"/>
        <w:spacing w:line="360" w:lineRule="auto"/>
        <w:jc w:val="left"/>
        <w:outlineLvl w:val="1"/>
        <w:rPr>
          <w:rFonts w:hint="eastAsia" w:ascii="黑体" w:hAnsi="黑体" w:eastAsia="黑体"/>
          <w:b/>
          <w:color w:val="000000" w:themeColor="text1"/>
          <w:kern w:val="0"/>
          <w:sz w:val="24"/>
          <w:szCs w:val="24"/>
          <w14:textFill>
            <w14:solidFill>
              <w14:schemeClr w14:val="tx1"/>
            </w14:solidFill>
          </w14:textFill>
        </w:rPr>
      </w:pPr>
      <w:r>
        <w:rPr>
          <w:rFonts w:hint="eastAsia" w:ascii="黑体" w:hAnsi="黑体" w:eastAsia="黑体"/>
          <w:b/>
          <w:color w:val="000000" w:themeColor="text1"/>
          <w:kern w:val="0"/>
          <w:sz w:val="24"/>
          <w:szCs w:val="24"/>
          <w14:textFill>
            <w14:solidFill>
              <w14:schemeClr w14:val="tx1"/>
            </w14:solidFill>
          </w14:textFill>
        </w:rPr>
        <w:t>安全技术要求</w:t>
      </w:r>
    </w:p>
    <w:p w14:paraId="7EDA6113">
      <w:pPr>
        <w:spacing w:line="360" w:lineRule="auto"/>
        <w:rPr>
          <w:color w:val="000000" w:themeColor="text1"/>
          <w:szCs w:val="21"/>
          <w14:textFill>
            <w14:solidFill>
              <w14:schemeClr w14:val="tx1"/>
            </w14:solidFill>
          </w14:textFill>
        </w:rPr>
      </w:pPr>
      <w:r>
        <w:rPr>
          <w:rFonts w:hint="eastAsia"/>
          <w:color w:val="000000" w:themeColor="text1"/>
          <w:kern w:val="0"/>
          <w:szCs w:val="21"/>
          <w14:textFill>
            <w14:solidFill>
              <w14:schemeClr w14:val="tx1"/>
            </w14:solidFill>
          </w14:textFill>
        </w:rPr>
        <w:t xml:space="preserve">    </w:t>
      </w:r>
      <w:r>
        <w:rPr>
          <w:rFonts w:hint="eastAsia"/>
          <w:color w:val="000000" w:themeColor="text1"/>
          <w:szCs w:val="21"/>
          <w14:textFill>
            <w14:solidFill>
              <w14:schemeClr w14:val="tx1"/>
            </w14:solidFill>
          </w14:textFill>
        </w:rPr>
        <w:t>1、给排水管道工程的施工应按设计及相关规范、规程要求进行，遵守有关施工安全、劳动保护、防火、防毒的法律、法规，建立安全管理体系和安全生产责任制，确保安全施工。</w:t>
      </w:r>
    </w:p>
    <w:p w14:paraId="53E2BA5D">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2、给排水管道工程的建设、养护、维修工程的作业现场应当设置明显标志和安全防护设施。</w:t>
      </w:r>
    </w:p>
    <w:p w14:paraId="0664237F">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3、给排水管道工程施工前必须对该道路地面下的管线进行详细的摸查，相距现有地下管线较近时，须会同相关单位对现有管线的保护、改线和迁移制定可行的方案。</w:t>
      </w:r>
    </w:p>
    <w:p w14:paraId="037A4861">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4、给排水管道敷设位置与房屋建筑距离较近时，应对房屋建筑进行鉴定，根据所需做好房屋支护，确保安全方可开挖施工。</w:t>
      </w:r>
    </w:p>
    <w:p w14:paraId="3DBBDA0F">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5、给排水管道工程施工期间应合理安排注意临时导水和排水设施，确保施工期间排水顺畅。</w:t>
      </w:r>
    </w:p>
    <w:p w14:paraId="6E7BFFA8">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6、给排水构筑物内的孔洞，应加设盖板或临时栏杆，防止人、物坠落。</w:t>
      </w:r>
    </w:p>
    <w:p w14:paraId="2EFCCD20">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7、检查井内易产生和积累有毒有害气体，下检查井清淤时应按照《广州市排水条例实施细则》的要求执行，通风充分，在确保安全的情况下人员才能下去。新、旧管道接驳时，应注意管道通风，确保检测沼气浓度在安全范围施工。</w:t>
      </w:r>
    </w:p>
    <w:p w14:paraId="538FB18E">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8、湿陷土、膨胀土、流砂地区的管道，必须经严密性试验合格后方可投入运行。</w:t>
      </w:r>
    </w:p>
    <w:p w14:paraId="13993CEE">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9、给排水管道的维护安全作业应严格按照《城镇供水管网运行、维护及安全技术规程》和《城乡排水工程项目规范》的要求执行。</w:t>
      </w:r>
    </w:p>
    <w:p w14:paraId="20BDC5D5">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10、管道采用开挖施工时，应严格按设计要求做好支护措施，防止管槽坍塌，确保管槽支护结构及周边的安全、稳定。尽量减少对周边环境及居民生产生活的影响，做到文明施工。</w:t>
      </w:r>
    </w:p>
    <w:p w14:paraId="24E6328D">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11、管道装卸及堆放时，必须设置防止管道滚动的定位块；在管槽内下管时，所用索具要牢固，管槽内不得有人。</w:t>
      </w:r>
    </w:p>
    <w:p w14:paraId="15A2D750">
      <w:pPr>
        <w:spacing w:line="360" w:lineRule="auto"/>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    12、其他未尽事宜，应按照相关安全生产的法律、法规执行。</w:t>
      </w:r>
    </w:p>
    <w:p w14:paraId="114FE485">
      <w:pPr>
        <w:numPr>
          <w:ilvl w:val="0"/>
          <w:numId w:val="3"/>
        </w:numPr>
        <w:autoSpaceDE w:val="0"/>
        <w:autoSpaceDN w:val="0"/>
        <w:adjustRightInd w:val="0"/>
        <w:spacing w:line="360" w:lineRule="auto"/>
        <w:ind w:left="0" w:firstLine="0"/>
        <w:jc w:val="left"/>
        <w:outlineLvl w:val="1"/>
        <w:rPr>
          <w:rFonts w:ascii="黑体" w:hAnsi="黑体" w:eastAsia="黑体"/>
          <w:b/>
          <w:color w:val="000000" w:themeColor="text1"/>
          <w:kern w:val="0"/>
          <w:sz w:val="24"/>
          <w:szCs w:val="24"/>
          <w14:textFill>
            <w14:solidFill>
              <w14:schemeClr w14:val="tx1"/>
            </w14:solidFill>
          </w14:textFill>
        </w:rPr>
      </w:pPr>
      <w:r>
        <w:rPr>
          <w:rFonts w:hint="eastAsia" w:ascii="黑体" w:hAnsi="黑体" w:eastAsia="黑体"/>
          <w:b/>
          <w:color w:val="000000" w:themeColor="text1"/>
          <w:kern w:val="0"/>
          <w:sz w:val="24"/>
          <w:szCs w:val="24"/>
          <w14:textFill>
            <w14:solidFill>
              <w14:schemeClr w14:val="tx1"/>
            </w14:solidFill>
          </w14:textFill>
        </w:rPr>
        <w:t>其他技术要求详见施工图设计图纸。</w:t>
      </w:r>
    </w:p>
    <w:p w14:paraId="35CC4162">
      <w:pPr>
        <w:spacing w:line="360" w:lineRule="auto"/>
        <w:ind w:firstLine="2" w:firstLineChars="200"/>
        <w:jc w:val="left"/>
        <w:rPr>
          <w:rFonts w:hint="eastAsia" w:ascii="黑体" w:hAnsi="黑体" w:eastAsia="黑体"/>
          <w:b/>
          <w:color w:val="000000" w:themeColor="text1"/>
          <w:w w:val="0"/>
          <w:sz w:val="28"/>
          <w:szCs w:val="28"/>
          <w14:textFill>
            <w14:solidFill>
              <w14:schemeClr w14:val="tx1"/>
            </w14:solidFill>
          </w14:textFill>
        </w:rPr>
      </w:pPr>
    </w:p>
    <w:p w14:paraId="1D1E639A">
      <w:pPr>
        <w:spacing w:line="360" w:lineRule="auto"/>
        <w:ind w:firstLine="2" w:firstLineChars="200"/>
        <w:jc w:val="left"/>
        <w:rPr>
          <w:rFonts w:hint="eastAsia" w:ascii="黑体" w:hAnsi="黑体" w:eastAsia="黑体"/>
          <w:b/>
          <w:color w:val="000000" w:themeColor="text1"/>
          <w:w w:val="0"/>
          <w:sz w:val="28"/>
          <w:szCs w:val="28"/>
          <w14:textFill>
            <w14:solidFill>
              <w14:schemeClr w14:val="tx1"/>
            </w14:solidFill>
          </w14:textFill>
        </w:rPr>
      </w:pPr>
    </w:p>
    <w:p w14:paraId="51247FBF">
      <w:pPr>
        <w:spacing w:line="360" w:lineRule="auto"/>
        <w:ind w:firstLine="2" w:firstLineChars="200"/>
        <w:jc w:val="left"/>
        <w:rPr>
          <w:color w:val="000000" w:themeColor="text1"/>
          <w:szCs w:val="21"/>
          <w14:textFill>
            <w14:solidFill>
              <w14:schemeClr w14:val="tx1"/>
            </w14:solidFill>
          </w14:textFill>
        </w:rPr>
      </w:pPr>
      <w:r>
        <w:rPr>
          <w:rFonts w:hint="eastAsia" w:ascii="黑体" w:hAnsi="黑体" w:eastAsia="黑体"/>
          <w:b/>
          <w:color w:val="000000" w:themeColor="text1"/>
          <w:w w:val="0"/>
          <w:sz w:val="28"/>
          <w:szCs w:val="28"/>
          <w14:textFill>
            <w14:solidFill>
              <w14:schemeClr w14:val="tx1"/>
            </w14:solidFill>
          </w14:textFill>
        </w:rPr>
        <w:t>注：本说明未尽事宜，按相关技术规范规程及区政府、区水务局、区水务工程建管中心最新规定执行。</w:t>
      </w:r>
    </w:p>
    <w:p w14:paraId="5D3E290A">
      <w:pPr>
        <w:spacing w:line="360" w:lineRule="auto"/>
        <w:rPr>
          <w:color w:val="000000" w:themeColor="text1"/>
          <w14:textFill>
            <w14:solidFill>
              <w14:schemeClr w14:val="tx1"/>
            </w14:solidFill>
          </w14:textFill>
        </w:rPr>
      </w:pPr>
    </w:p>
    <w:sectPr>
      <w:footerReference r:id="rId3"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6848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AF7135">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6AF7135">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3C2563"/>
    <w:multiLevelType w:val="singleLevel"/>
    <w:tmpl w:val="023C2563"/>
    <w:lvl w:ilvl="0" w:tentative="0">
      <w:start w:val="3"/>
      <w:numFmt w:val="chineseCounting"/>
      <w:suff w:val="space"/>
      <w:lvlText w:val="第%1部分"/>
      <w:lvlJc w:val="left"/>
      <w:rPr>
        <w:rFonts w:hint="eastAsia"/>
      </w:rPr>
    </w:lvl>
  </w:abstractNum>
  <w:abstractNum w:abstractNumId="1">
    <w:nsid w:val="087E087F"/>
    <w:multiLevelType w:val="multilevel"/>
    <w:tmpl w:val="087E087F"/>
    <w:lvl w:ilvl="0" w:tentative="0">
      <w:start w:val="1"/>
      <w:numFmt w:val="decimal"/>
      <w:lvlText w:val="%1."/>
      <w:lvlJc w:val="left"/>
      <w:pPr>
        <w:ind w:left="920" w:hanging="360"/>
      </w:pPr>
      <w:rPr>
        <w:rFonts w:hint="default" w:ascii="宋体" w:hAnsi="宋体" w:eastAsia="宋体"/>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159F1A37"/>
    <w:multiLevelType w:val="multilevel"/>
    <w:tmpl w:val="159F1A37"/>
    <w:lvl w:ilvl="0" w:tentative="0">
      <w:start w:val="1"/>
      <w:numFmt w:val="chineseCountingThousand"/>
      <w:suff w:val="nothing"/>
      <w:lvlText w:val="(%1)"/>
      <w:lvlJc w:val="left"/>
      <w:pPr>
        <w:ind w:left="420" w:hanging="420"/>
      </w:pPr>
      <w:rPr>
        <w:rFonts w:hint="eastAsia"/>
        <w:b w:val="0"/>
      </w:rPr>
    </w:lvl>
    <w:lvl w:ilvl="1" w:tentative="0">
      <w:start w:val="1"/>
      <w:numFmt w:val="japaneseCounting"/>
      <w:lvlText w:val="%2、"/>
      <w:lvlJc w:val="left"/>
      <w:pPr>
        <w:ind w:left="1140" w:hanging="720"/>
      </w:pPr>
      <w:rPr>
        <w:rFonts w:hint="default"/>
      </w:rPr>
    </w:lvl>
    <w:lvl w:ilvl="2" w:tentative="0">
      <w:start w:val="1"/>
      <w:numFmt w:val="decimal"/>
      <w:lvlText w:val="%3、"/>
      <w:lvlJc w:val="left"/>
      <w:pPr>
        <w:ind w:left="1320" w:hanging="480"/>
      </w:pPr>
      <w:rPr>
        <w:rFonts w:hint="default" w:eastAsia="黑体"/>
        <w:b w:val="0"/>
      </w:rPr>
    </w:lvl>
    <w:lvl w:ilvl="3" w:tentative="0">
      <w:start w:val="1"/>
      <w:numFmt w:val="japaneseCounting"/>
      <w:lvlText w:val="（%4）"/>
      <w:lvlJc w:val="left"/>
      <w:pPr>
        <w:ind w:left="2115" w:hanging="855"/>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D586D45"/>
    <w:multiLevelType w:val="multilevel"/>
    <w:tmpl w:val="1D586D45"/>
    <w:lvl w:ilvl="0" w:tentative="0">
      <w:start w:val="1"/>
      <w:numFmt w:val="decimal"/>
      <w:suff w:val="nothing"/>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34685DA"/>
    <w:multiLevelType w:val="multilevel"/>
    <w:tmpl w:val="634685DA"/>
    <w:lvl w:ilvl="0" w:tentative="0">
      <w:start w:val="1"/>
      <w:numFmt w:val="decimal"/>
      <w:lvlText w:val="%1."/>
      <w:lvlJc w:val="left"/>
      <w:pPr>
        <w:ind w:left="920" w:hanging="360"/>
      </w:pPr>
      <w:rPr>
        <w:rFonts w:hint="default" w:ascii="宋体" w:hAnsi="宋体" w:eastAsia="宋体"/>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65B7776A"/>
    <w:multiLevelType w:val="multilevel"/>
    <w:tmpl w:val="65B7776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467602C"/>
    <w:multiLevelType w:val="multilevel"/>
    <w:tmpl w:val="7467602C"/>
    <w:lvl w:ilvl="0" w:tentative="0">
      <w:start w:val="1"/>
      <w:numFmt w:val="decimal"/>
      <w:lvlText w:val="2.%1."/>
      <w:lvlJc w:val="left"/>
      <w:pPr>
        <w:ind w:left="420" w:hanging="420"/>
      </w:pPr>
      <w:rPr>
        <w:rFonts w:hint="eastAsia"/>
      </w:rPr>
    </w:lvl>
    <w:lvl w:ilvl="1" w:tentative="0">
      <w:start w:val="1"/>
      <w:numFmt w:val="decimal"/>
      <w:suff w:val="nothing"/>
      <w:lvlText w:val="2.%2."/>
      <w:lvlJc w:val="left"/>
      <w:pPr>
        <w:ind w:left="42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FmZWIzNDg2MmIzZjExOTIzMmViNTBmYTMwYTk0ZWYifQ=="/>
  </w:docVars>
  <w:rsids>
    <w:rsidRoot w:val="00172A27"/>
    <w:rsid w:val="000205DC"/>
    <w:rsid w:val="00047A9D"/>
    <w:rsid w:val="000534BD"/>
    <w:rsid w:val="00086404"/>
    <w:rsid w:val="000A576C"/>
    <w:rsid w:val="000B0AA3"/>
    <w:rsid w:val="000C3138"/>
    <w:rsid w:val="000D3FEE"/>
    <w:rsid w:val="000E0241"/>
    <w:rsid w:val="001012B4"/>
    <w:rsid w:val="00125890"/>
    <w:rsid w:val="00163558"/>
    <w:rsid w:val="0017187E"/>
    <w:rsid w:val="00172A27"/>
    <w:rsid w:val="00195561"/>
    <w:rsid w:val="001B799C"/>
    <w:rsid w:val="001E7A70"/>
    <w:rsid w:val="002141CF"/>
    <w:rsid w:val="00266682"/>
    <w:rsid w:val="00286C04"/>
    <w:rsid w:val="00290121"/>
    <w:rsid w:val="002B286E"/>
    <w:rsid w:val="00321E90"/>
    <w:rsid w:val="003268CB"/>
    <w:rsid w:val="00332391"/>
    <w:rsid w:val="00347EEF"/>
    <w:rsid w:val="003555FC"/>
    <w:rsid w:val="003872AB"/>
    <w:rsid w:val="00394D32"/>
    <w:rsid w:val="003C171A"/>
    <w:rsid w:val="003D11F4"/>
    <w:rsid w:val="003E0E46"/>
    <w:rsid w:val="003E76C0"/>
    <w:rsid w:val="003F7714"/>
    <w:rsid w:val="004116E7"/>
    <w:rsid w:val="00420B12"/>
    <w:rsid w:val="0045661C"/>
    <w:rsid w:val="00490C11"/>
    <w:rsid w:val="004C2854"/>
    <w:rsid w:val="004E1F9A"/>
    <w:rsid w:val="004E58F6"/>
    <w:rsid w:val="004F2506"/>
    <w:rsid w:val="005529ED"/>
    <w:rsid w:val="00573AFA"/>
    <w:rsid w:val="00595BDD"/>
    <w:rsid w:val="005A4E86"/>
    <w:rsid w:val="005C3230"/>
    <w:rsid w:val="005F6D6A"/>
    <w:rsid w:val="006039A2"/>
    <w:rsid w:val="00653D6C"/>
    <w:rsid w:val="00675790"/>
    <w:rsid w:val="00690D27"/>
    <w:rsid w:val="006914E1"/>
    <w:rsid w:val="006A376E"/>
    <w:rsid w:val="006B21F3"/>
    <w:rsid w:val="006D622D"/>
    <w:rsid w:val="006E43D4"/>
    <w:rsid w:val="00716C64"/>
    <w:rsid w:val="00720CAD"/>
    <w:rsid w:val="007B482E"/>
    <w:rsid w:val="007C0029"/>
    <w:rsid w:val="0081658A"/>
    <w:rsid w:val="008279B1"/>
    <w:rsid w:val="008409FC"/>
    <w:rsid w:val="008A0677"/>
    <w:rsid w:val="008D49F8"/>
    <w:rsid w:val="008E124E"/>
    <w:rsid w:val="009351E9"/>
    <w:rsid w:val="009363B9"/>
    <w:rsid w:val="00984E70"/>
    <w:rsid w:val="0099779F"/>
    <w:rsid w:val="009A7F69"/>
    <w:rsid w:val="00A4464F"/>
    <w:rsid w:val="00A8322B"/>
    <w:rsid w:val="00AA0CD0"/>
    <w:rsid w:val="00AA77C2"/>
    <w:rsid w:val="00AF5283"/>
    <w:rsid w:val="00B0498D"/>
    <w:rsid w:val="00B23EE8"/>
    <w:rsid w:val="00B31FE6"/>
    <w:rsid w:val="00B76E79"/>
    <w:rsid w:val="00B835E8"/>
    <w:rsid w:val="00BB4AF7"/>
    <w:rsid w:val="00C063A3"/>
    <w:rsid w:val="00C065C7"/>
    <w:rsid w:val="00C7408F"/>
    <w:rsid w:val="00CA6D6E"/>
    <w:rsid w:val="00CA7EF0"/>
    <w:rsid w:val="00CD7FD0"/>
    <w:rsid w:val="00CF786F"/>
    <w:rsid w:val="00D16939"/>
    <w:rsid w:val="00D170D3"/>
    <w:rsid w:val="00D43AC0"/>
    <w:rsid w:val="00D470E0"/>
    <w:rsid w:val="00DA0CED"/>
    <w:rsid w:val="00DB12A6"/>
    <w:rsid w:val="00DB74E1"/>
    <w:rsid w:val="00DD31D2"/>
    <w:rsid w:val="00DF4D91"/>
    <w:rsid w:val="00E02BDC"/>
    <w:rsid w:val="00E072CF"/>
    <w:rsid w:val="00E9725E"/>
    <w:rsid w:val="00EE4940"/>
    <w:rsid w:val="00F37641"/>
    <w:rsid w:val="00F54F3C"/>
    <w:rsid w:val="00FB027E"/>
    <w:rsid w:val="00FB7039"/>
    <w:rsid w:val="00FC02CE"/>
    <w:rsid w:val="00FC39FB"/>
    <w:rsid w:val="00FD2AC6"/>
    <w:rsid w:val="00FE0FF2"/>
    <w:rsid w:val="00FE2BD1"/>
    <w:rsid w:val="05314EE6"/>
    <w:rsid w:val="05C10A12"/>
    <w:rsid w:val="0C7D26F8"/>
    <w:rsid w:val="12546BA6"/>
    <w:rsid w:val="14BC16A3"/>
    <w:rsid w:val="1ED43392"/>
    <w:rsid w:val="2EAF08C9"/>
    <w:rsid w:val="31B464F5"/>
    <w:rsid w:val="324C1B91"/>
    <w:rsid w:val="34F41DCA"/>
    <w:rsid w:val="36D74A3D"/>
    <w:rsid w:val="3D856C07"/>
    <w:rsid w:val="43333EE2"/>
    <w:rsid w:val="4A8F50B6"/>
    <w:rsid w:val="4C850F79"/>
    <w:rsid w:val="506E5934"/>
    <w:rsid w:val="581B2BB2"/>
    <w:rsid w:val="628A3F58"/>
    <w:rsid w:val="69494393"/>
    <w:rsid w:val="69FF3184"/>
    <w:rsid w:val="6B65596D"/>
    <w:rsid w:val="6F757EAA"/>
    <w:rsid w:val="7AA31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Body Text"/>
    <w:basedOn w:val="1"/>
    <w:next w:val="1"/>
    <w:qFormat/>
    <w:uiPriority w:val="99"/>
    <w:pPr>
      <w:adjustRightInd w:val="0"/>
      <w:snapToGrid w:val="0"/>
      <w:spacing w:line="180" w:lineRule="atLeast"/>
      <w:textAlignment w:val="baseline"/>
    </w:pPr>
    <w:rPr>
      <w:kern w:val="0"/>
      <w:sz w:val="24"/>
      <w:szCs w:val="20"/>
    </w:rPr>
  </w:style>
  <w:style w:type="paragraph" w:styleId="4">
    <w:name w:val="annotation text"/>
    <w:basedOn w:val="1"/>
    <w:qFormat/>
    <w:uiPriority w:val="0"/>
    <w:pPr>
      <w:jc w:val="left"/>
    </w:pPr>
  </w:style>
  <w:style w:type="paragraph" w:styleId="5">
    <w:name w:val="Plain Text"/>
    <w:basedOn w:val="1"/>
    <w:next w:val="1"/>
    <w:qFormat/>
    <w:uiPriority w:val="99"/>
    <w:rPr>
      <w:rFonts w:ascii="宋体" w:hAnsi="Courier New" w:eastAsia="楷体_GB2312"/>
      <w:kern w:val="0"/>
      <w:sz w:val="20"/>
      <w:szCs w:val="24"/>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0"/>
    <w:rPr>
      <w:rFonts w:ascii="Times New Roman" w:hAnsi="Times New Roman" w:eastAsia="宋体" w:cs="Times New Roman"/>
      <w:kern w:val="2"/>
      <w:sz w:val="18"/>
      <w:szCs w:val="18"/>
    </w:rPr>
  </w:style>
  <w:style w:type="character" w:customStyle="1" w:styleId="11">
    <w:name w:val="页脚 字符"/>
    <w:basedOn w:val="9"/>
    <w:link w:val="6"/>
    <w:qFormat/>
    <w:uiPriority w:val="0"/>
    <w:rPr>
      <w:rFonts w:ascii="Times New Roman" w:hAnsi="Times New Roman" w:eastAsia="宋体" w:cs="Times New Roman"/>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13829</Words>
  <Characters>15060</Characters>
  <Lines>202</Lines>
  <Paragraphs>57</Paragraphs>
  <TotalTime>15</TotalTime>
  <ScaleCrop>false</ScaleCrop>
  <LinksUpToDate>false</LinksUpToDate>
  <CharactersWithSpaces>15750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2024-09-05T08:15:00Z</dcterms:created>
  <dc:creator>Lenovo</dc:creator>
  <cp:lastModifiedBy>m...oooort </cp:lastModifiedBy>
  <dcterms:modified xsi:type="dcterms:W3CDTF">2025-03-18T04:59:37Z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2711DCE07F2E42339170943685E9AF4E_13</vt:lpwstr>
  </property>
</Properties>
</file>