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F9FB6">
      <w:pPr>
        <w:numPr>
          <w:ilvl w:val="0"/>
          <w:numId w:val="1"/>
        </w:numPr>
        <w:autoSpaceDE w:val="0"/>
        <w:autoSpaceDN w:val="0"/>
        <w:adjustRightIn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bookmarkStart w:id="3" w:name="_GoBack"/>
      <w:r>
        <w:rPr>
          <w:rFonts w:hint="eastAsia" w:ascii="宋体" w:hAnsi="宋体" w:cs="宋体"/>
          <w:b/>
          <w:color w:val="auto"/>
          <w:kern w:val="0"/>
          <w:sz w:val="32"/>
          <w:szCs w:val="32"/>
          <w:highlight w:val="none"/>
        </w:rPr>
        <w:t>评标办法</w:t>
      </w:r>
      <w:bookmarkEnd w:id="3"/>
    </w:p>
    <w:p w14:paraId="73716CC7">
      <w:pPr>
        <w:autoSpaceDE w:val="0"/>
        <w:autoSpaceDN w:val="0"/>
        <w:adjustRightIn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（双信封的技术评分最低标价法）</w:t>
      </w:r>
    </w:p>
    <w:p w14:paraId="15E39D82">
      <w:pPr>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评标办法前附表</w:t>
      </w:r>
    </w:p>
    <w:tbl>
      <w:tblPr>
        <w:tblStyle w:val="5"/>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6"/>
        <w:gridCol w:w="1267"/>
        <w:gridCol w:w="6322"/>
      </w:tblGrid>
      <w:tr w14:paraId="0ADA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203" w:type="pct"/>
            <w:gridSpan w:val="2"/>
            <w:noWrap w:val="0"/>
            <w:vAlign w:val="center"/>
          </w:tcPr>
          <w:p w14:paraId="0095CD2F">
            <w:pPr>
              <w:pStyle w:val="8"/>
              <w:widowControl/>
              <w:kinsoku w:val="0"/>
              <w:autoSpaceDE w:val="0"/>
              <w:autoSpaceDN w:val="0"/>
              <w:adjustRightInd w:val="0"/>
              <w:snapToGrid w:val="0"/>
              <w:spacing w:before="133" w:line="360" w:lineRule="auto"/>
              <w:jc w:val="center"/>
              <w:textAlignment w:val="baseline"/>
              <w:rPr>
                <w:rFonts w:hint="eastAsia"/>
                <w:b/>
                <w:bCs/>
                <w:color w:val="auto"/>
                <w:highlight w:val="none"/>
                <w:lang w:eastAsia="zh-CN"/>
              </w:rPr>
            </w:pPr>
            <w:r>
              <w:rPr>
                <w:rFonts w:hint="eastAsia"/>
                <w:b/>
                <w:bCs/>
                <w:color w:val="auto"/>
                <w:highlight w:val="none"/>
                <w:lang w:eastAsia="zh-CN"/>
              </w:rPr>
              <w:t>条款号</w:t>
            </w:r>
          </w:p>
        </w:tc>
        <w:tc>
          <w:tcPr>
            <w:tcW w:w="3796" w:type="pct"/>
            <w:noWrap w:val="0"/>
            <w:vAlign w:val="center"/>
          </w:tcPr>
          <w:p w14:paraId="44F51EE0">
            <w:pPr>
              <w:pStyle w:val="8"/>
              <w:widowControl/>
              <w:kinsoku w:val="0"/>
              <w:autoSpaceDE w:val="0"/>
              <w:autoSpaceDN w:val="0"/>
              <w:adjustRightInd w:val="0"/>
              <w:snapToGrid w:val="0"/>
              <w:spacing w:before="133" w:line="360" w:lineRule="auto"/>
              <w:ind w:left="2346"/>
              <w:textAlignment w:val="baseline"/>
              <w:rPr>
                <w:rFonts w:hint="eastAsia"/>
                <w:b/>
                <w:bCs/>
                <w:color w:val="auto"/>
                <w:highlight w:val="none"/>
                <w:lang w:eastAsia="zh-CN"/>
              </w:rPr>
            </w:pPr>
            <w:r>
              <w:rPr>
                <w:rFonts w:hint="eastAsia"/>
                <w:b/>
                <w:bCs/>
                <w:color w:val="auto"/>
                <w:highlight w:val="none"/>
                <w:lang w:eastAsia="zh-CN"/>
              </w:rPr>
              <w:t>评审因素与评审标准</w:t>
            </w:r>
          </w:p>
        </w:tc>
      </w:tr>
      <w:tr w14:paraId="7B14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4" w:hRule="atLeast"/>
        </w:trPr>
        <w:tc>
          <w:tcPr>
            <w:tcW w:w="442" w:type="pct"/>
            <w:noWrap w:val="0"/>
            <w:vAlign w:val="center"/>
          </w:tcPr>
          <w:p w14:paraId="3A94C598">
            <w:pPr>
              <w:widowControl/>
              <w:kinsoku w:val="0"/>
              <w:autoSpaceDE w:val="0"/>
              <w:autoSpaceDN w:val="0"/>
              <w:adjustRightInd w:val="0"/>
              <w:snapToGrid w:val="0"/>
              <w:spacing w:before="57"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1</w:t>
            </w:r>
          </w:p>
        </w:tc>
        <w:tc>
          <w:tcPr>
            <w:tcW w:w="761" w:type="pct"/>
            <w:noWrap w:val="0"/>
            <w:vAlign w:val="center"/>
          </w:tcPr>
          <w:p w14:paraId="44CEBF20">
            <w:pPr>
              <w:pStyle w:val="8"/>
              <w:widowControl/>
              <w:kinsoku w:val="0"/>
              <w:autoSpaceDE w:val="0"/>
              <w:autoSpaceDN w:val="0"/>
              <w:adjustRightInd w:val="0"/>
              <w:snapToGrid w:val="0"/>
              <w:spacing w:before="71" w:line="360" w:lineRule="auto"/>
              <w:jc w:val="center"/>
              <w:textAlignment w:val="baseline"/>
              <w:rPr>
                <w:rFonts w:hint="eastAsia"/>
                <w:color w:val="auto"/>
                <w:highlight w:val="none"/>
                <w:lang w:eastAsia="zh-CN"/>
              </w:rPr>
            </w:pPr>
            <w:r>
              <w:rPr>
                <w:rFonts w:hint="eastAsia"/>
                <w:color w:val="auto"/>
                <w:highlight w:val="none"/>
                <w:lang w:eastAsia="zh-CN"/>
              </w:rPr>
              <w:t>评标方法</w:t>
            </w:r>
          </w:p>
        </w:tc>
        <w:tc>
          <w:tcPr>
            <w:tcW w:w="3796" w:type="pct"/>
            <w:noWrap w:val="0"/>
            <w:vAlign w:val="center"/>
          </w:tcPr>
          <w:p w14:paraId="58AFBD7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评标价相等时，评标委员会依次按照以下优先顺序推荐中标候选人或确定中标人：</w:t>
            </w:r>
          </w:p>
          <w:p w14:paraId="7305EA14">
            <w:pPr>
              <w:pStyle w:val="8"/>
              <w:widowControl/>
              <w:numPr>
                <w:ilvl w:val="0"/>
                <w:numId w:val="2"/>
              </w:numPr>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按招标文件规定被认定为最新年度广东省公路工程从业单位信用评价等级较高的投标人优先</w:t>
            </w:r>
            <w:r>
              <w:rPr>
                <w:rStyle w:val="7"/>
                <w:rFonts w:hint="eastAsia"/>
                <w:color w:val="auto"/>
                <w:highlight w:val="none"/>
                <w:lang w:eastAsia="zh-CN"/>
              </w:rPr>
              <w:footnoteReference w:id="0"/>
            </w:r>
            <w:r>
              <w:rPr>
                <w:rFonts w:hint="eastAsia"/>
                <w:color w:val="auto"/>
                <w:highlight w:val="none"/>
                <w:lang w:eastAsia="zh-CN"/>
              </w:rPr>
              <w:t>；</w:t>
            </w:r>
          </w:p>
          <w:p w14:paraId="24057C0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【采用如下的优先顺序：承诺使用的AA级投标人、不承诺使用的AA级投标人、承诺使用的A级投标人、不承诺使用的A级投标人、B级投标人、未参评且被确定为B级投标人】</w:t>
            </w:r>
          </w:p>
          <w:p w14:paraId="5DA1A04C">
            <w:pPr>
              <w:pStyle w:val="8"/>
              <w:widowControl/>
              <w:numPr>
                <w:ilvl w:val="0"/>
                <w:numId w:val="2"/>
              </w:numPr>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以投标人企业最新年度净资产较高的优先；</w:t>
            </w:r>
          </w:p>
          <w:p w14:paraId="01361B6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（3）评标委员会视投标人情况综合比较，投票确定其名次。</w:t>
            </w:r>
          </w:p>
        </w:tc>
      </w:tr>
      <w:tr w14:paraId="3E59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2EB68E0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w:t>
            </w:r>
          </w:p>
          <w:p w14:paraId="1F6F56A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w:t>
            </w:r>
          </w:p>
        </w:tc>
        <w:tc>
          <w:tcPr>
            <w:tcW w:w="761" w:type="pct"/>
            <w:noWrap w:val="0"/>
            <w:vAlign w:val="center"/>
          </w:tcPr>
          <w:p w14:paraId="68E55E49">
            <w:pPr>
              <w:pStyle w:val="8"/>
              <w:widowControl/>
              <w:kinsoku w:val="0"/>
              <w:autoSpaceDE w:val="0"/>
              <w:autoSpaceDN w:val="0"/>
              <w:adjustRightInd w:val="0"/>
              <w:snapToGrid w:val="0"/>
              <w:spacing w:before="65" w:line="360" w:lineRule="auto"/>
              <w:ind w:left="131" w:right="106" w:hanging="8"/>
              <w:jc w:val="center"/>
              <w:textAlignment w:val="baseline"/>
              <w:rPr>
                <w:rFonts w:hint="eastAsia"/>
                <w:color w:val="auto"/>
                <w:highlight w:val="none"/>
                <w:lang w:eastAsia="zh-CN"/>
              </w:rPr>
            </w:pPr>
            <w:r>
              <w:rPr>
                <w:rFonts w:hint="eastAsia"/>
                <w:color w:val="auto"/>
                <w:highlight w:val="none"/>
                <w:lang w:eastAsia="zh-CN"/>
              </w:rPr>
              <w:t>形式评审与响应性评审标准</w:t>
            </w:r>
          </w:p>
        </w:tc>
        <w:tc>
          <w:tcPr>
            <w:tcW w:w="3796" w:type="pct"/>
            <w:noWrap w:val="0"/>
            <w:vAlign w:val="center"/>
          </w:tcPr>
          <w:p w14:paraId="21F29D80">
            <w:pPr>
              <w:pStyle w:val="8"/>
              <w:widowControl/>
              <w:kinsoku w:val="0"/>
              <w:autoSpaceDE w:val="0"/>
              <w:autoSpaceDN w:val="0"/>
              <w:adjustRightInd w:val="0"/>
              <w:snapToGrid w:val="0"/>
              <w:spacing w:before="34" w:line="360" w:lineRule="auto"/>
              <w:ind w:left="231"/>
              <w:textAlignment w:val="baseline"/>
              <w:rPr>
                <w:rFonts w:hint="eastAsia"/>
                <w:b/>
                <w:bCs/>
                <w:color w:val="auto"/>
                <w:highlight w:val="none"/>
                <w:lang w:eastAsia="zh-CN"/>
              </w:rPr>
            </w:pPr>
            <w:r>
              <w:rPr>
                <w:rFonts w:hint="eastAsia"/>
                <w:b/>
                <w:bCs/>
                <w:color w:val="auto"/>
                <w:highlight w:val="none"/>
                <w:lang w:eastAsia="zh-CN"/>
              </w:rPr>
              <w:t>第一个信封（商务及技术文件）评审标准：</w:t>
            </w:r>
          </w:p>
          <w:p w14:paraId="0CAE4A6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（1）投标文件按照招标文件规定的格式、内容填写，字迹清晰可辨：</w:t>
            </w:r>
          </w:p>
          <w:p w14:paraId="2E071CF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a.投标函按招标文件规定填报了项目名称、标段号、补遗书编号（如有）、工期、工程质量要求及安全目标；</w:t>
            </w:r>
          </w:p>
          <w:p w14:paraId="28E9E63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b.投标函附录的所有数据均符合招标文件规定；</w:t>
            </w:r>
          </w:p>
          <w:p w14:paraId="5BB2E12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c.投标文件组成齐全完整，内容均按规定填写。</w:t>
            </w:r>
          </w:p>
          <w:p w14:paraId="68D712E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（2）投标文件上法定代表人或其委托代理人的签字、项目经理及项目总工的签字、投标人的单位章盖章齐全，符合招标文件规定。</w:t>
            </w:r>
          </w:p>
          <w:p w14:paraId="0425E55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（3）投标人按照招标文件的规定提供了投标保证金：</w:t>
            </w:r>
          </w:p>
          <w:p w14:paraId="1EC7FE3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a.投标保证金金额符合招标文件规定的金额，且投标保证金有效期不少于投标有效期；</w:t>
            </w:r>
          </w:p>
          <w:p w14:paraId="6A8A15B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b.若投标保证金采用现金或支票形式提交，投标人应在投标人须知3.4.1款规定的时间，将投标保证金由投标人的基本账户转入招标人指定账户；</w:t>
            </w:r>
          </w:p>
          <w:p w14:paraId="66AA2EB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c.若投标保证金采用银行保函或保证保险形式或投标人须知前附表3.4.1项规定的其他形式提交，应满足招标文件要求。</w:t>
            </w:r>
          </w:p>
          <w:p w14:paraId="1F9742D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（4）投标人法定代表人授权委托代理人签署投标文件的，需提交授权委托书，且授权人和被授权人均在授权委托书上签名，未使用印章、签名章或其他电子制版签名代替。</w:t>
            </w:r>
          </w:p>
          <w:p w14:paraId="44415EC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（5）投标人法定代表人亲自签署投标文件的，提供了法定代表人身份证明，且法定代表人在法定代表人身份证明上签名，未使用印章、签名章或其他电子制版签名代替。</w:t>
            </w:r>
          </w:p>
          <w:p w14:paraId="3B0B1752">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（6）投标人未以联合体形式投标。</w:t>
            </w:r>
          </w:p>
          <w:p w14:paraId="220A2FD3">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如投标人不具备拟分包工程所需的某专项工程相应资质或投标人如有分包计划，符合招标文件第二章“投标人须知”第1.11款规定，且按招标文件第九章“投标文件格式”的要求填写了“拟分包项目情况表”。</w:t>
            </w:r>
          </w:p>
          <w:p w14:paraId="499B32E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（8）同一投标人未提交两个以上不同的投标文件，但招标文件要求提交备选投标的除外。</w:t>
            </w:r>
          </w:p>
          <w:p w14:paraId="6FE66DD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（9）投标文件中未出现有关投标报价的内容。</w:t>
            </w:r>
          </w:p>
          <w:p w14:paraId="49337271">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（10）投标文件载明的招标项目完成期限未超过招标文件规定的时限。</w:t>
            </w:r>
          </w:p>
          <w:p w14:paraId="1B744F5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（11）投标文件对招标文件的实质性要求和条件作出响应。</w:t>
            </w:r>
          </w:p>
          <w:p w14:paraId="5690B32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（12）权利义务符合招标文件规定：</w:t>
            </w:r>
          </w:p>
          <w:p w14:paraId="784D276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a.投标人应接受招标文件规定的风险划分原则，未提出新的风险划分办法；</w:t>
            </w:r>
          </w:p>
          <w:p w14:paraId="1C934E6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b.投标人未增加发包人的责任范围，或减少投标人义务；</w:t>
            </w:r>
          </w:p>
          <w:p w14:paraId="6BAFAA5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c.投标人未提出不同的工程验收、计量、支付办法；</w:t>
            </w:r>
          </w:p>
          <w:p w14:paraId="2899F5E2">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d.投标人对合同纠纷、事故处理办法未提出异议；</w:t>
            </w:r>
          </w:p>
          <w:p w14:paraId="4E6CF0A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e.投标人在投标活动中无欺诈行为；</w:t>
            </w:r>
          </w:p>
          <w:p w14:paraId="5153BE0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f.投标人未对合同条款有重要保留。</w:t>
            </w:r>
          </w:p>
          <w:p w14:paraId="68C7EF9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（13）投标文件正、副本份数符合招标文件第二章“投标人须知”第3.7.4项规定。</w:t>
            </w:r>
          </w:p>
          <w:p w14:paraId="09DBB32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（14）投标文件未附有招标人不能接受的条件。</w:t>
            </w:r>
          </w:p>
          <w:p w14:paraId="16237BA8">
            <w:pPr>
              <w:pStyle w:val="8"/>
              <w:widowControl/>
              <w:kinsoku w:val="0"/>
              <w:autoSpaceDE w:val="0"/>
              <w:autoSpaceDN w:val="0"/>
              <w:adjustRightInd w:val="0"/>
              <w:snapToGrid w:val="0"/>
              <w:spacing w:before="168" w:line="360" w:lineRule="auto"/>
              <w:ind w:left="449"/>
              <w:textAlignment w:val="baseline"/>
              <w:rPr>
                <w:rFonts w:hint="eastAsia"/>
                <w:b/>
                <w:bCs/>
                <w:color w:val="auto"/>
                <w:highlight w:val="none"/>
                <w:lang w:eastAsia="zh-CN"/>
              </w:rPr>
            </w:pPr>
            <w:r>
              <w:rPr>
                <w:rFonts w:hint="eastAsia"/>
                <w:b/>
                <w:bCs/>
                <w:color w:val="auto"/>
                <w:highlight w:val="none"/>
                <w:lang w:eastAsia="zh-CN"/>
              </w:rPr>
              <w:t>第二个信封（报价文件）评审标准：</w:t>
            </w:r>
          </w:p>
          <w:p w14:paraId="383B321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（1）投标文件按照招标文件规定的格式、内容填写，字迹清晰可辨：</w:t>
            </w:r>
          </w:p>
          <w:p w14:paraId="230275B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a.投标函按招标文件规定填报了项目名称、标段号、补遗书编号（如有）、投标价（包括大写金额和小写金额）；</w:t>
            </w:r>
          </w:p>
          <w:p w14:paraId="4A28AC1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b.已标价工程量清单说明文字与招标文件规定一致，未进行实质性修</w:t>
            </w:r>
          </w:p>
          <w:p w14:paraId="5DAE891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改和删减；</w:t>
            </w:r>
          </w:p>
          <w:p w14:paraId="07C8F4B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c.投标文件组成齐全完整，内容均按规定填写。</w:t>
            </w:r>
          </w:p>
          <w:p w14:paraId="66FFC72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（2）投标文件上法定代表人或其委托代理人的签字、投标人的单位章盖章齐全，符合招标文件规定。</w:t>
            </w:r>
          </w:p>
          <w:p w14:paraId="485B1E8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（3）投标总报价未超过招标文件设定的最高投标限价（如有）及最高评标限价(如有)。</w:t>
            </w:r>
          </w:p>
          <w:p w14:paraId="75DAD6A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（4）投标总报价或调价函中报价的大写金额能够确定具体数值。</w:t>
            </w:r>
          </w:p>
          <w:p w14:paraId="4F003C8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（5）同一投标人未提交两个以上不同的投标报价，但招标文件要求提交备选投标的除外。</w:t>
            </w:r>
          </w:p>
          <w:p w14:paraId="6284446F">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（6）投标人若提交调价函，调价函符合招标文件第二章“投标人须知”第3.2.6项要求。</w:t>
            </w:r>
          </w:p>
          <w:p w14:paraId="2D42C903">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（7）投标人若填写工程量固化清单，填写完毕的工程量固化清单未对工程量固化清单电子文件中的数据、格式和运算定义进行修改；工程量固化清单中的投标总报价和投标函大写金额报价一致。</w:t>
            </w:r>
          </w:p>
          <w:p w14:paraId="41CFE24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（8）投标文件正、副本份数符合招标文件第二章“投标人须知”第3.7.4项规定。</w:t>
            </w:r>
          </w:p>
        </w:tc>
      </w:tr>
      <w:tr w14:paraId="758E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511D0D80">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2.1.2</w:t>
            </w:r>
          </w:p>
        </w:tc>
        <w:tc>
          <w:tcPr>
            <w:tcW w:w="761" w:type="pct"/>
            <w:noWrap w:val="0"/>
            <w:vAlign w:val="center"/>
          </w:tcPr>
          <w:p w14:paraId="5EF5509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3796" w:type="pct"/>
            <w:noWrap w:val="0"/>
            <w:vAlign w:val="center"/>
          </w:tcPr>
          <w:p w14:paraId="2057352F">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34F7814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（2）投标人的资质等级符合招标文件规定；</w:t>
            </w:r>
          </w:p>
          <w:p w14:paraId="727ACAE1">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（3）投标人的财务状况符合招标文件规定；</w:t>
            </w:r>
          </w:p>
          <w:p w14:paraId="5B3F1173">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（4）投标人的类似工程项目业绩符合招标文件规定；</w:t>
            </w:r>
          </w:p>
          <w:p w14:paraId="1E5DD87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（5）投标人的信誉符合招标文件规定；</w:t>
            </w:r>
          </w:p>
          <w:p w14:paraId="289531F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（6）投标人的项目经理和项目总工资格（均含备选，如有）、在岗情况符合招标文件规定，并按规定在投标文件中签字确认；</w:t>
            </w:r>
          </w:p>
          <w:p w14:paraId="215943B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（7）投标人的其他要求符合招标文件规定；</w:t>
            </w:r>
          </w:p>
          <w:p w14:paraId="4649405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（8）投标人不存在第二章“投标人须知”第1.4.3项或第1.4.4项规定的任何一种情形；</w:t>
            </w:r>
          </w:p>
          <w:p w14:paraId="5DC74F3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（9）投标人符合第二章“投标人须知”第1.4.5项规定；</w:t>
            </w:r>
            <w:r>
              <w:rPr>
                <w:rStyle w:val="7"/>
                <w:rFonts w:hint="eastAsia"/>
                <w:color w:val="auto"/>
                <w:highlight w:val="none"/>
                <w:lang w:eastAsia="zh-CN"/>
              </w:rPr>
              <w:footnoteReference w:id="1"/>
            </w:r>
          </w:p>
        </w:tc>
      </w:tr>
      <w:tr w14:paraId="3F1D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07CB946D">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761" w:type="pct"/>
            <w:noWrap w:val="0"/>
            <w:vAlign w:val="center"/>
          </w:tcPr>
          <w:p w14:paraId="3163169C">
            <w:pPr>
              <w:pStyle w:val="8"/>
              <w:widowControl/>
              <w:kinsoku w:val="0"/>
              <w:autoSpaceDE w:val="0"/>
              <w:autoSpaceDN w:val="0"/>
              <w:adjustRightInd w:val="0"/>
              <w:snapToGrid w:val="0"/>
              <w:spacing w:before="62" w:line="360" w:lineRule="auto"/>
              <w:ind w:left="144" w:right="131" w:hanging="100"/>
              <w:jc w:val="center"/>
              <w:textAlignment w:val="baseline"/>
              <w:rPr>
                <w:rFonts w:hint="eastAsia"/>
                <w:color w:val="auto"/>
                <w:highlight w:val="none"/>
                <w:lang w:eastAsia="zh-CN"/>
              </w:rPr>
            </w:pPr>
            <w:r>
              <w:rPr>
                <w:rFonts w:hint="eastAsia"/>
                <w:color w:val="auto"/>
                <w:highlight w:val="none"/>
                <w:lang w:eastAsia="zh-CN"/>
              </w:rPr>
              <w:t>第一个信封评分分值构成（总分100分）</w:t>
            </w:r>
          </w:p>
        </w:tc>
        <w:tc>
          <w:tcPr>
            <w:tcW w:w="3796" w:type="pct"/>
            <w:noWrap w:val="0"/>
            <w:vAlign w:val="center"/>
          </w:tcPr>
          <w:p w14:paraId="26CC639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施工组织设计（A）：</w:t>
            </w:r>
            <w:r>
              <w:rPr>
                <w:rFonts w:hint="eastAsia"/>
                <w:color w:val="auto"/>
                <w:highlight w:val="none"/>
                <w:u w:val="single"/>
                <w:lang w:eastAsia="zh-CN"/>
              </w:rPr>
              <w:t>40分</w:t>
            </w:r>
          </w:p>
          <w:p w14:paraId="4220407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主要人员(B)：</w:t>
            </w:r>
            <w:r>
              <w:rPr>
                <w:rFonts w:hint="eastAsia"/>
                <w:color w:val="auto"/>
                <w:highlight w:val="none"/>
                <w:u w:val="single"/>
                <w:lang w:eastAsia="zh-CN"/>
              </w:rPr>
              <w:t>30分</w:t>
            </w:r>
          </w:p>
          <w:p w14:paraId="7A68376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其他因素（C）</w:t>
            </w:r>
          </w:p>
          <w:p w14:paraId="48AB2AF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技术能力</w:t>
            </w:r>
            <w:r>
              <w:rPr>
                <w:rStyle w:val="7"/>
                <w:rFonts w:hint="eastAsia" w:ascii="Times New Roman" w:hAnsi="Times New Roman" w:cs="Times New Roman"/>
                <w:color w:val="auto"/>
                <w:highlight w:val="none"/>
                <w:lang w:eastAsia="zh-CN"/>
              </w:rPr>
              <w:footnoteReference w:id="2"/>
            </w:r>
            <w:r>
              <w:rPr>
                <w:rFonts w:hint="eastAsia"/>
                <w:color w:val="auto"/>
                <w:highlight w:val="none"/>
                <w:lang w:eastAsia="zh-CN"/>
              </w:rPr>
              <w:t>：</w:t>
            </w:r>
            <w:r>
              <w:rPr>
                <w:rFonts w:hint="eastAsia"/>
                <w:color w:val="auto"/>
                <w:highlight w:val="none"/>
                <w:u w:val="single"/>
                <w:lang w:eastAsia="zh-CN"/>
              </w:rPr>
              <w:t>15分</w:t>
            </w:r>
          </w:p>
          <w:p w14:paraId="56EDEE2A">
            <w:pPr>
              <w:pStyle w:val="8"/>
              <w:widowControl/>
              <w:kinsoku w:val="0"/>
              <w:autoSpaceDE w:val="0"/>
              <w:autoSpaceDN w:val="0"/>
              <w:adjustRightInd w:val="0"/>
              <w:snapToGrid w:val="0"/>
              <w:spacing w:before="31" w:line="360" w:lineRule="auto"/>
              <w:ind w:right="48"/>
              <w:textAlignment w:val="baseline"/>
              <w:rPr>
                <w:rFonts w:hint="eastAsia"/>
                <w:color w:val="auto"/>
                <w:spacing w:val="-1"/>
                <w:highlight w:val="none"/>
                <w:lang w:eastAsia="zh-CN"/>
              </w:rPr>
            </w:pPr>
            <w:r>
              <w:rPr>
                <w:rFonts w:hint="eastAsia"/>
                <w:color w:val="auto"/>
                <w:highlight w:val="none"/>
                <w:lang w:eastAsia="zh-CN"/>
              </w:rPr>
              <w:t>履约信誉：</w:t>
            </w:r>
            <w:r>
              <w:rPr>
                <w:rFonts w:hint="eastAsia"/>
                <w:color w:val="auto"/>
                <w:highlight w:val="none"/>
                <w:u w:val="single"/>
                <w:lang w:eastAsia="zh-CN"/>
              </w:rPr>
              <w:t>15分</w:t>
            </w:r>
          </w:p>
        </w:tc>
      </w:tr>
      <w:tr w14:paraId="2877E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5" w:hRule="atLeast"/>
        </w:trPr>
        <w:tc>
          <w:tcPr>
            <w:tcW w:w="442" w:type="pct"/>
            <w:noWrap w:val="0"/>
            <w:vAlign w:val="center"/>
          </w:tcPr>
          <w:p w14:paraId="1C950F43">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761" w:type="pct"/>
            <w:noWrap w:val="0"/>
            <w:vAlign w:val="center"/>
          </w:tcPr>
          <w:p w14:paraId="6462571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第二个信封详细评审标准</w:t>
            </w:r>
          </w:p>
        </w:tc>
        <w:tc>
          <w:tcPr>
            <w:tcW w:w="3796" w:type="pct"/>
            <w:noWrap w:val="0"/>
            <w:vAlign w:val="center"/>
          </w:tcPr>
          <w:p w14:paraId="0006F1A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评标价的评审:</w:t>
            </w:r>
          </w:p>
          <w:p w14:paraId="02BC032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(1)评标价计算公式:</w:t>
            </w:r>
          </w:p>
          <w:p w14:paraId="49BC4BB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评标价=修正后投标总报价-暂估价-暂列金额（不含计日工总额）</w:t>
            </w:r>
            <w:r>
              <w:rPr>
                <w:rStyle w:val="7"/>
                <w:rFonts w:hint="eastAsia" w:ascii="Times New Roman" w:hAnsi="Times New Roman" w:cs="Times New Roman"/>
                <w:color w:val="auto"/>
                <w:highlight w:val="none"/>
                <w:lang w:eastAsia="zh-CN"/>
              </w:rPr>
              <w:footnoteReference w:id="3"/>
            </w:r>
          </w:p>
          <w:p w14:paraId="1AF54E0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（2）招标人最高投标限价：</w:t>
            </w:r>
          </w:p>
          <w:p w14:paraId="75C0776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招标人最高投标限价=13925809元</w:t>
            </w:r>
          </w:p>
          <w:p w14:paraId="163AC3B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(3）最高评标限价：</w:t>
            </w:r>
          </w:p>
          <w:p w14:paraId="2197EBE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最高评标限价=招标人最高投标限价×95%</w:t>
            </w:r>
          </w:p>
          <w:p w14:paraId="3A26A30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（4）确定有效投标价：</w:t>
            </w:r>
          </w:p>
          <w:p w14:paraId="3EFFFF5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有效投标范围：小于招标人最高评标限价的评标价为有效报价。大于或等于招标人最高评标限价的评标价，将否决其投标。</w:t>
            </w:r>
          </w:p>
          <w:p w14:paraId="4816BEF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若投标人的评标价小于最高评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否决部分投标人后，有效投标人不足三家，评标委员会认为竞争不足的情况出现时，评标委员会可以否决全部投标。未否决全部投标的，评标委员会应当在评标报告中阐明理由并推荐中标候选人。</w:t>
            </w:r>
          </w:p>
        </w:tc>
      </w:tr>
      <w:tr w14:paraId="71DC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3" w:hRule="atLeast"/>
        </w:trPr>
        <w:tc>
          <w:tcPr>
            <w:tcW w:w="442" w:type="pct"/>
            <w:noWrap w:val="0"/>
            <w:vAlign w:val="center"/>
          </w:tcPr>
          <w:p w14:paraId="62DED01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761" w:type="pct"/>
            <w:noWrap w:val="0"/>
            <w:vAlign w:val="center"/>
          </w:tcPr>
          <w:p w14:paraId="0BA35D1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通过第一个信封详细评审的投标人数量</w:t>
            </w:r>
          </w:p>
        </w:tc>
        <w:tc>
          <w:tcPr>
            <w:tcW w:w="3796" w:type="pct"/>
            <w:noWrap w:val="0"/>
            <w:vAlign w:val="center"/>
          </w:tcPr>
          <w:p w14:paraId="1C5456E1">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按照投标人的商务和技术得分由高到低排序，选择前5名（不少于3名但不足5名时，按全部实际数量）通过详细评审。</w:t>
            </w:r>
            <w:r>
              <w:rPr>
                <w:rStyle w:val="7"/>
                <w:rFonts w:hint="eastAsia" w:ascii="Times New Roman" w:hAnsi="Times New Roman" w:cs="Times New Roman"/>
                <w:color w:val="auto"/>
                <w:highlight w:val="none"/>
                <w:lang w:eastAsia="zh-CN"/>
              </w:rPr>
              <w:footnoteReference w:id="4"/>
            </w:r>
          </w:p>
        </w:tc>
      </w:tr>
    </w:tbl>
    <w:p w14:paraId="79682337">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11EAA493">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172A012C">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31FD1CA9">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0"/>
        <w:gridCol w:w="445"/>
        <w:gridCol w:w="452"/>
        <w:gridCol w:w="616"/>
        <w:gridCol w:w="739"/>
        <w:gridCol w:w="524"/>
        <w:gridCol w:w="4936"/>
      </w:tblGrid>
      <w:tr w14:paraId="2B66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003" w:type="pct"/>
            <w:gridSpan w:val="6"/>
            <w:tcBorders>
              <w:bottom w:val="single" w:color="auto" w:sz="4" w:space="0"/>
            </w:tcBorders>
            <w:noWrap w:val="0"/>
            <w:vAlign w:val="center"/>
          </w:tcPr>
          <w:p w14:paraId="42115FAE">
            <w:pPr>
              <w:tabs>
                <w:tab w:val="left" w:pos="900"/>
              </w:tabs>
              <w:spacing w:line="360" w:lineRule="auto"/>
              <w:rPr>
                <w:rFonts w:hint="eastAsia"/>
                <w:color w:val="auto"/>
                <w:sz w:val="22"/>
                <w:szCs w:val="22"/>
                <w:highlight w:val="none"/>
              </w:rPr>
            </w:pPr>
            <w:r>
              <w:rPr>
                <w:rFonts w:hint="eastAsia" w:ascii="宋体" w:hAnsi="宋体" w:cs="宋体"/>
                <w:b/>
                <w:color w:val="auto"/>
                <w:sz w:val="24"/>
                <w:szCs w:val="24"/>
                <w:highlight w:val="none"/>
              </w:rPr>
              <w:br w:type="page"/>
            </w:r>
            <w:r>
              <w:rPr>
                <w:rFonts w:hint="eastAsia"/>
                <w:color w:val="auto"/>
                <w:spacing w:val="9"/>
                <w:sz w:val="22"/>
                <w:szCs w:val="22"/>
                <w:highlight w:val="none"/>
              </w:rPr>
              <w:t>评分因素与权重分值</w:t>
            </w:r>
          </w:p>
        </w:tc>
        <w:tc>
          <w:tcPr>
            <w:tcW w:w="2996" w:type="pct"/>
            <w:vMerge w:val="restart"/>
            <w:tcBorders>
              <w:bottom w:val="single" w:color="auto" w:sz="4" w:space="0"/>
              <w:right w:val="single" w:color="auto" w:sz="4" w:space="0"/>
            </w:tcBorders>
            <w:noWrap w:val="0"/>
            <w:vAlign w:val="center"/>
          </w:tcPr>
          <w:p w14:paraId="29359518">
            <w:pPr>
              <w:pStyle w:val="8"/>
              <w:widowControl/>
              <w:kinsoku w:val="0"/>
              <w:autoSpaceDE w:val="0"/>
              <w:autoSpaceDN w:val="0"/>
              <w:adjustRightInd w:val="0"/>
              <w:snapToGrid w:val="0"/>
              <w:spacing w:before="65" w:line="360" w:lineRule="auto"/>
              <w:jc w:val="center"/>
              <w:textAlignment w:val="baseline"/>
              <w:rPr>
                <w:rFonts w:hint="eastAsia"/>
                <w:color w:val="auto"/>
                <w:sz w:val="22"/>
                <w:szCs w:val="22"/>
                <w:highlight w:val="none"/>
              </w:rPr>
            </w:pPr>
            <w:r>
              <w:rPr>
                <w:rFonts w:hint="eastAsia"/>
                <w:color w:val="auto"/>
                <w:spacing w:val="8"/>
                <w:sz w:val="22"/>
                <w:szCs w:val="22"/>
                <w:highlight w:val="none"/>
              </w:rPr>
              <w:t>评分标准</w:t>
            </w:r>
          </w:p>
        </w:tc>
      </w:tr>
      <w:tr w14:paraId="16DF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14:paraId="6CE528A7">
            <w:pPr>
              <w:pStyle w:val="8"/>
              <w:widowControl/>
              <w:kinsoku w:val="0"/>
              <w:autoSpaceDE w:val="0"/>
              <w:autoSpaceDN w:val="0"/>
              <w:adjustRightInd w:val="0"/>
              <w:snapToGrid w:val="0"/>
              <w:spacing w:before="65" w:line="360" w:lineRule="auto"/>
              <w:ind w:left="213"/>
              <w:textAlignment w:val="baseline"/>
              <w:rPr>
                <w:rFonts w:hint="eastAsia"/>
                <w:color w:val="auto"/>
                <w:sz w:val="22"/>
                <w:szCs w:val="22"/>
                <w:highlight w:val="none"/>
              </w:rPr>
            </w:pPr>
            <w:r>
              <w:rPr>
                <w:rFonts w:hint="eastAsia"/>
                <w:color w:val="auto"/>
                <w:spacing w:val="7"/>
                <w:sz w:val="22"/>
                <w:szCs w:val="22"/>
                <w:highlight w:val="none"/>
              </w:rPr>
              <w:t>条款号</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38F35016">
            <w:pPr>
              <w:pStyle w:val="8"/>
              <w:widowControl/>
              <w:kinsoku w:val="0"/>
              <w:autoSpaceDE w:val="0"/>
              <w:autoSpaceDN w:val="0"/>
              <w:adjustRightInd w:val="0"/>
              <w:snapToGrid w:val="0"/>
              <w:spacing w:before="65" w:line="360" w:lineRule="auto"/>
              <w:ind w:left="148"/>
              <w:jc w:val="center"/>
              <w:textAlignment w:val="baseline"/>
              <w:rPr>
                <w:rFonts w:hint="eastAsia"/>
                <w:color w:val="auto"/>
                <w:sz w:val="22"/>
                <w:szCs w:val="22"/>
                <w:highlight w:val="none"/>
              </w:rPr>
            </w:pPr>
            <w:r>
              <w:rPr>
                <w:rFonts w:hint="eastAsia"/>
                <w:color w:val="auto"/>
                <w:spacing w:val="8"/>
                <w:sz w:val="22"/>
                <w:szCs w:val="22"/>
                <w:highlight w:val="none"/>
              </w:rPr>
              <w:t>评分因素</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E68DDA8">
            <w:pPr>
              <w:pStyle w:val="8"/>
              <w:widowControl/>
              <w:kinsoku w:val="0"/>
              <w:autoSpaceDE w:val="0"/>
              <w:autoSpaceDN w:val="0"/>
              <w:adjustRightInd w:val="0"/>
              <w:snapToGrid w:val="0"/>
              <w:spacing w:before="136" w:line="360" w:lineRule="auto"/>
              <w:ind w:left="114" w:right="100"/>
              <w:jc w:val="center"/>
              <w:textAlignment w:val="baseline"/>
              <w:rPr>
                <w:rFonts w:hint="eastAsia"/>
                <w:color w:val="auto"/>
                <w:sz w:val="22"/>
                <w:szCs w:val="22"/>
                <w:highlight w:val="none"/>
              </w:rPr>
            </w:pPr>
            <w:r>
              <w:rPr>
                <w:rFonts w:hint="eastAsia"/>
                <w:color w:val="auto"/>
                <w:spacing w:val="8"/>
                <w:sz w:val="22"/>
                <w:szCs w:val="22"/>
                <w:highlight w:val="none"/>
              </w:rPr>
              <w:t>评分因素</w:t>
            </w:r>
            <w:r>
              <w:rPr>
                <w:rFonts w:hint="eastAsia"/>
                <w:color w:val="auto"/>
                <w:spacing w:val="6"/>
                <w:sz w:val="22"/>
                <w:szCs w:val="22"/>
                <w:highlight w:val="none"/>
              </w:rPr>
              <w:t>权重</w:t>
            </w:r>
            <w:r>
              <w:rPr>
                <w:rFonts w:hint="eastAsia"/>
                <w:color w:val="auto"/>
                <w:spacing w:val="4"/>
                <w:sz w:val="22"/>
                <w:szCs w:val="22"/>
                <w:highlight w:val="none"/>
              </w:rPr>
              <w:t>分值</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0E9FC337">
            <w:pPr>
              <w:pStyle w:val="8"/>
              <w:widowControl/>
              <w:kinsoku w:val="0"/>
              <w:autoSpaceDE w:val="0"/>
              <w:autoSpaceDN w:val="0"/>
              <w:adjustRightInd w:val="0"/>
              <w:snapToGrid w:val="0"/>
              <w:spacing w:before="65" w:line="360" w:lineRule="auto"/>
              <w:ind w:left="152"/>
              <w:jc w:val="center"/>
              <w:textAlignment w:val="baseline"/>
              <w:rPr>
                <w:rFonts w:hint="eastAsia"/>
                <w:color w:val="auto"/>
                <w:sz w:val="22"/>
                <w:szCs w:val="22"/>
                <w:highlight w:val="none"/>
              </w:rPr>
            </w:pPr>
            <w:r>
              <w:rPr>
                <w:rFonts w:hint="eastAsia"/>
                <w:color w:val="auto"/>
                <w:spacing w:val="8"/>
                <w:sz w:val="22"/>
                <w:szCs w:val="22"/>
                <w:highlight w:val="none"/>
              </w:rPr>
              <w:t>各评分因素细分项</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68C38DAC">
            <w:pPr>
              <w:pStyle w:val="8"/>
              <w:widowControl/>
              <w:kinsoku w:val="0"/>
              <w:autoSpaceDE w:val="0"/>
              <w:autoSpaceDN w:val="0"/>
              <w:adjustRightInd w:val="0"/>
              <w:snapToGrid w:val="0"/>
              <w:spacing w:before="65" w:line="360" w:lineRule="auto"/>
              <w:ind w:left="194"/>
              <w:jc w:val="center"/>
              <w:textAlignment w:val="baseline"/>
              <w:rPr>
                <w:rFonts w:hint="eastAsia"/>
                <w:color w:val="auto"/>
                <w:sz w:val="22"/>
                <w:szCs w:val="22"/>
                <w:highlight w:val="none"/>
              </w:rPr>
            </w:pPr>
            <w:r>
              <w:rPr>
                <w:rFonts w:hint="eastAsia"/>
                <w:color w:val="auto"/>
                <w:spacing w:val="4"/>
                <w:sz w:val="22"/>
                <w:szCs w:val="22"/>
                <w:highlight w:val="none"/>
              </w:rPr>
              <w:t>分值</w:t>
            </w:r>
          </w:p>
        </w:tc>
        <w:tc>
          <w:tcPr>
            <w:tcW w:w="2996" w:type="pct"/>
            <w:vMerge w:val="continue"/>
            <w:tcBorders>
              <w:top w:val="single" w:color="auto" w:sz="4" w:space="0"/>
              <w:left w:val="single" w:color="auto" w:sz="4" w:space="0"/>
              <w:bottom w:val="single" w:color="auto" w:sz="4" w:space="0"/>
              <w:right w:val="single" w:color="auto" w:sz="4" w:space="0"/>
            </w:tcBorders>
            <w:noWrap w:val="0"/>
            <w:vAlign w:val="center"/>
          </w:tcPr>
          <w:p w14:paraId="4DD14865">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r>
      <w:tr w14:paraId="7064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trPr>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14:paraId="0D2E084B">
            <w:pPr>
              <w:widowControl/>
              <w:kinsoku w:val="0"/>
              <w:autoSpaceDE w:val="0"/>
              <w:autoSpaceDN w:val="0"/>
              <w:adjustRightInd w:val="0"/>
              <w:snapToGrid w:val="0"/>
              <w:spacing w:before="58" w:line="360" w:lineRule="auto"/>
              <w:jc w:val="center"/>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2.2.2（1）</w:t>
            </w:r>
          </w:p>
        </w:tc>
        <w:tc>
          <w:tcPr>
            <w:tcW w:w="49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551679E">
            <w:pPr>
              <w:widowControl/>
              <w:kinsoku w:val="0"/>
              <w:autoSpaceDE w:val="0"/>
              <w:autoSpaceDN w:val="0"/>
              <w:adjustRightInd w:val="0"/>
              <w:snapToGrid w:val="0"/>
              <w:spacing w:before="58" w:line="360" w:lineRule="auto"/>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施工组织设计</w:t>
            </w:r>
          </w:p>
        </w:tc>
        <w:tc>
          <w:tcPr>
            <w:tcW w:w="398" w:type="pct"/>
            <w:vMerge w:val="restart"/>
            <w:tcBorders>
              <w:top w:val="single" w:color="auto" w:sz="4" w:space="0"/>
              <w:left w:val="single" w:color="auto" w:sz="4" w:space="0"/>
              <w:bottom w:val="single" w:color="auto" w:sz="4" w:space="0"/>
              <w:right w:val="single" w:color="auto" w:sz="4" w:space="0"/>
            </w:tcBorders>
            <w:noWrap w:val="0"/>
            <w:vAlign w:val="center"/>
          </w:tcPr>
          <w:p w14:paraId="2713873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40分</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6CFBDD03">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总体施工组织布置及规划</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4C242A4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2996" w:type="pct"/>
            <w:tcBorders>
              <w:top w:val="single" w:color="auto" w:sz="4" w:space="0"/>
              <w:left w:val="single" w:color="auto" w:sz="4" w:space="0"/>
              <w:bottom w:val="single" w:color="auto" w:sz="4" w:space="0"/>
              <w:right w:val="single" w:color="auto" w:sz="4" w:space="0"/>
            </w:tcBorders>
            <w:noWrap w:val="0"/>
            <w:vAlign w:val="center"/>
          </w:tcPr>
          <w:p w14:paraId="5BA9177D">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(1)对项目的基本情况了解全面、准确，施工总体布置规划、施工进度计划科学合理、可操作性强，按《广东省公路工程施工标准化指南》及《公路工程施工安全防护设施技术指南》执行，得12.1～15分；</w:t>
            </w:r>
          </w:p>
          <w:p w14:paraId="028BBF98">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(2)满足工程建设需要，施工总体布置规划、施工进度计划基本可行，得9.1～12分；</w:t>
            </w:r>
          </w:p>
          <w:p w14:paraId="6E8FF97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(3)一般但不被评定为不响应的,得9分。</w:t>
            </w:r>
          </w:p>
        </w:tc>
      </w:tr>
      <w:tr w14:paraId="5290C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trPr>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14:paraId="113DB7B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85B4A23">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398" w:type="pct"/>
            <w:vMerge w:val="continue"/>
            <w:tcBorders>
              <w:top w:val="single" w:color="auto" w:sz="4" w:space="0"/>
              <w:left w:val="single" w:color="auto" w:sz="4" w:space="0"/>
              <w:bottom w:val="single" w:color="auto" w:sz="4" w:space="0"/>
              <w:right w:val="single" w:color="auto" w:sz="4" w:space="0"/>
            </w:tcBorders>
            <w:noWrap w:val="0"/>
            <w:vAlign w:val="center"/>
          </w:tcPr>
          <w:p w14:paraId="5E748214">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5F10817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重点、难点和关键工程的施工方案与技术措施</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08FFF5A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2996" w:type="pct"/>
            <w:tcBorders>
              <w:top w:val="single" w:color="auto" w:sz="4" w:space="0"/>
              <w:left w:val="single" w:color="auto" w:sz="4" w:space="0"/>
              <w:bottom w:val="single" w:color="auto" w:sz="4" w:space="0"/>
              <w:right w:val="single" w:color="auto" w:sz="4" w:space="0"/>
            </w:tcBorders>
            <w:noWrap w:val="0"/>
            <w:vAlign w:val="center"/>
          </w:tcPr>
          <w:p w14:paraId="51491E24">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12.1～15分；</w:t>
            </w:r>
          </w:p>
          <w:p w14:paraId="003F10B0">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(2)对项目重点、难点和关键工程认识基本到位，施工方案与技术措施基本可行，重点较为突出的，得9.1～12分；</w:t>
            </w:r>
          </w:p>
          <w:p w14:paraId="2E25C324">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(3)一般但不被评定为不响应的,得9分。</w:t>
            </w:r>
          </w:p>
        </w:tc>
      </w:tr>
      <w:tr w14:paraId="3DFC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9" w:hRule="atLeast"/>
        </w:trPr>
        <w:tc>
          <w:tcPr>
            <w:tcW w:w="293" w:type="pct"/>
            <w:vMerge w:val="continue"/>
            <w:tcBorders>
              <w:top w:val="single" w:color="auto" w:sz="4" w:space="0"/>
              <w:left w:val="single" w:color="auto" w:sz="4" w:space="0"/>
              <w:bottom w:val="single" w:color="auto" w:sz="4" w:space="0"/>
            </w:tcBorders>
            <w:noWrap w:val="0"/>
            <w:vAlign w:val="center"/>
          </w:tcPr>
          <w:p w14:paraId="11FB2B1D">
            <w:pPr>
              <w:widowControl/>
              <w:kinsoku w:val="0"/>
              <w:autoSpaceDE w:val="0"/>
              <w:autoSpaceDN w:val="0"/>
              <w:adjustRightInd w:val="0"/>
              <w:snapToGrid w:val="0"/>
              <w:spacing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single" w:color="auto" w:sz="4" w:space="0"/>
              <w:bottom w:val="single" w:color="auto" w:sz="4" w:space="0"/>
            </w:tcBorders>
            <w:noWrap w:val="0"/>
            <w:vAlign w:val="center"/>
          </w:tcPr>
          <w:p w14:paraId="07EC52A4">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c>
          <w:tcPr>
            <w:tcW w:w="398" w:type="pct"/>
            <w:vMerge w:val="continue"/>
            <w:tcBorders>
              <w:top w:val="single" w:color="auto" w:sz="4" w:space="0"/>
              <w:bottom w:val="single" w:color="auto" w:sz="4" w:space="0"/>
            </w:tcBorders>
            <w:noWrap w:val="0"/>
            <w:vAlign w:val="center"/>
          </w:tcPr>
          <w:p w14:paraId="6A020711">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c>
          <w:tcPr>
            <w:tcW w:w="472" w:type="pct"/>
            <w:tcBorders>
              <w:top w:val="single" w:color="auto" w:sz="4" w:space="0"/>
              <w:bottom w:val="single" w:color="auto" w:sz="4" w:space="0"/>
            </w:tcBorders>
            <w:noWrap w:val="0"/>
            <w:vAlign w:val="center"/>
          </w:tcPr>
          <w:p w14:paraId="1C1632D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工期、质量、安全、环保水保、文明施工保证措施</w:t>
            </w:r>
          </w:p>
        </w:tc>
        <w:tc>
          <w:tcPr>
            <w:tcW w:w="342" w:type="pct"/>
            <w:tcBorders>
              <w:top w:val="single" w:color="auto" w:sz="4" w:space="0"/>
              <w:bottom w:val="single" w:color="auto" w:sz="4" w:space="0"/>
            </w:tcBorders>
            <w:noWrap w:val="0"/>
            <w:vAlign w:val="center"/>
          </w:tcPr>
          <w:p w14:paraId="51E5ED73">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10分</w:t>
            </w:r>
          </w:p>
        </w:tc>
        <w:tc>
          <w:tcPr>
            <w:tcW w:w="2996" w:type="pct"/>
            <w:tcBorders>
              <w:top w:val="single" w:color="auto" w:sz="4" w:space="0"/>
              <w:bottom w:val="single" w:color="auto" w:sz="4" w:space="0"/>
            </w:tcBorders>
            <w:noWrap w:val="0"/>
            <w:vAlign w:val="center"/>
          </w:tcPr>
          <w:p w14:paraId="1AFC11E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能够准确预判分析工期、质量、安全、环保、水保、文明施工目标实现的主要影响因素，拟采取预防保证措施针对性强、科学有效，重点突出的，按《广东省公路工程施工标准化指南》及《公路工程施工安全防护设施技术指南》执行，得8.1～10分；</w:t>
            </w:r>
          </w:p>
          <w:p w14:paraId="759F4192">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(2)对工期、质量、安全、环保、水保等风险有一定认识，预防保证措施基本可行，重点较为突出的，得6.1～8分；</w:t>
            </w:r>
          </w:p>
          <w:p w14:paraId="3F981FB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(3)一般但不被评定为不响应的,得6分。</w:t>
            </w:r>
          </w:p>
        </w:tc>
      </w:tr>
      <w:tr w14:paraId="313F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5" w:hRule="atLeast"/>
        </w:trPr>
        <w:tc>
          <w:tcPr>
            <w:tcW w:w="293" w:type="pct"/>
            <w:vMerge w:val="restart"/>
            <w:tcBorders>
              <w:bottom w:val="nil"/>
            </w:tcBorders>
            <w:noWrap w:val="0"/>
            <w:vAlign w:val="center"/>
          </w:tcPr>
          <w:p w14:paraId="4B4ED495">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2.2.2（2）</w:t>
            </w:r>
          </w:p>
        </w:tc>
        <w:tc>
          <w:tcPr>
            <w:tcW w:w="497" w:type="pct"/>
            <w:gridSpan w:val="2"/>
            <w:vMerge w:val="restart"/>
            <w:tcBorders>
              <w:bottom w:val="nil"/>
            </w:tcBorders>
            <w:noWrap w:val="0"/>
            <w:vAlign w:val="center"/>
          </w:tcPr>
          <w:p w14:paraId="1478C280">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主要人员</w:t>
            </w:r>
          </w:p>
        </w:tc>
        <w:tc>
          <w:tcPr>
            <w:tcW w:w="398" w:type="pct"/>
            <w:vMerge w:val="restart"/>
            <w:tcBorders>
              <w:bottom w:val="nil"/>
            </w:tcBorders>
            <w:noWrap w:val="0"/>
            <w:vAlign w:val="center"/>
          </w:tcPr>
          <w:p w14:paraId="343F74B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30分</w:t>
            </w:r>
          </w:p>
        </w:tc>
        <w:tc>
          <w:tcPr>
            <w:tcW w:w="472" w:type="pct"/>
            <w:noWrap w:val="0"/>
            <w:vAlign w:val="center"/>
          </w:tcPr>
          <w:p w14:paraId="1E4EBE46">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项目经理任职资格与业绩</w:t>
            </w:r>
          </w:p>
        </w:tc>
        <w:tc>
          <w:tcPr>
            <w:tcW w:w="342" w:type="pct"/>
            <w:noWrap w:val="0"/>
            <w:vAlign w:val="center"/>
          </w:tcPr>
          <w:p w14:paraId="33B7D1D5">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18分</w:t>
            </w:r>
          </w:p>
        </w:tc>
        <w:tc>
          <w:tcPr>
            <w:tcW w:w="2996" w:type="pct"/>
            <w:noWrap w:val="0"/>
            <w:vAlign w:val="center"/>
          </w:tcPr>
          <w:p w14:paraId="440577A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（1）项目经理在满足资格审查条件的最低要求时，得15分；</w:t>
            </w:r>
          </w:p>
          <w:p w14:paraId="6FC7C657">
            <w:pPr>
              <w:pStyle w:val="2"/>
              <w:ind w:left="0" w:firstLine="0"/>
              <w:rPr>
                <w:rFonts w:hint="eastAsia" w:hAnsi="宋体" w:eastAsia="宋体" w:cs="宋体"/>
                <w:color w:val="auto"/>
                <w:kern w:val="2"/>
                <w:sz w:val="22"/>
                <w:szCs w:val="22"/>
                <w:highlight w:val="none"/>
              </w:rPr>
            </w:pPr>
            <w:r>
              <w:rPr>
                <w:rFonts w:hint="eastAsia"/>
                <w:color w:val="auto"/>
                <w:highlight w:val="none"/>
              </w:rPr>
              <w:t>（</w:t>
            </w:r>
            <w:r>
              <w:rPr>
                <w:rFonts w:hint="eastAsia" w:hAnsi="宋体" w:eastAsia="宋体" w:cs="宋体"/>
                <w:color w:val="auto"/>
                <w:kern w:val="2"/>
                <w:sz w:val="22"/>
                <w:szCs w:val="22"/>
                <w:highlight w:val="none"/>
              </w:rPr>
              <w:t>2）项目经理及备选项目经理（如有）具有高级工程师或以上职称的，加3分，最多加3分；</w:t>
            </w:r>
          </w:p>
          <w:p w14:paraId="3F720902">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注：1、如投标人不提供备选项目经理，则本项目得分按主选项目经理计算；</w:t>
            </w:r>
          </w:p>
          <w:p w14:paraId="7BE74568">
            <w:pPr>
              <w:widowControl/>
              <w:kinsoku w:val="0"/>
              <w:autoSpaceDE w:val="0"/>
              <w:autoSpaceDN w:val="0"/>
              <w:adjustRightInd w:val="0"/>
              <w:snapToGrid w:val="0"/>
              <w:spacing w:before="58" w:line="360" w:lineRule="auto"/>
              <w:ind w:firstLine="440" w:firstLineChars="20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2、如投标人提供备选项目经理，则本项目得分按主备选项目经理中最低得分计算。</w:t>
            </w:r>
          </w:p>
        </w:tc>
      </w:tr>
      <w:tr w14:paraId="1D70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293" w:type="pct"/>
            <w:vMerge w:val="continue"/>
            <w:tcBorders>
              <w:top w:val="nil"/>
            </w:tcBorders>
            <w:noWrap w:val="0"/>
            <w:vAlign w:val="center"/>
          </w:tcPr>
          <w:p w14:paraId="457E227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nil"/>
            </w:tcBorders>
            <w:noWrap w:val="0"/>
            <w:vAlign w:val="center"/>
          </w:tcPr>
          <w:p w14:paraId="08266F46">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398" w:type="pct"/>
            <w:vMerge w:val="continue"/>
            <w:tcBorders>
              <w:top w:val="nil"/>
            </w:tcBorders>
            <w:noWrap w:val="0"/>
            <w:vAlign w:val="center"/>
          </w:tcPr>
          <w:p w14:paraId="451AC30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472" w:type="pct"/>
            <w:noWrap w:val="0"/>
            <w:vAlign w:val="center"/>
          </w:tcPr>
          <w:p w14:paraId="314858E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项目总工任职资格与业绩</w:t>
            </w:r>
          </w:p>
        </w:tc>
        <w:tc>
          <w:tcPr>
            <w:tcW w:w="342" w:type="pct"/>
            <w:noWrap w:val="0"/>
            <w:vAlign w:val="center"/>
          </w:tcPr>
          <w:p w14:paraId="36C6984A">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12分</w:t>
            </w:r>
          </w:p>
        </w:tc>
        <w:tc>
          <w:tcPr>
            <w:tcW w:w="2996" w:type="pct"/>
            <w:noWrap w:val="0"/>
            <w:vAlign w:val="center"/>
          </w:tcPr>
          <w:p w14:paraId="671E999D">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项目总工在满足资格审查条件的最低要求时，得12分。</w:t>
            </w:r>
          </w:p>
          <w:p w14:paraId="2CAD4721">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注：1、若投标人不提供备选项目总工，则本项目得分按主选项目总工计算；</w:t>
            </w:r>
          </w:p>
          <w:p w14:paraId="44AD675F">
            <w:pPr>
              <w:widowControl/>
              <w:kinsoku w:val="0"/>
              <w:autoSpaceDE w:val="0"/>
              <w:autoSpaceDN w:val="0"/>
              <w:adjustRightInd w:val="0"/>
              <w:snapToGrid w:val="0"/>
              <w:spacing w:before="58" w:line="360" w:lineRule="auto"/>
              <w:ind w:firstLine="440" w:firstLineChars="20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2、若投标人提供备选项目总工，则本项目得分按主备选项目总工中最低得分计算。</w:t>
            </w:r>
          </w:p>
        </w:tc>
      </w:tr>
      <w:tr w14:paraId="0BC9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93" w:type="pct"/>
            <w:noWrap w:val="0"/>
            <w:vAlign w:val="center"/>
          </w:tcPr>
          <w:p w14:paraId="66A59B9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2.2.2（3）</w:t>
            </w:r>
          </w:p>
        </w:tc>
        <w:tc>
          <w:tcPr>
            <w:tcW w:w="197" w:type="pct"/>
            <w:noWrap w:val="0"/>
            <w:textDirection w:val="tbRlV"/>
            <w:vAlign w:val="center"/>
          </w:tcPr>
          <w:p w14:paraId="127BFEF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其他因素</w:t>
            </w:r>
          </w:p>
        </w:tc>
        <w:tc>
          <w:tcPr>
            <w:tcW w:w="300" w:type="pct"/>
            <w:noWrap w:val="0"/>
            <w:textDirection w:val="tbRlV"/>
            <w:vAlign w:val="center"/>
          </w:tcPr>
          <w:p w14:paraId="4F95166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技术能力</w:t>
            </w:r>
          </w:p>
        </w:tc>
        <w:tc>
          <w:tcPr>
            <w:tcW w:w="398" w:type="pct"/>
            <w:noWrap w:val="0"/>
            <w:vAlign w:val="center"/>
          </w:tcPr>
          <w:p w14:paraId="128FF02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3811" w:type="pct"/>
            <w:gridSpan w:val="3"/>
            <w:noWrap w:val="0"/>
            <w:vAlign w:val="center"/>
          </w:tcPr>
          <w:p w14:paraId="184F9C44">
            <w:pPr>
              <w:widowControl/>
              <w:kinsoku w:val="0"/>
              <w:autoSpaceDE w:val="0"/>
              <w:autoSpaceDN w:val="0"/>
              <w:adjustRightInd w:val="0"/>
              <w:snapToGrid w:val="0"/>
              <w:spacing w:before="58" w:line="360" w:lineRule="auto"/>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（1）投标人获得与项目施工有关的国家级工法、专利（发明专利或实用新型专利）、国家级科学技术进步奖、鲁班奖、詹天佑奖、主编或参编过国家标准，每项加4分；</w:t>
            </w:r>
          </w:p>
          <w:p w14:paraId="0EB029E4">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（2）投标人获得省级科学技术进步奖，主编或参编过的行业或地方（指省级）标准，每项加2分；</w:t>
            </w:r>
          </w:p>
          <w:p w14:paraId="13B202AF">
            <w:pPr>
              <w:widowControl/>
              <w:kinsoku w:val="0"/>
              <w:autoSpaceDE w:val="0"/>
              <w:autoSpaceDN w:val="0"/>
              <w:adjustRightInd w:val="0"/>
              <w:snapToGrid w:val="0"/>
              <w:spacing w:before="58" w:line="360" w:lineRule="auto"/>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注：本项累计加分最高15分，不重复加分，按较高分只计一次，提供相关证明材料的扫描件。</w:t>
            </w:r>
          </w:p>
        </w:tc>
      </w:tr>
      <w:tr w14:paraId="6FA5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93" w:type="pct"/>
            <w:noWrap w:val="0"/>
            <w:vAlign w:val="center"/>
          </w:tcPr>
          <w:p w14:paraId="0489759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197" w:type="pct"/>
            <w:noWrap w:val="0"/>
            <w:textDirection w:val="tbRlV"/>
            <w:vAlign w:val="center"/>
          </w:tcPr>
          <w:p w14:paraId="187300A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300" w:type="pct"/>
            <w:noWrap w:val="0"/>
            <w:textDirection w:val="tbRlV"/>
            <w:vAlign w:val="center"/>
          </w:tcPr>
          <w:p w14:paraId="13877B7A">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履约信誉</w:t>
            </w:r>
          </w:p>
        </w:tc>
        <w:tc>
          <w:tcPr>
            <w:tcW w:w="398" w:type="pct"/>
            <w:noWrap w:val="0"/>
            <w:vAlign w:val="center"/>
          </w:tcPr>
          <w:p w14:paraId="4A2EF7D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3811" w:type="pct"/>
            <w:gridSpan w:val="3"/>
            <w:noWrap w:val="0"/>
            <w:vAlign w:val="center"/>
          </w:tcPr>
          <w:p w14:paraId="761D83FB">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1.信用等级（10分）</w:t>
            </w:r>
          </w:p>
          <w:p w14:paraId="23E112A8">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AA、A、B、C级单位的信用等级分得分分别10、9.5、8.9、7.3分。</w:t>
            </w:r>
          </w:p>
          <w:p w14:paraId="741B9E28">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注：信用等级的确定原则遵循投标人须知前附表10.2款的规定。</w:t>
            </w:r>
          </w:p>
          <w:p w14:paraId="00B569E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2.履约情况（5分）</w:t>
            </w:r>
          </w:p>
          <w:p w14:paraId="0ECE531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若没出现下述情形得满分；</w:t>
            </w:r>
          </w:p>
          <w:p w14:paraId="360FE86D">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投标文件递交截止日前1年内（202</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年4月1日至投标文件递交截止日），投标人因公路工程(含附属设施)质量、安全、履约或招标投标问题等原因被：</w:t>
            </w:r>
          </w:p>
          <w:p w14:paraId="309D73CD">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(1)交通运输部行政处罚的，扣5分/次。</w:t>
            </w:r>
          </w:p>
          <w:p w14:paraId="64A3D73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(2)广东省交通运输厅行政处罚的，扣3分/次。</w:t>
            </w:r>
          </w:p>
          <w:p w14:paraId="71C48AC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(3)茂名市交通运输局行政处罚的，扣1.5分/次。</w:t>
            </w:r>
          </w:p>
          <w:p w14:paraId="10D8FF3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(4)广东省交通运输厅正式约谈的，扣0.1分/次。</w:t>
            </w:r>
          </w:p>
          <w:p w14:paraId="597FFC13">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同一事项同时被多个部门行政处罚或正式约谈只按最高的扣分计算1次。</w:t>
            </w:r>
            <w:r>
              <w:rPr>
                <w:rStyle w:val="7"/>
                <w:rFonts w:hint="eastAsia" w:ascii="宋体" w:hAnsi="宋体" w:cs="宋体"/>
                <w:color w:val="auto"/>
                <w:sz w:val="22"/>
                <w:szCs w:val="22"/>
                <w:highlight w:val="none"/>
              </w:rPr>
              <w:footnoteReference w:id="5"/>
            </w:r>
            <w:r>
              <w:rPr>
                <w:rFonts w:hint="eastAsia" w:ascii="宋体" w:hAnsi="宋体" w:cs="宋体"/>
                <w:color w:val="auto"/>
                <w:sz w:val="22"/>
                <w:szCs w:val="22"/>
                <w:highlight w:val="none"/>
              </w:rPr>
              <w:t>如果扣完本项分值，可以从总分中扣。</w:t>
            </w:r>
          </w:p>
        </w:tc>
      </w:tr>
      <w:tr w14:paraId="3D8DE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000" w:type="pct"/>
            <w:gridSpan w:val="7"/>
            <w:noWrap w:val="0"/>
            <w:vAlign w:val="center"/>
          </w:tcPr>
          <w:p w14:paraId="76D88BDB">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需要补充的其他内容：</w:t>
            </w:r>
          </w:p>
        </w:tc>
      </w:tr>
      <w:tr w14:paraId="7BBD6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90" w:type="pct"/>
            <w:gridSpan w:val="3"/>
            <w:noWrap w:val="0"/>
            <w:vAlign w:val="center"/>
          </w:tcPr>
          <w:p w14:paraId="4B23BDF8">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条款号</w:t>
            </w:r>
          </w:p>
        </w:tc>
        <w:tc>
          <w:tcPr>
            <w:tcW w:w="4209" w:type="pct"/>
            <w:gridSpan w:val="4"/>
            <w:noWrap w:val="0"/>
            <w:vAlign w:val="center"/>
          </w:tcPr>
          <w:p w14:paraId="0A20317F">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补充或修改的内容</w:t>
            </w:r>
          </w:p>
        </w:tc>
      </w:tr>
      <w:tr w14:paraId="38A5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790" w:type="pct"/>
            <w:gridSpan w:val="3"/>
            <w:noWrap w:val="0"/>
            <w:vAlign w:val="center"/>
          </w:tcPr>
          <w:p w14:paraId="42A0FEB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4209" w:type="pct"/>
            <w:gridSpan w:val="4"/>
            <w:noWrap w:val="0"/>
            <w:vAlign w:val="center"/>
          </w:tcPr>
          <w:p w14:paraId="55CCACC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将评标办法原文第1条“评标办法”改为“评标办法、组织及工作程序”，原文内容修改如下：</w:t>
            </w:r>
          </w:p>
          <w:p w14:paraId="62DD555C">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1.评标办法、组织及工作程序</w:t>
            </w:r>
          </w:p>
          <w:p w14:paraId="1B0048D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1.1评标办法</w:t>
            </w:r>
          </w:p>
          <w:p w14:paraId="3896830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前5名（不少于3名但不足5名时，按全部实际数量）的投标人的报价文件进行评审，按照评标价由低到高的顺序推荐中标候选人的评标办法。但投标报价低于其成本的除外。评标价相等时，评标委员会应按照评标办法前附表规定的优先次序推荐中标候选人或确定中标人。</w:t>
            </w:r>
          </w:p>
          <w:p w14:paraId="2F62FD9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1.2评标组织</w:t>
            </w:r>
          </w:p>
          <w:p w14:paraId="16A94AF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1.2.1协助工作组</w:t>
            </w:r>
          </w:p>
          <w:p w14:paraId="6167812E">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招标人可在评标工作开始前成立协助工作组，选派熟悉招标工作、政治素质高的人员组成，协助评标委员会工作。协助工作组人员的具体数量由招标人视评标工作量确定。</w:t>
            </w:r>
          </w:p>
          <w:p w14:paraId="4010A69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招标人可以协助评标委员会开展下列工作并提供相关信息:</w:t>
            </w:r>
          </w:p>
          <w:p w14:paraId="0E413A5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(1)根据招标文件，编制评标使用的相应表格；</w:t>
            </w:r>
          </w:p>
          <w:p w14:paraId="6271775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(2)对投标报价进行算术性校核(如采用固化工程量清单，本步骤省略)；</w:t>
            </w:r>
          </w:p>
          <w:p w14:paraId="695E989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(3)以评标标准和方法为依据，列出投标文件相对于招标文件的所有偏差，并进行归类汇总；</w:t>
            </w:r>
          </w:p>
          <w:p w14:paraId="529CD18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(4)查询全国公路建设市场监督管理系统，对投标人的资质、业绩、主要人员资历和目前在岗情况、信用等级进行核实。</w:t>
            </w:r>
          </w:p>
          <w:p w14:paraId="2093CB2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招标人不得对投标文件作出任何评价，不得故意遗漏或者片面摘录，不得在评标委员会对所有偏差定性之前透露存有偏差的投标人名称。</w:t>
            </w:r>
          </w:p>
          <w:p w14:paraId="6547B66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1.2.2评标委员会</w:t>
            </w:r>
          </w:p>
          <w:p w14:paraId="578EEF1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评标委员会由招标人按国家、广东省等的有关规定依法组建。评标委员会的主要工作内容包括:</w:t>
            </w:r>
          </w:p>
          <w:p w14:paraId="6CC252B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(1)评标委员会开始评标工作之前，首先听取招标人、协助工作组关于工程情况和辅助工作的说明，并认真研读招标文件，获取评标所需的重要信息和数据；</w:t>
            </w:r>
          </w:p>
          <w:p w14:paraId="3992928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(2)对协助工作组提供的评标工作用表和评标内容进行核查；</w:t>
            </w:r>
          </w:p>
          <w:p w14:paraId="7870F0CF">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(3)按照以下1.3款程序进行各项评审工作。</w:t>
            </w:r>
          </w:p>
          <w:p w14:paraId="4569A45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1.3评审工作程序</w:t>
            </w:r>
          </w:p>
          <w:p w14:paraId="4A4AAEB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(一)第一信封(商务及技术文件):</w:t>
            </w:r>
          </w:p>
          <w:p w14:paraId="34250A2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1、初步评审:包括形式评审与响应性评审、资格评审(适用于未进行资格预审)；</w:t>
            </w:r>
          </w:p>
          <w:p w14:paraId="6D0D4837">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详细评审（评审打分）:评标委员会首先对通过第一信封初步评审的投标文件进行详细评审，对投标人的施工组织设计、主要人员、其他因素等分别评审打分，并按照综合得分由高到低排序，排名在招标文件规定数量前5名（不少于3名但不足5名时，按全部实际数量）的投标人，其投标文件第一信封（商务及技术文件）通过详细评审；</w:t>
            </w:r>
          </w:p>
          <w:p w14:paraId="77BE7F71">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(二)第二信封(报价文件):</w:t>
            </w:r>
          </w:p>
          <w:p w14:paraId="5FC1D3F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1、初步评审:</w:t>
            </w:r>
          </w:p>
          <w:p w14:paraId="310BD4F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(1)只有对投标文件第一个信封通过详细评审的投标人的报价文件才能继续参加第二信封报价文件的形式评审和响应性评审；</w:t>
            </w:r>
          </w:p>
          <w:p w14:paraId="50475DF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(2)报价算术性修正(如采用固化工程量清单，本步骤省略)；</w:t>
            </w:r>
          </w:p>
          <w:p w14:paraId="0A766E8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2、详细评审:计算评标价；</w:t>
            </w:r>
          </w:p>
          <w:p w14:paraId="23B52561">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(三)投标文件相关信息的核查。</w:t>
            </w:r>
          </w:p>
          <w:p w14:paraId="1601CB3C">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(四)投标文件的澄清和说明(如有)</w:t>
            </w:r>
          </w:p>
          <w:p w14:paraId="607B7684">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（五）按评标办法规定按照第二信封的评标价由低到高的顺序推荐中标候选人，编写评标报告。</w:t>
            </w:r>
          </w:p>
        </w:tc>
      </w:tr>
      <w:tr w14:paraId="0A977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90" w:type="pct"/>
            <w:gridSpan w:val="3"/>
            <w:noWrap w:val="0"/>
            <w:vAlign w:val="center"/>
          </w:tcPr>
          <w:p w14:paraId="6776C107">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3.2.2</w:t>
            </w:r>
          </w:p>
        </w:tc>
        <w:tc>
          <w:tcPr>
            <w:tcW w:w="4209" w:type="pct"/>
            <w:gridSpan w:val="4"/>
            <w:noWrap w:val="0"/>
            <w:vAlign w:val="center"/>
          </w:tcPr>
          <w:p w14:paraId="32174EE4">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将评标办法原文第3.2.2项修改如下：</w:t>
            </w:r>
          </w:p>
          <w:p w14:paraId="5E1E5F57">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投标人的商务和技术得分分值计算保留小数点后三位，小数点后第四位“四舍五入”。</w:t>
            </w:r>
          </w:p>
        </w:tc>
      </w:tr>
      <w:tr w14:paraId="32E38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790" w:type="pct"/>
            <w:gridSpan w:val="3"/>
            <w:noWrap w:val="0"/>
            <w:vAlign w:val="center"/>
          </w:tcPr>
          <w:p w14:paraId="3A16B8F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3.2.3</w:t>
            </w:r>
          </w:p>
        </w:tc>
        <w:tc>
          <w:tcPr>
            <w:tcW w:w="4209" w:type="pct"/>
            <w:gridSpan w:val="4"/>
            <w:noWrap w:val="0"/>
            <w:vAlign w:val="center"/>
          </w:tcPr>
          <w:p w14:paraId="2976CD4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将评标办法范本原文第3.2.3项细化如下：</w:t>
            </w:r>
          </w:p>
          <w:p w14:paraId="0D77677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投标人的商务和技术得分=A+B+C。</w:t>
            </w:r>
          </w:p>
          <w:p w14:paraId="6A4CDF27">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14:paraId="4EDE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790" w:type="pct"/>
            <w:gridSpan w:val="3"/>
            <w:noWrap w:val="0"/>
            <w:vAlign w:val="center"/>
          </w:tcPr>
          <w:p w14:paraId="35B8173E">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w:t>
            </w:r>
          </w:p>
        </w:tc>
        <w:tc>
          <w:tcPr>
            <w:tcW w:w="4209" w:type="pct"/>
            <w:gridSpan w:val="4"/>
            <w:noWrap w:val="0"/>
            <w:vAlign w:val="center"/>
          </w:tcPr>
          <w:p w14:paraId="71475B87">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3.6.2项(2)目末增加以下条款：</w:t>
            </w:r>
          </w:p>
          <w:p w14:paraId="1B9CFAE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g.当一家以上投标人评标价相同时，若各投标人工程量清单细目单价也相同，视为串标(一个标段仅一工作细目报价的除外)。</w:t>
            </w:r>
          </w:p>
          <w:p w14:paraId="78F6166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h.广东省实施《中华人民共和国招标投标法》办法第十六条规定的情形。</w:t>
            </w:r>
          </w:p>
          <w:p w14:paraId="79E7C9BC">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增加3.6.3款：</w:t>
            </w:r>
          </w:p>
          <w:p w14:paraId="38A896A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154BA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5" w:hRule="atLeast"/>
        </w:trPr>
        <w:tc>
          <w:tcPr>
            <w:tcW w:w="790" w:type="pct"/>
            <w:gridSpan w:val="3"/>
            <w:noWrap w:val="0"/>
            <w:vAlign w:val="center"/>
          </w:tcPr>
          <w:p w14:paraId="72D55257">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w:t>
            </w:r>
          </w:p>
        </w:tc>
        <w:tc>
          <w:tcPr>
            <w:tcW w:w="4209" w:type="pct"/>
            <w:gridSpan w:val="4"/>
            <w:noWrap w:val="0"/>
            <w:vAlign w:val="center"/>
          </w:tcPr>
          <w:p w14:paraId="0805CF5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增加3.9.3-3.9.7项：</w:t>
            </w:r>
          </w:p>
          <w:p w14:paraId="55B861E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465576C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3.9.4通过第一个信封商务及技术文件评审的投标人少于3个的，评标委员会应否决全部投标。</w:t>
            </w:r>
          </w:p>
          <w:p w14:paraId="5CB4A85F">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7F6D9B1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3.9.6如果发生无法确定推荐中标候选人的其他意外情况，评标委员会可建议招标人重新招标。</w:t>
            </w:r>
          </w:p>
          <w:p w14:paraId="694C92C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3.9.7本招标文件规定的否决投标条款包含在以下条款：</w:t>
            </w:r>
          </w:p>
          <w:p w14:paraId="393DBDD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(1)招标公告第3点投标人资格要求；</w:t>
            </w:r>
          </w:p>
          <w:p w14:paraId="0661EDB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(2)投标人须知1.4.3项、1.4.4项、1.4.5项、1.11.1项、1.12.2项、3.4.2项、3.5.11项、3.6.1项；</w:t>
            </w:r>
          </w:p>
          <w:p w14:paraId="735321EC">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(3)本评标办法的否决条款。</w:t>
            </w:r>
          </w:p>
        </w:tc>
      </w:tr>
    </w:tbl>
    <w:p w14:paraId="7FD8F8E0">
      <w:pPr>
        <w:spacing w:line="360" w:lineRule="auto"/>
        <w:ind w:firstLine="562" w:firstLineChars="200"/>
        <w:jc w:val="center"/>
        <w:outlineLvl w:val="1"/>
        <w:rPr>
          <w:rFonts w:ascii="宋体" w:hAnsi="宋体" w:cs="宋体"/>
          <w:b/>
          <w:bCs/>
          <w:snapToGrid w:val="0"/>
          <w:color w:val="auto"/>
          <w:kern w:val="0"/>
          <w:sz w:val="28"/>
          <w:szCs w:val="28"/>
          <w:highlight w:val="none"/>
        </w:rPr>
      </w:pPr>
      <w:bookmarkStart w:id="0" w:name="_Toc21098"/>
      <w:r>
        <w:rPr>
          <w:rFonts w:hint="eastAsia" w:ascii="宋体" w:hAnsi="宋体" w:cs="宋体"/>
          <w:b/>
          <w:bCs/>
          <w:snapToGrid w:val="0"/>
          <w:color w:val="auto"/>
          <w:kern w:val="0"/>
          <w:sz w:val="28"/>
          <w:szCs w:val="28"/>
          <w:highlight w:val="none"/>
        </w:rPr>
        <w:br w:type="page"/>
      </w:r>
      <w:r>
        <w:rPr>
          <w:rFonts w:hint="eastAsia" w:ascii="宋体" w:hAnsi="宋体" w:cs="宋体"/>
          <w:b/>
          <w:bCs/>
          <w:snapToGrid w:val="0"/>
          <w:color w:val="auto"/>
          <w:kern w:val="0"/>
          <w:sz w:val="28"/>
          <w:szCs w:val="28"/>
          <w:highlight w:val="none"/>
        </w:rPr>
        <w:t>评标办法正文</w:t>
      </w:r>
    </w:p>
    <w:p w14:paraId="54300888">
      <w:pPr>
        <w:spacing w:line="360" w:lineRule="auto"/>
        <w:ind w:firstLine="482" w:firstLineChars="200"/>
        <w:outlineLvl w:val="1"/>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1.评标方法</w:t>
      </w:r>
      <w:bookmarkEnd w:id="0"/>
    </w:p>
    <w:p w14:paraId="06854CA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本次评标采用</w:t>
      </w:r>
      <w:r>
        <w:rPr>
          <w:rFonts w:hint="eastAsia" w:ascii="宋体" w:hAnsi="宋体" w:cs="宋体"/>
          <w:b/>
          <w:bCs/>
          <w:snapToGrid w:val="0"/>
          <w:color w:val="auto"/>
          <w:kern w:val="0"/>
          <w:sz w:val="24"/>
          <w:highlight w:val="none"/>
        </w:rPr>
        <w:t>双信封的技术评分最低标价法</w:t>
      </w:r>
      <w:r>
        <w:rPr>
          <w:rFonts w:hint="eastAsia" w:ascii="宋体" w:hAnsi="宋体" w:cs="宋体"/>
          <w:snapToGrid w:val="0"/>
          <w:color w:val="auto"/>
          <w:kern w:val="0"/>
          <w:sz w:val="24"/>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05EF9CC4">
      <w:pPr>
        <w:spacing w:line="360" w:lineRule="auto"/>
        <w:ind w:firstLine="482" w:firstLineChars="200"/>
        <w:outlineLvl w:val="1"/>
        <w:rPr>
          <w:rFonts w:hint="eastAsia" w:ascii="宋体" w:hAnsi="宋体" w:cs="宋体"/>
          <w:b/>
          <w:bCs/>
          <w:snapToGrid w:val="0"/>
          <w:color w:val="auto"/>
          <w:kern w:val="0"/>
          <w:sz w:val="24"/>
          <w:highlight w:val="none"/>
        </w:rPr>
      </w:pPr>
      <w:bookmarkStart w:id="1" w:name="_Toc8656"/>
      <w:r>
        <w:rPr>
          <w:rFonts w:hint="eastAsia" w:ascii="宋体" w:hAnsi="宋体" w:cs="宋体"/>
          <w:b/>
          <w:bCs/>
          <w:snapToGrid w:val="0"/>
          <w:color w:val="auto"/>
          <w:kern w:val="0"/>
          <w:sz w:val="24"/>
          <w:highlight w:val="none"/>
        </w:rPr>
        <w:t>2.评审标准</w:t>
      </w:r>
      <w:bookmarkEnd w:id="1"/>
    </w:p>
    <w:p w14:paraId="279D667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2.1初步评审标准</w:t>
      </w:r>
    </w:p>
    <w:p w14:paraId="74F5F9B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2.1.1形式评审标准：见评标办法前附表。</w:t>
      </w:r>
    </w:p>
    <w:p w14:paraId="5102635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2.1.2资格评审标准：见评标办法前附表。</w:t>
      </w:r>
    </w:p>
    <w:p w14:paraId="153FC0E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2.1.2资格评审标准：见资格预审文件第三章“资格审查办法”详细审查标准。</w:t>
      </w:r>
    </w:p>
    <w:p w14:paraId="3A49C85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2.1.3响应性评审标准：见评标办法前附表。</w:t>
      </w:r>
    </w:p>
    <w:p w14:paraId="7C6E81E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2.2分值构成与评分标准</w:t>
      </w:r>
    </w:p>
    <w:p w14:paraId="585109D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2.2.1第一个信封评分分值构成</w:t>
      </w:r>
    </w:p>
    <w:p w14:paraId="57AF1B2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（1）施工组织设计：见评标办法前附表；</w:t>
      </w:r>
    </w:p>
    <w:p w14:paraId="20784C6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（2）主要人员：见评标办法前附表；</w:t>
      </w:r>
    </w:p>
    <w:p w14:paraId="21CE884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（3）其他评分因素：见评标办法前附表。</w:t>
      </w:r>
    </w:p>
    <w:p w14:paraId="1DD771B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2.2.2第一个信封评分评分标准</w:t>
      </w:r>
    </w:p>
    <w:p w14:paraId="4170E64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（1）施工组织设计评分标准：见评标办法前附表；</w:t>
      </w:r>
    </w:p>
    <w:p w14:paraId="46917EF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（2）主要人员评分标准：见评标办法前附表；</w:t>
      </w:r>
    </w:p>
    <w:p w14:paraId="0E9B1B8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（3）其他因素评分标准：见评标办法前附表。</w:t>
      </w:r>
    </w:p>
    <w:p w14:paraId="718634D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2.2.3第二个信封详细评审标准：见评标办法前附表。</w:t>
      </w:r>
    </w:p>
    <w:p w14:paraId="2EB75AEF">
      <w:pPr>
        <w:spacing w:line="360" w:lineRule="auto"/>
        <w:ind w:firstLine="482" w:firstLineChars="200"/>
        <w:outlineLvl w:val="1"/>
        <w:rPr>
          <w:rFonts w:hint="eastAsia" w:ascii="宋体" w:hAnsi="宋体" w:cs="宋体"/>
          <w:b/>
          <w:bCs/>
          <w:snapToGrid w:val="0"/>
          <w:color w:val="auto"/>
          <w:kern w:val="0"/>
          <w:sz w:val="24"/>
          <w:highlight w:val="none"/>
        </w:rPr>
      </w:pPr>
      <w:bookmarkStart w:id="2" w:name="_Toc19799"/>
      <w:r>
        <w:rPr>
          <w:rFonts w:hint="eastAsia" w:ascii="宋体" w:hAnsi="宋体" w:cs="宋体"/>
          <w:b/>
          <w:bCs/>
          <w:snapToGrid w:val="0"/>
          <w:color w:val="auto"/>
          <w:kern w:val="0"/>
          <w:sz w:val="24"/>
          <w:highlight w:val="none"/>
        </w:rPr>
        <w:t>3.评标程序</w:t>
      </w:r>
      <w:bookmarkEnd w:id="2"/>
    </w:p>
    <w:p w14:paraId="6F7D6DC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3.1第一个信封初步评审</w:t>
      </w:r>
    </w:p>
    <w:p w14:paraId="3A39984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25A1DEF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3.2第一个信封详细评审</w:t>
      </w:r>
    </w:p>
    <w:p w14:paraId="786F128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3.2.1评标委员会按本章第2.2款规定的量化因素和分值进行打分，并计算出各投标人的商务和技术得分。</w:t>
      </w:r>
    </w:p>
    <w:p w14:paraId="65890F4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（1）按本章第2.2.2项（1）目规定的评审因素和分值对施工组织设计部分计算出得分A；</w:t>
      </w:r>
    </w:p>
    <w:p w14:paraId="193A17D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（2）按本章第2.2.2项（2）目规定的评审因素和分值对主要人员部分计算出得分B；</w:t>
      </w:r>
    </w:p>
    <w:p w14:paraId="12B6715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（3）按本章第2.2.2项（3）目规定的评审因素和分值对其他部分计算出得分C。</w:t>
      </w:r>
    </w:p>
    <w:p w14:paraId="44E0C04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3.2.2投标人的商务和技术得分分值计算保留小数点后两位，小数点后第三位“四舍五入”。</w:t>
      </w:r>
    </w:p>
    <w:p w14:paraId="42D5A9F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3.2.3投标人的商务和技术得分=A+B+C。</w:t>
      </w:r>
    </w:p>
    <w:p w14:paraId="629A8BC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3.2.4评标委员会按照投标人的商务和技术得分由高到低排序，排名在评标办法前附表规定数量以内的投标人，其投标文件第一个信封（商务及技术文件）通过详细评审。</w:t>
      </w:r>
    </w:p>
    <w:p w14:paraId="627C824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626E0DF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3.3第二个信封开标</w:t>
      </w:r>
    </w:p>
    <w:p w14:paraId="5A0DCF5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0613ACF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3.4第二个信封初步评审</w:t>
      </w:r>
    </w:p>
    <w:p w14:paraId="0BA5F24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3.4.1评标委员会依据本章第2.1.1项、第2.1.3项规定的评审标准对投标文件第二个信封（报价文件）进行初步评审。有一项不符合评审标准的，评标委员会应否决其投标。第三章评标办法（技术评分最低标价法）</w:t>
      </w:r>
    </w:p>
    <w:p w14:paraId="48A5117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3.4.2投标报价有算术错误的，评标委员会按以下原则对投标报价进行修正，修正的价格经投标人书面确认后具有约束力。投标人不接受修正价格的，评标委员会应否决其投标。</w:t>
      </w:r>
    </w:p>
    <w:p w14:paraId="68FA207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（1）投标文件中的大写金额与小写金额不一致的，以大写金额为准；</w:t>
      </w:r>
    </w:p>
    <w:p w14:paraId="64EB94E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（2）总价金额与依据单价计算出的结果不一致的，以单价金额为准修正总价，但单价金额小数点有明显错误的除外；</w:t>
      </w:r>
    </w:p>
    <w:p w14:paraId="4CEE719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（3）当单价与数量相乘不等于合价时，以单价计算为准，如果单价有明显的小数点位置差错，应以标出的合价为准，同时对单价予以修正；</w:t>
      </w:r>
    </w:p>
    <w:p w14:paraId="4FD5E5B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（4）当各子目的合价累计不等于总价时，应以各子目合价累计数为准，修正总价。</w:t>
      </w:r>
    </w:p>
    <w:p w14:paraId="5FD4D12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3963B58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（1）在招标人给定的工程量清单中漏报了某个工程子目的单价、合价或总额价，或所报单价、合价或总额价减少了报价范围，则漏报的工程子目单价、合价和总额价或单价、合价和总</w:t>
      </w:r>
    </w:p>
    <w:p w14:paraId="59229F9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额价中减少的报价内容视为已含入其他工程子目的单价、合价和总额价之中。</w:t>
      </w:r>
    </w:p>
    <w:p w14:paraId="63CE017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3690F5A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（3）当单价与数量的乘积与合价（金额）虽然一致，但投标人修改了该子目的工程数量，</w:t>
      </w:r>
    </w:p>
    <w:p w14:paraId="1D75982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则其合价按招标人给定的工程数量乘以投标人所报单价予以修正。</w:t>
      </w:r>
    </w:p>
    <w:p w14:paraId="60DF4B5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3.4.4修正后的最终投标报价若超过最高投标限价（如有），评标委员会应否决其投标。</w:t>
      </w:r>
    </w:p>
    <w:p w14:paraId="745816C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3.5第二个信封详细评审</w:t>
      </w:r>
    </w:p>
    <w:p w14:paraId="3A383F0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3.5.1评标委员会按本章第2.2款规定的量化因素和标准进行价格折算，计算出评标价，并编制价格比较一览表。</w:t>
      </w:r>
    </w:p>
    <w:p w14:paraId="0F2F3EA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5E85A2B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3.6投标文件相关信息的核查</w:t>
      </w:r>
    </w:p>
    <w:p w14:paraId="105FF67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3.6.1在评标过程中，评标委员会应查询交通运输主管部门“全国公路建设市场监督管理系统”，对投标人的资质、业绩、主要人员资历和目前在岗情况、信用等级等信息进行核实。若投标文件载明的信息与交通运输主管部门“全国公路建设市场监督管理系统”发布的信息不符，使得投标人的资格条件不符合招标文件规定的，评标委员会应否决其投标。</w:t>
      </w:r>
    </w:p>
    <w:p w14:paraId="29E4052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6E97D1A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（1）有下列情形之一的，属于投标人相互串通投标：</w:t>
      </w:r>
    </w:p>
    <w:p w14:paraId="709160F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a.投标人之间协商投标报价等投标文件的实质性内容；</w:t>
      </w:r>
    </w:p>
    <w:p w14:paraId="24326CC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b.投标人之间约定中标人；</w:t>
      </w:r>
    </w:p>
    <w:p w14:paraId="16DC13C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c.投标人之间约定部分投标人放弃投标或中标；</w:t>
      </w:r>
    </w:p>
    <w:p w14:paraId="2585693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d.属于同一集团、协会、商会等组织成员的投标人按照该组织要求协同投标；</w:t>
      </w:r>
    </w:p>
    <w:p w14:paraId="6966CEF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e.投标人之间为谋取中标或排斥特定投标人而采取的其他联合行动。</w:t>
      </w:r>
    </w:p>
    <w:p w14:paraId="45E30D5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（2）有下列情形之一的，视为投标人相互串通投标：</w:t>
      </w:r>
    </w:p>
    <w:p w14:paraId="3A0B7D9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a.不同投标人的投标文件由同一单位或个人编制；</w:t>
      </w:r>
    </w:p>
    <w:p w14:paraId="7133067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b.不同投标人委托同一单位或个人办理投标事宜；</w:t>
      </w:r>
    </w:p>
    <w:p w14:paraId="1EDE5E2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c.不同投标人的投标文件载明的项目管理成员为同一人；</w:t>
      </w:r>
    </w:p>
    <w:p w14:paraId="4FC684C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d.不同投标人的投标文件异常一致或投标报价呈规律性差异；</w:t>
      </w:r>
    </w:p>
    <w:p w14:paraId="5FDDBCB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e.不同投标人的投标文件相互混装；</w:t>
      </w:r>
    </w:p>
    <w:p w14:paraId="6F3DBF5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f.不同投标人的投标保证金从同一单位或个人的账户转出。</w:t>
      </w:r>
    </w:p>
    <w:p w14:paraId="2A28EC4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（3）有下列情形之一的，属于招标人与投标人串通投标：</w:t>
      </w:r>
    </w:p>
    <w:p w14:paraId="1DB6332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a.招标人在开标前开启投标文件并将有关信息泄露给其他投标人;</w:t>
      </w:r>
    </w:p>
    <w:p w14:paraId="22077BC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b.招标人直接或间接向投标人泄露标底、评标委员会成员等信息；</w:t>
      </w:r>
    </w:p>
    <w:p w14:paraId="37B394B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c.招标人明示或暗示投标人压低或抬高投标报价；</w:t>
      </w:r>
    </w:p>
    <w:p w14:paraId="6501A35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d.招标人授意投标人撤换、修改投标文件；</w:t>
      </w:r>
    </w:p>
    <w:p w14:paraId="7678C06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e.招标人明示或暗示投标人为特定投标人中标提供方便；</w:t>
      </w:r>
    </w:p>
    <w:p w14:paraId="0A76225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f.招标人与投标人为谋求特定投标人中标而采取的其他串通行为。</w:t>
      </w:r>
    </w:p>
    <w:p w14:paraId="607E9AA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（4）投标人有下列情形之一的，属于弄虚作假的行为：</w:t>
      </w:r>
    </w:p>
    <w:p w14:paraId="63C3C64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a.使用通过受让或租借等方式获取的资格、资质证书投标；</w:t>
      </w:r>
    </w:p>
    <w:p w14:paraId="7A67EB4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b.使用伪造、变造的许可证件；</w:t>
      </w:r>
    </w:p>
    <w:p w14:paraId="54F387D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c.提供虚假的财务状况或业绩；</w:t>
      </w:r>
    </w:p>
    <w:p w14:paraId="518D1AA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d.提供虚假的项目负责人或主要技术人员简历、劳动关系证明；</w:t>
      </w:r>
    </w:p>
    <w:p w14:paraId="0521FFC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e.提供虚假的信用状况；</w:t>
      </w:r>
    </w:p>
    <w:p w14:paraId="3EAC0D9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f.其他弄虚作假的行为。</w:t>
      </w:r>
    </w:p>
    <w:p w14:paraId="7C20931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3.7投标文件的澄清和说明</w:t>
      </w:r>
    </w:p>
    <w:p w14:paraId="1ACD7B0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DC1F47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3.7.2澄清和说明不得超出投标文件的范围或改变投标文件的实质性内容（算术性错误的修正除外）。投标人的书面澄清、说明属于投标文件的组成部分。</w:t>
      </w:r>
    </w:p>
    <w:p w14:paraId="54AA263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3.7.3评标委员会不得暗示或诱导投标人作出澄清、说明，对投标人提交的澄清、说明有疑问的，可以要求投标人进一步澄清或说明，直至满足评标委员会的要求。</w:t>
      </w:r>
    </w:p>
    <w:p w14:paraId="55AEE54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3.7.4凡超出招标文件规定的或给发包人带来未曾要求的利益的变化、偏差或其他因素在评标时不予考虑。</w:t>
      </w:r>
    </w:p>
    <w:p w14:paraId="3E881A6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3.8不得否决投标的情形</w:t>
      </w:r>
    </w:p>
    <w:p w14:paraId="0DEE109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投标文件存在第二章“投标人须知”第1.12.3项所列情形的，均视为细微偏差，评标委员会不得否决投标人的投标，应按照第二章“投标人须知”第1.12.4项规定的原则处理。</w:t>
      </w:r>
    </w:p>
    <w:p w14:paraId="4ABBBF4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3.9评标结果</w:t>
      </w:r>
    </w:p>
    <w:p w14:paraId="5D72E9C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3.9.1除第二章“投标人须知”前附表授权直接确定中标人外，评标委员会按照评标价由低到高的顺序推荐中标候选人，并标明排序。</w:t>
      </w:r>
    </w:p>
    <w:p w14:paraId="3FF9BAD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3.9.2评标委员会完成评标后，应向招标人提交书面评标报告。</w:t>
      </w:r>
    </w:p>
    <w:p w14:paraId="4360A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33AAA664">
      <w:pPr>
        <w:pStyle w:val="4"/>
      </w:pPr>
      <w:r>
        <w:rPr>
          <w:rStyle w:val="7"/>
        </w:rPr>
        <w:footnoteRef/>
      </w:r>
      <w:r>
        <w:t xml:space="preserve"> </w:t>
      </w:r>
      <w:r>
        <w:rPr>
          <w:rFonts w:hint="eastAsia"/>
        </w:rPr>
        <w:t>若出现投标人须知前附表10.2.6项招标内容包含多个类别的情况，按该条款的原则计算最终信用等级得分，得分较高的优先。</w:t>
      </w:r>
    </w:p>
  </w:footnote>
  <w:footnote w:id="1">
    <w:p w14:paraId="6B2FA92C">
      <w:pPr>
        <w:pStyle w:val="4"/>
      </w:pPr>
      <w:r>
        <w:footnoteRef/>
      </w:r>
      <w:r>
        <w:t xml:space="preserve"> 本项规定仅适用于根据《关于发布公路工程从业企业资质名录的通知》（厅公路字〔2011〕114 号）要求，招标人 应通过名录对投标人资质条件进行审核的公路工程施工企业。J 类附属区房建工程招标时应删除本款规定内容。</w:t>
      </w:r>
    </w:p>
  </w:footnote>
  <w:footnote w:id="2">
    <w:p w14:paraId="19BDD3DD">
      <w:pPr>
        <w:pStyle w:val="4"/>
        <w:rPr>
          <w:rFonts w:hint="eastAsia"/>
        </w:rPr>
      </w:pPr>
      <w:r>
        <w:rPr>
          <w:rFonts w:hint="eastAsia"/>
        </w:rPr>
        <w:footnoteRef/>
      </w:r>
      <w:r>
        <w:rPr>
          <w:rFonts w:hint="eastAsia"/>
        </w:rPr>
        <w:t>“技术能力”指投标人的科研开发和技术创新能力，招标人可结合招标项目的具体情况提出相关要求，包括投标人获得的与项目施工有关的国家级工法、专利（发明专利或实用新型专利）、国家或省级科学技术进步奖，主编或参编过的国家、行业或地方标准等。</w:t>
      </w:r>
    </w:p>
  </w:footnote>
  <w:footnote w:id="3">
    <w:p w14:paraId="1FD16407">
      <w:pPr>
        <w:pStyle w:val="4"/>
        <w:rPr>
          <w:rFonts w:hint="eastAsia"/>
        </w:rPr>
      </w:pPr>
      <w:r>
        <w:rPr>
          <w:rFonts w:hint="eastAsia"/>
        </w:rPr>
        <w:footnoteRef/>
      </w:r>
      <w:r>
        <w:rPr>
          <w:rFonts w:hint="eastAsia"/>
        </w:rPr>
        <w:t>如本项目招标采用第二章“投标人须知”第3.2.1项（1)目规定的投标人按照招标人提供的工程量固化清单电子文件填写工程量清单的，无须按照本章第3.4.2项和第3.4.3项的规定对投标报价进行修正，经评审的投标价（评标价）=投标函文字报价一暂估价一暂列金额（不含计日工总额）。</w:t>
      </w:r>
    </w:p>
  </w:footnote>
  <w:footnote w:id="4">
    <w:p w14:paraId="6D6BF957">
      <w:pPr>
        <w:pStyle w:val="4"/>
        <w:rPr>
          <w:rFonts w:hint="eastAsia"/>
        </w:rPr>
      </w:pPr>
      <w:r>
        <w:rPr>
          <w:rFonts w:hint="eastAsia"/>
        </w:rPr>
        <w:footnoteRef/>
      </w:r>
      <w:r>
        <w:rPr>
          <w:rFonts w:hint="eastAsia"/>
        </w:rPr>
        <w:t>本条所述“名次”包含了并列的情况；如名次为1,1,3,4,5，则前5名为5家投标人；如名次为1,2,3,4,5,5，则前5名为6家投标人，下同。</w:t>
      </w:r>
    </w:p>
  </w:footnote>
  <w:footnote w:id="5">
    <w:p w14:paraId="00499E46">
      <w:pPr>
        <w:pStyle w:val="4"/>
        <w:rPr>
          <w:highlight w:val="none"/>
        </w:rPr>
      </w:pPr>
      <w:r>
        <w:rPr>
          <w:rStyle w:val="7"/>
          <w:highlight w:val="none"/>
        </w:rPr>
        <w:footnoteRef/>
      </w:r>
      <w:r>
        <w:rPr>
          <w:highlight w:val="none"/>
        </w:rPr>
        <w:t xml:space="preserve"> 本条内容所指的行政处罚和正式约谈是指</w:t>
      </w:r>
      <w:r>
        <w:rPr>
          <w:rFonts w:hint="eastAsia"/>
          <w:highlight w:val="none"/>
          <w:lang w:val="en-US" w:eastAsia="zh-CN"/>
        </w:rPr>
        <w:t>2024年4月1日</w:t>
      </w:r>
      <w:r>
        <w:rPr>
          <w:highlight w:val="none"/>
        </w:rPr>
        <w:t>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B9A90"/>
    <w:multiLevelType w:val="singleLevel"/>
    <w:tmpl w:val="CC6B9A90"/>
    <w:lvl w:ilvl="0" w:tentative="0">
      <w:start w:val="3"/>
      <w:numFmt w:val="chineseCounting"/>
      <w:suff w:val="space"/>
      <w:lvlText w:val="第%1章"/>
      <w:lvlJc w:val="left"/>
      <w:rPr>
        <w:rFonts w:hint="eastAsia"/>
      </w:rPr>
    </w:lvl>
  </w:abstractNum>
  <w:abstractNum w:abstractNumId="1">
    <w:nsid w:val="2168CBF2"/>
    <w:multiLevelType w:val="singleLevel"/>
    <w:tmpl w:val="2168CBF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4193A"/>
    <w:rsid w:val="6F14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footnote text"/>
    <w:basedOn w:val="1"/>
    <w:qFormat/>
    <w:uiPriority w:val="0"/>
    <w:pPr>
      <w:snapToGrid w:val="0"/>
      <w:jc w:val="left"/>
    </w:pPr>
    <w:rPr>
      <w:sz w:val="18"/>
      <w:szCs w:val="18"/>
    </w:rPr>
  </w:style>
  <w:style w:type="character" w:styleId="7">
    <w:name w:val="footnote reference"/>
    <w:basedOn w:val="6"/>
    <w:qFormat/>
    <w:uiPriority w:val="0"/>
    <w:rPr>
      <w:vertAlign w:val="superscript"/>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2025-04-11T12:12:00Z</dcterms:created>
  <dc:creator>可妮兔</dc:creator>
  <cp:lastModifiedBy>可妮兔</cp:lastModifiedBy>
  <dcterms:modified xsi:type="dcterms:W3CDTF">2025-04-11T12:13:44Z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80EEF9B8C8CC4BF3B38AC25E2277F580_11</vt:lpwstr>
  </property>
  <property fmtid="{D5CDD505-2E9C-101B-9397-08002B2CF9AE}" pid="4" name="KSOTemplateDocerSaveRecord">
    <vt:lpwstr>eyJoZGlkIjoiZjQ2YTY5NTU1ZDg1NGQ2ODQ5N2VlMTYwYTM5YWVhMDciLCJ1c2VySWQiOiIyMTMyNjI4NzAifQ==</vt:lpwstr>
  </property>
</Properties>
</file>