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E1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宋体" w:hAnsi="宋体" w:eastAsia="宋体" w:cs="宋体"/>
          <w:b/>
          <w:color w:val="auto"/>
          <w:kern w:val="2"/>
          <w:sz w:val="52"/>
          <w:szCs w:val="52"/>
          <w:highlight w:val="none"/>
          <w:u w:val="single"/>
          <w:lang w:val="en-US" w:eastAsia="zh-CN" w:bidi="ar-SA"/>
        </w:rPr>
      </w:pPr>
    </w:p>
    <w:p w14:paraId="3042C4A1">
      <w:pPr>
        <w:spacing w:line="360" w:lineRule="auto"/>
        <w:jc w:val="center"/>
        <w:rPr>
          <w:rFonts w:hint="eastAsia" w:ascii="宋体" w:hAnsi="宋体" w:eastAsia="宋体" w:cs="宋体"/>
          <w:color w:val="auto"/>
          <w:sz w:val="72"/>
          <w:szCs w:val="72"/>
          <w:highlight w:val="none"/>
          <w:u w:val="single"/>
        </w:rPr>
      </w:pPr>
      <w:r>
        <w:rPr>
          <w:rFonts w:hint="eastAsia" w:ascii="宋体" w:hAnsi="宋体" w:eastAsia="宋体" w:cs="宋体"/>
          <w:b/>
          <w:color w:val="auto"/>
          <w:kern w:val="2"/>
          <w:sz w:val="52"/>
          <w:szCs w:val="52"/>
          <w:highlight w:val="none"/>
          <w:u w:val="single"/>
          <w:lang w:val="en-US" w:eastAsia="zh-CN" w:bidi="ar-SA"/>
        </w:rPr>
        <w:t>2023年从化区农田防护林带建设工程</w:t>
      </w:r>
    </w:p>
    <w:p w14:paraId="0F2CF8E2">
      <w:pPr>
        <w:pStyle w:val="8"/>
        <w:rPr>
          <w:rFonts w:hint="eastAsia"/>
        </w:rPr>
      </w:pPr>
    </w:p>
    <w:p w14:paraId="74575969">
      <w:pPr>
        <w:spacing w:line="360" w:lineRule="auto"/>
        <w:jc w:val="cente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pPr>
    </w:p>
    <w:p w14:paraId="207562F9">
      <w:pPr>
        <w:spacing w:line="360" w:lineRule="auto"/>
        <w:jc w:val="cente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t>招标文件</w:t>
      </w:r>
    </w:p>
    <w:p w14:paraId="6899B48D">
      <w:pPr>
        <w:spacing w:line="360" w:lineRule="auto"/>
        <w:jc w:val="center"/>
        <w:rPr>
          <w:rFonts w:hint="eastAsia" w:ascii="宋体" w:hAnsi="宋体" w:eastAsia="宋体" w:cs="宋体"/>
          <w:color w:val="auto"/>
          <w:sz w:val="32"/>
          <w:highlight w:val="none"/>
        </w:rPr>
      </w:pPr>
    </w:p>
    <w:p w14:paraId="74A56701">
      <w:pPr>
        <w:pStyle w:val="14"/>
        <w:ind w:left="0" w:leftChars="0" w:firstLine="0" w:firstLineChars="0"/>
        <w:rPr>
          <w:rFonts w:hint="eastAsia" w:ascii="宋体" w:hAnsi="宋体" w:eastAsia="宋体" w:cs="宋体"/>
          <w:color w:val="auto"/>
          <w:sz w:val="32"/>
          <w:highlight w:val="none"/>
        </w:rPr>
      </w:pPr>
    </w:p>
    <w:p w14:paraId="61737E48">
      <w:pPr>
        <w:pStyle w:val="14"/>
        <w:rPr>
          <w:rFonts w:hint="eastAsia" w:ascii="宋体" w:hAnsi="宋体" w:eastAsia="宋体" w:cs="宋体"/>
          <w:color w:val="auto"/>
          <w:sz w:val="32"/>
          <w:highlight w:val="none"/>
        </w:rPr>
      </w:pPr>
    </w:p>
    <w:p w14:paraId="5FF4C354">
      <w:pPr>
        <w:pStyle w:val="14"/>
        <w:rPr>
          <w:rFonts w:hint="eastAsia" w:ascii="宋体" w:hAnsi="宋体" w:eastAsia="宋体" w:cs="宋体"/>
          <w:color w:val="auto"/>
          <w:sz w:val="32"/>
          <w:highlight w:val="none"/>
        </w:rPr>
      </w:pPr>
    </w:p>
    <w:p w14:paraId="492EB206">
      <w:pPr>
        <w:pStyle w:val="14"/>
        <w:rPr>
          <w:rFonts w:hint="eastAsia" w:ascii="宋体" w:hAnsi="宋体" w:eastAsia="宋体" w:cs="宋体"/>
          <w:color w:val="auto"/>
          <w:sz w:val="44"/>
          <w:szCs w:val="44"/>
          <w:highlight w:val="none"/>
        </w:rPr>
      </w:pPr>
    </w:p>
    <w:p w14:paraId="59553D08">
      <w:pPr>
        <w:pStyle w:val="14"/>
        <w:rPr>
          <w:rFonts w:hint="eastAsia" w:ascii="宋体" w:hAnsi="宋体" w:eastAsia="宋体" w:cs="宋体"/>
          <w:color w:val="auto"/>
          <w:sz w:val="44"/>
          <w:szCs w:val="44"/>
          <w:highlight w:val="none"/>
        </w:rPr>
      </w:pPr>
    </w:p>
    <w:p w14:paraId="5E84A4B3">
      <w:pPr>
        <w:spacing w:line="360" w:lineRule="auto"/>
        <w:ind w:left="2410" w:leftChars="405" w:hanging="1560" w:hangingChars="520"/>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招标单位：</w:t>
      </w:r>
      <w:r>
        <w:rPr>
          <w:rFonts w:hint="eastAsia" w:ascii="宋体" w:hAnsi="宋体" w:eastAsia="宋体" w:cs="宋体"/>
          <w:color w:val="auto"/>
          <w:sz w:val="30"/>
          <w:szCs w:val="30"/>
          <w:highlight w:val="none"/>
          <w:u w:val="single"/>
          <w:lang w:eastAsia="zh-CN"/>
        </w:rPr>
        <w:t>广州市从化区林业和园林局</w:t>
      </w:r>
    </w:p>
    <w:p w14:paraId="052D919E">
      <w:pPr>
        <w:spacing w:line="360" w:lineRule="auto"/>
        <w:ind w:left="1498" w:leftChars="405" w:hanging="648" w:hangingChars="216"/>
        <w:rPr>
          <w:rFonts w:hint="default"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rPr>
        <w:t>招标代理机构：</w:t>
      </w:r>
      <w:r>
        <w:rPr>
          <w:rFonts w:hint="eastAsia" w:ascii="宋体" w:hAnsi="宋体" w:eastAsia="宋体" w:cs="宋体"/>
          <w:color w:val="auto"/>
          <w:sz w:val="30"/>
          <w:szCs w:val="30"/>
          <w:highlight w:val="none"/>
          <w:u w:val="single"/>
          <w:lang w:val="en-US" w:eastAsia="zh-CN"/>
        </w:rPr>
        <w:t>广东海外建设咨询有限公司</w:t>
      </w:r>
    </w:p>
    <w:p w14:paraId="3A6A4452">
      <w:pPr>
        <w:spacing w:line="360" w:lineRule="auto"/>
        <w:ind w:left="1498" w:leftChars="405" w:hanging="648" w:hangingChars="216"/>
        <w:rPr>
          <w:rFonts w:hint="eastAsia" w:ascii="宋体" w:hAnsi="宋体" w:eastAsia="宋体" w:cs="宋体"/>
          <w:color w:val="auto"/>
          <w:sz w:val="32"/>
          <w:highlight w:val="none"/>
        </w:rPr>
      </w:pPr>
      <w:r>
        <w:rPr>
          <w:rFonts w:hint="eastAsia" w:ascii="宋体" w:hAnsi="宋体" w:eastAsia="宋体" w:cs="宋体"/>
          <w:color w:val="auto"/>
          <w:sz w:val="30"/>
          <w:szCs w:val="30"/>
          <w:highlight w:val="none"/>
        </w:rPr>
        <w:t>日        期：</w:t>
      </w:r>
      <w:r>
        <w:rPr>
          <w:rFonts w:hint="eastAsia" w:ascii="宋体" w:hAnsi="宋体" w:eastAsia="宋体" w:cs="宋体"/>
          <w:color w:val="auto"/>
          <w:sz w:val="30"/>
          <w:szCs w:val="30"/>
          <w:highlight w:val="none"/>
          <w:u w:val="single"/>
        </w:rPr>
        <w:t>202</w:t>
      </w:r>
      <w:r>
        <w:rPr>
          <w:rFonts w:hint="eastAsia" w:ascii="宋体" w:hAnsi="宋体" w:eastAsia="宋体" w:cs="宋体"/>
          <w:color w:val="auto"/>
          <w:sz w:val="30"/>
          <w:szCs w:val="30"/>
          <w:highlight w:val="none"/>
          <w:u w:val="single"/>
          <w:lang w:val="en-US" w:eastAsia="zh-CN"/>
        </w:rPr>
        <w:t>5</w:t>
      </w:r>
      <w:r>
        <w:rPr>
          <w:rFonts w:hint="eastAsia" w:ascii="宋体" w:hAnsi="宋体" w:eastAsia="宋体" w:cs="宋体"/>
          <w:color w:val="auto"/>
          <w:sz w:val="30"/>
          <w:szCs w:val="30"/>
          <w:highlight w:val="none"/>
          <w:u w:val="single"/>
        </w:rPr>
        <w:t>年</w:t>
      </w:r>
      <w:r>
        <w:rPr>
          <w:rFonts w:hint="eastAsia" w:ascii="宋体" w:hAnsi="宋体" w:eastAsia="宋体" w:cs="宋体"/>
          <w:color w:val="auto"/>
          <w:sz w:val="30"/>
          <w:szCs w:val="30"/>
          <w:highlight w:val="none"/>
          <w:u w:val="single"/>
          <w:lang w:val="en-US" w:eastAsia="zh-CN"/>
        </w:rPr>
        <w:t>4</w:t>
      </w:r>
      <w:r>
        <w:rPr>
          <w:rFonts w:hint="eastAsia" w:ascii="宋体" w:hAnsi="宋体" w:eastAsia="宋体" w:cs="宋体"/>
          <w:color w:val="auto"/>
          <w:sz w:val="30"/>
          <w:szCs w:val="30"/>
          <w:highlight w:val="none"/>
          <w:u w:val="single"/>
        </w:rPr>
        <w:t>月</w:t>
      </w:r>
    </w:p>
    <w:p w14:paraId="143B1878">
      <w:pPr>
        <w:widowControl/>
        <w:spacing w:line="240" w:lineRule="auto"/>
        <w:jc w:val="left"/>
        <w:rPr>
          <w:rFonts w:hint="eastAsia" w:ascii="宋体" w:hAnsi="宋体" w:eastAsia="宋体"/>
          <w:b/>
          <w:color w:val="auto"/>
          <w:sz w:val="36"/>
          <w:szCs w:val="36"/>
          <w:highlight w:val="none"/>
        </w:rPr>
      </w:pPr>
      <w:r>
        <w:rPr>
          <w:rFonts w:hint="eastAsia" w:ascii="宋体" w:hAnsi="宋体" w:eastAsia="宋体"/>
          <w:b/>
          <w:color w:val="auto"/>
          <w:sz w:val="44"/>
          <w:szCs w:val="44"/>
          <w:highlight w:val="none"/>
        </w:rPr>
        <w:t xml:space="preserve">               </w:t>
      </w:r>
      <w:r>
        <w:rPr>
          <w:rFonts w:hint="eastAsia" w:ascii="宋体" w:hAnsi="宋体" w:eastAsia="宋体"/>
          <w:b/>
          <w:color w:val="auto"/>
          <w:sz w:val="36"/>
          <w:szCs w:val="36"/>
          <w:highlight w:val="none"/>
        </w:rPr>
        <w:t xml:space="preserve">                </w:t>
      </w:r>
    </w:p>
    <w:p w14:paraId="78D4E4A5">
      <w:pPr>
        <w:rPr>
          <w:rStyle w:val="19"/>
          <w:rFonts w:hint="eastAsia" w:ascii="宋体"/>
          <w:b/>
          <w:bCs/>
          <w:color w:val="auto"/>
          <w:sz w:val="32"/>
          <w:szCs w:val="32"/>
          <w:highlight w:val="none"/>
          <w:u w:val="none"/>
        </w:rPr>
      </w:pPr>
      <w:r>
        <w:rPr>
          <w:rStyle w:val="19"/>
          <w:rFonts w:hint="eastAsia" w:ascii="宋体"/>
          <w:b/>
          <w:bCs/>
          <w:color w:val="auto"/>
          <w:sz w:val="32"/>
          <w:szCs w:val="32"/>
          <w:highlight w:val="none"/>
          <w:u w:val="none"/>
        </w:rPr>
        <w:br w:type="page"/>
      </w:r>
    </w:p>
    <w:p w14:paraId="7D8F642F">
      <w:pPr>
        <w:jc w:val="center"/>
        <w:rPr>
          <w:rStyle w:val="19"/>
          <w:rFonts w:ascii="宋体"/>
          <w:b/>
          <w:bCs/>
          <w:color w:val="auto"/>
          <w:sz w:val="32"/>
          <w:szCs w:val="32"/>
          <w:highlight w:val="none"/>
          <w:u w:val="none"/>
        </w:rPr>
      </w:pPr>
      <w:r>
        <w:rPr>
          <w:rStyle w:val="19"/>
          <w:rFonts w:hint="eastAsia" w:ascii="宋体"/>
          <w:b/>
          <w:bCs/>
          <w:color w:val="auto"/>
          <w:sz w:val="32"/>
          <w:szCs w:val="32"/>
          <w:highlight w:val="none"/>
          <w:u w:val="none"/>
        </w:rPr>
        <w:t>目      录</w:t>
      </w:r>
    </w:p>
    <w:p w14:paraId="08E7D32D">
      <w:pPr>
        <w:pStyle w:val="12"/>
        <w:tabs>
          <w:tab w:val="right" w:leader="dot" w:pos="8754"/>
          <w:tab w:val="clear" w:pos="8493"/>
        </w:tabs>
        <w:spacing w:line="300" w:lineRule="exact"/>
        <w:rPr>
          <w:rFonts w:hint="eastAsia" w:eastAsia="宋体" w:cs="宋体"/>
          <w:color w:val="auto"/>
          <w:sz w:val="21"/>
          <w:szCs w:val="21"/>
          <w:highlight w:val="none"/>
        </w:rPr>
      </w:pPr>
    </w:p>
    <w:p w14:paraId="70CA80A3">
      <w:pPr>
        <w:pStyle w:val="13"/>
        <w:tabs>
          <w:tab w:val="right" w:leader="dot" w:pos="8697"/>
          <w:tab w:val="clear" w:pos="9060"/>
        </w:tabs>
      </w:pPr>
      <w:r>
        <w:rPr>
          <w:rFonts w:hint="eastAsia" w:eastAsia="宋体" w:cs="宋体"/>
          <w:color w:val="auto"/>
          <w:sz w:val="21"/>
          <w:szCs w:val="21"/>
          <w:highlight w:val="none"/>
        </w:rPr>
        <w:fldChar w:fldCharType="begin"/>
      </w:r>
      <w:r>
        <w:rPr>
          <w:rFonts w:hint="eastAsia" w:eastAsia="宋体" w:cs="宋体"/>
          <w:color w:val="auto"/>
          <w:sz w:val="21"/>
          <w:szCs w:val="21"/>
          <w:highlight w:val="none"/>
        </w:rPr>
        <w:instrText xml:space="preserve">TOC \o "1-3" \h \u </w:instrText>
      </w:r>
      <w:r>
        <w:rPr>
          <w:rFonts w:hint="eastAsia" w:eastAsia="宋体" w:cs="宋体"/>
          <w:color w:val="auto"/>
          <w:sz w:val="21"/>
          <w:szCs w:val="21"/>
          <w:highlight w:val="none"/>
        </w:rPr>
        <w:fldChar w:fldCharType="separate"/>
      </w:r>
      <w:r>
        <w:rPr>
          <w:rFonts w:hint="eastAsia" w:eastAsia="宋体" w:cs="宋体"/>
          <w:color w:val="auto"/>
          <w:szCs w:val="21"/>
          <w:highlight w:val="none"/>
        </w:rPr>
        <w:fldChar w:fldCharType="begin"/>
      </w:r>
      <w:r>
        <w:rPr>
          <w:rFonts w:hint="eastAsia" w:eastAsia="宋体" w:cs="宋体"/>
          <w:szCs w:val="21"/>
          <w:highlight w:val="none"/>
        </w:rPr>
        <w:instrText xml:space="preserve"> HYPERLINK \l _Toc8737 </w:instrText>
      </w:r>
      <w:r>
        <w:rPr>
          <w:rFonts w:hint="eastAsia" w:eastAsia="宋体" w:cs="宋体"/>
          <w:szCs w:val="21"/>
          <w:highlight w:val="none"/>
        </w:rPr>
        <w:fldChar w:fldCharType="separate"/>
      </w:r>
      <w:r>
        <w:rPr>
          <w:rFonts w:hint="eastAsia" w:ascii="宋体" w:eastAsia="宋体"/>
          <w:highlight w:val="none"/>
        </w:rPr>
        <w:t>第一章  投标须知</w:t>
      </w:r>
      <w:r>
        <w:tab/>
      </w:r>
      <w:r>
        <w:fldChar w:fldCharType="begin"/>
      </w:r>
      <w:r>
        <w:instrText xml:space="preserve"> PAGEREF _Toc8737 \h </w:instrText>
      </w:r>
      <w:r>
        <w:fldChar w:fldCharType="separate"/>
      </w:r>
      <w:r>
        <w:t>3</w:t>
      </w:r>
      <w:r>
        <w:fldChar w:fldCharType="end"/>
      </w:r>
      <w:r>
        <w:rPr>
          <w:rFonts w:hint="eastAsia" w:eastAsia="宋体" w:cs="宋体"/>
          <w:color w:val="auto"/>
          <w:szCs w:val="21"/>
          <w:highlight w:val="none"/>
        </w:rPr>
        <w:fldChar w:fldCharType="end"/>
      </w:r>
    </w:p>
    <w:p w14:paraId="685988AB">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_Toc15329 </w:instrText>
      </w:r>
      <w:r>
        <w:rPr>
          <w:rFonts w:hint="eastAsia" w:ascii="宋体" w:hAnsi="宋体" w:eastAsia="宋体" w:cs="宋体"/>
          <w:szCs w:val="21"/>
          <w:highlight w:val="none"/>
        </w:rPr>
        <w:fldChar w:fldCharType="separate"/>
      </w:r>
      <w:r>
        <w:rPr>
          <w:rFonts w:hint="eastAsia" w:ascii="宋体" w:eastAsia="宋体"/>
          <w:highlight w:val="none"/>
        </w:rPr>
        <w:t>一、投标须知前附表</w:t>
      </w:r>
      <w:r>
        <w:tab/>
      </w:r>
      <w:r>
        <w:fldChar w:fldCharType="begin"/>
      </w:r>
      <w:r>
        <w:instrText xml:space="preserve"> PAGEREF _Toc15329 \h </w:instrText>
      </w:r>
      <w:r>
        <w:fldChar w:fldCharType="separate"/>
      </w:r>
      <w:r>
        <w:t>3</w:t>
      </w:r>
      <w:r>
        <w:fldChar w:fldCharType="end"/>
      </w:r>
      <w:r>
        <w:rPr>
          <w:rFonts w:hint="eastAsia" w:ascii="宋体" w:hAnsi="宋体" w:eastAsia="宋体" w:cs="宋体"/>
          <w:color w:val="auto"/>
          <w:szCs w:val="21"/>
          <w:highlight w:val="none"/>
        </w:rPr>
        <w:fldChar w:fldCharType="end"/>
      </w:r>
    </w:p>
    <w:p w14:paraId="148BC4FA">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_Toc15878 </w:instrText>
      </w:r>
      <w:r>
        <w:rPr>
          <w:rFonts w:hint="eastAsia" w:ascii="宋体" w:hAnsi="宋体" w:eastAsia="宋体" w:cs="宋体"/>
          <w:szCs w:val="21"/>
          <w:highlight w:val="none"/>
        </w:rPr>
        <w:fldChar w:fldCharType="separate"/>
      </w:r>
      <w:r>
        <w:rPr>
          <w:rFonts w:hint="eastAsia" w:ascii="宋体" w:eastAsia="宋体"/>
          <w:highlight w:val="none"/>
        </w:rPr>
        <w:t>二、投标须知修改表</w:t>
      </w:r>
      <w:r>
        <w:tab/>
      </w:r>
      <w:r>
        <w:fldChar w:fldCharType="begin"/>
      </w:r>
      <w:r>
        <w:instrText xml:space="preserve"> PAGEREF _Toc15878 \h </w:instrText>
      </w:r>
      <w:r>
        <w:fldChar w:fldCharType="separate"/>
      </w:r>
      <w:r>
        <w:t>7</w:t>
      </w:r>
      <w:r>
        <w:fldChar w:fldCharType="end"/>
      </w:r>
      <w:r>
        <w:rPr>
          <w:rFonts w:hint="eastAsia" w:ascii="宋体" w:hAnsi="宋体" w:eastAsia="宋体" w:cs="宋体"/>
          <w:color w:val="auto"/>
          <w:szCs w:val="21"/>
          <w:highlight w:val="none"/>
        </w:rPr>
        <w:fldChar w:fldCharType="end"/>
      </w:r>
    </w:p>
    <w:p w14:paraId="06ABF7D8">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_Toc3541 </w:instrText>
      </w:r>
      <w:r>
        <w:rPr>
          <w:rFonts w:hint="eastAsia" w:ascii="宋体" w:hAnsi="宋体" w:eastAsia="宋体" w:cs="宋体"/>
          <w:szCs w:val="21"/>
          <w:highlight w:val="none"/>
        </w:rPr>
        <w:fldChar w:fldCharType="separate"/>
      </w:r>
      <w:r>
        <w:rPr>
          <w:rFonts w:hint="eastAsia" w:ascii="宋体" w:eastAsia="宋体"/>
          <w:highlight w:val="none"/>
        </w:rPr>
        <w:t>三、投标须知通用条款</w:t>
      </w:r>
      <w:r>
        <w:tab/>
      </w:r>
      <w:r>
        <w:fldChar w:fldCharType="begin"/>
      </w:r>
      <w:r>
        <w:instrText xml:space="preserve"> PAGEREF _Toc3541 \h </w:instrText>
      </w:r>
      <w:r>
        <w:fldChar w:fldCharType="separate"/>
      </w:r>
      <w:r>
        <w:t>15</w:t>
      </w:r>
      <w:r>
        <w:fldChar w:fldCharType="end"/>
      </w:r>
      <w:r>
        <w:rPr>
          <w:rFonts w:hint="eastAsia" w:ascii="宋体" w:hAnsi="宋体" w:eastAsia="宋体" w:cs="宋体"/>
          <w:color w:val="auto"/>
          <w:szCs w:val="21"/>
          <w:highlight w:val="none"/>
        </w:rPr>
        <w:fldChar w:fldCharType="end"/>
      </w:r>
    </w:p>
    <w:p w14:paraId="0F237338">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_Toc3682 </w:instrText>
      </w:r>
      <w:r>
        <w:rPr>
          <w:rFonts w:hint="eastAsia" w:ascii="宋体" w:hAnsi="宋体" w:eastAsia="宋体" w:cs="宋体"/>
          <w:szCs w:val="21"/>
          <w:highlight w:val="none"/>
        </w:rPr>
        <w:fldChar w:fldCharType="separate"/>
      </w:r>
      <w:r>
        <w:rPr>
          <w:rFonts w:hint="eastAsia" w:ascii="宋体" w:eastAsia="宋体"/>
          <w:highlight w:val="none"/>
        </w:rPr>
        <w:t>（一）总则</w:t>
      </w:r>
      <w:r>
        <w:tab/>
      </w:r>
      <w:r>
        <w:fldChar w:fldCharType="begin"/>
      </w:r>
      <w:r>
        <w:instrText xml:space="preserve"> PAGEREF _Toc3682 \h </w:instrText>
      </w:r>
      <w:r>
        <w:fldChar w:fldCharType="separate"/>
      </w:r>
      <w:r>
        <w:t>15</w:t>
      </w:r>
      <w:r>
        <w:fldChar w:fldCharType="end"/>
      </w:r>
      <w:r>
        <w:rPr>
          <w:rFonts w:hint="eastAsia" w:ascii="宋体" w:hAnsi="宋体" w:eastAsia="宋体" w:cs="宋体"/>
          <w:color w:val="auto"/>
          <w:szCs w:val="21"/>
          <w:highlight w:val="none"/>
        </w:rPr>
        <w:fldChar w:fldCharType="end"/>
      </w:r>
    </w:p>
    <w:p w14:paraId="031D1AC4">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_Toc9408 </w:instrText>
      </w:r>
      <w:r>
        <w:rPr>
          <w:rFonts w:hint="eastAsia" w:ascii="宋体" w:hAnsi="宋体" w:eastAsia="宋体" w:cs="宋体"/>
          <w:szCs w:val="21"/>
          <w:highlight w:val="none"/>
        </w:rPr>
        <w:fldChar w:fldCharType="separate"/>
      </w:r>
      <w:r>
        <w:rPr>
          <w:rFonts w:hint="eastAsia" w:ascii="宋体" w:eastAsia="宋体"/>
          <w:highlight w:val="none"/>
        </w:rPr>
        <w:t>（二）招标文件</w:t>
      </w:r>
      <w:r>
        <w:tab/>
      </w:r>
      <w:r>
        <w:fldChar w:fldCharType="begin"/>
      </w:r>
      <w:r>
        <w:instrText xml:space="preserve"> PAGEREF _Toc9408 \h </w:instrText>
      </w:r>
      <w:r>
        <w:fldChar w:fldCharType="separate"/>
      </w:r>
      <w:r>
        <w:t>16</w:t>
      </w:r>
      <w:r>
        <w:fldChar w:fldCharType="end"/>
      </w:r>
      <w:r>
        <w:rPr>
          <w:rFonts w:hint="eastAsia" w:ascii="宋体" w:hAnsi="宋体" w:eastAsia="宋体" w:cs="宋体"/>
          <w:color w:val="auto"/>
          <w:szCs w:val="21"/>
          <w:highlight w:val="none"/>
        </w:rPr>
        <w:fldChar w:fldCharType="end"/>
      </w:r>
    </w:p>
    <w:p w14:paraId="4FAAF777">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_Toc8649 </w:instrText>
      </w:r>
      <w:r>
        <w:rPr>
          <w:rFonts w:hint="eastAsia" w:ascii="宋体" w:hAnsi="宋体" w:eastAsia="宋体" w:cs="宋体"/>
          <w:szCs w:val="21"/>
          <w:highlight w:val="none"/>
        </w:rPr>
        <w:fldChar w:fldCharType="separate"/>
      </w:r>
      <w:r>
        <w:rPr>
          <w:rFonts w:hint="eastAsia" w:ascii="宋体" w:eastAsia="宋体"/>
          <w:highlight w:val="none"/>
        </w:rPr>
        <w:t>（三）投标文件的编制</w:t>
      </w:r>
      <w:r>
        <w:tab/>
      </w:r>
      <w:r>
        <w:fldChar w:fldCharType="begin"/>
      </w:r>
      <w:r>
        <w:instrText xml:space="preserve"> PAGEREF _Toc8649 \h </w:instrText>
      </w:r>
      <w:r>
        <w:fldChar w:fldCharType="separate"/>
      </w:r>
      <w:r>
        <w:t>18</w:t>
      </w:r>
      <w:r>
        <w:fldChar w:fldCharType="end"/>
      </w:r>
      <w:r>
        <w:rPr>
          <w:rFonts w:hint="eastAsia" w:ascii="宋体" w:hAnsi="宋体" w:eastAsia="宋体" w:cs="宋体"/>
          <w:color w:val="auto"/>
          <w:szCs w:val="21"/>
          <w:highlight w:val="none"/>
        </w:rPr>
        <w:fldChar w:fldCharType="end"/>
      </w:r>
    </w:p>
    <w:p w14:paraId="101FF0E5">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_Toc4533 </w:instrText>
      </w:r>
      <w:r>
        <w:rPr>
          <w:rFonts w:hint="eastAsia" w:ascii="宋体" w:hAnsi="宋体" w:eastAsia="宋体" w:cs="宋体"/>
          <w:szCs w:val="21"/>
          <w:highlight w:val="none"/>
        </w:rPr>
        <w:fldChar w:fldCharType="separate"/>
      </w:r>
      <w:r>
        <w:rPr>
          <w:rFonts w:hint="eastAsia" w:ascii="宋体" w:eastAsia="宋体"/>
          <w:highlight w:val="none"/>
        </w:rPr>
        <w:t>（四）投标文件的递交</w:t>
      </w:r>
      <w:r>
        <w:tab/>
      </w:r>
      <w:r>
        <w:fldChar w:fldCharType="begin"/>
      </w:r>
      <w:r>
        <w:instrText xml:space="preserve"> PAGEREF _Toc4533 \h </w:instrText>
      </w:r>
      <w:r>
        <w:fldChar w:fldCharType="separate"/>
      </w:r>
      <w:r>
        <w:t>24</w:t>
      </w:r>
      <w:r>
        <w:fldChar w:fldCharType="end"/>
      </w:r>
      <w:r>
        <w:rPr>
          <w:rFonts w:hint="eastAsia" w:ascii="宋体" w:hAnsi="宋体" w:eastAsia="宋体" w:cs="宋体"/>
          <w:color w:val="auto"/>
          <w:szCs w:val="21"/>
          <w:highlight w:val="none"/>
        </w:rPr>
        <w:fldChar w:fldCharType="end"/>
      </w:r>
    </w:p>
    <w:p w14:paraId="32E44992">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_Toc22156 </w:instrText>
      </w:r>
      <w:r>
        <w:rPr>
          <w:rFonts w:hint="eastAsia" w:ascii="宋体" w:hAnsi="宋体" w:eastAsia="宋体" w:cs="宋体"/>
          <w:szCs w:val="21"/>
          <w:highlight w:val="none"/>
        </w:rPr>
        <w:fldChar w:fldCharType="separate"/>
      </w:r>
      <w:r>
        <w:rPr>
          <w:rFonts w:hint="eastAsia" w:ascii="宋体" w:eastAsia="宋体"/>
          <w:highlight w:val="none"/>
        </w:rPr>
        <w:t>（五）开标、评标、定标及合同签订</w:t>
      </w:r>
      <w:r>
        <w:tab/>
      </w:r>
      <w:r>
        <w:fldChar w:fldCharType="begin"/>
      </w:r>
      <w:r>
        <w:instrText xml:space="preserve"> PAGEREF _Toc22156 \h </w:instrText>
      </w:r>
      <w:r>
        <w:fldChar w:fldCharType="separate"/>
      </w:r>
      <w:r>
        <w:t>25</w:t>
      </w:r>
      <w:r>
        <w:fldChar w:fldCharType="end"/>
      </w:r>
      <w:r>
        <w:rPr>
          <w:rFonts w:hint="eastAsia" w:ascii="宋体" w:hAnsi="宋体" w:eastAsia="宋体" w:cs="宋体"/>
          <w:color w:val="auto"/>
          <w:szCs w:val="21"/>
          <w:highlight w:val="none"/>
        </w:rPr>
        <w:fldChar w:fldCharType="end"/>
      </w:r>
    </w:p>
    <w:p w14:paraId="370B808A">
      <w:pPr>
        <w:pStyle w:val="13"/>
        <w:tabs>
          <w:tab w:val="right" w:leader="dot" w:pos="8697"/>
          <w:tab w:val="clear" w:pos="9060"/>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_Toc11554 </w:instrText>
      </w:r>
      <w:r>
        <w:rPr>
          <w:rFonts w:hint="eastAsia" w:ascii="宋体" w:hAnsi="宋体" w:eastAsia="宋体" w:cs="宋体"/>
          <w:szCs w:val="21"/>
          <w:highlight w:val="none"/>
        </w:rPr>
        <w:fldChar w:fldCharType="separate"/>
      </w:r>
      <w:r>
        <w:rPr>
          <w:rFonts w:hint="eastAsia" w:ascii="宋体" w:eastAsia="宋体"/>
          <w:highlight w:val="none"/>
        </w:rPr>
        <w:t>第二章  开标、评标及定标办法</w:t>
      </w:r>
      <w:r>
        <w:tab/>
      </w:r>
      <w:r>
        <w:fldChar w:fldCharType="begin"/>
      </w:r>
      <w:r>
        <w:instrText xml:space="preserve"> PAGEREF _Toc11554 \h </w:instrText>
      </w:r>
      <w:r>
        <w:fldChar w:fldCharType="separate"/>
      </w:r>
      <w:r>
        <w:t>29</w:t>
      </w:r>
      <w:r>
        <w:fldChar w:fldCharType="end"/>
      </w:r>
      <w:r>
        <w:rPr>
          <w:rFonts w:hint="eastAsia" w:ascii="宋体" w:hAnsi="宋体" w:eastAsia="宋体" w:cs="宋体"/>
          <w:color w:val="auto"/>
          <w:szCs w:val="21"/>
          <w:highlight w:val="none"/>
        </w:rPr>
        <w:fldChar w:fldCharType="end"/>
      </w:r>
    </w:p>
    <w:p w14:paraId="4C34B746">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_Toc20798 </w:instrText>
      </w:r>
      <w:r>
        <w:rPr>
          <w:rFonts w:hint="eastAsia" w:ascii="宋体" w:hAnsi="宋体" w:eastAsia="宋体" w:cs="宋体"/>
          <w:szCs w:val="21"/>
          <w:highlight w:val="none"/>
        </w:rPr>
        <w:fldChar w:fldCharType="separate"/>
      </w:r>
      <w:r>
        <w:rPr>
          <w:rFonts w:hint="eastAsia" w:ascii="宋体" w:eastAsia="宋体"/>
          <w:highlight w:val="none"/>
        </w:rPr>
        <w:t>一、开标、评标及定标办法修改表</w:t>
      </w:r>
      <w:r>
        <w:tab/>
      </w:r>
      <w:r>
        <w:fldChar w:fldCharType="begin"/>
      </w:r>
      <w:r>
        <w:instrText xml:space="preserve"> PAGEREF _Toc20798 \h </w:instrText>
      </w:r>
      <w:r>
        <w:fldChar w:fldCharType="separate"/>
      </w:r>
      <w:r>
        <w:t>29</w:t>
      </w:r>
      <w:r>
        <w:fldChar w:fldCharType="end"/>
      </w:r>
      <w:r>
        <w:rPr>
          <w:rFonts w:hint="eastAsia" w:ascii="宋体" w:hAnsi="宋体" w:eastAsia="宋体" w:cs="宋体"/>
          <w:color w:val="auto"/>
          <w:szCs w:val="21"/>
          <w:highlight w:val="none"/>
        </w:rPr>
        <w:fldChar w:fldCharType="end"/>
      </w:r>
    </w:p>
    <w:p w14:paraId="77D3CD74">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_Toc26565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（以下无正文）</w:t>
      </w:r>
      <w:r>
        <w:rPr>
          <w:rFonts w:hint="eastAsia" w:ascii="宋体" w:eastAsia="宋体"/>
          <w:highlight w:val="none"/>
        </w:rPr>
        <w:t>二、开标、评标及定标办法</w:t>
      </w:r>
      <w:r>
        <w:tab/>
      </w:r>
      <w:r>
        <w:fldChar w:fldCharType="begin"/>
      </w:r>
      <w:r>
        <w:instrText xml:space="preserve"> PAGEREF _Toc26565 \h </w:instrText>
      </w:r>
      <w:r>
        <w:fldChar w:fldCharType="separate"/>
      </w:r>
      <w:r>
        <w:t>33</w:t>
      </w:r>
      <w:r>
        <w:fldChar w:fldCharType="end"/>
      </w:r>
      <w:r>
        <w:rPr>
          <w:rFonts w:hint="eastAsia" w:ascii="宋体" w:hAnsi="宋体" w:eastAsia="宋体" w:cs="宋体"/>
          <w:color w:val="auto"/>
          <w:szCs w:val="21"/>
          <w:highlight w:val="none"/>
        </w:rPr>
        <w:fldChar w:fldCharType="end"/>
      </w:r>
    </w:p>
    <w:p w14:paraId="61AB6F32">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_Toc27722 </w:instrText>
      </w:r>
      <w:r>
        <w:rPr>
          <w:rFonts w:hint="eastAsia" w:ascii="宋体" w:hAnsi="宋体" w:eastAsia="宋体" w:cs="宋体"/>
          <w:szCs w:val="21"/>
          <w:highlight w:val="none"/>
        </w:rPr>
        <w:fldChar w:fldCharType="separate"/>
      </w:r>
      <w:r>
        <w:rPr>
          <w:rFonts w:hint="eastAsia" w:ascii="宋体" w:eastAsia="宋体"/>
          <w:highlight w:val="none"/>
        </w:rPr>
        <w:t>（一）总则</w:t>
      </w:r>
      <w:r>
        <w:tab/>
      </w:r>
      <w:r>
        <w:fldChar w:fldCharType="begin"/>
      </w:r>
      <w:r>
        <w:instrText xml:space="preserve"> PAGEREF _Toc27722 \h </w:instrText>
      </w:r>
      <w:r>
        <w:fldChar w:fldCharType="separate"/>
      </w:r>
      <w:r>
        <w:t>34</w:t>
      </w:r>
      <w:r>
        <w:fldChar w:fldCharType="end"/>
      </w:r>
      <w:r>
        <w:rPr>
          <w:rFonts w:hint="eastAsia" w:ascii="宋体" w:hAnsi="宋体" w:eastAsia="宋体" w:cs="宋体"/>
          <w:color w:val="auto"/>
          <w:szCs w:val="21"/>
          <w:highlight w:val="none"/>
        </w:rPr>
        <w:fldChar w:fldCharType="end"/>
      </w:r>
    </w:p>
    <w:p w14:paraId="5D134FB3">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_Toc21596 </w:instrText>
      </w:r>
      <w:r>
        <w:rPr>
          <w:rFonts w:hint="eastAsia" w:ascii="宋体" w:hAnsi="宋体" w:eastAsia="宋体" w:cs="宋体"/>
          <w:szCs w:val="21"/>
          <w:highlight w:val="none"/>
        </w:rPr>
        <w:fldChar w:fldCharType="separate"/>
      </w:r>
      <w:r>
        <w:rPr>
          <w:rFonts w:hint="eastAsia" w:ascii="宋体" w:eastAsia="宋体"/>
          <w:highlight w:val="none"/>
        </w:rPr>
        <w:t>（二）开标评标办法程序和细则</w:t>
      </w:r>
      <w:r>
        <w:tab/>
      </w:r>
      <w:r>
        <w:fldChar w:fldCharType="begin"/>
      </w:r>
      <w:r>
        <w:instrText xml:space="preserve"> PAGEREF _Toc21596 \h </w:instrText>
      </w:r>
      <w:r>
        <w:fldChar w:fldCharType="separate"/>
      </w:r>
      <w:r>
        <w:t>38</w:t>
      </w:r>
      <w:r>
        <w:fldChar w:fldCharType="end"/>
      </w:r>
      <w:r>
        <w:rPr>
          <w:rFonts w:hint="eastAsia" w:ascii="宋体" w:hAnsi="宋体" w:eastAsia="宋体" w:cs="宋体"/>
          <w:color w:val="auto"/>
          <w:szCs w:val="21"/>
          <w:highlight w:val="none"/>
        </w:rPr>
        <w:fldChar w:fldCharType="end"/>
      </w:r>
    </w:p>
    <w:p w14:paraId="169B65BC">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_Toc4469 </w:instrText>
      </w:r>
      <w:r>
        <w:rPr>
          <w:rFonts w:hint="eastAsia" w:ascii="宋体" w:hAnsi="宋体" w:eastAsia="宋体" w:cs="宋体"/>
          <w:szCs w:val="21"/>
          <w:highlight w:val="none"/>
        </w:rPr>
        <w:fldChar w:fldCharType="separate"/>
      </w:r>
      <w:r>
        <w:rPr>
          <w:rFonts w:hint="eastAsia" w:ascii="宋体" w:eastAsia="宋体"/>
          <w:highlight w:val="none"/>
        </w:rPr>
        <w:t>可选办法一  综合评分法</w:t>
      </w:r>
      <w:r>
        <w:tab/>
      </w:r>
      <w:r>
        <w:fldChar w:fldCharType="begin"/>
      </w:r>
      <w:r>
        <w:instrText xml:space="preserve"> PAGEREF _Toc4469 \h </w:instrText>
      </w:r>
      <w:r>
        <w:fldChar w:fldCharType="separate"/>
      </w:r>
      <w:r>
        <w:t>38</w:t>
      </w:r>
      <w:r>
        <w:fldChar w:fldCharType="end"/>
      </w:r>
      <w:r>
        <w:rPr>
          <w:rFonts w:hint="eastAsia" w:ascii="宋体" w:hAnsi="宋体" w:eastAsia="宋体" w:cs="宋体"/>
          <w:color w:val="auto"/>
          <w:szCs w:val="21"/>
          <w:highlight w:val="none"/>
        </w:rPr>
        <w:fldChar w:fldCharType="end"/>
      </w:r>
    </w:p>
    <w:p w14:paraId="5A5F7416">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_Toc14248 </w:instrText>
      </w:r>
      <w:r>
        <w:rPr>
          <w:rFonts w:hint="eastAsia" w:ascii="宋体" w:hAnsi="宋体" w:eastAsia="宋体" w:cs="宋体"/>
          <w:szCs w:val="21"/>
          <w:highlight w:val="none"/>
        </w:rPr>
        <w:fldChar w:fldCharType="separate"/>
      </w:r>
      <w:r>
        <w:rPr>
          <w:rFonts w:hint="eastAsia" w:ascii="宋体" w:eastAsia="宋体"/>
          <w:highlight w:val="none"/>
        </w:rPr>
        <w:t>可选办法</w:t>
      </w:r>
      <w:r>
        <w:rPr>
          <w:rFonts w:hint="eastAsia" w:ascii="宋体" w:eastAsia="宋体"/>
          <w:highlight w:val="none"/>
          <w:lang w:eastAsia="zh-CN"/>
        </w:rPr>
        <w:t>二</w:t>
      </w:r>
      <w:r>
        <w:rPr>
          <w:rFonts w:hint="eastAsia" w:ascii="宋体" w:eastAsia="宋体"/>
          <w:highlight w:val="none"/>
        </w:rPr>
        <w:t xml:space="preserve">  经评审的最低投标价法或者法律法规规定的其他评标方法</w:t>
      </w:r>
      <w:r>
        <w:tab/>
      </w:r>
      <w:r>
        <w:fldChar w:fldCharType="begin"/>
      </w:r>
      <w:r>
        <w:instrText xml:space="preserve"> PAGEREF _Toc14248 \h </w:instrText>
      </w:r>
      <w:r>
        <w:fldChar w:fldCharType="separate"/>
      </w:r>
      <w:r>
        <w:t>44</w:t>
      </w:r>
      <w:r>
        <w:fldChar w:fldCharType="end"/>
      </w:r>
      <w:r>
        <w:rPr>
          <w:rFonts w:hint="eastAsia" w:ascii="宋体" w:hAnsi="宋体" w:eastAsia="宋体" w:cs="宋体"/>
          <w:color w:val="auto"/>
          <w:szCs w:val="21"/>
          <w:highlight w:val="none"/>
        </w:rPr>
        <w:fldChar w:fldCharType="end"/>
      </w:r>
    </w:p>
    <w:p w14:paraId="06AC703F">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_Toc13381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附件1</w:t>
      </w:r>
      <w:r>
        <w:tab/>
      </w:r>
      <w:r>
        <w:fldChar w:fldCharType="begin"/>
      </w:r>
      <w:r>
        <w:instrText xml:space="preserve"> PAGEREF _Toc13381 \h </w:instrText>
      </w:r>
      <w:r>
        <w:fldChar w:fldCharType="separate"/>
      </w:r>
      <w:r>
        <w:t>45</w:t>
      </w:r>
      <w:r>
        <w:fldChar w:fldCharType="end"/>
      </w:r>
      <w:r>
        <w:rPr>
          <w:rFonts w:hint="eastAsia" w:ascii="宋体" w:hAnsi="宋体" w:eastAsia="宋体" w:cs="宋体"/>
          <w:color w:val="auto"/>
          <w:szCs w:val="21"/>
          <w:highlight w:val="none"/>
        </w:rPr>
        <w:fldChar w:fldCharType="end"/>
      </w:r>
    </w:p>
    <w:p w14:paraId="022317E4">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_Toc6591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附件2</w:t>
      </w:r>
      <w:r>
        <w:tab/>
      </w:r>
      <w:r>
        <w:fldChar w:fldCharType="begin"/>
      </w:r>
      <w:r>
        <w:instrText xml:space="preserve"> PAGEREF _Toc6591 \h </w:instrText>
      </w:r>
      <w:r>
        <w:fldChar w:fldCharType="separate"/>
      </w:r>
      <w:r>
        <w:t>46</w:t>
      </w:r>
      <w:r>
        <w:fldChar w:fldCharType="end"/>
      </w:r>
      <w:r>
        <w:rPr>
          <w:rFonts w:hint="eastAsia" w:ascii="宋体" w:hAnsi="宋体" w:eastAsia="宋体" w:cs="宋体"/>
          <w:color w:val="auto"/>
          <w:szCs w:val="21"/>
          <w:highlight w:val="none"/>
        </w:rPr>
        <w:fldChar w:fldCharType="end"/>
      </w:r>
    </w:p>
    <w:p w14:paraId="6F22BF78">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_Toc7315 </w:instrText>
      </w:r>
      <w:r>
        <w:rPr>
          <w:rFonts w:hint="eastAsia" w:ascii="宋体" w:hAnsi="宋体" w:eastAsia="宋体" w:cs="宋体"/>
          <w:szCs w:val="21"/>
          <w:highlight w:val="none"/>
        </w:rPr>
        <w:fldChar w:fldCharType="separate"/>
      </w:r>
      <w:r>
        <w:rPr>
          <w:rFonts w:hint="eastAsia" w:ascii="宋体" w:hAnsi="宋体" w:eastAsia="宋体"/>
          <w:bCs/>
          <w:szCs w:val="24"/>
          <w:highlight w:val="none"/>
        </w:rPr>
        <w:t>附件3</w:t>
      </w:r>
      <w:r>
        <w:tab/>
      </w:r>
      <w:r>
        <w:fldChar w:fldCharType="begin"/>
      </w:r>
      <w:r>
        <w:instrText xml:space="preserve"> PAGEREF _Toc7315 \h </w:instrText>
      </w:r>
      <w:r>
        <w:fldChar w:fldCharType="separate"/>
      </w:r>
      <w:r>
        <w:t>47</w:t>
      </w:r>
      <w:r>
        <w:fldChar w:fldCharType="end"/>
      </w:r>
      <w:r>
        <w:rPr>
          <w:rFonts w:hint="eastAsia" w:ascii="宋体" w:hAnsi="宋体" w:eastAsia="宋体" w:cs="宋体"/>
          <w:color w:val="auto"/>
          <w:szCs w:val="21"/>
          <w:highlight w:val="none"/>
        </w:rPr>
        <w:fldChar w:fldCharType="end"/>
      </w:r>
    </w:p>
    <w:p w14:paraId="465DCB18">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_Toc27331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附件4</w:t>
      </w:r>
      <w:r>
        <w:tab/>
      </w:r>
      <w:r>
        <w:fldChar w:fldCharType="begin"/>
      </w:r>
      <w:r>
        <w:instrText xml:space="preserve"> PAGEREF _Toc27331 \h </w:instrText>
      </w:r>
      <w:r>
        <w:fldChar w:fldCharType="separate"/>
      </w:r>
      <w:r>
        <w:t>48</w:t>
      </w:r>
      <w:r>
        <w:fldChar w:fldCharType="end"/>
      </w:r>
      <w:r>
        <w:rPr>
          <w:rFonts w:hint="eastAsia" w:ascii="宋体" w:hAnsi="宋体" w:eastAsia="宋体" w:cs="宋体"/>
          <w:color w:val="auto"/>
          <w:szCs w:val="21"/>
          <w:highlight w:val="none"/>
        </w:rPr>
        <w:fldChar w:fldCharType="end"/>
      </w:r>
    </w:p>
    <w:p w14:paraId="4922C73A">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_Toc27359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附件</w:t>
      </w:r>
      <w:r>
        <w:rPr>
          <w:rFonts w:hint="eastAsia" w:ascii="宋体" w:hAnsi="宋体" w:eastAsia="宋体"/>
          <w:szCs w:val="24"/>
          <w:highlight w:val="none"/>
          <w:lang w:val="en-US" w:eastAsia="zh-CN"/>
        </w:rPr>
        <w:t>5</w:t>
      </w:r>
      <w:r>
        <w:rPr>
          <w:rFonts w:hint="eastAsia" w:ascii="宋体" w:hAnsi="宋体" w:eastAsia="宋体"/>
          <w:szCs w:val="24"/>
          <w:highlight w:val="none"/>
        </w:rPr>
        <w:t xml:space="preserve">                                         </w:t>
      </w:r>
      <w:r>
        <w:rPr>
          <w:rFonts w:hint="eastAsia" w:ascii="宋体" w:hAnsi="宋体" w:eastAsia="宋体"/>
          <w:szCs w:val="28"/>
          <w:highlight w:val="none"/>
        </w:rPr>
        <w:t>投标文件否决性条款审查表</w:t>
      </w:r>
      <w:r>
        <w:tab/>
      </w:r>
      <w:r>
        <w:fldChar w:fldCharType="begin"/>
      </w:r>
      <w:r>
        <w:instrText xml:space="preserve"> PAGEREF _Toc27359 \h </w:instrText>
      </w:r>
      <w:r>
        <w:fldChar w:fldCharType="separate"/>
      </w:r>
      <w:r>
        <w:t>49</w:t>
      </w:r>
      <w:r>
        <w:fldChar w:fldCharType="end"/>
      </w:r>
      <w:r>
        <w:rPr>
          <w:rFonts w:hint="eastAsia" w:ascii="宋体" w:hAnsi="宋体" w:eastAsia="宋体" w:cs="宋体"/>
          <w:color w:val="auto"/>
          <w:szCs w:val="21"/>
          <w:highlight w:val="none"/>
        </w:rPr>
        <w:fldChar w:fldCharType="end"/>
      </w:r>
    </w:p>
    <w:p w14:paraId="3A69E944">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_Toc7797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附件</w:t>
      </w:r>
      <w:r>
        <w:rPr>
          <w:rFonts w:hint="eastAsia" w:ascii="宋体" w:hAnsi="宋体" w:eastAsia="宋体"/>
          <w:szCs w:val="24"/>
          <w:highlight w:val="none"/>
          <w:lang w:val="en-US" w:eastAsia="zh-CN"/>
        </w:rPr>
        <w:t>6</w:t>
      </w:r>
      <w:r>
        <w:tab/>
      </w:r>
      <w:r>
        <w:fldChar w:fldCharType="begin"/>
      </w:r>
      <w:r>
        <w:instrText xml:space="preserve"> PAGEREF _Toc7797 \h </w:instrText>
      </w:r>
      <w:r>
        <w:fldChar w:fldCharType="separate"/>
      </w:r>
      <w:r>
        <w:t>50</w:t>
      </w:r>
      <w:r>
        <w:fldChar w:fldCharType="end"/>
      </w:r>
      <w:r>
        <w:rPr>
          <w:rFonts w:hint="eastAsia" w:ascii="宋体" w:hAnsi="宋体" w:eastAsia="宋体" w:cs="宋体"/>
          <w:color w:val="auto"/>
          <w:szCs w:val="21"/>
          <w:highlight w:val="none"/>
        </w:rPr>
        <w:fldChar w:fldCharType="end"/>
      </w:r>
    </w:p>
    <w:p w14:paraId="260D3243">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_Toc19490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附件</w:t>
      </w:r>
      <w:r>
        <w:rPr>
          <w:rFonts w:hint="eastAsia" w:ascii="宋体" w:hAnsi="宋体" w:eastAsia="宋体"/>
          <w:szCs w:val="24"/>
          <w:highlight w:val="none"/>
          <w:lang w:val="en-US" w:eastAsia="zh-CN"/>
        </w:rPr>
        <w:t>7</w:t>
      </w:r>
      <w:r>
        <w:rPr>
          <w:rFonts w:hint="eastAsia" w:ascii="宋体" w:hAnsi="宋体" w:eastAsia="宋体"/>
          <w:szCs w:val="24"/>
          <w:highlight w:val="none"/>
        </w:rPr>
        <w:t>（适用于办法</w:t>
      </w:r>
      <w:r>
        <w:rPr>
          <w:rFonts w:hint="eastAsia" w:ascii="宋体" w:hAnsi="宋体" w:eastAsia="宋体"/>
          <w:szCs w:val="24"/>
          <w:highlight w:val="none"/>
          <w:lang w:eastAsia="zh-CN"/>
        </w:rPr>
        <w:t>一</w:t>
      </w:r>
      <w:r>
        <w:rPr>
          <w:rFonts w:hint="eastAsia" w:ascii="宋体" w:hAnsi="宋体" w:eastAsia="宋体"/>
          <w:szCs w:val="24"/>
          <w:highlight w:val="none"/>
        </w:rPr>
        <w:t>）</w:t>
      </w:r>
      <w:r>
        <w:tab/>
      </w:r>
      <w:r>
        <w:fldChar w:fldCharType="begin"/>
      </w:r>
      <w:r>
        <w:instrText xml:space="preserve"> PAGEREF _Toc19490 \h </w:instrText>
      </w:r>
      <w:r>
        <w:fldChar w:fldCharType="separate"/>
      </w:r>
      <w:r>
        <w:t>51</w:t>
      </w:r>
      <w:r>
        <w:fldChar w:fldCharType="end"/>
      </w:r>
      <w:r>
        <w:rPr>
          <w:rFonts w:hint="eastAsia" w:ascii="宋体" w:hAnsi="宋体" w:eastAsia="宋体" w:cs="宋体"/>
          <w:color w:val="auto"/>
          <w:szCs w:val="21"/>
          <w:highlight w:val="none"/>
        </w:rPr>
        <w:fldChar w:fldCharType="end"/>
      </w:r>
    </w:p>
    <w:p w14:paraId="14661D8B">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_Toc32064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附件</w:t>
      </w:r>
      <w:r>
        <w:rPr>
          <w:rFonts w:hint="eastAsia" w:ascii="宋体" w:hAnsi="宋体" w:eastAsia="宋体"/>
          <w:szCs w:val="24"/>
          <w:highlight w:val="none"/>
          <w:lang w:val="en-US" w:eastAsia="zh-CN"/>
        </w:rPr>
        <w:t>8</w:t>
      </w:r>
      <w:r>
        <w:rPr>
          <w:rFonts w:hint="eastAsia" w:ascii="宋体" w:hAnsi="宋体" w:eastAsia="宋体"/>
          <w:szCs w:val="24"/>
          <w:highlight w:val="none"/>
        </w:rPr>
        <w:t>（适用于办法</w:t>
      </w:r>
      <w:r>
        <w:rPr>
          <w:rFonts w:hint="eastAsia" w:ascii="宋体" w:hAnsi="宋体" w:eastAsia="宋体"/>
          <w:szCs w:val="24"/>
          <w:highlight w:val="none"/>
          <w:lang w:eastAsia="zh-CN"/>
        </w:rPr>
        <w:t>一</w:t>
      </w:r>
      <w:r>
        <w:rPr>
          <w:rFonts w:hint="eastAsia" w:ascii="宋体" w:hAnsi="宋体" w:eastAsia="宋体"/>
          <w:szCs w:val="24"/>
          <w:highlight w:val="none"/>
        </w:rPr>
        <w:t>）</w:t>
      </w:r>
      <w:r>
        <w:tab/>
      </w:r>
      <w:r>
        <w:fldChar w:fldCharType="begin"/>
      </w:r>
      <w:r>
        <w:instrText xml:space="preserve"> PAGEREF _Toc32064 \h </w:instrText>
      </w:r>
      <w:r>
        <w:fldChar w:fldCharType="separate"/>
      </w:r>
      <w:r>
        <w:t>52</w:t>
      </w:r>
      <w:r>
        <w:fldChar w:fldCharType="end"/>
      </w:r>
      <w:r>
        <w:rPr>
          <w:rFonts w:hint="eastAsia" w:ascii="宋体" w:hAnsi="宋体" w:eastAsia="宋体" w:cs="宋体"/>
          <w:color w:val="auto"/>
          <w:szCs w:val="21"/>
          <w:highlight w:val="none"/>
        </w:rPr>
        <w:fldChar w:fldCharType="end"/>
      </w:r>
    </w:p>
    <w:p w14:paraId="1E3A1715">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_Toc16676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附件</w:t>
      </w:r>
      <w:r>
        <w:rPr>
          <w:rFonts w:hint="eastAsia" w:ascii="宋体" w:hAnsi="宋体" w:eastAsia="宋体"/>
          <w:szCs w:val="24"/>
          <w:highlight w:val="none"/>
          <w:lang w:val="en-US" w:eastAsia="zh-CN"/>
        </w:rPr>
        <w:t>9</w:t>
      </w:r>
      <w:r>
        <w:rPr>
          <w:rFonts w:hint="eastAsia" w:ascii="宋体" w:hAnsi="宋体" w:eastAsia="宋体"/>
          <w:szCs w:val="24"/>
          <w:highlight w:val="none"/>
        </w:rPr>
        <w:t>（适用于办法</w:t>
      </w:r>
      <w:r>
        <w:rPr>
          <w:rFonts w:hint="eastAsia" w:ascii="宋体" w:hAnsi="宋体" w:eastAsia="宋体"/>
          <w:szCs w:val="24"/>
          <w:highlight w:val="none"/>
          <w:lang w:eastAsia="zh-CN"/>
        </w:rPr>
        <w:t>一</w:t>
      </w:r>
      <w:r>
        <w:rPr>
          <w:rFonts w:hint="eastAsia" w:ascii="宋体" w:hAnsi="宋体" w:eastAsia="宋体"/>
          <w:szCs w:val="24"/>
          <w:highlight w:val="none"/>
        </w:rPr>
        <w:t>）</w:t>
      </w:r>
      <w:r>
        <w:tab/>
      </w:r>
      <w:r>
        <w:fldChar w:fldCharType="begin"/>
      </w:r>
      <w:r>
        <w:instrText xml:space="preserve"> PAGEREF _Toc16676 \h </w:instrText>
      </w:r>
      <w:r>
        <w:fldChar w:fldCharType="separate"/>
      </w:r>
      <w:r>
        <w:t>53</w:t>
      </w:r>
      <w:r>
        <w:fldChar w:fldCharType="end"/>
      </w:r>
      <w:r>
        <w:rPr>
          <w:rFonts w:hint="eastAsia" w:ascii="宋体" w:hAnsi="宋体" w:eastAsia="宋体" w:cs="宋体"/>
          <w:color w:val="auto"/>
          <w:szCs w:val="21"/>
          <w:highlight w:val="none"/>
        </w:rPr>
        <w:fldChar w:fldCharType="end"/>
      </w:r>
    </w:p>
    <w:p w14:paraId="551733AA">
      <w:pPr>
        <w:pStyle w:val="13"/>
        <w:tabs>
          <w:tab w:val="right" w:leader="dot" w:pos="8697"/>
          <w:tab w:val="clear" w:pos="9060"/>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_Toc7852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（65分）</w:t>
      </w:r>
      <w:r>
        <w:tab/>
      </w:r>
      <w:r>
        <w:fldChar w:fldCharType="begin"/>
      </w:r>
      <w:r>
        <w:instrText xml:space="preserve"> PAGEREF _Toc7852 \h </w:instrText>
      </w:r>
      <w:r>
        <w:fldChar w:fldCharType="separate"/>
      </w:r>
      <w:r>
        <w:t>53</w:t>
      </w:r>
      <w:r>
        <w:fldChar w:fldCharType="end"/>
      </w:r>
      <w:r>
        <w:rPr>
          <w:rFonts w:hint="eastAsia" w:ascii="宋体" w:hAnsi="宋体" w:eastAsia="宋体" w:cs="宋体"/>
          <w:color w:val="auto"/>
          <w:szCs w:val="21"/>
          <w:highlight w:val="none"/>
        </w:rPr>
        <w:fldChar w:fldCharType="end"/>
      </w:r>
    </w:p>
    <w:p w14:paraId="268DAACE">
      <w:pPr>
        <w:pStyle w:val="13"/>
        <w:tabs>
          <w:tab w:val="right" w:leader="dot" w:pos="8697"/>
          <w:tab w:val="clear" w:pos="9060"/>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_Toc15787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（10分）</w:t>
      </w:r>
      <w:r>
        <w:tab/>
      </w:r>
      <w:r>
        <w:fldChar w:fldCharType="begin"/>
      </w:r>
      <w:r>
        <w:instrText xml:space="preserve"> PAGEREF _Toc15787 \h </w:instrText>
      </w:r>
      <w:r>
        <w:fldChar w:fldCharType="separate"/>
      </w:r>
      <w:r>
        <w:t>54</w:t>
      </w:r>
      <w:r>
        <w:fldChar w:fldCharType="end"/>
      </w:r>
      <w:r>
        <w:rPr>
          <w:rFonts w:hint="eastAsia" w:ascii="宋体" w:hAnsi="宋体" w:eastAsia="宋体" w:cs="宋体"/>
          <w:color w:val="auto"/>
          <w:szCs w:val="21"/>
          <w:highlight w:val="none"/>
        </w:rPr>
        <w:fldChar w:fldCharType="end"/>
      </w:r>
    </w:p>
    <w:p w14:paraId="63135B06">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_Toc24665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附件</w:t>
      </w:r>
      <w:r>
        <w:rPr>
          <w:rFonts w:hint="eastAsia" w:ascii="宋体" w:hAnsi="宋体" w:eastAsia="宋体"/>
          <w:szCs w:val="24"/>
          <w:highlight w:val="none"/>
          <w:lang w:val="en-US" w:eastAsia="zh-CN"/>
        </w:rPr>
        <w:t>10</w:t>
      </w:r>
      <w:r>
        <w:rPr>
          <w:rFonts w:hint="eastAsia" w:ascii="宋体" w:hAnsi="宋体" w:eastAsia="宋体"/>
          <w:szCs w:val="24"/>
          <w:highlight w:val="none"/>
        </w:rPr>
        <w:t>（适用于办法</w:t>
      </w:r>
      <w:r>
        <w:rPr>
          <w:rFonts w:hint="eastAsia" w:ascii="宋体" w:hAnsi="宋体" w:eastAsia="宋体"/>
          <w:szCs w:val="24"/>
          <w:highlight w:val="none"/>
          <w:lang w:eastAsia="zh-CN"/>
        </w:rPr>
        <w:t>一</w:t>
      </w:r>
      <w:r>
        <w:rPr>
          <w:rFonts w:hint="eastAsia" w:ascii="宋体" w:hAnsi="宋体" w:eastAsia="宋体"/>
          <w:szCs w:val="24"/>
          <w:highlight w:val="none"/>
        </w:rPr>
        <w:t>）</w:t>
      </w:r>
      <w:r>
        <w:tab/>
      </w:r>
      <w:r>
        <w:fldChar w:fldCharType="begin"/>
      </w:r>
      <w:r>
        <w:instrText xml:space="preserve"> PAGEREF _Toc24665 \h </w:instrText>
      </w:r>
      <w:r>
        <w:fldChar w:fldCharType="separate"/>
      </w:r>
      <w:r>
        <w:t>55</w:t>
      </w:r>
      <w:r>
        <w:fldChar w:fldCharType="end"/>
      </w:r>
      <w:r>
        <w:rPr>
          <w:rFonts w:hint="eastAsia" w:ascii="宋体" w:hAnsi="宋体" w:eastAsia="宋体" w:cs="宋体"/>
          <w:color w:val="auto"/>
          <w:szCs w:val="21"/>
          <w:highlight w:val="none"/>
        </w:rPr>
        <w:fldChar w:fldCharType="end"/>
      </w:r>
    </w:p>
    <w:p w14:paraId="604E816A">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_Toc17917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附件</w:t>
      </w:r>
      <w:r>
        <w:rPr>
          <w:rFonts w:hint="eastAsia" w:ascii="宋体" w:hAnsi="宋体" w:eastAsia="宋体"/>
          <w:szCs w:val="24"/>
          <w:highlight w:val="none"/>
          <w:lang w:val="en-US" w:eastAsia="zh-CN"/>
        </w:rPr>
        <w:t>11</w:t>
      </w:r>
      <w:r>
        <w:rPr>
          <w:rFonts w:hint="eastAsia" w:ascii="宋体" w:hAnsi="宋体" w:eastAsia="宋体"/>
          <w:szCs w:val="24"/>
          <w:highlight w:val="none"/>
        </w:rPr>
        <w:t>（适用于办法</w:t>
      </w:r>
      <w:r>
        <w:rPr>
          <w:rFonts w:hint="eastAsia" w:ascii="宋体" w:hAnsi="宋体" w:eastAsia="宋体"/>
          <w:szCs w:val="24"/>
          <w:highlight w:val="none"/>
          <w:lang w:eastAsia="zh-CN"/>
        </w:rPr>
        <w:t>一</w:t>
      </w:r>
      <w:r>
        <w:rPr>
          <w:rFonts w:hint="eastAsia" w:ascii="宋体" w:hAnsi="宋体" w:eastAsia="宋体"/>
          <w:szCs w:val="24"/>
          <w:highlight w:val="none"/>
        </w:rPr>
        <w:t>）</w:t>
      </w:r>
      <w:r>
        <w:tab/>
      </w:r>
      <w:r>
        <w:fldChar w:fldCharType="begin"/>
      </w:r>
      <w:r>
        <w:instrText xml:space="preserve"> PAGEREF _Toc17917 \h </w:instrText>
      </w:r>
      <w:r>
        <w:fldChar w:fldCharType="separate"/>
      </w:r>
      <w:r>
        <w:t>58</w:t>
      </w:r>
      <w:r>
        <w:fldChar w:fldCharType="end"/>
      </w:r>
      <w:r>
        <w:rPr>
          <w:rFonts w:hint="eastAsia" w:ascii="宋体" w:hAnsi="宋体" w:eastAsia="宋体" w:cs="宋体"/>
          <w:color w:val="auto"/>
          <w:szCs w:val="21"/>
          <w:highlight w:val="none"/>
        </w:rPr>
        <w:fldChar w:fldCharType="end"/>
      </w:r>
    </w:p>
    <w:p w14:paraId="77522888">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_Toc1527 </w:instrText>
      </w:r>
      <w:r>
        <w:rPr>
          <w:rFonts w:hint="eastAsia" w:ascii="宋体" w:hAnsi="宋体" w:eastAsia="宋体" w:cs="宋体"/>
          <w:szCs w:val="21"/>
          <w:highlight w:val="none"/>
        </w:rPr>
        <w:fldChar w:fldCharType="separate"/>
      </w:r>
      <w:r>
        <w:rPr>
          <w:rFonts w:hint="eastAsia" w:ascii="宋体" w:hAnsi="宋体" w:eastAsia="宋体"/>
          <w:strike/>
          <w:dstrike w:val="0"/>
          <w:szCs w:val="24"/>
          <w:highlight w:val="none"/>
        </w:rPr>
        <w:t>附件</w:t>
      </w:r>
      <w:r>
        <w:rPr>
          <w:rFonts w:hint="eastAsia" w:ascii="宋体" w:hAnsi="宋体" w:eastAsia="宋体"/>
          <w:strike/>
          <w:dstrike w:val="0"/>
          <w:szCs w:val="24"/>
          <w:highlight w:val="none"/>
          <w:lang w:val="en-US" w:eastAsia="zh-CN"/>
        </w:rPr>
        <w:t>12</w:t>
      </w:r>
      <w:r>
        <w:rPr>
          <w:rFonts w:hint="eastAsia" w:ascii="宋体" w:hAnsi="宋体" w:eastAsia="宋体"/>
          <w:strike/>
          <w:dstrike w:val="0"/>
          <w:szCs w:val="24"/>
          <w:highlight w:val="none"/>
        </w:rPr>
        <w:t xml:space="preserve"> 定标委员会组建办法及定标方法</w:t>
      </w:r>
      <w:r>
        <w:tab/>
      </w:r>
      <w:r>
        <w:fldChar w:fldCharType="begin"/>
      </w:r>
      <w:r>
        <w:instrText xml:space="preserve"> PAGEREF _Toc1527 \h </w:instrText>
      </w:r>
      <w:r>
        <w:fldChar w:fldCharType="separate"/>
      </w:r>
      <w:r>
        <w:t>59</w:t>
      </w:r>
      <w:r>
        <w:fldChar w:fldCharType="end"/>
      </w:r>
      <w:r>
        <w:rPr>
          <w:rFonts w:hint="eastAsia" w:ascii="宋体" w:hAnsi="宋体" w:eastAsia="宋体" w:cs="宋体"/>
          <w:color w:val="auto"/>
          <w:szCs w:val="21"/>
          <w:highlight w:val="none"/>
        </w:rPr>
        <w:fldChar w:fldCharType="end"/>
      </w:r>
    </w:p>
    <w:p w14:paraId="4758BEAF">
      <w:pPr>
        <w:pStyle w:val="13"/>
        <w:tabs>
          <w:tab w:val="right" w:leader="dot" w:pos="8697"/>
          <w:tab w:val="clear" w:pos="9060"/>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_Toc9607 </w:instrText>
      </w:r>
      <w:r>
        <w:rPr>
          <w:rFonts w:hint="eastAsia" w:ascii="宋体" w:hAnsi="宋体" w:eastAsia="宋体" w:cs="宋体"/>
          <w:szCs w:val="21"/>
          <w:highlight w:val="none"/>
        </w:rPr>
        <w:fldChar w:fldCharType="separate"/>
      </w:r>
      <w:r>
        <w:rPr>
          <w:rFonts w:hint="eastAsia" w:ascii="宋体" w:eastAsia="宋体"/>
          <w:highlight w:val="none"/>
        </w:rPr>
        <w:t>第三章  合同条款</w:t>
      </w:r>
      <w:r>
        <w:tab/>
      </w:r>
      <w:r>
        <w:fldChar w:fldCharType="begin"/>
      </w:r>
      <w:r>
        <w:instrText xml:space="preserve"> PAGEREF _Toc9607 \h </w:instrText>
      </w:r>
      <w:r>
        <w:fldChar w:fldCharType="separate"/>
      </w:r>
      <w:r>
        <w:t>60</w:t>
      </w:r>
      <w:r>
        <w:fldChar w:fldCharType="end"/>
      </w:r>
      <w:r>
        <w:rPr>
          <w:rFonts w:hint="eastAsia" w:ascii="宋体" w:hAnsi="宋体" w:eastAsia="宋体" w:cs="宋体"/>
          <w:color w:val="auto"/>
          <w:szCs w:val="21"/>
          <w:highlight w:val="none"/>
        </w:rPr>
        <w:fldChar w:fldCharType="end"/>
      </w:r>
    </w:p>
    <w:p w14:paraId="5A296426">
      <w:pPr>
        <w:pStyle w:val="13"/>
        <w:tabs>
          <w:tab w:val="right" w:leader="dot" w:pos="8697"/>
          <w:tab w:val="clear" w:pos="9060"/>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_Toc20947 </w:instrText>
      </w:r>
      <w:r>
        <w:rPr>
          <w:rFonts w:hint="eastAsia" w:ascii="宋体" w:hAnsi="宋体" w:eastAsia="宋体" w:cs="宋体"/>
          <w:szCs w:val="21"/>
          <w:highlight w:val="none"/>
        </w:rPr>
        <w:fldChar w:fldCharType="separate"/>
      </w:r>
      <w:r>
        <w:rPr>
          <w:rFonts w:hint="eastAsia" w:ascii="宋体" w:eastAsia="宋体"/>
          <w:highlight w:val="none"/>
        </w:rPr>
        <w:t>第四章  投标文件格式</w:t>
      </w:r>
      <w:r>
        <w:tab/>
      </w:r>
      <w:r>
        <w:fldChar w:fldCharType="begin"/>
      </w:r>
      <w:r>
        <w:instrText xml:space="preserve"> PAGEREF _Toc20947 \h </w:instrText>
      </w:r>
      <w:r>
        <w:fldChar w:fldCharType="separate"/>
      </w:r>
      <w:r>
        <w:t>61</w:t>
      </w:r>
      <w:r>
        <w:fldChar w:fldCharType="end"/>
      </w:r>
      <w:r>
        <w:rPr>
          <w:rFonts w:hint="eastAsia" w:ascii="宋体" w:hAnsi="宋体" w:eastAsia="宋体" w:cs="宋体"/>
          <w:color w:val="auto"/>
          <w:szCs w:val="21"/>
          <w:highlight w:val="none"/>
        </w:rPr>
        <w:fldChar w:fldCharType="end"/>
      </w:r>
    </w:p>
    <w:p w14:paraId="23A9C468">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_Toc28583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附件</w:t>
      </w:r>
      <w:r>
        <w:rPr>
          <w:rFonts w:hint="eastAsia" w:ascii="宋体" w:hAnsi="宋体" w:eastAsia="宋体"/>
          <w:szCs w:val="24"/>
          <w:highlight w:val="none"/>
          <w:lang w:val="en-US" w:eastAsia="zh-CN"/>
        </w:rPr>
        <w:t>13</w:t>
      </w:r>
      <w:r>
        <w:rPr>
          <w:rFonts w:hint="eastAsia" w:ascii="宋体" w:hAnsi="宋体" w:eastAsia="宋体"/>
          <w:szCs w:val="24"/>
          <w:highlight w:val="none"/>
        </w:rPr>
        <w:t xml:space="preserve"> 投标函</w:t>
      </w:r>
      <w:r>
        <w:tab/>
      </w:r>
      <w:r>
        <w:fldChar w:fldCharType="begin"/>
      </w:r>
      <w:r>
        <w:instrText xml:space="preserve"> PAGEREF _Toc28583 \h </w:instrText>
      </w:r>
      <w:r>
        <w:fldChar w:fldCharType="separate"/>
      </w:r>
      <w:r>
        <w:t>62</w:t>
      </w:r>
      <w:r>
        <w:fldChar w:fldCharType="end"/>
      </w:r>
      <w:r>
        <w:rPr>
          <w:rFonts w:hint="eastAsia" w:ascii="宋体" w:hAnsi="宋体" w:eastAsia="宋体" w:cs="宋体"/>
          <w:color w:val="auto"/>
          <w:szCs w:val="21"/>
          <w:highlight w:val="none"/>
        </w:rPr>
        <w:fldChar w:fldCharType="end"/>
      </w:r>
    </w:p>
    <w:p w14:paraId="5CE41506">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_Toc8944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附件</w:t>
      </w:r>
      <w:r>
        <w:rPr>
          <w:rFonts w:hint="eastAsia" w:ascii="宋体" w:hAnsi="宋体" w:eastAsia="宋体"/>
          <w:szCs w:val="24"/>
          <w:highlight w:val="none"/>
          <w:lang w:val="en-US" w:eastAsia="zh-CN"/>
        </w:rPr>
        <w:t>14</w:t>
      </w:r>
      <w:r>
        <w:rPr>
          <w:rFonts w:hint="eastAsia" w:ascii="宋体" w:hAnsi="宋体" w:eastAsia="宋体"/>
          <w:szCs w:val="24"/>
          <w:highlight w:val="none"/>
        </w:rPr>
        <w:t xml:space="preserve"> 投标人声明</w:t>
      </w:r>
      <w:r>
        <w:tab/>
      </w:r>
      <w:r>
        <w:fldChar w:fldCharType="begin"/>
      </w:r>
      <w:r>
        <w:instrText xml:space="preserve"> PAGEREF _Toc8944 \h </w:instrText>
      </w:r>
      <w:r>
        <w:fldChar w:fldCharType="separate"/>
      </w:r>
      <w:r>
        <w:t>67</w:t>
      </w:r>
      <w:r>
        <w:fldChar w:fldCharType="end"/>
      </w:r>
      <w:r>
        <w:rPr>
          <w:rFonts w:hint="eastAsia" w:ascii="宋体" w:hAnsi="宋体" w:eastAsia="宋体" w:cs="宋体"/>
          <w:color w:val="auto"/>
          <w:szCs w:val="21"/>
          <w:highlight w:val="none"/>
        </w:rPr>
        <w:fldChar w:fldCharType="end"/>
      </w:r>
    </w:p>
    <w:p w14:paraId="2445ED53">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_Toc17394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附件</w:t>
      </w:r>
      <w:r>
        <w:rPr>
          <w:rFonts w:hint="eastAsia" w:ascii="宋体" w:hAnsi="宋体" w:eastAsia="宋体"/>
          <w:szCs w:val="24"/>
          <w:highlight w:val="none"/>
          <w:lang w:val="en-US" w:eastAsia="zh-CN"/>
        </w:rPr>
        <w:t>15</w:t>
      </w:r>
      <w:r>
        <w:rPr>
          <w:rFonts w:hint="eastAsia" w:ascii="宋体" w:hAnsi="宋体" w:eastAsia="宋体"/>
          <w:szCs w:val="24"/>
          <w:highlight w:val="none"/>
        </w:rPr>
        <w:t xml:space="preserve"> 法人代表证明书及法定代表人授权书</w:t>
      </w:r>
      <w:r>
        <w:tab/>
      </w:r>
      <w:r>
        <w:fldChar w:fldCharType="begin"/>
      </w:r>
      <w:r>
        <w:instrText xml:space="preserve"> PAGEREF _Toc17394 \h </w:instrText>
      </w:r>
      <w:r>
        <w:fldChar w:fldCharType="separate"/>
      </w:r>
      <w:r>
        <w:t>69</w:t>
      </w:r>
      <w:r>
        <w:fldChar w:fldCharType="end"/>
      </w:r>
      <w:r>
        <w:rPr>
          <w:rFonts w:hint="eastAsia" w:ascii="宋体" w:hAnsi="宋体" w:eastAsia="宋体" w:cs="宋体"/>
          <w:color w:val="auto"/>
          <w:szCs w:val="21"/>
          <w:highlight w:val="none"/>
        </w:rPr>
        <w:fldChar w:fldCharType="end"/>
      </w:r>
    </w:p>
    <w:p w14:paraId="24D342FA">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_Toc19656 </w:instrText>
      </w:r>
      <w:r>
        <w:rPr>
          <w:rFonts w:hint="eastAsia" w:ascii="宋体" w:hAnsi="宋体" w:eastAsia="宋体" w:cs="宋体"/>
          <w:szCs w:val="21"/>
          <w:highlight w:val="none"/>
        </w:rPr>
        <w:fldChar w:fldCharType="separate"/>
      </w:r>
      <w:r>
        <w:rPr>
          <w:rFonts w:hint="eastAsia" w:ascii="宋体" w:hAnsi="宋体" w:eastAsia="宋体"/>
          <w:strike/>
          <w:dstrike w:val="0"/>
          <w:szCs w:val="24"/>
          <w:highlight w:val="none"/>
        </w:rPr>
        <w:t>附件</w:t>
      </w:r>
      <w:r>
        <w:rPr>
          <w:rFonts w:hint="eastAsia" w:ascii="宋体" w:hAnsi="宋体" w:eastAsia="宋体"/>
          <w:strike/>
          <w:dstrike w:val="0"/>
          <w:szCs w:val="24"/>
          <w:highlight w:val="none"/>
          <w:lang w:val="en-US" w:eastAsia="zh-CN"/>
        </w:rPr>
        <w:t>16</w:t>
      </w:r>
      <w:r>
        <w:rPr>
          <w:rFonts w:hint="eastAsia" w:ascii="宋体" w:hAnsi="宋体" w:eastAsia="宋体"/>
          <w:strike/>
          <w:dstrike w:val="0"/>
          <w:szCs w:val="24"/>
          <w:highlight w:val="none"/>
        </w:rPr>
        <w:t xml:space="preserve"> 联合体投标协议</w:t>
      </w:r>
      <w:r>
        <w:tab/>
      </w:r>
      <w:r>
        <w:fldChar w:fldCharType="begin"/>
      </w:r>
      <w:r>
        <w:instrText xml:space="preserve"> PAGEREF _Toc19656 \h </w:instrText>
      </w:r>
      <w:r>
        <w:fldChar w:fldCharType="separate"/>
      </w:r>
      <w:r>
        <w:t>71</w:t>
      </w:r>
      <w:r>
        <w:fldChar w:fldCharType="end"/>
      </w:r>
      <w:r>
        <w:rPr>
          <w:rFonts w:hint="eastAsia" w:ascii="宋体" w:hAnsi="宋体" w:eastAsia="宋体" w:cs="宋体"/>
          <w:color w:val="auto"/>
          <w:szCs w:val="21"/>
          <w:highlight w:val="none"/>
        </w:rPr>
        <w:fldChar w:fldCharType="end"/>
      </w:r>
    </w:p>
    <w:p w14:paraId="676E41FC">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_Toc22884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17</w:t>
      </w:r>
      <w:r>
        <w:tab/>
      </w:r>
      <w:r>
        <w:fldChar w:fldCharType="begin"/>
      </w:r>
      <w:r>
        <w:instrText xml:space="preserve"> PAGEREF _Toc22884 \h </w:instrText>
      </w:r>
      <w:r>
        <w:fldChar w:fldCharType="separate"/>
      </w:r>
      <w:r>
        <w:t>72</w:t>
      </w:r>
      <w:r>
        <w:fldChar w:fldCharType="end"/>
      </w:r>
      <w:r>
        <w:rPr>
          <w:rFonts w:hint="eastAsia" w:ascii="宋体" w:hAnsi="宋体" w:eastAsia="宋体" w:cs="宋体"/>
          <w:color w:val="auto"/>
          <w:szCs w:val="21"/>
          <w:highlight w:val="none"/>
        </w:rPr>
        <w:fldChar w:fldCharType="end"/>
      </w:r>
    </w:p>
    <w:p w14:paraId="0E7EDE56">
      <w:pPr>
        <w:pStyle w:val="7"/>
        <w:tabs>
          <w:tab w:val="right" w:leader="dot" w:pos="8697"/>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_Toc15907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18</w:t>
      </w:r>
      <w:r>
        <w:rPr>
          <w:rFonts w:hint="eastAsia" w:ascii="宋体" w:hAnsi="宋体" w:eastAsia="宋体" w:cs="宋体"/>
          <w:szCs w:val="24"/>
          <w:highlight w:val="none"/>
        </w:rPr>
        <w:t>主要人员简历表</w:t>
      </w:r>
      <w:r>
        <w:tab/>
      </w:r>
      <w:r>
        <w:fldChar w:fldCharType="begin"/>
      </w:r>
      <w:r>
        <w:instrText xml:space="preserve"> PAGEREF _Toc15907 \h </w:instrText>
      </w:r>
      <w:r>
        <w:fldChar w:fldCharType="separate"/>
      </w:r>
      <w:r>
        <w:t>73</w:t>
      </w:r>
      <w:r>
        <w:fldChar w:fldCharType="end"/>
      </w:r>
      <w:r>
        <w:rPr>
          <w:rFonts w:hint="eastAsia" w:ascii="宋体" w:hAnsi="宋体" w:eastAsia="宋体" w:cs="宋体"/>
          <w:color w:val="auto"/>
          <w:szCs w:val="21"/>
          <w:highlight w:val="none"/>
        </w:rPr>
        <w:fldChar w:fldCharType="end"/>
      </w:r>
    </w:p>
    <w:p w14:paraId="4638FC5C">
      <w:pPr>
        <w:pStyle w:val="13"/>
        <w:tabs>
          <w:tab w:val="right" w:leader="dot" w:pos="8697"/>
          <w:tab w:val="clear" w:pos="9060"/>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_Toc12385 </w:instrText>
      </w:r>
      <w:r>
        <w:rPr>
          <w:rFonts w:hint="eastAsia" w:ascii="宋体" w:hAnsi="宋体" w:eastAsia="宋体" w:cs="宋体"/>
          <w:szCs w:val="21"/>
          <w:highlight w:val="none"/>
        </w:rPr>
        <w:fldChar w:fldCharType="separate"/>
      </w:r>
      <w:r>
        <w:rPr>
          <w:rFonts w:hint="eastAsia" w:ascii="宋体" w:eastAsia="宋体"/>
          <w:highlight w:val="none"/>
        </w:rPr>
        <w:t>第五章  技术条件（工程建设标准）</w:t>
      </w:r>
      <w:r>
        <w:tab/>
      </w:r>
      <w:r>
        <w:fldChar w:fldCharType="begin"/>
      </w:r>
      <w:r>
        <w:instrText xml:space="preserve"> PAGEREF _Toc12385 \h </w:instrText>
      </w:r>
      <w:r>
        <w:fldChar w:fldCharType="separate"/>
      </w:r>
      <w:r>
        <w:t>74</w:t>
      </w:r>
      <w:r>
        <w:fldChar w:fldCharType="end"/>
      </w:r>
      <w:r>
        <w:rPr>
          <w:rFonts w:hint="eastAsia" w:ascii="宋体" w:hAnsi="宋体" w:eastAsia="宋体" w:cs="宋体"/>
          <w:color w:val="auto"/>
          <w:szCs w:val="21"/>
          <w:highlight w:val="none"/>
        </w:rPr>
        <w:fldChar w:fldCharType="end"/>
      </w:r>
    </w:p>
    <w:p w14:paraId="637C018A">
      <w:pPr>
        <w:pStyle w:val="13"/>
        <w:tabs>
          <w:tab w:val="right" w:leader="dot" w:pos="8697"/>
          <w:tab w:val="clear" w:pos="9060"/>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_Toc30634 </w:instrText>
      </w:r>
      <w:r>
        <w:rPr>
          <w:rFonts w:hint="eastAsia" w:ascii="宋体" w:hAnsi="宋体" w:eastAsia="宋体" w:cs="宋体"/>
          <w:szCs w:val="21"/>
          <w:highlight w:val="none"/>
        </w:rPr>
        <w:fldChar w:fldCharType="separate"/>
      </w:r>
      <w:r>
        <w:rPr>
          <w:rFonts w:hint="eastAsia" w:ascii="宋体" w:eastAsia="宋体"/>
          <w:highlight w:val="none"/>
        </w:rPr>
        <w:t>第六章  图纸及勘察资料</w:t>
      </w:r>
      <w:r>
        <w:tab/>
      </w:r>
      <w:r>
        <w:fldChar w:fldCharType="begin"/>
      </w:r>
      <w:r>
        <w:instrText xml:space="preserve"> PAGEREF _Toc30634 \h </w:instrText>
      </w:r>
      <w:r>
        <w:fldChar w:fldCharType="separate"/>
      </w:r>
      <w:r>
        <w:t>75</w:t>
      </w:r>
      <w:r>
        <w:fldChar w:fldCharType="end"/>
      </w:r>
      <w:r>
        <w:rPr>
          <w:rFonts w:hint="eastAsia" w:ascii="宋体" w:hAnsi="宋体" w:eastAsia="宋体" w:cs="宋体"/>
          <w:color w:val="auto"/>
          <w:szCs w:val="21"/>
          <w:highlight w:val="none"/>
        </w:rPr>
        <w:fldChar w:fldCharType="end"/>
      </w:r>
    </w:p>
    <w:p w14:paraId="7BAA79DD">
      <w:pPr>
        <w:pStyle w:val="13"/>
        <w:tabs>
          <w:tab w:val="right" w:leader="dot" w:pos="8697"/>
          <w:tab w:val="clear" w:pos="9060"/>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_Toc2417 </w:instrText>
      </w:r>
      <w:r>
        <w:rPr>
          <w:rFonts w:hint="eastAsia" w:ascii="宋体" w:hAnsi="宋体" w:eastAsia="宋体" w:cs="宋体"/>
          <w:szCs w:val="21"/>
          <w:highlight w:val="none"/>
        </w:rPr>
        <w:fldChar w:fldCharType="separate"/>
      </w:r>
      <w:r>
        <w:rPr>
          <w:rFonts w:hint="eastAsia" w:ascii="宋体" w:eastAsia="宋体"/>
          <w:highlight w:val="none"/>
        </w:rPr>
        <w:t>第七章  工程量清单</w:t>
      </w:r>
      <w:r>
        <w:tab/>
      </w:r>
      <w:r>
        <w:fldChar w:fldCharType="begin"/>
      </w:r>
      <w:r>
        <w:instrText xml:space="preserve"> PAGEREF _Toc2417 \h </w:instrText>
      </w:r>
      <w:r>
        <w:fldChar w:fldCharType="separate"/>
      </w:r>
      <w:r>
        <w:t>76</w:t>
      </w:r>
      <w:r>
        <w:fldChar w:fldCharType="end"/>
      </w:r>
      <w:r>
        <w:rPr>
          <w:rFonts w:hint="eastAsia" w:ascii="宋体" w:hAnsi="宋体" w:eastAsia="宋体" w:cs="宋体"/>
          <w:color w:val="auto"/>
          <w:szCs w:val="21"/>
          <w:highlight w:val="none"/>
        </w:rPr>
        <w:fldChar w:fldCharType="end"/>
      </w:r>
    </w:p>
    <w:p w14:paraId="53B5A0AA">
      <w:pPr>
        <w:pStyle w:val="13"/>
        <w:tabs>
          <w:tab w:val="right" w:leader="dot" w:pos="8697"/>
          <w:tab w:val="clear" w:pos="9060"/>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_Toc6183 </w:instrText>
      </w:r>
      <w:r>
        <w:rPr>
          <w:rFonts w:hint="eastAsia" w:ascii="宋体" w:hAnsi="宋体" w:eastAsia="宋体" w:cs="宋体"/>
          <w:szCs w:val="21"/>
          <w:highlight w:val="none"/>
        </w:rPr>
        <w:fldChar w:fldCharType="separate"/>
      </w:r>
      <w:r>
        <w:rPr>
          <w:rFonts w:hint="eastAsia" w:ascii="宋体" w:hAnsi="宋体" w:eastAsia="宋体" w:cs="宋体"/>
          <w:bCs/>
          <w:szCs w:val="30"/>
          <w:highlight w:val="none"/>
        </w:rPr>
        <w:t>第八章</w:t>
      </w:r>
      <w:r>
        <w:rPr>
          <w:rFonts w:hint="eastAsia" w:ascii="宋体" w:hAnsi="宋体" w:eastAsia="宋体" w:cs="宋体"/>
          <w:szCs w:val="30"/>
          <w:highlight w:val="none"/>
        </w:rPr>
        <w:t xml:space="preserve">  最高投标限价</w:t>
      </w:r>
      <w:r>
        <w:tab/>
      </w:r>
      <w:r>
        <w:fldChar w:fldCharType="begin"/>
      </w:r>
      <w:r>
        <w:instrText xml:space="preserve"> PAGEREF _Toc6183 \h </w:instrText>
      </w:r>
      <w:r>
        <w:fldChar w:fldCharType="separate"/>
      </w:r>
      <w:r>
        <w:t>77</w:t>
      </w:r>
      <w:r>
        <w:fldChar w:fldCharType="end"/>
      </w:r>
      <w:r>
        <w:rPr>
          <w:rFonts w:hint="eastAsia" w:ascii="宋体" w:hAnsi="宋体" w:eastAsia="宋体" w:cs="宋体"/>
          <w:color w:val="auto"/>
          <w:szCs w:val="21"/>
          <w:highlight w:val="none"/>
        </w:rPr>
        <w:fldChar w:fldCharType="end"/>
      </w:r>
    </w:p>
    <w:p w14:paraId="5011E24E">
      <w:pPr>
        <w:spacing w:line="336" w:lineRule="auto"/>
        <w:jc w:val="center"/>
        <w:rPr>
          <w:rFonts w:ascii="宋体" w:hAnsi="宋体" w:eastAsia="宋体"/>
          <w:b/>
          <w:color w:val="auto"/>
          <w:sz w:val="44"/>
          <w:szCs w:val="44"/>
          <w:highlight w:val="none"/>
        </w:rPr>
        <w:sectPr>
          <w:headerReference r:id="rId4" w:type="first"/>
          <w:headerReference r:id="rId3" w:type="default"/>
          <w:endnotePr>
            <w:numFmt w:val="decimal"/>
          </w:endnotePr>
          <w:pgSz w:w="11850" w:h="16783"/>
          <w:pgMar w:top="1418" w:right="1293" w:bottom="1418" w:left="1293" w:header="851" w:footer="992" w:gutter="567"/>
          <w:pgNumType w:fmt="decimal" w:start="1"/>
          <w:cols w:space="720" w:num="1"/>
        </w:sectPr>
      </w:pPr>
      <w:r>
        <w:rPr>
          <w:rFonts w:hint="eastAsia" w:ascii="宋体" w:hAnsi="宋体" w:eastAsia="宋体" w:cs="宋体"/>
          <w:color w:val="auto"/>
          <w:szCs w:val="21"/>
          <w:highlight w:val="none"/>
        </w:rPr>
        <w:fldChar w:fldCharType="end"/>
      </w:r>
    </w:p>
    <w:p w14:paraId="367516DC">
      <w:pPr>
        <w:pStyle w:val="2"/>
        <w:jc w:val="center"/>
        <w:rPr>
          <w:rFonts w:ascii="宋体" w:eastAsia="宋体"/>
          <w:color w:val="auto"/>
          <w:highlight w:val="none"/>
        </w:rPr>
      </w:pPr>
      <w:bookmarkStart w:id="0" w:name="_第一章__投标须知"/>
      <w:bookmarkEnd w:id="0"/>
      <w:bookmarkStart w:id="1" w:name="_Toc18352"/>
      <w:bookmarkStart w:id="2" w:name="_Toc29083"/>
      <w:bookmarkStart w:id="3" w:name="_Toc27070"/>
      <w:bookmarkStart w:id="4" w:name="_Toc262229159"/>
      <w:bookmarkStart w:id="5" w:name="_Toc8930"/>
      <w:bookmarkStart w:id="6" w:name="_Toc1626"/>
      <w:bookmarkStart w:id="7" w:name="_Toc32630"/>
      <w:bookmarkStart w:id="8" w:name="_Toc101777609"/>
      <w:bookmarkStart w:id="9" w:name="_Toc8737"/>
      <w:bookmarkStart w:id="10" w:name="_Toc9944"/>
      <w:bookmarkStart w:id="11" w:name="_Toc22933"/>
      <w:bookmarkStart w:id="12" w:name="_Toc10653"/>
      <w:r>
        <w:rPr>
          <w:rFonts w:hint="eastAsia" w:ascii="宋体" w:eastAsia="宋体"/>
          <w:color w:val="auto"/>
          <w:highlight w:val="none"/>
        </w:rPr>
        <w:t>第一章  投标须知</w:t>
      </w:r>
      <w:bookmarkEnd w:id="1"/>
      <w:bookmarkEnd w:id="2"/>
      <w:bookmarkEnd w:id="3"/>
      <w:bookmarkEnd w:id="4"/>
      <w:bookmarkEnd w:id="5"/>
      <w:bookmarkEnd w:id="6"/>
      <w:bookmarkEnd w:id="7"/>
      <w:bookmarkEnd w:id="8"/>
      <w:bookmarkEnd w:id="9"/>
      <w:bookmarkEnd w:id="10"/>
      <w:bookmarkEnd w:id="11"/>
      <w:bookmarkEnd w:id="12"/>
    </w:p>
    <w:p w14:paraId="0DE20078">
      <w:pPr>
        <w:pStyle w:val="3"/>
        <w:spacing w:before="120"/>
        <w:rPr>
          <w:rFonts w:ascii="宋体" w:eastAsia="宋体"/>
          <w:color w:val="auto"/>
          <w:highlight w:val="none"/>
        </w:rPr>
      </w:pPr>
      <w:bookmarkStart w:id="13" w:name="_一、投标须知前附表"/>
      <w:bookmarkEnd w:id="13"/>
      <w:bookmarkStart w:id="14" w:name="_Toc24826"/>
      <w:bookmarkStart w:id="15" w:name="_Toc15329"/>
      <w:bookmarkStart w:id="16" w:name="_Toc20881"/>
      <w:bookmarkStart w:id="17" w:name="_Toc25292"/>
      <w:bookmarkStart w:id="18" w:name="_Toc8328"/>
      <w:bookmarkStart w:id="19" w:name="_Toc4718"/>
      <w:bookmarkStart w:id="20" w:name="_Toc22312"/>
      <w:bookmarkStart w:id="21" w:name="_Toc13828"/>
      <w:bookmarkStart w:id="22" w:name="_Toc262229160"/>
      <w:bookmarkStart w:id="23" w:name="_Toc101777610"/>
      <w:bookmarkStart w:id="24" w:name="_Toc20346"/>
      <w:bookmarkStart w:id="25" w:name="_Toc28255"/>
      <w:r>
        <w:rPr>
          <w:rFonts w:hint="eastAsia" w:ascii="宋体" w:eastAsia="宋体"/>
          <w:color w:val="auto"/>
          <w:highlight w:val="none"/>
        </w:rPr>
        <w:t>一、投标须知前附表</w:t>
      </w:r>
      <w:bookmarkEnd w:id="14"/>
      <w:bookmarkEnd w:id="15"/>
      <w:bookmarkEnd w:id="16"/>
      <w:bookmarkEnd w:id="17"/>
      <w:bookmarkEnd w:id="18"/>
      <w:bookmarkEnd w:id="19"/>
      <w:bookmarkEnd w:id="20"/>
      <w:bookmarkEnd w:id="21"/>
      <w:bookmarkEnd w:id="22"/>
      <w:bookmarkEnd w:id="23"/>
      <w:bookmarkEnd w:id="24"/>
      <w:bookmarkEnd w:id="25"/>
    </w:p>
    <w:p w14:paraId="6C2AB0CE">
      <w:pPr>
        <w:pStyle w:val="4"/>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声明：本投标须知前附表使用GZYLZB202</w:t>
      </w:r>
      <w:r>
        <w:rPr>
          <w:rFonts w:hint="eastAsia" w:ascii="宋体" w:hAnsi="宋体" w:eastAsia="宋体"/>
          <w:b/>
          <w:color w:val="auto"/>
          <w:szCs w:val="21"/>
          <w:highlight w:val="none"/>
          <w:lang w:val="en-US" w:eastAsia="zh-CN"/>
        </w:rPr>
        <w:t>3</w:t>
      </w:r>
      <w:r>
        <w:rPr>
          <w:rFonts w:hint="eastAsia" w:ascii="宋体" w:hAnsi="宋体" w:eastAsia="宋体"/>
          <w:b/>
          <w:color w:val="auto"/>
          <w:szCs w:val="21"/>
          <w:highlight w:val="none"/>
        </w:rPr>
        <w:t>-1招标文件范本，与范本不同之处均以下划线标明，所有标明下划线部分属于本表的组成部分，同其他部分具有同等效力。对范本《投标须知通用条款》和《开标、评标和定标办法通用条款》可选择部分的选择使用，均已在本表中注明，通用条款可选择部分中未被本投标须知前附表选择的部分无效。</w:t>
      </w:r>
    </w:p>
    <w:tbl>
      <w:tblPr>
        <w:tblStyle w:val="16"/>
        <w:tblW w:w="97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941"/>
        <w:gridCol w:w="1341"/>
        <w:gridCol w:w="7029"/>
      </w:tblGrid>
      <w:tr w14:paraId="765015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blHeader/>
          <w:jc w:val="center"/>
        </w:trPr>
        <w:tc>
          <w:tcPr>
            <w:tcW w:w="457" w:type="dxa"/>
            <w:tcBorders>
              <w:top w:val="double" w:color="auto" w:sz="4" w:space="0"/>
              <w:left w:val="double" w:color="auto" w:sz="4" w:space="0"/>
              <w:bottom w:val="single" w:color="auto" w:sz="4" w:space="0"/>
              <w:right w:val="single" w:color="auto" w:sz="4" w:space="0"/>
            </w:tcBorders>
            <w:noWrap w:val="0"/>
            <w:vAlign w:val="center"/>
          </w:tcPr>
          <w:p w14:paraId="5DCA5D5A">
            <w:pPr>
              <w:jc w:val="center"/>
              <w:rPr>
                <w:rFonts w:ascii="宋体" w:hAnsi="宋体" w:eastAsia="宋体"/>
                <w:color w:val="auto"/>
                <w:highlight w:val="none"/>
              </w:rPr>
            </w:pPr>
            <w:r>
              <w:rPr>
                <w:rFonts w:hint="eastAsia" w:ascii="宋体" w:hAnsi="宋体" w:eastAsia="宋体"/>
                <w:color w:val="auto"/>
                <w:highlight w:val="none"/>
              </w:rPr>
              <w:t>项目</w:t>
            </w:r>
          </w:p>
        </w:tc>
        <w:tc>
          <w:tcPr>
            <w:tcW w:w="941" w:type="dxa"/>
            <w:tcBorders>
              <w:top w:val="double" w:color="auto" w:sz="4" w:space="0"/>
              <w:left w:val="single" w:color="auto" w:sz="4" w:space="0"/>
              <w:bottom w:val="single" w:color="auto" w:sz="4" w:space="0"/>
              <w:right w:val="single" w:color="auto" w:sz="4" w:space="0"/>
            </w:tcBorders>
            <w:noWrap w:val="0"/>
            <w:vAlign w:val="center"/>
          </w:tcPr>
          <w:p w14:paraId="14742FB5">
            <w:pPr>
              <w:jc w:val="center"/>
              <w:rPr>
                <w:rFonts w:ascii="宋体" w:hAnsi="宋体" w:eastAsia="宋体"/>
                <w:color w:val="auto"/>
                <w:highlight w:val="none"/>
              </w:rPr>
            </w:pPr>
            <w:r>
              <w:rPr>
                <w:rFonts w:hint="eastAsia" w:ascii="宋体" w:hAnsi="宋体" w:eastAsia="宋体"/>
                <w:color w:val="auto"/>
                <w:highlight w:val="none"/>
              </w:rPr>
              <w:t>条款号</w:t>
            </w:r>
          </w:p>
        </w:tc>
        <w:tc>
          <w:tcPr>
            <w:tcW w:w="1341" w:type="dxa"/>
            <w:tcBorders>
              <w:top w:val="double" w:color="auto" w:sz="4" w:space="0"/>
              <w:left w:val="single" w:color="auto" w:sz="4" w:space="0"/>
              <w:bottom w:val="single" w:color="auto" w:sz="4" w:space="0"/>
              <w:right w:val="single" w:color="auto" w:sz="4" w:space="0"/>
            </w:tcBorders>
            <w:noWrap w:val="0"/>
            <w:vAlign w:val="center"/>
          </w:tcPr>
          <w:p w14:paraId="5AEE3B00">
            <w:pPr>
              <w:jc w:val="center"/>
              <w:rPr>
                <w:rFonts w:ascii="宋体" w:hAnsi="宋体" w:eastAsia="宋体"/>
                <w:color w:val="auto"/>
                <w:highlight w:val="none"/>
              </w:rPr>
            </w:pPr>
            <w:r>
              <w:rPr>
                <w:rFonts w:hint="eastAsia" w:ascii="宋体" w:hAnsi="宋体" w:eastAsia="宋体"/>
                <w:color w:val="auto"/>
                <w:highlight w:val="none"/>
              </w:rPr>
              <w:t>内容</w:t>
            </w:r>
          </w:p>
        </w:tc>
        <w:tc>
          <w:tcPr>
            <w:tcW w:w="7029" w:type="dxa"/>
            <w:tcBorders>
              <w:top w:val="double" w:color="auto" w:sz="4" w:space="0"/>
              <w:left w:val="single" w:color="auto" w:sz="4" w:space="0"/>
              <w:bottom w:val="single" w:color="auto" w:sz="4" w:space="0"/>
              <w:right w:val="double" w:color="auto" w:sz="4" w:space="0"/>
            </w:tcBorders>
            <w:noWrap w:val="0"/>
            <w:vAlign w:val="center"/>
          </w:tcPr>
          <w:p w14:paraId="181D07AE">
            <w:pPr>
              <w:pStyle w:val="9"/>
              <w:jc w:val="center"/>
              <w:rPr>
                <w:rFonts w:ascii="宋体" w:hAnsi="宋体" w:eastAsia="宋体"/>
                <w:color w:val="auto"/>
                <w:highlight w:val="none"/>
              </w:rPr>
            </w:pPr>
            <w:r>
              <w:rPr>
                <w:rFonts w:hint="eastAsia" w:ascii="宋体" w:hAnsi="宋体" w:eastAsia="宋体"/>
                <w:color w:val="auto"/>
                <w:highlight w:val="none"/>
              </w:rPr>
              <w:t>说明与要求</w:t>
            </w:r>
          </w:p>
        </w:tc>
      </w:tr>
      <w:tr w14:paraId="0229C9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33D2BFA1">
            <w:pPr>
              <w:rPr>
                <w:rFonts w:ascii="宋体" w:hAnsi="宋体" w:eastAsia="宋体"/>
                <w:color w:val="auto"/>
                <w:highlight w:val="none"/>
              </w:rPr>
            </w:pPr>
            <w:r>
              <w:rPr>
                <w:rFonts w:hint="eastAsia" w:ascii="宋体" w:hAnsi="宋体" w:eastAsia="宋体"/>
                <w:color w:val="auto"/>
                <w:highlight w:val="none"/>
              </w:rPr>
              <w:t>1</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6F4D4E83">
            <w:pPr>
              <w:rPr>
                <w:rFonts w:ascii="宋体" w:hAnsi="宋体" w:eastAsia="宋体"/>
                <w:color w:val="auto"/>
                <w:highlight w:val="none"/>
              </w:rPr>
            </w:pPr>
            <w:r>
              <w:rPr>
                <w:rFonts w:hint="eastAsia" w:ascii="宋体" w:hAnsi="宋体" w:eastAsia="宋体"/>
                <w:color w:val="auto"/>
                <w:highlight w:val="none"/>
              </w:rPr>
              <w:t>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F5F0AC7">
            <w:pPr>
              <w:rPr>
                <w:rFonts w:ascii="宋体" w:hAnsi="宋体" w:eastAsia="宋体"/>
                <w:color w:val="auto"/>
                <w:highlight w:val="none"/>
              </w:rPr>
            </w:pPr>
            <w:r>
              <w:rPr>
                <w:rFonts w:hint="eastAsia" w:ascii="宋体" w:hAnsi="宋体" w:eastAsia="宋体"/>
                <w:color w:val="auto"/>
                <w:highlight w:val="none"/>
              </w:rPr>
              <w:t>定义</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3372F6AB">
            <w:pPr>
              <w:spacing w:line="340" w:lineRule="atLeas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招标人（即发包人）：</w:t>
            </w:r>
            <w:r>
              <w:rPr>
                <w:rFonts w:hint="eastAsia" w:ascii="宋体" w:hAnsi="宋体" w:eastAsia="宋体" w:cs="宋体"/>
                <w:color w:val="auto"/>
                <w:szCs w:val="21"/>
                <w:highlight w:val="none"/>
                <w:u w:val="single"/>
                <w:lang w:eastAsia="zh-CN"/>
              </w:rPr>
              <w:t>广州市从化区林业和园林局</w:t>
            </w:r>
          </w:p>
          <w:p w14:paraId="4A7A4A1C">
            <w:pPr>
              <w:spacing w:line="3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项目建设管理单位：</w:t>
            </w:r>
            <w:r>
              <w:rPr>
                <w:rFonts w:hint="eastAsia" w:ascii="宋体" w:hAnsi="宋体" w:eastAsia="宋体" w:cs="宋体"/>
                <w:color w:val="auto"/>
                <w:szCs w:val="21"/>
                <w:highlight w:val="none"/>
                <w:u w:val="single"/>
              </w:rPr>
              <w:t xml:space="preserve">  / </w:t>
            </w:r>
          </w:p>
          <w:p w14:paraId="78104A3A">
            <w:pPr>
              <w:rPr>
                <w:rFonts w:ascii="宋体" w:hAnsi="宋体" w:eastAsia="宋体"/>
                <w:color w:val="auto"/>
                <w:highlight w:val="none"/>
              </w:rPr>
            </w:pPr>
            <w:r>
              <w:rPr>
                <w:rFonts w:hint="eastAsia" w:ascii="宋体" w:hAnsi="宋体" w:eastAsia="宋体"/>
                <w:color w:val="auto"/>
                <w:highlight w:val="none"/>
              </w:rPr>
              <w:t>招标代理机构：</w:t>
            </w:r>
            <w:r>
              <w:rPr>
                <w:rFonts w:hint="eastAsia" w:ascii="宋体" w:hAnsi="宋体" w:eastAsia="宋体"/>
                <w:color w:val="auto"/>
                <w:highlight w:val="none"/>
                <w:u w:val="single"/>
                <w:lang w:val="en-US" w:eastAsia="zh-CN"/>
              </w:rPr>
              <w:t>广东海外建设咨询有限公司</w:t>
            </w:r>
            <w:r>
              <w:rPr>
                <w:rFonts w:hint="eastAsia" w:ascii="宋体" w:hAnsi="宋体" w:eastAsia="宋体"/>
                <w:color w:val="auto"/>
                <w:highlight w:val="none"/>
                <w:u w:val="single"/>
              </w:rPr>
              <w:t xml:space="preserve">   </w:t>
            </w:r>
          </w:p>
          <w:p w14:paraId="62066864">
            <w:pPr>
              <w:rPr>
                <w:rFonts w:ascii="宋体" w:hAnsi="宋体" w:eastAsia="宋体"/>
                <w:color w:val="auto"/>
                <w:highlight w:val="none"/>
              </w:rPr>
            </w:pPr>
            <w:r>
              <w:rPr>
                <w:rFonts w:hint="eastAsia" w:ascii="宋体" w:hAnsi="宋体" w:eastAsia="宋体"/>
                <w:color w:val="auto"/>
                <w:highlight w:val="none"/>
              </w:rPr>
              <w:t>设计单位：</w:t>
            </w:r>
            <w:r>
              <w:rPr>
                <w:rFonts w:hint="eastAsia" w:ascii="宋体" w:hAnsi="宋体" w:eastAsia="宋体"/>
                <w:color w:val="auto"/>
                <w:highlight w:val="none"/>
                <w:u w:val="single"/>
              </w:rPr>
              <w:t xml:space="preserve">广东宏微生态规划设计院股份有限公司    </w:t>
            </w:r>
          </w:p>
          <w:p w14:paraId="4EA1300F">
            <w:pPr>
              <w:rPr>
                <w:rFonts w:ascii="宋体" w:hAnsi="宋体" w:eastAsia="宋体"/>
                <w:color w:val="auto"/>
                <w:highlight w:val="none"/>
              </w:rPr>
            </w:pPr>
            <w:r>
              <w:rPr>
                <w:rFonts w:hint="eastAsia" w:ascii="宋体" w:hAnsi="宋体" w:eastAsia="宋体"/>
                <w:color w:val="auto"/>
                <w:highlight w:val="none"/>
              </w:rPr>
              <w:t>监理单位：</w:t>
            </w:r>
            <w:r>
              <w:rPr>
                <w:rFonts w:hint="eastAsia" w:ascii="宋体" w:hAnsi="宋体" w:eastAsia="宋体" w:cs="宋体"/>
                <w:color w:val="auto"/>
                <w:szCs w:val="21"/>
                <w:highlight w:val="none"/>
                <w:u w:val="single"/>
              </w:rPr>
              <w:t xml:space="preserve">  / </w:t>
            </w:r>
          </w:p>
        </w:tc>
      </w:tr>
      <w:tr w14:paraId="5505B2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77BEA463">
            <w:pPr>
              <w:rPr>
                <w:rFonts w:ascii="宋体" w:hAnsi="宋体" w:eastAsia="宋体"/>
                <w:color w:val="auto"/>
                <w:highlight w:val="none"/>
              </w:rPr>
            </w:pPr>
            <w:r>
              <w:rPr>
                <w:rFonts w:hint="eastAsia" w:ascii="宋体" w:hAnsi="宋体" w:eastAsia="宋体"/>
                <w:color w:val="auto"/>
                <w:highlight w:val="none"/>
              </w:rPr>
              <w:t>2</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28F4FA77">
            <w:pPr>
              <w:rPr>
                <w:rFonts w:ascii="宋体" w:hAnsi="宋体" w:eastAsia="宋体"/>
                <w:color w:val="auto"/>
                <w:highlight w:val="none"/>
              </w:rPr>
            </w:pPr>
            <w:r>
              <w:rPr>
                <w:rFonts w:hint="eastAsia" w:ascii="宋体" w:hAnsi="宋体" w:eastAsia="宋体"/>
                <w:color w:val="auto"/>
                <w:highlight w:val="none"/>
              </w:rPr>
              <w:t>2.2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B82D2CD">
            <w:pPr>
              <w:rPr>
                <w:rFonts w:ascii="宋体" w:hAnsi="宋体" w:eastAsia="宋体"/>
                <w:color w:val="auto"/>
                <w:highlight w:val="none"/>
              </w:rPr>
            </w:pPr>
            <w:r>
              <w:rPr>
                <w:rFonts w:hint="eastAsia" w:ascii="宋体" w:hAnsi="宋体" w:eastAsia="宋体"/>
                <w:color w:val="auto"/>
                <w:highlight w:val="none"/>
              </w:rPr>
              <w:t>工程名称</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3C9535B2">
            <w:pPr>
              <w:rPr>
                <w:rFonts w:ascii="宋体" w:hAnsi="宋体" w:eastAsia="宋体"/>
                <w:color w:val="auto"/>
                <w:highlight w:val="none"/>
                <w:u w:val="single"/>
              </w:rPr>
            </w:pPr>
            <w:r>
              <w:rPr>
                <w:rFonts w:hint="eastAsia" w:ascii="宋体" w:hAnsi="宋体" w:eastAsia="宋体"/>
                <w:color w:val="auto"/>
                <w:highlight w:val="none"/>
                <w:u w:val="single"/>
                <w:lang w:val="en-US" w:eastAsia="zh-CN"/>
              </w:rPr>
              <w:t>2023年从化区农田防护林带建设工程</w:t>
            </w:r>
            <w:r>
              <w:rPr>
                <w:rFonts w:hint="eastAsia" w:ascii="宋体" w:hAnsi="宋体" w:eastAsia="宋体"/>
                <w:color w:val="auto"/>
                <w:highlight w:val="none"/>
                <w:u w:val="single"/>
              </w:rPr>
              <w:t xml:space="preserve"> </w:t>
            </w:r>
          </w:p>
        </w:tc>
      </w:tr>
      <w:tr w14:paraId="251B99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032231CB">
            <w:pPr>
              <w:rPr>
                <w:rFonts w:ascii="宋体" w:hAnsi="宋体" w:eastAsia="宋体"/>
                <w:color w:val="auto"/>
                <w:highlight w:val="none"/>
              </w:rPr>
            </w:pPr>
            <w:r>
              <w:rPr>
                <w:rFonts w:hint="eastAsia" w:ascii="宋体" w:hAnsi="宋体" w:eastAsia="宋体"/>
                <w:color w:val="auto"/>
                <w:highlight w:val="none"/>
              </w:rPr>
              <w:t>3</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2CEBE74A">
            <w:pPr>
              <w:rPr>
                <w:rFonts w:ascii="宋体" w:hAnsi="宋体" w:eastAsia="宋体"/>
                <w:color w:val="auto"/>
                <w:highlight w:val="none"/>
              </w:rPr>
            </w:pPr>
            <w:r>
              <w:rPr>
                <w:rFonts w:hint="eastAsia" w:ascii="宋体" w:hAnsi="宋体" w:eastAsia="宋体"/>
                <w:color w:val="auto"/>
                <w:highlight w:val="none"/>
              </w:rPr>
              <w:t>2.2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117A29F">
            <w:pPr>
              <w:rPr>
                <w:rFonts w:ascii="宋体" w:hAnsi="宋体" w:eastAsia="宋体"/>
                <w:color w:val="auto"/>
                <w:highlight w:val="none"/>
              </w:rPr>
            </w:pPr>
            <w:r>
              <w:rPr>
                <w:rFonts w:hint="eastAsia" w:ascii="宋体" w:hAnsi="宋体" w:eastAsia="宋体"/>
                <w:color w:val="auto"/>
                <w:highlight w:val="none"/>
              </w:rPr>
              <w:t>建设地点</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6279D9BC">
            <w:pPr>
              <w:snapToGrid w:val="0"/>
              <w:spacing w:line="340" w:lineRule="atLeast"/>
              <w:rPr>
                <w:rFonts w:ascii="宋体" w:hAnsi="宋体" w:eastAsia="宋体"/>
                <w:color w:val="auto"/>
                <w:highlight w:val="none"/>
              </w:rPr>
            </w:pPr>
            <w:r>
              <w:rPr>
                <w:rFonts w:hint="eastAsia" w:ascii="宋体" w:hAnsi="宋体" w:eastAsia="宋体" w:cs="宋体"/>
                <w:color w:val="auto"/>
                <w:szCs w:val="21"/>
                <w:highlight w:val="none"/>
                <w:u w:val="single"/>
              </w:rPr>
              <w:t>详见本工程招标公告</w:t>
            </w:r>
            <w:r>
              <w:rPr>
                <w:rFonts w:hint="eastAsia" w:ascii="宋体" w:hAnsi="宋体" w:eastAsia="宋体" w:cs="宋体"/>
                <w:color w:val="auto"/>
                <w:szCs w:val="21"/>
                <w:highlight w:val="none"/>
              </w:rPr>
              <w:t>。</w:t>
            </w:r>
          </w:p>
        </w:tc>
      </w:tr>
      <w:tr w14:paraId="739937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0995CDE0">
            <w:pPr>
              <w:rPr>
                <w:rFonts w:ascii="宋体" w:hAnsi="宋体" w:eastAsia="宋体"/>
                <w:color w:val="auto"/>
                <w:highlight w:val="none"/>
              </w:rPr>
            </w:pPr>
            <w:r>
              <w:rPr>
                <w:rFonts w:hint="eastAsia" w:ascii="宋体" w:hAnsi="宋体" w:eastAsia="宋体"/>
                <w:color w:val="auto"/>
                <w:highlight w:val="none"/>
              </w:rPr>
              <w:t>4</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66D544FF">
            <w:pPr>
              <w:rPr>
                <w:rFonts w:ascii="宋体" w:hAnsi="宋体" w:eastAsia="宋体"/>
                <w:color w:val="auto"/>
                <w:highlight w:val="none"/>
              </w:rPr>
            </w:pPr>
            <w:r>
              <w:rPr>
                <w:rFonts w:hint="eastAsia" w:ascii="宋体" w:hAnsi="宋体" w:eastAsia="宋体"/>
                <w:color w:val="auto"/>
                <w:highlight w:val="none"/>
              </w:rPr>
              <w:t>2.2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1B19E21">
            <w:pPr>
              <w:rPr>
                <w:rFonts w:ascii="宋体" w:hAnsi="宋体" w:eastAsia="宋体"/>
                <w:color w:val="auto"/>
                <w:highlight w:val="none"/>
              </w:rPr>
            </w:pPr>
            <w:r>
              <w:rPr>
                <w:rFonts w:hint="eastAsia" w:ascii="宋体" w:hAnsi="宋体" w:eastAsia="宋体"/>
                <w:color w:val="auto"/>
                <w:highlight w:val="none"/>
              </w:rPr>
              <w:t>建设规模</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329AFE7E">
            <w:pPr>
              <w:snapToGrid w:val="0"/>
              <w:spacing w:line="340" w:lineRule="atLeast"/>
              <w:rPr>
                <w:rFonts w:ascii="宋体" w:hAnsi="宋体" w:eastAsia="宋体"/>
                <w:color w:val="auto"/>
                <w:highlight w:val="none"/>
              </w:rPr>
            </w:pPr>
            <w:r>
              <w:rPr>
                <w:rFonts w:hint="eastAsia" w:ascii="宋体" w:hAnsi="宋体" w:eastAsia="宋体" w:cs="宋体"/>
                <w:color w:val="auto"/>
                <w:szCs w:val="21"/>
                <w:highlight w:val="none"/>
                <w:u w:val="single"/>
              </w:rPr>
              <w:t>详见本工程招标公告</w:t>
            </w:r>
            <w:r>
              <w:rPr>
                <w:rFonts w:hint="eastAsia" w:ascii="宋体" w:hAnsi="宋体" w:eastAsia="宋体" w:cs="宋体"/>
                <w:color w:val="auto"/>
                <w:szCs w:val="21"/>
                <w:highlight w:val="none"/>
              </w:rPr>
              <w:t>。</w:t>
            </w:r>
          </w:p>
        </w:tc>
      </w:tr>
      <w:tr w14:paraId="3FD7D7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647577A9">
            <w:pPr>
              <w:rPr>
                <w:rFonts w:ascii="宋体" w:hAnsi="宋体" w:eastAsia="宋体"/>
                <w:color w:val="auto"/>
                <w:highlight w:val="none"/>
              </w:rPr>
            </w:pPr>
            <w:r>
              <w:rPr>
                <w:rFonts w:hint="eastAsia" w:ascii="宋体" w:hAnsi="宋体" w:eastAsia="宋体"/>
                <w:color w:val="auto"/>
                <w:highlight w:val="none"/>
              </w:rPr>
              <w:t>5</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03A0D620">
            <w:pPr>
              <w:rPr>
                <w:rFonts w:ascii="宋体" w:hAnsi="宋体" w:eastAsia="宋体"/>
                <w:color w:val="auto"/>
                <w:highlight w:val="none"/>
              </w:rPr>
            </w:pPr>
            <w:r>
              <w:rPr>
                <w:rFonts w:hint="eastAsia" w:ascii="宋体" w:hAnsi="宋体" w:eastAsia="宋体"/>
                <w:color w:val="auto"/>
                <w:highlight w:val="none"/>
              </w:rPr>
              <w:t>2.2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084D6D9">
            <w:pPr>
              <w:rPr>
                <w:rFonts w:ascii="宋体" w:hAnsi="宋体" w:eastAsia="宋体"/>
                <w:color w:val="auto"/>
                <w:highlight w:val="none"/>
              </w:rPr>
            </w:pPr>
            <w:r>
              <w:rPr>
                <w:rFonts w:hint="eastAsia" w:ascii="宋体" w:hAnsi="宋体" w:eastAsia="宋体"/>
                <w:color w:val="auto"/>
                <w:highlight w:val="none"/>
              </w:rPr>
              <w:t>承包方式</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5F32BA96">
            <w:pPr>
              <w:rPr>
                <w:rFonts w:ascii="宋体" w:hAnsi="宋体" w:eastAsia="宋体"/>
                <w:color w:val="auto"/>
                <w:highlight w:val="none"/>
              </w:rPr>
            </w:pPr>
            <w:r>
              <w:rPr>
                <w:rFonts w:hint="eastAsia" w:ascii="宋体" w:hAnsi="宋体" w:eastAsia="宋体"/>
                <w:color w:val="auto"/>
                <w:highlight w:val="none"/>
              </w:rPr>
              <w:t>包工、包料、包工期、包质量、包安全、包文明施工。综合单价包干、项目措施费包干。</w:t>
            </w:r>
          </w:p>
        </w:tc>
      </w:tr>
      <w:tr w14:paraId="143B2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02553DDD">
            <w:pPr>
              <w:rPr>
                <w:rFonts w:ascii="宋体" w:hAnsi="宋体" w:eastAsia="宋体"/>
                <w:color w:val="auto"/>
                <w:highlight w:val="none"/>
              </w:rPr>
            </w:pPr>
            <w:r>
              <w:rPr>
                <w:rFonts w:hint="eastAsia" w:ascii="宋体" w:hAnsi="宋体" w:eastAsia="宋体"/>
                <w:color w:val="auto"/>
                <w:highlight w:val="none"/>
              </w:rPr>
              <w:t>6</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6DC29202">
            <w:pPr>
              <w:rPr>
                <w:rFonts w:ascii="宋体" w:hAnsi="宋体" w:eastAsia="宋体"/>
                <w:color w:val="auto"/>
                <w:highlight w:val="none"/>
              </w:rPr>
            </w:pPr>
            <w:r>
              <w:rPr>
                <w:rFonts w:hint="eastAsia" w:ascii="宋体" w:hAnsi="宋体" w:eastAsia="宋体"/>
                <w:color w:val="auto"/>
                <w:highlight w:val="none"/>
              </w:rPr>
              <w:t>2.2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933F3F3">
            <w:pPr>
              <w:rPr>
                <w:rFonts w:ascii="宋体" w:hAnsi="宋体" w:eastAsia="宋体"/>
                <w:color w:val="auto"/>
                <w:highlight w:val="none"/>
              </w:rPr>
            </w:pPr>
            <w:r>
              <w:rPr>
                <w:rFonts w:hint="eastAsia" w:ascii="宋体" w:hAnsi="宋体" w:eastAsia="宋体"/>
                <w:color w:val="auto"/>
                <w:highlight w:val="none"/>
              </w:rPr>
              <w:t>质量标准</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40838508">
            <w:pPr>
              <w:spacing w:line="340" w:lineRule="atLeast"/>
              <w:rPr>
                <w:rFonts w:ascii="宋体" w:hAnsi="宋体" w:eastAsia="宋体"/>
                <w:color w:val="auto"/>
                <w:highlight w:val="none"/>
              </w:rPr>
            </w:pPr>
            <w:r>
              <w:rPr>
                <w:rFonts w:hint="eastAsia" w:ascii="宋体" w:hAnsi="宋体" w:eastAsia="宋体" w:cs="宋体"/>
                <w:color w:val="auto"/>
                <w:szCs w:val="21"/>
                <w:highlight w:val="none"/>
                <w:u w:val="single"/>
              </w:rPr>
              <w:t>合格</w:t>
            </w:r>
            <w:r>
              <w:rPr>
                <w:rFonts w:hint="eastAsia" w:ascii="宋体" w:hAnsi="宋体" w:eastAsia="宋体" w:cs="宋体"/>
                <w:color w:val="auto"/>
                <w:szCs w:val="21"/>
                <w:highlight w:val="none"/>
              </w:rPr>
              <w:t>。</w:t>
            </w:r>
          </w:p>
        </w:tc>
      </w:tr>
      <w:tr w14:paraId="3E4281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303DA36D">
            <w:pPr>
              <w:rPr>
                <w:rFonts w:ascii="宋体" w:hAnsi="宋体" w:eastAsia="宋体"/>
                <w:color w:val="auto"/>
                <w:highlight w:val="none"/>
              </w:rPr>
            </w:pPr>
            <w:r>
              <w:rPr>
                <w:rFonts w:hint="eastAsia" w:ascii="宋体" w:hAnsi="宋体" w:eastAsia="宋体"/>
                <w:color w:val="auto"/>
                <w:highlight w:val="none"/>
              </w:rPr>
              <w:t>7</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71715CE6">
            <w:pPr>
              <w:rPr>
                <w:rFonts w:ascii="宋体" w:hAnsi="宋体" w:eastAsia="宋体"/>
                <w:color w:val="auto"/>
                <w:highlight w:val="none"/>
              </w:rPr>
            </w:pPr>
            <w:r>
              <w:rPr>
                <w:rFonts w:hint="eastAsia" w:ascii="宋体" w:hAnsi="宋体" w:eastAsia="宋体"/>
                <w:color w:val="auto"/>
                <w:highlight w:val="none"/>
              </w:rPr>
              <w:t>2.2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A2502D7">
            <w:pPr>
              <w:rPr>
                <w:rFonts w:ascii="宋体" w:hAnsi="宋体" w:eastAsia="宋体"/>
                <w:color w:val="auto"/>
                <w:highlight w:val="none"/>
              </w:rPr>
            </w:pPr>
            <w:r>
              <w:rPr>
                <w:rFonts w:hint="eastAsia" w:ascii="宋体" w:hAnsi="宋体" w:eastAsia="宋体"/>
                <w:color w:val="auto"/>
                <w:highlight w:val="none"/>
              </w:rPr>
              <w:t>招标范围</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086C0498">
            <w:pPr>
              <w:spacing w:line="340" w:lineRule="atLeast"/>
              <w:rPr>
                <w:rFonts w:ascii="宋体" w:hAnsi="宋体" w:eastAsia="宋体"/>
                <w:color w:val="auto"/>
                <w:highlight w:val="none"/>
              </w:rPr>
            </w:pPr>
            <w:r>
              <w:rPr>
                <w:rFonts w:hint="eastAsia" w:ascii="宋体" w:hAnsi="宋体" w:eastAsia="宋体" w:cs="宋体"/>
                <w:color w:val="auto"/>
                <w:szCs w:val="21"/>
                <w:highlight w:val="none"/>
                <w:u w:val="single"/>
              </w:rPr>
              <w:t>详见本工程招标公告</w:t>
            </w:r>
            <w:r>
              <w:rPr>
                <w:rFonts w:hint="eastAsia" w:ascii="宋体" w:hAnsi="宋体" w:eastAsia="宋体" w:cs="宋体"/>
                <w:color w:val="auto"/>
                <w:szCs w:val="21"/>
                <w:highlight w:val="none"/>
              </w:rPr>
              <w:t>。</w:t>
            </w:r>
          </w:p>
        </w:tc>
      </w:tr>
      <w:tr w14:paraId="747E15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51EC3BDC">
            <w:pPr>
              <w:rPr>
                <w:rFonts w:ascii="宋体" w:hAnsi="宋体" w:eastAsia="宋体"/>
                <w:color w:val="auto"/>
                <w:highlight w:val="none"/>
              </w:rPr>
            </w:pPr>
            <w:r>
              <w:rPr>
                <w:rFonts w:hint="eastAsia" w:ascii="宋体" w:hAnsi="宋体" w:eastAsia="宋体"/>
                <w:color w:val="auto"/>
                <w:highlight w:val="none"/>
              </w:rPr>
              <w:t>8</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718FA13E">
            <w:pPr>
              <w:rPr>
                <w:rFonts w:ascii="宋体" w:hAnsi="宋体" w:eastAsia="宋体"/>
                <w:color w:val="auto"/>
                <w:highlight w:val="none"/>
              </w:rPr>
            </w:pPr>
            <w:r>
              <w:rPr>
                <w:rFonts w:hint="eastAsia" w:ascii="宋体" w:hAnsi="宋体" w:eastAsia="宋体"/>
                <w:color w:val="auto"/>
                <w:highlight w:val="none"/>
              </w:rPr>
              <w:t>2.2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0CB8029">
            <w:pPr>
              <w:rPr>
                <w:rFonts w:ascii="宋体" w:hAnsi="宋体" w:eastAsia="宋体"/>
                <w:color w:val="auto"/>
                <w:highlight w:val="none"/>
              </w:rPr>
            </w:pPr>
            <w:r>
              <w:rPr>
                <w:rFonts w:hint="eastAsia" w:ascii="宋体" w:hAnsi="宋体" w:eastAsia="宋体"/>
                <w:color w:val="auto"/>
                <w:highlight w:val="none"/>
              </w:rPr>
              <w:t>工期要求</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5AA241BF">
            <w:pPr>
              <w:rPr>
                <w:rFonts w:ascii="宋体" w:hAnsi="宋体" w:eastAsia="宋体"/>
                <w:color w:val="auto"/>
                <w:highlight w:val="none"/>
              </w:rPr>
            </w:pPr>
            <w:r>
              <w:rPr>
                <w:rFonts w:hint="eastAsia" w:ascii="宋体" w:hAnsi="宋体" w:eastAsia="宋体"/>
                <w:color w:val="auto"/>
                <w:highlight w:val="none"/>
                <w:u w:val="single"/>
                <w:lang w:val="en-US" w:eastAsia="zh-CN"/>
              </w:rPr>
              <w:t>2025</w:t>
            </w:r>
            <w:r>
              <w:rPr>
                <w:rFonts w:hint="eastAsia" w:ascii="宋体" w:hAnsi="宋体" w:eastAsia="宋体"/>
                <w:color w:val="auto"/>
                <w:highlight w:val="none"/>
                <w:u w:val="single"/>
              </w:rPr>
              <w:t xml:space="preserve"> </w:t>
            </w:r>
            <w:r>
              <w:rPr>
                <w:rFonts w:hint="eastAsia" w:ascii="宋体" w:hAnsi="宋体" w:eastAsia="宋体"/>
                <w:color w:val="auto"/>
                <w:highlight w:val="none"/>
              </w:rPr>
              <w:t>年</w:t>
            </w:r>
            <w:r>
              <w:rPr>
                <w:rFonts w:hint="eastAsia" w:ascii="宋体" w:hAnsi="宋体" w:eastAsia="宋体"/>
                <w:color w:val="auto"/>
                <w:highlight w:val="none"/>
                <w:u w:val="single"/>
              </w:rPr>
              <w:t xml:space="preserve">     </w:t>
            </w:r>
            <w:r>
              <w:rPr>
                <w:rFonts w:hint="eastAsia" w:ascii="宋体" w:hAnsi="宋体" w:eastAsia="宋体"/>
                <w:color w:val="auto"/>
                <w:highlight w:val="none"/>
              </w:rPr>
              <w:t>月</w:t>
            </w:r>
            <w:r>
              <w:rPr>
                <w:rFonts w:hint="eastAsia" w:ascii="宋体" w:hAnsi="宋体" w:eastAsia="宋体"/>
                <w:color w:val="auto"/>
                <w:highlight w:val="none"/>
                <w:u w:val="single"/>
              </w:rPr>
              <w:t xml:space="preserve">   </w:t>
            </w:r>
            <w:r>
              <w:rPr>
                <w:rFonts w:hint="eastAsia" w:ascii="宋体" w:hAnsi="宋体" w:eastAsia="宋体"/>
                <w:color w:val="auto"/>
                <w:highlight w:val="none"/>
              </w:rPr>
              <w:t>日计划开工，施工总工期：</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90</w:t>
            </w:r>
            <w:r>
              <w:rPr>
                <w:rFonts w:hint="eastAsia" w:ascii="宋体" w:hAnsi="宋体" w:eastAsia="宋体"/>
                <w:color w:val="auto"/>
                <w:highlight w:val="none"/>
                <w:u w:val="single"/>
              </w:rPr>
              <w:t xml:space="preserve"> </w:t>
            </w:r>
            <w:r>
              <w:rPr>
                <w:rFonts w:hint="eastAsia" w:ascii="宋体" w:hAnsi="宋体" w:eastAsia="宋体"/>
                <w:color w:val="auto"/>
                <w:highlight w:val="none"/>
              </w:rPr>
              <w:t xml:space="preserve">日历天。                          </w:t>
            </w:r>
            <w:r>
              <w:rPr>
                <w:rFonts w:hint="eastAsia" w:ascii="宋体" w:hAnsi="宋体" w:eastAsia="宋体"/>
                <w:color w:val="auto"/>
                <w:highlight w:val="none"/>
                <w:u w:val="single"/>
              </w:rPr>
              <w:t xml:space="preserve">                                             </w:t>
            </w:r>
          </w:p>
        </w:tc>
      </w:tr>
      <w:tr w14:paraId="5D4BA0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0D143910">
            <w:pPr>
              <w:rPr>
                <w:rFonts w:ascii="宋体" w:hAnsi="宋体" w:eastAsia="宋体"/>
                <w:color w:val="auto"/>
                <w:highlight w:val="none"/>
              </w:rPr>
            </w:pPr>
            <w:r>
              <w:rPr>
                <w:rFonts w:hint="eastAsia" w:ascii="宋体" w:hAnsi="宋体" w:eastAsia="宋体"/>
                <w:color w:val="auto"/>
                <w:highlight w:val="none"/>
              </w:rPr>
              <w:t>9</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73642D91">
            <w:pPr>
              <w:rPr>
                <w:rFonts w:ascii="宋体" w:hAnsi="宋体" w:eastAsia="宋体"/>
                <w:color w:val="auto"/>
                <w:highlight w:val="none"/>
              </w:rPr>
            </w:pPr>
            <w:r>
              <w:rPr>
                <w:rFonts w:hint="eastAsia" w:ascii="宋体" w:hAnsi="宋体" w:eastAsia="宋体"/>
                <w:color w:val="auto"/>
                <w:highlight w:val="none"/>
              </w:rPr>
              <w:t>3</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DCEE1F7">
            <w:pPr>
              <w:rPr>
                <w:rFonts w:ascii="宋体" w:hAnsi="宋体" w:eastAsia="宋体"/>
                <w:color w:val="auto"/>
                <w:highlight w:val="none"/>
              </w:rPr>
            </w:pPr>
            <w:r>
              <w:rPr>
                <w:rFonts w:hint="eastAsia" w:ascii="宋体" w:hAnsi="宋体" w:eastAsia="宋体"/>
                <w:color w:val="auto"/>
                <w:highlight w:val="none"/>
              </w:rPr>
              <w:t>资金来源</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61365648">
            <w:pPr>
              <w:rPr>
                <w:rFonts w:ascii="宋体" w:hAnsi="宋体" w:eastAsia="宋体"/>
                <w:color w:val="auto"/>
                <w:highlight w:val="none"/>
              </w:rPr>
            </w:pPr>
            <w:r>
              <w:rPr>
                <w:rFonts w:hint="eastAsia" w:ascii="宋体" w:hAnsi="宋体" w:eastAsia="宋体" w:cs="宋体"/>
                <w:color w:val="auto"/>
                <w:szCs w:val="21"/>
                <w:highlight w:val="none"/>
                <w:u w:val="single"/>
              </w:rPr>
              <w:t>财政资金</w:t>
            </w:r>
            <w:r>
              <w:rPr>
                <w:rFonts w:hint="eastAsia" w:ascii="宋体" w:hAnsi="宋体" w:eastAsia="宋体" w:cs="宋体"/>
                <w:color w:val="auto"/>
                <w:szCs w:val="21"/>
                <w:highlight w:val="none"/>
              </w:rPr>
              <w:t>。</w:t>
            </w:r>
          </w:p>
        </w:tc>
      </w:tr>
      <w:tr w14:paraId="2AC749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2392F96E">
            <w:pPr>
              <w:rPr>
                <w:rFonts w:ascii="宋体" w:hAnsi="宋体" w:eastAsia="宋体"/>
                <w:color w:val="auto"/>
                <w:highlight w:val="none"/>
              </w:rPr>
            </w:pPr>
            <w:r>
              <w:rPr>
                <w:rFonts w:hint="eastAsia" w:ascii="宋体" w:hAnsi="宋体" w:eastAsia="宋体"/>
                <w:color w:val="auto"/>
                <w:highlight w:val="none"/>
              </w:rPr>
              <w:t>10</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2A67E34">
            <w:pPr>
              <w:rPr>
                <w:rFonts w:ascii="宋体" w:hAnsi="宋体" w:eastAsia="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D5A6474">
            <w:pPr>
              <w:rPr>
                <w:rFonts w:ascii="宋体" w:hAnsi="宋体" w:eastAsia="宋体"/>
                <w:color w:val="auto"/>
                <w:highlight w:val="none"/>
              </w:rPr>
            </w:pPr>
            <w:r>
              <w:rPr>
                <w:rFonts w:hint="eastAsia" w:ascii="宋体" w:hAnsi="宋体" w:eastAsia="宋体"/>
                <w:color w:val="auto"/>
                <w:highlight w:val="none"/>
              </w:rPr>
              <w:t>投标人资格条件</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70E3B307">
            <w:pPr>
              <w:rPr>
                <w:rFonts w:ascii="宋体" w:hAnsi="宋体" w:eastAsia="宋体"/>
                <w:color w:val="auto"/>
                <w:highlight w:val="none"/>
              </w:rPr>
            </w:pPr>
            <w:r>
              <w:rPr>
                <w:rFonts w:hint="eastAsia" w:ascii="宋体" w:hAnsi="宋体" w:eastAsia="宋体"/>
                <w:color w:val="auto"/>
                <w:highlight w:val="none"/>
              </w:rPr>
              <w:t>详见本工程招标公告。</w:t>
            </w:r>
          </w:p>
        </w:tc>
      </w:tr>
      <w:tr w14:paraId="27E8D3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572369C3">
            <w:pPr>
              <w:rPr>
                <w:rFonts w:ascii="宋体" w:hAnsi="宋体" w:eastAsia="宋体"/>
                <w:color w:val="auto"/>
                <w:highlight w:val="none"/>
              </w:rPr>
            </w:pPr>
            <w:r>
              <w:rPr>
                <w:rFonts w:hint="eastAsia" w:ascii="宋体" w:hAnsi="宋体" w:eastAsia="宋体"/>
                <w:color w:val="auto"/>
                <w:highlight w:val="none"/>
              </w:rPr>
              <w:t>11</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556B869">
            <w:pPr>
              <w:rPr>
                <w:rFonts w:ascii="宋体" w:hAnsi="宋体" w:eastAsia="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6DDFEB4">
            <w:pPr>
              <w:rPr>
                <w:rFonts w:ascii="宋体" w:hAnsi="宋体" w:eastAsia="宋体"/>
                <w:color w:val="auto"/>
                <w:highlight w:val="none"/>
              </w:rPr>
            </w:pPr>
            <w:r>
              <w:rPr>
                <w:rFonts w:hint="eastAsia" w:ascii="宋体" w:hAnsi="宋体" w:eastAsia="宋体"/>
                <w:color w:val="auto"/>
                <w:highlight w:val="none"/>
              </w:rPr>
              <w:t>资格审查方式</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4A843CFC">
            <w:pPr>
              <w:rPr>
                <w:rFonts w:ascii="宋体" w:hAnsi="宋体" w:eastAsia="宋体"/>
                <w:color w:val="auto"/>
                <w:highlight w:val="none"/>
              </w:rPr>
            </w:pPr>
            <w:r>
              <w:rPr>
                <w:rFonts w:hint="eastAsia" w:ascii="宋体" w:hAnsi="宋体" w:eastAsia="宋体"/>
                <w:color w:val="auto"/>
                <w:highlight w:val="none"/>
              </w:rPr>
              <w:t>电子化资格后审。</w:t>
            </w:r>
          </w:p>
        </w:tc>
      </w:tr>
      <w:tr w14:paraId="68F1AA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552EFCDE">
            <w:pPr>
              <w:rPr>
                <w:rFonts w:ascii="宋体" w:hAnsi="宋体" w:eastAsia="宋体"/>
                <w:color w:val="auto"/>
                <w:highlight w:val="none"/>
              </w:rPr>
            </w:pPr>
            <w:r>
              <w:rPr>
                <w:rFonts w:hint="eastAsia" w:ascii="宋体" w:hAnsi="宋体" w:eastAsia="宋体"/>
                <w:color w:val="auto"/>
                <w:highlight w:val="none"/>
              </w:rPr>
              <w:t>12</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395B54F6">
            <w:pPr>
              <w:rPr>
                <w:rFonts w:ascii="宋体" w:hAnsi="宋体" w:eastAsia="宋体"/>
                <w:color w:val="auto"/>
                <w:highlight w:val="none"/>
              </w:rPr>
            </w:pPr>
            <w:r>
              <w:rPr>
                <w:rFonts w:hint="eastAsia" w:ascii="宋体" w:hAnsi="宋体" w:eastAsia="宋体"/>
                <w:color w:val="auto"/>
                <w:highlight w:val="none"/>
              </w:rPr>
              <w:t>13.1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ED14060">
            <w:pPr>
              <w:rPr>
                <w:rFonts w:ascii="宋体" w:hAnsi="宋体" w:eastAsia="宋体"/>
                <w:color w:val="auto"/>
                <w:highlight w:val="none"/>
              </w:rPr>
            </w:pPr>
            <w:r>
              <w:rPr>
                <w:rFonts w:hint="eastAsia" w:ascii="宋体" w:hAnsi="宋体" w:eastAsia="宋体"/>
                <w:color w:val="auto"/>
                <w:highlight w:val="none"/>
              </w:rPr>
              <w:t>报价以及单价和总价计算方式</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2D29AC10">
            <w:pPr>
              <w:rPr>
                <w:rFonts w:ascii="宋体" w:hAnsi="宋体" w:eastAsia="宋体"/>
                <w:color w:val="auto"/>
                <w:highlight w:val="none"/>
              </w:rPr>
            </w:pPr>
            <w:r>
              <w:rPr>
                <w:rFonts w:hint="eastAsia" w:ascii="宋体" w:hAnsi="宋体" w:eastAsia="宋体"/>
                <w:color w:val="auto"/>
                <w:highlight w:val="none"/>
              </w:rPr>
              <w:t>工程量清单计价，按国家、省有关计价规范执行。</w:t>
            </w:r>
          </w:p>
        </w:tc>
      </w:tr>
      <w:tr w14:paraId="4A9EEA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042608B9">
            <w:pPr>
              <w:rPr>
                <w:rFonts w:ascii="宋体" w:hAnsi="宋体" w:eastAsia="宋体"/>
                <w:color w:val="auto"/>
                <w:highlight w:val="none"/>
              </w:rPr>
            </w:pPr>
            <w:r>
              <w:rPr>
                <w:rFonts w:hint="eastAsia" w:ascii="宋体" w:hAnsi="宋体" w:eastAsia="宋体"/>
                <w:color w:val="auto"/>
                <w:highlight w:val="none"/>
              </w:rPr>
              <w:t>13</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01469B47">
            <w:pPr>
              <w:rPr>
                <w:rFonts w:ascii="宋体" w:hAnsi="宋体" w:eastAsia="宋体"/>
                <w:color w:val="auto"/>
                <w:highlight w:val="none"/>
              </w:rPr>
            </w:pPr>
            <w:r>
              <w:rPr>
                <w:rFonts w:hint="eastAsia" w:ascii="宋体" w:hAnsi="宋体" w:eastAsia="宋体"/>
                <w:color w:val="auto"/>
                <w:highlight w:val="none"/>
              </w:rPr>
              <w:t>15.1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2BE20E9">
            <w:pPr>
              <w:rPr>
                <w:rFonts w:ascii="宋体" w:hAnsi="宋体" w:eastAsia="宋体"/>
                <w:color w:val="auto"/>
                <w:highlight w:val="none"/>
              </w:rPr>
            </w:pPr>
            <w:r>
              <w:rPr>
                <w:rFonts w:hint="eastAsia" w:ascii="宋体" w:hAnsi="宋体" w:eastAsia="宋体"/>
                <w:color w:val="auto"/>
                <w:highlight w:val="none"/>
              </w:rPr>
              <w:t>投标有效期</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6B2EE0BA">
            <w:pPr>
              <w:rPr>
                <w:rFonts w:ascii="宋体" w:hAnsi="宋体" w:eastAsia="宋体"/>
                <w:color w:val="auto"/>
                <w:highlight w:val="none"/>
                <w:u w:val="single"/>
              </w:rPr>
            </w:pPr>
            <w:r>
              <w:rPr>
                <w:rFonts w:hint="eastAsia" w:ascii="宋体" w:hAnsi="宋体" w:eastAsia="宋体" w:cs="宋体"/>
                <w:b/>
                <w:color w:val="auto"/>
                <w:szCs w:val="21"/>
                <w:highlight w:val="none"/>
                <w:u w:val="single"/>
              </w:rPr>
              <w:t>90</w:t>
            </w:r>
            <w:r>
              <w:rPr>
                <w:rFonts w:hint="eastAsia" w:ascii="宋体" w:hAnsi="宋体" w:eastAsia="宋体" w:cs="宋体"/>
                <w:color w:val="auto"/>
                <w:szCs w:val="21"/>
                <w:highlight w:val="none"/>
              </w:rPr>
              <w:t>日历天（从递交投标文件截止之日计起）</w:t>
            </w:r>
            <w:r>
              <w:rPr>
                <w:rFonts w:hint="eastAsia" w:ascii="宋体" w:hAnsi="宋体" w:eastAsia="宋体" w:cs="宋体"/>
                <w:color w:val="auto"/>
                <w:highlight w:val="none"/>
                <w:u w:val="single" w:color="auto"/>
              </w:rPr>
              <w:t>如投标有效期内发生异议或投诉的，则投标有效期自动延长至异议或投诉处理结束后90日历天。</w:t>
            </w:r>
          </w:p>
        </w:tc>
      </w:tr>
      <w:tr w14:paraId="6A9A7B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4D244ED8">
            <w:pPr>
              <w:rPr>
                <w:rFonts w:ascii="宋体" w:hAnsi="宋体" w:eastAsia="宋体"/>
                <w:color w:val="auto"/>
                <w:highlight w:val="none"/>
              </w:rPr>
            </w:pPr>
            <w:r>
              <w:rPr>
                <w:rFonts w:hint="eastAsia" w:ascii="宋体" w:hAnsi="宋体" w:eastAsia="宋体"/>
                <w:color w:val="auto"/>
                <w:highlight w:val="none"/>
              </w:rPr>
              <w:t>14</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1181C240">
            <w:pPr>
              <w:rPr>
                <w:rFonts w:ascii="宋体" w:hAnsi="宋体" w:eastAsia="宋体"/>
                <w:color w:val="auto"/>
                <w:highlight w:val="none"/>
              </w:rPr>
            </w:pPr>
            <w:r>
              <w:rPr>
                <w:rFonts w:hint="eastAsia" w:ascii="宋体" w:hAnsi="宋体" w:eastAsia="宋体"/>
                <w:color w:val="auto"/>
                <w:highlight w:val="none"/>
              </w:rPr>
              <w:t>16.1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8B4F598">
            <w:pPr>
              <w:rPr>
                <w:rFonts w:ascii="宋体" w:hAnsi="宋体" w:eastAsia="宋体"/>
                <w:color w:val="auto"/>
                <w:highlight w:val="none"/>
              </w:rPr>
            </w:pPr>
            <w:r>
              <w:rPr>
                <w:rFonts w:hint="eastAsia" w:ascii="宋体" w:hAnsi="宋体" w:eastAsia="宋体"/>
                <w:color w:val="auto"/>
                <w:highlight w:val="none"/>
              </w:rPr>
              <w:t>投标保证金</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04BF8211">
            <w:pPr>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方式一：不要求投标人递交投标保证金。</w:t>
            </w:r>
          </w:p>
          <w:p w14:paraId="75050B7A">
            <w:pPr>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□方式二：要求投标人递交投标保证金，具体要求如下：</w:t>
            </w:r>
          </w:p>
          <w:p w14:paraId="6E4ABDD9">
            <w:pPr>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1.投标保证金数额：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p>
          <w:p w14:paraId="24BB31E7">
            <w:pPr>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2.投标保证金的形式：投标保证金可采用</w:t>
            </w:r>
            <w:r>
              <w:rPr>
                <w:rFonts w:hint="eastAsia" w:ascii="宋体" w:hAnsi="宋体" w:eastAsia="宋体" w:cs="宋体"/>
                <w:color w:val="auto"/>
                <w:szCs w:val="21"/>
                <w:highlight w:val="none"/>
                <w:u w:val="single"/>
              </w:rPr>
              <w:t>投标保函、转账、现金、支票</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汇票、投标保证保险</w:t>
            </w:r>
            <w:r>
              <w:rPr>
                <w:rFonts w:hint="eastAsia" w:ascii="宋体" w:hAnsi="宋体" w:eastAsia="宋体" w:cs="宋体"/>
                <w:color w:val="auto"/>
                <w:szCs w:val="21"/>
                <w:highlight w:val="none"/>
              </w:rPr>
              <w:t>形式，须在递交投标文件截止时间前完成缴纳。</w:t>
            </w:r>
          </w:p>
          <w:p w14:paraId="53F7E910">
            <w:pPr>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□方式三：</w:t>
            </w:r>
            <w:r>
              <w:rPr>
                <w:rFonts w:hint="eastAsia" w:ascii="宋体" w:hAnsi="宋体" w:eastAsia="宋体" w:cs="宋体"/>
                <w:color w:val="auto"/>
                <w:szCs w:val="21"/>
                <w:highlight w:val="none"/>
                <w:u w:val="single"/>
              </w:rPr>
              <w:t>招标人自定的其它方式（招标人不得限定投标保证金只能以现金形式提交）</w:t>
            </w:r>
            <w:r>
              <w:rPr>
                <w:rFonts w:hint="eastAsia" w:ascii="宋体" w:hAnsi="宋体" w:eastAsia="宋体" w:cs="宋体"/>
                <w:color w:val="auto"/>
                <w:szCs w:val="21"/>
                <w:highlight w:val="none"/>
              </w:rPr>
              <w:t>。</w:t>
            </w:r>
          </w:p>
          <w:p w14:paraId="12786196">
            <w:pPr>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注：招标人可对信用良好企业、中小企业免收投标保证金。</w:t>
            </w:r>
          </w:p>
        </w:tc>
      </w:tr>
      <w:tr w14:paraId="3CAD45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68B812AF">
            <w:pPr>
              <w:rPr>
                <w:rFonts w:ascii="宋体" w:hAnsi="宋体" w:eastAsia="宋体"/>
                <w:color w:val="auto"/>
                <w:highlight w:val="none"/>
              </w:rPr>
            </w:pPr>
            <w:r>
              <w:rPr>
                <w:rFonts w:hint="eastAsia" w:ascii="宋体" w:hAnsi="宋体" w:eastAsia="宋体"/>
                <w:color w:val="auto"/>
                <w:highlight w:val="none"/>
              </w:rPr>
              <w:t>15</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8A257A0">
            <w:pPr>
              <w:rPr>
                <w:rFonts w:ascii="宋体" w:hAnsi="宋体" w:eastAsia="宋体"/>
                <w:color w:val="auto"/>
                <w:highlight w:val="none"/>
              </w:rPr>
            </w:pPr>
            <w:r>
              <w:rPr>
                <w:rFonts w:hint="eastAsia" w:ascii="宋体" w:hAnsi="宋体" w:eastAsia="宋体"/>
                <w:color w:val="auto"/>
                <w:highlight w:val="none"/>
              </w:rPr>
              <w:t>7.5</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F1D2322">
            <w:pPr>
              <w:rPr>
                <w:rFonts w:ascii="宋体" w:hAnsi="宋体" w:eastAsia="宋体"/>
                <w:color w:val="auto"/>
                <w:highlight w:val="none"/>
              </w:rPr>
            </w:pPr>
            <w:r>
              <w:rPr>
                <w:rFonts w:hint="eastAsia" w:ascii="宋体" w:hAnsi="宋体" w:eastAsia="宋体"/>
                <w:color w:val="auto"/>
                <w:highlight w:val="none"/>
              </w:rPr>
              <w:t>领取招标文件及图纸</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54859635">
            <w:pPr>
              <w:pStyle w:val="9"/>
              <w:rPr>
                <w:rFonts w:ascii="宋体" w:hAnsi="宋体" w:eastAsia="宋体"/>
                <w:color w:val="auto"/>
                <w:highlight w:val="none"/>
                <w:u w:val="single"/>
              </w:rPr>
            </w:pPr>
            <w:r>
              <w:rPr>
                <w:rFonts w:hint="eastAsia" w:ascii="宋体" w:hAnsi="宋体" w:eastAsia="宋体"/>
                <w:color w:val="auto"/>
                <w:highlight w:val="none"/>
              </w:rPr>
              <w:t>由投标人自行在广州公共资源交易网站下载。</w:t>
            </w:r>
          </w:p>
        </w:tc>
      </w:tr>
      <w:tr w14:paraId="7BFC41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01B5ECAD">
            <w:pPr>
              <w:rPr>
                <w:rFonts w:ascii="宋体" w:hAnsi="宋体" w:eastAsia="宋体"/>
                <w:color w:val="auto"/>
                <w:highlight w:val="none"/>
              </w:rPr>
            </w:pPr>
            <w:r>
              <w:rPr>
                <w:rFonts w:hint="eastAsia" w:ascii="宋体" w:hAnsi="宋体" w:eastAsia="宋体"/>
                <w:color w:val="auto"/>
                <w:highlight w:val="none"/>
              </w:rPr>
              <w:t>16</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67541962">
            <w:pPr>
              <w:rPr>
                <w:rFonts w:ascii="宋体" w:hAnsi="宋体" w:eastAsia="宋体"/>
                <w:color w:val="auto"/>
                <w:highlight w:val="none"/>
              </w:rPr>
            </w:pPr>
            <w:r>
              <w:rPr>
                <w:rFonts w:hint="eastAsia" w:ascii="宋体" w:hAnsi="宋体" w:eastAsia="宋体"/>
                <w:color w:val="auto"/>
                <w:highlight w:val="none"/>
              </w:rPr>
              <w:t>5.1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5E20FE3">
            <w:pPr>
              <w:rPr>
                <w:rFonts w:ascii="宋体" w:hAnsi="宋体" w:eastAsia="宋体"/>
                <w:color w:val="auto"/>
                <w:highlight w:val="none"/>
              </w:rPr>
            </w:pPr>
            <w:r>
              <w:rPr>
                <w:rFonts w:hint="eastAsia" w:ascii="宋体" w:hAnsi="宋体" w:eastAsia="宋体"/>
                <w:color w:val="auto"/>
                <w:highlight w:val="none"/>
              </w:rPr>
              <w:t>踏勘现场</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346BE734">
            <w:pPr>
              <w:rPr>
                <w:rFonts w:ascii="宋体" w:hAnsi="宋体" w:eastAsia="宋体"/>
                <w:color w:val="auto"/>
                <w:highlight w:val="none"/>
              </w:rPr>
            </w:pPr>
            <w:r>
              <w:rPr>
                <w:rFonts w:hint="eastAsia" w:ascii="宋体" w:hAnsi="宋体" w:eastAsia="宋体"/>
                <w:color w:val="auto"/>
                <w:highlight w:val="none"/>
              </w:rPr>
              <w:t>时间：自</w:t>
            </w:r>
            <w:r>
              <w:rPr>
                <w:rFonts w:hint="eastAsia" w:ascii="宋体" w:hAnsi="宋体" w:eastAsia="宋体" w:cs="宋体"/>
                <w:color w:val="auto"/>
                <w:szCs w:val="21"/>
                <w:highlight w:val="none"/>
                <w:u w:val="single"/>
              </w:rPr>
              <w:t>公告发布之日</w:t>
            </w:r>
            <w:r>
              <w:rPr>
                <w:rFonts w:hint="eastAsia" w:ascii="宋体" w:hAnsi="宋体" w:eastAsia="宋体"/>
                <w:color w:val="auto"/>
                <w:highlight w:val="none"/>
              </w:rPr>
              <w:t>起具备现场踏勘条件；</w:t>
            </w:r>
          </w:p>
          <w:p w14:paraId="07F45D2B">
            <w:pPr>
              <w:rPr>
                <w:rFonts w:ascii="宋体" w:hAnsi="宋体" w:eastAsia="宋体"/>
                <w:color w:val="auto"/>
                <w:highlight w:val="none"/>
              </w:rPr>
            </w:pPr>
            <w:r>
              <w:rPr>
                <w:rFonts w:hint="eastAsia" w:ascii="宋体" w:hAnsi="宋体" w:eastAsia="宋体"/>
                <w:color w:val="auto"/>
                <w:highlight w:val="none"/>
              </w:rPr>
              <w:t>方式：招标人不集中组织，由投标人自行踏勘；</w:t>
            </w:r>
          </w:p>
          <w:p w14:paraId="3106B504">
            <w:pPr>
              <w:pStyle w:val="9"/>
              <w:rPr>
                <w:rFonts w:ascii="宋体" w:hAnsi="宋体" w:eastAsia="宋体"/>
                <w:color w:val="auto"/>
                <w:highlight w:val="none"/>
              </w:rPr>
            </w:pPr>
            <w:r>
              <w:rPr>
                <w:rFonts w:hint="eastAsia" w:ascii="宋体" w:hAnsi="宋体" w:eastAsia="宋体"/>
                <w:color w:val="auto"/>
                <w:highlight w:val="none"/>
              </w:rPr>
              <w:t>现场详细地点：</w:t>
            </w:r>
            <w:r>
              <w:rPr>
                <w:rFonts w:hint="eastAsia" w:ascii="宋体" w:hAnsi="宋体" w:eastAsia="宋体"/>
                <w:color w:val="auto"/>
                <w:highlight w:val="none"/>
                <w:u w:val="single"/>
                <w:lang w:val="en-US" w:eastAsia="zh-CN"/>
              </w:rPr>
              <w:t>广州市从化区</w:t>
            </w:r>
            <w:r>
              <w:rPr>
                <w:rFonts w:hint="eastAsia" w:ascii="宋体" w:hAnsi="宋体" w:eastAsia="宋体"/>
                <w:color w:val="auto"/>
                <w:highlight w:val="none"/>
              </w:rPr>
              <w:t xml:space="preserve"> </w:t>
            </w:r>
          </w:p>
        </w:tc>
      </w:tr>
      <w:tr w14:paraId="69943D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1A3A64C8">
            <w:pPr>
              <w:rPr>
                <w:rFonts w:ascii="宋体" w:hAnsi="宋体" w:eastAsia="宋体"/>
                <w:color w:val="auto"/>
                <w:highlight w:val="none"/>
              </w:rPr>
            </w:pPr>
            <w:r>
              <w:rPr>
                <w:rFonts w:hint="eastAsia" w:ascii="宋体" w:hAnsi="宋体" w:eastAsia="宋体"/>
                <w:color w:val="auto"/>
                <w:highlight w:val="none"/>
              </w:rPr>
              <w:t>17</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AE5DC9B">
            <w:pPr>
              <w:rPr>
                <w:rFonts w:ascii="宋体" w:hAnsi="宋体" w:eastAsia="宋体"/>
                <w:color w:val="auto"/>
                <w:highlight w:val="none"/>
              </w:rPr>
            </w:pPr>
            <w:r>
              <w:rPr>
                <w:rFonts w:hint="eastAsia" w:ascii="宋体" w:hAnsi="宋体" w:eastAsia="宋体"/>
                <w:color w:val="auto"/>
                <w:highlight w:val="none"/>
              </w:rPr>
              <w:t>8.1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38B7871">
            <w:pPr>
              <w:rPr>
                <w:rFonts w:hint="eastAsia" w:ascii="宋体" w:hAnsi="宋体" w:eastAsia="宋体"/>
                <w:color w:val="auto"/>
                <w:highlight w:val="none"/>
              </w:rPr>
            </w:pPr>
            <w:r>
              <w:rPr>
                <w:rFonts w:hint="eastAsia" w:ascii="宋体" w:hAnsi="宋体" w:eastAsia="宋体"/>
                <w:color w:val="auto"/>
                <w:highlight w:val="none"/>
              </w:rPr>
              <w:t>招标答疑与澄清</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7CA302C0">
            <w:pPr>
              <w:rPr>
                <w:rFonts w:ascii="宋体" w:hAnsi="宋体" w:eastAsia="宋体"/>
                <w:color w:val="auto"/>
                <w:highlight w:val="none"/>
              </w:rPr>
            </w:pPr>
            <w:r>
              <w:rPr>
                <w:rFonts w:hint="eastAsia" w:ascii="宋体" w:hAnsi="宋体" w:eastAsia="宋体"/>
                <w:color w:val="auto"/>
                <w:highlight w:val="none"/>
              </w:rPr>
              <w:t>1.方式：网上答疑</w:t>
            </w:r>
          </w:p>
          <w:p w14:paraId="66F84565">
            <w:pPr>
              <w:rPr>
                <w:rFonts w:ascii="宋体" w:hAnsi="宋体" w:eastAsia="宋体"/>
                <w:color w:val="auto"/>
                <w:highlight w:val="none"/>
              </w:rPr>
            </w:pPr>
            <w:r>
              <w:rPr>
                <w:rFonts w:hint="eastAsia" w:ascii="宋体" w:hAnsi="宋体" w:eastAsia="宋体"/>
                <w:color w:val="auto"/>
                <w:highlight w:val="none"/>
              </w:rPr>
              <w:t>2.投标人提问期限：自招标公告发布之日起3天内</w:t>
            </w:r>
          </w:p>
          <w:p w14:paraId="3804837E">
            <w:pPr>
              <w:rPr>
                <w:rFonts w:ascii="宋体" w:hAnsi="宋体" w:eastAsia="宋体"/>
                <w:color w:val="auto"/>
                <w:highlight w:val="none"/>
              </w:rPr>
            </w:pPr>
            <w:r>
              <w:rPr>
                <w:rFonts w:hint="eastAsia" w:ascii="宋体" w:hAnsi="宋体" w:eastAsia="宋体"/>
                <w:color w:val="auto"/>
                <w:highlight w:val="none"/>
              </w:rPr>
              <w:t>3.招标人澄清、修补或答疑期限：在递交投标文件截止日期前</w:t>
            </w:r>
            <w:r>
              <w:rPr>
                <w:rFonts w:hint="eastAsia" w:ascii="宋体" w:hAnsi="宋体" w:eastAsia="宋体"/>
                <w:color w:val="auto"/>
                <w:highlight w:val="none"/>
                <w:u w:val="single"/>
              </w:rPr>
              <w:t>15</w:t>
            </w:r>
            <w:r>
              <w:rPr>
                <w:rFonts w:hint="eastAsia" w:ascii="宋体" w:hAnsi="宋体" w:eastAsia="宋体"/>
                <w:color w:val="auto"/>
                <w:highlight w:val="none"/>
              </w:rPr>
              <w:t>日</w:t>
            </w:r>
          </w:p>
          <w:p w14:paraId="30C17BDA">
            <w:pPr>
              <w:rPr>
                <w:rFonts w:ascii="宋体" w:hAnsi="宋体" w:eastAsia="宋体"/>
                <w:color w:val="auto"/>
                <w:szCs w:val="21"/>
                <w:highlight w:val="none"/>
              </w:rPr>
            </w:pPr>
            <w:r>
              <w:rPr>
                <w:rFonts w:hint="eastAsia" w:ascii="宋体" w:hAnsi="宋体" w:eastAsia="宋体"/>
                <w:color w:val="auto"/>
                <w:highlight w:val="none"/>
              </w:rPr>
              <w:t>4.网上答疑的相关事项详见招标文件8.1款。</w:t>
            </w:r>
          </w:p>
        </w:tc>
      </w:tr>
      <w:tr w14:paraId="0E9528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41EB7265">
            <w:pPr>
              <w:rPr>
                <w:rFonts w:ascii="宋体" w:hAnsi="宋体" w:eastAsia="宋体"/>
                <w:color w:val="auto"/>
                <w:highlight w:val="none"/>
              </w:rPr>
            </w:pPr>
            <w:r>
              <w:rPr>
                <w:rFonts w:hint="eastAsia" w:ascii="宋体" w:hAnsi="宋体" w:eastAsia="宋体"/>
                <w:color w:val="auto"/>
                <w:highlight w:val="none"/>
              </w:rPr>
              <w:t>18</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248FF7B4">
            <w:pPr>
              <w:rPr>
                <w:rFonts w:ascii="宋体" w:hAnsi="宋体" w:eastAsia="宋体"/>
                <w:color w:val="auto"/>
                <w:highlight w:val="none"/>
              </w:rPr>
            </w:pPr>
            <w:r>
              <w:rPr>
                <w:rFonts w:hint="eastAsia" w:ascii="宋体" w:hAnsi="宋体" w:eastAsia="宋体"/>
                <w:color w:val="auto"/>
                <w:highlight w:val="none"/>
              </w:rPr>
              <w:t>11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B00A037">
            <w:pPr>
              <w:rPr>
                <w:rFonts w:ascii="宋体" w:hAnsi="宋体" w:eastAsia="宋体"/>
                <w:color w:val="auto"/>
                <w:highlight w:val="none"/>
              </w:rPr>
            </w:pPr>
            <w:r>
              <w:rPr>
                <w:rFonts w:hint="eastAsia" w:ascii="宋体" w:hAnsi="宋体" w:eastAsia="宋体"/>
                <w:color w:val="auto"/>
                <w:highlight w:val="none"/>
              </w:rPr>
              <w:t>投标文件的组成</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2DF7DE84">
            <w:pPr>
              <w:rPr>
                <w:rFonts w:ascii="宋体" w:hAnsi="宋体" w:eastAsia="宋体"/>
                <w:color w:val="auto"/>
                <w:highlight w:val="none"/>
              </w:rPr>
            </w:pPr>
            <w:r>
              <w:rPr>
                <w:rFonts w:hint="eastAsia" w:ascii="宋体" w:hAnsi="宋体" w:eastAsia="宋体"/>
                <w:color w:val="auto"/>
                <w:highlight w:val="none"/>
              </w:rPr>
              <w:t>投标文件由资格审查部分和技术经济部分两部分组成。</w:t>
            </w:r>
          </w:p>
        </w:tc>
      </w:tr>
      <w:tr w14:paraId="46E0BD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13C42437">
            <w:pPr>
              <w:rPr>
                <w:rFonts w:ascii="宋体" w:hAnsi="宋体" w:eastAsia="宋体"/>
                <w:color w:val="auto"/>
                <w:highlight w:val="none"/>
              </w:rPr>
            </w:pPr>
            <w:r>
              <w:rPr>
                <w:rFonts w:hint="eastAsia" w:ascii="宋体" w:hAnsi="宋体" w:eastAsia="宋体"/>
                <w:color w:val="auto"/>
                <w:highlight w:val="none"/>
              </w:rPr>
              <w:t>19</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EC921AE">
            <w:pPr>
              <w:rPr>
                <w:rFonts w:ascii="宋体" w:hAnsi="宋体" w:eastAsia="宋体"/>
                <w:color w:val="auto"/>
                <w:highlight w:val="none"/>
              </w:rPr>
            </w:pPr>
            <w:r>
              <w:rPr>
                <w:rFonts w:hint="eastAsia" w:ascii="宋体" w:hAnsi="宋体" w:eastAsia="宋体"/>
                <w:color w:val="auto"/>
                <w:highlight w:val="none"/>
              </w:rPr>
              <w:t>17.1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08E9727">
            <w:pPr>
              <w:rPr>
                <w:rFonts w:hint="eastAsia" w:ascii="宋体" w:hAnsi="宋体" w:eastAsia="宋体"/>
                <w:color w:val="auto"/>
                <w:highlight w:val="none"/>
              </w:rPr>
            </w:pPr>
            <w:r>
              <w:rPr>
                <w:rFonts w:hint="eastAsia" w:ascii="宋体" w:hAnsi="宋体" w:eastAsia="宋体"/>
                <w:color w:val="auto"/>
                <w:highlight w:val="none"/>
              </w:rPr>
              <w:t>投标文件编制要求</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60312035">
            <w:pPr>
              <w:rPr>
                <w:rFonts w:hint="eastAsia" w:ascii="宋体" w:hAnsi="宋体" w:eastAsia="宋体" w:cs="仿宋_GB2312"/>
                <w:color w:val="auto"/>
                <w:highlight w:val="none"/>
              </w:rPr>
            </w:pPr>
            <w:r>
              <w:rPr>
                <w:rFonts w:hint="eastAsia" w:ascii="宋体" w:hAnsi="宋体" w:eastAsia="宋体" w:cs="仿宋_GB2312"/>
                <w:color w:val="auto"/>
                <w:highlight w:val="none"/>
              </w:rPr>
              <w:t>投标文件为含电子签名及电子签章的加密电子投标文件</w:t>
            </w:r>
            <w:r>
              <w:rPr>
                <w:rFonts w:ascii="宋体" w:hAnsi="宋体" w:eastAsia="宋体" w:cs="仿宋_GB2312"/>
                <w:color w:val="auto"/>
                <w:highlight w:val="none"/>
              </w:rPr>
              <w:t>1</w:t>
            </w:r>
            <w:r>
              <w:rPr>
                <w:rFonts w:hint="eastAsia" w:ascii="宋体" w:hAnsi="宋体" w:eastAsia="宋体" w:cs="仿宋_GB2312"/>
                <w:color w:val="auto"/>
                <w:highlight w:val="none"/>
              </w:rPr>
              <w:t>套。</w:t>
            </w:r>
          </w:p>
          <w:p w14:paraId="0E610ED9">
            <w:pPr>
              <w:rPr>
                <w:rFonts w:hint="eastAsia" w:ascii="宋体" w:hAnsi="宋体" w:eastAsia="宋体" w:cs="仿宋_GB2312"/>
                <w:color w:val="auto"/>
                <w:highlight w:val="none"/>
              </w:rPr>
            </w:pPr>
            <w:r>
              <w:rPr>
                <w:rFonts w:hint="eastAsia" w:ascii="宋体" w:hAnsi="宋体" w:eastAsia="宋体" w:cs="仿宋_GB2312"/>
                <w:color w:val="auto"/>
                <w:highlight w:val="none"/>
              </w:rPr>
              <w:t>技术部分</w:t>
            </w:r>
            <w:r>
              <w:rPr>
                <w:rFonts w:hint="eastAsia" w:ascii="宋体" w:hAnsi="宋体" w:eastAsia="宋体" w:cs="仿宋_GB2312"/>
                <w:color w:val="auto"/>
                <w:highlight w:val="none"/>
                <w:lang w:eastAsia="zh-CN"/>
              </w:rPr>
              <w:t>（</w:t>
            </w:r>
            <w:r>
              <w:rPr>
                <w:rFonts w:hint="eastAsia" w:ascii="宋体" w:hAnsi="宋体" w:eastAsia="宋体" w:cs="仿宋_GB2312"/>
                <w:color w:val="auto"/>
                <w:highlight w:val="none"/>
              </w:rPr>
              <w:t>施工组织方案</w:t>
            </w:r>
            <w:r>
              <w:rPr>
                <w:rFonts w:hint="eastAsia" w:ascii="宋体" w:hAnsi="宋体" w:eastAsia="宋体" w:cs="仿宋_GB2312"/>
                <w:color w:val="auto"/>
                <w:highlight w:val="none"/>
                <w:lang w:eastAsia="zh-CN"/>
              </w:rPr>
              <w:t>）</w:t>
            </w:r>
            <w:r>
              <w:rPr>
                <w:rFonts w:hint="eastAsia" w:ascii="宋体" w:hAnsi="宋体" w:eastAsia="宋体" w:cs="仿宋_GB2312"/>
                <w:color w:val="auto"/>
                <w:highlight w:val="none"/>
              </w:rPr>
              <w:t>文件页数最多不超过</w:t>
            </w:r>
            <w:r>
              <w:rPr>
                <w:rFonts w:hint="eastAsia" w:ascii="宋体" w:hAnsi="宋体" w:eastAsia="宋体" w:cs="仿宋_GB2312"/>
                <w:color w:val="auto"/>
                <w:highlight w:val="none"/>
                <w:u w:val="single"/>
              </w:rPr>
              <w:t xml:space="preserve"> 50 </w:t>
            </w:r>
            <w:r>
              <w:rPr>
                <w:rFonts w:hint="eastAsia" w:ascii="宋体" w:hAnsi="宋体" w:eastAsia="宋体" w:cs="仿宋_GB2312"/>
                <w:color w:val="auto"/>
                <w:highlight w:val="none"/>
              </w:rPr>
              <w:t>页（不包括封面及目录页）。</w:t>
            </w:r>
          </w:p>
        </w:tc>
      </w:tr>
      <w:tr w14:paraId="7CA00A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40FABD4E">
            <w:pPr>
              <w:rPr>
                <w:rFonts w:ascii="宋体" w:hAnsi="宋体" w:eastAsia="宋体"/>
                <w:color w:val="auto"/>
                <w:highlight w:val="none"/>
              </w:rPr>
            </w:pPr>
            <w:r>
              <w:rPr>
                <w:rFonts w:hint="eastAsia" w:ascii="宋体" w:hAnsi="宋体" w:eastAsia="宋体"/>
                <w:color w:val="auto"/>
                <w:highlight w:val="none"/>
              </w:rPr>
              <w:t>20</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294281E3">
            <w:pPr>
              <w:rPr>
                <w:rFonts w:ascii="宋体" w:hAnsi="宋体" w:eastAsia="宋体"/>
                <w:color w:val="auto"/>
                <w:highlight w:val="none"/>
              </w:rPr>
            </w:pPr>
            <w:r>
              <w:rPr>
                <w:rFonts w:hint="eastAsia" w:ascii="宋体" w:hAnsi="宋体" w:eastAsia="宋体"/>
                <w:color w:val="auto"/>
                <w:highlight w:val="none"/>
              </w:rPr>
              <w:t>19.1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E6F38BE">
            <w:pPr>
              <w:rPr>
                <w:rFonts w:ascii="宋体" w:hAnsi="宋体" w:eastAsia="宋体"/>
                <w:color w:val="auto"/>
                <w:highlight w:val="none"/>
              </w:rPr>
            </w:pPr>
            <w:r>
              <w:rPr>
                <w:rFonts w:hint="eastAsia" w:ascii="宋体" w:hAnsi="宋体" w:eastAsia="宋体"/>
                <w:color w:val="auto"/>
                <w:highlight w:val="none"/>
              </w:rPr>
              <w:t>递交投标文件的时间和地点</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3400A1DA">
            <w:pPr>
              <w:rPr>
                <w:rFonts w:ascii="宋体" w:hAnsi="宋体" w:eastAsia="宋体"/>
                <w:color w:val="auto"/>
                <w:highlight w:val="none"/>
              </w:rPr>
            </w:pPr>
            <w:r>
              <w:rPr>
                <w:rFonts w:ascii="宋体" w:hAnsi="宋体" w:eastAsia="宋体" w:cs="仿宋_GB2312"/>
                <w:color w:val="auto"/>
                <w:highlight w:val="none"/>
              </w:rPr>
              <w:t>1.</w:t>
            </w:r>
            <w:r>
              <w:rPr>
                <w:rFonts w:hint="eastAsia" w:ascii="宋体" w:hAnsi="宋体" w:eastAsia="宋体" w:cs="仿宋_GB2312"/>
                <w:color w:val="auto"/>
                <w:highlight w:val="none"/>
              </w:rPr>
              <w:t>递交方式：网上递交投标文件。</w:t>
            </w:r>
          </w:p>
          <w:p w14:paraId="2889E968">
            <w:pPr>
              <w:rPr>
                <w:rFonts w:ascii="宋体" w:hAnsi="宋体" w:eastAsia="宋体"/>
                <w:color w:val="auto"/>
                <w:highlight w:val="none"/>
              </w:rPr>
            </w:pPr>
            <w:r>
              <w:rPr>
                <w:rFonts w:ascii="宋体" w:hAnsi="宋体" w:eastAsia="宋体" w:cs="仿宋_GB2312"/>
                <w:color w:val="auto"/>
                <w:highlight w:val="none"/>
              </w:rPr>
              <w:t>2.</w:t>
            </w:r>
            <w:r>
              <w:rPr>
                <w:rFonts w:hint="eastAsia" w:ascii="宋体" w:hAnsi="宋体" w:eastAsia="宋体" w:cs="仿宋_GB2312"/>
                <w:color w:val="auto"/>
                <w:highlight w:val="none"/>
              </w:rPr>
              <w:t>递交投标文件截止时间：</w:t>
            </w:r>
            <w:r>
              <w:rPr>
                <w:rFonts w:ascii="宋体" w:hAnsi="宋体" w:eastAsia="宋体" w:cs="仿宋_GB2312"/>
                <w:color w:val="auto"/>
                <w:highlight w:val="none"/>
                <w:u w:val="single"/>
              </w:rPr>
              <w:t xml:space="preserve">   </w:t>
            </w:r>
            <w:r>
              <w:rPr>
                <w:rFonts w:hint="eastAsia" w:ascii="宋体" w:hAnsi="宋体" w:eastAsia="宋体" w:cs="仿宋_GB2312"/>
                <w:color w:val="auto"/>
                <w:highlight w:val="none"/>
              </w:rPr>
              <w:t>年</w:t>
            </w:r>
            <w:r>
              <w:rPr>
                <w:rFonts w:ascii="宋体" w:hAnsi="宋体" w:eastAsia="宋体" w:cs="仿宋_GB2312"/>
                <w:color w:val="auto"/>
                <w:highlight w:val="none"/>
                <w:u w:val="single"/>
              </w:rPr>
              <w:t xml:space="preserve">  </w:t>
            </w:r>
            <w:r>
              <w:rPr>
                <w:rFonts w:hint="eastAsia" w:ascii="宋体" w:hAnsi="宋体" w:eastAsia="宋体" w:cs="仿宋_GB2312"/>
                <w:color w:val="auto"/>
                <w:highlight w:val="none"/>
              </w:rPr>
              <w:t>月</w:t>
            </w:r>
            <w:r>
              <w:rPr>
                <w:rFonts w:ascii="宋体" w:hAnsi="宋体" w:eastAsia="宋体" w:cs="仿宋_GB2312"/>
                <w:color w:val="auto"/>
                <w:highlight w:val="none"/>
                <w:u w:val="single"/>
              </w:rPr>
              <w:t xml:space="preserve">  </w:t>
            </w:r>
            <w:r>
              <w:rPr>
                <w:rFonts w:hint="eastAsia" w:ascii="宋体" w:hAnsi="宋体" w:eastAsia="宋体" w:cs="仿宋_GB2312"/>
                <w:color w:val="auto"/>
                <w:highlight w:val="none"/>
              </w:rPr>
              <w:t>日</w:t>
            </w:r>
            <w:r>
              <w:rPr>
                <w:rFonts w:ascii="宋体" w:hAnsi="宋体" w:eastAsia="宋体" w:cs="仿宋_GB2312"/>
                <w:color w:val="auto"/>
                <w:highlight w:val="none"/>
                <w:u w:val="single"/>
              </w:rPr>
              <w:t xml:space="preserve">   </w:t>
            </w:r>
            <w:r>
              <w:rPr>
                <w:rFonts w:hint="eastAsia" w:ascii="宋体" w:hAnsi="宋体" w:eastAsia="宋体" w:cs="仿宋_GB2312"/>
                <w:color w:val="auto"/>
                <w:highlight w:val="none"/>
              </w:rPr>
              <w:t>时</w:t>
            </w:r>
            <w:r>
              <w:rPr>
                <w:rFonts w:ascii="宋体" w:hAnsi="宋体" w:eastAsia="宋体" w:cs="仿宋_GB2312"/>
                <w:color w:val="auto"/>
                <w:highlight w:val="none"/>
                <w:u w:val="single"/>
              </w:rPr>
              <w:t xml:space="preserve">   </w:t>
            </w:r>
            <w:r>
              <w:rPr>
                <w:rFonts w:hint="eastAsia" w:ascii="宋体" w:hAnsi="宋体" w:eastAsia="宋体" w:cs="仿宋_GB2312"/>
                <w:color w:val="auto"/>
                <w:highlight w:val="none"/>
              </w:rPr>
              <w:t>分。</w:t>
            </w:r>
          </w:p>
          <w:p w14:paraId="1B3E0F3F">
            <w:pPr>
              <w:rPr>
                <w:rFonts w:ascii="宋体" w:hAnsi="宋体" w:eastAsia="宋体"/>
                <w:color w:val="auto"/>
                <w:highlight w:val="none"/>
              </w:rPr>
            </w:pPr>
            <w:r>
              <w:rPr>
                <w:rFonts w:ascii="宋体" w:hAnsi="宋体" w:eastAsia="宋体" w:cs="仿宋_GB2312"/>
                <w:color w:val="auto"/>
                <w:highlight w:val="none"/>
              </w:rPr>
              <w:t>2.</w:t>
            </w:r>
            <w:r>
              <w:rPr>
                <w:rFonts w:hint="eastAsia" w:ascii="宋体" w:hAnsi="宋体" w:eastAsia="宋体" w:cs="仿宋_GB2312"/>
                <w:color w:val="auto"/>
                <w:highlight w:val="none"/>
              </w:rPr>
              <w:t>地点：</w:t>
            </w:r>
            <w:r>
              <w:rPr>
                <w:rFonts w:hint="eastAsia" w:ascii="宋体" w:hAnsi="宋体" w:eastAsia="宋体" w:cs="宋体"/>
                <w:color w:val="auto"/>
                <w:szCs w:val="21"/>
                <w:highlight w:val="none"/>
              </w:rPr>
              <w:t>广州交易集团有限公司（广州公共资源交易中心）网站</w:t>
            </w:r>
            <w:r>
              <w:rPr>
                <w:rFonts w:hint="eastAsia" w:ascii="宋体" w:hAnsi="宋体" w:eastAsia="宋体" w:cs="宋体"/>
                <w:color w:val="auto"/>
                <w:szCs w:val="21"/>
                <w:highlight w:val="none"/>
                <w:u w:val="single"/>
              </w:rPr>
              <w:t>。</w:t>
            </w:r>
          </w:p>
          <w:p w14:paraId="27132882">
            <w:pPr>
              <w:rPr>
                <w:rFonts w:ascii="宋体" w:hAnsi="宋体" w:eastAsia="宋体"/>
                <w:color w:val="auto"/>
                <w:highlight w:val="none"/>
                <w:u w:val="single"/>
              </w:rPr>
            </w:pPr>
            <w:r>
              <w:rPr>
                <w:rFonts w:ascii="宋体" w:hAnsi="宋体" w:eastAsia="宋体" w:cs="仿宋_GB2312"/>
                <w:color w:val="auto"/>
                <w:highlight w:val="none"/>
              </w:rPr>
              <w:t>3.</w:t>
            </w:r>
            <w:r>
              <w:rPr>
                <w:rFonts w:hint="eastAsia" w:ascii="宋体" w:hAnsi="宋体" w:eastAsia="宋体" w:cs="仿宋_GB2312"/>
                <w:color w:val="auto"/>
                <w:highlight w:val="none"/>
              </w:rPr>
              <w:t>上述时间及地点是否有改变，请密切留意招标答疑纪要的相关信息。</w:t>
            </w:r>
          </w:p>
        </w:tc>
      </w:tr>
      <w:tr w14:paraId="716002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2DBDAA47">
            <w:pPr>
              <w:rPr>
                <w:rFonts w:ascii="宋体" w:hAnsi="宋体" w:eastAsia="宋体"/>
                <w:color w:val="auto"/>
                <w:highlight w:val="none"/>
              </w:rPr>
            </w:pPr>
            <w:r>
              <w:rPr>
                <w:rFonts w:hint="eastAsia" w:ascii="宋体" w:hAnsi="宋体" w:eastAsia="宋体"/>
                <w:color w:val="auto"/>
                <w:highlight w:val="none"/>
              </w:rPr>
              <w:t>21</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318C07EE">
            <w:pPr>
              <w:rPr>
                <w:rFonts w:ascii="宋体" w:hAnsi="宋体" w:eastAsia="宋体"/>
                <w:color w:val="auto"/>
                <w:highlight w:val="none"/>
              </w:rPr>
            </w:pPr>
            <w:r>
              <w:rPr>
                <w:rFonts w:hint="eastAsia" w:ascii="宋体" w:hAnsi="宋体" w:eastAsia="宋体"/>
                <w:color w:val="auto"/>
                <w:highlight w:val="none"/>
              </w:rPr>
              <w:t>24</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3AF1555">
            <w:pPr>
              <w:rPr>
                <w:rFonts w:ascii="宋体" w:hAnsi="宋体" w:eastAsia="宋体"/>
                <w:color w:val="auto"/>
                <w:highlight w:val="none"/>
              </w:rPr>
            </w:pPr>
            <w:r>
              <w:rPr>
                <w:rFonts w:hint="eastAsia" w:ascii="宋体" w:hAnsi="宋体" w:eastAsia="宋体"/>
                <w:color w:val="auto"/>
                <w:highlight w:val="none"/>
              </w:rPr>
              <w:t>开标时间和地点</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1B16252B">
            <w:pPr>
              <w:rPr>
                <w:rFonts w:ascii="宋体" w:hAnsi="宋体" w:eastAsia="宋体"/>
                <w:color w:val="auto"/>
                <w:highlight w:val="none"/>
              </w:rPr>
            </w:pPr>
            <w:r>
              <w:rPr>
                <w:rFonts w:hint="eastAsia" w:ascii="宋体" w:hAnsi="宋体" w:eastAsia="宋体"/>
                <w:color w:val="auto"/>
                <w:highlight w:val="none"/>
              </w:rPr>
              <w:t>1.开标时间：</w:t>
            </w:r>
            <w:r>
              <w:rPr>
                <w:rFonts w:hint="eastAsia" w:ascii="宋体" w:hAnsi="宋体" w:eastAsia="宋体"/>
                <w:color w:val="auto"/>
                <w:highlight w:val="none"/>
                <w:u w:val="single"/>
              </w:rPr>
              <w:t xml:space="preserve">  </w:t>
            </w:r>
            <w:r>
              <w:rPr>
                <w:rFonts w:hint="eastAsia" w:ascii="宋体" w:hAnsi="宋体" w:eastAsia="宋体"/>
                <w:color w:val="auto"/>
                <w:highlight w:val="none"/>
              </w:rPr>
              <w:t>年</w:t>
            </w:r>
            <w:r>
              <w:rPr>
                <w:rFonts w:hint="eastAsia" w:ascii="宋体" w:hAnsi="宋体" w:eastAsia="宋体"/>
                <w:color w:val="auto"/>
                <w:highlight w:val="none"/>
                <w:u w:val="single"/>
              </w:rPr>
              <w:t xml:space="preserve">  </w:t>
            </w:r>
            <w:r>
              <w:rPr>
                <w:rFonts w:hint="eastAsia" w:ascii="宋体" w:hAnsi="宋体" w:eastAsia="宋体"/>
                <w:color w:val="auto"/>
                <w:highlight w:val="none"/>
              </w:rPr>
              <w:t>月</w:t>
            </w:r>
            <w:r>
              <w:rPr>
                <w:rFonts w:hint="eastAsia" w:ascii="宋体" w:hAnsi="宋体" w:eastAsia="宋体"/>
                <w:color w:val="auto"/>
                <w:highlight w:val="none"/>
                <w:u w:val="single"/>
              </w:rPr>
              <w:t xml:space="preserve">  </w:t>
            </w:r>
            <w:r>
              <w:rPr>
                <w:rFonts w:hint="eastAsia" w:ascii="宋体" w:hAnsi="宋体" w:eastAsia="宋体"/>
                <w:color w:val="auto"/>
                <w:highlight w:val="none"/>
              </w:rPr>
              <w:t>日</w:t>
            </w:r>
            <w:r>
              <w:rPr>
                <w:rFonts w:hint="eastAsia" w:ascii="宋体" w:hAnsi="宋体" w:eastAsia="宋体"/>
                <w:color w:val="auto"/>
                <w:highlight w:val="none"/>
                <w:u w:val="single"/>
              </w:rPr>
              <w:t xml:space="preserve">   </w:t>
            </w:r>
            <w:r>
              <w:rPr>
                <w:rFonts w:hint="eastAsia" w:ascii="宋体" w:hAnsi="宋体" w:eastAsia="宋体"/>
                <w:color w:val="auto"/>
                <w:highlight w:val="none"/>
              </w:rPr>
              <w:t>时</w:t>
            </w:r>
            <w:r>
              <w:rPr>
                <w:rFonts w:hint="eastAsia" w:ascii="宋体" w:hAnsi="宋体" w:eastAsia="宋体"/>
                <w:color w:val="auto"/>
                <w:highlight w:val="none"/>
                <w:u w:val="single"/>
              </w:rPr>
              <w:t xml:space="preserve">  </w:t>
            </w:r>
            <w:r>
              <w:rPr>
                <w:rFonts w:hint="eastAsia" w:ascii="宋体" w:hAnsi="宋体" w:eastAsia="宋体"/>
                <w:color w:val="auto"/>
                <w:highlight w:val="none"/>
              </w:rPr>
              <w:t>分。</w:t>
            </w:r>
          </w:p>
          <w:p w14:paraId="5BCE1507">
            <w:pPr>
              <w:rPr>
                <w:rFonts w:hint="eastAsia" w:ascii="宋体" w:hAnsi="宋体" w:eastAsia="宋体"/>
                <w:color w:val="auto"/>
                <w:highlight w:val="none"/>
                <w:lang w:eastAsia="zh-CN"/>
              </w:rPr>
            </w:pPr>
            <w:r>
              <w:rPr>
                <w:rFonts w:hint="eastAsia" w:ascii="宋体" w:hAnsi="宋体" w:eastAsia="宋体"/>
                <w:color w:val="auto"/>
                <w:highlight w:val="none"/>
              </w:rPr>
              <w:t>2.地点：</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u w:val="single"/>
                <w:lang w:val="en-US" w:eastAsia="zh-CN"/>
              </w:rPr>
              <w:t>指定开标</w:t>
            </w:r>
            <w:r>
              <w:rPr>
                <w:rFonts w:hint="eastAsia" w:ascii="宋体" w:hAnsi="宋体" w:eastAsia="宋体" w:cs="宋体"/>
                <w:color w:val="auto"/>
                <w:szCs w:val="21"/>
                <w:highlight w:val="none"/>
                <w:u w:val="single"/>
              </w:rPr>
              <w:t>室</w:t>
            </w:r>
            <w:r>
              <w:rPr>
                <w:rFonts w:hint="eastAsia" w:ascii="宋体" w:hAnsi="宋体" w:eastAsia="宋体" w:cs="宋体"/>
                <w:color w:val="auto"/>
                <w:szCs w:val="21"/>
                <w:highlight w:val="none"/>
                <w:u w:val="single"/>
                <w:lang w:eastAsia="zh-CN"/>
              </w:rPr>
              <w:t>。</w:t>
            </w:r>
          </w:p>
          <w:p w14:paraId="3EC1165E">
            <w:pPr>
              <w:rPr>
                <w:rFonts w:hint="eastAsia" w:ascii="宋体" w:hAnsi="宋体" w:eastAsia="宋体"/>
                <w:color w:val="auto"/>
                <w:highlight w:val="none"/>
              </w:rPr>
            </w:pPr>
            <w:r>
              <w:rPr>
                <w:rFonts w:hint="eastAsia" w:ascii="宋体" w:hAnsi="宋体" w:eastAsia="宋体"/>
                <w:color w:val="auto"/>
                <w:highlight w:val="none"/>
              </w:rPr>
              <w:t>3.递交投标文件截止时间与开标时间应为同一时间。</w:t>
            </w:r>
          </w:p>
          <w:p w14:paraId="1DF48DB3">
            <w:pPr>
              <w:rPr>
                <w:rFonts w:ascii="宋体" w:hAnsi="宋体" w:eastAsia="宋体"/>
                <w:color w:val="auto"/>
                <w:highlight w:val="none"/>
              </w:rPr>
            </w:pPr>
            <w:r>
              <w:rPr>
                <w:rFonts w:hint="eastAsia" w:ascii="宋体" w:hAnsi="宋体" w:eastAsia="宋体"/>
                <w:color w:val="auto"/>
                <w:highlight w:val="none"/>
              </w:rPr>
              <w:t>4.上述时间及地点是否有改变，请密切留意招标答疑纪要的相关信息。</w:t>
            </w:r>
          </w:p>
        </w:tc>
      </w:tr>
      <w:tr w14:paraId="24FE9D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08E96572">
            <w:pPr>
              <w:rPr>
                <w:rFonts w:ascii="宋体" w:hAnsi="宋体" w:eastAsia="宋体"/>
                <w:color w:val="auto"/>
                <w:highlight w:val="none"/>
              </w:rPr>
            </w:pPr>
            <w:r>
              <w:rPr>
                <w:rFonts w:hint="eastAsia" w:ascii="宋体" w:hAnsi="宋体" w:eastAsia="宋体"/>
                <w:color w:val="auto"/>
                <w:highlight w:val="none"/>
              </w:rPr>
              <w:t>22</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6854781F">
            <w:pPr>
              <w:rPr>
                <w:rFonts w:ascii="宋体" w:hAnsi="宋体" w:eastAsia="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030A79D">
            <w:pPr>
              <w:rPr>
                <w:rFonts w:ascii="宋体" w:hAnsi="宋体" w:eastAsia="宋体"/>
                <w:color w:val="auto"/>
                <w:highlight w:val="none"/>
              </w:rPr>
            </w:pPr>
            <w:r>
              <w:rPr>
                <w:rFonts w:hint="eastAsia" w:ascii="宋体" w:hAnsi="宋体" w:eastAsia="宋体"/>
                <w:color w:val="auto"/>
                <w:highlight w:val="none"/>
              </w:rPr>
              <w:t>评标办法</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2C42D798">
            <w:pPr>
              <w:pStyle w:val="14"/>
              <w:spacing w:after="0"/>
              <w:ind w:firstLine="0"/>
              <w:rPr>
                <w:rFonts w:hint="eastAsia" w:ascii="宋体" w:hAnsi="宋体" w:eastAsia="宋体"/>
                <w:color w:val="auto"/>
                <w:highlight w:val="none"/>
              </w:rPr>
            </w:pPr>
            <w:r>
              <w:rPr>
                <w:rFonts w:hint="eastAsia" w:ascii="宋体" w:hAnsi="宋体" w:eastAsia="宋体"/>
                <w:color w:val="auto"/>
                <w:highlight w:val="none"/>
              </w:rPr>
              <w:sym w:font="Wingdings 2" w:char="0052"/>
            </w:r>
            <w:r>
              <w:rPr>
                <w:rFonts w:hint="eastAsia" w:ascii="宋体" w:hAnsi="宋体" w:eastAsia="宋体"/>
                <w:color w:val="auto"/>
                <w:highlight w:val="none"/>
              </w:rPr>
              <w:t xml:space="preserve">可选办法一 </w:t>
            </w:r>
            <w:r>
              <w:rPr>
                <w:rFonts w:hint="eastAsia" w:ascii="宋体" w:eastAsia="宋体"/>
                <w:color w:val="auto"/>
                <w:highlight w:val="none"/>
              </w:rPr>
              <w:t>综合评分法</w:t>
            </w:r>
          </w:p>
          <w:p w14:paraId="053A6A12">
            <w:pPr>
              <w:pStyle w:val="14"/>
              <w:spacing w:after="0"/>
              <w:ind w:firstLine="0"/>
              <w:rPr>
                <w:rFonts w:ascii="宋体" w:hAnsi="宋体" w:eastAsia="宋体"/>
                <w:color w:val="auto"/>
                <w:sz w:val="24"/>
                <w:szCs w:val="24"/>
                <w:highlight w:val="none"/>
                <w:u w:val="single"/>
              </w:rPr>
            </w:pPr>
            <w:r>
              <w:rPr>
                <w:rFonts w:hint="eastAsia" w:ascii="宋体" w:hAnsi="宋体" w:eastAsia="宋体"/>
                <w:color w:val="auto"/>
                <w:highlight w:val="none"/>
              </w:rPr>
              <w:sym w:font="Wingdings 2" w:char="00A3"/>
            </w:r>
            <w:r>
              <w:rPr>
                <w:rFonts w:hint="eastAsia" w:ascii="宋体" w:hAnsi="宋体" w:eastAsia="宋体"/>
                <w:color w:val="auto"/>
                <w:highlight w:val="none"/>
              </w:rPr>
              <w:t>可选办法二</w:t>
            </w:r>
            <w:r>
              <w:rPr>
                <w:rFonts w:hint="eastAsia" w:ascii="宋体" w:eastAsia="宋体"/>
                <w:color w:val="auto"/>
                <w:highlight w:val="none"/>
              </w:rPr>
              <w:t xml:space="preserve"> 经评审的最低投标价法或者法律法规规定的其他评标方法</w:t>
            </w:r>
          </w:p>
        </w:tc>
      </w:tr>
      <w:tr w14:paraId="487643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7DA2735C">
            <w:pPr>
              <w:rPr>
                <w:rFonts w:ascii="宋体" w:hAnsi="宋体" w:eastAsia="宋体"/>
                <w:color w:val="auto"/>
                <w:highlight w:val="none"/>
              </w:rPr>
            </w:pPr>
            <w:r>
              <w:rPr>
                <w:rFonts w:hint="eastAsia" w:ascii="宋体" w:hAnsi="宋体" w:eastAsia="宋体"/>
                <w:color w:val="auto"/>
                <w:highlight w:val="none"/>
              </w:rPr>
              <w:t>23</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946AE84">
            <w:pP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41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981CE9A">
            <w:pPr>
              <w:rPr>
                <w:rFonts w:hint="eastAsia" w:ascii="宋体" w:hAnsi="宋体" w:eastAsia="宋体"/>
                <w:color w:val="auto"/>
                <w:szCs w:val="22"/>
                <w:highlight w:val="none"/>
              </w:rPr>
            </w:pPr>
            <w:r>
              <w:rPr>
                <w:rFonts w:hint="eastAsia" w:ascii="宋体" w:hAnsi="宋体" w:eastAsia="宋体"/>
                <w:color w:val="auto"/>
                <w:szCs w:val="22"/>
                <w:highlight w:val="none"/>
              </w:rPr>
              <w:t>评标委员会推荐中标候选人的人数</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5497157E">
            <w:pPr>
              <w:rPr>
                <w:rFonts w:hint="eastAsia" w:ascii="宋体" w:hAnsi="宋体" w:eastAsia="宋体"/>
                <w:color w:val="auto"/>
                <w:szCs w:val="22"/>
                <w:highlight w:val="none"/>
              </w:rPr>
            </w:pPr>
            <w:r>
              <w:rPr>
                <w:rFonts w:hint="eastAsia" w:ascii="宋体" w:hAnsi="宋体" w:eastAsia="宋体"/>
                <w:color w:val="auto"/>
                <w:szCs w:val="22"/>
                <w:highlight w:val="none"/>
                <w:lang w:eastAsia="zh-CN"/>
              </w:rPr>
              <w:t>☑</w:t>
            </w:r>
            <w:r>
              <w:rPr>
                <w:rFonts w:hint="eastAsia" w:ascii="宋体" w:hAnsi="宋体" w:eastAsia="宋体"/>
                <w:color w:val="auto"/>
                <w:szCs w:val="22"/>
                <w:highlight w:val="none"/>
              </w:rPr>
              <w:t>不采用评定分离，中标候选人</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u w:val="single"/>
                <w:lang w:val="en-US" w:eastAsia="zh-CN"/>
              </w:rPr>
              <w:t>3</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名（不超过3名）</w:t>
            </w:r>
          </w:p>
          <w:p w14:paraId="4A948CA0">
            <w:pPr>
              <w:rPr>
                <w:rFonts w:hint="eastAsia" w:ascii="宋体" w:hAnsi="宋体" w:eastAsia="宋体"/>
                <w:color w:val="auto"/>
                <w:szCs w:val="22"/>
                <w:highlight w:val="none"/>
              </w:rPr>
            </w:pPr>
            <w:r>
              <w:rPr>
                <w:rFonts w:hint="eastAsia" w:ascii="宋体" w:hAnsi="宋体" w:eastAsia="宋体"/>
                <w:color w:val="auto"/>
                <w:szCs w:val="22"/>
                <w:highlight w:val="none"/>
              </w:rPr>
              <w:t>□采用评定分离，中标候选人</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名（建议3-5名）</w:t>
            </w:r>
          </w:p>
        </w:tc>
      </w:tr>
      <w:tr w14:paraId="50F29B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3CE3B160">
            <w:pPr>
              <w:rPr>
                <w:rFonts w:ascii="宋体" w:hAnsi="宋体" w:eastAsia="宋体"/>
                <w:color w:val="auto"/>
                <w:highlight w:val="none"/>
              </w:rPr>
            </w:pPr>
            <w:r>
              <w:rPr>
                <w:rFonts w:hint="eastAsia" w:ascii="宋体" w:hAnsi="宋体" w:eastAsia="宋体"/>
                <w:color w:val="auto"/>
                <w:highlight w:val="none"/>
              </w:rPr>
              <w:t>24</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4CC636C">
            <w:pPr>
              <w:rPr>
                <w:rFonts w:ascii="宋体" w:hAnsi="宋体" w:eastAsia="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9CC3BA3">
            <w:pPr>
              <w:rPr>
                <w:rFonts w:ascii="宋体" w:hAnsi="宋体" w:eastAsia="宋体"/>
                <w:color w:val="auto"/>
                <w:szCs w:val="21"/>
                <w:highlight w:val="none"/>
                <w:vertAlign w:val="superscript"/>
              </w:rPr>
            </w:pPr>
            <w:r>
              <w:rPr>
                <w:rFonts w:hint="eastAsia" w:ascii="宋体" w:hAnsi="宋体" w:eastAsia="宋体"/>
                <w:color w:val="auto"/>
                <w:highlight w:val="none"/>
              </w:rPr>
              <w:t>最高投标限价</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09025F89">
            <w:pP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本项目最高投标限价为人民币</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u w:val="single"/>
                <w:lang w:eastAsia="zh-CN"/>
              </w:rPr>
              <w:t>5214352.30</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元。</w:t>
            </w:r>
          </w:p>
        </w:tc>
      </w:tr>
      <w:tr w14:paraId="481B7F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0B8D100E">
            <w:pPr>
              <w:rPr>
                <w:rFonts w:ascii="宋体" w:hAnsi="宋体" w:eastAsia="宋体"/>
                <w:color w:val="auto"/>
                <w:highlight w:val="none"/>
              </w:rPr>
            </w:pPr>
            <w:r>
              <w:rPr>
                <w:rFonts w:hint="eastAsia" w:ascii="宋体" w:hAnsi="宋体" w:eastAsia="宋体"/>
                <w:color w:val="auto"/>
                <w:highlight w:val="none"/>
              </w:rPr>
              <w:t>25</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290DFB71">
            <w:pPr>
              <w:rPr>
                <w:rFonts w:ascii="宋体" w:hAnsi="宋体" w:eastAsia="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39A344D">
            <w:pPr>
              <w:rPr>
                <w:rFonts w:hint="eastAsia" w:ascii="宋体" w:hAnsi="宋体" w:eastAsia="宋体"/>
                <w:color w:val="auto"/>
                <w:highlight w:val="none"/>
              </w:rPr>
            </w:pPr>
            <w:r>
              <w:rPr>
                <w:rFonts w:hint="eastAsia" w:ascii="宋体" w:hAnsi="宋体" w:eastAsia="宋体"/>
                <w:color w:val="auto"/>
                <w:highlight w:val="none"/>
              </w:rPr>
              <w:t>成本警示价（如有）</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741529E9">
            <w:pPr>
              <w:rPr>
                <w:rFonts w:hint="eastAsia" w:ascii="宋体" w:hAnsi="宋体" w:eastAsia="宋体"/>
                <w:color w:val="auto"/>
                <w:szCs w:val="21"/>
                <w:highlight w:val="none"/>
              </w:rPr>
            </w:pPr>
            <w:r>
              <w:rPr>
                <w:rFonts w:hint="eastAsia" w:ascii="宋体" w:hAnsi="宋体" w:eastAsia="宋体"/>
                <w:color w:val="auto"/>
                <w:szCs w:val="21"/>
                <w:highlight w:val="none"/>
              </w:rPr>
              <w:t>本项目成本警示价为人民币</w:t>
            </w:r>
            <w:r>
              <w:rPr>
                <w:rFonts w:hint="eastAsia" w:ascii="宋体" w:hAnsi="宋体" w:eastAsia="宋体"/>
                <w:color w:val="auto"/>
                <w:szCs w:val="21"/>
                <w:highlight w:val="none"/>
                <w:u w:val="single"/>
                <w:lang w:eastAsia="zh-CN"/>
              </w:rPr>
              <w:t>4692917.07</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元。对低于该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2F771CD6">
            <w:pPr>
              <w:rPr>
                <w:rFonts w:hint="eastAsia" w:ascii="宋体" w:hAnsi="宋体" w:eastAsia="宋体"/>
                <w:color w:val="auto"/>
                <w:szCs w:val="21"/>
                <w:highlight w:val="none"/>
              </w:rPr>
            </w:pPr>
            <w:r>
              <w:rPr>
                <w:rFonts w:hint="eastAsia" w:ascii="宋体" w:hAnsi="宋体" w:eastAsia="宋体"/>
                <w:color w:val="auto"/>
                <w:szCs w:val="21"/>
                <w:highlight w:val="none"/>
              </w:rPr>
              <w:t>注：为充分体现招标人意愿及落实项目业主负责制，成本警示价由招标人决定。成本警示价应经注册造价工程师审核。</w:t>
            </w:r>
          </w:p>
        </w:tc>
      </w:tr>
      <w:tr w14:paraId="0A4D2E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53963E89">
            <w:pPr>
              <w:rPr>
                <w:rFonts w:ascii="宋体" w:hAnsi="宋体" w:eastAsia="宋体"/>
                <w:color w:val="auto"/>
                <w:highlight w:val="none"/>
              </w:rPr>
            </w:pPr>
            <w:r>
              <w:rPr>
                <w:rFonts w:hint="eastAsia" w:ascii="宋体" w:hAnsi="宋体" w:eastAsia="宋体"/>
                <w:color w:val="auto"/>
                <w:highlight w:val="none"/>
              </w:rPr>
              <w:t>26</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5BDB6A4">
            <w:pPr>
              <w:rPr>
                <w:rFonts w:ascii="宋体" w:hAnsi="宋体" w:eastAsia="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5160195">
            <w:pPr>
              <w:rPr>
                <w:rFonts w:hint="eastAsia" w:ascii="宋体" w:hAnsi="宋体" w:eastAsia="宋体"/>
                <w:color w:val="auto"/>
                <w:highlight w:val="none"/>
              </w:rPr>
            </w:pPr>
            <w:r>
              <w:rPr>
                <w:rFonts w:hint="eastAsia" w:ascii="宋体" w:hAnsi="宋体" w:eastAsia="宋体"/>
                <w:color w:val="auto"/>
                <w:highlight w:val="none"/>
              </w:rPr>
              <w:t>非竞争报价</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353D482C">
            <w:pPr>
              <w:rPr>
                <w:rFonts w:hint="eastAsia" w:ascii="宋体" w:hAnsi="宋体" w:eastAsia="宋体"/>
                <w:color w:val="auto"/>
                <w:szCs w:val="21"/>
                <w:highlight w:val="none"/>
              </w:rPr>
            </w:pPr>
            <w:r>
              <w:rPr>
                <w:rFonts w:hint="eastAsia" w:ascii="宋体" w:hAnsi="宋体" w:eastAsia="宋体"/>
                <w:color w:val="auto"/>
                <w:szCs w:val="21"/>
                <w:highlight w:val="none"/>
              </w:rPr>
              <w:t>本项目绿色施工安全防护措施费为</w:t>
            </w:r>
            <w:r>
              <w:rPr>
                <w:rFonts w:hint="eastAsia" w:ascii="宋体" w:hAnsi="宋体" w:eastAsia="宋体"/>
                <w:color w:val="auto"/>
                <w:szCs w:val="21"/>
                <w:highlight w:val="none"/>
                <w:u w:val="single"/>
                <w:lang w:val="en-US" w:eastAsia="zh-CN"/>
              </w:rPr>
              <w:t>91747.47</w:t>
            </w:r>
            <w:r>
              <w:rPr>
                <w:rFonts w:hint="eastAsia" w:ascii="宋体" w:hAnsi="宋体" w:eastAsia="宋体"/>
                <w:color w:val="auto"/>
                <w:szCs w:val="21"/>
                <w:highlight w:val="none"/>
              </w:rPr>
              <w:t>元（未按招标文件规定的金额填写的，其投标文件将被评标委员会否决）。</w:t>
            </w:r>
          </w:p>
          <w:p w14:paraId="1E768E1A">
            <w:pPr>
              <w:rPr>
                <w:rFonts w:hint="eastAsia" w:ascii="宋体" w:hAnsi="宋体" w:eastAsia="宋体"/>
                <w:color w:val="auto"/>
                <w:szCs w:val="21"/>
                <w:highlight w:val="none"/>
              </w:rPr>
            </w:pPr>
            <w:r>
              <w:rPr>
                <w:rFonts w:hint="eastAsia" w:ascii="宋体" w:hAnsi="宋体" w:eastAsia="宋体"/>
                <w:color w:val="auto"/>
                <w:szCs w:val="21"/>
                <w:highlight w:val="none"/>
              </w:rPr>
              <w:t>本项目暂列金额为</w:t>
            </w:r>
            <w:r>
              <w:rPr>
                <w:rFonts w:hint="eastAsia" w:ascii="宋体" w:hAnsi="宋体" w:eastAsia="宋体"/>
                <w:color w:val="auto"/>
                <w:szCs w:val="21"/>
                <w:highlight w:val="none"/>
                <w:u w:val="single"/>
                <w:lang w:val="en-US" w:eastAsia="zh-CN"/>
              </w:rPr>
              <w:t xml:space="preserve">0 </w:t>
            </w:r>
            <w:r>
              <w:rPr>
                <w:rFonts w:hint="eastAsia" w:ascii="宋体" w:hAnsi="宋体" w:eastAsia="宋体"/>
                <w:color w:val="auto"/>
                <w:szCs w:val="21"/>
                <w:highlight w:val="none"/>
              </w:rPr>
              <w:t>元，暂估价为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0</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元。（未按招标文件规定的金额填写的，由评标委员会按照招标文件规定的金额进行修正）。</w:t>
            </w:r>
          </w:p>
        </w:tc>
      </w:tr>
      <w:tr w14:paraId="1138D1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2D558786">
            <w:pPr>
              <w:rPr>
                <w:rFonts w:ascii="宋体" w:hAnsi="宋体" w:eastAsia="宋体"/>
                <w:color w:val="auto"/>
                <w:highlight w:val="none"/>
              </w:rPr>
            </w:pPr>
            <w:r>
              <w:rPr>
                <w:rFonts w:hint="eastAsia" w:ascii="宋体" w:hAnsi="宋体" w:eastAsia="宋体"/>
                <w:color w:val="auto"/>
                <w:highlight w:val="none"/>
              </w:rPr>
              <w:t>27</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7871143F">
            <w:pPr>
              <w:rPr>
                <w:rFonts w:hint="eastAsia" w:ascii="宋体" w:hAnsi="宋体" w:eastAsia="宋体"/>
                <w:color w:val="auto"/>
                <w:highlight w:val="none"/>
              </w:rPr>
            </w:pPr>
            <w:r>
              <w:rPr>
                <w:rFonts w:hint="eastAsia" w:ascii="宋体" w:hAnsi="宋体" w:eastAsia="宋体"/>
                <w:color w:val="auto"/>
                <w:highlight w:val="none"/>
              </w:rPr>
              <w:t>32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ED1C800">
            <w:pPr>
              <w:rPr>
                <w:rFonts w:ascii="宋体" w:hAnsi="宋体" w:eastAsia="宋体"/>
                <w:color w:val="auto"/>
                <w:highlight w:val="none"/>
              </w:rPr>
            </w:pPr>
            <w:r>
              <w:rPr>
                <w:rFonts w:hint="eastAsia" w:ascii="宋体" w:hAnsi="宋体" w:eastAsia="宋体"/>
                <w:color w:val="auto"/>
                <w:highlight w:val="none"/>
              </w:rPr>
              <w:t>履约担保</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03C0CAA1">
            <w:pPr>
              <w:ind w:left="840" w:hanging="840" w:hangingChars="400"/>
              <w:jc w:val="left"/>
              <w:rPr>
                <w:rFonts w:hint="eastAsia" w:ascii="宋体" w:hAnsi="宋体" w:eastAsia="宋体"/>
                <w:color w:val="auto"/>
                <w:highlight w:val="none"/>
              </w:rPr>
            </w:pPr>
            <w:r>
              <w:rPr>
                <w:rFonts w:ascii="宋体" w:hAnsi="宋体" w:eastAsia="宋体"/>
                <w:color w:val="auto"/>
                <w:highlight w:val="none"/>
              </w:rPr>
              <w:sym w:font="Wingdings 2" w:char="0052"/>
            </w:r>
            <w:r>
              <w:rPr>
                <w:rFonts w:hint="eastAsia" w:ascii="宋体" w:hAnsi="宋体" w:eastAsia="宋体"/>
                <w:color w:val="auto"/>
                <w:highlight w:val="none"/>
              </w:rPr>
              <w:t>要求。履约担保金额：</w:t>
            </w:r>
            <w:r>
              <w:rPr>
                <w:rFonts w:hint="eastAsia" w:ascii="宋体" w:hAnsi="宋体" w:eastAsia="宋体" w:cs="宋体"/>
                <w:color w:val="auto"/>
                <w:szCs w:val="21"/>
                <w:highlight w:val="none"/>
                <w:u w:val="single"/>
              </w:rPr>
              <w:t>中标人提供的履约保证金为合同暂定金额</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4E1AD8D0">
            <w:pPr>
              <w:ind w:left="840" w:hanging="840" w:hangingChars="400"/>
              <w:jc w:val="left"/>
              <w:rPr>
                <w:rFonts w:hint="eastAsia" w:ascii="宋体" w:hAnsi="宋体" w:eastAsia="宋体"/>
                <w:color w:val="auto"/>
                <w:highlight w:val="none"/>
              </w:rPr>
            </w:pPr>
            <w:r>
              <w:rPr>
                <w:rFonts w:hint="eastAsia" w:ascii="宋体" w:hAnsi="宋体" w:eastAsia="宋体"/>
                <w:color w:val="auto"/>
                <w:highlight w:val="none"/>
              </w:rPr>
              <w:t>履约担保形式：可采用</w:t>
            </w:r>
            <w:r>
              <w:rPr>
                <w:rFonts w:hint="eastAsia" w:ascii="宋体" w:hAnsi="宋体" w:eastAsia="宋体"/>
                <w:color w:val="auto"/>
                <w:highlight w:val="none"/>
                <w:u w:val="single"/>
              </w:rPr>
              <w:t>银行或担保公司保函、转账、现金、支票、汇票、履约保证保险</w:t>
            </w:r>
            <w:r>
              <w:rPr>
                <w:rFonts w:hint="eastAsia" w:ascii="宋体" w:hAnsi="宋体" w:eastAsia="宋体"/>
                <w:color w:val="auto"/>
                <w:highlight w:val="none"/>
              </w:rPr>
              <w:t>等形式（招标人不得限定只能以现金形式提交）。</w:t>
            </w:r>
          </w:p>
          <w:p w14:paraId="7906BF9E">
            <w:pPr>
              <w:ind w:left="840" w:hanging="840" w:hangingChars="400"/>
              <w:jc w:val="left"/>
              <w:rPr>
                <w:rFonts w:ascii="宋体" w:hAnsi="宋体" w:eastAsia="宋体"/>
                <w:color w:val="auto"/>
                <w:highlight w:val="none"/>
              </w:rPr>
            </w:pPr>
            <w:r>
              <w:rPr>
                <w:rFonts w:ascii="宋体" w:hAnsi="宋体" w:eastAsia="宋体"/>
                <w:color w:val="auto"/>
                <w:highlight w:val="none"/>
              </w:rPr>
              <w:sym w:font="Wingdings 2" w:char="00A3"/>
            </w:r>
            <w:r>
              <w:rPr>
                <w:rFonts w:hint="eastAsia" w:ascii="宋体" w:hAnsi="宋体" w:eastAsia="宋体"/>
                <w:color w:val="auto"/>
                <w:highlight w:val="none"/>
              </w:rPr>
              <w:t>不要求。</w:t>
            </w:r>
          </w:p>
        </w:tc>
      </w:tr>
      <w:tr w14:paraId="0FE1B0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6D316CE4">
            <w:pPr>
              <w:rPr>
                <w:rFonts w:ascii="宋体" w:hAnsi="宋体" w:eastAsia="宋体"/>
                <w:color w:val="auto"/>
                <w:highlight w:val="none"/>
              </w:rPr>
            </w:pPr>
            <w:r>
              <w:rPr>
                <w:rFonts w:hint="eastAsia" w:ascii="宋体" w:hAnsi="宋体" w:eastAsia="宋体"/>
                <w:color w:val="auto"/>
                <w:highlight w:val="none"/>
              </w:rPr>
              <w:t>28</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161BD71">
            <w:pPr>
              <w:rPr>
                <w:rFonts w:ascii="宋体" w:hAnsi="宋体" w:eastAsia="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8E555B9">
            <w:pPr>
              <w:pStyle w:val="14"/>
              <w:spacing w:after="0"/>
              <w:ind w:firstLine="0"/>
              <w:rPr>
                <w:rFonts w:ascii="宋体" w:hAnsi="宋体" w:eastAsia="宋体"/>
                <w:color w:val="auto"/>
                <w:highlight w:val="none"/>
              </w:rPr>
            </w:pPr>
            <w:r>
              <w:rPr>
                <w:rFonts w:hint="eastAsia" w:ascii="宋体" w:hAnsi="宋体" w:eastAsia="宋体"/>
                <w:color w:val="auto"/>
                <w:highlight w:val="none"/>
              </w:rPr>
              <w:t>保修期</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0B93CAF9">
            <w:pPr>
              <w:rPr>
                <w:rFonts w:ascii="宋体" w:hAnsi="宋体" w:eastAsia="宋体"/>
                <w:color w:val="auto"/>
                <w:highlight w:val="none"/>
              </w:rPr>
            </w:pPr>
            <w:r>
              <w:rPr>
                <w:rFonts w:hint="eastAsia" w:ascii="宋体" w:hAnsi="宋体" w:eastAsia="宋体"/>
                <w:color w:val="auto"/>
                <w:highlight w:val="none"/>
              </w:rPr>
              <w:t>按照《建设工程质量管理条例》规定。</w:t>
            </w:r>
          </w:p>
        </w:tc>
      </w:tr>
      <w:tr w14:paraId="112375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15C22F5B">
            <w:pPr>
              <w:rPr>
                <w:rFonts w:hint="eastAsia" w:ascii="宋体" w:hAnsi="宋体" w:eastAsia="宋体"/>
                <w:color w:val="auto"/>
                <w:highlight w:val="none"/>
              </w:rPr>
            </w:pPr>
            <w:r>
              <w:rPr>
                <w:rFonts w:hint="eastAsia" w:ascii="宋体" w:hAnsi="宋体" w:eastAsia="宋体"/>
                <w:color w:val="auto"/>
                <w:highlight w:val="none"/>
                <w:lang w:val="en-US" w:eastAsia="zh-CN"/>
              </w:rPr>
              <w:t>29</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D9DAFDD">
            <w:pPr>
              <w:rPr>
                <w:rFonts w:hint="eastAsia" w:ascii="宋体" w:hAnsi="宋体" w:eastAsia="宋体"/>
                <w:color w:val="auto"/>
                <w:highlight w:val="none"/>
                <w:lang w:val="en-US" w:eastAsia="zh-CN"/>
              </w:rPr>
            </w:pPr>
            <w:r>
              <w:rPr>
                <w:rFonts w:hint="eastAsia" w:ascii="宋体" w:hAnsi="宋体" w:eastAsia="宋体"/>
                <w:color w:val="auto"/>
                <w:highlight w:val="none"/>
              </w:rPr>
              <w:t>39.1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F04DB34">
            <w:pPr>
              <w:jc w:val="center"/>
              <w:rPr>
                <w:rFonts w:hint="eastAsia" w:ascii="宋体" w:hAnsi="宋体" w:eastAsia="宋体"/>
                <w:color w:val="auto"/>
                <w:highlight w:val="none"/>
              </w:rPr>
            </w:pPr>
            <w:r>
              <w:rPr>
                <w:rFonts w:hint="eastAsia" w:ascii="宋体" w:hAnsi="宋体" w:eastAsia="宋体"/>
                <w:color w:val="auto"/>
                <w:highlight w:val="none"/>
              </w:rPr>
              <w:t>评标委员会的组建</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05FE5CCB">
            <w:pPr>
              <w:rPr>
                <w:rFonts w:hint="eastAsia" w:ascii="宋体" w:hAnsi="宋体" w:eastAsia="宋体"/>
                <w:color w:val="auto"/>
                <w:highlight w:val="none"/>
              </w:rPr>
            </w:pPr>
            <w:r>
              <w:rPr>
                <w:rFonts w:ascii="宋体" w:hAnsi="宋体" w:eastAsia="宋体"/>
                <w:color w:val="auto"/>
                <w:szCs w:val="22"/>
                <w:highlight w:val="none"/>
              </w:rPr>
              <w:sym w:font="Wingdings 2" w:char="00A3"/>
            </w:r>
            <w:r>
              <w:rPr>
                <w:rFonts w:hint="eastAsia" w:ascii="宋体" w:hAnsi="宋体" w:eastAsia="宋体"/>
                <w:color w:val="auto"/>
                <w:szCs w:val="22"/>
                <w:highlight w:val="none"/>
              </w:rPr>
              <w:t>方式一：评标委员会共</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u w:val="single"/>
                <w:lang w:val="en-US" w:eastAsia="zh-CN"/>
              </w:rPr>
              <w:t xml:space="preserve"> </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人。</w:t>
            </w:r>
          </w:p>
          <w:p w14:paraId="548B0316">
            <w:pPr>
              <w:ind w:left="1050" w:hanging="1050" w:hangingChars="500"/>
              <w:rPr>
                <w:rFonts w:hint="eastAsia" w:ascii="宋体" w:hAnsi="宋体" w:eastAsia="宋体"/>
                <w:color w:val="auto"/>
                <w:highlight w:val="none"/>
              </w:rPr>
            </w:pPr>
            <w:r>
              <w:rPr>
                <w:rFonts w:ascii="宋体" w:hAnsi="宋体" w:eastAsia="宋体"/>
                <w:color w:val="auto"/>
                <w:highlight w:val="none"/>
              </w:rPr>
              <w:sym w:font="Wingdings 2" w:char="0052"/>
            </w:r>
            <w:r>
              <w:rPr>
                <w:rFonts w:hint="eastAsia" w:ascii="宋体" w:hAnsi="宋体" w:eastAsia="宋体"/>
                <w:color w:val="auto"/>
                <w:highlight w:val="none"/>
              </w:rPr>
              <w:t>方式二：评标委员会共</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5</w:t>
            </w:r>
            <w:r>
              <w:rPr>
                <w:rFonts w:hint="eastAsia" w:ascii="宋体" w:hAnsi="宋体" w:eastAsia="宋体"/>
                <w:color w:val="auto"/>
                <w:highlight w:val="none"/>
                <w:u w:val="single"/>
              </w:rPr>
              <w:t xml:space="preserve"> </w:t>
            </w:r>
            <w:r>
              <w:rPr>
                <w:rFonts w:hint="eastAsia" w:ascii="宋体" w:hAnsi="宋体" w:eastAsia="宋体"/>
                <w:color w:val="auto"/>
                <w:highlight w:val="none"/>
              </w:rPr>
              <w:t>人，其中招标人代表</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1</w:t>
            </w:r>
            <w:r>
              <w:rPr>
                <w:rFonts w:hint="eastAsia" w:ascii="宋体" w:hAnsi="宋体" w:eastAsia="宋体"/>
                <w:color w:val="auto"/>
                <w:highlight w:val="none"/>
                <w:u w:val="single"/>
              </w:rPr>
              <w:t xml:space="preserve"> </w:t>
            </w:r>
            <w:r>
              <w:rPr>
                <w:rFonts w:hint="eastAsia" w:ascii="宋体" w:hAnsi="宋体" w:eastAsia="宋体"/>
                <w:color w:val="auto"/>
                <w:highlight w:val="none"/>
              </w:rPr>
              <w:t>人，技术、经济等方面专家</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4</w:t>
            </w:r>
            <w:bookmarkStart w:id="361" w:name="_GoBack"/>
            <w:bookmarkEnd w:id="361"/>
            <w:r>
              <w:rPr>
                <w:rFonts w:hint="eastAsia" w:ascii="宋体" w:hAnsi="宋体" w:eastAsia="宋体"/>
                <w:color w:val="auto"/>
                <w:highlight w:val="none"/>
                <w:u w:val="single"/>
              </w:rPr>
              <w:t xml:space="preserve"> </w:t>
            </w:r>
            <w:r>
              <w:rPr>
                <w:rFonts w:hint="eastAsia" w:ascii="宋体" w:hAnsi="宋体" w:eastAsia="宋体"/>
                <w:color w:val="auto"/>
                <w:highlight w:val="none"/>
              </w:rPr>
              <w:t>人。</w:t>
            </w:r>
          </w:p>
          <w:p w14:paraId="4029E3D0">
            <w:pPr>
              <w:ind w:left="1050" w:leftChars="0" w:hanging="1050" w:hangingChars="500"/>
              <w:rPr>
                <w:rFonts w:hint="eastAsia" w:ascii="宋体" w:hAnsi="宋体" w:eastAsia="宋体"/>
                <w:color w:val="auto"/>
                <w:highlight w:val="none"/>
              </w:rPr>
            </w:pPr>
            <w:r>
              <w:rPr>
                <w:rFonts w:hint="eastAsia" w:ascii="宋体" w:hAnsi="宋体" w:eastAsia="宋体"/>
                <w:color w:val="auto"/>
                <w:highlight w:val="none"/>
              </w:rPr>
              <w:t>评标专家从政府评标专家库随机抽取。</w:t>
            </w:r>
          </w:p>
        </w:tc>
      </w:tr>
      <w:tr w14:paraId="5260BD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764CDAF3">
            <w:pP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30</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3C28B533">
            <w:pP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46.6</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77445FD">
            <w:pPr>
              <w:rPr>
                <w:rFonts w:hint="eastAsia" w:ascii="宋体" w:hAnsi="宋体" w:eastAsia="宋体"/>
                <w:color w:val="auto"/>
                <w:highlight w:val="none"/>
              </w:rPr>
            </w:pPr>
            <w:r>
              <w:rPr>
                <w:rFonts w:hint="eastAsia" w:ascii="宋体" w:hAnsi="宋体" w:eastAsia="宋体"/>
                <w:color w:val="auto"/>
                <w:highlight w:val="none"/>
              </w:rPr>
              <w:t>评标参考价的下浮率</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2C48C158">
            <w:pPr>
              <w:rPr>
                <w:rFonts w:ascii="宋体" w:hAnsi="宋体" w:eastAsia="宋体"/>
                <w:color w:val="auto"/>
                <w:highlight w:val="none"/>
              </w:rPr>
            </w:pPr>
            <w:r>
              <w:rPr>
                <w:rFonts w:hint="eastAsia" w:ascii="宋体" w:hAnsi="宋体" w:eastAsia="宋体"/>
                <w:color w:val="auto"/>
                <w:highlight w:val="none"/>
              </w:rPr>
              <w:t>计算评标参考价的下浮率X从0.5%、1%、1.5%、2%、2.5%、3%、3.5%中随机抽取。</w:t>
            </w:r>
          </w:p>
        </w:tc>
      </w:tr>
      <w:tr w14:paraId="0C858C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1C569ADD">
            <w:pPr>
              <w:rPr>
                <w:rFonts w:hint="eastAsia"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1</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1D2CA64B">
            <w:p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46.3、46.5</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6ADBDF9">
            <w:pPr>
              <w:jc w:val="left"/>
              <w:rPr>
                <w:rFonts w:hint="eastAsia" w:ascii="宋体" w:hAnsi="宋体" w:eastAsia="宋体"/>
                <w:color w:val="auto"/>
                <w:szCs w:val="22"/>
                <w:highlight w:val="none"/>
              </w:rPr>
            </w:pPr>
            <w:r>
              <w:rPr>
                <w:rFonts w:hint="eastAsia" w:ascii="宋体" w:hAnsi="宋体" w:eastAsia="宋体"/>
                <w:color w:val="auto"/>
                <w:szCs w:val="22"/>
                <w:highlight w:val="none"/>
              </w:rPr>
              <w:t>技术部分</w:t>
            </w:r>
            <w:r>
              <w:rPr>
                <w:rFonts w:hint="eastAsia" w:ascii="宋体" w:hAnsi="宋体" w:eastAsia="宋体"/>
                <w:color w:val="auto"/>
                <w:szCs w:val="22"/>
                <w:highlight w:val="none"/>
                <w:lang w:eastAsia="zh-CN"/>
              </w:rPr>
              <w:t>（</w:t>
            </w:r>
            <w:r>
              <w:rPr>
                <w:rFonts w:hint="eastAsia" w:ascii="宋体" w:hAnsi="宋体" w:eastAsia="宋体"/>
                <w:color w:val="auto"/>
                <w:szCs w:val="22"/>
                <w:highlight w:val="none"/>
              </w:rPr>
              <w:t>施工组织方案</w:t>
            </w:r>
            <w:r>
              <w:rPr>
                <w:rFonts w:hint="eastAsia" w:ascii="宋体" w:hAnsi="宋体" w:eastAsia="宋体"/>
                <w:color w:val="auto"/>
                <w:szCs w:val="22"/>
                <w:highlight w:val="none"/>
                <w:lang w:eastAsia="zh-CN"/>
              </w:rPr>
              <w:t>）</w:t>
            </w:r>
            <w:r>
              <w:rPr>
                <w:rFonts w:hint="eastAsia" w:ascii="宋体" w:hAnsi="宋体" w:eastAsia="宋体"/>
                <w:color w:val="auto"/>
                <w:szCs w:val="22"/>
                <w:highlight w:val="none"/>
              </w:rPr>
              <w:t>、技术部分</w:t>
            </w:r>
            <w:r>
              <w:rPr>
                <w:rFonts w:hint="eastAsia" w:ascii="宋体" w:hAnsi="宋体" w:eastAsia="宋体"/>
                <w:color w:val="auto"/>
                <w:szCs w:val="22"/>
                <w:highlight w:val="none"/>
                <w:lang w:eastAsia="zh-CN"/>
              </w:rPr>
              <w:t>（</w:t>
            </w:r>
            <w:r>
              <w:rPr>
                <w:rFonts w:hint="eastAsia" w:ascii="宋体" w:hAnsi="宋体" w:eastAsia="宋体"/>
                <w:color w:val="auto"/>
                <w:szCs w:val="22"/>
                <w:highlight w:val="none"/>
              </w:rPr>
              <w:t>项目实施能力</w:t>
            </w:r>
            <w:r>
              <w:rPr>
                <w:rFonts w:hint="eastAsia" w:ascii="宋体" w:hAnsi="宋体" w:eastAsia="宋体"/>
                <w:color w:val="auto"/>
                <w:szCs w:val="22"/>
                <w:highlight w:val="none"/>
                <w:lang w:eastAsia="zh-CN"/>
              </w:rPr>
              <w:t>）</w:t>
            </w:r>
            <w:r>
              <w:rPr>
                <w:rFonts w:hint="eastAsia" w:ascii="宋体" w:hAnsi="宋体" w:eastAsia="宋体"/>
                <w:color w:val="auto"/>
                <w:szCs w:val="22"/>
                <w:highlight w:val="none"/>
              </w:rPr>
              <w:t>评分汇总方式</w:t>
            </w:r>
          </w:p>
          <w:p w14:paraId="0BB1C589">
            <w:pPr>
              <w:rPr>
                <w:rFonts w:hint="eastAsia" w:ascii="宋体" w:hAnsi="宋体" w:eastAsia="宋体"/>
                <w:color w:val="auto"/>
                <w:szCs w:val="21"/>
                <w:highlight w:val="none"/>
              </w:rPr>
            </w:pPr>
          </w:p>
        </w:tc>
        <w:tc>
          <w:tcPr>
            <w:tcW w:w="7029" w:type="dxa"/>
            <w:tcBorders>
              <w:top w:val="single" w:color="auto" w:sz="4" w:space="0"/>
              <w:left w:val="single" w:color="auto" w:sz="4" w:space="0"/>
              <w:bottom w:val="single" w:color="auto" w:sz="4" w:space="0"/>
              <w:right w:val="double" w:color="auto" w:sz="4" w:space="0"/>
            </w:tcBorders>
            <w:noWrap w:val="0"/>
            <w:vAlign w:val="center"/>
          </w:tcPr>
          <w:p w14:paraId="17853686">
            <w:pPr>
              <w:ind w:left="840" w:hanging="840" w:hangingChars="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方式一：所有评委的分数汇总后去掉一个最高分和一个最低分，剩余分数的算术平均值为投标人的技术部分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施工组织方案</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、技术部分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项目实施能力</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最终得分。</w:t>
            </w:r>
          </w:p>
          <w:p w14:paraId="2E7BF1FC">
            <w:pPr>
              <w:ind w:left="840" w:leftChars="0" w:hanging="840" w:hangingChars="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方式二：所有评委的分数汇总后的算术平均值为投标人的技术部分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施工组织方案</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、技术部分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项目实施能力</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最终得分。</w:t>
            </w:r>
          </w:p>
        </w:tc>
      </w:tr>
      <w:tr w14:paraId="0BAFEA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6D9325EE">
            <w:pPr>
              <w:rPr>
                <w:rFonts w:hint="eastAsia" w:ascii="宋体" w:hAnsi="宋体" w:eastAsia="宋体"/>
                <w:color w:val="auto"/>
                <w:highlight w:val="none"/>
                <w:lang w:eastAsia="zh-CN"/>
              </w:rPr>
            </w:pPr>
            <w:r>
              <w:rPr>
                <w:rFonts w:hint="eastAsia" w:ascii="宋体" w:hAnsi="宋体" w:eastAsia="宋体"/>
                <w:color w:val="auto"/>
                <w:highlight w:val="none"/>
              </w:rPr>
              <w:t>3</w:t>
            </w:r>
            <w:r>
              <w:rPr>
                <w:rFonts w:hint="eastAsia" w:ascii="宋体" w:hAnsi="宋体" w:eastAsia="宋体"/>
                <w:color w:val="auto"/>
                <w:highlight w:val="none"/>
                <w:lang w:val="en-US" w:eastAsia="zh-CN"/>
              </w:rPr>
              <w:t>2</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06FB57C2">
            <w:pP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46.7</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2DAC2CC">
            <w:pPr>
              <w:jc w:val="center"/>
              <w:rPr>
                <w:rFonts w:hint="eastAsia" w:ascii="宋体" w:hAnsi="宋体" w:eastAsia="宋体"/>
                <w:color w:val="auto"/>
                <w:szCs w:val="21"/>
                <w:highlight w:val="none"/>
              </w:rPr>
            </w:pPr>
            <w:r>
              <w:rPr>
                <w:rFonts w:hint="eastAsia" w:ascii="宋体" w:hAnsi="宋体" w:eastAsia="宋体"/>
                <w:color w:val="auto"/>
                <w:szCs w:val="21"/>
                <w:highlight w:val="none"/>
              </w:rPr>
              <w:t>分值权重</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52A44312">
            <w:pP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综合评分法：</w:t>
            </w:r>
          </w:p>
          <w:p w14:paraId="0A4C7276">
            <w:pP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rPr>
              <w:t>方式一：技术部分（施工组织方案）得分权重</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u w:val="single"/>
                <w:lang w:val="en-US" w:eastAsia="zh-CN"/>
              </w:rPr>
              <w:t>5</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rPr>
              <w:t>%，技术部分（项目实施能力）得分权重</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u w:val="single"/>
                <w:lang w:val="en-US" w:eastAsia="zh-CN"/>
              </w:rPr>
              <w:t>15</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rPr>
              <w:t>%，报价得分权重</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u w:val="single"/>
                <w:lang w:val="en-US" w:eastAsia="zh-CN"/>
              </w:rPr>
              <w:t>80</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rPr>
              <w:t>%。</w:t>
            </w:r>
          </w:p>
          <w:p w14:paraId="6698EDE4">
            <w:pP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□方式二：技术部分（施工组织方案）得分权重</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rPr>
              <w:t>%，技术部分（项目实施能力）得分权重</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rPr>
              <w:t>%，报价得分权重</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rPr>
              <w:t>%，诚信综合评价得分权重</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rPr>
              <w:t>%。</w:t>
            </w:r>
          </w:p>
          <w:p w14:paraId="718C9DB8">
            <w:pPr>
              <w:rPr>
                <w:rFonts w:ascii="宋体" w:hAnsi="宋体" w:eastAsia="宋体"/>
                <w:color w:val="auto"/>
                <w:szCs w:val="21"/>
                <w:highlight w:val="none"/>
              </w:rPr>
            </w:pPr>
            <w:r>
              <w:rPr>
                <w:rFonts w:hint="eastAsia" w:ascii="宋体" w:hAnsi="宋体" w:eastAsia="宋体" w:cs="宋体"/>
                <w:b w:val="0"/>
                <w:bCs w:val="0"/>
                <w:color w:val="auto"/>
                <w:kern w:val="0"/>
                <w:szCs w:val="21"/>
                <w:highlight w:val="none"/>
              </w:rPr>
              <w:t>注：复杂和大型工程，技术部分（施工组织方案）得分权重不少于10%，报价得分权重不少于60%，诚信综合评价得分权重占0%-5%；其他工程，技术部分（施工组织方案）得分权重不少于5%，报价得分权重不少于80%，诚信综合评价得分权重占0-5%。技术部分（项目实施能力）权重=100-技术部分（施工组织方案）得分权重-报价得分权重-诚信综合评价得分权重。</w:t>
            </w:r>
          </w:p>
        </w:tc>
      </w:tr>
      <w:tr w14:paraId="578134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02591F8C">
            <w:pPr>
              <w:rPr>
                <w:rFonts w:ascii="宋体" w:hAnsi="宋体" w:eastAsia="宋体"/>
                <w:color w:val="auto"/>
                <w:highlight w:val="none"/>
              </w:rPr>
            </w:pPr>
            <w:r>
              <w:rPr>
                <w:rFonts w:hint="eastAsia" w:ascii="宋体" w:hAnsi="宋体" w:eastAsia="宋体"/>
                <w:color w:val="auto"/>
                <w:highlight w:val="none"/>
              </w:rPr>
              <w:t>33</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60618958">
            <w:pP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46.7</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FC34E09">
            <w:pPr>
              <w:rPr>
                <w:rFonts w:ascii="宋体" w:hAnsi="宋体" w:eastAsia="宋体"/>
                <w:color w:val="auto"/>
                <w:highlight w:val="none"/>
              </w:rPr>
            </w:pPr>
            <w:r>
              <w:rPr>
                <w:rFonts w:hint="eastAsia" w:ascii="宋体" w:hAnsi="宋体" w:eastAsia="宋体"/>
                <w:color w:val="auto"/>
                <w:highlight w:val="none"/>
              </w:rPr>
              <w:t>企业诚信综合评价计分</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25D09829">
            <w:pPr>
              <w:rPr>
                <w:rFonts w:hint="eastAsia" w:ascii="宋体" w:hAnsi="宋体" w:eastAsia="宋体"/>
                <w:color w:val="auto"/>
                <w:highlight w:val="none"/>
              </w:rPr>
            </w:pPr>
            <w:r>
              <w:rPr>
                <w:rFonts w:hint="eastAsia" w:ascii="宋体" w:hAnsi="宋体" w:eastAsia="宋体" w:cs="宋体"/>
                <w:color w:val="auto"/>
                <w:sz w:val="21"/>
                <w:szCs w:val="21"/>
                <w:highlight w:val="none"/>
                <w:lang w:val="en-US" w:eastAsia="zh-CN"/>
              </w:rPr>
              <w:t>本项目不适用</w:t>
            </w:r>
          </w:p>
        </w:tc>
      </w:tr>
      <w:tr w14:paraId="094C13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236322FC">
            <w:pPr>
              <w:rPr>
                <w:rFonts w:ascii="宋体" w:hAnsi="宋体" w:eastAsia="宋体"/>
                <w:color w:val="auto"/>
                <w:highlight w:val="none"/>
              </w:rPr>
            </w:pPr>
            <w:r>
              <w:rPr>
                <w:rFonts w:hint="eastAsia" w:ascii="宋体" w:hAnsi="宋体" w:eastAsia="宋体"/>
                <w:color w:val="auto"/>
                <w:highlight w:val="none"/>
              </w:rPr>
              <w:t>34</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00EDB9E4">
            <w:pPr>
              <w:rPr>
                <w:rFonts w:ascii="宋体" w:hAnsi="宋体" w:eastAsia="宋体"/>
                <w:color w:val="auto"/>
                <w:highlight w:val="none"/>
              </w:rPr>
            </w:pPr>
            <w:r>
              <w:rPr>
                <w:rFonts w:hint="eastAsia" w:ascii="宋体" w:hAnsi="宋体" w:eastAsia="宋体"/>
                <w:color w:val="auto"/>
                <w:highlight w:val="none"/>
              </w:rPr>
              <w:t>13.4、13.5.2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1BAFB62">
            <w:pPr>
              <w:rPr>
                <w:rFonts w:ascii="宋体" w:hAnsi="宋体" w:eastAsia="宋体"/>
                <w:color w:val="auto"/>
                <w:highlight w:val="none"/>
              </w:rPr>
            </w:pPr>
            <w:r>
              <w:rPr>
                <w:rFonts w:hint="eastAsia" w:ascii="宋体" w:hAnsi="宋体" w:eastAsia="宋体"/>
                <w:color w:val="auto"/>
                <w:highlight w:val="none"/>
              </w:rPr>
              <w:t>合同价款的调整办法</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1C9747DC">
            <w:pPr>
              <w:rPr>
                <w:rFonts w:ascii="宋体" w:hAnsi="宋体" w:eastAsia="宋体"/>
                <w:color w:val="auto"/>
                <w:highlight w:val="none"/>
                <w:u w:val="single"/>
              </w:rPr>
            </w:pPr>
            <w:r>
              <w:rPr>
                <w:rFonts w:hint="eastAsia" w:ascii="宋体" w:hAnsi="宋体" w:eastAsia="宋体" w:cs="宋体"/>
                <w:color w:val="auto"/>
                <w:szCs w:val="21"/>
                <w:highlight w:val="none"/>
                <w:u w:val="single"/>
              </w:rPr>
              <w:t>详见招标文件及相关合同条款。</w:t>
            </w:r>
          </w:p>
        </w:tc>
      </w:tr>
      <w:tr w14:paraId="45AF14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42C8809D">
            <w:pPr>
              <w:rPr>
                <w:rFonts w:ascii="宋体" w:hAnsi="宋体" w:eastAsia="宋体"/>
                <w:color w:val="auto"/>
                <w:highlight w:val="none"/>
              </w:rPr>
            </w:pPr>
            <w:r>
              <w:rPr>
                <w:rFonts w:hint="eastAsia" w:ascii="宋体" w:hAnsi="宋体" w:eastAsia="宋体"/>
                <w:color w:val="auto"/>
                <w:highlight w:val="none"/>
              </w:rPr>
              <w:t>35</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0782BF41">
            <w:pPr>
              <w:rPr>
                <w:rFonts w:hint="eastAsia" w:ascii="宋体" w:hAnsi="宋体" w:eastAsia="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D83E09B">
            <w:pPr>
              <w:rPr>
                <w:rFonts w:hint="eastAsia" w:ascii="宋体" w:hAnsi="宋体" w:eastAsia="宋体"/>
                <w:color w:val="auto"/>
                <w:highlight w:val="none"/>
              </w:rPr>
            </w:pPr>
            <w:r>
              <w:rPr>
                <w:rFonts w:hint="eastAsia" w:ascii="宋体" w:hAnsi="宋体" w:eastAsia="宋体"/>
                <w:color w:val="auto"/>
                <w:highlight w:val="none"/>
              </w:rPr>
              <w:t>建设工程质量检测管理办法</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1BBD0523">
            <w:pPr>
              <w:rPr>
                <w:rFonts w:hint="eastAsia" w:ascii="宋体" w:hAnsi="宋体" w:eastAsia="宋体"/>
                <w:color w:val="auto"/>
                <w:highlight w:val="none"/>
                <w:u w:val="single"/>
              </w:rPr>
            </w:pPr>
            <w:r>
              <w:rPr>
                <w:rFonts w:hint="eastAsia" w:ascii="宋体" w:hAnsi="宋体" w:eastAsia="宋体"/>
                <w:color w:val="auto"/>
                <w:highlight w:val="none"/>
              </w:rPr>
              <w:t>根据《建设工程质量检测管理办法》（2022年建设部令第57号）第十六条规定，建设工程质量、安全检测业务应由建设单位依法委托，不列入本次招标范围。招标文件中与此条不一致的，以此条为准。</w:t>
            </w:r>
          </w:p>
        </w:tc>
      </w:tr>
      <w:tr w14:paraId="171F49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7A53823F">
            <w:pPr>
              <w:rPr>
                <w:rFonts w:ascii="宋体" w:hAnsi="宋体" w:eastAsia="宋体"/>
                <w:color w:val="auto"/>
                <w:highlight w:val="none"/>
              </w:rPr>
            </w:pPr>
            <w:r>
              <w:rPr>
                <w:rFonts w:hint="eastAsia" w:ascii="宋体" w:hAnsi="宋体" w:eastAsia="宋体"/>
                <w:color w:val="auto"/>
                <w:highlight w:val="none"/>
              </w:rPr>
              <w:t>36</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7ED4E3EF">
            <w:pPr>
              <w:rPr>
                <w:rFonts w:ascii="宋体" w:hAnsi="宋体" w:eastAsia="宋体"/>
                <w:color w:val="auto"/>
                <w:highlight w:val="none"/>
              </w:rPr>
            </w:pPr>
            <w:r>
              <w:rPr>
                <w:rFonts w:hint="eastAsia" w:ascii="宋体" w:hAnsi="宋体" w:eastAsia="宋体"/>
                <w:color w:val="auto"/>
                <w:highlight w:val="none"/>
              </w:rPr>
              <w:t>36</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BAEF009">
            <w:pPr>
              <w:rPr>
                <w:rFonts w:hint="eastAsia" w:ascii="宋体" w:hAnsi="宋体" w:eastAsia="宋体"/>
                <w:color w:val="auto"/>
                <w:highlight w:val="none"/>
              </w:rPr>
            </w:pPr>
            <w:r>
              <w:rPr>
                <w:rFonts w:hint="eastAsia" w:ascii="宋体" w:hAnsi="宋体" w:eastAsia="宋体"/>
                <w:color w:val="auto"/>
                <w:highlight w:val="none"/>
              </w:rPr>
              <w:t>其他</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322B8F01">
            <w:pPr>
              <w:rPr>
                <w:rFonts w:hint="eastAsia" w:ascii="宋体" w:hAnsi="宋体" w:eastAsia="宋体"/>
                <w:color w:val="auto"/>
                <w:highlight w:val="none"/>
                <w:u w:val="single"/>
              </w:rPr>
            </w:pPr>
          </w:p>
        </w:tc>
      </w:tr>
      <w:tr w14:paraId="53B1E9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72297C54">
            <w:pP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37</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7373980">
            <w:pP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36.1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46B894E">
            <w:pP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中标公示后投标单位提交投标文件要求</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602F9F0E">
            <w:pPr>
              <w:spacing w:line="340" w:lineRule="atLeast"/>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中标单位在中标公示结束后三个工作日内提交</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套与电子投标文件内容完全一致的纸质版投标文件及电子文件光盘。</w:t>
            </w:r>
          </w:p>
        </w:tc>
      </w:tr>
      <w:tr w14:paraId="202555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044E2E33">
            <w:pP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38</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8388A79">
            <w:pP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lang w:val="en-US" w:eastAsia="zh-CN"/>
              </w:rPr>
              <w:t>36.2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028744A">
            <w:pPr>
              <w:spacing w:line="340" w:lineRule="atLeast"/>
              <w:rPr>
                <w:rFonts w:hint="eastAsia" w:ascii="宋体" w:hAnsi="宋体" w:eastAsia="宋体" w:cs="宋体"/>
                <w:color w:val="auto"/>
                <w:kern w:val="2"/>
                <w:sz w:val="21"/>
                <w:szCs w:val="21"/>
                <w:highlight w:val="none"/>
                <w:u w:val="single"/>
                <w:lang w:val="en-US" w:eastAsia="zh-CN" w:bidi="ar-SA"/>
              </w:rPr>
            </w:pPr>
          </w:p>
        </w:tc>
        <w:tc>
          <w:tcPr>
            <w:tcW w:w="7029" w:type="dxa"/>
            <w:tcBorders>
              <w:top w:val="single" w:color="auto" w:sz="4" w:space="0"/>
              <w:left w:val="single" w:color="auto" w:sz="4" w:space="0"/>
              <w:bottom w:val="single" w:color="auto" w:sz="4" w:space="0"/>
              <w:right w:val="double" w:color="auto" w:sz="4" w:space="0"/>
            </w:tcBorders>
            <w:noWrap w:val="0"/>
            <w:vAlign w:val="center"/>
          </w:tcPr>
          <w:p w14:paraId="1BC677EF">
            <w:pPr>
              <w:spacing w:line="340" w:lineRule="atLeast"/>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招标代理服务费按中华人民共和国国家发展计划委员会颁发的计价格[2002]1980号文《招标代理服务收费管理暂行办法》、国家发改委[2003]857号及发改价格[2011]534号文件计取，(具体按招标人签订的招标代理合同执行)，由</w:t>
            </w:r>
            <w:r>
              <w:rPr>
                <w:rFonts w:hint="eastAsia" w:ascii="宋体" w:hAnsi="宋体" w:eastAsia="宋体" w:cs="宋体"/>
                <w:color w:val="auto"/>
                <w:szCs w:val="21"/>
                <w:highlight w:val="none"/>
                <w:u w:val="single"/>
                <w:lang w:val="en-US" w:eastAsia="zh-CN"/>
              </w:rPr>
              <w:t>招</w:t>
            </w:r>
            <w:r>
              <w:rPr>
                <w:rFonts w:hint="eastAsia" w:ascii="宋体" w:hAnsi="宋体" w:eastAsia="宋体" w:cs="宋体"/>
                <w:color w:val="auto"/>
                <w:szCs w:val="21"/>
                <w:highlight w:val="none"/>
                <w:u w:val="single"/>
              </w:rPr>
              <w:t>标人支付。</w:t>
            </w:r>
          </w:p>
        </w:tc>
      </w:tr>
      <w:tr w14:paraId="72C0CF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718220AA">
            <w:pP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39</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6871F77D">
            <w:pP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36.</w:t>
            </w:r>
            <w:r>
              <w:rPr>
                <w:rFonts w:hint="eastAsia" w:ascii="宋体" w:hAnsi="宋体" w:eastAsia="宋体" w:cs="宋体"/>
                <w:color w:val="auto"/>
                <w:szCs w:val="21"/>
                <w:highlight w:val="none"/>
                <w:u w:val="single"/>
                <w:lang w:val="en-US" w:eastAsia="zh-CN"/>
              </w:rPr>
              <w:t>3</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B78414E">
            <w:pP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电子招标投标解密失败及突发情况的补救</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762E1DF6">
            <w:pPr>
              <w:spacing w:line="34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1、按照交易平台关于全流程电子化项目的相关指南进行操作。详见： 《房屋建筑和市政基础设施工程全流程电子化项目专章》。</w:t>
            </w:r>
          </w:p>
          <w:p w14:paraId="35538671">
            <w:pPr>
              <w:spacing w:line="34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2、提交投标文件光盘备用</w:t>
            </w:r>
          </w:p>
          <w:p w14:paraId="6E3B2074">
            <w:pPr>
              <w:spacing w:line="34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可制作非加密的电子投标文件（PDF格式）刻入光盘（1份），在投标须知前附表第21项规定的时间、地点在递交投标文件截止时间前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35BB9045">
            <w:pPr>
              <w:spacing w:line="34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3、补救方案</w:t>
            </w:r>
          </w:p>
          <w:p w14:paraId="762B76B6">
            <w:pPr>
              <w:spacing w:line="34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（1）投标文件解密失败的补救方案：</w:t>
            </w:r>
          </w:p>
          <w:p w14:paraId="3330F4FC">
            <w:pPr>
              <w:spacing w:line="34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963C5CC">
            <w:pPr>
              <w:spacing w:line="34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（2）评标时突发情况的补救方案</w:t>
            </w:r>
          </w:p>
          <w:p w14:paraId="630081DA">
            <w:pPr>
              <w:spacing w:line="34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若遇不可抗力发生（指网络瘫痪、服务器损坏、交易系统故障短期无法恢复等因素），由评标委员会开启投标人递交的全部投标文件光盘，并按光盘内容进行评审。</w:t>
            </w:r>
          </w:p>
          <w:p w14:paraId="2510D23F">
            <w:pPr>
              <w:spacing w:line="340" w:lineRule="atLeast"/>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（3）除发生上述情况外，开标评标均以投标人通过交易平台网上递交的电子投标文件为准。</w:t>
            </w:r>
          </w:p>
        </w:tc>
      </w:tr>
      <w:tr w14:paraId="3FB7F6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7" w:type="dxa"/>
            <w:tcBorders>
              <w:top w:val="single" w:color="auto" w:sz="4" w:space="0"/>
              <w:left w:val="double" w:color="auto" w:sz="4" w:space="0"/>
              <w:bottom w:val="double" w:color="auto" w:sz="4" w:space="0"/>
              <w:right w:val="single" w:color="auto" w:sz="4" w:space="0"/>
            </w:tcBorders>
            <w:noWrap w:val="0"/>
            <w:vAlign w:val="center"/>
          </w:tcPr>
          <w:p w14:paraId="406B16FB">
            <w:pP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40</w:t>
            </w:r>
          </w:p>
        </w:tc>
        <w:tc>
          <w:tcPr>
            <w:tcW w:w="941" w:type="dxa"/>
            <w:tcBorders>
              <w:top w:val="single" w:color="auto" w:sz="4" w:space="0"/>
              <w:left w:val="single" w:color="auto" w:sz="4" w:space="0"/>
              <w:bottom w:val="double" w:color="auto" w:sz="4" w:space="0"/>
              <w:right w:val="single" w:color="auto" w:sz="4" w:space="0"/>
            </w:tcBorders>
            <w:noWrap w:val="0"/>
            <w:vAlign w:val="center"/>
          </w:tcPr>
          <w:p w14:paraId="6EF18966">
            <w:pPr>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36.4</w:t>
            </w:r>
          </w:p>
        </w:tc>
        <w:tc>
          <w:tcPr>
            <w:tcW w:w="1341" w:type="dxa"/>
            <w:tcBorders>
              <w:top w:val="single" w:color="auto" w:sz="4" w:space="0"/>
              <w:left w:val="single" w:color="auto" w:sz="4" w:space="0"/>
              <w:bottom w:val="double" w:color="auto" w:sz="4" w:space="0"/>
              <w:right w:val="single" w:color="auto" w:sz="4" w:space="0"/>
            </w:tcBorders>
            <w:noWrap w:val="0"/>
            <w:vAlign w:val="center"/>
          </w:tcPr>
          <w:p w14:paraId="77CD4984">
            <w:pPr>
              <w:rPr>
                <w:rFonts w:hint="eastAsia" w:ascii="宋体" w:hAnsi="宋体" w:eastAsia="宋体" w:cs="宋体"/>
                <w:color w:val="auto"/>
                <w:szCs w:val="21"/>
                <w:highlight w:val="none"/>
                <w:u w:val="single"/>
              </w:rPr>
            </w:pPr>
            <w:r>
              <w:rPr>
                <w:rFonts w:hint="eastAsia" w:ascii="宋体" w:hAnsi="宋体" w:eastAsia="宋体"/>
                <w:color w:val="auto"/>
                <w:highlight w:val="none"/>
                <w:u w:val="single"/>
              </w:rPr>
              <w:t>异议的提出及受理</w:t>
            </w:r>
          </w:p>
        </w:tc>
        <w:tc>
          <w:tcPr>
            <w:tcW w:w="7029" w:type="dxa"/>
            <w:tcBorders>
              <w:top w:val="single" w:color="auto" w:sz="4" w:space="0"/>
              <w:left w:val="single" w:color="auto" w:sz="4" w:space="0"/>
              <w:bottom w:val="double" w:color="auto" w:sz="4" w:space="0"/>
              <w:right w:val="double" w:color="auto" w:sz="4" w:space="0"/>
            </w:tcBorders>
            <w:noWrap w:val="0"/>
            <w:vAlign w:val="center"/>
          </w:tcPr>
          <w:p w14:paraId="0CC9A991">
            <w:pPr>
              <w:rPr>
                <w:rFonts w:hint="eastAsia" w:ascii="宋体" w:hAnsi="宋体" w:eastAsia="宋体"/>
                <w:color w:val="auto"/>
                <w:highlight w:val="none"/>
                <w:u w:val="single"/>
              </w:rPr>
            </w:pPr>
            <w:r>
              <w:rPr>
                <w:rFonts w:hint="eastAsia" w:ascii="宋体" w:hAnsi="宋体" w:eastAsia="宋体"/>
                <w:color w:val="auto"/>
                <w:highlight w:val="none"/>
                <w:u w:val="single"/>
              </w:rPr>
              <w:t>1、应依法提出异议、投诉事宜，经核实，异议的内容、时间、形式以及异议提起人的身份等不符合法律法规和招标公告、招标文件所规定的受理要求的，招标人可以拒绝受理，并将拒绝理由告知异议提起人。</w:t>
            </w:r>
          </w:p>
          <w:p w14:paraId="2C1E2B2C">
            <w:pPr>
              <w:rPr>
                <w:rFonts w:hint="eastAsia" w:ascii="宋体" w:hAnsi="宋体" w:eastAsia="宋体"/>
                <w:color w:val="auto"/>
                <w:highlight w:val="none"/>
                <w:u w:val="single"/>
              </w:rPr>
            </w:pPr>
            <w:r>
              <w:rPr>
                <w:rFonts w:hint="eastAsia" w:ascii="宋体" w:hAnsi="宋体" w:eastAsia="宋体"/>
                <w:color w:val="auto"/>
                <w:highlight w:val="none"/>
                <w:u w:val="single"/>
              </w:rPr>
              <w:t>2、异议提出的期限</w:t>
            </w:r>
          </w:p>
          <w:p w14:paraId="39FF7E74">
            <w:pPr>
              <w:rPr>
                <w:rFonts w:hint="eastAsia" w:ascii="宋体" w:hAnsi="宋体" w:eastAsia="宋体"/>
                <w:color w:val="auto"/>
                <w:highlight w:val="none"/>
                <w:u w:val="single"/>
              </w:rPr>
            </w:pPr>
            <w:r>
              <w:rPr>
                <w:rFonts w:hint="eastAsia" w:ascii="宋体" w:hAnsi="宋体" w:eastAsia="宋体"/>
                <w:color w:val="auto"/>
                <w:highlight w:val="none"/>
                <w:u w:val="single"/>
              </w:rPr>
              <w:t>（1）对招标文件有异议的，潜在投标人或者其他利害关系人应当在提交投标文件截止时间十日前提出；</w:t>
            </w:r>
          </w:p>
          <w:p w14:paraId="497028CE">
            <w:pPr>
              <w:rPr>
                <w:rFonts w:hint="eastAsia" w:ascii="宋体" w:hAnsi="宋体" w:eastAsia="宋体"/>
                <w:color w:val="auto"/>
                <w:highlight w:val="none"/>
                <w:u w:val="single"/>
              </w:rPr>
            </w:pPr>
            <w:r>
              <w:rPr>
                <w:rFonts w:hint="eastAsia" w:ascii="宋体" w:hAnsi="宋体" w:eastAsia="宋体"/>
                <w:color w:val="auto"/>
                <w:highlight w:val="none"/>
                <w:u w:val="single"/>
              </w:rPr>
              <w:t>（2）若投标人对开标过程有异议，应在开标现场提出，投标人代表提出异议时须出示本人身份证原件。招标人应当当场作出答复，并制作记录。</w:t>
            </w:r>
          </w:p>
          <w:p w14:paraId="51A0BD37">
            <w:pPr>
              <w:rPr>
                <w:rFonts w:ascii="宋体" w:hAnsi="宋体" w:eastAsia="宋体"/>
                <w:color w:val="auto"/>
                <w:highlight w:val="none"/>
                <w:u w:val="single"/>
              </w:rPr>
            </w:pPr>
            <w:r>
              <w:rPr>
                <w:rFonts w:hint="eastAsia" w:ascii="宋体" w:hAnsi="宋体" w:eastAsia="宋体"/>
                <w:color w:val="auto"/>
                <w:highlight w:val="none"/>
                <w:u w:val="single"/>
              </w:rPr>
              <w:t>（3）对资格审查结果、中标候选人公示、定标及中标结果有异议的，投标人或者其他利害关系人应当分别在资格审查结果、中标候选人公示、定标及中标结果公示期间提出。</w:t>
            </w:r>
          </w:p>
          <w:p w14:paraId="4FC50DAE">
            <w:pPr>
              <w:rPr>
                <w:rFonts w:hint="eastAsia" w:ascii="宋体" w:hAnsi="宋体" w:eastAsia="宋体"/>
                <w:color w:val="auto"/>
                <w:highlight w:val="none"/>
                <w:u w:val="single"/>
              </w:rPr>
            </w:pPr>
            <w:r>
              <w:rPr>
                <w:rFonts w:hint="eastAsia" w:ascii="宋体" w:hAnsi="宋体" w:eastAsia="宋体"/>
                <w:color w:val="auto"/>
                <w:highlight w:val="none"/>
                <w:u w:val="single"/>
              </w:rPr>
              <w:t>3、线上提交的，招标人通过交易平台告知线上异议提起人；线下提交的，招标人通过书面告知异议提起人。有下列情形之一的，招标人可以不予受理线上或线下异议：</w:t>
            </w:r>
          </w:p>
          <w:p w14:paraId="1B69A976">
            <w:pPr>
              <w:rPr>
                <w:rFonts w:hint="eastAsia" w:ascii="宋体" w:hAnsi="宋体" w:eastAsia="宋体"/>
                <w:color w:val="auto"/>
                <w:highlight w:val="none"/>
                <w:u w:val="single"/>
              </w:rPr>
            </w:pPr>
            <w:r>
              <w:rPr>
                <w:rFonts w:hint="eastAsia" w:ascii="宋体" w:hAnsi="宋体" w:eastAsia="宋体"/>
                <w:color w:val="auto"/>
                <w:highlight w:val="none"/>
                <w:u w:val="single"/>
              </w:rPr>
              <w:t>（1）异议提起人不是投标人、潜在投标人或者其他利害关系人；</w:t>
            </w:r>
          </w:p>
          <w:p w14:paraId="3599A0A3">
            <w:pPr>
              <w:rPr>
                <w:rFonts w:hint="eastAsia" w:ascii="宋体" w:hAnsi="宋体" w:eastAsia="宋体"/>
                <w:color w:val="auto"/>
                <w:highlight w:val="none"/>
                <w:u w:val="single"/>
              </w:rPr>
            </w:pPr>
            <w:r>
              <w:rPr>
                <w:rFonts w:hint="eastAsia" w:ascii="宋体" w:hAnsi="宋体" w:eastAsia="宋体"/>
                <w:color w:val="auto"/>
                <w:highlight w:val="none"/>
                <w:u w:val="single"/>
              </w:rPr>
              <w:t>（2）未在法定的异议期限内提出的；</w:t>
            </w:r>
          </w:p>
          <w:p w14:paraId="440915F6">
            <w:pPr>
              <w:rPr>
                <w:rFonts w:hint="eastAsia" w:ascii="宋体" w:hAnsi="宋体" w:eastAsia="宋体"/>
                <w:color w:val="auto"/>
                <w:highlight w:val="none"/>
                <w:u w:val="single"/>
              </w:rPr>
            </w:pPr>
            <w:r>
              <w:rPr>
                <w:rFonts w:hint="eastAsia" w:ascii="宋体" w:hAnsi="宋体" w:eastAsia="宋体"/>
                <w:color w:val="auto"/>
                <w:highlight w:val="none"/>
                <w:u w:val="single"/>
              </w:rPr>
              <w:t>（3）异议未以招标公告、招标文件所规定的方式提出的；</w:t>
            </w:r>
          </w:p>
          <w:p w14:paraId="4ECA6DE2">
            <w:pPr>
              <w:rPr>
                <w:rFonts w:hint="eastAsia" w:ascii="宋体" w:hAnsi="宋体" w:eastAsia="宋体"/>
                <w:color w:val="auto"/>
                <w:highlight w:val="none"/>
                <w:u w:val="single"/>
              </w:rPr>
            </w:pPr>
            <w:r>
              <w:rPr>
                <w:rFonts w:hint="eastAsia" w:ascii="宋体" w:hAnsi="宋体" w:eastAsia="宋体"/>
                <w:color w:val="auto"/>
                <w:highlight w:val="none"/>
                <w:u w:val="single"/>
              </w:rPr>
              <w:t>（4）异议书未按照要求签字盖章的；</w:t>
            </w:r>
          </w:p>
          <w:p w14:paraId="3AC2C3BC">
            <w:pPr>
              <w:rPr>
                <w:rFonts w:hint="eastAsia" w:ascii="宋体" w:hAnsi="宋体" w:eastAsia="宋体"/>
                <w:color w:val="auto"/>
                <w:highlight w:val="none"/>
                <w:u w:val="single"/>
              </w:rPr>
            </w:pPr>
            <w:r>
              <w:rPr>
                <w:rFonts w:hint="eastAsia" w:ascii="宋体" w:hAnsi="宋体" w:eastAsia="宋体"/>
                <w:color w:val="auto"/>
                <w:highlight w:val="none"/>
                <w:u w:val="single"/>
              </w:rPr>
              <w:t>（5）异议书未提供有效联系人和联系方式的；</w:t>
            </w:r>
          </w:p>
          <w:p w14:paraId="3A3332F7">
            <w:pPr>
              <w:rPr>
                <w:rFonts w:hint="eastAsia" w:ascii="宋体" w:hAnsi="宋体" w:eastAsia="宋体"/>
                <w:color w:val="auto"/>
                <w:highlight w:val="none"/>
                <w:u w:val="single"/>
              </w:rPr>
            </w:pPr>
            <w:r>
              <w:rPr>
                <w:rFonts w:hint="eastAsia" w:ascii="宋体" w:hAnsi="宋体" w:eastAsia="宋体"/>
                <w:color w:val="auto"/>
                <w:highlight w:val="none"/>
                <w:u w:val="single"/>
              </w:rPr>
              <w:t>（6）开标现场已经投标人确认的事项，开标后投标人又就该事项提出异议的；</w:t>
            </w:r>
          </w:p>
          <w:p w14:paraId="1717E17C">
            <w:pPr>
              <w:rPr>
                <w:rFonts w:hint="eastAsia" w:ascii="宋体" w:hAnsi="宋体" w:eastAsia="宋体"/>
                <w:color w:val="auto"/>
                <w:highlight w:val="none"/>
                <w:u w:val="single"/>
              </w:rPr>
            </w:pPr>
            <w:r>
              <w:rPr>
                <w:rFonts w:hint="eastAsia" w:ascii="宋体" w:hAnsi="宋体" w:eastAsia="宋体"/>
                <w:color w:val="auto"/>
                <w:highlight w:val="none"/>
                <w:u w:val="single"/>
              </w:rPr>
              <w:t>（7）招标人已经作出明确答复，无新的事实证据，又就同一问题提出异议的。</w:t>
            </w:r>
          </w:p>
          <w:p w14:paraId="139C3D4E">
            <w:pPr>
              <w:rPr>
                <w:rFonts w:hint="eastAsia" w:ascii="宋体" w:hAnsi="宋体" w:eastAsia="宋体"/>
                <w:color w:val="auto"/>
                <w:highlight w:val="none"/>
                <w:u w:val="single"/>
              </w:rPr>
            </w:pPr>
            <w:r>
              <w:rPr>
                <w:rFonts w:hint="eastAsia" w:ascii="宋体" w:hAnsi="宋体" w:eastAsia="宋体"/>
                <w:color w:val="auto"/>
                <w:highlight w:val="none"/>
                <w:u w:val="single"/>
              </w:rPr>
              <w:t>4、异议提起人要求撤回异议的，异议程序终止。异议提起人不得以同一理由再次提出异议。</w:t>
            </w:r>
          </w:p>
          <w:p w14:paraId="5C4F8544">
            <w:pPr>
              <w:rPr>
                <w:rFonts w:hint="eastAsia" w:ascii="宋体" w:hAnsi="宋体" w:eastAsia="宋体" w:cs="宋体"/>
                <w:color w:val="auto"/>
                <w:szCs w:val="21"/>
                <w:highlight w:val="none"/>
                <w:u w:val="single"/>
              </w:rPr>
            </w:pPr>
            <w:r>
              <w:rPr>
                <w:rFonts w:hint="eastAsia" w:ascii="宋体" w:hAnsi="宋体" w:eastAsia="宋体"/>
                <w:color w:val="auto"/>
                <w:highlight w:val="none"/>
                <w:u w:val="single"/>
              </w:rPr>
              <w:t>5、投标人就依法进行异议、投诉事宜应进行承诺：若投标人有捏造事实、伪造材料或者以非法手段取得证明材料进行异议或投诉等行为的，经行政监督部门、公安或者司法机关依法认定后，自愿接受被招标人拒绝规定时期（三个月或以上）参与后续工程投标的后果（时限按招标文件规定或由招标人确定，自招标人发出通知之日起计）。</w:t>
            </w:r>
          </w:p>
        </w:tc>
      </w:tr>
    </w:tbl>
    <w:p w14:paraId="256D21E1">
      <w:pPr>
        <w:spacing w:line="480" w:lineRule="auto"/>
        <w:ind w:firstLine="537" w:firstLineChars="224"/>
        <w:rPr>
          <w:rFonts w:ascii="宋体" w:hAnsi="宋体" w:eastAsia="宋体"/>
          <w:color w:val="auto"/>
          <w:sz w:val="24"/>
          <w:highlight w:val="none"/>
        </w:rPr>
      </w:pPr>
    </w:p>
    <w:p w14:paraId="1DCD35F2">
      <w:pPr>
        <w:pStyle w:val="3"/>
        <w:spacing w:before="120"/>
        <w:rPr>
          <w:rFonts w:ascii="宋体" w:eastAsia="宋体"/>
          <w:color w:val="auto"/>
          <w:highlight w:val="none"/>
        </w:rPr>
      </w:pPr>
      <w:bookmarkStart w:id="26" w:name="_二、投标须知修改表"/>
      <w:bookmarkEnd w:id="26"/>
      <w:r>
        <w:rPr>
          <w:rFonts w:hint="eastAsia" w:ascii="宋体" w:eastAsia="宋体"/>
          <w:color w:val="auto"/>
          <w:highlight w:val="none"/>
        </w:rPr>
        <w:br w:type="page"/>
      </w:r>
      <w:bookmarkStart w:id="27" w:name="_Toc29501"/>
      <w:bookmarkStart w:id="28" w:name="_Toc26168"/>
      <w:bookmarkStart w:id="29" w:name="_Toc20294"/>
      <w:bookmarkStart w:id="30" w:name="_Toc8938"/>
      <w:bookmarkStart w:id="31" w:name="_Toc262229161"/>
      <w:bookmarkStart w:id="32" w:name="_Toc4195"/>
      <w:bookmarkStart w:id="33" w:name="_Toc18865"/>
      <w:bookmarkStart w:id="34" w:name="_Toc24309"/>
      <w:bookmarkStart w:id="35" w:name="_Toc26978"/>
      <w:bookmarkStart w:id="36" w:name="_Toc28948"/>
      <w:bookmarkStart w:id="37" w:name="_Toc15878"/>
      <w:r>
        <w:rPr>
          <w:rFonts w:hint="eastAsia" w:ascii="宋体" w:eastAsia="宋体"/>
          <w:color w:val="auto"/>
          <w:highlight w:val="none"/>
        </w:rPr>
        <w:t>二、投标须知修改表</w:t>
      </w:r>
      <w:bookmarkEnd w:id="27"/>
      <w:bookmarkEnd w:id="28"/>
      <w:bookmarkEnd w:id="29"/>
      <w:bookmarkEnd w:id="30"/>
      <w:bookmarkEnd w:id="31"/>
      <w:bookmarkEnd w:id="32"/>
      <w:bookmarkEnd w:id="33"/>
      <w:bookmarkEnd w:id="34"/>
      <w:bookmarkEnd w:id="35"/>
      <w:bookmarkEnd w:id="36"/>
      <w:bookmarkEnd w:id="37"/>
    </w:p>
    <w:p w14:paraId="42DEFCCF">
      <w:pPr>
        <w:pBdr>
          <w:top w:val="single" w:color="auto" w:sz="4" w:space="0"/>
        </w:pBdr>
        <w:spacing w:line="360" w:lineRule="auto"/>
        <w:ind w:firstLine="422" w:firstLineChars="200"/>
        <w:rPr>
          <w:rFonts w:hint="eastAsia" w:ascii="宋体" w:hAnsi="宋体" w:eastAsia="宋体"/>
          <w:b/>
          <w:color w:val="auto"/>
          <w:szCs w:val="21"/>
          <w:highlight w:val="none"/>
        </w:rPr>
      </w:pPr>
      <w:r>
        <w:rPr>
          <w:rFonts w:hint="eastAsia" w:ascii="宋体" w:hAnsi="宋体" w:eastAsia="宋体"/>
          <w:b/>
          <w:color w:val="auto"/>
          <w:szCs w:val="21"/>
          <w:highlight w:val="none"/>
        </w:rPr>
        <w:t>声明：本投标须知使用GZYLZB202</w:t>
      </w:r>
      <w:r>
        <w:rPr>
          <w:rFonts w:hint="eastAsia" w:ascii="宋体" w:hAnsi="宋体" w:eastAsia="宋体"/>
          <w:b/>
          <w:color w:val="auto"/>
          <w:szCs w:val="21"/>
          <w:highlight w:val="none"/>
          <w:lang w:val="en-US" w:eastAsia="zh-CN"/>
        </w:rPr>
        <w:t>3</w:t>
      </w:r>
      <w:r>
        <w:rPr>
          <w:rFonts w:hint="eastAsia" w:ascii="宋体" w:hAnsi="宋体" w:eastAsia="宋体"/>
          <w:b/>
          <w:color w:val="auto"/>
          <w:szCs w:val="21"/>
          <w:highlight w:val="none"/>
        </w:rPr>
        <w:t>-1招标文件范本的投标须知通用条款，与该通用条款不同之处，均在本表中列明，修改之处均以下划线标明，并以现文为准，原文不再有效。没有在本表中列明的条款，以原文为准。本招标文件中不再转录投标须知通用条款，请投标人自行到广州市林业和园林局网站（网址：http://lyylj.gz.gov.cn/）下载查阅。</w:t>
      </w:r>
    </w:p>
    <w:p w14:paraId="47090AB9">
      <w:pPr>
        <w:pBdr>
          <w:top w:val="single" w:color="auto" w:sz="4" w:space="0"/>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条款号：5.1                   修改类型：修改</w:t>
      </w:r>
    </w:p>
    <w:p w14:paraId="15604CC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5.1 投标人应按本投标须知前附表第16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6DBDE2E3">
      <w:pPr>
        <w:pBdr>
          <w:bottom w:val="single" w:color="auto" w:sz="4" w:space="0"/>
        </w:pBdr>
        <w:spacing w:line="360" w:lineRule="auto"/>
        <w:ind w:firstLine="482" w:firstLineChars="200"/>
        <w:rPr>
          <w:rFonts w:ascii="宋体" w:hAnsi="宋体" w:eastAsia="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5.1 投标人应按本投标须知前附表第16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bCs/>
          <w:color w:val="auto"/>
          <w:sz w:val="24"/>
          <w:szCs w:val="24"/>
          <w:highlight w:val="none"/>
          <w:u w:val="single"/>
        </w:rPr>
        <w:t>投标人不进行踏勘的，视为已熟知现场条件，自行承担相关风险。</w:t>
      </w:r>
      <w:r>
        <w:rPr>
          <w:rFonts w:hint="eastAsia" w:ascii="宋体" w:hAnsi="宋体" w:eastAsia="宋体" w:cs="宋体"/>
          <w:bCs/>
          <w:color w:val="auto"/>
          <w:sz w:val="24"/>
          <w:szCs w:val="24"/>
          <w:highlight w:val="none"/>
        </w:rPr>
        <w:t>一旦中标，这种考察即被认为其结果已在中标文件中得到充分反映。考察现场的费用由投标人自己承担。</w:t>
      </w:r>
    </w:p>
    <w:p w14:paraId="35E4266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Cs/>
          <w:color w:val="auto"/>
          <w:sz w:val="24"/>
          <w:szCs w:val="24"/>
          <w:highlight w:val="none"/>
        </w:rPr>
        <w:t>11.2</w:t>
      </w:r>
      <w:r>
        <w:rPr>
          <w:rFonts w:hint="eastAsia" w:ascii="宋体" w:hAnsi="宋体" w:eastAsia="宋体" w:cs="宋体"/>
          <w:b/>
          <w:color w:val="auto"/>
          <w:sz w:val="24"/>
          <w:szCs w:val="24"/>
          <w:highlight w:val="none"/>
        </w:rPr>
        <w:t xml:space="preserve">                  修改类型：修改</w:t>
      </w:r>
    </w:p>
    <w:p w14:paraId="6DFDAB9F">
      <w:pPr>
        <w:spacing w:line="360" w:lineRule="auto"/>
        <w:ind w:firstLine="482" w:firstLineChars="200"/>
        <w:rPr>
          <w:rFonts w:hint="eastAsia" w:ascii="宋体" w:hAnsi="宋体" w:eastAsia="宋体"/>
          <w:bCs/>
          <w:color w:val="auto"/>
          <w:sz w:val="24"/>
          <w:highlight w:val="none"/>
        </w:rPr>
      </w:pPr>
      <w:r>
        <w:rPr>
          <w:rFonts w:hint="eastAsia" w:ascii="宋体" w:hAnsi="宋体" w:eastAsia="宋体" w:cs="宋体"/>
          <w:b/>
          <w:color w:val="auto"/>
          <w:sz w:val="24"/>
          <w:szCs w:val="24"/>
          <w:highlight w:val="none"/>
        </w:rPr>
        <w:t>原文：</w:t>
      </w:r>
      <w:r>
        <w:rPr>
          <w:rFonts w:hint="eastAsia" w:ascii="宋体" w:hAnsi="宋体" w:eastAsia="宋体"/>
          <w:bCs/>
          <w:color w:val="auto"/>
          <w:sz w:val="24"/>
          <w:highlight w:val="none"/>
        </w:rPr>
        <w:t>11.2资格审查文件主要包括的内容：</w:t>
      </w:r>
    </w:p>
    <w:p w14:paraId="20CFFCE2">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11.2.1法定代表人证明书，如投标文件为委托代理人签署应同时附上法定代表人证明书和法定代表人授权书；</w:t>
      </w:r>
    </w:p>
    <w:p w14:paraId="4AB5980F">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11.2.2</w:t>
      </w:r>
      <w:r>
        <w:rPr>
          <w:rFonts w:hint="eastAsia" w:ascii="宋体" w:hAnsi="宋体" w:eastAsia="宋体"/>
          <w:color w:val="auto"/>
          <w:sz w:val="24"/>
          <w:szCs w:val="24"/>
          <w:highlight w:val="none"/>
        </w:rPr>
        <w:t>工商行政管理部门核发的</w:t>
      </w:r>
      <w:r>
        <w:rPr>
          <w:rFonts w:hint="eastAsia" w:ascii="宋体" w:hAnsi="宋体" w:eastAsia="宋体"/>
          <w:bCs/>
          <w:color w:val="auto"/>
          <w:sz w:val="24"/>
          <w:szCs w:val="24"/>
          <w:highlight w:val="none"/>
        </w:rPr>
        <w:t>营业执照；</w:t>
      </w:r>
    </w:p>
    <w:p w14:paraId="7F56460A">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11.2.3项目负责人（按招标公告要求和网上投标登记时选择拟投标的项目负责人）</w:t>
      </w:r>
      <w:r>
        <w:rPr>
          <w:rFonts w:hint="eastAsia" w:ascii="宋体" w:hAnsi="宋体" w:eastAsia="宋体"/>
          <w:color w:val="auto"/>
          <w:kern w:val="0"/>
          <w:sz w:val="24"/>
          <w:szCs w:val="24"/>
          <w:highlight w:val="none"/>
        </w:rPr>
        <w:t>；</w:t>
      </w:r>
    </w:p>
    <w:p w14:paraId="1C62CBED">
      <w:p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11.2.4用于资格审查的业绩（设置业绩要求时选择此项，投标人选择用于资格审查的业绩须用本企业的CA数字证书对生成的内容进行签章）；</w:t>
      </w:r>
    </w:p>
    <w:p w14:paraId="59FE6406">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11.2.5</w:t>
      </w:r>
      <w:r>
        <w:rPr>
          <w:rFonts w:hint="eastAsia" w:ascii="宋体" w:hAnsi="宋体" w:eastAsia="宋体"/>
          <w:color w:val="auto"/>
          <w:sz w:val="24"/>
          <w:szCs w:val="24"/>
          <w:highlight w:val="none"/>
        </w:rPr>
        <w:t>专职安全人员须具有在有效期内的安全生产考核合格证书（C类），或能够提供广东省建筑施工企业管理人员安全生产考核信息系统安全生产管理人员证书信息的打印页</w:t>
      </w:r>
      <w:r>
        <w:rPr>
          <w:rFonts w:hint="eastAsia" w:ascii="宋体" w:hAnsi="宋体" w:eastAsia="宋体"/>
          <w:bCs/>
          <w:color w:val="auto"/>
          <w:sz w:val="24"/>
          <w:szCs w:val="24"/>
          <w:highlight w:val="none"/>
        </w:rPr>
        <w:t>（按网上投标登记时选择拟派专职安全员）；</w:t>
      </w:r>
    </w:p>
    <w:p w14:paraId="7442F697">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bCs/>
          <w:color w:val="auto"/>
          <w:sz w:val="24"/>
          <w:szCs w:val="24"/>
          <w:highlight w:val="none"/>
        </w:rPr>
        <w:t>11.2.6</w:t>
      </w:r>
      <w:r>
        <w:rPr>
          <w:rFonts w:hint="eastAsia" w:ascii="宋体" w:hAnsi="宋体" w:eastAsia="宋体"/>
          <w:color w:val="auto"/>
          <w:sz w:val="24"/>
          <w:szCs w:val="24"/>
          <w:highlight w:val="none"/>
        </w:rPr>
        <w:t>投标人按照规定的格式及内容要求签署的《投标人声明》（格式见第四章）；</w:t>
      </w:r>
    </w:p>
    <w:p w14:paraId="5F68D063">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11.2.7列明主办单位的联合体工作协议（采用联合体投标时需递交，投标人拟任本工程项目负责人应为联合体主办方企业信息登记中的在册人员，联合体工作协议应明确约定各方拟承担的工作和责任）；</w:t>
      </w:r>
    </w:p>
    <w:p w14:paraId="73823C0D">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11.2.8未被列入国家、省、市失信联合惩戒名单（具体名单以递交投标文件截止时间“信用广州”网站公布的“失信联合惩戒黑名单——国家下发”为准），或未因失信行为被本项目所在地行政主管部门作出限制参与工程建设项目投标的决定。</w:t>
      </w:r>
    </w:p>
    <w:p w14:paraId="27504BE8">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注：资格审查内容的11.2.2至11.2.5项</w:t>
      </w:r>
      <w:r>
        <w:rPr>
          <w:rFonts w:hint="eastAsia" w:ascii="宋体" w:hAnsi="宋体" w:eastAsia="宋体"/>
          <w:color w:val="auto"/>
          <w:sz w:val="24"/>
          <w:szCs w:val="24"/>
          <w:highlight w:val="none"/>
        </w:rPr>
        <w:t>（除广东省建筑施工企业管理人员安全生产考核信息系统安全生产管理人员证书信息的打印页、《信息公开证明》打印页外）的资料取自</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在</w:t>
      </w:r>
      <w:r>
        <w:rPr>
          <w:rFonts w:hint="eastAsia" w:ascii="宋体" w:hAnsi="宋体" w:eastAsia="宋体"/>
          <w:color w:val="auto"/>
          <w:sz w:val="24"/>
          <w:szCs w:val="24"/>
          <w:highlight w:val="none"/>
          <w:lang w:eastAsia="zh-CN"/>
        </w:rPr>
        <w:t>广州公共资源交易平台</w:t>
      </w:r>
      <w:r>
        <w:rPr>
          <w:rFonts w:hint="eastAsia" w:ascii="宋体" w:hAnsi="宋体" w:eastAsia="宋体"/>
          <w:color w:val="auto"/>
          <w:sz w:val="24"/>
          <w:szCs w:val="24"/>
          <w:highlight w:val="none"/>
        </w:rPr>
        <w:t>企业库、城市园林绿化企业工程业绩库中的资料，</w:t>
      </w:r>
      <w:r>
        <w:rPr>
          <w:rFonts w:hint="eastAsia" w:ascii="宋体" w:hAnsi="宋体" w:eastAsia="宋体"/>
          <w:color w:val="auto"/>
          <w:sz w:val="24"/>
          <w:szCs w:val="24"/>
          <w:highlight w:val="none"/>
          <w:lang w:eastAsia="zh-CN"/>
        </w:rPr>
        <w:t>广州公共资源交易平台</w:t>
      </w:r>
      <w:r>
        <w:rPr>
          <w:rFonts w:hint="eastAsia" w:ascii="宋体" w:hAnsi="宋体" w:eastAsia="宋体"/>
          <w:color w:val="auto"/>
          <w:sz w:val="24"/>
          <w:szCs w:val="24"/>
          <w:highlight w:val="none"/>
        </w:rPr>
        <w:t>企业库、城市园林绿化企业工程业绩库中该部分信息将被视为</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递交的资格审查资料的一部分，</w:t>
      </w:r>
      <w:r>
        <w:rPr>
          <w:rFonts w:hint="eastAsia" w:ascii="宋体" w:hAnsi="宋体" w:eastAsia="宋体"/>
          <w:bCs/>
          <w:color w:val="auto"/>
          <w:sz w:val="24"/>
          <w:szCs w:val="24"/>
          <w:highlight w:val="none"/>
        </w:rPr>
        <w:t>资格审查文件不需另行提交。</w:t>
      </w:r>
    </w:p>
    <w:p w14:paraId="542F9FF7">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11.2资格审查文件主要包括的内容：</w:t>
      </w:r>
    </w:p>
    <w:p w14:paraId="748B8C8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11.2.1法定代表人证明书，如投标文件为委托代理人签署应同时附上法定代表人证明书和法定代表人授权书；</w:t>
      </w:r>
    </w:p>
    <w:p w14:paraId="777B57D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11.2.2</w:t>
      </w:r>
      <w:r>
        <w:rPr>
          <w:rFonts w:hint="eastAsia" w:ascii="宋体" w:hAnsi="宋体" w:eastAsia="宋体" w:cs="宋体"/>
          <w:bCs/>
          <w:color w:val="auto"/>
          <w:sz w:val="24"/>
          <w:szCs w:val="24"/>
          <w:highlight w:val="none"/>
          <w:u w:val="none"/>
        </w:rPr>
        <w:t>工商行政管理部门核发的营业执照</w:t>
      </w:r>
      <w:r>
        <w:rPr>
          <w:rFonts w:hint="eastAsia" w:ascii="宋体" w:hAnsi="宋体" w:eastAsia="宋体" w:cs="宋体"/>
          <w:bCs/>
          <w:color w:val="auto"/>
          <w:sz w:val="24"/>
          <w:szCs w:val="24"/>
          <w:highlight w:val="none"/>
        </w:rPr>
        <w:t>；</w:t>
      </w:r>
    </w:p>
    <w:p w14:paraId="6D6CF5F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11.2.3项目负责人（按招标公告要求和网上投标登记时选择拟投标的项目负责人）；</w:t>
      </w:r>
    </w:p>
    <w:p w14:paraId="32041701">
      <w:pPr>
        <w:spacing w:line="360" w:lineRule="auto"/>
        <w:ind w:left="420" w:leftChars="200" w:firstLine="0" w:firstLineChars="0"/>
        <w:rPr>
          <w:rFonts w:hint="eastAsia" w:ascii="宋体" w:hAnsi="宋体" w:eastAsia="宋体" w:cs="宋体"/>
          <w:bCs/>
          <w:strike/>
          <w:color w:val="auto"/>
          <w:sz w:val="24"/>
          <w:szCs w:val="24"/>
          <w:highlight w:val="none"/>
        </w:rPr>
      </w:pPr>
      <w:r>
        <w:rPr>
          <w:rFonts w:hint="eastAsia" w:ascii="宋体" w:hAnsi="宋体" w:eastAsia="宋体" w:cs="宋体"/>
          <w:bCs/>
          <w:strike/>
          <w:color w:val="auto"/>
          <w:sz w:val="24"/>
          <w:szCs w:val="24"/>
          <w:highlight w:val="none"/>
        </w:rPr>
        <w:t>11.2.4用于资格审查的业绩（设置业绩要求时选择此项，投标人选择用于资格审查的业绩须用本企业的CA数字证书对生成的内容进行签章）；</w:t>
      </w:r>
    </w:p>
    <w:p w14:paraId="3B6B060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11.2.5专职安全人员须具有在有效期内的安全生产考核合格证书（C类），</w:t>
      </w:r>
      <w:r>
        <w:rPr>
          <w:rFonts w:hint="eastAsia" w:ascii="宋体" w:hAnsi="宋体" w:eastAsia="宋体" w:cs="宋体"/>
          <w:bCs/>
          <w:color w:val="auto"/>
          <w:sz w:val="24"/>
          <w:szCs w:val="24"/>
          <w:highlight w:val="none"/>
          <w:u w:val="single"/>
        </w:rPr>
        <w:t>或建筑施工企业专职安全生产管理人员安全生产考核合格证书（C3类）</w:t>
      </w:r>
      <w:r>
        <w:rPr>
          <w:rFonts w:hint="eastAsia" w:ascii="宋体" w:hAnsi="宋体" w:eastAsia="宋体" w:cs="宋体"/>
          <w:bCs/>
          <w:color w:val="auto"/>
          <w:sz w:val="24"/>
          <w:szCs w:val="24"/>
          <w:highlight w:val="none"/>
        </w:rPr>
        <w:t>；</w:t>
      </w:r>
    </w:p>
    <w:p w14:paraId="7552931A">
      <w:pPr>
        <w:spacing w:line="360" w:lineRule="auto"/>
        <w:ind w:left="420" w:leftChars="200" w:firstLine="0" w:firstLineChars="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11.2.6投标人按照规定的格式及内容要求签署的《投标人声明》（格式见第四章）；</w:t>
      </w:r>
    </w:p>
    <w:p w14:paraId="05D50251">
      <w:pPr>
        <w:spacing w:line="360" w:lineRule="auto"/>
        <w:ind w:left="420" w:leftChars="200" w:firstLine="0" w:firstLineChars="0"/>
        <w:rPr>
          <w:rFonts w:hint="eastAsia" w:ascii="宋体" w:hAnsi="宋体" w:eastAsia="宋体" w:cs="宋体"/>
          <w:bCs/>
          <w:strike/>
          <w:dstrike w:val="0"/>
          <w:color w:val="auto"/>
          <w:sz w:val="24"/>
          <w:szCs w:val="24"/>
          <w:highlight w:val="none"/>
        </w:rPr>
      </w:pPr>
      <w:r>
        <w:rPr>
          <w:rFonts w:hint="eastAsia" w:ascii="宋体" w:hAnsi="宋体" w:eastAsia="宋体" w:cs="宋体"/>
          <w:bCs/>
          <w:strike/>
          <w:dstrike w:val="0"/>
          <w:color w:val="auto"/>
          <w:sz w:val="24"/>
          <w:szCs w:val="24"/>
          <w:highlight w:val="none"/>
        </w:rPr>
        <w:t>11.2.7列明主办单位的联合体工作协议（采用联合体投标时需递交，投标人拟任本工程项目负责人应为联合体主办方企业信息登记中的在册人员，联合体工作协议应明确约定各方拟承担的工作和责任）；</w:t>
      </w:r>
    </w:p>
    <w:p w14:paraId="2010F194">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11.2.</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u w:val="single"/>
        </w:rPr>
        <w:t>投标人不存在《全国失信惩戒措施基础清单》惩戒内容为“在一定期限内依法取消参加依法必须进行招标的项目的投标资格”的情形。（投标人无需提供资料，按资格审查时广州交易集团有限公司（广州公共资源交易中心）交易系统比对的结果进行评审）</w:t>
      </w:r>
    </w:p>
    <w:p w14:paraId="4A3C524E">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11.2.</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u w:val="single"/>
        </w:rPr>
        <w:t>投标人未出现以下情形：与其它投标人的单位负责人为同一人或者存在控股、管理关系的不同单位，不得同时参加本招标项目投标（按照规定的格式及内容要求签署的《投标人声明》格式见第四章）。</w:t>
      </w:r>
    </w:p>
    <w:p w14:paraId="67B03A03">
      <w:pPr>
        <w:spacing w:line="360" w:lineRule="auto"/>
        <w:ind w:firstLine="420" w:firstLineChars="200"/>
        <w:rPr>
          <w:rFonts w:hint="eastAsia" w:ascii="宋体" w:hAnsi="宋体" w:eastAsia="宋体"/>
          <w:color w:val="auto"/>
          <w:kern w:val="0"/>
          <w:sz w:val="24"/>
          <w:szCs w:val="24"/>
          <w:highlight w:val="none"/>
          <w:u w:val="single"/>
          <w:lang w:val="en-US" w:eastAsia="zh-CN"/>
        </w:rPr>
      </w:pPr>
      <w:r>
        <w:rPr>
          <w:rFonts w:hint="eastAsia" w:ascii="宋体" w:hAnsi="宋体" w:eastAsia="宋体" w:cs="宋体"/>
          <w:bCs/>
          <w:color w:val="auto"/>
          <w:szCs w:val="21"/>
          <w:highlight w:val="none"/>
        </w:rPr>
        <w:t>11.2.</w:t>
      </w:r>
      <w:r>
        <w:rPr>
          <w:rFonts w:hint="eastAsia" w:ascii="宋体" w:hAnsi="宋体" w:eastAsia="宋体" w:cs="宋体"/>
          <w:bCs/>
          <w:color w:val="auto"/>
          <w:szCs w:val="21"/>
          <w:highlight w:val="none"/>
          <w:lang w:val="en-US" w:eastAsia="zh-CN"/>
        </w:rPr>
        <w:t>10</w:t>
      </w:r>
      <w:r>
        <w:rPr>
          <w:rFonts w:hint="eastAsia" w:ascii="宋体" w:hAnsi="宋体" w:eastAsia="宋体"/>
          <w:color w:val="auto"/>
          <w:kern w:val="0"/>
          <w:sz w:val="24"/>
          <w:szCs w:val="24"/>
          <w:highlight w:val="none"/>
          <w:u w:val="single"/>
          <w:lang w:val="en-US" w:eastAsia="zh-CN"/>
        </w:rPr>
        <w:t>本项目属于专门面向中小企业，承建工程的企业须为中小微企业或监狱企业或残疾人福利性单位。关于落实中小企业政策的说明:如投标人符合中小企业政策扶持的，应填写《中小企业声明函》(工程)(见招标文件第四章投标文件格式)作为判定标准，《中小企业声明函》中“招标文件中明确的所属行业”，是指农、林、牧、渔业。残疾人福利性单位填写《残疾人福利性单位声明函》(见招标文件第四章投标文件格式)作为判定标准，监狱企业须投标人提供由省级以上监狱管理局、戒毒管理局(含新疆生产建设兵团)出具的属于监狱企业的证明文件，否则不予认定。监狱企业、残疾人福利单位视同小型、微型企业。(填写《中小企业声明函》时，关于中小企业划型标准请见《工信部联企业(2011)300号》:</w:t>
      </w:r>
    </w:p>
    <w:p w14:paraId="35A54A62">
      <w:pPr>
        <w:spacing w:line="360" w:lineRule="auto"/>
        <w:ind w:firstLine="0" w:firstLineChars="0"/>
        <w:rPr>
          <w:rFonts w:hint="eastAsia" w:ascii="宋体" w:hAnsi="宋体" w:eastAsia="宋体" w:cs="宋体"/>
          <w:bCs/>
          <w:color w:val="auto"/>
          <w:sz w:val="24"/>
          <w:szCs w:val="24"/>
          <w:highlight w:val="none"/>
          <w:u w:val="single"/>
        </w:rPr>
      </w:pPr>
      <w:r>
        <w:rPr>
          <w:rFonts w:hint="eastAsia" w:ascii="宋体" w:hAnsi="宋体" w:eastAsia="宋体"/>
          <w:color w:val="auto"/>
          <w:kern w:val="0"/>
          <w:sz w:val="24"/>
          <w:szCs w:val="24"/>
          <w:highlight w:val="none"/>
          <w:u w:val="single"/>
          <w:lang w:val="en-US" w:eastAsia="zh-CN"/>
        </w:rPr>
        <w:t>https://www.gov.cn/gongbao/content/2012/content_2041870.htm)。</w:t>
      </w:r>
    </w:p>
    <w:p w14:paraId="4875689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注：资格审查内容的11.2.2至11.2.5项（除</w:t>
      </w:r>
      <w:r>
        <w:rPr>
          <w:rFonts w:hint="eastAsia" w:ascii="宋体" w:hAnsi="宋体" w:eastAsia="宋体" w:cs="宋体"/>
          <w:color w:val="auto"/>
          <w:sz w:val="24"/>
          <w:szCs w:val="24"/>
          <w:highlight w:val="none"/>
        </w:rPr>
        <w:t>广东省</w:t>
      </w:r>
      <w:r>
        <w:rPr>
          <w:rFonts w:hint="eastAsia" w:ascii="宋体" w:hAnsi="宋体" w:eastAsia="宋体" w:cs="宋体"/>
          <w:bCs/>
          <w:color w:val="auto"/>
          <w:sz w:val="24"/>
          <w:szCs w:val="24"/>
          <w:highlight w:val="none"/>
        </w:rPr>
        <w:t>建筑施工企业管理人员安全生产考核信息系统安全生产管理人员证书信息的打印页、《信息公开证明》打印页外）的资料取自</w:t>
      </w:r>
      <w:r>
        <w:rPr>
          <w:rFonts w:hint="eastAsia" w:ascii="宋体" w:hAnsi="宋体" w:eastAsia="宋体"/>
          <w:color w:val="auto"/>
          <w:kern w:val="0"/>
          <w:sz w:val="24"/>
          <w:szCs w:val="24"/>
          <w:highlight w:val="none"/>
          <w:u w:val="single"/>
          <w:lang w:val="en-US" w:eastAsia="zh-CN"/>
        </w:rPr>
        <w:t>投标人在广州交易集团有限公司（广州公共资源交易中心）平台企业库、园林绿化企业工程业绩库登记的信息，广州交易集团有限公司（广州公共资源交易中心）平台企业库、园林绿化企业工程业绩库中该部分信息将被视为投标人递交资格审查资料的一部分。评标委员会对该部分资料的审查将以递交投标文件截止时，广州交易集团有限公司（广州公共资源交易中心）平台企业库、园林绿化企业工程业绩库记录的信息为依据。投标人应及时维护其在广州交易集团有限公司（广州公共资源交易中心）平台企业库、城市园林绿化企业工程业绩库的信息，确保各项信息在有效期内</w:t>
      </w:r>
      <w:r>
        <w:rPr>
          <w:rFonts w:hint="eastAsia" w:ascii="宋体" w:hAnsi="宋体" w:eastAsia="宋体" w:cs="宋体"/>
          <w:bCs/>
          <w:color w:val="auto"/>
          <w:sz w:val="24"/>
          <w:szCs w:val="24"/>
          <w:highlight w:val="none"/>
        </w:rPr>
        <w:t>，资格审查文件不需另行提交。</w:t>
      </w:r>
    </w:p>
    <w:p w14:paraId="3996C155">
      <w:pPr>
        <w:pBdr>
          <w:top w:val="single" w:color="auto" w:sz="4" w:space="0"/>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条款号：11.4.5            修改类型：修改</w:t>
      </w:r>
    </w:p>
    <w:p w14:paraId="2B851780">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11.4.5项目管理机构能力（办法二可选）；</w:t>
      </w:r>
    </w:p>
    <w:p w14:paraId="1AC93BE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（1）投标人应列出本工程的施工组织机构构成和画出机构框架图及其负责人；</w:t>
      </w:r>
    </w:p>
    <w:p w14:paraId="4E8E83D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（2）投标人应详细列出本工程组织机构中主要成员的名单、简历资料、职务职称和在本项目中拟担任的职务等资料，并附上有关证明材料复印件；</w:t>
      </w:r>
    </w:p>
    <w:p w14:paraId="5266866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（3）项目负责人能力、企业技术力量配备情况</w:t>
      </w:r>
    </w:p>
    <w:p w14:paraId="2A6F9A1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（4）其他辅助说明资料。</w:t>
      </w:r>
    </w:p>
    <w:p w14:paraId="4C94B7B3">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11.4.5项目管理机构能力（办法</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可选）；</w:t>
      </w:r>
    </w:p>
    <w:p w14:paraId="5022E47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（1）投标人应列出本工程的施工组织机构构成和画出机构框架图及其负责人；</w:t>
      </w:r>
    </w:p>
    <w:p w14:paraId="51EE4D9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（2）投标人应详细列出本工程组织机构中主要成员的名单、简历资料、职务职称和在本项目中拟担任的职务等资料，并附上有关证明材料</w:t>
      </w:r>
      <w:r>
        <w:rPr>
          <w:rFonts w:hint="eastAsia" w:ascii="宋体" w:hAnsi="宋体" w:eastAsia="宋体" w:cs="宋体"/>
          <w:bCs/>
          <w:color w:val="auto"/>
          <w:sz w:val="24"/>
          <w:szCs w:val="24"/>
          <w:highlight w:val="none"/>
          <w:u w:val="single"/>
        </w:rPr>
        <w:t>原件扫描件（</w:t>
      </w:r>
      <w:r>
        <w:rPr>
          <w:rFonts w:hint="eastAsia" w:ascii="宋体" w:hAnsi="宋体" w:eastAsia="宋体" w:cs="宋体"/>
          <w:color w:val="auto"/>
          <w:sz w:val="24"/>
          <w:szCs w:val="24"/>
          <w:highlight w:val="none"/>
          <w:u w:val="single"/>
        </w:rPr>
        <w:t>招标文件有规定格式的，需按招标文件格式提供，无格式要求的，格式自拟</w:t>
      </w:r>
      <w:r>
        <w:rPr>
          <w:rFonts w:hint="eastAsia" w:ascii="宋体" w:hAnsi="宋体" w:eastAsia="宋体" w:cs="宋体"/>
          <w:bCs/>
          <w:color w:val="auto"/>
          <w:sz w:val="24"/>
          <w:szCs w:val="24"/>
          <w:highlight w:val="none"/>
        </w:rPr>
        <w:t>）；</w:t>
      </w:r>
    </w:p>
    <w:p w14:paraId="55DB0CF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（3）项目负责人能力、企业技术力量配备情况</w:t>
      </w:r>
    </w:p>
    <w:p w14:paraId="2F369318">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（4）其他辅助说明资料。</w:t>
      </w:r>
    </w:p>
    <w:p w14:paraId="2DF7E760">
      <w:pPr>
        <w:pBdr>
          <w:top w:val="single" w:color="auto" w:sz="4" w:space="0"/>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条款号：11.4.7             修改类型：修改</w:t>
      </w:r>
    </w:p>
    <w:p w14:paraId="33EBB36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11.4.7企业施工经验（投标人选择用于评标的业绩须用本企业的CA数字证书对生成的内容进行签章。业绩资料取自投标人在</w:t>
      </w:r>
      <w:r>
        <w:rPr>
          <w:rFonts w:hint="eastAsia" w:ascii="宋体" w:hAnsi="宋体" w:eastAsia="宋体" w:cs="宋体"/>
          <w:color w:val="auto"/>
          <w:sz w:val="24"/>
          <w:szCs w:val="24"/>
          <w:highlight w:val="none"/>
        </w:rPr>
        <w:t>广州交易集团有限公司（广州公共资源交易中心）城市园林绿化企业工程业绩库中的资料，</w:t>
      </w:r>
      <w:r>
        <w:rPr>
          <w:rFonts w:hint="eastAsia" w:ascii="宋体" w:hAnsi="宋体" w:eastAsia="宋体" w:cs="宋体"/>
          <w:bCs/>
          <w:color w:val="auto"/>
          <w:sz w:val="24"/>
          <w:szCs w:val="24"/>
          <w:highlight w:val="none"/>
        </w:rPr>
        <w:t>在</w:t>
      </w:r>
      <w:r>
        <w:rPr>
          <w:rFonts w:hint="eastAsia" w:ascii="宋体" w:hAnsi="宋体" w:eastAsia="宋体" w:cs="宋体"/>
          <w:color w:val="auto"/>
          <w:sz w:val="24"/>
          <w:szCs w:val="24"/>
          <w:highlight w:val="none"/>
        </w:rPr>
        <w:t>广州交易集团有限公司（广州公共资源交易中心）城市园林绿化企业工程业绩库记录的该部分资料将被视为投标人递交的投标资料的一部分，投标资料不需另行提交。</w:t>
      </w:r>
      <w:r>
        <w:rPr>
          <w:rFonts w:hint="eastAsia" w:ascii="宋体" w:hAnsi="宋体" w:eastAsia="宋体" w:cs="宋体"/>
          <w:bCs/>
          <w:color w:val="auto"/>
          <w:sz w:val="24"/>
          <w:szCs w:val="24"/>
          <w:highlight w:val="none"/>
        </w:rPr>
        <w:t>）</w:t>
      </w:r>
    </w:p>
    <w:p w14:paraId="1E6468EF">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u w:val="single"/>
        </w:rPr>
        <w:t>11.4.7企业施工经验（投标人选择用于评标的业绩须用本企业的CA数字证书对生成的内容进行签章。业绩资料取自投标人在</w:t>
      </w:r>
      <w:r>
        <w:rPr>
          <w:rFonts w:hint="eastAsia" w:ascii="宋体" w:hAnsi="宋体" w:eastAsia="宋体"/>
          <w:color w:val="auto"/>
          <w:sz w:val="24"/>
          <w:szCs w:val="24"/>
          <w:highlight w:val="none"/>
          <w:u w:val="single"/>
          <w:lang w:eastAsia="zh-CN"/>
        </w:rPr>
        <w:t>广州公共资源交易平台</w:t>
      </w:r>
      <w:r>
        <w:rPr>
          <w:rFonts w:hint="eastAsia" w:ascii="宋体" w:hAnsi="宋体" w:eastAsia="宋体" w:cs="宋体"/>
          <w:bCs/>
          <w:color w:val="auto"/>
          <w:sz w:val="24"/>
          <w:szCs w:val="24"/>
          <w:highlight w:val="none"/>
          <w:u w:val="single"/>
        </w:rPr>
        <w:t>城市园林绿化企业工程业绩库中的资料，在</w:t>
      </w:r>
      <w:r>
        <w:rPr>
          <w:rFonts w:hint="eastAsia" w:ascii="宋体" w:hAnsi="宋体" w:eastAsia="宋体"/>
          <w:color w:val="auto"/>
          <w:sz w:val="24"/>
          <w:szCs w:val="24"/>
          <w:highlight w:val="none"/>
          <w:u w:val="single"/>
          <w:lang w:eastAsia="zh-CN"/>
        </w:rPr>
        <w:t>广州公共资源交易平台</w:t>
      </w:r>
      <w:r>
        <w:rPr>
          <w:rFonts w:hint="eastAsia" w:ascii="宋体" w:hAnsi="宋体" w:eastAsia="宋体" w:cs="宋体"/>
          <w:bCs/>
          <w:color w:val="auto"/>
          <w:sz w:val="24"/>
          <w:szCs w:val="24"/>
          <w:highlight w:val="none"/>
          <w:u w:val="single"/>
        </w:rPr>
        <w:t>城市园林绿化企业工程业绩库记录的该部分资料将被视为投标人递交的投标资料的一部分，业绩证明资料具体以附件13《技术部分（项目实施能力）审查评分表》）上的要求为准。</w:t>
      </w:r>
    </w:p>
    <w:p w14:paraId="6FD56EF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条款号：11.4.8                 修改类型：修改</w:t>
      </w:r>
    </w:p>
    <w:p w14:paraId="43B103E5">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11.4.8其他评审内容（办法二可选）；</w:t>
      </w:r>
    </w:p>
    <w:p w14:paraId="59CE4F93">
      <w:pPr>
        <w:pBdr>
          <w:bottom w:val="single" w:color="auto" w:sz="4" w:space="0"/>
        </w:pBdr>
        <w:tabs>
          <w:tab w:val="left" w:pos="1125"/>
        </w:tabs>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11.4.8其他评审内容，</w:t>
      </w:r>
      <w:r>
        <w:rPr>
          <w:rFonts w:hint="eastAsia" w:ascii="宋体" w:hAnsi="宋体" w:eastAsia="宋体" w:cs="宋体"/>
          <w:color w:val="auto"/>
          <w:sz w:val="24"/>
          <w:szCs w:val="24"/>
          <w:highlight w:val="none"/>
          <w:u w:val="single"/>
        </w:rPr>
        <w:t>具体以附件13《技术部分（项目实施能力）审查评分表》）上的要求提资料；</w:t>
      </w:r>
    </w:p>
    <w:p w14:paraId="0B10827B">
      <w:pPr>
        <w:tabs>
          <w:tab w:val="left" w:pos="112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条款号：11.4.13                修改类型：修改</w:t>
      </w:r>
    </w:p>
    <w:p w14:paraId="7BD6A219">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 xml:space="preserve">11.4.13招标文件要求的其他内容。 </w:t>
      </w:r>
    </w:p>
    <w:p w14:paraId="435A2DB5">
      <w:pPr>
        <w:pBdr>
          <w:bottom w:val="single" w:color="auto" w:sz="4" w:space="0"/>
        </w:pBd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u w:val="single"/>
        </w:rPr>
        <w:t>11.4.13招标文件要求的其他内容及投标人认为技术经济部分详细审查所需的其他证明资料。</w:t>
      </w:r>
    </w:p>
    <w:p w14:paraId="50FF2EE6">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11.5</w:t>
      </w:r>
      <w:r>
        <w:rPr>
          <w:rFonts w:hint="eastAsia" w:ascii="宋体" w:hAnsi="宋体" w:eastAsia="宋体" w:cs="宋体"/>
          <w:b/>
          <w:color w:val="auto"/>
          <w:sz w:val="24"/>
          <w:szCs w:val="24"/>
          <w:highlight w:val="none"/>
        </w:rPr>
        <w:t xml:space="preserve">           修改类型：修改</w:t>
      </w:r>
    </w:p>
    <w:p w14:paraId="7DF8BCA8">
      <w:pPr>
        <w:tabs>
          <w:tab w:val="left" w:pos="1125"/>
        </w:tabs>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原文：</w:t>
      </w:r>
      <w:r>
        <w:rPr>
          <w:rFonts w:hint="eastAsia" w:ascii="宋体" w:hAnsi="宋体" w:eastAsia="宋体" w:cs="宋体"/>
          <w:color w:val="auto"/>
          <w:kern w:val="0"/>
          <w:sz w:val="24"/>
          <w:szCs w:val="24"/>
          <w:highlight w:val="none"/>
          <w:lang w:val="en-US" w:eastAsia="zh-CN" w:bidi="ar-SA"/>
        </w:rPr>
        <w:t>11.5工程量清单的组成、编制、计价、格式、项目编码、项目名称、工程内容、计量单位和工程量计算规则按照招标人给出的工程量清单及国家、省有关计价规范执行。</w:t>
      </w:r>
    </w:p>
    <w:p w14:paraId="5D95D3D2">
      <w:pPr>
        <w:pStyle w:val="14"/>
        <w:pBdr>
          <w:bottom w:val="single" w:color="auto" w:sz="4" w:space="0"/>
        </w:pBdr>
        <w:spacing w:line="360" w:lineRule="auto"/>
        <w:ind w:firstLine="482" w:firstLineChars="200"/>
        <w:rPr>
          <w:rFonts w:hint="eastAsia" w:ascii="宋体" w:hAnsi="宋体" w:eastAsia="宋体" w:cs="宋体"/>
          <w:color w:val="auto"/>
          <w:kern w:val="0"/>
          <w:sz w:val="24"/>
          <w:szCs w:val="24"/>
          <w:highlight w:val="none"/>
          <w:u w:val="single"/>
        </w:rPr>
      </w:pPr>
      <w:r>
        <w:rPr>
          <w:rFonts w:hint="eastAsia" w:ascii="宋体" w:hAnsi="宋体" w:eastAsia="宋体" w:cs="宋体"/>
          <w:b/>
          <w:bCs/>
          <w:color w:val="auto"/>
          <w:kern w:val="0"/>
          <w:sz w:val="24"/>
          <w:szCs w:val="24"/>
          <w:highlight w:val="none"/>
          <w:lang w:val="en-US" w:eastAsia="zh-CN"/>
        </w:rPr>
        <w:t>现文：</w:t>
      </w:r>
      <w:r>
        <w:rPr>
          <w:rFonts w:hint="eastAsia" w:ascii="宋体" w:hAnsi="宋体" w:eastAsia="宋体" w:cs="宋体"/>
          <w:color w:val="auto"/>
          <w:kern w:val="0"/>
          <w:sz w:val="24"/>
          <w:szCs w:val="24"/>
          <w:highlight w:val="none"/>
        </w:rPr>
        <w:t>11.5工程量清单的组成、编制、计价、格式、项目编码、项目名称、工程内容、计量单位和工程量计算规则按照招标人给出的工程量清单</w:t>
      </w:r>
      <w:r>
        <w:rPr>
          <w:rFonts w:hint="eastAsia" w:ascii="宋体" w:hAnsi="宋体" w:eastAsia="宋体" w:cs="宋体"/>
          <w:color w:val="auto"/>
          <w:kern w:val="0"/>
          <w:sz w:val="24"/>
          <w:szCs w:val="24"/>
          <w:highlight w:val="none"/>
          <w:u w:val="single"/>
        </w:rPr>
        <w:t>及现行的中华人民共和国国家标准《建设工程工程量清单计价规范》及广东省相关定额及清单规范执行。</w:t>
      </w:r>
    </w:p>
    <w:p w14:paraId="377EEFFA">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13.3</w:t>
      </w:r>
      <w:r>
        <w:rPr>
          <w:rFonts w:hint="eastAsia" w:ascii="宋体" w:hAnsi="宋体" w:eastAsia="宋体" w:cs="宋体"/>
          <w:b/>
          <w:color w:val="auto"/>
          <w:sz w:val="24"/>
          <w:szCs w:val="24"/>
          <w:highlight w:val="none"/>
        </w:rPr>
        <w:t xml:space="preserve">           修改类型：修改</w:t>
      </w:r>
    </w:p>
    <w:p w14:paraId="208C48DC">
      <w:pPr>
        <w:pStyle w:val="14"/>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kern w:val="0"/>
          <w:sz w:val="24"/>
          <w:szCs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等非竞争性项目明列了单价或合价金额的，投标人应按照明列的单价或合价金额报价，未按照规定金额报价的，由评标委员会按照招标文件规定的金额进行修正。</w:t>
      </w:r>
    </w:p>
    <w:p w14:paraId="114C5EAB">
      <w:pPr>
        <w:pStyle w:val="14"/>
        <w:pBdr>
          <w:bottom w:val="single" w:color="auto" w:sz="4" w:space="0"/>
        </w:pBdr>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kern w:val="0"/>
          <w:sz w:val="24"/>
          <w:szCs w:val="24"/>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eastAsia="宋体" w:cs="宋体"/>
          <w:color w:val="auto"/>
          <w:sz w:val="24"/>
          <w:szCs w:val="24"/>
          <w:highlight w:val="none"/>
          <w:u w:val="single"/>
        </w:rPr>
        <w:t>提供的招标图纸（包括有关于本项目招标的相关资料）及</w:t>
      </w:r>
      <w:r>
        <w:rPr>
          <w:rFonts w:hint="eastAsia" w:ascii="宋体" w:hAnsi="宋体" w:eastAsia="宋体" w:cs="宋体"/>
          <w:color w:val="auto"/>
          <w:kern w:val="0"/>
          <w:sz w:val="24"/>
          <w:szCs w:val="24"/>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等非竞争性项目明列了单价或合价金额的，投标人应按照明列的单价或合价金额报价，未按照规定金额报价的，由评标委员会按照招标文件规定的金额进行修正。</w:t>
      </w:r>
    </w:p>
    <w:p w14:paraId="716A454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 13.6.2           修改类型：修改</w:t>
      </w:r>
    </w:p>
    <w:p w14:paraId="3D7FE6A4">
      <w:pPr>
        <w:pStyle w:val="14"/>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kern w:val="0"/>
          <w:sz w:val="24"/>
          <w:szCs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4A8F2368">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kern w:val="0"/>
          <w:sz w:val="24"/>
          <w:szCs w:val="24"/>
          <w:highlight w:val="none"/>
        </w:rPr>
        <w:t>13.6.2在工程实施中，暂列金额、暂估价所包含的工作范围和图纸、标准深化固定后，按照工程专业、设备、材料类别等分类汇总的金额，达到法定招标范围标准的，应由</w:t>
      </w:r>
      <w:r>
        <w:rPr>
          <w:rFonts w:hint="eastAsia" w:ascii="宋体" w:hAnsi="宋体" w:eastAsia="宋体" w:cs="宋体"/>
          <w:color w:val="auto"/>
          <w:kern w:val="0"/>
          <w:sz w:val="24"/>
          <w:szCs w:val="24"/>
          <w:highlight w:val="none"/>
          <w:u w:val="single"/>
        </w:rPr>
        <w:t>招标人招标确定承包人和承包价格。</w:t>
      </w:r>
    </w:p>
    <w:p w14:paraId="34D2073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 13.6.4            修改类型：修改</w:t>
      </w:r>
    </w:p>
    <w:p w14:paraId="25E8C9A7">
      <w:pPr>
        <w:pStyle w:val="14"/>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73149DD4">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eastAsia="宋体" w:cs="宋体"/>
          <w:color w:val="auto"/>
          <w:sz w:val="24"/>
          <w:szCs w:val="24"/>
          <w:highlight w:val="none"/>
          <w:u w:val="single"/>
        </w:rPr>
        <w:t>经发包人同意，</w:t>
      </w:r>
      <w:r>
        <w:rPr>
          <w:rFonts w:hint="eastAsia" w:ascii="宋体" w:hAnsi="宋体" w:eastAsia="宋体" w:cs="宋体"/>
          <w:color w:val="auto"/>
          <w:sz w:val="24"/>
          <w:szCs w:val="24"/>
          <w:highlight w:val="none"/>
        </w:rPr>
        <w:t>承包人有法定的承包资格的，由承包人承包，承包人无法定的承包资格但有法定的分包权的，由承包人分包，招标人同承包人结算的价格按本投标须知13.5款规定确定。</w:t>
      </w:r>
    </w:p>
    <w:p w14:paraId="764AE81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条款号：15.2         修改类型：修改</w:t>
      </w:r>
    </w:p>
    <w:p w14:paraId="5FECD477">
      <w:pPr>
        <w:pStyle w:val="14"/>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而投标保证金应当予以退还。同意延长投标有效期的投标人既不能要求也不允许修改其投标文件，但需要相应的延长投标保证金的有效期，在延长的投标有效期内，本须知第16条关于投标保证金的退还与否的规定仍然适用。</w:t>
      </w:r>
    </w:p>
    <w:p w14:paraId="56805E9E">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14:paraId="08F5D9F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 16.           修改类型：修改</w:t>
      </w:r>
    </w:p>
    <w:p w14:paraId="67CA8560">
      <w:pPr>
        <w:pStyle w:val="14"/>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16．投标保证金</w:t>
      </w:r>
    </w:p>
    <w:p w14:paraId="73DB7B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16.1投标人应按投标须知前附表第14项所述金额和时间递交</w:t>
      </w:r>
      <w:r>
        <w:rPr>
          <w:rFonts w:hint="eastAsia" w:ascii="宋体" w:hAnsi="宋体" w:eastAsia="宋体" w:cs="宋体"/>
          <w:bCs/>
          <w:color w:val="auto"/>
          <w:sz w:val="24"/>
          <w:szCs w:val="24"/>
          <w:highlight w:val="none"/>
        </w:rPr>
        <w:t>投标保证金</w:t>
      </w:r>
      <w:r>
        <w:rPr>
          <w:rFonts w:hint="eastAsia" w:ascii="宋体" w:hAnsi="宋体" w:eastAsia="宋体" w:cs="宋体"/>
          <w:color w:val="auto"/>
          <w:sz w:val="24"/>
          <w:szCs w:val="24"/>
          <w:highlight w:val="none"/>
        </w:rPr>
        <w:t>。招标人可委托广州交易集团有限公司（广州公共资源交易中心）具体实施保证金的收取和退还工作，并按照《广东省实施&lt;中华人民共和国招标投标法&gt;办法》第二十五条规定，按期退回投标保证金。</w:t>
      </w:r>
    </w:p>
    <w:p w14:paraId="26C6F1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16.2所有投标保证金必须由投标人的银行基本账户转出。</w:t>
      </w:r>
    </w:p>
    <w:p w14:paraId="4FE8C1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如采用转帐、现金、支票、汇票形式提交的，可委托广州交易集团有限公司（广州公共资源交易中心）代收投标保证金，其缴纳情况以广州交易集团有限公司（广州公共资源交易中心）数据库记录的信息为准。</w:t>
      </w:r>
    </w:p>
    <w:p w14:paraId="094418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16.4缴费的操作详见广州交易集团有限公司（广州公共资源交易中心）公布的《广州交易集团有限公司（广州公共资源交易中心）投标项目保证金操作指引》。</w:t>
      </w:r>
    </w:p>
    <w:p w14:paraId="6FC415C1">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16.5投标人未按要求递交投标保证金的，其投标文件将被否决，且不能参与电脑随机排序、资格审查和评标。如采用保函或保险等形式提交的，银行保函需开具给招标人，银行保函有效期不少于投标有效期。保证保险需开具给招标人（受益人必须是招标人），保证保险有效期不少于投标有效期。须在投标截止时间前15分钟将凭证原件单独密封递交至开标室。</w:t>
      </w:r>
    </w:p>
    <w:p w14:paraId="05CC054F">
      <w:pPr>
        <w:pBdr>
          <w:bottom w:val="single" w:color="auto" w:sz="4" w:space="0"/>
        </w:pBdr>
        <w:spacing w:line="360" w:lineRule="auto"/>
        <w:ind w:firstLine="422"/>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u w:val="single"/>
        </w:rPr>
        <w:t>不要求投标人递交投标保证金。</w:t>
      </w:r>
    </w:p>
    <w:p w14:paraId="3BB095CA">
      <w:pPr>
        <w:spacing w:line="360" w:lineRule="auto"/>
        <w:ind w:firstLine="482" w:firstLineChars="200"/>
        <w:rPr>
          <w:rFonts w:hint="eastAsia" w:ascii="宋体" w:hAnsi="宋体" w:eastAsia="宋体" w:cs="宋体"/>
          <w:b/>
          <w:color w:val="auto"/>
          <w:sz w:val="24"/>
          <w:szCs w:val="24"/>
          <w:highlight w:val="none"/>
        </w:rPr>
      </w:pPr>
      <w:bookmarkStart w:id="38" w:name="_三、投标须知通用条款"/>
      <w:bookmarkEnd w:id="38"/>
      <w:r>
        <w:rPr>
          <w:rFonts w:hint="eastAsia" w:ascii="宋体" w:hAnsi="宋体" w:eastAsia="宋体" w:cs="宋体"/>
          <w:b/>
          <w:color w:val="auto"/>
          <w:sz w:val="24"/>
          <w:szCs w:val="24"/>
          <w:highlight w:val="none"/>
        </w:rPr>
        <w:t>条款号：22.4              修改类型：修改</w:t>
      </w:r>
    </w:p>
    <w:p w14:paraId="38229595">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22.4在递交投标文件截止时间后，投标人在投标文件格式中规定的有效期终止日前，投标人不能撤回投标文件，否则其投标保证金将不予退还，且招标人有权就其撤回行为报告政府主管部门载入不良信用记录。</w:t>
      </w:r>
    </w:p>
    <w:p w14:paraId="6630FB2A">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22.4在递交投标文件截止时间后，投标人在投标文件格式中规定的有效期终止日前，投标人不能撤回投标文件，且招标人有权就其撤回行为报告政府主管部门载入不良信用记录。</w:t>
      </w:r>
    </w:p>
    <w:p w14:paraId="4B057A7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条款号：25.1              修改类型：修改</w:t>
      </w:r>
    </w:p>
    <w:p w14:paraId="0522A880">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25.1递交投标文件截止时间到达后的1小时内为投标人对其电子投标文件的解密时间，投标人须在规定的解密时间内使用制作该投标文件的机构业务数字证书对投标文件进行解密，逾期未解密的投标文件将被否决。</w:t>
      </w:r>
    </w:p>
    <w:p w14:paraId="2C6F2F78">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25.1递交投标文件截止时间到达后的</w:t>
      </w:r>
      <w:r>
        <w:rPr>
          <w:rFonts w:hint="eastAsia" w:ascii="宋体" w:hAnsi="宋体" w:eastAsia="宋体" w:cs="宋体"/>
          <w:color w:val="auto"/>
          <w:sz w:val="24"/>
          <w:szCs w:val="24"/>
          <w:highlight w:val="none"/>
          <w:u w:val="single"/>
        </w:rPr>
        <w:t>0.5</w:t>
      </w:r>
      <w:r>
        <w:rPr>
          <w:rFonts w:hint="eastAsia" w:ascii="宋体" w:hAnsi="宋体" w:eastAsia="宋体" w:cs="宋体"/>
          <w:color w:val="auto"/>
          <w:sz w:val="24"/>
          <w:szCs w:val="24"/>
          <w:highlight w:val="none"/>
        </w:rPr>
        <w:t>小时内为投标人对其电子投标文件的解密时间，投标人须在规定的解密时间内使用制作该投标文件的机构业务数字证书对投标文件进行解密，逾期未解密的投标文件将被否决。</w:t>
      </w:r>
    </w:p>
    <w:p w14:paraId="6DDD7BB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条款号：31.2             修改类型：修改</w:t>
      </w:r>
    </w:p>
    <w:p w14:paraId="57FB9F98">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31.2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CC56752">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31.2中标通知书发出之日起30日后，中标人未按上款的规定与招标人订立合同，招标人将解除中标通知书，且依法承担相应法律责任。</w:t>
      </w:r>
      <w:r>
        <w:rPr>
          <w:rFonts w:hint="eastAsia" w:ascii="宋体" w:hAnsi="宋体" w:eastAsia="宋体" w:cs="宋体"/>
          <w:color w:val="auto"/>
          <w:sz w:val="24"/>
          <w:szCs w:val="24"/>
          <w:highlight w:val="none"/>
          <w:u w:val="single"/>
        </w:rPr>
        <w:t>原中标人给招标人造成的损失还应当对予以赔偿。</w:t>
      </w:r>
      <w:r>
        <w:rPr>
          <w:rFonts w:hint="eastAsia" w:ascii="宋体" w:hAnsi="宋体" w:eastAsia="宋体" w:cs="宋体"/>
          <w:color w:val="auto"/>
          <w:sz w:val="24"/>
          <w:szCs w:val="24"/>
          <w:highlight w:val="none"/>
        </w:rPr>
        <w:t>原中标人有异议的，可以向人民法院起诉。</w:t>
      </w:r>
    </w:p>
    <w:p w14:paraId="09C6F4C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条款号：32.1             修改类型：修改</w:t>
      </w:r>
    </w:p>
    <w:p w14:paraId="624FE6FD">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32.1 在收到中标通知书后的15日内，中标人应按本须知前附表第27项的规定向招标人递交履约担保；如果中标人的履约担保是以金融机构保函或保证保险的形式提供，则该金融机构或保险公司的注册地址须是在中国大陆境内。金融机构保函或保证保险均需开具给招标人（受益人必须是招标人）。</w:t>
      </w:r>
    </w:p>
    <w:p w14:paraId="499F00E1">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 xml:space="preserve">32.1 </w:t>
      </w:r>
      <w:r>
        <w:rPr>
          <w:rFonts w:hint="eastAsia" w:ascii="宋体" w:hAnsi="宋体" w:eastAsia="宋体" w:cs="宋体"/>
          <w:color w:val="auto"/>
          <w:sz w:val="24"/>
          <w:szCs w:val="24"/>
          <w:highlight w:val="none"/>
          <w:u w:val="single"/>
        </w:rPr>
        <w:t>合同正式签订之日后的30日内，</w:t>
      </w:r>
      <w:r>
        <w:rPr>
          <w:rFonts w:hint="eastAsia" w:ascii="宋体" w:hAnsi="宋体" w:eastAsia="宋体" w:cs="宋体"/>
          <w:color w:val="auto"/>
          <w:sz w:val="24"/>
          <w:szCs w:val="24"/>
          <w:highlight w:val="none"/>
        </w:rPr>
        <w:t>中标人应按本须知前附表第27项的规定向招标人递交履约担保；如果中标人的履约担保是以</w:t>
      </w:r>
      <w:r>
        <w:rPr>
          <w:rFonts w:hint="eastAsia" w:ascii="宋体" w:hAnsi="宋体" w:eastAsia="宋体" w:cs="宋体"/>
          <w:color w:val="auto"/>
          <w:sz w:val="24"/>
          <w:szCs w:val="24"/>
          <w:highlight w:val="none"/>
          <w:u w:val="single"/>
        </w:rPr>
        <w:t>银行保函的形式提供，则该银行保函应由在中国注册且营业地点在广州行政辖区内的银行开具。</w:t>
      </w:r>
    </w:p>
    <w:p w14:paraId="051EDFD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条款号：32.2             修改类型：修改</w:t>
      </w:r>
    </w:p>
    <w:p w14:paraId="02571D51">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32.2中标通知书发出之日起15日后，中标人未按上款的规定递交履约担保，招标人将解除中标通知书，</w:t>
      </w:r>
      <w:r>
        <w:rPr>
          <w:rFonts w:hint="eastAsia" w:ascii="宋体" w:hAnsi="宋体" w:eastAsia="宋体" w:cs="宋体"/>
          <w:color w:val="auto"/>
          <w:sz w:val="24"/>
          <w:szCs w:val="24"/>
          <w:highlight w:val="none"/>
          <w:u w:val="single"/>
        </w:rPr>
        <w:t>原中标人的投标保证金不予退还</w:t>
      </w:r>
      <w:r>
        <w:rPr>
          <w:rFonts w:hint="eastAsia" w:ascii="宋体" w:hAnsi="宋体" w:eastAsia="宋体" w:cs="宋体"/>
          <w:color w:val="auto"/>
          <w:sz w:val="24"/>
          <w:szCs w:val="24"/>
          <w:highlight w:val="none"/>
        </w:rPr>
        <w:t>，且依法承担相应法律责任。</w:t>
      </w:r>
      <w:r>
        <w:rPr>
          <w:rFonts w:hint="eastAsia" w:ascii="宋体" w:hAnsi="宋体" w:eastAsia="宋体" w:cs="宋体"/>
          <w:color w:val="auto"/>
          <w:sz w:val="24"/>
          <w:szCs w:val="24"/>
          <w:highlight w:val="none"/>
          <w:u w:val="single"/>
        </w:rPr>
        <w:t>原中标人给招标人造成的损失超过投标保证金数额的，还应当对超过部分予以赔偿</w:t>
      </w:r>
      <w:r>
        <w:rPr>
          <w:rFonts w:hint="eastAsia" w:ascii="宋体" w:hAnsi="宋体" w:eastAsia="宋体" w:cs="宋体"/>
          <w:color w:val="auto"/>
          <w:sz w:val="24"/>
          <w:szCs w:val="24"/>
          <w:highlight w:val="none"/>
        </w:rPr>
        <w:t>。原中标人有异议的，可以向人民法院起诉。</w:t>
      </w:r>
    </w:p>
    <w:p w14:paraId="6F103F7E">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u w:val="single"/>
        </w:rPr>
        <w:t>合同正式签订之日后的30日内</w:t>
      </w:r>
      <w:r>
        <w:rPr>
          <w:rFonts w:hint="eastAsia" w:ascii="宋体" w:hAnsi="宋体" w:eastAsia="宋体" w:cs="宋体"/>
          <w:color w:val="auto"/>
          <w:sz w:val="24"/>
          <w:szCs w:val="24"/>
          <w:highlight w:val="none"/>
        </w:rPr>
        <w:t>，中标人未按上款的规定递交履约担保，招标人将解除中标通知书，且依法承担相应法律责任。</w:t>
      </w:r>
      <w:r>
        <w:rPr>
          <w:rFonts w:hint="eastAsia" w:ascii="宋体" w:hAnsi="宋体" w:eastAsia="宋体" w:cs="宋体"/>
          <w:color w:val="auto"/>
          <w:sz w:val="24"/>
          <w:szCs w:val="24"/>
          <w:highlight w:val="none"/>
          <w:u w:val="single"/>
        </w:rPr>
        <w:t>原中标人给招标人造成的损失还应当对予以赔偿。</w:t>
      </w:r>
      <w:r>
        <w:rPr>
          <w:rFonts w:hint="eastAsia" w:ascii="宋体" w:hAnsi="宋体" w:eastAsia="宋体" w:cs="宋体"/>
          <w:color w:val="auto"/>
          <w:sz w:val="24"/>
          <w:szCs w:val="24"/>
          <w:highlight w:val="none"/>
        </w:rPr>
        <w:t>原中标人有异议的，可以向人民法院起诉。</w:t>
      </w:r>
    </w:p>
    <w:p w14:paraId="0BAE5905">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条款号：33             修改类型：修改</w:t>
      </w:r>
    </w:p>
    <w:p w14:paraId="0B63081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33．合同生效</w:t>
      </w:r>
    </w:p>
    <w:p w14:paraId="5545AF13">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在合同双方全权代表在合同协议书上签字，并分别加盖双方单位的公章后，合同正式生效。</w:t>
      </w:r>
    </w:p>
    <w:p w14:paraId="17DB0099">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33．合同生效</w:t>
      </w:r>
    </w:p>
    <w:p w14:paraId="1BDD4FCD">
      <w:pPr>
        <w:pBdr>
          <w:bottom w:val="single" w:color="auto" w:sz="6" w:space="1"/>
        </w:pBd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在合同双方全权代表在合同协议书上签字，并分别加盖双方单位的公章</w:t>
      </w:r>
      <w:r>
        <w:rPr>
          <w:rFonts w:hint="eastAsia" w:ascii="宋体" w:hAnsi="宋体" w:eastAsia="宋体" w:cs="宋体"/>
          <w:color w:val="auto"/>
          <w:sz w:val="24"/>
          <w:szCs w:val="24"/>
          <w:highlight w:val="none"/>
          <w:u w:val="single"/>
        </w:rPr>
        <w:t>且</w:t>
      </w:r>
      <w:r>
        <w:rPr>
          <w:rFonts w:hint="eastAsia" w:ascii="宋体" w:hAnsi="宋体" w:eastAsia="宋体" w:cs="宋体"/>
          <w:color w:val="auto"/>
          <w:kern w:val="0"/>
          <w:sz w:val="24"/>
          <w:szCs w:val="24"/>
          <w:highlight w:val="none"/>
          <w:u w:val="single"/>
        </w:rPr>
        <w:t>自合同约定的项目起始之日起</w:t>
      </w:r>
      <w:r>
        <w:rPr>
          <w:rFonts w:hint="eastAsia" w:ascii="宋体" w:hAnsi="宋体" w:eastAsia="宋体" w:cs="宋体"/>
          <w:color w:val="auto"/>
          <w:sz w:val="24"/>
          <w:szCs w:val="24"/>
          <w:highlight w:val="none"/>
        </w:rPr>
        <w:t>，合同正式生效。</w:t>
      </w:r>
    </w:p>
    <w:p w14:paraId="29BCAD8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条款号：34             修改类型：修改</w:t>
      </w:r>
    </w:p>
    <w:p w14:paraId="0386AF6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34．其它费用</w:t>
      </w:r>
    </w:p>
    <w:p w14:paraId="1B01B9F2">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公共资源交易服务费应根据政府有关规定支付。</w:t>
      </w:r>
    </w:p>
    <w:p w14:paraId="551DBF1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34．其它费用</w:t>
      </w:r>
    </w:p>
    <w:p w14:paraId="6C13639D">
      <w:pPr>
        <w:widowControl/>
        <w:pBdr>
          <w:bottom w:val="single" w:color="auto" w:sz="4" w:space="0"/>
        </w:pBd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34.1中标人向广州交易集团有限公司（广州公共资源交易中心）缴</w:t>
      </w:r>
      <w:r>
        <w:rPr>
          <w:rFonts w:hint="eastAsia" w:ascii="宋体" w:hAnsi="宋体" w:eastAsia="宋体" w:cs="宋体"/>
          <w:color w:val="auto"/>
          <w:sz w:val="24"/>
          <w:szCs w:val="24"/>
          <w:highlight w:val="none"/>
          <w:u w:val="single"/>
          <w:lang w:val="en-US" w:eastAsia="zh-CN"/>
        </w:rPr>
        <w:t>纳</w:t>
      </w:r>
      <w:r>
        <w:rPr>
          <w:rFonts w:hint="eastAsia" w:ascii="宋体" w:hAnsi="宋体" w:eastAsia="宋体" w:cs="宋体"/>
          <w:color w:val="auto"/>
          <w:sz w:val="24"/>
          <w:szCs w:val="24"/>
          <w:highlight w:val="none"/>
          <w:u w:val="single"/>
        </w:rPr>
        <w:t>交易服务费，其费用包含在中标人投标报价中，招标人不另行支付。</w:t>
      </w:r>
    </w:p>
    <w:p w14:paraId="24D65982">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注：以上修改，仅限于本范本中有可供选择条款的情形。</w:t>
      </w:r>
    </w:p>
    <w:p w14:paraId="48BC72BF">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（以下无正文）</w:t>
      </w:r>
    </w:p>
    <w:p w14:paraId="00E6EA57">
      <w:pPr>
        <w:pStyle w:val="3"/>
        <w:spacing w:before="120"/>
        <w:rPr>
          <w:rFonts w:ascii="宋体" w:eastAsia="宋体"/>
          <w:color w:val="auto"/>
          <w:highlight w:val="none"/>
        </w:rPr>
      </w:pPr>
      <w:r>
        <w:rPr>
          <w:rFonts w:hint="eastAsia" w:ascii="宋体" w:eastAsia="宋体"/>
          <w:color w:val="auto"/>
          <w:highlight w:val="none"/>
        </w:rPr>
        <w:br w:type="page"/>
      </w:r>
      <w:bookmarkStart w:id="39" w:name="_Toc85505511"/>
      <w:bookmarkStart w:id="40" w:name="_Toc101777611"/>
      <w:bookmarkStart w:id="41" w:name="_Toc10964"/>
      <w:bookmarkStart w:id="42" w:name="_Toc6168"/>
      <w:bookmarkStart w:id="43" w:name="_Toc7099"/>
      <w:bookmarkStart w:id="44" w:name="_Toc28733"/>
      <w:bookmarkStart w:id="45" w:name="_Toc29024"/>
      <w:bookmarkStart w:id="46" w:name="_Toc13975"/>
      <w:bookmarkStart w:id="47" w:name="_Toc822"/>
      <w:bookmarkStart w:id="48" w:name="_Toc262229162"/>
      <w:bookmarkStart w:id="49" w:name="_Toc17692"/>
      <w:bookmarkStart w:id="50" w:name="_Toc19456"/>
      <w:bookmarkStart w:id="51" w:name="_Toc3541"/>
      <w:r>
        <w:rPr>
          <w:rFonts w:hint="eastAsia" w:ascii="宋体" w:eastAsia="宋体"/>
          <w:color w:val="auto"/>
          <w:highlight w:val="none"/>
        </w:rPr>
        <w:t>三、投标须知</w:t>
      </w:r>
      <w:bookmarkEnd w:id="39"/>
      <w:bookmarkEnd w:id="40"/>
      <w:r>
        <w:rPr>
          <w:rFonts w:hint="eastAsia" w:ascii="宋体" w:eastAsia="宋体"/>
          <w:color w:val="auto"/>
          <w:highlight w:val="none"/>
        </w:rPr>
        <w:t>通用条款</w:t>
      </w:r>
      <w:bookmarkEnd w:id="41"/>
      <w:bookmarkEnd w:id="42"/>
      <w:bookmarkEnd w:id="43"/>
      <w:bookmarkEnd w:id="44"/>
      <w:bookmarkEnd w:id="45"/>
      <w:bookmarkEnd w:id="46"/>
      <w:bookmarkEnd w:id="47"/>
      <w:bookmarkEnd w:id="48"/>
      <w:bookmarkEnd w:id="49"/>
      <w:bookmarkEnd w:id="50"/>
      <w:bookmarkEnd w:id="51"/>
    </w:p>
    <w:p w14:paraId="5FEA0DCB">
      <w:pPr>
        <w:pStyle w:val="3"/>
        <w:spacing w:before="120"/>
        <w:rPr>
          <w:rFonts w:ascii="宋体" w:eastAsia="宋体"/>
          <w:color w:val="auto"/>
          <w:highlight w:val="none"/>
        </w:rPr>
      </w:pPr>
      <w:bookmarkStart w:id="52" w:name="_（一）总则_1"/>
      <w:bookmarkEnd w:id="52"/>
      <w:bookmarkStart w:id="53" w:name="_Toc3682"/>
      <w:bookmarkStart w:id="54" w:name="_Toc85505512"/>
      <w:bookmarkStart w:id="55" w:name="_Toc28561"/>
      <w:bookmarkStart w:id="56" w:name="_Toc4636"/>
      <w:bookmarkStart w:id="57" w:name="_Toc375"/>
      <w:bookmarkStart w:id="58" w:name="_Toc30352"/>
      <w:bookmarkStart w:id="59" w:name="_Toc7137"/>
      <w:bookmarkStart w:id="60" w:name="_Toc24274"/>
      <w:bookmarkStart w:id="61" w:name="_Toc101777612"/>
      <w:bookmarkStart w:id="62" w:name="_Toc262229163"/>
      <w:bookmarkStart w:id="63" w:name="_Toc32388"/>
      <w:bookmarkStart w:id="64" w:name="_Toc8857"/>
      <w:bookmarkStart w:id="65" w:name="_Toc3129"/>
      <w:r>
        <w:rPr>
          <w:rFonts w:hint="eastAsia" w:ascii="宋体" w:eastAsia="宋体"/>
          <w:color w:val="auto"/>
          <w:highlight w:val="none"/>
        </w:rPr>
        <w:t>（一）总则</w:t>
      </w:r>
      <w:bookmarkEnd w:id="53"/>
      <w:bookmarkEnd w:id="54"/>
      <w:bookmarkEnd w:id="55"/>
      <w:bookmarkEnd w:id="56"/>
      <w:bookmarkEnd w:id="57"/>
      <w:bookmarkEnd w:id="58"/>
      <w:bookmarkEnd w:id="59"/>
      <w:bookmarkEnd w:id="60"/>
      <w:bookmarkEnd w:id="61"/>
      <w:bookmarkEnd w:id="62"/>
      <w:bookmarkEnd w:id="63"/>
      <w:bookmarkEnd w:id="64"/>
      <w:bookmarkEnd w:id="65"/>
    </w:p>
    <w:p w14:paraId="10CE6EC2">
      <w:pPr>
        <w:pStyle w:val="1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1.定义</w:t>
      </w:r>
    </w:p>
    <w:p w14:paraId="32A10657">
      <w:pPr>
        <w:pStyle w:val="14"/>
        <w:spacing w:after="0" w:line="360" w:lineRule="auto"/>
        <w:ind w:firstLine="480" w:firstLineChars="200"/>
        <w:rPr>
          <w:rFonts w:ascii="宋体" w:hAnsi="宋体" w:eastAsia="宋体"/>
          <w:b/>
          <w:bCs/>
          <w:color w:val="auto"/>
          <w:sz w:val="24"/>
          <w:highlight w:val="none"/>
        </w:rPr>
      </w:pPr>
      <w:r>
        <w:rPr>
          <w:rFonts w:hint="eastAsia" w:ascii="宋体" w:hAnsi="宋体" w:eastAsia="宋体"/>
          <w:color w:val="auto"/>
          <w:sz w:val="24"/>
          <w:highlight w:val="none"/>
        </w:rPr>
        <w:t>本招标文件使用的下列词语具有如下规定的意义：</w:t>
      </w:r>
    </w:p>
    <w:p w14:paraId="7E3C1A80">
      <w:pPr>
        <w:pStyle w:val="14"/>
        <w:spacing w:after="0" w:line="360" w:lineRule="auto"/>
        <w:ind w:firstLine="480" w:firstLineChars="200"/>
        <w:rPr>
          <w:rFonts w:ascii="宋体" w:hAnsi="宋体" w:eastAsia="宋体"/>
          <w:b/>
          <w:bCs/>
          <w:color w:val="auto"/>
          <w:sz w:val="24"/>
          <w:highlight w:val="none"/>
          <w:u w:val="single"/>
        </w:rPr>
      </w:pPr>
      <w:r>
        <w:rPr>
          <w:rFonts w:hint="eastAsia" w:ascii="宋体" w:hAnsi="宋体" w:eastAsia="宋体"/>
          <w:color w:val="auto"/>
          <w:sz w:val="24"/>
          <w:highlight w:val="none"/>
        </w:rPr>
        <w:t>（1）“招标人”（即发包人）、“项目建设管理单位”（或称“项目代建单位”）、“招标代理机构”、“设计单位”、“监理单位”均已在投标须知前附表中列明。</w:t>
      </w:r>
    </w:p>
    <w:p w14:paraId="42E052CC">
      <w:pPr>
        <w:pStyle w:val="14"/>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 xml:space="preserve">（2）“投标人”指向招标人递交投标文件的当事人。   </w:t>
      </w:r>
    </w:p>
    <w:p w14:paraId="5F2AE08E">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（3）“承包人”指其投标被招标人接受并与其签订承包合同的当事人。</w:t>
      </w:r>
    </w:p>
    <w:p w14:paraId="21A66C65">
      <w:pPr>
        <w:pStyle w:val="14"/>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（4）“招标文件”指由招标代理机构发出的本文件（包括全部章节、附件）及招标答疑会会议纪要和</w:t>
      </w:r>
      <w:r>
        <w:rPr>
          <w:rFonts w:hint="eastAsia" w:ascii="宋体" w:hAnsi="宋体" w:eastAsia="宋体"/>
          <w:bCs/>
          <w:color w:val="auto"/>
          <w:sz w:val="24"/>
          <w:highlight w:val="none"/>
        </w:rPr>
        <w:t>招标文件的澄清与修改</w:t>
      </w:r>
      <w:r>
        <w:rPr>
          <w:rFonts w:hint="eastAsia" w:ascii="宋体" w:hAnsi="宋体" w:eastAsia="宋体"/>
          <w:color w:val="auto"/>
          <w:sz w:val="24"/>
          <w:highlight w:val="none"/>
        </w:rPr>
        <w:t>文件。</w:t>
      </w:r>
    </w:p>
    <w:p w14:paraId="5FDE0838">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（5）“投标文件”指投标人根据本项目招标文件向招标人递交的全部文件。</w:t>
      </w:r>
    </w:p>
    <w:p w14:paraId="533FE171">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（6）“书面文件”指打字或印刷的文件，包括电传、电报和传真。</w:t>
      </w:r>
    </w:p>
    <w:p w14:paraId="3BAF44B2">
      <w:pPr>
        <w:pStyle w:val="14"/>
        <w:spacing w:after="0" w:line="360" w:lineRule="auto"/>
        <w:ind w:firstLine="480" w:firstLineChars="200"/>
        <w:rPr>
          <w:rFonts w:ascii="宋体" w:hAnsi="宋体" w:eastAsia="宋体"/>
          <w:b/>
          <w:color w:val="auto"/>
          <w:sz w:val="24"/>
          <w:szCs w:val="24"/>
          <w:highlight w:val="none"/>
        </w:rPr>
      </w:pPr>
      <w:r>
        <w:rPr>
          <w:rFonts w:hint="eastAsia" w:ascii="宋体" w:hAnsi="宋体" w:eastAsia="宋体"/>
          <w:color w:val="auto"/>
          <w:sz w:val="24"/>
          <w:highlight w:val="none"/>
        </w:rPr>
        <w:t>（7）“电子文件</w:t>
      </w:r>
      <w:r>
        <w:rPr>
          <w:rFonts w:hint="eastAsia" w:ascii="宋体" w:hAnsi="宋体" w:eastAsia="宋体"/>
          <w:color w:val="auto"/>
          <w:sz w:val="24"/>
          <w:szCs w:val="24"/>
          <w:highlight w:val="none"/>
        </w:rPr>
        <w:t>”</w:t>
      </w:r>
      <w:r>
        <w:rPr>
          <w:rFonts w:hint="eastAsia" w:ascii="宋体" w:hAnsi="宋体" w:eastAsia="宋体"/>
          <w:b/>
          <w:color w:val="auto"/>
          <w:sz w:val="24"/>
          <w:szCs w:val="24"/>
          <w:highlight w:val="none"/>
        </w:rPr>
        <w:t xml:space="preserve"> </w:t>
      </w:r>
      <w:r>
        <w:rPr>
          <w:rFonts w:hint="eastAsia" w:ascii="宋体" w:hAnsi="宋体" w:eastAsia="宋体"/>
          <w:color w:val="auto"/>
          <w:sz w:val="24"/>
          <w:szCs w:val="24"/>
          <w:highlight w:val="none"/>
        </w:rPr>
        <w:t>指数字、文字、图形等以数码形式存储于磁带、磁盘、光盘等载体，依赖计算机等数字设备阅读、处理，并可在通信网络上传送的文件。</w:t>
      </w:r>
    </w:p>
    <w:p w14:paraId="31A5CA49">
      <w:pPr>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2.招标说明</w:t>
      </w:r>
    </w:p>
    <w:p w14:paraId="6A8DDAA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2.1本招标工程项目按照《中华人民共和国招标投标法》等有关法律、行政法规、规章和规范性文件，通过招标方式选定承包人。</w:t>
      </w:r>
    </w:p>
    <w:p w14:paraId="4F61236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2.2工程名称、建设地点、建设规模、承包方式、质量标准、招标范围、工期要求等均在投标须知前附表中列明。</w:t>
      </w:r>
    </w:p>
    <w:p w14:paraId="11C861F1">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2.3设计说明：详见招标图纸。</w:t>
      </w:r>
    </w:p>
    <w:p w14:paraId="7C57DC0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2.4工程施工特点：详见招标图纸。</w:t>
      </w:r>
    </w:p>
    <w:p w14:paraId="0A527441">
      <w:pPr>
        <w:tabs>
          <w:tab w:val="left" w:pos="105"/>
        </w:tabs>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3．资金来源</w:t>
      </w:r>
    </w:p>
    <w:p w14:paraId="1820121D">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本招标工程项目资金来源见投标须知前附表第9项。</w:t>
      </w:r>
    </w:p>
    <w:p w14:paraId="24611F6B">
      <w:pPr>
        <w:tabs>
          <w:tab w:val="left" w:pos="105"/>
        </w:tabs>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4．投标人资格条件</w:t>
      </w:r>
    </w:p>
    <w:p w14:paraId="087BFF4C">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详见本项目招标公告。</w:t>
      </w:r>
    </w:p>
    <w:p w14:paraId="541C34D7">
      <w:pPr>
        <w:tabs>
          <w:tab w:val="left" w:pos="105"/>
        </w:tabs>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5．踏勘现场</w:t>
      </w:r>
    </w:p>
    <w:p w14:paraId="39BDAC9F">
      <w:pPr>
        <w:spacing w:line="360" w:lineRule="auto"/>
        <w:ind w:firstLine="480" w:firstLineChars="200"/>
        <w:rPr>
          <w:rFonts w:ascii="宋体" w:hAnsi="宋体" w:eastAsia="宋体"/>
          <w:bCs/>
          <w:color w:val="auto"/>
          <w:sz w:val="24"/>
          <w:highlight w:val="none"/>
          <w:u w:val="single"/>
        </w:rPr>
      </w:pPr>
      <w:r>
        <w:rPr>
          <w:rFonts w:hint="eastAsia" w:ascii="宋体" w:hAnsi="宋体" w:eastAsia="宋体"/>
          <w:bCs/>
          <w:color w:val="auto"/>
          <w:sz w:val="24"/>
          <w:highlight w:val="none"/>
        </w:rPr>
        <w:t>5.1 投标人应按本投标须知前附表第16项所述时间和要求对工程现场及周围环境进行踏勘，</w:t>
      </w:r>
      <w:r>
        <w:rPr>
          <w:rFonts w:hint="eastAsia" w:ascii="宋体" w:hAnsi="宋体" w:eastAsia="宋体"/>
          <w:color w:val="auto"/>
          <w:sz w:val="24"/>
          <w:highlight w:val="none"/>
        </w:rPr>
        <w:t>投标人应充分重视和仔细地进行这种考察，</w:t>
      </w:r>
      <w:r>
        <w:rPr>
          <w:rFonts w:hint="eastAsia" w:ascii="宋体" w:hAnsi="宋体" w:eastAsia="宋体"/>
          <w:bCs/>
          <w:color w:val="auto"/>
          <w:sz w:val="24"/>
          <w:highlight w:val="none"/>
        </w:rPr>
        <w:t>以便投标人获取</w:t>
      </w:r>
      <w:r>
        <w:rPr>
          <w:rFonts w:hint="eastAsia" w:ascii="宋体" w:hAnsi="宋体" w:eastAsia="宋体"/>
          <w:color w:val="auto"/>
          <w:sz w:val="24"/>
          <w:highlight w:val="none"/>
        </w:rPr>
        <w:t>那些须投标人自己负责的</w:t>
      </w:r>
      <w:r>
        <w:rPr>
          <w:rFonts w:hint="eastAsia" w:ascii="宋体" w:hAnsi="宋体" w:eastAsia="宋体"/>
          <w:bCs/>
          <w:color w:val="auto"/>
          <w:sz w:val="24"/>
          <w:highlight w:val="none"/>
        </w:rPr>
        <w:t>有关编制投标文件和签署合同所涉及现场所有的资料。</w:t>
      </w:r>
      <w:r>
        <w:rPr>
          <w:rFonts w:hint="eastAsia" w:ascii="宋体" w:hAnsi="宋体" w:eastAsia="宋体"/>
          <w:color w:val="auto"/>
          <w:sz w:val="24"/>
          <w:highlight w:val="none"/>
        </w:rPr>
        <w:t>一旦中标，这种考察即被认为其结果已在中标文件中得到充分反映。考察现场的费用由投标人自己承担。</w:t>
      </w:r>
    </w:p>
    <w:p w14:paraId="371F6771">
      <w:pPr>
        <w:tabs>
          <w:tab w:val="left" w:pos="105"/>
        </w:tabs>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5.2 招标人向投标人提供的有关现场的数据和资料，是招标人现有的能被投标人利用的资料，招标人对投标人做出的任何推论、理解和结论均不负责任。</w:t>
      </w:r>
    </w:p>
    <w:p w14:paraId="6A6A2BE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5.3 经招标人允许，投标人可为踏勘目的进入招标人的项目现场。</w:t>
      </w:r>
      <w:r>
        <w:rPr>
          <w:rFonts w:hint="eastAsia" w:ascii="宋体" w:hAnsi="宋体" w:eastAsia="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bCs/>
          <w:color w:val="auto"/>
          <w:sz w:val="24"/>
          <w:highlight w:val="none"/>
        </w:rPr>
        <w:t>投标人不得因此使招标人承担有关的责任和蒙受损失。</w:t>
      </w:r>
    </w:p>
    <w:p w14:paraId="1C721591">
      <w:pPr>
        <w:tabs>
          <w:tab w:val="left" w:pos="105"/>
        </w:tabs>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6．投标费用</w:t>
      </w:r>
    </w:p>
    <w:p w14:paraId="02B4C40C">
      <w:pPr>
        <w:tabs>
          <w:tab w:val="left" w:pos="105"/>
        </w:tabs>
        <w:spacing w:line="360" w:lineRule="auto"/>
        <w:ind w:firstLine="480" w:firstLineChars="200"/>
        <w:rPr>
          <w:rFonts w:ascii="宋体" w:hAnsi="宋体" w:eastAsia="宋体"/>
          <w:bCs/>
          <w:color w:val="auto"/>
          <w:sz w:val="24"/>
          <w:highlight w:val="none"/>
        </w:rPr>
      </w:pPr>
      <w:r>
        <w:rPr>
          <w:rFonts w:hint="eastAsia" w:ascii="宋体" w:hAnsi="宋体" w:eastAsia="宋体"/>
          <w:color w:val="auto"/>
          <w:sz w:val="24"/>
          <w:highlight w:val="none"/>
        </w:rPr>
        <w:t>不论投标结果如何，投标人应承担</w:t>
      </w:r>
      <w:r>
        <w:rPr>
          <w:rFonts w:hint="eastAsia" w:ascii="宋体" w:hAnsi="宋体" w:eastAsia="宋体"/>
          <w:bCs/>
          <w:color w:val="auto"/>
          <w:sz w:val="24"/>
          <w:highlight w:val="none"/>
        </w:rPr>
        <w:t>自身</w:t>
      </w:r>
      <w:r>
        <w:rPr>
          <w:rFonts w:hint="eastAsia" w:ascii="宋体" w:hAnsi="宋体" w:eastAsia="宋体"/>
          <w:color w:val="auto"/>
          <w:sz w:val="24"/>
          <w:highlight w:val="none"/>
        </w:rPr>
        <w:t>因投标文件编制、递交及其他</w:t>
      </w:r>
      <w:r>
        <w:rPr>
          <w:rFonts w:hint="eastAsia" w:ascii="宋体" w:hAnsi="宋体" w:eastAsia="宋体"/>
          <w:bCs/>
          <w:color w:val="auto"/>
          <w:sz w:val="24"/>
          <w:highlight w:val="none"/>
        </w:rPr>
        <w:t>参加本招标活动</w:t>
      </w:r>
      <w:r>
        <w:rPr>
          <w:rFonts w:hint="eastAsia" w:ascii="宋体" w:hAnsi="宋体" w:eastAsia="宋体"/>
          <w:color w:val="auto"/>
          <w:sz w:val="24"/>
          <w:highlight w:val="none"/>
        </w:rPr>
        <w:t>所涉及的一切费用，招标人对上述费用不负任何责任。</w:t>
      </w:r>
    </w:p>
    <w:p w14:paraId="1F7472C4">
      <w:pPr>
        <w:pStyle w:val="3"/>
        <w:spacing w:before="120"/>
        <w:rPr>
          <w:rFonts w:ascii="宋体" w:eastAsia="宋体"/>
          <w:color w:val="auto"/>
          <w:highlight w:val="none"/>
        </w:rPr>
      </w:pPr>
      <w:bookmarkStart w:id="66" w:name="_（二）招标文件"/>
      <w:bookmarkEnd w:id="66"/>
      <w:bookmarkStart w:id="67" w:name="_Toc3488"/>
      <w:bookmarkStart w:id="68" w:name="_Toc101777613"/>
      <w:bookmarkStart w:id="69" w:name="_Toc2431"/>
      <w:bookmarkStart w:id="70" w:name="_Toc31753"/>
      <w:bookmarkStart w:id="71" w:name="_Toc9408"/>
      <w:bookmarkStart w:id="72" w:name="_Toc7675"/>
      <w:bookmarkStart w:id="73" w:name="_Toc18392"/>
      <w:bookmarkStart w:id="74" w:name="_Toc18139"/>
      <w:bookmarkStart w:id="75" w:name="_Toc15387"/>
      <w:bookmarkStart w:id="76" w:name="_Toc32311"/>
      <w:bookmarkStart w:id="77" w:name="_Toc262229164"/>
      <w:bookmarkStart w:id="78" w:name="_Toc30798"/>
      <w:r>
        <w:rPr>
          <w:rFonts w:hint="eastAsia" w:ascii="宋体" w:eastAsia="宋体"/>
          <w:color w:val="auto"/>
          <w:highlight w:val="none"/>
        </w:rPr>
        <w:t>（二）招标文件</w:t>
      </w:r>
      <w:bookmarkEnd w:id="67"/>
      <w:bookmarkEnd w:id="68"/>
      <w:bookmarkEnd w:id="69"/>
      <w:bookmarkEnd w:id="70"/>
      <w:bookmarkEnd w:id="71"/>
      <w:bookmarkEnd w:id="72"/>
      <w:bookmarkEnd w:id="73"/>
      <w:bookmarkEnd w:id="74"/>
      <w:bookmarkEnd w:id="75"/>
      <w:bookmarkEnd w:id="76"/>
      <w:bookmarkEnd w:id="77"/>
      <w:bookmarkEnd w:id="78"/>
    </w:p>
    <w:p w14:paraId="136B2C57">
      <w:pPr>
        <w:tabs>
          <w:tab w:val="left" w:pos="105"/>
        </w:tabs>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7.招标文件的组成</w:t>
      </w:r>
    </w:p>
    <w:p w14:paraId="6477E605">
      <w:pPr>
        <w:spacing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7.1</w:t>
      </w:r>
      <w:r>
        <w:rPr>
          <w:rFonts w:hint="eastAsia" w:ascii="宋体" w:hAnsi="宋体" w:eastAsia="宋体"/>
          <w:color w:val="auto"/>
          <w:sz w:val="24"/>
          <w:highlight w:val="none"/>
        </w:rPr>
        <w:t>本招标文件包括下列文件，以及所有按本须知第8条发出的招标答疑会会议纪要和按本须知第9条发出的澄清或修改：</w:t>
      </w:r>
    </w:p>
    <w:p w14:paraId="7119E612">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 xml:space="preserve">第一章  </w:t>
      </w:r>
      <w:r>
        <w:rPr>
          <w:rFonts w:hint="eastAsia" w:ascii="宋体" w:hAnsi="宋体" w:eastAsia="宋体"/>
          <w:color w:val="auto"/>
          <w:sz w:val="24"/>
          <w:highlight w:val="none"/>
        </w:rPr>
        <w:t>投标须知</w:t>
      </w:r>
    </w:p>
    <w:p w14:paraId="502D5707">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 xml:space="preserve">第二章  </w:t>
      </w:r>
      <w:r>
        <w:rPr>
          <w:rFonts w:hint="eastAsia" w:ascii="宋体" w:hAnsi="宋体" w:eastAsia="宋体"/>
          <w:color w:val="auto"/>
          <w:sz w:val="24"/>
          <w:highlight w:val="none"/>
        </w:rPr>
        <w:t>开标、评标及定标办法</w:t>
      </w:r>
    </w:p>
    <w:p w14:paraId="02427CED">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第三章  合同条款（另册）</w:t>
      </w:r>
    </w:p>
    <w:p w14:paraId="2ACE2682">
      <w:pPr>
        <w:pStyle w:val="14"/>
        <w:spacing w:after="0" w:line="360" w:lineRule="auto"/>
        <w:ind w:firstLine="480" w:firstLineChars="200"/>
        <w:rPr>
          <w:rFonts w:ascii="宋体" w:hAnsi="宋体" w:eastAsia="宋体"/>
          <w:b/>
          <w:color w:val="auto"/>
          <w:sz w:val="24"/>
          <w:highlight w:val="none"/>
        </w:rPr>
      </w:pPr>
      <w:r>
        <w:rPr>
          <w:rFonts w:hint="eastAsia" w:ascii="宋体" w:hAnsi="宋体" w:eastAsia="宋体"/>
          <w:bCs/>
          <w:color w:val="auto"/>
          <w:sz w:val="24"/>
          <w:highlight w:val="none"/>
        </w:rPr>
        <w:t xml:space="preserve">第四章  </w:t>
      </w:r>
      <w:r>
        <w:rPr>
          <w:rFonts w:hint="eastAsia" w:ascii="宋体" w:hAnsi="宋体" w:eastAsia="宋体"/>
          <w:color w:val="auto"/>
          <w:sz w:val="24"/>
          <w:highlight w:val="none"/>
        </w:rPr>
        <w:t>投标文件格式</w:t>
      </w:r>
    </w:p>
    <w:p w14:paraId="531C2ACB">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 xml:space="preserve">第五章  </w:t>
      </w:r>
      <w:r>
        <w:rPr>
          <w:rFonts w:hint="eastAsia" w:ascii="宋体" w:hAnsi="宋体" w:eastAsia="宋体"/>
          <w:color w:val="auto"/>
          <w:sz w:val="24"/>
          <w:highlight w:val="none"/>
        </w:rPr>
        <w:t>技术条件（工程建设标准）（另册）</w:t>
      </w:r>
    </w:p>
    <w:p w14:paraId="2A0F57C9">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 xml:space="preserve">第六章  </w:t>
      </w:r>
      <w:r>
        <w:rPr>
          <w:rFonts w:hint="eastAsia" w:ascii="宋体" w:hAnsi="宋体" w:eastAsia="宋体"/>
          <w:color w:val="auto"/>
          <w:sz w:val="24"/>
          <w:highlight w:val="none"/>
        </w:rPr>
        <w:t>图纸及勘察资料（另册）</w:t>
      </w:r>
    </w:p>
    <w:p w14:paraId="37FFABD4">
      <w:pPr>
        <w:pStyle w:val="14"/>
        <w:spacing w:after="0" w:line="360" w:lineRule="auto"/>
        <w:ind w:firstLine="480" w:firstLineChars="200"/>
        <w:rPr>
          <w:rFonts w:hint="eastAsia" w:ascii="宋体" w:hAnsi="宋体" w:eastAsia="宋体"/>
          <w:color w:val="auto"/>
          <w:sz w:val="24"/>
          <w:highlight w:val="none"/>
        </w:rPr>
      </w:pPr>
      <w:r>
        <w:rPr>
          <w:rFonts w:hint="eastAsia" w:ascii="宋体" w:hAnsi="宋体" w:eastAsia="宋体"/>
          <w:bCs/>
          <w:color w:val="auto"/>
          <w:sz w:val="24"/>
          <w:highlight w:val="none"/>
        </w:rPr>
        <w:t xml:space="preserve">第七章  </w:t>
      </w:r>
      <w:r>
        <w:rPr>
          <w:rFonts w:hint="eastAsia" w:ascii="宋体" w:hAnsi="宋体" w:eastAsia="宋体"/>
          <w:color w:val="auto"/>
          <w:sz w:val="24"/>
          <w:highlight w:val="none"/>
        </w:rPr>
        <w:t>工程量清单（另册）</w:t>
      </w:r>
    </w:p>
    <w:p w14:paraId="57446DE6">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第八章  最高投标限价（另册）</w:t>
      </w:r>
    </w:p>
    <w:p w14:paraId="7C218AFB">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7.2 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并且不允许投标人通过修改或撤消其不符合要求的差异或保留使之成为具有响应性的投标文件。</w:t>
      </w:r>
    </w:p>
    <w:p w14:paraId="0711EA87">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7.3 投标人一旦中标，招标文件的内容对招标人和中标人双方均有约束力。</w:t>
      </w:r>
    </w:p>
    <w:p w14:paraId="6201A749">
      <w:pPr>
        <w:pStyle w:val="14"/>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7.4</w:t>
      </w:r>
      <w:r>
        <w:rPr>
          <w:rFonts w:hint="eastAsia" w:ascii="宋体" w:hAnsi="宋体" w:eastAsia="宋体" w:cs="仿宋_GB2312"/>
          <w:color w:val="auto"/>
          <w:sz w:val="24"/>
          <w:szCs w:val="24"/>
          <w:highlight w:val="none"/>
        </w:rPr>
        <w:t>招标人（或委托招标代理机构）使用广东省内依法设立的电子认证服务机构签发的电子签名认证证书对电子招标文件进行电子签名及电子签章。该电子签名及电子签章对招标人手写签名或者盖章同等的法律效力。</w:t>
      </w:r>
    </w:p>
    <w:p w14:paraId="380E8534">
      <w:pPr>
        <w:pStyle w:val="14"/>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7.5发布招标公告的同时，通过广州</w:t>
      </w:r>
      <w:r>
        <w:rPr>
          <w:rFonts w:hint="eastAsia" w:ascii="宋体" w:hAnsi="宋体" w:eastAsia="宋体" w:cs="仿宋_GB2312"/>
          <w:color w:val="auto"/>
          <w:sz w:val="24"/>
          <w:szCs w:val="24"/>
          <w:highlight w:val="none"/>
        </w:rPr>
        <w:t>公共资源交易网站发布电子招标文件、施工图纸、最高投标限价、成本警示价（如有）。</w:t>
      </w:r>
    </w:p>
    <w:p w14:paraId="7E30AFB6">
      <w:pPr>
        <w:pStyle w:val="14"/>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7.6招标文件一经在广州公共资源交易网站发布，视作已</w:t>
      </w:r>
      <w:r>
        <w:rPr>
          <w:rFonts w:hint="eastAsia" w:ascii="宋体" w:hAnsi="宋体" w:eastAsia="宋体"/>
          <w:color w:val="auto"/>
          <w:sz w:val="24"/>
          <w:highlight w:val="none"/>
        </w:rPr>
        <w:t>发放给所有投标人。</w:t>
      </w:r>
    </w:p>
    <w:p w14:paraId="5628464B">
      <w:pPr>
        <w:pStyle w:val="14"/>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7.7投标人获取电子招标文件后，应仔细检查电子招标文件的合法有效性。合法有效的电子招标文件应具有招标人（或招标代理机构）的电子签名</w:t>
      </w:r>
      <w:r>
        <w:rPr>
          <w:rFonts w:hint="eastAsia" w:ascii="宋体" w:hAnsi="宋体" w:eastAsia="宋体" w:cs="仿宋_GB2312"/>
          <w:color w:val="auto"/>
          <w:sz w:val="24"/>
          <w:szCs w:val="24"/>
          <w:highlight w:val="none"/>
        </w:rPr>
        <w:t>及电子签章</w:t>
      </w:r>
      <w:r>
        <w:rPr>
          <w:rFonts w:hint="eastAsia" w:ascii="宋体" w:hAnsi="宋体" w:eastAsia="宋体"/>
          <w:color w:val="auto"/>
          <w:sz w:val="24"/>
          <w:szCs w:val="24"/>
          <w:highlight w:val="none"/>
        </w:rPr>
        <w:t>。</w:t>
      </w:r>
    </w:p>
    <w:p w14:paraId="65D6C9C6">
      <w:pPr>
        <w:pStyle w:val="14"/>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7.8招标人应在招标文件第四章中明确编制投标文件主要内容的格式要求。</w:t>
      </w:r>
    </w:p>
    <w:p w14:paraId="7FCE3FC1">
      <w:pPr>
        <w:widowControl/>
        <w:snapToGrid w:val="0"/>
        <w:spacing w:line="360" w:lineRule="auto"/>
        <w:ind w:firstLine="482" w:firstLineChars="200"/>
        <w:jc w:val="left"/>
        <w:rPr>
          <w:rFonts w:ascii="宋体" w:hAnsi="宋体" w:eastAsia="宋体"/>
          <w:color w:val="auto"/>
          <w:sz w:val="24"/>
          <w:highlight w:val="none"/>
        </w:rPr>
      </w:pPr>
      <w:r>
        <w:rPr>
          <w:rFonts w:hint="eastAsia" w:ascii="宋体" w:hAnsi="宋体" w:eastAsia="宋体"/>
          <w:b/>
          <w:bCs/>
          <w:color w:val="auto"/>
          <w:sz w:val="24"/>
          <w:highlight w:val="none"/>
        </w:rPr>
        <w:t>8．招标答疑</w:t>
      </w:r>
    </w:p>
    <w:p w14:paraId="11934270">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szCs w:val="21"/>
          <w:highlight w:val="none"/>
        </w:rPr>
        <w:t>8.1</w:t>
      </w:r>
      <w:r>
        <w:rPr>
          <w:rFonts w:hint="eastAsia" w:ascii="宋体" w:hAnsi="宋体" w:eastAsia="宋体"/>
          <w:color w:val="auto"/>
          <w:sz w:val="24"/>
          <w:highlight w:val="none"/>
        </w:rPr>
        <w:t xml:space="preserve"> 招标答疑采用网上答疑方式。投标人若对招标文件（包括招标图纸、清单、最高投标限价）有疑问的，可在规定的时间内通过</w:t>
      </w:r>
      <w:r>
        <w:rPr>
          <w:rFonts w:hint="eastAsia" w:ascii="宋体" w:hAnsi="宋体" w:eastAsia="宋体"/>
          <w:color w:val="auto"/>
          <w:sz w:val="24"/>
          <w:highlight w:val="none"/>
          <w:lang w:eastAsia="zh-CN"/>
        </w:rPr>
        <w:t>广州公共资源交易</w:t>
      </w:r>
      <w:r>
        <w:rPr>
          <w:rFonts w:hint="eastAsia" w:ascii="宋体" w:hAnsi="宋体" w:eastAsia="宋体"/>
          <w:color w:val="auto"/>
          <w:sz w:val="24"/>
          <w:highlight w:val="none"/>
        </w:rPr>
        <w:t>网站进入提问区域将问题提交给招标人或招标代理机构，提交问题时一律不得署名。</w:t>
      </w:r>
    </w:p>
    <w:p w14:paraId="1CE9D72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网上答疑的具体操作详见交易平台发布的相关操作指引。</w:t>
      </w:r>
    </w:p>
    <w:p w14:paraId="6BD92E2C">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8.2投标人应在招标公告发布之日起3天内对招标文件提出疑问。招标人应在递交投标文件截止时间15 日前解答投标人对招标文件提出的疑问，形成答疑纪要，并可在</w:t>
      </w:r>
      <w:r>
        <w:rPr>
          <w:rFonts w:hint="eastAsia" w:ascii="宋体" w:hAnsi="宋体" w:eastAsia="宋体"/>
          <w:color w:val="auto"/>
          <w:sz w:val="24"/>
          <w:highlight w:val="none"/>
          <w:lang w:eastAsia="zh-CN"/>
        </w:rPr>
        <w:t>广州公共资源交易</w:t>
      </w:r>
      <w:r>
        <w:rPr>
          <w:rFonts w:hint="eastAsia" w:ascii="宋体" w:hAnsi="宋体" w:eastAsia="宋体"/>
          <w:color w:val="auto"/>
          <w:sz w:val="24"/>
          <w:highlight w:val="none"/>
        </w:rPr>
        <w:t>网站“招标答疑”专区发布。</w:t>
      </w:r>
    </w:p>
    <w:p w14:paraId="2210463A">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szCs w:val="24"/>
          <w:highlight w:val="none"/>
        </w:rPr>
        <w:t>8.3</w:t>
      </w:r>
      <w:r>
        <w:rPr>
          <w:rFonts w:hint="eastAsia" w:ascii="宋体" w:hAnsi="宋体" w:eastAsia="宋体"/>
          <w:color w:val="auto"/>
          <w:sz w:val="24"/>
          <w:highlight w:val="none"/>
        </w:rPr>
        <w:t>招标答疑纪要一经在</w:t>
      </w:r>
      <w:r>
        <w:rPr>
          <w:rFonts w:hint="eastAsia" w:ascii="宋体" w:hAnsi="宋体" w:eastAsia="宋体"/>
          <w:color w:val="auto"/>
          <w:sz w:val="24"/>
          <w:highlight w:val="none"/>
          <w:lang w:eastAsia="zh-CN"/>
        </w:rPr>
        <w:t>广州公共资源交易</w:t>
      </w:r>
      <w:r>
        <w:rPr>
          <w:rFonts w:hint="eastAsia" w:ascii="宋体" w:hAnsi="宋体" w:eastAsia="宋体"/>
          <w:color w:val="auto"/>
          <w:sz w:val="24"/>
          <w:highlight w:val="none"/>
        </w:rPr>
        <w:t>网站发布，视作已发放给所有投标人。</w:t>
      </w:r>
    </w:p>
    <w:p w14:paraId="17A78833">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8.4招标答疑纪要为招标文件的一部分。</w:t>
      </w:r>
      <w:r>
        <w:rPr>
          <w:rFonts w:hint="eastAsia" w:ascii="宋体" w:hAnsi="宋体" w:eastAsia="宋体"/>
          <w:color w:val="auto"/>
          <w:sz w:val="24"/>
          <w:szCs w:val="24"/>
          <w:highlight w:val="none"/>
        </w:rPr>
        <w:t>投标人可在</w:t>
      </w:r>
      <w:r>
        <w:rPr>
          <w:rFonts w:hint="eastAsia" w:ascii="宋体" w:hAnsi="宋体" w:eastAsia="宋体"/>
          <w:color w:val="auto"/>
          <w:sz w:val="24"/>
          <w:szCs w:val="24"/>
          <w:highlight w:val="none"/>
          <w:lang w:eastAsia="zh-CN"/>
        </w:rPr>
        <w:t>广州公共资源交易</w:t>
      </w:r>
      <w:r>
        <w:rPr>
          <w:rFonts w:hint="eastAsia" w:ascii="宋体" w:hAnsi="宋体" w:eastAsia="宋体"/>
          <w:color w:val="auto"/>
          <w:sz w:val="24"/>
          <w:szCs w:val="24"/>
          <w:highlight w:val="none"/>
        </w:rPr>
        <w:t>网站浏览、下载招标答疑纪要。</w:t>
      </w:r>
    </w:p>
    <w:p w14:paraId="32C39A00">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8.5若招标答疑纪要与招标文件有矛盾时，以</w:t>
      </w:r>
      <w:r>
        <w:rPr>
          <w:rFonts w:hint="eastAsia" w:ascii="宋体" w:hAnsi="宋体" w:eastAsia="宋体"/>
          <w:color w:val="auto"/>
          <w:sz w:val="24"/>
          <w:szCs w:val="24"/>
          <w:highlight w:val="none"/>
          <w:lang w:eastAsia="zh-CN"/>
        </w:rPr>
        <w:t>广州公共资源交易</w:t>
      </w:r>
      <w:r>
        <w:rPr>
          <w:rFonts w:hint="eastAsia" w:ascii="宋体" w:hAnsi="宋体" w:eastAsia="宋体"/>
          <w:color w:val="auto"/>
          <w:sz w:val="24"/>
          <w:szCs w:val="24"/>
          <w:highlight w:val="none"/>
        </w:rPr>
        <w:t>网站</w:t>
      </w:r>
      <w:r>
        <w:rPr>
          <w:rFonts w:hint="eastAsia" w:ascii="宋体" w:hAnsi="宋体" w:eastAsia="宋体"/>
          <w:color w:val="auto"/>
          <w:sz w:val="24"/>
          <w:highlight w:val="none"/>
        </w:rPr>
        <w:t>最后发布的答疑纪要为准。</w:t>
      </w:r>
    </w:p>
    <w:p w14:paraId="67792FF9">
      <w:pPr>
        <w:pStyle w:val="14"/>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9.招标文件的澄清与修改</w:t>
      </w:r>
    </w:p>
    <w:p w14:paraId="41F90138">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9.1招标文件发出后，在递交投标文件截止时间15日前，招标人可对招标文件进行必要的澄清或修改。</w:t>
      </w:r>
    </w:p>
    <w:p w14:paraId="55DE2DFB">
      <w:pPr>
        <w:pStyle w:val="14"/>
        <w:spacing w:before="50" w:after="5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9.2招标文件的澄清或修改在</w:t>
      </w:r>
      <w:r>
        <w:rPr>
          <w:rFonts w:hint="eastAsia" w:ascii="宋体" w:hAnsi="宋体" w:eastAsia="宋体"/>
          <w:color w:val="auto"/>
          <w:sz w:val="24"/>
          <w:highlight w:val="none"/>
          <w:lang w:eastAsia="zh-CN"/>
        </w:rPr>
        <w:t>广州公共资源交易</w:t>
      </w:r>
      <w:r>
        <w:rPr>
          <w:rFonts w:hint="eastAsia" w:ascii="宋体" w:hAnsi="宋体" w:eastAsia="宋体"/>
          <w:color w:val="auto"/>
          <w:sz w:val="24"/>
          <w:highlight w:val="none"/>
        </w:rPr>
        <w:t>网站发布。招标文件的澄清或修改一经在</w:t>
      </w:r>
      <w:r>
        <w:rPr>
          <w:rFonts w:hint="eastAsia" w:ascii="宋体" w:hAnsi="宋体" w:eastAsia="宋体"/>
          <w:color w:val="auto"/>
          <w:sz w:val="24"/>
          <w:highlight w:val="none"/>
          <w:lang w:eastAsia="zh-CN"/>
        </w:rPr>
        <w:t>广州公共资源交易</w:t>
      </w:r>
      <w:r>
        <w:rPr>
          <w:rFonts w:hint="eastAsia" w:ascii="宋体" w:hAnsi="宋体" w:eastAsia="宋体"/>
          <w:color w:val="auto"/>
          <w:sz w:val="24"/>
          <w:highlight w:val="none"/>
        </w:rPr>
        <w:t>网站发布，视作已发放给所有投标人。</w:t>
      </w:r>
    </w:p>
    <w:p w14:paraId="62663B80">
      <w:pPr>
        <w:pStyle w:val="14"/>
        <w:spacing w:before="50" w:after="5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9.3招标文件的澄清、修改作为招标文件的组成部分，具有约束作用。</w:t>
      </w:r>
    </w:p>
    <w:p w14:paraId="1E4AD2AF">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9.4招标文件的澄清、修改均以</w:t>
      </w:r>
      <w:r>
        <w:rPr>
          <w:rFonts w:hint="eastAsia" w:ascii="宋体" w:hAnsi="宋体" w:eastAsia="宋体"/>
          <w:color w:val="auto"/>
          <w:sz w:val="24"/>
          <w:szCs w:val="24"/>
          <w:highlight w:val="none"/>
          <w:lang w:eastAsia="zh-CN"/>
        </w:rPr>
        <w:t>广州公共资源交易</w:t>
      </w:r>
      <w:r>
        <w:rPr>
          <w:rFonts w:hint="eastAsia" w:ascii="宋体" w:hAnsi="宋体" w:eastAsia="宋体"/>
          <w:color w:val="auto"/>
          <w:sz w:val="24"/>
          <w:szCs w:val="24"/>
          <w:highlight w:val="none"/>
        </w:rPr>
        <w:t>网站发布</w:t>
      </w:r>
      <w:r>
        <w:rPr>
          <w:rFonts w:hint="eastAsia" w:ascii="宋体" w:hAnsi="宋体" w:eastAsia="宋体"/>
          <w:color w:val="auto"/>
          <w:sz w:val="24"/>
          <w:highlight w:val="none"/>
        </w:rPr>
        <w:t>的内容为准。当招标文件的澄清、修改在同一内容的表述不一致时，以</w:t>
      </w:r>
      <w:r>
        <w:rPr>
          <w:rFonts w:hint="eastAsia" w:ascii="宋体" w:hAnsi="宋体" w:eastAsia="宋体"/>
          <w:color w:val="auto"/>
          <w:sz w:val="24"/>
          <w:szCs w:val="24"/>
          <w:highlight w:val="none"/>
          <w:lang w:eastAsia="zh-CN"/>
        </w:rPr>
        <w:t>广州公共资源交易</w:t>
      </w:r>
      <w:r>
        <w:rPr>
          <w:rFonts w:hint="eastAsia" w:ascii="宋体" w:hAnsi="宋体" w:eastAsia="宋体"/>
          <w:color w:val="auto"/>
          <w:sz w:val="24"/>
          <w:szCs w:val="24"/>
          <w:highlight w:val="none"/>
        </w:rPr>
        <w:t>网站</w:t>
      </w:r>
      <w:r>
        <w:rPr>
          <w:rFonts w:hint="eastAsia" w:ascii="宋体" w:hAnsi="宋体" w:eastAsia="宋体"/>
          <w:color w:val="auto"/>
          <w:sz w:val="24"/>
          <w:highlight w:val="none"/>
        </w:rPr>
        <w:t>最后发布的内容为准。</w:t>
      </w:r>
    </w:p>
    <w:p w14:paraId="7E839120">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9.5为使投标人在编制投标文件时有充分的时间对招标文件的澄清或修改等内容考虑进去，招标人将酌情延长递交投标文件的截止时间，具体时间将在招标文件的澄清或修改中予以明确。若澄清或修改中没有明确延长时间，即表示投标时间不延长。</w:t>
      </w:r>
    </w:p>
    <w:p w14:paraId="4BCD01EB">
      <w:pPr>
        <w:pStyle w:val="3"/>
        <w:spacing w:before="120"/>
        <w:rPr>
          <w:rFonts w:ascii="宋体" w:eastAsia="宋体"/>
          <w:color w:val="auto"/>
          <w:highlight w:val="none"/>
        </w:rPr>
      </w:pPr>
      <w:bookmarkStart w:id="79" w:name="_（三）投标文件的编制"/>
      <w:bookmarkEnd w:id="79"/>
      <w:bookmarkStart w:id="80" w:name="_Toc8016"/>
      <w:bookmarkStart w:id="81" w:name="_Toc11866"/>
      <w:bookmarkStart w:id="82" w:name="_Toc30725"/>
      <w:bookmarkStart w:id="83" w:name="_Toc26506"/>
      <w:bookmarkStart w:id="84" w:name="_Toc13014"/>
      <w:bookmarkStart w:id="85" w:name="_Toc13948"/>
      <w:bookmarkStart w:id="86" w:name="_Toc32165"/>
      <w:bookmarkStart w:id="87" w:name="_Toc101777614"/>
      <w:bookmarkStart w:id="88" w:name="_Toc262229165"/>
      <w:bookmarkStart w:id="89" w:name="_Toc16402"/>
      <w:bookmarkStart w:id="90" w:name="_Toc391"/>
      <w:bookmarkStart w:id="91" w:name="_Toc8649"/>
      <w:r>
        <w:rPr>
          <w:rFonts w:hint="eastAsia" w:ascii="宋体" w:eastAsia="宋体"/>
          <w:color w:val="auto"/>
          <w:highlight w:val="none"/>
        </w:rPr>
        <w:t>（三）投标文件的编制</w:t>
      </w:r>
      <w:bookmarkEnd w:id="80"/>
      <w:bookmarkEnd w:id="81"/>
      <w:bookmarkEnd w:id="82"/>
      <w:bookmarkEnd w:id="83"/>
      <w:bookmarkEnd w:id="84"/>
      <w:bookmarkEnd w:id="85"/>
      <w:bookmarkEnd w:id="86"/>
      <w:bookmarkEnd w:id="87"/>
      <w:bookmarkEnd w:id="88"/>
      <w:bookmarkEnd w:id="89"/>
      <w:bookmarkEnd w:id="90"/>
      <w:bookmarkEnd w:id="91"/>
    </w:p>
    <w:p w14:paraId="31BAC311">
      <w:pPr>
        <w:pStyle w:val="14"/>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10．投标文件的语言及度量衡单位</w:t>
      </w:r>
    </w:p>
    <w:p w14:paraId="7C76A064">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10.1 投标文件和与投标有关的所有文件均应使用中文。</w:t>
      </w:r>
    </w:p>
    <w:p w14:paraId="1A5774C8">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10.2 除工程规范另有规定外，投标文件使用的度量衡单位，均采用中华人民共和国法定计量单位。</w:t>
      </w:r>
    </w:p>
    <w:p w14:paraId="72FB407E">
      <w:pPr>
        <w:pStyle w:val="14"/>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11．投标文件的组成</w:t>
      </w:r>
    </w:p>
    <w:p w14:paraId="713F84B3">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11.1投标文件由资格审查部分和技术经济部分两部分组成。</w:t>
      </w:r>
    </w:p>
    <w:p w14:paraId="6B291E54">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11.2资格审查文件主要包括的内容：</w:t>
      </w:r>
    </w:p>
    <w:p w14:paraId="6B0DA7F9">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11.2.1法定代表人证明书，如投标文件为委托代理人签署应同时附上法定代表人证明书和法定代表人授权书；</w:t>
      </w:r>
    </w:p>
    <w:p w14:paraId="19C48BBD">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11.2.2</w:t>
      </w:r>
      <w:r>
        <w:rPr>
          <w:rFonts w:hint="eastAsia" w:ascii="宋体" w:hAnsi="宋体" w:eastAsia="宋体"/>
          <w:color w:val="auto"/>
          <w:sz w:val="24"/>
          <w:szCs w:val="24"/>
          <w:highlight w:val="none"/>
        </w:rPr>
        <w:t>工商行政管理部门核发的</w:t>
      </w:r>
      <w:r>
        <w:rPr>
          <w:rFonts w:hint="eastAsia" w:ascii="宋体" w:hAnsi="宋体" w:eastAsia="宋体"/>
          <w:bCs/>
          <w:color w:val="auto"/>
          <w:sz w:val="24"/>
          <w:szCs w:val="24"/>
          <w:highlight w:val="none"/>
        </w:rPr>
        <w:t>营业执照；</w:t>
      </w:r>
    </w:p>
    <w:p w14:paraId="5582D602">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11.2.3项目负责人（按招标公告要求和网上投标登记时选择拟投标的项目负责人）</w:t>
      </w:r>
      <w:r>
        <w:rPr>
          <w:rFonts w:hint="eastAsia" w:ascii="宋体" w:hAnsi="宋体" w:eastAsia="宋体"/>
          <w:color w:val="auto"/>
          <w:kern w:val="0"/>
          <w:sz w:val="24"/>
          <w:szCs w:val="24"/>
          <w:highlight w:val="none"/>
        </w:rPr>
        <w:t>；</w:t>
      </w:r>
    </w:p>
    <w:p w14:paraId="22DD5B6F">
      <w:p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11.2.4用于资格审查的业绩（设置业绩要求时选择此项，投标人选择用于资格审查的业绩须用本企业的CA数字证书对生成的内容进行签章）；</w:t>
      </w:r>
    </w:p>
    <w:p w14:paraId="58D965AD">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11.2.5</w:t>
      </w:r>
      <w:r>
        <w:rPr>
          <w:rFonts w:hint="eastAsia" w:ascii="宋体" w:hAnsi="宋体" w:eastAsia="宋体"/>
          <w:color w:val="auto"/>
          <w:sz w:val="24"/>
          <w:szCs w:val="24"/>
          <w:highlight w:val="none"/>
        </w:rPr>
        <w:t>专职安全人员须具有在有效期内的安全生产考核合格证书（C类），或能够提供广东省建筑施工企业管理人员安全生产考核信息系统安全生产管理人员证书信息的打印页</w:t>
      </w:r>
      <w:r>
        <w:rPr>
          <w:rFonts w:hint="eastAsia" w:ascii="宋体" w:hAnsi="宋体" w:eastAsia="宋体"/>
          <w:bCs/>
          <w:color w:val="auto"/>
          <w:sz w:val="24"/>
          <w:szCs w:val="24"/>
          <w:highlight w:val="none"/>
        </w:rPr>
        <w:t>（按网上投标登记时选择拟派专职安全员）；</w:t>
      </w:r>
    </w:p>
    <w:p w14:paraId="7A96D4F9">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bCs/>
          <w:color w:val="auto"/>
          <w:sz w:val="24"/>
          <w:szCs w:val="24"/>
          <w:highlight w:val="none"/>
        </w:rPr>
        <w:t>11.2.6</w:t>
      </w:r>
      <w:r>
        <w:rPr>
          <w:rFonts w:hint="eastAsia" w:ascii="宋体" w:hAnsi="宋体" w:eastAsia="宋体"/>
          <w:color w:val="auto"/>
          <w:sz w:val="24"/>
          <w:szCs w:val="24"/>
          <w:highlight w:val="none"/>
        </w:rPr>
        <w:t>投标人按照规定的格式及内容要求签署的《投标人声明》（格式见第四章）；</w:t>
      </w:r>
    </w:p>
    <w:p w14:paraId="28DCF1EB">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11.2.7列明主办单位的联合体工作协议（采用联合体投标时需递交，投标人拟任本工程项目负责人应为联合体主办方企业信息登记中的在册人员，联合体工作协议应明确约定各方拟承担的工作和责任）；</w:t>
      </w:r>
    </w:p>
    <w:p w14:paraId="5E7D3618">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11.2.8未被列入国家、省、市失信联合惩戒名单（具体名单以递交投标文件截止时间“信用广州”网站公布的“失信联合惩戒黑名单——国家下发”为准），或未因失信行为被本项目所在地行政主管部门作出限制参与工程建设项目投标的决定。</w:t>
      </w:r>
    </w:p>
    <w:p w14:paraId="4D5C4CF0">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注：资格审查内容的11.2.2至11.2.5项</w:t>
      </w:r>
      <w:r>
        <w:rPr>
          <w:rFonts w:hint="eastAsia" w:ascii="宋体" w:hAnsi="宋体" w:eastAsia="宋体"/>
          <w:color w:val="auto"/>
          <w:sz w:val="24"/>
          <w:szCs w:val="24"/>
          <w:highlight w:val="none"/>
        </w:rPr>
        <w:t>（除广东省建筑施工企业管理人员安全生产考核信息系统安全生产管理人员证书信息的打印页、《信息公开证明》打印页外）的资料取自</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在</w:t>
      </w:r>
      <w:r>
        <w:rPr>
          <w:rFonts w:hint="eastAsia" w:ascii="宋体" w:hAnsi="宋体" w:eastAsia="宋体"/>
          <w:color w:val="auto"/>
          <w:sz w:val="24"/>
          <w:szCs w:val="24"/>
          <w:highlight w:val="none"/>
          <w:lang w:eastAsia="zh-CN"/>
        </w:rPr>
        <w:t>广州公共资源交易平台</w:t>
      </w:r>
      <w:r>
        <w:rPr>
          <w:rFonts w:hint="eastAsia" w:ascii="宋体" w:hAnsi="宋体" w:eastAsia="宋体"/>
          <w:color w:val="auto"/>
          <w:sz w:val="24"/>
          <w:szCs w:val="24"/>
          <w:highlight w:val="none"/>
        </w:rPr>
        <w:t>企业库、城市园林绿化企业工程业绩库中的资料，</w:t>
      </w:r>
      <w:r>
        <w:rPr>
          <w:rFonts w:hint="eastAsia" w:ascii="宋体" w:hAnsi="宋体" w:eastAsia="宋体"/>
          <w:color w:val="auto"/>
          <w:sz w:val="24"/>
          <w:szCs w:val="24"/>
          <w:highlight w:val="none"/>
          <w:lang w:eastAsia="zh-CN"/>
        </w:rPr>
        <w:t>广州公共资源交易平台</w:t>
      </w:r>
      <w:r>
        <w:rPr>
          <w:rFonts w:hint="eastAsia" w:ascii="宋体" w:hAnsi="宋体" w:eastAsia="宋体"/>
          <w:color w:val="auto"/>
          <w:sz w:val="24"/>
          <w:szCs w:val="24"/>
          <w:highlight w:val="none"/>
        </w:rPr>
        <w:t>企业库、城市园林绿化企业工程业绩库中该部分信息将被视为</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递交的资格审查资料的一部分，</w:t>
      </w:r>
      <w:r>
        <w:rPr>
          <w:rFonts w:hint="eastAsia" w:ascii="宋体" w:hAnsi="宋体" w:eastAsia="宋体"/>
          <w:bCs/>
          <w:color w:val="auto"/>
          <w:sz w:val="24"/>
          <w:szCs w:val="24"/>
          <w:highlight w:val="none"/>
        </w:rPr>
        <w:t>资格审查文件不需另行提交。</w:t>
      </w:r>
    </w:p>
    <w:p w14:paraId="00790E5D">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11.3技术部分</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施工组织方案</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文件（办法二可选）：</w:t>
      </w:r>
    </w:p>
    <w:p w14:paraId="17C7C6D5">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技术部分</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施工组织方案</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文件评审采用“暗标形式”，文件中不得出现名称、印章、商标、投标金额等记认符号（或使人辨认出投标人或其专业技术人员的身份）或出现涉及人员姓名、简历等暴露投标人身份的内容。技术部分</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施工组织方案</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文件投标文件应包含但不限于一下内容：</w:t>
      </w:r>
    </w:p>
    <w:p w14:paraId="0C9DBA33">
      <w:pPr>
        <w:numPr>
          <w:ilvl w:val="0"/>
          <w:numId w:val="1"/>
          <w:numberingChange w:id="0" w:author="hu" w:date="2020-08-20T14:18:00Z" w:original="（%1:1:0:）"/>
        </w:num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eastAsia="zh-CN"/>
        </w:rPr>
        <w:t>技术部分（施工组织方案）</w:t>
      </w:r>
      <w:r>
        <w:rPr>
          <w:rFonts w:hint="eastAsia" w:ascii="宋体" w:hAnsi="宋体" w:eastAsia="宋体"/>
          <w:bCs/>
          <w:color w:val="auto"/>
          <w:sz w:val="24"/>
          <w:szCs w:val="24"/>
          <w:highlight w:val="none"/>
        </w:rPr>
        <w:t>文件以A4（210mm*297mm）规格编排；</w:t>
      </w:r>
    </w:p>
    <w:p w14:paraId="01637915">
      <w:pPr>
        <w:numPr>
          <w:ilvl w:val="0"/>
          <w:numId w:val="1"/>
          <w:numberingChange w:id="1" w:author="hu" w:date="2020-08-20T14:18:00Z" w:original="（%1:2:0:）"/>
        </w:num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lang w:eastAsia="zh-CN"/>
        </w:rPr>
        <w:t>技术部分（施工组织方案）</w:t>
      </w:r>
      <w:r>
        <w:rPr>
          <w:rFonts w:hint="eastAsia" w:ascii="宋体" w:hAnsi="宋体" w:eastAsia="宋体"/>
          <w:bCs/>
          <w:color w:val="auto"/>
          <w:sz w:val="24"/>
          <w:szCs w:val="24"/>
          <w:highlight w:val="none"/>
        </w:rPr>
        <w:t>文件页数最多不超过</w:t>
      </w:r>
      <w:r>
        <w:rPr>
          <w:rFonts w:hint="eastAsia" w:ascii="宋体" w:hAnsi="宋体" w:eastAsia="宋体"/>
          <w:bCs/>
          <w:color w:val="auto"/>
          <w:sz w:val="24"/>
          <w:szCs w:val="24"/>
          <w:highlight w:val="none"/>
          <w:u w:val="single"/>
        </w:rPr>
        <w:t xml:space="preserve">   </w:t>
      </w:r>
      <w:r>
        <w:rPr>
          <w:rFonts w:hint="eastAsia" w:ascii="宋体" w:hAnsi="宋体" w:eastAsia="宋体"/>
          <w:bCs/>
          <w:color w:val="auto"/>
          <w:sz w:val="24"/>
          <w:szCs w:val="24"/>
          <w:highlight w:val="none"/>
        </w:rPr>
        <w:t>页（</w:t>
      </w:r>
      <w:r>
        <w:rPr>
          <w:rFonts w:hint="eastAsia" w:ascii="宋体" w:hAnsi="宋体" w:eastAsia="宋体"/>
          <w:bCs/>
          <w:color w:val="auto"/>
          <w:sz w:val="24"/>
          <w:szCs w:val="24"/>
          <w:highlight w:val="none"/>
          <w:u w:val="single"/>
        </w:rPr>
        <w:t>50</w:t>
      </w:r>
      <w:r>
        <w:rPr>
          <w:rFonts w:hint="eastAsia" w:ascii="宋体" w:hAnsi="宋体" w:eastAsia="宋体"/>
          <w:bCs/>
          <w:color w:val="auto"/>
          <w:sz w:val="24"/>
          <w:szCs w:val="24"/>
          <w:highlight w:val="none"/>
        </w:rPr>
        <w:t>页，不包括封面及目录页）；</w:t>
      </w:r>
    </w:p>
    <w:p w14:paraId="3BF8D0D8">
      <w:pPr>
        <w:numPr>
          <w:ilvl w:val="0"/>
          <w:numId w:val="1"/>
          <w:numberingChange w:id="2" w:author="hu" w:date="2020-08-20T14:18:00Z" w:original="（%1:3:0:）"/>
        </w:num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lang w:eastAsia="zh-CN"/>
        </w:rPr>
        <w:t>技术部分（施工组织方案）</w:t>
      </w:r>
      <w:r>
        <w:rPr>
          <w:rFonts w:hint="eastAsia" w:ascii="宋体" w:hAnsi="宋体" w:eastAsia="宋体"/>
          <w:bCs/>
          <w:color w:val="auto"/>
          <w:sz w:val="24"/>
          <w:szCs w:val="24"/>
          <w:highlight w:val="none"/>
        </w:rPr>
        <w:t>文件正文内容：</w:t>
      </w:r>
    </w:p>
    <w:p w14:paraId="0081A7C3">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①封面：写明项目名称、编制年月；</w:t>
      </w:r>
    </w:p>
    <w:p w14:paraId="0819C9AA">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②目录；</w:t>
      </w:r>
    </w:p>
    <w:p w14:paraId="7AA6E5C5">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③概况；</w:t>
      </w:r>
    </w:p>
    <w:p w14:paraId="3B3B9F9D">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④工作目标与组织架构；</w:t>
      </w:r>
    </w:p>
    <w:p w14:paraId="0CEE335C">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⑤现状调研与分析；</w:t>
      </w:r>
    </w:p>
    <w:p w14:paraId="5FCF9A44">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⑥实施方案；</w:t>
      </w:r>
    </w:p>
    <w:p w14:paraId="7D4EF9AF">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⑦投资及风险控制；</w:t>
      </w:r>
    </w:p>
    <w:p w14:paraId="2A602DD2">
      <w:pPr>
        <w:spacing w:line="360" w:lineRule="auto"/>
        <w:ind w:left="420" w:left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⑧投标人认为有必要提供的其他资料</w:t>
      </w:r>
    </w:p>
    <w:p w14:paraId="62B19E75">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11.4</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主要包括的内容：</w:t>
      </w:r>
    </w:p>
    <w:p w14:paraId="45013BAF">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11.4.1《投标函》（格式见第四章）；</w:t>
      </w:r>
    </w:p>
    <w:p w14:paraId="13A6215A">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11.4.2《广州园林绿化工程施工招标投标书》（格式见第四章）；</w:t>
      </w:r>
    </w:p>
    <w:p w14:paraId="15920102">
      <w:pPr>
        <w:spacing w:line="360" w:lineRule="auto"/>
        <w:ind w:right="-290" w:rightChars="-138"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11.4.3《响应招标文件所附施工组织设计要点的承诺书》（格式见第四章）；</w:t>
      </w:r>
    </w:p>
    <w:p w14:paraId="0D3A1725">
      <w:pPr>
        <w:spacing w:line="360" w:lineRule="auto"/>
        <w:ind w:right="-290" w:rightChars="-138"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11.4.4《对投标文件编制的承诺》（格式见第四章）；</w:t>
      </w:r>
    </w:p>
    <w:p w14:paraId="17BFA9E5">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11.4.5项目管理机构能力（办法二可选）；</w:t>
      </w:r>
    </w:p>
    <w:p w14:paraId="63F4A7FC">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（1）投标人应列出本工程的施工组织机构构成和画出机构框架图及其负责人；</w:t>
      </w:r>
    </w:p>
    <w:p w14:paraId="7AE3B7F7">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（2）投标人应详细列出本工程组织机构中主要成员的名单、简历资料、职务职称和在本项目中拟担任的职务等资料，并附上有关证明材料复印件；</w:t>
      </w:r>
    </w:p>
    <w:p w14:paraId="7B246944">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（3）项目负责人能力、企业技术力量配备情况</w:t>
      </w:r>
    </w:p>
    <w:p w14:paraId="4E22E256">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（4）其他辅助说明资料。</w:t>
      </w:r>
    </w:p>
    <w:p w14:paraId="1D84DC0B">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11.4.6机械设备投入情况（办法二可选）；</w:t>
      </w:r>
    </w:p>
    <w:p w14:paraId="6995815C">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（1）机械设备为自有或租赁的说明；</w:t>
      </w:r>
    </w:p>
    <w:p w14:paraId="3B7748BE">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（2）若机械设备为租赁，租赁期应满足本工程工期要求，并承诺其租赁不属于重复租赁。</w:t>
      </w:r>
    </w:p>
    <w:p w14:paraId="236308E3">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11.4.7企业施工经验（投标人选择用于评标的业绩须用本企业的CA数字证书对生成的内容进行签章。业绩资料取自投标人在</w:t>
      </w:r>
      <w:r>
        <w:rPr>
          <w:rFonts w:hint="eastAsia" w:ascii="宋体" w:hAnsi="宋体" w:eastAsia="宋体"/>
          <w:color w:val="auto"/>
          <w:sz w:val="24"/>
          <w:szCs w:val="24"/>
          <w:highlight w:val="none"/>
        </w:rPr>
        <w:t>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城市园林绿化企业工程业绩库中的资料，</w:t>
      </w:r>
      <w:r>
        <w:rPr>
          <w:rFonts w:hint="eastAsia" w:ascii="宋体" w:hAnsi="宋体" w:eastAsia="宋体"/>
          <w:bCs/>
          <w:color w:val="auto"/>
          <w:sz w:val="24"/>
          <w:szCs w:val="24"/>
          <w:highlight w:val="none"/>
        </w:rPr>
        <w:t>在</w:t>
      </w:r>
      <w:r>
        <w:rPr>
          <w:rFonts w:hint="eastAsia" w:ascii="宋体" w:hAnsi="宋体" w:eastAsia="宋体"/>
          <w:color w:val="auto"/>
          <w:sz w:val="24"/>
          <w:szCs w:val="24"/>
          <w:highlight w:val="none"/>
        </w:rPr>
        <w:t>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城市园林绿化企业工程业绩库记录的该部分资料将被视为投标人递交的投标资料的一部分，投标资料不需另行提交。</w:t>
      </w:r>
      <w:r>
        <w:rPr>
          <w:rFonts w:hint="eastAsia" w:ascii="宋体" w:hAnsi="宋体" w:eastAsia="宋体"/>
          <w:bCs/>
          <w:color w:val="auto"/>
          <w:sz w:val="24"/>
          <w:szCs w:val="24"/>
          <w:highlight w:val="none"/>
        </w:rPr>
        <w:t>）</w:t>
      </w:r>
    </w:p>
    <w:p w14:paraId="349988F4">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11.4.8其他评审内容（办法二可选）；</w:t>
      </w:r>
    </w:p>
    <w:p w14:paraId="7E9C326F">
      <w:pPr>
        <w:tabs>
          <w:tab w:val="left" w:pos="1125"/>
        </w:tabs>
        <w:spacing w:line="360" w:lineRule="auto"/>
        <w:ind w:firstLine="480" w:firstLineChars="200"/>
        <w:rPr>
          <w:rFonts w:ascii="宋体" w:hAnsi="宋体" w:eastAsia="宋体"/>
          <w:color w:val="auto"/>
          <w:sz w:val="24"/>
          <w:szCs w:val="24"/>
          <w:highlight w:val="none"/>
        </w:rPr>
      </w:pPr>
      <w:r>
        <w:rPr>
          <w:rFonts w:hint="eastAsia" w:ascii="宋体" w:hAnsi="宋体" w:eastAsia="宋体"/>
          <w:bCs/>
          <w:color w:val="auto"/>
          <w:sz w:val="24"/>
          <w:szCs w:val="24"/>
          <w:highlight w:val="none"/>
        </w:rPr>
        <w:t>11.4.11经济部分</w:t>
      </w:r>
      <w:r>
        <w:rPr>
          <w:rFonts w:hint="eastAsia" w:ascii="宋体" w:hAnsi="宋体" w:eastAsia="宋体"/>
          <w:color w:val="auto"/>
          <w:sz w:val="24"/>
          <w:szCs w:val="24"/>
          <w:highlight w:val="none"/>
        </w:rPr>
        <w:t>文件包括</w:t>
      </w:r>
      <w:r>
        <w:rPr>
          <w:rFonts w:hint="eastAsia" w:ascii="宋体" w:hAnsi="宋体" w:eastAsia="宋体"/>
          <w:color w:val="auto"/>
          <w:sz w:val="24"/>
          <w:highlight w:val="none"/>
        </w:rPr>
        <w:t>：</w:t>
      </w:r>
    </w:p>
    <w:p w14:paraId="30780337">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p>
    <w:p w14:paraId="57FFD2B0">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11.4.12若投标人的投标报价低于工程成本警戒价的，投标人还须提供详细的施工组织设计、单价、措施性费用、单价分析表、主要材料价格表、投标人成本分析供评标委员会评审；</w:t>
      </w:r>
    </w:p>
    <w:p w14:paraId="5A8E6797">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11.4.13招标文件要求的其他内容。</w:t>
      </w:r>
    </w:p>
    <w:p w14:paraId="759B5CD4">
      <w:pPr>
        <w:tabs>
          <w:tab w:val="left" w:pos="1125"/>
        </w:tabs>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11.5工程量清单的组成、编制、计价、格式、项目编码、项目名称、工程内容、计量单位和工程量计算规则按照招标人给出的工程量清单及国家、省有关计价规范执行。</w:t>
      </w:r>
    </w:p>
    <w:p w14:paraId="5E30B374">
      <w:pPr>
        <w:pStyle w:val="14"/>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11.6投标人应使用符合《广东省工程造价文件数据交换标准（电子评标部分） 交易中心实施细则》的计价软件制作工程量清单报价表和单价分析表（如本招标文件要求单价分析表）。</w:t>
      </w:r>
    </w:p>
    <w:p w14:paraId="42D90B13">
      <w:pPr>
        <w:spacing w:line="360" w:lineRule="auto"/>
        <w:ind w:firstLine="470" w:firstLineChars="196"/>
        <w:rPr>
          <w:rFonts w:ascii="宋体" w:hAnsi="宋体" w:eastAsia="宋体"/>
          <w:color w:val="auto"/>
          <w:sz w:val="24"/>
          <w:szCs w:val="24"/>
          <w:highlight w:val="none"/>
        </w:rPr>
      </w:pPr>
      <w:r>
        <w:rPr>
          <w:rFonts w:hint="eastAsia" w:ascii="宋体" w:hAnsi="宋体" w:eastAsia="宋体"/>
          <w:color w:val="auto"/>
          <w:sz w:val="24"/>
          <w:szCs w:val="24"/>
          <w:highlight w:val="none"/>
        </w:rPr>
        <w:t>11.7投标人应使用广州公共资源交易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的投标文件管理软件进行投标文件的合成、电子签名</w:t>
      </w:r>
      <w:r>
        <w:rPr>
          <w:rFonts w:hint="eastAsia" w:ascii="宋体" w:hAnsi="宋体" w:eastAsia="宋体" w:cs="仿宋_GB2312"/>
          <w:color w:val="auto"/>
          <w:sz w:val="24"/>
          <w:szCs w:val="24"/>
          <w:highlight w:val="none"/>
        </w:rPr>
        <w:t>、电子签章及加密打包工作，所有电子投标文件不能进行压缩处理。电子投标文件统一采用网络上传的形式，投标人需登录</w:t>
      </w:r>
      <w:r>
        <w:rPr>
          <w:rFonts w:hint="eastAsia" w:ascii="宋体" w:hAnsi="宋体" w:eastAsia="宋体" w:cs="仿宋_GB2312"/>
          <w:color w:val="auto"/>
          <w:sz w:val="24"/>
          <w:szCs w:val="24"/>
          <w:highlight w:val="none"/>
          <w:lang w:eastAsia="zh-CN"/>
        </w:rPr>
        <w:t>广州公共资源交易</w:t>
      </w:r>
      <w:r>
        <w:rPr>
          <w:rFonts w:hint="eastAsia" w:ascii="宋体" w:hAnsi="宋体" w:eastAsia="宋体" w:cs="仿宋_GB2312"/>
          <w:color w:val="auto"/>
          <w:sz w:val="24"/>
          <w:szCs w:val="24"/>
          <w:highlight w:val="none"/>
        </w:rPr>
        <w:t>网站投标人服务区在递交投标文件截止时间前完整上传至广州公共资源交易</w:t>
      </w:r>
      <w:r>
        <w:rPr>
          <w:rFonts w:hint="eastAsia" w:ascii="宋体" w:hAnsi="宋体" w:eastAsia="宋体" w:cs="仿宋_GB2312"/>
          <w:color w:val="auto"/>
          <w:sz w:val="24"/>
          <w:szCs w:val="24"/>
          <w:highlight w:val="none"/>
          <w:lang w:eastAsia="zh-CN"/>
        </w:rPr>
        <w:t>平台</w:t>
      </w:r>
      <w:r>
        <w:rPr>
          <w:rFonts w:hint="eastAsia" w:ascii="宋体" w:hAnsi="宋体" w:eastAsia="宋体" w:cs="仿宋_GB2312"/>
          <w:color w:val="auto"/>
          <w:sz w:val="24"/>
          <w:szCs w:val="24"/>
          <w:highlight w:val="none"/>
        </w:rPr>
        <w:t>的信息系统。</w:t>
      </w:r>
    </w:p>
    <w:p w14:paraId="1804835A">
      <w:pPr>
        <w:pStyle w:val="14"/>
        <w:spacing w:after="0" w:line="360" w:lineRule="auto"/>
        <w:ind w:firstLine="480" w:firstLineChars="200"/>
        <w:rPr>
          <w:rFonts w:ascii="宋体" w:hAnsi="宋体" w:eastAsia="宋体"/>
          <w:bCs/>
          <w:color w:val="auto"/>
          <w:sz w:val="24"/>
          <w:szCs w:val="24"/>
          <w:highlight w:val="none"/>
        </w:rPr>
      </w:pPr>
      <w:r>
        <w:rPr>
          <w:rFonts w:hint="eastAsia" w:ascii="宋体" w:hAnsi="宋体" w:eastAsia="宋体"/>
          <w:color w:val="auto"/>
          <w:sz w:val="24"/>
          <w:szCs w:val="24"/>
          <w:highlight w:val="none"/>
        </w:rPr>
        <w:t>11.8</w:t>
      </w:r>
      <w:r>
        <w:rPr>
          <w:rFonts w:hint="eastAsia" w:ascii="宋体" w:hAnsi="宋体" w:eastAsia="宋体"/>
          <w:bCs/>
          <w:color w:val="auto"/>
          <w:sz w:val="24"/>
          <w:szCs w:val="24"/>
          <w:highlight w:val="none"/>
        </w:rPr>
        <w:t>投标人应使用依法设立的电子认证服务机构签发的电子签名认证证书对电子投标文件进行电子签名</w:t>
      </w:r>
      <w:r>
        <w:rPr>
          <w:rFonts w:hint="eastAsia" w:ascii="宋体" w:hAnsi="宋体" w:eastAsia="宋体" w:cs="仿宋_GB2312"/>
          <w:color w:val="auto"/>
          <w:sz w:val="24"/>
          <w:szCs w:val="24"/>
          <w:highlight w:val="none"/>
        </w:rPr>
        <w:t>及电子签章</w:t>
      </w:r>
      <w:r>
        <w:rPr>
          <w:rFonts w:hint="eastAsia" w:ascii="宋体" w:hAnsi="宋体" w:eastAsia="宋体"/>
          <w:bCs/>
          <w:color w:val="auto"/>
          <w:sz w:val="24"/>
          <w:szCs w:val="24"/>
          <w:highlight w:val="none"/>
        </w:rPr>
        <w:t>。该电子签名</w:t>
      </w:r>
      <w:r>
        <w:rPr>
          <w:rFonts w:hint="eastAsia" w:ascii="宋体" w:hAnsi="宋体" w:eastAsia="宋体" w:cs="仿宋_GB2312"/>
          <w:color w:val="auto"/>
          <w:sz w:val="24"/>
          <w:szCs w:val="24"/>
          <w:highlight w:val="none"/>
        </w:rPr>
        <w:t>及电子签章</w:t>
      </w:r>
      <w:r>
        <w:rPr>
          <w:rFonts w:hint="eastAsia" w:ascii="宋体" w:hAnsi="宋体" w:eastAsia="宋体"/>
          <w:bCs/>
          <w:color w:val="auto"/>
          <w:sz w:val="24"/>
          <w:szCs w:val="24"/>
          <w:highlight w:val="none"/>
        </w:rPr>
        <w:t>与手写签名或者盖章具有同等的法律效力。</w:t>
      </w:r>
    </w:p>
    <w:p w14:paraId="3C6DB25A">
      <w:p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11.9除工程量清单报价表相关的内容、《广州园林绿化工程施工招标投标书》外，投标文件的其他内容均以电子文件（纸质原件的扫描件）编制，其格式要求详见第四章投标文件格式说明。</w:t>
      </w:r>
    </w:p>
    <w:p w14:paraId="792C829D">
      <w:pPr>
        <w:pStyle w:val="14"/>
        <w:spacing w:after="0"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11.10投标文件应按上述的编排要求编制。如因不按上述编排要求编制而所引起系统无法检索、读取相关信息时，其后果由投标人承担。</w:t>
      </w:r>
    </w:p>
    <w:p w14:paraId="2CDBBF2D">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12．投标文件格式</w:t>
      </w:r>
    </w:p>
    <w:p w14:paraId="209C8D20">
      <w:pPr>
        <w:pStyle w:val="14"/>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highlight w:val="none"/>
        </w:rPr>
        <w:t>12.1投标人递交的投标文件应当使用招标文件所规定的投标文件全部格式。</w:t>
      </w:r>
    </w:p>
    <w:p w14:paraId="4D944CBF">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12.2投标人应仔细阅读第四章投标文件格式的相关规定和要求。如电子投标文件未按规定的格式填写，或主要内容不全，或关键字迹模糊、无法辨认造成无法满足评标需要的，经评标委员会审查否决其投标。</w:t>
      </w:r>
    </w:p>
    <w:p w14:paraId="545B6A56">
      <w:pPr>
        <w:pStyle w:val="14"/>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13．投标报价及造价承包和变更结算方式</w:t>
      </w:r>
    </w:p>
    <w:p w14:paraId="2D192BFB">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13.1 本工程的投标报价采用投标须知前附表第12项所规定的方式。投标文件中的大写金额和小写金额不一致的，以大写金额为准。投标报价（含单价及总价）精确到“分”。</w:t>
      </w:r>
    </w:p>
    <w:p w14:paraId="55A5442F">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13.2招标人按照招标图纸制定工程量清单，该清单载于本招标文件第七章中，投标人按照招标人提供的工程量清单中列出的工程项目和工程量填报单价和合价。每一项目只允许有一个报价。任何有选择的报价将不予接受。投标人未填报单价或合价的工程项目，视为完成该工程项目所需费用已包含在其它有价款的竞争性报价内，在实施后，招标人将不予支付。</w:t>
      </w:r>
    </w:p>
    <w:p w14:paraId="60354973">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w:t>
      </w:r>
      <w:r>
        <w:rPr>
          <w:rFonts w:hint="eastAsia" w:ascii="宋体" w:hAnsi="宋体" w:eastAsia="宋体"/>
          <w:color w:val="auto"/>
          <w:sz w:val="24"/>
          <w:szCs w:val="24"/>
          <w:highlight w:val="none"/>
        </w:rPr>
        <w:t>有关规费、暂列金额、暂估价等非竞争性项目明列了单价或合价金额的，投标人应按照明列的单价或合价金额报价，未按照规定金额报价的，由评标委员会按照招标文件规定的金额进行修正。</w:t>
      </w:r>
    </w:p>
    <w:p w14:paraId="261C8743">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13.4</w:t>
      </w:r>
      <w:r>
        <w:rPr>
          <w:rFonts w:hint="eastAsia" w:ascii="宋体" w:hAnsi="宋体" w:eastAsia="宋体"/>
          <w:color w:val="auto"/>
          <w:sz w:val="24"/>
          <w:szCs w:val="24"/>
          <w:highlight w:val="non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w:t>
      </w:r>
    </w:p>
    <w:p w14:paraId="432BDA84">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13.5 变更结算方式按招标文件及施工合同相关规定执行。</w:t>
      </w:r>
    </w:p>
    <w:p w14:paraId="04D9472A">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w:t>
      </w:r>
      <w:r>
        <w:rPr>
          <w:rFonts w:hint="eastAsia" w:ascii="宋体" w:hAnsi="宋体" w:eastAsia="宋体"/>
          <w:color w:val="auto"/>
          <w:sz w:val="24"/>
          <w:szCs w:val="24"/>
          <w:highlight w:val="none"/>
        </w:rPr>
        <w:t>暂列金额、暂估价</w:t>
      </w:r>
    </w:p>
    <w:p w14:paraId="5F5742B3">
      <w:pPr>
        <w:pStyle w:val="14"/>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highlight w:val="none"/>
        </w:rPr>
        <w:t>13.6.1</w:t>
      </w:r>
      <w:r>
        <w:rPr>
          <w:rFonts w:hint="eastAsia" w:ascii="宋体" w:hAnsi="宋体" w:eastAsia="宋体"/>
          <w:color w:val="auto"/>
          <w:sz w:val="24"/>
          <w:szCs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09E93755">
      <w:pPr>
        <w:pStyle w:val="14"/>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暂估价是指招标人在工程量清单中提供的用于支付必然发生但暂时不能确定价格的材料的单价以及专业工程的金额。</w:t>
      </w:r>
    </w:p>
    <w:p w14:paraId="400DEE51">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4D98653C">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27B4C868">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555196F8">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5131E19F">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46718C45">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478E0C5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13.8属于投标人自行采购的主要材料、设备，招标人可以在招标文件中提出材料、设备的技术标准或者质量要求。如果必须引用某一生产供应者的技术标准才能准确或者清楚地说明技术标准时，可以引用不少于3个同等档次品牌或者生产供应商供投标人报价时选择，引用品牌或者生产供应商名称前应当加上“参照或相当于”的字样，引用的货物品牌或者生产公供应商在市场上应当具有可选择性。投标人在投标文件中应明确所选用主要材料、设备的品牌、厂家以及质量等级，并且应当符合招标文件的要求。</w:t>
      </w:r>
    </w:p>
    <w:p w14:paraId="373E6155">
      <w:pPr>
        <w:pStyle w:val="14"/>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14．投标货币</w:t>
      </w:r>
    </w:p>
    <w:p w14:paraId="0D862B98">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本工程投标报价采用的币种为人民币。</w:t>
      </w:r>
    </w:p>
    <w:p w14:paraId="7B072A32">
      <w:pPr>
        <w:pStyle w:val="14"/>
        <w:spacing w:after="0"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highlight w:val="none"/>
        </w:rPr>
        <w:t>15．投标有效期</w:t>
      </w:r>
    </w:p>
    <w:p w14:paraId="104FF9A4">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15.1 投标有效期见投标须知前附表第13项所规定的期限，在此期限内，凡符合本招标文件要求的投标文件均保持有效。</w:t>
      </w:r>
    </w:p>
    <w:p w14:paraId="65B7E934">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15.2 在特殊情况下，招标人在原定投标有效期内，可以根据需要以书面形式向投标人提出延长投标有效期的要求，对此要求投标人须以书面形式予以答复。投标人可以拒绝招标人这种要求，而投标保证金应当予以退还。同意延长投标有效期的投标人既不能要求也不允许修改其投标文件，但需要相应的延长投标保证金的有效期，在延长的投标有效期内，本须知第16条关于投标保证金的退还与否的规定仍然适用。</w:t>
      </w:r>
    </w:p>
    <w:p w14:paraId="76A2306D">
      <w:pPr>
        <w:pStyle w:val="14"/>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16．投标保证金</w:t>
      </w:r>
    </w:p>
    <w:p w14:paraId="70D51B0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16.1投标人应按投标须知前附表第14项所述金额和时间递交</w:t>
      </w:r>
      <w:r>
        <w:rPr>
          <w:rFonts w:hint="eastAsia" w:ascii="宋体" w:hAnsi="宋体" w:eastAsia="宋体"/>
          <w:bCs/>
          <w:color w:val="auto"/>
          <w:sz w:val="24"/>
          <w:highlight w:val="none"/>
        </w:rPr>
        <w:t>投标保证金</w:t>
      </w:r>
      <w:r>
        <w:rPr>
          <w:rFonts w:hint="eastAsia" w:ascii="宋体" w:hAnsi="宋体" w:eastAsia="宋体"/>
          <w:color w:val="auto"/>
          <w:sz w:val="24"/>
          <w:highlight w:val="none"/>
        </w:rPr>
        <w:t>。招标人可委托广州交易集团有限公司（广州公共资源交易中心）具体实施保证金的收取和退还工作</w:t>
      </w:r>
      <w:r>
        <w:rPr>
          <w:rFonts w:hint="eastAsia" w:ascii="宋体" w:hAnsi="宋体" w:eastAsia="宋体"/>
          <w:color w:val="auto"/>
          <w:sz w:val="24"/>
          <w:szCs w:val="24"/>
          <w:highlight w:val="none"/>
        </w:rPr>
        <w:t>，并按照《广</w:t>
      </w:r>
      <w:r>
        <w:rPr>
          <w:rFonts w:hint="eastAsia" w:ascii="宋体" w:hAnsi="宋体" w:eastAsia="宋体"/>
          <w:color w:val="auto"/>
          <w:sz w:val="24"/>
          <w:szCs w:val="24"/>
          <w:highlight w:val="none"/>
          <w:lang w:eastAsia="zh-CN"/>
        </w:rPr>
        <w:t>东</w:t>
      </w:r>
      <w:r>
        <w:rPr>
          <w:rFonts w:hint="eastAsia" w:ascii="宋体" w:hAnsi="宋体" w:eastAsia="宋体"/>
          <w:color w:val="auto"/>
          <w:sz w:val="24"/>
          <w:szCs w:val="24"/>
          <w:highlight w:val="none"/>
        </w:rPr>
        <w:t>省实施&lt;中华人民共和国招标投标法&gt;办法》第二十五条规定，按期退回投标保证金。</w:t>
      </w:r>
    </w:p>
    <w:p w14:paraId="06B74DEB">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16.2所有投标保证金必须由投标人的银行基本账户转出。</w:t>
      </w:r>
    </w:p>
    <w:p w14:paraId="69F93369">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16.3</w:t>
      </w:r>
      <w:r>
        <w:rPr>
          <w:rFonts w:hint="eastAsia" w:ascii="宋体" w:hAnsi="宋体" w:eastAsia="宋体" w:cs="宋体"/>
          <w:color w:val="auto"/>
          <w:sz w:val="24"/>
          <w:szCs w:val="24"/>
          <w:highlight w:val="none"/>
        </w:rPr>
        <w:t>如采用转帐、现金、支票、汇票形式提交的，</w:t>
      </w:r>
      <w:r>
        <w:rPr>
          <w:rFonts w:hint="eastAsia" w:ascii="宋体" w:hAnsi="宋体" w:eastAsia="宋体"/>
          <w:color w:val="auto"/>
          <w:sz w:val="24"/>
          <w:szCs w:val="24"/>
          <w:highlight w:val="none"/>
        </w:rPr>
        <w:t>可委托广州交易集团有限公司（广州公共资源交易中心）代收投标保证金，其缴纳情况以广州公共资源交易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数据库记录的信息为准。</w:t>
      </w:r>
    </w:p>
    <w:p w14:paraId="7EE9718F">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16.4缴费的操作详见广州公共资源交易</w:t>
      </w:r>
      <w:r>
        <w:rPr>
          <w:rFonts w:hint="eastAsia" w:ascii="宋体" w:hAnsi="宋体" w:eastAsia="宋体"/>
          <w:color w:val="auto"/>
          <w:sz w:val="24"/>
          <w:szCs w:val="24"/>
          <w:highlight w:val="none"/>
          <w:lang w:eastAsia="zh-CN"/>
        </w:rPr>
        <w:t>网站</w:t>
      </w:r>
      <w:r>
        <w:rPr>
          <w:rFonts w:hint="eastAsia" w:ascii="宋体" w:hAnsi="宋体" w:eastAsia="宋体"/>
          <w:color w:val="auto"/>
          <w:sz w:val="24"/>
          <w:szCs w:val="24"/>
          <w:highlight w:val="none"/>
        </w:rPr>
        <w:t>公布的操作指引。</w:t>
      </w:r>
    </w:p>
    <w:p w14:paraId="7AC22BE2">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16.5 投标人未按要求递交投标保证金的，其投标文件将被否决。如采用保函或保险等形式提交的，保函需开具给招标人，保函有效期不少于投标有效期。保证保险需开具给招标人（受益人必须是招标人），保证保险有效期不少于投标有效期。如采用投标保函或投标保证保险的形式提交投标保证金的，在开标前不强制要求投标人提交纸质原件，由中标候选人在中标候选人公示前提交并在网上公示，投标人应在投标文件中提交投标保函或投标保证保险扫描件并加盖投标人电子印章。</w:t>
      </w:r>
    </w:p>
    <w:p w14:paraId="706DE03D">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16.6如有下列情况之一的，招标人将不予退还投标保证金：</w:t>
      </w:r>
    </w:p>
    <w:p w14:paraId="6AEC3517">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16.6.1投标人在投标有效期内撤销投标文件；</w:t>
      </w:r>
    </w:p>
    <w:p w14:paraId="44D41ED1">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16.6.2中标人未在规定期限内按要求提交履约担保；</w:t>
      </w:r>
    </w:p>
    <w:p w14:paraId="20D5812A">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16.6.3中标人未在规定期限内签订合同。</w:t>
      </w:r>
    </w:p>
    <w:p w14:paraId="1A847B55">
      <w:pPr>
        <w:pStyle w:val="14"/>
        <w:spacing w:after="0" w:line="360" w:lineRule="auto"/>
        <w:ind w:firstLine="477" w:firstLineChars="198"/>
        <w:rPr>
          <w:rFonts w:ascii="宋体" w:hAnsi="宋体" w:eastAsia="宋体"/>
          <w:b/>
          <w:bCs/>
          <w:color w:val="auto"/>
          <w:sz w:val="24"/>
          <w:highlight w:val="none"/>
        </w:rPr>
      </w:pPr>
      <w:r>
        <w:rPr>
          <w:rFonts w:hint="eastAsia" w:ascii="宋体" w:hAnsi="宋体" w:eastAsia="宋体"/>
          <w:b/>
          <w:bCs/>
          <w:color w:val="auto"/>
          <w:sz w:val="24"/>
          <w:highlight w:val="none"/>
        </w:rPr>
        <w:t>17.投标文件的份数和签署</w:t>
      </w:r>
    </w:p>
    <w:p w14:paraId="39FACD5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szCs w:val="21"/>
          <w:highlight w:val="none"/>
        </w:rPr>
        <w:t>17.1</w:t>
      </w:r>
      <w:r>
        <w:rPr>
          <w:rFonts w:hint="eastAsia" w:ascii="宋体" w:hAnsi="宋体" w:eastAsia="宋体"/>
          <w:color w:val="auto"/>
          <w:sz w:val="24"/>
          <w:highlight w:val="none"/>
        </w:rPr>
        <w:t>投标人应按投标须知前附表第19项规定的份数递交投标文件。</w:t>
      </w:r>
    </w:p>
    <w:p w14:paraId="2B416FF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szCs w:val="24"/>
          <w:highlight w:val="none"/>
        </w:rPr>
        <w:t>17.2</w:t>
      </w:r>
      <w:r>
        <w:rPr>
          <w:rFonts w:hint="eastAsia" w:ascii="宋体" w:hAnsi="宋体" w:eastAsia="宋体"/>
          <w:color w:val="auto"/>
          <w:sz w:val="24"/>
          <w:highlight w:val="none"/>
        </w:rPr>
        <w:t>除投标人对错误处须修改外，全套投标文件应无涂改或增删，如有修改，修改处应由投标人加盖投标人的印章或由投标文件签字人签字或盖章。</w:t>
      </w:r>
    </w:p>
    <w:p w14:paraId="3391EE56">
      <w:pPr>
        <w:pStyle w:val="3"/>
        <w:spacing w:before="120"/>
        <w:rPr>
          <w:rFonts w:ascii="宋体" w:eastAsia="宋体"/>
          <w:color w:val="auto"/>
          <w:highlight w:val="none"/>
        </w:rPr>
      </w:pPr>
      <w:bookmarkStart w:id="92" w:name="_（四）投标文件的递交"/>
      <w:bookmarkEnd w:id="92"/>
      <w:bookmarkStart w:id="93" w:name="_Toc101777615"/>
      <w:bookmarkStart w:id="94" w:name="_Toc6500"/>
      <w:bookmarkStart w:id="95" w:name="_Toc27126"/>
      <w:bookmarkStart w:id="96" w:name="_Toc2267"/>
      <w:bookmarkStart w:id="97" w:name="_Toc25746"/>
      <w:bookmarkStart w:id="98" w:name="_Toc21692"/>
      <w:bookmarkStart w:id="99" w:name="_Toc21898"/>
      <w:bookmarkStart w:id="100" w:name="_Toc262229166"/>
      <w:bookmarkStart w:id="101" w:name="_Toc6908"/>
      <w:bookmarkStart w:id="102" w:name="_Toc17041"/>
      <w:bookmarkStart w:id="103" w:name="_Toc15014"/>
      <w:bookmarkStart w:id="104" w:name="_Toc4533"/>
      <w:r>
        <w:rPr>
          <w:rFonts w:hint="eastAsia" w:ascii="宋体" w:eastAsia="宋体"/>
          <w:color w:val="auto"/>
          <w:highlight w:val="none"/>
        </w:rPr>
        <w:t>（四）投标文件的递交</w:t>
      </w:r>
      <w:bookmarkEnd w:id="93"/>
      <w:bookmarkEnd w:id="94"/>
      <w:bookmarkEnd w:id="95"/>
      <w:bookmarkEnd w:id="96"/>
      <w:bookmarkEnd w:id="97"/>
      <w:bookmarkEnd w:id="98"/>
      <w:bookmarkEnd w:id="99"/>
      <w:bookmarkEnd w:id="100"/>
      <w:bookmarkEnd w:id="101"/>
      <w:bookmarkEnd w:id="102"/>
      <w:bookmarkEnd w:id="103"/>
      <w:bookmarkEnd w:id="104"/>
    </w:p>
    <w:p w14:paraId="23819216">
      <w:pPr>
        <w:pStyle w:val="14"/>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18．</w:t>
      </w:r>
      <w:r>
        <w:rPr>
          <w:rFonts w:hint="eastAsia" w:ascii="宋体" w:hAnsi="宋体" w:eastAsia="宋体"/>
          <w:b/>
          <w:color w:val="auto"/>
          <w:sz w:val="24"/>
          <w:szCs w:val="24"/>
          <w:highlight w:val="none"/>
        </w:rPr>
        <w:t>投标文件的密封</w:t>
      </w:r>
    </w:p>
    <w:p w14:paraId="24AFC1D8">
      <w:pPr>
        <w:spacing w:line="360" w:lineRule="auto"/>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rPr>
        <w:t>18.1 投标文件的密封要求：投标人应使用广州公共资源交易服务系统提供的软件制作电子投标文件并进行电子签名、电子签章及加密打包。不得修改所生成电子投标文件的文件格式。</w:t>
      </w:r>
    </w:p>
    <w:p w14:paraId="51DCCA68">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1"/>
          <w:highlight w:val="none"/>
        </w:rPr>
        <w:t>18.2投标文件的电子签名和电子签章要求： 电子投标文件必须包含完整的投标人电子签名及电子签章。</w:t>
      </w:r>
    </w:p>
    <w:p w14:paraId="1687E079">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19．投标文件的递交和接收</w:t>
      </w:r>
    </w:p>
    <w:p w14:paraId="4B5F8728">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19.1 投标人代表应按投标须知前附表第20项所规定的时间和地点向招标人递交投标文件。</w:t>
      </w:r>
    </w:p>
    <w:p w14:paraId="38ED2AD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19.2投标人使用制作该投标文件的机构业务数字证书递交投标文件。</w:t>
      </w:r>
    </w:p>
    <w:p w14:paraId="7AFC8700">
      <w:pPr>
        <w:spacing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highlight w:val="none"/>
        </w:rPr>
        <w:t>19.3</w:t>
      </w:r>
      <w:r>
        <w:rPr>
          <w:rFonts w:hint="eastAsia" w:ascii="宋体" w:hAnsi="宋体" w:eastAsia="宋体"/>
          <w:color w:val="auto"/>
          <w:sz w:val="24"/>
          <w:szCs w:val="24"/>
          <w:highlight w:val="none"/>
        </w:rPr>
        <w:t>若出现以下情况之一的，招标人将拒绝接收投标文件：</w:t>
      </w:r>
    </w:p>
    <w:p w14:paraId="38F35FD0">
      <w:pPr>
        <w:spacing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19.3.1投标文件未在递交投标文件截止时间前完整上传并保存在广州公共资源交易电子评标系统且取得回执的； </w:t>
      </w:r>
    </w:p>
    <w:p w14:paraId="1827BCF7">
      <w:pPr>
        <w:spacing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19.3.2投标文件未按招标文件要求进行电子签名和电子签章，并进行加密的；</w:t>
      </w:r>
    </w:p>
    <w:p w14:paraId="09CCC230">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19.3.3 投标文件中投标人电子签名或电子签章不完整的；</w:t>
      </w:r>
    </w:p>
    <w:p w14:paraId="4E8A496F">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19.3.4 投标文件损坏或格式不正确的；</w:t>
      </w:r>
    </w:p>
    <w:p w14:paraId="67240B11">
      <w:pPr>
        <w:spacing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19.3.5 投标人未按要求递交投标保证金的（如设置投标保证金的）。</w:t>
      </w:r>
    </w:p>
    <w:p w14:paraId="5F214651">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highlight w:val="none"/>
        </w:rPr>
        <w:t xml:space="preserve">19.4 </w:t>
      </w:r>
      <w:r>
        <w:rPr>
          <w:rFonts w:hint="eastAsia" w:ascii="宋体" w:hAnsi="宋体" w:eastAsia="宋体"/>
          <w:color w:val="auto"/>
          <w:sz w:val="24"/>
          <w:szCs w:val="24"/>
          <w:highlight w:val="none"/>
        </w:rPr>
        <w:t>递交投标文件截止时间前，招标人拒绝接收符合条件的投标文件，投标人可向招标监督机构投诉。</w:t>
      </w:r>
    </w:p>
    <w:p w14:paraId="2217F4A3">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20．递交投标文件的截止时间</w:t>
      </w:r>
    </w:p>
    <w:p w14:paraId="02DFF82A">
      <w:pPr>
        <w:spacing w:line="360" w:lineRule="auto"/>
        <w:ind w:firstLine="480" w:firstLineChars="200"/>
        <w:rPr>
          <w:rFonts w:ascii="宋体" w:hAnsi="宋体" w:eastAsia="宋体"/>
          <w:b/>
          <w:bCs/>
          <w:color w:val="auto"/>
          <w:sz w:val="24"/>
          <w:highlight w:val="none"/>
        </w:rPr>
      </w:pPr>
      <w:r>
        <w:rPr>
          <w:rFonts w:hint="eastAsia" w:ascii="宋体" w:hAnsi="宋体" w:eastAsia="宋体"/>
          <w:color w:val="auto"/>
          <w:sz w:val="24"/>
          <w:highlight w:val="none"/>
        </w:rPr>
        <w:t>20.1投标人应在投标须知前附表第 20 项所述的时间前递交投标文件。截止时间以广州公共资源交易信息系统服务器从中国科学院国家授时中心取得的北京时间为准。</w:t>
      </w:r>
    </w:p>
    <w:p w14:paraId="650B0AF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20.2招标人可按本须知第9条规定以招标文件修改的方式，酌情延长递交投标文件的截止时间。在此情况下，投标人的所有权利和义务以及投标人受制约的截止时间，均以延长后递交投标文件截止时间为准。</w:t>
      </w:r>
    </w:p>
    <w:p w14:paraId="394FB0C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20.3 到递交投标文件截止时间止，</w:t>
      </w:r>
      <w:r>
        <w:rPr>
          <w:rFonts w:hint="eastAsia" w:ascii="宋体" w:hAnsi="宋体" w:eastAsia="宋体"/>
          <w:color w:val="auto"/>
          <w:sz w:val="24"/>
          <w:szCs w:val="24"/>
          <w:highlight w:val="none"/>
        </w:rPr>
        <w:t>若递交投标文件的投标人不足3家，招标人将依法重新组织招标</w:t>
      </w:r>
      <w:r>
        <w:rPr>
          <w:rFonts w:hint="eastAsia" w:ascii="宋体" w:hAnsi="宋体" w:eastAsia="宋体"/>
          <w:color w:val="auto"/>
          <w:sz w:val="24"/>
          <w:highlight w:val="none"/>
        </w:rPr>
        <w:t>（</w:t>
      </w:r>
      <w:r>
        <w:rPr>
          <w:rFonts w:hint="eastAsia" w:ascii="宋体" w:hAnsi="宋体" w:eastAsia="宋体"/>
          <w:color w:val="auto"/>
          <w:sz w:val="24"/>
          <w:szCs w:val="24"/>
          <w:highlight w:val="none"/>
        </w:rPr>
        <w:t>当N个标段同时招标且不允许兼中时，若递交投标文件单位不足N+2家，招标人将依法重新组织招标</w:t>
      </w:r>
      <w:r>
        <w:rPr>
          <w:rFonts w:hint="eastAsia" w:ascii="宋体" w:hAnsi="宋体" w:eastAsia="宋体"/>
          <w:color w:val="auto"/>
          <w:sz w:val="24"/>
          <w:highlight w:val="none"/>
        </w:rPr>
        <w:t>）。</w:t>
      </w:r>
    </w:p>
    <w:p w14:paraId="3F3BA135">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21．迟交的投标文件</w:t>
      </w:r>
    </w:p>
    <w:p w14:paraId="4316065E">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递交投标文件截止时间到达后，电子评标系统将不允许投标人上传投标文件。</w:t>
      </w:r>
    </w:p>
    <w:p w14:paraId="5CF9C404">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22．投标文件的补充、修改与撤回</w:t>
      </w:r>
    </w:p>
    <w:p w14:paraId="4F4FBD6B">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22.1投标人在递交投标文件截止时间前，可以撤回或替换已递交的投标文件。</w:t>
      </w:r>
    </w:p>
    <w:p w14:paraId="121A1C3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22.3 在递交投标文件截止时间后，投标人不得补充、修改和更换投标文件。</w:t>
      </w:r>
    </w:p>
    <w:p w14:paraId="2FF03F95">
      <w:pPr>
        <w:snapToGrid w:val="0"/>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22.4在递交投标文件截止时间后，投标人在投标文件格式中规定的有效期终止日前，投标人不能撤回投标文件，否则其投标保证金将不予退还，且招标人有权就其撤回行为报告政府主管部门载入不良信用记录。</w:t>
      </w:r>
    </w:p>
    <w:p w14:paraId="4AF17634">
      <w:pPr>
        <w:snapToGrid w:val="0"/>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23.投标信息录入</w:t>
      </w:r>
    </w:p>
    <w:p w14:paraId="339FC5B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投标人应在上传电子投标文件前将投标人的相关信息在广州公共资源交易服务系统中录入完毕。</w:t>
      </w:r>
    </w:p>
    <w:p w14:paraId="179A17BF">
      <w:pPr>
        <w:pStyle w:val="3"/>
        <w:spacing w:before="120"/>
        <w:rPr>
          <w:rFonts w:ascii="宋体" w:eastAsia="宋体"/>
          <w:color w:val="auto"/>
          <w:highlight w:val="none"/>
        </w:rPr>
      </w:pPr>
      <w:bookmarkStart w:id="105" w:name="_（五）开标、评标、定标及合同签订"/>
      <w:bookmarkEnd w:id="105"/>
      <w:bookmarkStart w:id="106" w:name="_Toc101777616"/>
      <w:bookmarkStart w:id="107" w:name="_Toc22156"/>
      <w:bookmarkStart w:id="108" w:name="_Toc29261"/>
      <w:bookmarkStart w:id="109" w:name="_Toc2110"/>
      <w:bookmarkStart w:id="110" w:name="_Toc3934"/>
      <w:bookmarkStart w:id="111" w:name="_Toc262229167"/>
      <w:bookmarkStart w:id="112" w:name="_Toc9203"/>
      <w:bookmarkStart w:id="113" w:name="_Toc13863"/>
      <w:bookmarkStart w:id="114" w:name="_Toc6653"/>
      <w:bookmarkStart w:id="115" w:name="_Toc17522"/>
      <w:bookmarkStart w:id="116" w:name="_Toc26175"/>
      <w:bookmarkStart w:id="117" w:name="_Toc1042"/>
      <w:r>
        <w:rPr>
          <w:rFonts w:hint="eastAsia" w:ascii="宋体" w:eastAsia="宋体"/>
          <w:color w:val="auto"/>
          <w:highlight w:val="none"/>
        </w:rPr>
        <w:t>（五）开标</w:t>
      </w:r>
      <w:bookmarkEnd w:id="106"/>
      <w:r>
        <w:rPr>
          <w:rFonts w:hint="eastAsia" w:ascii="宋体" w:eastAsia="宋体"/>
          <w:color w:val="auto"/>
          <w:highlight w:val="none"/>
        </w:rPr>
        <w:t>、评标、定标及合同签订</w:t>
      </w:r>
      <w:bookmarkEnd w:id="107"/>
      <w:bookmarkEnd w:id="108"/>
      <w:bookmarkEnd w:id="109"/>
      <w:bookmarkEnd w:id="110"/>
      <w:bookmarkEnd w:id="111"/>
      <w:bookmarkEnd w:id="112"/>
      <w:bookmarkEnd w:id="113"/>
      <w:bookmarkEnd w:id="114"/>
      <w:bookmarkEnd w:id="115"/>
      <w:bookmarkEnd w:id="116"/>
      <w:bookmarkEnd w:id="117"/>
    </w:p>
    <w:p w14:paraId="6AF3AF5F">
      <w:pPr>
        <w:spacing w:line="360" w:lineRule="auto"/>
        <w:ind w:firstLine="482" w:firstLineChars="200"/>
        <w:rPr>
          <w:rFonts w:ascii="宋体" w:hAnsi="宋体" w:eastAsia="宋体"/>
          <w:b/>
          <w:bCs/>
          <w:color w:val="auto"/>
          <w:sz w:val="24"/>
          <w:highlight w:val="none"/>
        </w:rPr>
      </w:pPr>
      <w:bookmarkStart w:id="118" w:name="_Toc101777617"/>
      <w:r>
        <w:rPr>
          <w:rFonts w:hint="eastAsia" w:ascii="宋体" w:hAnsi="宋体" w:eastAsia="宋体"/>
          <w:b/>
          <w:bCs/>
          <w:color w:val="auto"/>
          <w:sz w:val="24"/>
          <w:highlight w:val="none"/>
        </w:rPr>
        <w:t>24.开标</w:t>
      </w:r>
    </w:p>
    <w:p w14:paraId="11BE9CB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详见第二章开标、评标及定标办法。</w:t>
      </w:r>
    </w:p>
    <w:bookmarkEnd w:id="118"/>
    <w:p w14:paraId="18AB2775">
      <w:pPr>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25.投标人对投标文件的解密</w:t>
      </w:r>
    </w:p>
    <w:p w14:paraId="177B611E">
      <w:pPr>
        <w:spacing w:line="360" w:lineRule="auto"/>
        <w:ind w:firstLine="480" w:firstLineChars="200"/>
        <w:rPr>
          <w:rFonts w:ascii="宋体" w:hAnsi="宋体" w:eastAsia="宋体"/>
          <w:color w:val="auto"/>
          <w:sz w:val="24"/>
          <w:highlight w:val="none"/>
        </w:rPr>
      </w:pPr>
      <w:r>
        <w:rPr>
          <w:rFonts w:hint="eastAsia" w:ascii="宋体" w:hAnsi="宋体" w:eastAsia="宋体" w:cs="仿宋_GB2312"/>
          <w:color w:val="auto"/>
          <w:sz w:val="24"/>
          <w:szCs w:val="24"/>
          <w:highlight w:val="none"/>
        </w:rPr>
        <w:t>25.1递交投标文件截止时间到达后的1小时内为投标人对其电子投标文件的解密时间，投标人须在规定的解密时间内使用</w:t>
      </w:r>
      <w:r>
        <w:rPr>
          <w:rFonts w:hint="eastAsia" w:ascii="宋体" w:hAnsi="宋体" w:eastAsia="宋体"/>
          <w:color w:val="auto"/>
          <w:sz w:val="24"/>
          <w:szCs w:val="24"/>
          <w:highlight w:val="none"/>
        </w:rPr>
        <w:t>制作该投标文件的机构业务数字证书</w:t>
      </w:r>
      <w:r>
        <w:rPr>
          <w:rFonts w:hint="eastAsia" w:ascii="宋体" w:hAnsi="宋体" w:eastAsia="宋体" w:cs="仿宋_GB2312"/>
          <w:color w:val="auto"/>
          <w:sz w:val="24"/>
          <w:szCs w:val="24"/>
          <w:highlight w:val="none"/>
        </w:rPr>
        <w:t>对投标文件进行解密，逾期未解密的投标文件将被否决</w:t>
      </w:r>
      <w:r>
        <w:rPr>
          <w:rFonts w:hint="eastAsia" w:ascii="宋体" w:hAnsi="宋体" w:eastAsia="宋体"/>
          <w:color w:val="auto"/>
          <w:sz w:val="24"/>
          <w:szCs w:val="24"/>
          <w:highlight w:val="none"/>
        </w:rPr>
        <w:t>。</w:t>
      </w:r>
    </w:p>
    <w:p w14:paraId="41CC3CF9">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25.2因投标人原因造成投标文件未解密的，视为撤销其投标文件。</w:t>
      </w:r>
    </w:p>
    <w:p w14:paraId="3FEB22F2">
      <w:pPr>
        <w:spacing w:line="360" w:lineRule="auto"/>
        <w:ind w:firstLine="482" w:firstLineChars="200"/>
        <w:rPr>
          <w:rFonts w:hint="eastAsia" w:ascii="宋体" w:hAnsi="宋体" w:eastAsia="宋体"/>
          <w:b/>
          <w:color w:val="auto"/>
          <w:sz w:val="24"/>
          <w:highlight w:val="none"/>
        </w:rPr>
      </w:pPr>
      <w:r>
        <w:rPr>
          <w:rFonts w:hint="eastAsia" w:ascii="宋体" w:hAnsi="宋体" w:eastAsia="宋体"/>
          <w:b/>
          <w:bCs/>
          <w:color w:val="auto"/>
          <w:sz w:val="24"/>
          <w:highlight w:val="none"/>
        </w:rPr>
        <w:t>26．招标人</w:t>
      </w:r>
      <w:r>
        <w:rPr>
          <w:rFonts w:hint="eastAsia" w:ascii="宋体" w:hAnsi="宋体" w:eastAsia="宋体"/>
          <w:b/>
          <w:color w:val="auto"/>
          <w:sz w:val="24"/>
          <w:highlight w:val="none"/>
        </w:rPr>
        <w:t>对投标文件的解密</w:t>
      </w:r>
    </w:p>
    <w:p w14:paraId="3380E686">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s="仿宋_GB2312"/>
          <w:color w:val="auto"/>
          <w:sz w:val="24"/>
          <w:szCs w:val="24"/>
          <w:highlight w:val="none"/>
        </w:rPr>
        <w:t>投标人对投标文件的解密时间截止后，</w:t>
      </w:r>
      <w:r>
        <w:rPr>
          <w:rFonts w:hint="eastAsia" w:ascii="宋体" w:hAnsi="宋体" w:eastAsia="宋体"/>
          <w:color w:val="auto"/>
          <w:sz w:val="24"/>
          <w:szCs w:val="24"/>
          <w:highlight w:val="none"/>
        </w:rPr>
        <w:t>招标人或招标代理机构</w:t>
      </w:r>
      <w:r>
        <w:rPr>
          <w:rFonts w:hint="eastAsia" w:ascii="宋体" w:hAnsi="宋体" w:eastAsia="宋体" w:cs="仿宋_GB2312"/>
          <w:color w:val="auto"/>
          <w:sz w:val="24"/>
          <w:szCs w:val="24"/>
          <w:highlight w:val="none"/>
        </w:rPr>
        <w:t>使用</w:t>
      </w:r>
      <w:r>
        <w:rPr>
          <w:rFonts w:hint="eastAsia" w:ascii="宋体" w:hAnsi="宋体" w:eastAsia="宋体"/>
          <w:color w:val="auto"/>
          <w:sz w:val="24"/>
          <w:szCs w:val="24"/>
          <w:highlight w:val="none"/>
        </w:rPr>
        <w:t>制作该招标文件的机构业务数字证书对所有投标人电子投标文件进行招标人解密。</w:t>
      </w:r>
    </w:p>
    <w:p w14:paraId="6911D39F">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27.评标过程的保密</w:t>
      </w:r>
    </w:p>
    <w:p w14:paraId="16966A2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27.1 开标后，直至中标候选人公示为止，凡属于对投标文件的审查、澄清、评价和比较有关的资料、中标候选人的推荐情况及与评标有关的其他任何情况均严格保密。</w:t>
      </w:r>
    </w:p>
    <w:p w14:paraId="4D8A909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27.2 在投标文件的评审和比较、中标候选人推荐以及授予合同的过程中，投标人向招标人和评标委员会施加不公正影响的任何行为，都将会导致其投标被拒绝。</w:t>
      </w:r>
    </w:p>
    <w:p w14:paraId="118CEF89">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28．投标文件的澄清，计算错误的修正</w:t>
      </w:r>
    </w:p>
    <w:p w14:paraId="37442E6E">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详见招标文件第二章开标、评标及定标办法。</w:t>
      </w:r>
    </w:p>
    <w:p w14:paraId="30291CB1">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29．投标文件的评审、比较和否决</w:t>
      </w:r>
    </w:p>
    <w:p w14:paraId="1937C9EB">
      <w:pPr>
        <w:spacing w:line="360" w:lineRule="auto"/>
        <w:ind w:firstLine="480" w:firstLineChars="200"/>
        <w:rPr>
          <w:rFonts w:ascii="宋体" w:hAnsi="宋体" w:eastAsia="宋体"/>
          <w:bCs/>
          <w:color w:val="auto"/>
          <w:sz w:val="24"/>
          <w:szCs w:val="24"/>
          <w:highlight w:val="none"/>
        </w:rPr>
      </w:pPr>
      <w:r>
        <w:rPr>
          <w:rFonts w:hint="eastAsia" w:ascii="宋体" w:hAnsi="宋体" w:eastAsia="宋体"/>
          <w:color w:val="auto"/>
          <w:sz w:val="24"/>
          <w:highlight w:val="none"/>
        </w:rPr>
        <w:t>详见招标文件第二章开标、评标及定标办法。</w:t>
      </w:r>
      <w:r>
        <w:rPr>
          <w:rFonts w:hint="eastAsia" w:ascii="宋体" w:hAnsi="宋体" w:eastAsia="宋体"/>
          <w:color w:val="auto"/>
          <w:sz w:val="24"/>
          <w:szCs w:val="24"/>
          <w:highlight w:val="none"/>
        </w:rPr>
        <w:t>经评标委员会评审，资格审查合格的投标人或通过否决性条款审查的投标人少于3个的，招标人将依法重新招标。</w:t>
      </w:r>
    </w:p>
    <w:p w14:paraId="57F5F7F8">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30．中标通知书</w:t>
      </w:r>
    </w:p>
    <w:p w14:paraId="7619C39C">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30.1定标后，招标人将就规定的内容在广州公共资源交易</w:t>
      </w:r>
      <w:r>
        <w:rPr>
          <w:rFonts w:hint="eastAsia" w:ascii="宋体" w:hAnsi="宋体" w:eastAsia="宋体"/>
          <w:color w:val="auto"/>
          <w:sz w:val="24"/>
          <w:highlight w:val="none"/>
          <w:lang w:eastAsia="zh-CN"/>
        </w:rPr>
        <w:t>网站</w:t>
      </w:r>
      <w:r>
        <w:rPr>
          <w:rFonts w:hint="eastAsia" w:ascii="宋体" w:hAnsi="宋体" w:eastAsia="宋体"/>
          <w:color w:val="auto"/>
          <w:sz w:val="24"/>
          <w:highlight w:val="none"/>
        </w:rPr>
        <w:t>公示3日。</w:t>
      </w:r>
    </w:p>
    <w:p w14:paraId="06AA3B2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30.2在中标人确定后，招标人应当向中标人发出中标通知书，并同时将中标结果通知所有未中标的投标人。</w:t>
      </w:r>
    </w:p>
    <w:p w14:paraId="081BE17E">
      <w:pPr>
        <w:spacing w:line="360" w:lineRule="auto"/>
        <w:ind w:firstLine="480" w:firstLineChars="200"/>
        <w:rPr>
          <w:rFonts w:ascii="宋体" w:hAnsi="宋体" w:eastAsia="宋体"/>
          <w:color w:val="auto"/>
          <w:sz w:val="24"/>
          <w:highlight w:val="none"/>
          <w:bdr w:val="single" w:color="auto" w:sz="4" w:space="0"/>
        </w:rPr>
      </w:pPr>
      <w:r>
        <w:rPr>
          <w:rFonts w:hint="eastAsia" w:ascii="宋体" w:hAnsi="宋体" w:eastAsia="宋体"/>
          <w:color w:val="auto"/>
          <w:sz w:val="24"/>
          <w:highlight w:val="none"/>
        </w:rPr>
        <w:t>30.3中标人必须在收到中标通知书后24小时之内以书面形式回复招标人，确认收到。</w:t>
      </w:r>
    </w:p>
    <w:p w14:paraId="79647AFB">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31．合同协议书的签订</w:t>
      </w:r>
    </w:p>
    <w:p w14:paraId="2FAC4D92">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31.1 招标人与中标人将于中标通知书发出之日起30日内，按照招标文件和中标人的投标文件商定和签订合同，招标人和中标人不得再行订立背离合同实质性内容的其他协议。</w:t>
      </w:r>
    </w:p>
    <w:p w14:paraId="2792B50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2A8590C">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31.3未经招标人同意，中标人在投标过程中使用的银行名称及</w:t>
      </w:r>
      <w:r>
        <w:rPr>
          <w:rFonts w:hint="eastAsia" w:ascii="宋体" w:hAnsi="宋体" w:eastAsia="宋体"/>
          <w:color w:val="auto"/>
          <w:sz w:val="24"/>
          <w:highlight w:val="none"/>
          <w:lang w:eastAsia="zh-CN"/>
        </w:rPr>
        <w:t>账号</w:t>
      </w:r>
      <w:r>
        <w:rPr>
          <w:rFonts w:hint="eastAsia" w:ascii="宋体" w:hAnsi="宋体" w:eastAsia="宋体"/>
          <w:color w:val="auto"/>
          <w:sz w:val="24"/>
          <w:highlight w:val="none"/>
        </w:rPr>
        <w:t>至完成竣工结算不得变更，否则招标人有权停止工程款项的</w:t>
      </w:r>
      <w:r>
        <w:rPr>
          <w:rFonts w:hint="eastAsia" w:ascii="宋体" w:hAnsi="宋体" w:eastAsia="宋体"/>
          <w:color w:val="auto"/>
          <w:sz w:val="24"/>
          <w:highlight w:val="none"/>
          <w:lang w:eastAsia="zh-CN"/>
        </w:rPr>
        <w:t>拨付</w:t>
      </w:r>
      <w:r>
        <w:rPr>
          <w:rFonts w:hint="eastAsia" w:ascii="宋体" w:hAnsi="宋体" w:eastAsia="宋体"/>
          <w:color w:val="auto"/>
          <w:sz w:val="24"/>
          <w:highlight w:val="none"/>
        </w:rPr>
        <w:t>及至解除合同，由此造成的一切责任由中标人承担。</w:t>
      </w:r>
    </w:p>
    <w:p w14:paraId="4928074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31.4招标人支付工程款时，中标人应提供工程所在地发票。</w:t>
      </w:r>
    </w:p>
    <w:p w14:paraId="5235934F">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32．履约担保</w:t>
      </w:r>
    </w:p>
    <w:p w14:paraId="31589F12">
      <w:pPr>
        <w:snapToGrid w:val="0"/>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 xml:space="preserve">32.1 </w:t>
      </w:r>
      <w:r>
        <w:rPr>
          <w:rFonts w:hint="eastAsia" w:ascii="宋体" w:hAnsi="宋体" w:eastAsia="宋体" w:cs="宋体"/>
          <w:color w:val="auto"/>
          <w:sz w:val="24"/>
          <w:szCs w:val="24"/>
          <w:highlight w:val="none"/>
          <w:u w:val="single"/>
        </w:rPr>
        <w:t>合同正式签订之日后的30日内，</w:t>
      </w:r>
      <w:r>
        <w:rPr>
          <w:rFonts w:hint="eastAsia" w:ascii="宋体" w:hAnsi="宋体" w:eastAsia="宋体" w:cs="宋体"/>
          <w:color w:val="auto"/>
          <w:sz w:val="24"/>
          <w:szCs w:val="24"/>
          <w:highlight w:val="none"/>
        </w:rPr>
        <w:t>中标人应按本须知前附表第27项的规定向招标人递交履约担保；如果中标人的履约担保是以</w:t>
      </w:r>
      <w:r>
        <w:rPr>
          <w:rFonts w:hint="eastAsia" w:ascii="宋体" w:hAnsi="宋体" w:eastAsia="宋体" w:cs="宋体"/>
          <w:color w:val="auto"/>
          <w:sz w:val="24"/>
          <w:szCs w:val="24"/>
          <w:highlight w:val="none"/>
          <w:u w:val="single"/>
        </w:rPr>
        <w:t>银行保函的形式提供，则该银行保函应由在中国注册且营业地点在广州行政辖区内的银行开具。</w:t>
      </w:r>
    </w:p>
    <w:p w14:paraId="548610EA">
      <w:pPr>
        <w:snapToGrid w:val="0"/>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32.2</w:t>
      </w:r>
      <w:r>
        <w:rPr>
          <w:rFonts w:hint="eastAsia" w:ascii="宋体" w:hAnsi="宋体" w:eastAsia="宋体" w:cs="宋体"/>
          <w:color w:val="auto"/>
          <w:sz w:val="24"/>
          <w:szCs w:val="24"/>
          <w:highlight w:val="none"/>
          <w:u w:val="single"/>
        </w:rPr>
        <w:t>合同正式签订之日后的30日内</w:t>
      </w:r>
      <w:r>
        <w:rPr>
          <w:rFonts w:hint="eastAsia" w:ascii="宋体" w:hAnsi="宋体" w:eastAsia="宋体" w:cs="宋体"/>
          <w:color w:val="auto"/>
          <w:sz w:val="24"/>
          <w:szCs w:val="24"/>
          <w:highlight w:val="none"/>
        </w:rPr>
        <w:t>，中标人未按上款的规定递交履约担保，招标人将解除中标通知书，且依法承担相应法律责任。</w:t>
      </w:r>
      <w:r>
        <w:rPr>
          <w:rFonts w:hint="eastAsia" w:ascii="宋体" w:hAnsi="宋体" w:eastAsia="宋体" w:cs="宋体"/>
          <w:color w:val="auto"/>
          <w:sz w:val="24"/>
          <w:szCs w:val="24"/>
          <w:highlight w:val="none"/>
          <w:u w:val="single"/>
        </w:rPr>
        <w:t>原中标人给招标人造成的损失还应当对予以赔偿。</w:t>
      </w:r>
      <w:r>
        <w:rPr>
          <w:rFonts w:hint="eastAsia" w:ascii="宋体" w:hAnsi="宋体" w:eastAsia="宋体" w:cs="宋体"/>
          <w:color w:val="auto"/>
          <w:sz w:val="24"/>
          <w:szCs w:val="24"/>
          <w:highlight w:val="none"/>
        </w:rPr>
        <w:t>原中标人有异议的，可以向人民法院起诉。</w:t>
      </w:r>
    </w:p>
    <w:p w14:paraId="66ED5D07">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33．合同生效</w:t>
      </w:r>
    </w:p>
    <w:p w14:paraId="50D133C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在合同双方全权代表在合同协议书上签字，并分别加盖双方单位的公章后，合同正式生效。</w:t>
      </w:r>
    </w:p>
    <w:p w14:paraId="355F0B2F">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34．其它费用</w:t>
      </w:r>
    </w:p>
    <w:p w14:paraId="656874A7">
      <w:pPr>
        <w:spacing w:line="360" w:lineRule="auto"/>
        <w:ind w:firstLine="480" w:firstLineChars="200"/>
        <w:rPr>
          <w:rFonts w:hint="eastAsia" w:ascii="宋体" w:hAnsi="宋体" w:eastAsia="宋体"/>
          <w:b/>
          <w:bCs/>
          <w:color w:val="auto"/>
          <w:sz w:val="24"/>
          <w:highlight w:val="none"/>
        </w:rPr>
      </w:pPr>
      <w:r>
        <w:rPr>
          <w:rFonts w:hint="eastAsia" w:ascii="宋体" w:hAnsi="宋体" w:eastAsia="宋体"/>
          <w:color w:val="auto"/>
          <w:sz w:val="24"/>
          <w:highlight w:val="none"/>
        </w:rPr>
        <w:t>公共资源交易服务费应根据政府有关规定支付。</w:t>
      </w:r>
    </w:p>
    <w:p w14:paraId="13CD292C">
      <w:pPr>
        <w:pStyle w:val="14"/>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35．腐败与敲诈行为</w:t>
      </w:r>
    </w:p>
    <w:p w14:paraId="73C53649">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在招标和合同实施期间，业主要求投标人和承包人遵守最高的道德标准。</w:t>
      </w:r>
    </w:p>
    <w:p w14:paraId="59ACB388">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35.1对本条款的规定，特定义如下词汇：</w:t>
      </w:r>
    </w:p>
    <w:p w14:paraId="071CDF83">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（1）“腐败行为”是指在招标或合同执行期间，通过提供、给予、接受或索要任何有价值的东西，从而影响招标人有关人员工作的行为；</w:t>
      </w:r>
    </w:p>
    <w:p w14:paraId="12C6D899">
      <w:pPr>
        <w:pStyle w:val="1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欺诈行为”是指通过提供伪证影响招标或合同执行，从而损害招标人利益的行为；也包括投标人之间串通（在递交投标书之前或之后），人为地使招标过程失去竞争性，从而使业主无法从公开的自由竞争中获得利益的行为。</w:t>
      </w:r>
    </w:p>
    <w:p w14:paraId="46E460EE">
      <w:pPr>
        <w:pStyle w:val="14"/>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35.2如果投标人被认定在本招标的竞争中有腐败或欺诈行为，则会被取消投标资格。</w:t>
      </w:r>
    </w:p>
    <w:p w14:paraId="7F110F8B">
      <w:pPr>
        <w:pStyle w:val="14"/>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35.3投标人如在本项目中存在串通投标、弄虚作假、行贿情形的，中标无效，该投标人将被招标人列入黑名单并限制其投标。行政监督机构将对其违法行为进行行政处罚并通报。</w:t>
      </w:r>
    </w:p>
    <w:p w14:paraId="1983A598">
      <w:pPr>
        <w:pStyle w:val="14"/>
        <w:spacing w:after="0" w:line="360" w:lineRule="auto"/>
        <w:ind w:firstLine="482" w:firstLineChars="200"/>
        <w:rPr>
          <w:rFonts w:hint="eastAsia" w:ascii="宋体" w:eastAsia="宋体"/>
          <w:b/>
          <w:color w:val="auto"/>
          <w:sz w:val="24"/>
          <w:highlight w:val="none"/>
        </w:rPr>
      </w:pPr>
      <w:r>
        <w:rPr>
          <w:rFonts w:hint="eastAsia" w:ascii="宋体" w:eastAsia="宋体"/>
          <w:b/>
          <w:color w:val="auto"/>
          <w:sz w:val="24"/>
          <w:highlight w:val="none"/>
        </w:rPr>
        <w:t>36.其他</w:t>
      </w:r>
    </w:p>
    <w:p w14:paraId="57350843">
      <w:pPr>
        <w:pStyle w:val="14"/>
        <w:spacing w:after="0" w:line="360" w:lineRule="auto"/>
        <w:ind w:firstLine="480" w:firstLineChars="200"/>
        <w:rPr>
          <w:rFonts w:hint="eastAsia" w:ascii="宋体" w:hAnsi="宋体" w:eastAsia="宋体"/>
          <w:color w:val="auto"/>
          <w:sz w:val="24"/>
          <w:highlight w:val="none"/>
        </w:rPr>
      </w:pPr>
      <w:r>
        <w:rPr>
          <w:rFonts w:hint="eastAsia" w:ascii="宋体" w:eastAsia="宋体"/>
          <w:color w:val="auto"/>
          <w:sz w:val="24"/>
          <w:highlight w:val="none"/>
        </w:rPr>
        <w:t>其他投标人须知事项，见投标须知前附表第36项。</w:t>
      </w:r>
    </w:p>
    <w:p w14:paraId="6F7E43F3">
      <w:pPr>
        <w:pStyle w:val="2"/>
        <w:rPr>
          <w:rFonts w:ascii="宋体" w:eastAsia="宋体"/>
          <w:b w:val="0"/>
          <w:color w:val="auto"/>
          <w:highlight w:val="none"/>
        </w:rPr>
      </w:pPr>
      <w:bookmarkStart w:id="119" w:name="_第二章__开标、评标及定标办法"/>
      <w:bookmarkEnd w:id="119"/>
      <w:r>
        <w:rPr>
          <w:rFonts w:hint="eastAsia" w:ascii="宋体" w:eastAsia="宋体"/>
          <w:color w:val="auto"/>
          <w:highlight w:val="none"/>
        </w:rPr>
        <w:br w:type="page"/>
      </w:r>
      <w:bookmarkStart w:id="120" w:name="_Toc262229168"/>
      <w:bookmarkStart w:id="121" w:name="_Toc9777"/>
      <w:bookmarkStart w:id="122" w:name="_Toc20599"/>
      <w:bookmarkStart w:id="123" w:name="_Toc13102"/>
      <w:bookmarkStart w:id="124" w:name="_Toc4405"/>
      <w:bookmarkStart w:id="125" w:name="_Toc11554"/>
      <w:bookmarkStart w:id="126" w:name="_Toc155150492"/>
      <w:bookmarkStart w:id="127" w:name="_Toc27137"/>
      <w:bookmarkStart w:id="128" w:name="_Toc613"/>
      <w:bookmarkStart w:id="129" w:name="_Toc11805"/>
      <w:bookmarkStart w:id="130" w:name="_Toc12712"/>
      <w:bookmarkStart w:id="131" w:name="_Toc19123"/>
      <w:bookmarkStart w:id="132" w:name="_Toc155150494"/>
      <w:r>
        <w:rPr>
          <w:rFonts w:hint="eastAsia" w:ascii="宋体" w:eastAsia="宋体"/>
          <w:b w:val="0"/>
          <w:color w:val="auto"/>
          <w:highlight w:val="none"/>
        </w:rPr>
        <w:t>第二章  开标、评标及定标办法</w:t>
      </w:r>
      <w:bookmarkEnd w:id="120"/>
      <w:bookmarkEnd w:id="121"/>
      <w:bookmarkEnd w:id="122"/>
      <w:bookmarkEnd w:id="123"/>
      <w:bookmarkEnd w:id="124"/>
      <w:bookmarkEnd w:id="125"/>
      <w:bookmarkEnd w:id="126"/>
      <w:bookmarkEnd w:id="127"/>
      <w:bookmarkEnd w:id="128"/>
      <w:bookmarkEnd w:id="129"/>
      <w:bookmarkEnd w:id="130"/>
      <w:bookmarkEnd w:id="131"/>
    </w:p>
    <w:p w14:paraId="747FD2F2">
      <w:pPr>
        <w:pStyle w:val="3"/>
        <w:spacing w:before="120"/>
        <w:rPr>
          <w:rFonts w:ascii="宋体" w:eastAsia="宋体"/>
          <w:color w:val="auto"/>
          <w:highlight w:val="none"/>
        </w:rPr>
      </w:pPr>
      <w:bookmarkStart w:id="133" w:name="_一、开标、评标及定标办法修改表"/>
      <w:bookmarkEnd w:id="133"/>
      <w:bookmarkStart w:id="134" w:name="_Toc26366"/>
      <w:bookmarkStart w:id="135" w:name="_Toc24406"/>
      <w:bookmarkStart w:id="136" w:name="_Toc31530"/>
      <w:bookmarkStart w:id="137" w:name="_Toc155150493"/>
      <w:bookmarkStart w:id="138" w:name="_Toc26062"/>
      <w:bookmarkStart w:id="139" w:name="_Toc5823"/>
      <w:bookmarkStart w:id="140" w:name="_Toc20798"/>
      <w:bookmarkStart w:id="141" w:name="_Toc4196"/>
      <w:bookmarkStart w:id="142" w:name="_Toc5930"/>
      <w:bookmarkStart w:id="143" w:name="_Toc22676"/>
      <w:bookmarkStart w:id="144" w:name="_Toc22769"/>
      <w:bookmarkStart w:id="145" w:name="_Toc262229169"/>
      <w:r>
        <w:rPr>
          <w:rFonts w:hint="eastAsia" w:ascii="宋体" w:eastAsia="宋体"/>
          <w:color w:val="auto"/>
          <w:highlight w:val="none"/>
        </w:rPr>
        <w:t>一、开标、评标及定标办法修改表</w:t>
      </w:r>
      <w:bookmarkEnd w:id="134"/>
      <w:bookmarkEnd w:id="135"/>
      <w:bookmarkEnd w:id="136"/>
      <w:bookmarkEnd w:id="137"/>
      <w:bookmarkEnd w:id="138"/>
      <w:bookmarkEnd w:id="139"/>
      <w:bookmarkEnd w:id="140"/>
      <w:bookmarkEnd w:id="141"/>
      <w:bookmarkEnd w:id="142"/>
      <w:bookmarkEnd w:id="143"/>
      <w:bookmarkEnd w:id="144"/>
      <w:bookmarkEnd w:id="145"/>
    </w:p>
    <w:p w14:paraId="2FA793BA">
      <w:pPr>
        <w:pStyle w:val="14"/>
        <w:spacing w:after="0" w:line="360" w:lineRule="auto"/>
        <w:ind w:firstLine="0"/>
        <w:rPr>
          <w:rFonts w:ascii="宋体" w:hAnsi="宋体" w:eastAsia="宋体"/>
          <w:b/>
          <w:color w:val="auto"/>
          <w:szCs w:val="21"/>
          <w:highlight w:val="none"/>
        </w:rPr>
      </w:pPr>
      <w:r>
        <w:rPr>
          <w:rFonts w:hint="eastAsia" w:ascii="宋体" w:hAnsi="宋体" w:eastAsia="宋体"/>
          <w:b/>
          <w:color w:val="auto"/>
          <w:szCs w:val="21"/>
          <w:highlight w:val="none"/>
        </w:rPr>
        <w:t>声明：本</w:t>
      </w:r>
      <w:r>
        <w:rPr>
          <w:rFonts w:hint="eastAsia" w:ascii="宋体" w:hAnsi="宋体" w:eastAsia="宋体"/>
          <w:b/>
          <w:color w:val="auto"/>
          <w:highlight w:val="none"/>
        </w:rPr>
        <w:t>开标、评标及定标办法使用GZYLZB202</w:t>
      </w:r>
      <w:r>
        <w:rPr>
          <w:rFonts w:hint="eastAsia" w:ascii="宋体" w:hAnsi="宋体" w:eastAsia="宋体"/>
          <w:b/>
          <w:color w:val="auto"/>
          <w:highlight w:val="none"/>
          <w:lang w:val="en-US" w:eastAsia="zh-CN"/>
        </w:rPr>
        <w:t>3</w:t>
      </w:r>
      <w:r>
        <w:rPr>
          <w:rFonts w:hint="eastAsia" w:ascii="宋体" w:hAnsi="宋体" w:eastAsia="宋体"/>
          <w:b/>
          <w:color w:val="auto"/>
          <w:highlight w:val="none"/>
        </w:rPr>
        <w:t>-1招标文件范本的开标、评标及定标办法</w:t>
      </w:r>
      <w:r>
        <w:rPr>
          <w:rFonts w:hint="eastAsia" w:ascii="宋体" w:hAnsi="宋体" w:eastAsia="宋体"/>
          <w:b/>
          <w:color w:val="auto"/>
          <w:szCs w:val="21"/>
          <w:highlight w:val="none"/>
        </w:rPr>
        <w:t>通用条款，与该通用条款不同之处，均在本表中列明，修改之处均以下划线标明，并以现文为准，原文不再有效。没有在本表中列明的条款，以原文为准。本招标文件中不再转录</w:t>
      </w:r>
      <w:r>
        <w:rPr>
          <w:rFonts w:hint="eastAsia" w:ascii="宋体" w:hAnsi="宋体" w:eastAsia="宋体"/>
          <w:b/>
          <w:color w:val="auto"/>
          <w:highlight w:val="none"/>
        </w:rPr>
        <w:t>开标、评标及定标办法</w:t>
      </w:r>
      <w:r>
        <w:rPr>
          <w:rFonts w:hint="eastAsia" w:ascii="宋体" w:hAnsi="宋体" w:eastAsia="宋体"/>
          <w:b/>
          <w:color w:val="auto"/>
          <w:szCs w:val="21"/>
          <w:highlight w:val="none"/>
        </w:rPr>
        <w:t>通用条款，请投标人自行到广州市林业和园林局网站（网址：http://lyylj.gz.gov.cn/）下载查阅。</w:t>
      </w:r>
    </w:p>
    <w:p w14:paraId="73A0CDD9">
      <w:pPr>
        <w:pBdr>
          <w:bottom w:val="none" w:color="auto" w:sz="0" w:space="1"/>
        </w:pBdr>
        <w:spacing w:line="360" w:lineRule="auto"/>
        <w:ind w:firstLine="482" w:firstLineChars="200"/>
        <w:rPr>
          <w:rFonts w:hint="eastAsia" w:ascii="宋体" w:hAnsi="宋体" w:eastAsia="宋体" w:cs="宋体"/>
          <w:b/>
          <w:color w:val="auto"/>
          <w:sz w:val="24"/>
          <w:szCs w:val="24"/>
          <w:highlight w:val="none"/>
        </w:rPr>
      </w:pPr>
      <w:bookmarkStart w:id="146" w:name="_二、采用资格后审方式施工招标项目开标、评标及定标办法"/>
      <w:bookmarkEnd w:id="146"/>
      <w:r>
        <w:rPr>
          <w:rFonts w:hint="eastAsia" w:ascii="宋体" w:hAnsi="宋体" w:eastAsia="宋体" w:cs="宋体"/>
          <w:b/>
          <w:color w:val="auto"/>
          <w:sz w:val="24"/>
          <w:szCs w:val="24"/>
          <w:highlight w:val="none"/>
        </w:rPr>
        <w:t>条款号：38.3.3                   修改类型：删除</w:t>
      </w:r>
    </w:p>
    <w:p w14:paraId="668BF2B6">
      <w:pPr>
        <w:pBdr>
          <w:bottom w:val="single" w:color="auto" w:sz="4" w:space="0"/>
        </w:pBdr>
        <w:tabs>
          <w:tab w:val="left" w:pos="1890"/>
        </w:tabs>
        <w:snapToGrid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38.3.3投标人未按要求递交投标保证金的；</w:t>
      </w:r>
    </w:p>
    <w:p w14:paraId="2EE73E2E">
      <w:pPr>
        <w:pBdr>
          <w:bottom w:val="none" w:color="auto" w:sz="0"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条款号：39.1                    修改类型：修改</w:t>
      </w:r>
    </w:p>
    <w:p w14:paraId="527A93FD">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39.1评标由招标人依法组建的评标委员会负责。评标委员会由招标人的代表和有关技术、经济等方面的专家组成，成员人数为五人以上单数。招标人代表不得担任评标委员会负责人，不得接受评标报酬，评标过程中不得以任何方式影响其他评标专家独立评标。技术、经济等方面的专家须从政府设立的建设工程评标专家库中随机抽取确定，不得少于成员总数的三份之二。</w:t>
      </w:r>
    </w:p>
    <w:p w14:paraId="1EB88F13">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39.1评标由招标人依法组建的评标委员会负责，评标委员会共5人。</w:t>
      </w:r>
    </w:p>
    <w:p w14:paraId="0DEE9E2E">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05C9ED79">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条款号：41.1            修改类型：修改</w:t>
      </w:r>
    </w:p>
    <w:p w14:paraId="7C4BCBD0">
      <w:pPr>
        <w:tabs>
          <w:tab w:val="left" w:pos="1890"/>
        </w:tabs>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41.1不采用评定分离的，评标委员会推荐中标候选人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名（不多于3名）。</w:t>
      </w:r>
    </w:p>
    <w:p w14:paraId="0584012B">
      <w:pPr>
        <w:tabs>
          <w:tab w:val="left" w:pos="189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评标委员会向招标人推荐按综合得分高低排序的中标候选人。招标人在评标委员会推荐的中标候选人中确定中标人。依法必须招标的项目，招标人应当确定排名第一的中标候选人为中标人。</w:t>
      </w:r>
    </w:p>
    <w:p w14:paraId="014A2C84">
      <w:pPr>
        <w:tabs>
          <w:tab w:val="left" w:pos="1890"/>
        </w:tabs>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41.1不采用评定分离的，评标委员会推荐中标候选人</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名（不多于3名）。</w:t>
      </w:r>
    </w:p>
    <w:p w14:paraId="15C65691">
      <w:pPr>
        <w:tabs>
          <w:tab w:val="left" w:pos="189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评标委员会向招标人推荐按综合得分高低排序的中标候选人。招标人在评标委员会推荐的中标候选人中确定中标人。依法必须招标的项目，招标人应当确定排名第一的中标候选人为中标人。</w:t>
      </w:r>
    </w:p>
    <w:p w14:paraId="2955BA32">
      <w:pPr>
        <w:tabs>
          <w:tab w:val="left" w:pos="1890"/>
        </w:tabs>
        <w:snapToGrid w:val="0"/>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                                                                                    </w:t>
      </w:r>
    </w:p>
    <w:p w14:paraId="23CD65AB">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条款号：41.2             修改类型：删除</w:t>
      </w:r>
    </w:p>
    <w:p w14:paraId="0593817D">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41.2采用评定分离的，评标委员会推荐中标候选人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名（3-5名）。</w:t>
      </w:r>
    </w:p>
    <w:p w14:paraId="0C925D3C">
      <w:pPr>
        <w:pBdr>
          <w:bottom w:val="single" w:color="auto" w:sz="4" w:space="0"/>
        </w:pBdr>
        <w:tabs>
          <w:tab w:val="left" w:pos="1890"/>
        </w:tabs>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评标委员会向招标人推荐不排序的中标候选人。定标委员会在中标候选人中按照定标办法（详见附件一）确定中标人。</w:t>
      </w:r>
    </w:p>
    <w:p w14:paraId="18C79977">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条款号：41.4             修改类型：修改</w:t>
      </w:r>
    </w:p>
    <w:p w14:paraId="42249A5D">
      <w:pPr>
        <w:tabs>
          <w:tab w:val="left" w:pos="1890"/>
        </w:tabs>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41.4招标人应当自确定中标人之日起十五日内，向招标管理机构提交招标投标情况的书面报告。采用评定分离的，招标人应当提交定标报告。定标报告应包括定标委员会的产生过程、定标委员会成员名单、定标程序、定标会议过程及定标结果等内容。</w:t>
      </w:r>
    </w:p>
    <w:p w14:paraId="6A49FAC8">
      <w:pPr>
        <w:pBdr>
          <w:bottom w:val="single" w:color="auto" w:sz="4" w:space="0"/>
        </w:pBdr>
        <w:tabs>
          <w:tab w:val="left" w:pos="1890"/>
        </w:tabs>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41.4</w:t>
      </w:r>
      <w:r>
        <w:rPr>
          <w:rFonts w:hint="eastAsia" w:ascii="宋体" w:hAnsi="宋体" w:eastAsia="宋体" w:cs="宋体"/>
          <w:color w:val="auto"/>
          <w:sz w:val="24"/>
          <w:szCs w:val="24"/>
          <w:highlight w:val="none"/>
          <w:u w:val="single"/>
        </w:rPr>
        <w:t>招标人应当自确定中标人之日起十五日内，向招标管理机构提交招标投标情况的书面报告。</w:t>
      </w:r>
    </w:p>
    <w:p w14:paraId="7A34C76E">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条款号：可选办法</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 xml:space="preserve"> </w:t>
      </w:r>
      <w:r>
        <w:rPr>
          <w:rFonts w:hint="eastAsia" w:ascii="宋体" w:eastAsia="宋体"/>
          <w:color w:val="auto"/>
          <w:sz w:val="18"/>
          <w:szCs w:val="18"/>
          <w:highlight w:val="none"/>
        </w:rPr>
        <w:t>经评审的最低投标价法或者法律法规规定的其他评标方法</w:t>
      </w:r>
      <w:r>
        <w:rPr>
          <w:rFonts w:hint="eastAsia" w:ascii="宋体" w:hAnsi="宋体" w:eastAsia="宋体" w:cs="宋体"/>
          <w:b/>
          <w:color w:val="auto"/>
          <w:sz w:val="24"/>
          <w:szCs w:val="24"/>
          <w:highlight w:val="none"/>
        </w:rPr>
        <w:t xml:space="preserve"> 修改类型：删除</w:t>
      </w:r>
    </w:p>
    <w:p w14:paraId="5A1E904B">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原文：详见《GZYLZB202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-1招标文件范本》</w:t>
      </w:r>
    </w:p>
    <w:p w14:paraId="079B9495">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条款号：42.4.3             修改类型：删除</w:t>
      </w:r>
    </w:p>
    <w:p w14:paraId="040E1502">
      <w:pPr>
        <w:pStyle w:val="14"/>
        <w:pBdr>
          <w:bottom w:val="single" w:color="auto" w:sz="4" w:space="0"/>
        </w:pBdr>
        <w:tabs>
          <w:tab w:val="left" w:pos="7380"/>
        </w:tabs>
        <w:spacing w:after="0" w:line="360" w:lineRule="auto"/>
        <w:ind w:firstLineChars="19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 xml:space="preserve">42.4.3投标人未按要求递交投标保证金的； </w:t>
      </w:r>
    </w:p>
    <w:p w14:paraId="7BA2AFF3">
      <w:pPr>
        <w:adjustRightInd w:val="0"/>
        <w:snapToGrid w:val="0"/>
        <w:spacing w:line="360" w:lineRule="auto"/>
        <w:ind w:firstLine="472" w:firstLineChars="196"/>
        <w:rPr>
          <w:rFonts w:ascii="宋体" w:hAnsi="宋体" w:eastAsia="宋体"/>
          <w:b/>
          <w:color w:val="000000"/>
          <w:sz w:val="24"/>
          <w:szCs w:val="24"/>
        </w:rPr>
      </w:pPr>
      <w:r>
        <w:rPr>
          <w:rFonts w:hint="eastAsia" w:ascii="宋体" w:hAnsi="宋体" w:eastAsia="宋体"/>
          <w:b/>
          <w:color w:val="000000"/>
          <w:sz w:val="24"/>
          <w:szCs w:val="24"/>
        </w:rPr>
        <w:t>条款号：42.5              修改类型：修改</w:t>
      </w:r>
    </w:p>
    <w:p w14:paraId="21CD8CEF">
      <w:pPr>
        <w:adjustRightInd w:val="0"/>
        <w:snapToGrid w:val="0"/>
        <w:spacing w:line="360" w:lineRule="auto"/>
        <w:ind w:firstLine="482" w:firstLineChars="200"/>
        <w:rPr>
          <w:rFonts w:ascii="宋体" w:hAnsi="宋体" w:eastAsia="宋体"/>
          <w:b/>
          <w:color w:val="000000"/>
          <w:sz w:val="24"/>
          <w:szCs w:val="24"/>
        </w:rPr>
      </w:pPr>
      <w:r>
        <w:rPr>
          <w:rFonts w:hint="eastAsia" w:ascii="宋体" w:hAnsi="宋体" w:eastAsia="宋体"/>
          <w:b/>
          <w:color w:val="000000"/>
          <w:sz w:val="24"/>
          <w:szCs w:val="24"/>
        </w:rPr>
        <w:t>原文：</w:t>
      </w:r>
      <w:r>
        <w:rPr>
          <w:rFonts w:hint="eastAsia" w:ascii="宋体" w:hAnsi="宋体" w:eastAsia="宋体"/>
          <w:color w:val="000000"/>
          <w:sz w:val="24"/>
          <w:szCs w:val="24"/>
        </w:rPr>
        <w:t>42.5招标人使用制作该招标文件的机构业务数字证书对已完成投标人解密的电子投标文件进行招标人解密。</w:t>
      </w:r>
    </w:p>
    <w:p w14:paraId="1D4D9C2B">
      <w:pPr>
        <w:pBdr>
          <w:bottom w:val="single" w:color="auto" w:sz="6" w:space="1"/>
        </w:pBdr>
        <w:adjustRightInd w:val="0"/>
        <w:snapToGrid w:val="0"/>
        <w:spacing w:line="360" w:lineRule="auto"/>
        <w:ind w:firstLine="482" w:firstLineChars="200"/>
        <w:rPr>
          <w:rFonts w:hint="eastAsia" w:ascii="宋体" w:hAnsi="宋体" w:eastAsia="宋体"/>
          <w:color w:val="000000"/>
          <w:sz w:val="24"/>
          <w:szCs w:val="24"/>
        </w:rPr>
      </w:pPr>
      <w:r>
        <w:rPr>
          <w:rFonts w:hint="eastAsia" w:ascii="宋体" w:hAnsi="宋体" w:eastAsia="宋体"/>
          <w:b/>
          <w:color w:val="000000"/>
          <w:sz w:val="24"/>
          <w:szCs w:val="24"/>
        </w:rPr>
        <w:t>现文：</w:t>
      </w:r>
      <w:r>
        <w:rPr>
          <w:rFonts w:hint="eastAsia" w:ascii="宋体" w:hAnsi="宋体" w:eastAsia="宋体"/>
          <w:color w:val="000000"/>
          <w:sz w:val="24"/>
          <w:szCs w:val="24"/>
        </w:rPr>
        <w:t>42.5招标人</w:t>
      </w:r>
      <w:r>
        <w:rPr>
          <w:rFonts w:hint="eastAsia" w:ascii="宋体" w:hAnsi="宋体" w:eastAsia="宋体" w:cs="宋体"/>
          <w:color w:val="auto"/>
          <w:sz w:val="24"/>
          <w:szCs w:val="24"/>
          <w:highlight w:val="none"/>
          <w:u w:val="single"/>
        </w:rPr>
        <w:t>（或招标代理）</w:t>
      </w:r>
      <w:r>
        <w:rPr>
          <w:rFonts w:hint="eastAsia" w:ascii="宋体" w:hAnsi="宋体" w:eastAsia="宋体"/>
          <w:color w:val="000000"/>
          <w:sz w:val="24"/>
          <w:szCs w:val="24"/>
        </w:rPr>
        <w:t>使用制作该招标文件的机构业务数字证书对已完成投标人解密的电子投标文件进行招标人解密。</w:t>
      </w:r>
    </w:p>
    <w:p w14:paraId="53016732">
      <w:pPr>
        <w:pStyle w:val="14"/>
        <w:tabs>
          <w:tab w:val="left" w:pos="7380"/>
        </w:tabs>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条款号：43.2             修改类型：修改</w:t>
      </w:r>
    </w:p>
    <w:p w14:paraId="2AEC48AD">
      <w:pPr>
        <w:pStyle w:val="14"/>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43.2由招标人或其推选的代表检查投标文件的投标人解密情况，也可以由招标人委托的公证机构检查并公证，之后由招标人对全部投标文件进行解密。</w:t>
      </w:r>
    </w:p>
    <w:p w14:paraId="1E3F35F7">
      <w:pPr>
        <w:pStyle w:val="14"/>
        <w:pBdr>
          <w:bottom w:val="single" w:color="auto" w:sz="4" w:space="0"/>
        </w:pBdr>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43.2由招标人</w:t>
      </w:r>
      <w:r>
        <w:rPr>
          <w:rFonts w:hint="eastAsia" w:ascii="宋体" w:hAnsi="宋体" w:eastAsia="宋体" w:cs="宋体"/>
          <w:color w:val="auto"/>
          <w:sz w:val="24"/>
          <w:szCs w:val="24"/>
          <w:highlight w:val="none"/>
          <w:u w:val="single"/>
        </w:rPr>
        <w:t>（或招标代理）</w:t>
      </w:r>
      <w:r>
        <w:rPr>
          <w:rFonts w:hint="eastAsia" w:ascii="宋体" w:hAnsi="宋体" w:eastAsia="宋体" w:cs="宋体"/>
          <w:color w:val="auto"/>
          <w:sz w:val="24"/>
          <w:szCs w:val="24"/>
          <w:highlight w:val="none"/>
        </w:rPr>
        <w:t>或其推选的代表检查投标文件的投标人解密情况，也可以由招标人委托的公证机构检查并公证，之后由招标人</w:t>
      </w:r>
      <w:r>
        <w:rPr>
          <w:rFonts w:hint="eastAsia" w:ascii="宋体" w:hAnsi="宋体" w:eastAsia="宋体" w:cs="宋体"/>
          <w:color w:val="auto"/>
          <w:sz w:val="24"/>
          <w:szCs w:val="24"/>
          <w:highlight w:val="none"/>
          <w:u w:val="single"/>
        </w:rPr>
        <w:t>（或招标代理）</w:t>
      </w:r>
      <w:r>
        <w:rPr>
          <w:rFonts w:hint="eastAsia" w:ascii="宋体" w:hAnsi="宋体" w:eastAsia="宋体" w:cs="宋体"/>
          <w:color w:val="auto"/>
          <w:sz w:val="24"/>
          <w:szCs w:val="24"/>
          <w:highlight w:val="none"/>
        </w:rPr>
        <w:t>对全部投标文件进行解密。</w:t>
      </w:r>
    </w:p>
    <w:p w14:paraId="0E84C746">
      <w:pPr>
        <w:adjustRightInd w:val="0"/>
        <w:snapToGrid w:val="0"/>
        <w:spacing w:line="360" w:lineRule="auto"/>
        <w:ind w:firstLine="472" w:firstLineChars="196"/>
        <w:rPr>
          <w:rFonts w:ascii="宋体" w:hAnsi="宋体" w:eastAsia="宋体"/>
          <w:b/>
          <w:color w:val="000000"/>
          <w:sz w:val="24"/>
          <w:szCs w:val="24"/>
        </w:rPr>
      </w:pPr>
      <w:r>
        <w:rPr>
          <w:rFonts w:hint="eastAsia" w:ascii="宋体" w:hAnsi="宋体" w:eastAsia="宋体"/>
          <w:b/>
          <w:color w:val="000000"/>
          <w:sz w:val="24"/>
          <w:szCs w:val="24"/>
        </w:rPr>
        <w:t>条款号：43.3              修改类型：修改</w:t>
      </w:r>
    </w:p>
    <w:p w14:paraId="3B945F18">
      <w:pPr>
        <w:adjustRightInd w:val="0"/>
        <w:snapToGrid w:val="0"/>
        <w:spacing w:line="360" w:lineRule="auto"/>
        <w:ind w:firstLine="482" w:firstLineChars="200"/>
        <w:rPr>
          <w:rFonts w:hint="eastAsia" w:ascii="宋体" w:hAnsi="宋体" w:eastAsia="宋体"/>
          <w:color w:val="000000"/>
          <w:sz w:val="24"/>
          <w:szCs w:val="24"/>
        </w:rPr>
      </w:pPr>
      <w:r>
        <w:rPr>
          <w:rFonts w:hint="eastAsia" w:ascii="宋体" w:hAnsi="宋体" w:eastAsia="宋体"/>
          <w:b/>
          <w:color w:val="000000"/>
          <w:sz w:val="24"/>
          <w:szCs w:val="24"/>
        </w:rPr>
        <w:t>原文：</w:t>
      </w:r>
      <w:r>
        <w:rPr>
          <w:rFonts w:hint="eastAsia" w:ascii="宋体" w:hAnsi="宋体" w:eastAsia="宋体"/>
          <w:color w:val="000000"/>
          <w:sz w:val="24"/>
          <w:szCs w:val="24"/>
        </w:rPr>
        <w:t>43.3细则</w:t>
      </w:r>
    </w:p>
    <w:p w14:paraId="2BEF5050">
      <w:pPr>
        <w:adjustRightInd w:val="0"/>
        <w:snapToGrid w:val="0"/>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43.3.1递交投标文件截止时间前，各投标人将投标文件完整上传并保存在广州公共资源交易电子评标系统。</w:t>
      </w:r>
    </w:p>
    <w:p w14:paraId="68490923">
      <w:pPr>
        <w:adjustRightInd w:val="0"/>
        <w:snapToGrid w:val="0"/>
        <w:spacing w:line="360" w:lineRule="auto"/>
        <w:ind w:firstLine="480" w:firstLineChars="200"/>
        <w:rPr>
          <w:rFonts w:ascii="宋体" w:hAnsi="宋体" w:eastAsia="宋体"/>
          <w:b/>
          <w:color w:val="000000"/>
          <w:sz w:val="24"/>
          <w:szCs w:val="24"/>
        </w:rPr>
      </w:pPr>
      <w:r>
        <w:rPr>
          <w:rFonts w:hint="eastAsia" w:ascii="宋体" w:hAnsi="宋体" w:eastAsia="宋体"/>
          <w:color w:val="000000"/>
          <w:sz w:val="24"/>
          <w:szCs w:val="24"/>
        </w:rPr>
        <w:t>43.3.2投标人自行决定是否参加开标会。若投标人对开标过程有异议，应在开标现场提出，投标人代表提出异议时须出示本人身份证原件。招标人应当当场作出答复，并制作记录。</w:t>
      </w:r>
    </w:p>
    <w:p w14:paraId="617C48DF">
      <w:pPr>
        <w:pBdr>
          <w:bottom w:val="single" w:color="auto" w:sz="6" w:space="1"/>
        </w:pBdr>
        <w:adjustRightInd w:val="0"/>
        <w:snapToGrid w:val="0"/>
        <w:spacing w:line="360" w:lineRule="auto"/>
        <w:ind w:firstLine="482" w:firstLineChars="200"/>
        <w:rPr>
          <w:rFonts w:hint="eastAsia" w:ascii="宋体" w:hAnsi="宋体" w:eastAsia="宋体"/>
          <w:color w:val="000000"/>
          <w:sz w:val="24"/>
          <w:szCs w:val="24"/>
        </w:rPr>
      </w:pPr>
      <w:r>
        <w:rPr>
          <w:rFonts w:hint="eastAsia" w:ascii="宋体" w:hAnsi="宋体" w:eastAsia="宋体"/>
          <w:b/>
          <w:color w:val="000000"/>
          <w:sz w:val="24"/>
          <w:szCs w:val="24"/>
        </w:rPr>
        <w:t>现文：</w:t>
      </w:r>
      <w:r>
        <w:rPr>
          <w:rFonts w:hint="eastAsia" w:ascii="宋体" w:hAnsi="宋体" w:eastAsia="宋体"/>
          <w:color w:val="000000"/>
          <w:sz w:val="24"/>
          <w:szCs w:val="24"/>
        </w:rPr>
        <w:t>43.3细则</w:t>
      </w:r>
    </w:p>
    <w:p w14:paraId="2A2F1653">
      <w:pPr>
        <w:pBdr>
          <w:bottom w:val="single" w:color="auto" w:sz="6" w:space="1"/>
        </w:pBdr>
        <w:adjustRightInd w:val="0"/>
        <w:snapToGrid w:val="0"/>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43.3.1递交投标文件截止时间前，各投标人将投标文件完整上传并保存在广州公共资源交易电子评标系统。</w:t>
      </w:r>
    </w:p>
    <w:p w14:paraId="1FB5A316">
      <w:pPr>
        <w:pBdr>
          <w:bottom w:val="single" w:color="auto" w:sz="6" w:space="1"/>
        </w:pBd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olor w:val="000000"/>
          <w:sz w:val="24"/>
          <w:szCs w:val="24"/>
        </w:rPr>
        <w:t>43.3.2</w:t>
      </w:r>
      <w:r>
        <w:rPr>
          <w:rFonts w:hint="eastAsia" w:ascii="宋体" w:hAnsi="宋体" w:eastAsia="宋体"/>
          <w:color w:val="000000"/>
          <w:sz w:val="24"/>
          <w:szCs w:val="24"/>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广州公共资源交易平台在线提出，招标人应通过广州公共资源交易平台答复，答复后方可结束开标。</w:t>
      </w:r>
    </w:p>
    <w:p w14:paraId="37BD29DB">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条款号：43.4             修改类型：修改</w:t>
      </w:r>
    </w:p>
    <w:p w14:paraId="44AE46FD">
      <w:pPr>
        <w:pStyle w:val="14"/>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kern w:val="44"/>
          <w:sz w:val="24"/>
          <w:szCs w:val="24"/>
          <w:highlight w:val="none"/>
        </w:rPr>
        <w:t>43.4</w:t>
      </w:r>
      <w:r>
        <w:rPr>
          <w:rFonts w:hint="eastAsia" w:ascii="宋体" w:hAnsi="宋体" w:eastAsia="宋体" w:cs="宋体"/>
          <w:color w:val="auto"/>
          <w:sz w:val="24"/>
          <w:szCs w:val="24"/>
          <w:highlight w:val="none"/>
        </w:rPr>
        <w:t>开标前，首先由招标人或招标代理机构按42.3规定,现场随机抽取确定该工程计算评标参考价的下浮率X。招标人或招标代理机构在开标时，公布以下所有内容：a、投标人名称；b、电子投标文件解密情况；c、电子投标文件的递交情况；d、法定代表人证明及授权委托；</w:t>
      </w:r>
      <w:r>
        <w:rPr>
          <w:rFonts w:hint="eastAsia" w:ascii="宋体" w:hAnsi="宋体" w:eastAsia="宋体" w:cs="宋体"/>
          <w:color w:val="auto"/>
          <w:sz w:val="24"/>
          <w:szCs w:val="24"/>
          <w:highlight w:val="none"/>
          <w:u w:val="single"/>
        </w:rPr>
        <w:t>e、投标保证金</w:t>
      </w:r>
      <w:r>
        <w:rPr>
          <w:rFonts w:hint="eastAsia" w:ascii="宋体" w:hAnsi="宋体" w:eastAsia="宋体" w:cs="宋体"/>
          <w:color w:val="auto"/>
          <w:sz w:val="24"/>
          <w:szCs w:val="24"/>
          <w:highlight w:val="none"/>
        </w:rPr>
        <w:t>；f、投标报价；g、人工费；h、绿色施工安全防护措施费；i、工期；j、质量标准；k、施工组织设计承诺书。</w:t>
      </w:r>
    </w:p>
    <w:p w14:paraId="275E638C">
      <w:pPr>
        <w:pBdr>
          <w:bottom w:val="single" w:color="auto" w:sz="6" w:space="1"/>
        </w:pBd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43.4开标前，首先由招标人或招标代理机构按42.3规定,现场随机抽取确定该工程计算评标参考价的下浮率 X。招标人或招标代理机构在开标时，公布以下所有内容：a、投标人名称；b、电子投标文件解密情况；c、电子投标文件的递交情况；d、法定代表人证明及授权委托；e、</w:t>
      </w:r>
      <w:r>
        <w:rPr>
          <w:rFonts w:hint="eastAsia" w:ascii="宋体" w:hAnsi="宋体" w:eastAsia="宋体" w:cs="宋体"/>
          <w:strike/>
          <w:color w:val="auto"/>
          <w:sz w:val="24"/>
          <w:szCs w:val="24"/>
          <w:highlight w:val="none"/>
        </w:rPr>
        <w:t>投标保证金；</w:t>
      </w:r>
      <w:r>
        <w:rPr>
          <w:rFonts w:hint="eastAsia" w:ascii="宋体" w:hAnsi="宋体" w:eastAsia="宋体" w:cs="宋体"/>
          <w:color w:val="auto"/>
          <w:sz w:val="24"/>
          <w:szCs w:val="24"/>
          <w:highlight w:val="none"/>
        </w:rPr>
        <w:t>f、投标报价；g、人工费；h、绿色施工安全防护措施费；i、工期；j、质量标准；k、施工组织设计承诺书；l、项目负责人；m、专职安全员。</w:t>
      </w:r>
    </w:p>
    <w:p w14:paraId="08666CE4">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条款号：46.7.1             修改类型：修改</w:t>
      </w:r>
    </w:p>
    <w:p w14:paraId="2218EDEA">
      <w:pPr>
        <w:spacing w:line="48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46.7.1权重分配：技术部分（施工组织方案）得分权重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%，技术部分（项目实施能力）得分权重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%，报价得分权重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%，诚信综合评价得分权重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288FC68">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46.7.1权重分配：技术部分（施工组织方案）得分权重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%，技术部分（项目实施能力）得分权重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%，报价得分权重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%，诚信综合评价得分权重</w:t>
      </w:r>
      <w:r>
        <w:rPr>
          <w:rFonts w:hint="eastAsia" w:ascii="宋体" w:hAnsi="宋体" w:eastAsia="宋体" w:cs="宋体"/>
          <w:color w:val="auto"/>
          <w:sz w:val="24"/>
          <w:szCs w:val="24"/>
          <w:highlight w:val="none"/>
          <w:u w:val="single"/>
        </w:rPr>
        <w:t xml:space="preserve"> 0 </w:t>
      </w:r>
      <w:r>
        <w:rPr>
          <w:rFonts w:hint="eastAsia" w:ascii="宋体" w:hAnsi="宋体" w:eastAsia="宋体" w:cs="宋体"/>
          <w:color w:val="auto"/>
          <w:sz w:val="24"/>
          <w:szCs w:val="24"/>
          <w:highlight w:val="none"/>
        </w:rPr>
        <w:t>%。</w:t>
      </w:r>
    </w:p>
    <w:p w14:paraId="0F9ADCC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条款号：46.8               修改类型：修改</w:t>
      </w:r>
    </w:p>
    <w:p w14:paraId="3FCECB83">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46.8评标委员会按照各有效投标人的综合得分从高到低排列先后次序。综合得分相同的，则对具有相同情况的投标人，按中标候选人数量规定，由评标委员会采用记名投票方式，确定中标候选人的排序。</w:t>
      </w:r>
    </w:p>
    <w:p w14:paraId="65E0E103">
      <w:pPr>
        <w:pBdr>
          <w:bottom w:val="single" w:color="auto" w:sz="6" w:space="1"/>
        </w:pBd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46.8评标委员会按照各有效投标人的综合得分从高到低排列先后次序。综合得分相同的，以</w:t>
      </w:r>
      <w:r>
        <w:rPr>
          <w:rFonts w:hint="eastAsia" w:ascii="宋体" w:hAnsi="宋体" w:eastAsia="宋体" w:cs="宋体"/>
          <w:bCs/>
          <w:color w:val="auto"/>
          <w:sz w:val="24"/>
          <w:szCs w:val="24"/>
          <w:highlight w:val="none"/>
          <w:u w:val="single"/>
          <w:lang w:val="en-US" w:eastAsia="zh-CN"/>
        </w:rPr>
        <w:t>投标总报价较低</w:t>
      </w:r>
      <w:r>
        <w:rPr>
          <w:rFonts w:hint="eastAsia" w:ascii="宋体" w:hAnsi="宋体" w:eastAsia="宋体" w:cs="宋体"/>
          <w:bCs/>
          <w:color w:val="auto"/>
          <w:sz w:val="24"/>
          <w:szCs w:val="24"/>
          <w:highlight w:val="none"/>
        </w:rPr>
        <w:t>的排前；如仍存在相同情况，则对具有相同情况的投标人，按中标候选人数量规定，</w:t>
      </w:r>
      <w:r>
        <w:rPr>
          <w:rFonts w:hint="eastAsia" w:ascii="宋体" w:hAnsi="宋体" w:eastAsia="宋体" w:cs="宋体"/>
          <w:bCs/>
          <w:color w:val="auto"/>
          <w:sz w:val="24"/>
          <w:szCs w:val="24"/>
          <w:highlight w:val="none"/>
          <w:u w:val="none"/>
        </w:rPr>
        <w:t>由评标委员会采用记名投票方式，确定中标候选人的排序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记名投票方式确定排序的具体操作步骤为：由评标委员会对出现该情况的投标人采取记名投票的方式确定，按得票数从高到低排列先后次序，以得票数高的排前，确定中标候选人排序。</w:t>
      </w:r>
    </w:p>
    <w:p w14:paraId="0D3A340E">
      <w:pPr>
        <w:pStyle w:val="15"/>
        <w:rPr>
          <w:rFonts w:hint="eastAsia"/>
        </w:rPr>
      </w:pPr>
    </w:p>
    <w:p w14:paraId="31A64A1C">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条款号：附件1 开标记录表                   修改类型：修改</w:t>
      </w:r>
    </w:p>
    <w:p w14:paraId="40AACE01">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原文：详见《GZYLZB202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-1招标文件范本》</w:t>
      </w:r>
    </w:p>
    <w:p w14:paraId="57105183">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现文：详见附件1 开标记录表</w:t>
      </w:r>
    </w:p>
    <w:p w14:paraId="5F4F16E7">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条款号：附件2  资格审查表                  修改类型：修改</w:t>
      </w:r>
    </w:p>
    <w:p w14:paraId="2F9597DC">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原文：详见《GZYLZB202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-1招标文件范本》</w:t>
      </w:r>
    </w:p>
    <w:p w14:paraId="42441E78">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现文：详见附件2  资格审查表</w:t>
      </w:r>
    </w:p>
    <w:p w14:paraId="4E4190F7">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条款号：附件</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 投标文件否决性条款审查表       修改类型：修改</w:t>
      </w:r>
    </w:p>
    <w:p w14:paraId="4093D9B7">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原文：详见《GZYLZB202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-1招标文件范本》</w:t>
      </w:r>
    </w:p>
    <w:p w14:paraId="38A3BF3D">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现文：详见附件</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 投标文件否决性条款审查表</w:t>
      </w:r>
    </w:p>
    <w:p w14:paraId="7D2EB191">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条款号：附件</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 xml:space="preserve"> 投标人串通投标评审表           修改类型：修改</w:t>
      </w:r>
    </w:p>
    <w:p w14:paraId="5F8E8D93">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原文：详见《GZYLZB202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-1招标文件范本》</w:t>
      </w:r>
    </w:p>
    <w:p w14:paraId="7B5330A6">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现文：详见附件</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 xml:space="preserve"> 投标人串通投标评审表</w:t>
      </w:r>
    </w:p>
    <w:p w14:paraId="0D880776">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 附件</w:t>
      </w:r>
      <w:r>
        <w:rPr>
          <w:rFonts w:hint="eastAsia" w:ascii="宋体" w:hAnsi="宋体" w:eastAsia="宋体" w:cs="宋体"/>
          <w:b/>
          <w:color w:val="auto"/>
          <w:sz w:val="24"/>
          <w:szCs w:val="24"/>
          <w:highlight w:val="none"/>
          <w:lang w:val="en-US" w:eastAsia="zh-CN"/>
        </w:rPr>
        <w:t xml:space="preserve">9 </w:t>
      </w:r>
      <w:r>
        <w:rPr>
          <w:rFonts w:hint="eastAsia" w:ascii="宋体" w:hAnsi="宋体" w:eastAsia="宋体" w:cs="宋体"/>
          <w:b/>
          <w:color w:val="auto"/>
          <w:sz w:val="24"/>
          <w:szCs w:val="24"/>
          <w:highlight w:val="none"/>
        </w:rPr>
        <w:t>技术部分（施工组织方案）审查评分表       修改类型：修改</w:t>
      </w:r>
    </w:p>
    <w:p w14:paraId="5FCFFE1D">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原文：详见《GZYLZB202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-1招标文件范本》</w:t>
      </w:r>
    </w:p>
    <w:p w14:paraId="21F387BB">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现文：详见附件</w:t>
      </w:r>
      <w:r>
        <w:rPr>
          <w:rFonts w:hint="eastAsia" w:ascii="宋体" w:hAnsi="宋体" w:eastAsia="宋体" w:cs="宋体"/>
          <w:b/>
          <w:color w:val="auto"/>
          <w:sz w:val="24"/>
          <w:szCs w:val="24"/>
          <w:highlight w:val="none"/>
          <w:lang w:val="en-US" w:eastAsia="zh-CN"/>
        </w:rPr>
        <w:t xml:space="preserve">9 </w:t>
      </w:r>
      <w:r>
        <w:rPr>
          <w:rFonts w:hint="eastAsia" w:ascii="宋体" w:hAnsi="宋体" w:eastAsia="宋体" w:cs="宋体"/>
          <w:b/>
          <w:color w:val="auto"/>
          <w:sz w:val="24"/>
          <w:szCs w:val="24"/>
          <w:highlight w:val="none"/>
        </w:rPr>
        <w:t>技术部分（施工组织方案）审查评分表</w:t>
      </w:r>
    </w:p>
    <w:p w14:paraId="5F2FA175">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条款号：附件1</w:t>
      </w:r>
      <w:r>
        <w:rPr>
          <w:rFonts w:hint="eastAsia"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rPr>
        <w:t>技术部分（项目实施能力）审查评分表        修改类型：修改</w:t>
      </w:r>
    </w:p>
    <w:p w14:paraId="59040D77">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原文：详见《GZYLZB202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-1招标文件范本》</w:t>
      </w:r>
    </w:p>
    <w:p w14:paraId="3D4B1FAA">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现文：详见附件1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技术部分（项目实施能力）审查评分表</w:t>
      </w:r>
    </w:p>
    <w:p w14:paraId="2FA32F32">
      <w:pPr>
        <w:tabs>
          <w:tab w:val="left" w:pos="1890"/>
        </w:tabs>
        <w:snapToGrid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条款号：附件1</w:t>
      </w:r>
      <w:r>
        <w:rPr>
          <w:rFonts w:hint="eastAsia" w:ascii="宋体" w:hAnsi="宋体" w:eastAsia="宋体" w:cs="宋体"/>
          <w:b/>
          <w:color w:val="auto"/>
          <w:sz w:val="24"/>
          <w:szCs w:val="24"/>
          <w:highlight w:val="none"/>
          <w:lang w:val="en-US" w:eastAsia="zh-CN"/>
        </w:rPr>
        <w:t>2  定标委员会组建办法及定标办法</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val="en-US" w:eastAsia="zh-CN"/>
        </w:rPr>
        <w:t>删除</w:t>
      </w:r>
    </w:p>
    <w:p w14:paraId="51287C73">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原文：详见《GZYLZB202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-1招标文件范本》</w:t>
      </w:r>
    </w:p>
    <w:p w14:paraId="10D6530B">
      <w:pPr>
        <w:adjustRightInd w:val="0"/>
        <w:snapToGrid w:val="0"/>
        <w:spacing w:line="360" w:lineRule="auto"/>
        <w:ind w:firstLine="472" w:firstLineChars="196"/>
        <w:rPr>
          <w:rFonts w:ascii="宋体" w:hAnsi="宋体" w:eastAsia="宋体"/>
          <w:b/>
          <w:color w:val="000000"/>
          <w:sz w:val="24"/>
          <w:szCs w:val="24"/>
        </w:rPr>
      </w:pPr>
      <w:r>
        <w:rPr>
          <w:rFonts w:hint="eastAsia" w:ascii="宋体" w:hAnsi="宋体" w:eastAsia="宋体"/>
          <w:b/>
          <w:color w:val="000000"/>
          <w:sz w:val="24"/>
          <w:szCs w:val="24"/>
        </w:rPr>
        <w:t>条款号：附件16  联合体投标协议                           修改类型：删除</w:t>
      </w:r>
    </w:p>
    <w:p w14:paraId="564A42B3">
      <w:pPr>
        <w:pBdr>
          <w:bottom w:val="single" w:color="auto" w:sz="6" w:space="1"/>
        </w:pBdr>
        <w:adjustRightInd w:val="0"/>
        <w:snapToGrid w:val="0"/>
        <w:spacing w:line="360" w:lineRule="auto"/>
        <w:ind w:firstLine="482" w:firstLineChars="200"/>
        <w:rPr>
          <w:rFonts w:ascii="宋体" w:hAnsi="宋体" w:eastAsia="宋体"/>
          <w:b/>
          <w:color w:val="000000"/>
          <w:sz w:val="24"/>
          <w:szCs w:val="24"/>
        </w:rPr>
      </w:pPr>
      <w:r>
        <w:rPr>
          <w:rFonts w:hint="eastAsia" w:ascii="宋体" w:hAnsi="宋体" w:eastAsia="宋体"/>
          <w:b/>
          <w:color w:val="000000"/>
          <w:sz w:val="24"/>
          <w:szCs w:val="24"/>
        </w:rPr>
        <w:t>原文：</w:t>
      </w:r>
      <w:r>
        <w:rPr>
          <w:rFonts w:hint="eastAsia" w:ascii="宋体" w:hAnsi="宋体" w:eastAsia="宋体"/>
          <w:b/>
          <w:bCs/>
          <w:color w:val="000000"/>
          <w:sz w:val="24"/>
          <w:szCs w:val="24"/>
        </w:rPr>
        <w:t>详见《广州市园林绿化工程施工招标文件范本（GZYLZB2023-1）》</w:t>
      </w:r>
    </w:p>
    <w:p w14:paraId="76230464">
      <w:pPr>
        <w:adjustRightInd w:val="0"/>
        <w:snapToGrid w:val="0"/>
        <w:spacing w:line="360" w:lineRule="auto"/>
        <w:ind w:firstLine="472" w:firstLineChars="196"/>
        <w:rPr>
          <w:rFonts w:ascii="宋体" w:hAnsi="宋体" w:eastAsia="宋体"/>
          <w:b/>
          <w:color w:val="000000"/>
          <w:sz w:val="24"/>
          <w:szCs w:val="24"/>
        </w:rPr>
      </w:pPr>
      <w:r>
        <w:rPr>
          <w:rFonts w:hint="eastAsia" w:ascii="宋体" w:hAnsi="宋体" w:eastAsia="宋体"/>
          <w:b/>
          <w:color w:val="000000"/>
          <w:sz w:val="24"/>
          <w:szCs w:val="24"/>
        </w:rPr>
        <w:t>条款号：附件19  项目施工管理机构配备表                   修改类型：增加</w:t>
      </w:r>
    </w:p>
    <w:p w14:paraId="71540267">
      <w:pPr>
        <w:pBdr>
          <w:bottom w:val="single" w:color="auto" w:sz="6" w:space="1"/>
        </w:pBdr>
        <w:adjustRightInd w:val="0"/>
        <w:snapToGrid w:val="0"/>
        <w:spacing w:line="360" w:lineRule="auto"/>
        <w:ind w:firstLine="482" w:firstLineChars="200"/>
        <w:rPr>
          <w:rFonts w:hint="eastAsia" w:ascii="宋体" w:hAnsi="宋体" w:eastAsia="宋体"/>
          <w:b/>
          <w:color w:val="000000"/>
          <w:sz w:val="24"/>
          <w:szCs w:val="24"/>
        </w:rPr>
      </w:pPr>
      <w:r>
        <w:rPr>
          <w:rFonts w:hint="eastAsia" w:ascii="宋体" w:hAnsi="宋体" w:eastAsia="宋体"/>
          <w:b/>
          <w:color w:val="000000"/>
          <w:sz w:val="24"/>
          <w:szCs w:val="24"/>
        </w:rPr>
        <w:t>现文：</w:t>
      </w:r>
      <w:r>
        <w:rPr>
          <w:rFonts w:hint="eastAsia" w:ascii="宋体" w:hAnsi="宋体" w:eastAsia="宋体"/>
          <w:b/>
          <w:bCs/>
          <w:color w:val="000000"/>
          <w:sz w:val="24"/>
          <w:szCs w:val="24"/>
        </w:rPr>
        <w:t>详见本招标文件第四章附件1</w:t>
      </w:r>
      <w:r>
        <w:rPr>
          <w:rFonts w:hint="eastAsia" w:ascii="宋体" w:hAnsi="宋体" w:eastAsia="宋体"/>
          <w:b/>
          <w:bCs/>
          <w:color w:val="000000"/>
          <w:sz w:val="24"/>
          <w:szCs w:val="24"/>
          <w:lang w:val="en-US" w:eastAsia="zh-CN"/>
        </w:rPr>
        <w:t>7</w:t>
      </w:r>
      <w:r>
        <w:rPr>
          <w:rFonts w:hint="eastAsia" w:ascii="宋体" w:hAnsi="宋体" w:eastAsia="宋体"/>
          <w:b/>
          <w:bCs/>
          <w:color w:val="000000"/>
          <w:sz w:val="24"/>
          <w:szCs w:val="24"/>
        </w:rPr>
        <w:t xml:space="preserve">  </w:t>
      </w:r>
      <w:r>
        <w:rPr>
          <w:rFonts w:hint="eastAsia" w:ascii="宋体" w:hAnsi="宋体" w:eastAsia="宋体"/>
          <w:b/>
          <w:bCs/>
          <w:color w:val="000000"/>
          <w:sz w:val="24"/>
          <w:szCs w:val="24"/>
          <w:lang w:eastAsia="zh-CN"/>
        </w:rPr>
        <w:t>《</w:t>
      </w:r>
      <w:r>
        <w:rPr>
          <w:rFonts w:hint="eastAsia" w:ascii="宋体" w:hAnsi="宋体" w:eastAsia="宋体"/>
          <w:b/>
          <w:bCs/>
          <w:color w:val="000000"/>
          <w:sz w:val="24"/>
          <w:szCs w:val="24"/>
        </w:rPr>
        <w:t>项目施工管理机构配备表</w:t>
      </w:r>
      <w:r>
        <w:rPr>
          <w:rFonts w:hint="eastAsia" w:ascii="宋体" w:hAnsi="宋体" w:eastAsia="宋体"/>
          <w:b/>
          <w:bCs/>
          <w:color w:val="000000"/>
          <w:sz w:val="24"/>
          <w:szCs w:val="24"/>
          <w:lang w:eastAsia="zh-CN"/>
        </w:rPr>
        <w:t>》</w:t>
      </w:r>
    </w:p>
    <w:p w14:paraId="29666C90">
      <w:pPr>
        <w:adjustRightInd w:val="0"/>
        <w:snapToGrid w:val="0"/>
        <w:spacing w:line="360" w:lineRule="auto"/>
        <w:ind w:firstLine="472" w:firstLineChars="196"/>
        <w:rPr>
          <w:rFonts w:ascii="宋体" w:hAnsi="宋体" w:eastAsia="宋体"/>
          <w:b/>
          <w:color w:val="000000"/>
          <w:sz w:val="24"/>
          <w:szCs w:val="24"/>
        </w:rPr>
      </w:pPr>
      <w:r>
        <w:rPr>
          <w:rFonts w:hint="eastAsia" w:ascii="宋体" w:hAnsi="宋体" w:eastAsia="宋体"/>
          <w:b/>
          <w:color w:val="000000"/>
          <w:sz w:val="24"/>
          <w:szCs w:val="24"/>
        </w:rPr>
        <w:t>条款号：附件20  主要人员简历表                           修改类型：增加</w:t>
      </w:r>
    </w:p>
    <w:p w14:paraId="3DBB8ADE">
      <w:pPr>
        <w:pBdr>
          <w:bottom w:val="single" w:color="auto" w:sz="6" w:space="1"/>
        </w:pBd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b/>
          <w:color w:val="000000"/>
          <w:sz w:val="24"/>
          <w:szCs w:val="24"/>
        </w:rPr>
        <w:t>现文：</w:t>
      </w:r>
      <w:r>
        <w:rPr>
          <w:rFonts w:hint="eastAsia" w:ascii="宋体" w:hAnsi="宋体" w:eastAsia="宋体"/>
          <w:b/>
          <w:bCs/>
          <w:color w:val="000000"/>
          <w:sz w:val="24"/>
          <w:szCs w:val="24"/>
        </w:rPr>
        <w:t>详见本招标文件第四章附件</w:t>
      </w:r>
      <w:r>
        <w:rPr>
          <w:rFonts w:hint="eastAsia" w:ascii="宋体" w:hAnsi="宋体" w:eastAsia="宋体"/>
          <w:b/>
          <w:bCs/>
          <w:color w:val="000000"/>
          <w:sz w:val="24"/>
          <w:szCs w:val="24"/>
          <w:lang w:val="en-US" w:eastAsia="zh-CN"/>
        </w:rPr>
        <w:t>18</w:t>
      </w:r>
      <w:r>
        <w:rPr>
          <w:rFonts w:hint="eastAsia" w:ascii="宋体" w:hAnsi="宋体" w:eastAsia="宋体"/>
          <w:b/>
          <w:bCs/>
          <w:color w:val="000000"/>
          <w:sz w:val="24"/>
          <w:szCs w:val="24"/>
        </w:rPr>
        <w:t xml:space="preserve">  </w:t>
      </w:r>
      <w:r>
        <w:rPr>
          <w:rFonts w:hint="eastAsia" w:ascii="宋体" w:hAnsi="宋体" w:eastAsia="宋体"/>
          <w:b/>
          <w:bCs/>
          <w:color w:val="000000"/>
          <w:sz w:val="24"/>
          <w:szCs w:val="24"/>
          <w:lang w:eastAsia="zh-CN"/>
        </w:rPr>
        <w:t>《</w:t>
      </w:r>
      <w:r>
        <w:rPr>
          <w:rFonts w:hint="eastAsia" w:ascii="宋体" w:hAnsi="宋体" w:eastAsia="宋体"/>
          <w:b/>
          <w:bCs/>
          <w:color w:val="000000"/>
          <w:sz w:val="24"/>
          <w:szCs w:val="24"/>
        </w:rPr>
        <w:t>主要人员简历表</w:t>
      </w:r>
      <w:r>
        <w:rPr>
          <w:rFonts w:hint="eastAsia" w:ascii="宋体" w:hAnsi="宋体" w:eastAsia="宋体"/>
          <w:b/>
          <w:bCs/>
          <w:color w:val="000000"/>
          <w:sz w:val="24"/>
          <w:szCs w:val="24"/>
          <w:lang w:eastAsia="zh-CN"/>
        </w:rPr>
        <w:t>》</w:t>
      </w:r>
    </w:p>
    <w:p w14:paraId="46466A3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注：以上修改，仅限于本范本中有可供选择条款的情形。</w:t>
      </w:r>
    </w:p>
    <w:p w14:paraId="7A1A02EF">
      <w:pPr>
        <w:pStyle w:val="3"/>
        <w:spacing w:before="120"/>
        <w:rPr>
          <w:rFonts w:ascii="宋体" w:eastAsia="宋体"/>
          <w:color w:val="auto"/>
          <w:highlight w:val="none"/>
        </w:rPr>
      </w:pPr>
      <w:bookmarkStart w:id="147" w:name="_Toc26565"/>
      <w:r>
        <w:rPr>
          <w:rFonts w:hint="eastAsia" w:ascii="宋体" w:hAnsi="宋体" w:eastAsia="宋体" w:cs="宋体"/>
          <w:b/>
          <w:color w:val="auto"/>
          <w:sz w:val="24"/>
          <w:szCs w:val="24"/>
          <w:highlight w:val="none"/>
        </w:rPr>
        <w:t>（以下无正文）</w:t>
      </w:r>
      <w:r>
        <w:rPr>
          <w:rFonts w:hint="eastAsia" w:ascii="宋体" w:eastAsia="宋体"/>
          <w:color w:val="auto"/>
          <w:highlight w:val="none"/>
        </w:rPr>
        <w:br w:type="page"/>
      </w:r>
      <w:bookmarkStart w:id="148" w:name="_Toc10902"/>
      <w:bookmarkStart w:id="149" w:name="_Toc22071"/>
      <w:bookmarkStart w:id="150" w:name="_Toc262229170"/>
      <w:bookmarkStart w:id="151" w:name="_Toc15494"/>
      <w:bookmarkStart w:id="152" w:name="_Toc2089"/>
      <w:bookmarkStart w:id="153" w:name="_Toc18315"/>
      <w:bookmarkStart w:id="154" w:name="_Toc3696"/>
      <w:bookmarkStart w:id="155" w:name="_Toc26348"/>
      <w:bookmarkStart w:id="156" w:name="_Toc30222"/>
      <w:bookmarkStart w:id="157" w:name="_Toc13326"/>
      <w:r>
        <w:rPr>
          <w:rFonts w:hint="eastAsia" w:ascii="宋体" w:eastAsia="宋体"/>
          <w:color w:val="auto"/>
          <w:highlight w:val="none"/>
        </w:rPr>
        <w:t>二、开标、评标及定标办法</w:t>
      </w:r>
      <w:bookmarkEnd w:id="147"/>
      <w:bookmarkEnd w:id="148"/>
      <w:bookmarkEnd w:id="149"/>
      <w:bookmarkEnd w:id="150"/>
      <w:bookmarkEnd w:id="151"/>
      <w:bookmarkEnd w:id="152"/>
      <w:bookmarkEnd w:id="153"/>
      <w:bookmarkEnd w:id="154"/>
      <w:bookmarkEnd w:id="155"/>
      <w:bookmarkEnd w:id="156"/>
      <w:bookmarkEnd w:id="157"/>
    </w:p>
    <w:p w14:paraId="272E9250">
      <w:pPr>
        <w:pStyle w:val="3"/>
        <w:spacing w:before="120"/>
        <w:rPr>
          <w:rFonts w:ascii="宋体" w:eastAsia="宋体"/>
          <w:color w:val="auto"/>
          <w:highlight w:val="none"/>
        </w:rPr>
      </w:pPr>
      <w:bookmarkStart w:id="158" w:name="_（一）总则"/>
      <w:bookmarkEnd w:id="158"/>
      <w:bookmarkStart w:id="159" w:name="_Toc262229171"/>
      <w:bookmarkStart w:id="160" w:name="_Toc17382"/>
      <w:bookmarkStart w:id="161" w:name="_Toc27722"/>
      <w:bookmarkStart w:id="162" w:name="_Toc21769"/>
      <w:bookmarkStart w:id="163" w:name="_Toc30944"/>
      <w:bookmarkStart w:id="164" w:name="_Toc30249"/>
      <w:bookmarkStart w:id="165" w:name="_Toc28306"/>
      <w:bookmarkStart w:id="166" w:name="_Toc25480"/>
      <w:bookmarkStart w:id="167" w:name="_Toc28300"/>
      <w:bookmarkStart w:id="168" w:name="_Toc1693"/>
      <w:bookmarkStart w:id="169" w:name="_Toc9542"/>
      <w:r>
        <w:rPr>
          <w:rFonts w:hint="eastAsia" w:ascii="宋体" w:eastAsia="宋体"/>
          <w:color w:val="auto"/>
          <w:highlight w:val="none"/>
        </w:rPr>
        <w:t>（一）总则</w:t>
      </w:r>
      <w:bookmarkEnd w:id="159"/>
      <w:bookmarkEnd w:id="160"/>
      <w:bookmarkEnd w:id="161"/>
      <w:bookmarkEnd w:id="162"/>
      <w:bookmarkEnd w:id="163"/>
      <w:bookmarkEnd w:id="164"/>
      <w:bookmarkEnd w:id="165"/>
      <w:bookmarkEnd w:id="166"/>
      <w:bookmarkEnd w:id="167"/>
      <w:bookmarkEnd w:id="168"/>
      <w:bookmarkEnd w:id="169"/>
    </w:p>
    <w:p w14:paraId="134B0354">
      <w:pPr>
        <w:ind w:firstLine="3896" w:firstLineChars="1617"/>
        <w:rPr>
          <w:rFonts w:ascii="宋体" w:hAnsi="宋体" w:eastAsia="宋体"/>
          <w:b/>
          <w:color w:val="auto"/>
          <w:sz w:val="24"/>
          <w:szCs w:val="24"/>
          <w:highlight w:val="none"/>
        </w:rPr>
      </w:pPr>
    </w:p>
    <w:p w14:paraId="4BE03BE5">
      <w:pPr>
        <w:tabs>
          <w:tab w:val="left" w:pos="1620"/>
        </w:tabs>
        <w:snapToGri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highlight w:val="none"/>
        </w:rPr>
        <w:t>37.开标、评标及定标所依据的规则</w:t>
      </w:r>
    </w:p>
    <w:p w14:paraId="17E6FB17">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37.1《中华人民共和国招标投标法》；</w:t>
      </w:r>
    </w:p>
    <w:p w14:paraId="1F829F47">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37.2《中华人民共和国招标投标法实施条例》；</w:t>
      </w:r>
    </w:p>
    <w:p w14:paraId="4B53B46F">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37.3《广东省实施〈中华人民共和国招标投标法〉办法》；</w:t>
      </w:r>
    </w:p>
    <w:p w14:paraId="07DA2DAA">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37.4国家发改委等九部委2013年第23号令；</w:t>
      </w:r>
    </w:p>
    <w:p w14:paraId="7CDF557F">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37.5《广州市工程建设项目招标投标管理办法》；</w:t>
      </w:r>
    </w:p>
    <w:p w14:paraId="014D435A">
      <w:pPr>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37.6《广东省加强建设工程招标投标监督管理的若干规定》；</w:t>
      </w:r>
    </w:p>
    <w:p w14:paraId="35669881">
      <w:pPr>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37.7《广州市林业和园林局关于明确广州市园林绿化工程项目招标投标有关问题的通知》</w:t>
      </w:r>
    </w:p>
    <w:p w14:paraId="7E3EE994">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37.8本项目招标文件。</w:t>
      </w:r>
    </w:p>
    <w:p w14:paraId="03F42F08">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38.开标</w:t>
      </w:r>
    </w:p>
    <w:p w14:paraId="74324653">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38.1招标人按投标须知前附表第21项所规定的时间和地点公开开标，并邀请所有投标人参加。递交投标文件截止时间后，开标时间因故推迟的，相关评标信息仍以原定的开标时间的信息为准。</w:t>
      </w:r>
    </w:p>
    <w:p w14:paraId="535F9EA5">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38.2投标人、招标人分别按投标须知第25条、第26条规定对投标文件进行解密。</w:t>
      </w:r>
    </w:p>
    <w:p w14:paraId="56C8B919">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38.3开标时，出现下列情形之一的投标人，不参与电脑随机排序、资格审查和评标，其投标文件作无效处理：</w:t>
      </w:r>
    </w:p>
    <w:p w14:paraId="52B149D2">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38.3.1未成功递交或因投标人原因未成功导入投标文件的；</w:t>
      </w:r>
    </w:p>
    <w:p w14:paraId="4F4F3E3F">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38.3.2因投标人原因造成投标文件未解密的；</w:t>
      </w:r>
    </w:p>
    <w:p w14:paraId="04237258">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38.3.3投标人未按要求递交投标保证金的；</w:t>
      </w:r>
    </w:p>
    <w:p w14:paraId="631F793E">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38.3.4两个（含两个）以上的投标人加密打包投标文件电脑机器特征码一致的；</w:t>
      </w:r>
    </w:p>
    <w:p w14:paraId="04F3F520">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38.3.5项目负责人和</w:t>
      </w:r>
      <w:r>
        <w:rPr>
          <w:rFonts w:hint="eastAsia" w:ascii="宋体" w:hAnsi="宋体" w:eastAsia="宋体"/>
          <w:color w:val="auto"/>
          <w:sz w:val="24"/>
          <w:szCs w:val="24"/>
          <w:highlight w:val="none"/>
          <w:lang w:eastAsia="zh-CN"/>
        </w:rPr>
        <w:t>专职</w:t>
      </w:r>
      <w:r>
        <w:rPr>
          <w:rFonts w:hint="eastAsia" w:ascii="宋体" w:hAnsi="宋体" w:eastAsia="宋体"/>
          <w:color w:val="auto"/>
          <w:sz w:val="24"/>
          <w:szCs w:val="24"/>
          <w:highlight w:val="none"/>
        </w:rPr>
        <w:t>安全员为同一人的。</w:t>
      </w:r>
    </w:p>
    <w:p w14:paraId="0316C6CC">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38.4若递交投标文件的投标人不足3个，则重新组织招标（当N个标段同时招标且不允许兼中时，若递交投标文件单位不足N+2个，则重新组织招标）。</w:t>
      </w:r>
    </w:p>
    <w:p w14:paraId="512D0AF9">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39.评标</w:t>
      </w:r>
    </w:p>
    <w:p w14:paraId="30C1076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39.1评标由招标人依法组建的评标委员会负责。评标委员会由招标人的代表和有关技术、经济等方面的专家组成，成员人数为五人以上单数。招标人代表不得担任评标委员会负责人，不得接受评标报酬，评标过程中不得以任何方式影响其他评标专家独立评标。技术、经济等方面的专家须从政府设立的建设工程评标专家库中随机抽取确定，不得少于成员总数的三份之二。</w:t>
      </w:r>
    </w:p>
    <w:p w14:paraId="14B0FEF0">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39.2评标委员会的职责及守则：</w:t>
      </w:r>
    </w:p>
    <w:p w14:paraId="78CE3C2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39.2.1根据评标细则，对标书进行认真评审，完成评审报告；</w:t>
      </w:r>
    </w:p>
    <w:p w14:paraId="0B1C15A4">
      <w:pPr>
        <w:tabs>
          <w:tab w:val="left" w:pos="1620"/>
        </w:tabs>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39.2.2向招标人报告评审意见，推荐合格的中标候选人。</w:t>
      </w:r>
    </w:p>
    <w:p w14:paraId="5CDD3E35">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bCs/>
          <w:color w:val="auto"/>
          <w:sz w:val="24"/>
          <w:szCs w:val="24"/>
          <w:highlight w:val="none"/>
        </w:rPr>
        <w:t>39.2.3</w:t>
      </w:r>
      <w:r>
        <w:rPr>
          <w:rFonts w:hint="eastAsia" w:ascii="宋体" w:hAnsi="宋体" w:eastAsia="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78E45DA1">
      <w:pPr>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39.2.4全体参与评标人员：</w:t>
      </w:r>
    </w:p>
    <w:p w14:paraId="6F8160A1">
      <w:pPr>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39.2.4.1 必须遵守评标纪律、不得泄密；</w:t>
      </w:r>
    </w:p>
    <w:p w14:paraId="123A5844">
      <w:pPr>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39.2.4.2 必须公正、不得循私；</w:t>
      </w:r>
    </w:p>
    <w:p w14:paraId="5C0A1484">
      <w:pPr>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39.2.4.3 必须科学、不得草率；</w:t>
      </w:r>
    </w:p>
    <w:p w14:paraId="44C5EDCC">
      <w:pPr>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39.2.4.4 必须客观、不得带有成见；</w:t>
      </w:r>
    </w:p>
    <w:p w14:paraId="7A68FEC6">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bCs/>
          <w:color w:val="auto"/>
          <w:sz w:val="24"/>
          <w:szCs w:val="24"/>
          <w:highlight w:val="none"/>
        </w:rPr>
        <w:t>39.2.4.5 必须平等、不得强加于人</w:t>
      </w:r>
      <w:r>
        <w:rPr>
          <w:rFonts w:hint="eastAsia" w:ascii="宋体" w:hAnsi="宋体" w:eastAsia="宋体"/>
          <w:color w:val="auto"/>
          <w:sz w:val="24"/>
          <w:szCs w:val="24"/>
          <w:highlight w:val="none"/>
        </w:rPr>
        <w:t>；</w:t>
      </w:r>
    </w:p>
    <w:p w14:paraId="660DAD60">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39.2.4.6 必须严谨、不得随意马虎。</w:t>
      </w:r>
    </w:p>
    <w:p w14:paraId="65B99B7F">
      <w:pPr>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olor w:val="auto"/>
          <w:sz w:val="24"/>
          <w:szCs w:val="24"/>
          <w:highlight w:val="none"/>
        </w:rPr>
        <w:t>39.3 评标结束后，</w:t>
      </w:r>
      <w:r>
        <w:rPr>
          <w:rFonts w:hint="eastAsia" w:ascii="宋体" w:hAnsi="宋体" w:eastAsia="宋体"/>
          <w:bCs/>
          <w:color w:val="auto"/>
          <w:sz w:val="24"/>
          <w:szCs w:val="24"/>
          <w:highlight w:val="none"/>
        </w:rPr>
        <w:t>评标委员会递交评标报告并依法推荐中标候选人。</w:t>
      </w:r>
    </w:p>
    <w:p w14:paraId="4DB43343">
      <w:pPr>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存在投标人串通投标行为的，评标委员会应将相关投标人存在的具体情形、评审认定过程及评审依据详细记录在评标报告中，作为评标报告的组成部分。投标人有关澄清文件的原件封存广州交易集团有限公司（广州公共资源交易中心）备查，复印件在评标结束当日工作时间内（评标结束时处于非工作时间的，应于下个一工作日12:00时前）由招标人或招标代理机构转交该项目招标监管机构查处。</w:t>
      </w:r>
    </w:p>
    <w:p w14:paraId="1599F96F">
      <w:pPr>
        <w:snapToGrid w:val="0"/>
        <w:spacing w:line="360"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40．投标文件的澄清</w:t>
      </w:r>
    </w:p>
    <w:p w14:paraId="0AB402CF">
      <w:pPr>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40.1投标文件属于《投标人串通投标评审表》所列情形之一的，评标委员会应要求涉及相应情形的投标企业在接到通知后2小时内到达指定地点作出书面澄清。</w:t>
      </w:r>
    </w:p>
    <w:p w14:paraId="6A315627">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40.2对于</w:t>
      </w:r>
      <w:r>
        <w:rPr>
          <w:rFonts w:hint="eastAsia" w:ascii="宋体" w:hAnsi="宋体" w:eastAsia="宋体"/>
          <w:color w:val="auto"/>
          <w:sz w:val="24"/>
          <w:szCs w:val="24"/>
          <w:highlight w:val="none"/>
          <w:lang w:val="en-US" w:eastAsia="zh-CN"/>
        </w:rPr>
        <w:t>40</w:t>
      </w:r>
      <w:r>
        <w:rPr>
          <w:rFonts w:hint="eastAsia" w:ascii="宋体" w:hAnsi="宋体" w:eastAsia="宋体"/>
          <w:color w:val="auto"/>
          <w:sz w:val="24"/>
          <w:szCs w:val="24"/>
          <w:highlight w:val="none"/>
        </w:rPr>
        <w:t>.1以外的其他情况，为有助于投标文件的审查、评价和比较，评标期间，经评标委员会或评标委员会专业评审组中2人以上（含2人）成员以书面形式提出动议，评标委员会或评标委员会专业评审组应当书面发出澄清通知，要求投标人对投标文件含义不明确的内容作出澄清。</w:t>
      </w:r>
    </w:p>
    <w:p w14:paraId="4269BEA6">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40.3投标人应以书面形式进行澄清，</w:t>
      </w:r>
      <w:r>
        <w:rPr>
          <w:rFonts w:hint="eastAsia" w:ascii="宋体" w:hAnsi="宋体" w:eastAsia="宋体"/>
          <w:bCs/>
          <w:color w:val="auto"/>
          <w:sz w:val="24"/>
          <w:highlight w:val="none"/>
        </w:rPr>
        <w:t>澄清和说明内容属于投标文件的组成部分，</w:t>
      </w:r>
      <w:r>
        <w:rPr>
          <w:rFonts w:hint="eastAsia" w:ascii="宋体" w:hAnsi="宋体" w:eastAsia="宋体"/>
          <w:color w:val="auto"/>
          <w:sz w:val="24"/>
          <w:szCs w:val="24"/>
          <w:highlight w:val="none"/>
        </w:rPr>
        <w:t>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FF2285C">
      <w:pPr>
        <w:spacing w:line="360" w:lineRule="auto"/>
        <w:ind w:firstLine="480" w:firstLineChars="200"/>
        <w:rPr>
          <w:rFonts w:ascii="宋体" w:hAnsi="宋体" w:eastAsia="宋体"/>
          <w:bCs/>
          <w:color w:val="auto"/>
          <w:sz w:val="24"/>
          <w:highlight w:val="none"/>
        </w:rPr>
      </w:pPr>
      <w:r>
        <w:rPr>
          <w:rFonts w:hint="eastAsia" w:ascii="宋体" w:hAnsi="宋体" w:eastAsia="宋体"/>
          <w:color w:val="auto"/>
          <w:sz w:val="24"/>
          <w:szCs w:val="24"/>
          <w:highlight w:val="none"/>
        </w:rPr>
        <w:t>40.4评标委员会或评标委员会专业评审组成员均应当阅读投标人的澄清，但应独立参考澄清对投标文件进行评审，</w:t>
      </w:r>
      <w:r>
        <w:rPr>
          <w:rFonts w:hint="eastAsia" w:ascii="宋体" w:hAnsi="宋体" w:eastAsia="宋体"/>
          <w:bCs/>
          <w:color w:val="auto"/>
          <w:sz w:val="24"/>
          <w:highlight w:val="none"/>
        </w:rPr>
        <w:t>整个澄清的过程不得存在排斥潜在投标人的现象。</w:t>
      </w:r>
    </w:p>
    <w:p w14:paraId="0DFB03A2">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40.5如果投标文件实质上不响应招标文件的各项要求，评标委员会将按照否决性条款审查标准予以拒绝，不接受投标人通过修改或撤销其不符合要求的差异或保留，使之成为具有响应性的投标。</w:t>
      </w:r>
    </w:p>
    <w:p w14:paraId="066C3B05">
      <w:pPr>
        <w:tabs>
          <w:tab w:val="left" w:pos="1890"/>
        </w:tabs>
        <w:snapToGrid w:val="0"/>
        <w:spacing w:line="360"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41．定标</w:t>
      </w:r>
    </w:p>
    <w:p w14:paraId="3F389FA2">
      <w:pPr>
        <w:tabs>
          <w:tab w:val="left" w:pos="1890"/>
        </w:tabs>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41.1不采用评定分离的，评标委员会推荐中标候选人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名（不多于3名）。</w:t>
      </w:r>
    </w:p>
    <w:p w14:paraId="0D3C52F9">
      <w:pPr>
        <w:tabs>
          <w:tab w:val="left" w:pos="1890"/>
        </w:tabs>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评标委员会向招标人推荐按综合得分高低排序的中标候选人。招标人在评标委员会推荐的中标候选人中确定中标人。依法必须招标的项目，招标人应当确定排名第一的中标候选人为中标人。</w:t>
      </w:r>
    </w:p>
    <w:p w14:paraId="387DED0F">
      <w:pPr>
        <w:tabs>
          <w:tab w:val="left" w:pos="1890"/>
        </w:tabs>
        <w:snapToGrid w:val="0"/>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41.2采用评定分离的，评标委员会推荐中标候选人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名（3-5名）。</w:t>
      </w:r>
    </w:p>
    <w:p w14:paraId="77266FB1">
      <w:pPr>
        <w:tabs>
          <w:tab w:val="left" w:pos="1890"/>
        </w:tabs>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评标委员会向招标人推荐不排序的中标候选人。定标委员会在中标候选人中按照定标办法（详见附件一）确定中标人。</w:t>
      </w:r>
    </w:p>
    <w:p w14:paraId="1E476122">
      <w:pPr>
        <w:tabs>
          <w:tab w:val="left" w:pos="1890"/>
        </w:tabs>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41.3中标人确定后，招标人（招标代理机构）通过广州公共资源交易</w:t>
      </w:r>
      <w:r>
        <w:rPr>
          <w:rFonts w:hint="eastAsia" w:ascii="宋体" w:hAnsi="宋体" w:eastAsia="宋体"/>
          <w:color w:val="auto"/>
          <w:sz w:val="24"/>
          <w:szCs w:val="24"/>
          <w:highlight w:val="none"/>
          <w:lang w:eastAsia="zh-CN"/>
        </w:rPr>
        <w:t>网站</w:t>
      </w:r>
      <w:r>
        <w:rPr>
          <w:rFonts w:hint="eastAsia" w:ascii="宋体" w:hAnsi="宋体" w:eastAsia="宋体"/>
          <w:color w:val="auto"/>
          <w:sz w:val="24"/>
          <w:szCs w:val="24"/>
          <w:highlight w:val="none"/>
        </w:rPr>
        <w:t>和广东省招标投标监管网公示中标结果，向中标人发出中标通知书，并同时将中标结果通知所有未中标的投标人。投标人或其他利害关系人对评标结果有异议的，应当在中标候选人公示期间通过电子交易平台或书面方式提出。通过电子交易平台提出异议的，招标人线上作出答复。作出答复前，应当暂停招标投标活动。</w:t>
      </w:r>
    </w:p>
    <w:p w14:paraId="29E97B54">
      <w:pPr>
        <w:tabs>
          <w:tab w:val="left" w:pos="1890"/>
        </w:tabs>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41.4招标人应当自确定中标人之日起十五日内，向招标管理机构提交招标投标情况的书面报告。采用评定分离的，招标人应当提交定标报告。定标报告应包括定标委员会的产生过程、定标委员会成员名单、定标程序、定标会议过程及定标结果等内容。</w:t>
      </w:r>
    </w:p>
    <w:p w14:paraId="488D0CAF">
      <w:pPr>
        <w:tabs>
          <w:tab w:val="left" w:pos="1890"/>
        </w:tabs>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41.5如出现中标人放弃中标、因不可抗力不能履行合同、不按照招标文件要求提交履约担保，或者被查实存在影响中标结果的违法行为等情形，不符合中标条件的，招标人可按照条款41.1的定标方式重新确定中标人，也可以重新招标。</w:t>
      </w:r>
    </w:p>
    <w:p w14:paraId="709CFFD1">
      <w:pPr>
        <w:tabs>
          <w:tab w:val="left" w:pos="1890"/>
        </w:tabs>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41.6如重新确定的中标人出现上述情形，招标人可直接确认最后一名中标候选人为中标人。如所有中标候选人均出现本款所列情形的，本项目招标失败，招标人依法重新招标。</w:t>
      </w:r>
    </w:p>
    <w:p w14:paraId="5C91261F">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41.7投标人如在本项目中存在串通投标、弄虚作假、行贿情形且在评标过程中未被发现的，其投标不改变本项目评标结果排序。招标人按照《中华人民共和国招标投标法实施条例》第五十五条的规定确定中标人或重新招标。</w:t>
      </w:r>
    </w:p>
    <w:bookmarkEnd w:id="132"/>
    <w:p w14:paraId="5BF4B90F">
      <w:pPr>
        <w:pStyle w:val="3"/>
        <w:spacing w:before="120"/>
        <w:rPr>
          <w:rFonts w:hint="eastAsia" w:ascii="宋体" w:eastAsia="宋体"/>
          <w:color w:val="auto"/>
          <w:highlight w:val="none"/>
        </w:rPr>
      </w:pPr>
      <w:bookmarkStart w:id="170" w:name="_（二）开标评标办法程序和细则"/>
      <w:bookmarkEnd w:id="170"/>
      <w:bookmarkStart w:id="171" w:name="_Toc155150496"/>
      <w:r>
        <w:rPr>
          <w:rFonts w:ascii="宋体" w:eastAsia="宋体"/>
          <w:color w:val="auto"/>
          <w:szCs w:val="32"/>
          <w:highlight w:val="none"/>
        </w:rPr>
        <w:br w:type="page"/>
      </w:r>
      <w:bookmarkEnd w:id="171"/>
      <w:bookmarkStart w:id="172" w:name="_Toc10617"/>
      <w:bookmarkStart w:id="173" w:name="_Toc262229172"/>
      <w:bookmarkStart w:id="174" w:name="_Toc30933"/>
      <w:bookmarkStart w:id="175" w:name="_Toc18319"/>
      <w:bookmarkStart w:id="176" w:name="_Toc21596"/>
      <w:bookmarkStart w:id="177" w:name="_Toc21959"/>
      <w:bookmarkStart w:id="178" w:name="_Toc12988"/>
      <w:bookmarkStart w:id="179" w:name="_Toc8949"/>
      <w:bookmarkStart w:id="180" w:name="_Toc11750"/>
      <w:bookmarkStart w:id="181" w:name="_Toc27974"/>
      <w:bookmarkStart w:id="182" w:name="_Toc28160"/>
      <w:r>
        <w:rPr>
          <w:rFonts w:hint="eastAsia" w:ascii="宋体" w:eastAsia="宋体"/>
          <w:color w:val="auto"/>
          <w:highlight w:val="none"/>
        </w:rPr>
        <w:t>（二）开标评标办法程序和细则</w:t>
      </w:r>
      <w:bookmarkEnd w:id="172"/>
      <w:bookmarkEnd w:id="173"/>
      <w:bookmarkEnd w:id="174"/>
      <w:bookmarkEnd w:id="175"/>
      <w:bookmarkEnd w:id="176"/>
      <w:bookmarkEnd w:id="177"/>
      <w:bookmarkEnd w:id="178"/>
      <w:bookmarkEnd w:id="179"/>
      <w:bookmarkEnd w:id="180"/>
      <w:bookmarkEnd w:id="181"/>
      <w:bookmarkEnd w:id="182"/>
    </w:p>
    <w:p w14:paraId="029977A3">
      <w:pPr>
        <w:pStyle w:val="4"/>
        <w:ind w:firstLine="0"/>
        <w:rPr>
          <w:rFonts w:hint="eastAsia" w:ascii="宋体" w:hAnsi="宋体" w:eastAsia="宋体"/>
          <w:b/>
          <w:color w:val="auto"/>
          <w:highlight w:val="none"/>
        </w:rPr>
      </w:pPr>
    </w:p>
    <w:p w14:paraId="0DD035E1">
      <w:pPr>
        <w:pStyle w:val="3"/>
        <w:spacing w:before="120"/>
        <w:rPr>
          <w:rFonts w:hint="eastAsia" w:ascii="宋体" w:eastAsia="宋体"/>
          <w:color w:val="auto"/>
          <w:highlight w:val="none"/>
        </w:rPr>
      </w:pPr>
      <w:bookmarkStart w:id="183" w:name="_可选办法一_两阶段评标法"/>
      <w:bookmarkEnd w:id="183"/>
      <w:bookmarkStart w:id="184" w:name="_Toc2625"/>
      <w:bookmarkStart w:id="185" w:name="_Toc13028"/>
      <w:bookmarkStart w:id="186" w:name="_Toc1837"/>
      <w:bookmarkStart w:id="187" w:name="_Toc15363"/>
      <w:bookmarkStart w:id="188" w:name="_Toc25241"/>
      <w:bookmarkStart w:id="189" w:name="_Toc28079"/>
      <w:bookmarkStart w:id="190" w:name="_Toc22790"/>
      <w:bookmarkStart w:id="191" w:name="_Toc15208"/>
      <w:bookmarkStart w:id="192" w:name="_Toc9756"/>
      <w:bookmarkStart w:id="193" w:name="_Toc4469"/>
      <w:r>
        <w:rPr>
          <w:rFonts w:hint="eastAsia" w:ascii="宋体" w:eastAsia="宋体"/>
          <w:color w:val="auto"/>
          <w:highlight w:val="none"/>
        </w:rPr>
        <w:t xml:space="preserve">可选办法一 </w:t>
      </w:r>
      <w:bookmarkEnd w:id="184"/>
      <w:bookmarkEnd w:id="185"/>
      <w:bookmarkEnd w:id="186"/>
      <w:bookmarkEnd w:id="187"/>
      <w:bookmarkEnd w:id="188"/>
      <w:bookmarkEnd w:id="189"/>
      <w:bookmarkEnd w:id="190"/>
      <w:bookmarkEnd w:id="191"/>
      <w:bookmarkEnd w:id="192"/>
      <w:bookmarkStart w:id="194" w:name="_Toc3304"/>
      <w:bookmarkStart w:id="195" w:name="_Toc23249"/>
      <w:bookmarkStart w:id="196" w:name="_Toc22091"/>
      <w:bookmarkStart w:id="197" w:name="_Toc22847"/>
      <w:bookmarkStart w:id="198" w:name="_Toc19120"/>
      <w:bookmarkStart w:id="199" w:name="_Toc25194"/>
      <w:bookmarkStart w:id="200" w:name="_Toc278"/>
      <w:bookmarkStart w:id="201" w:name="_Toc28397"/>
      <w:bookmarkStart w:id="202" w:name="_Toc16088"/>
      <w:bookmarkStart w:id="203" w:name="_Toc26575"/>
      <w:r>
        <w:rPr>
          <w:rFonts w:hint="eastAsia" w:ascii="宋体" w:eastAsia="宋体"/>
          <w:color w:val="auto"/>
          <w:highlight w:val="none"/>
        </w:rPr>
        <w:t xml:space="preserve"> 综合评分法</w:t>
      </w:r>
      <w:bookmarkEnd w:id="193"/>
      <w:bookmarkEnd w:id="194"/>
      <w:bookmarkEnd w:id="195"/>
      <w:bookmarkEnd w:id="196"/>
      <w:bookmarkEnd w:id="197"/>
      <w:bookmarkEnd w:id="198"/>
      <w:bookmarkEnd w:id="199"/>
      <w:bookmarkEnd w:id="200"/>
      <w:bookmarkEnd w:id="201"/>
      <w:bookmarkEnd w:id="202"/>
      <w:bookmarkEnd w:id="203"/>
    </w:p>
    <w:p w14:paraId="094DBAA9">
      <w:pPr>
        <w:snapToGrid w:val="0"/>
        <w:spacing w:line="360" w:lineRule="auto"/>
        <w:ind w:firstLine="525" w:firstLineChars="218"/>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42.开标和评标程序</w:t>
      </w:r>
    </w:p>
    <w:p w14:paraId="45FC01BC">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42.1投标人在递交投标文件截止时间到达后的1小时内，使用制作该投标文件的机构业务数字证书对其投标文件进行解密。</w:t>
      </w:r>
    </w:p>
    <w:p w14:paraId="2C5B8F97">
      <w:pPr>
        <w:pStyle w:val="14"/>
        <w:tabs>
          <w:tab w:val="left" w:pos="7380"/>
        </w:tabs>
        <w:spacing w:after="0"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42.2公布投标人名单，将显示出所有投标人信息及投标人投标文件递交情况以及解密情况。</w:t>
      </w:r>
    </w:p>
    <w:p w14:paraId="3D29FBA5">
      <w:pPr>
        <w:pStyle w:val="14"/>
        <w:tabs>
          <w:tab w:val="left" w:pos="7380"/>
        </w:tabs>
        <w:spacing w:after="0" w:line="360" w:lineRule="auto"/>
        <w:ind w:firstLine="523" w:firstLineChars="218"/>
        <w:rPr>
          <w:rFonts w:ascii="宋体" w:hAnsi="宋体" w:eastAsia="宋体"/>
          <w:color w:val="auto"/>
          <w:sz w:val="24"/>
          <w:szCs w:val="24"/>
          <w:highlight w:val="none"/>
          <w:u w:val="thick"/>
        </w:rPr>
      </w:pPr>
      <w:r>
        <w:rPr>
          <w:rFonts w:hint="eastAsia" w:ascii="宋体" w:hAnsi="宋体" w:eastAsia="宋体"/>
          <w:color w:val="auto"/>
          <w:sz w:val="24"/>
          <w:szCs w:val="24"/>
          <w:highlight w:val="none"/>
        </w:rPr>
        <w:t>42.3随机抽取确定该工程计算评标参考价的下浮率X，从0.5%、1%、1.5%、2%、2.5%、3%、3.5%中抽取其中之一。</w:t>
      </w:r>
    </w:p>
    <w:p w14:paraId="2AA2D6FE">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olor w:val="auto"/>
          <w:sz w:val="24"/>
          <w:szCs w:val="24"/>
          <w:highlight w:val="none"/>
        </w:rPr>
        <w:t>42.4</w:t>
      </w:r>
      <w:r>
        <w:rPr>
          <w:rFonts w:hint="eastAsia" w:ascii="宋体" w:hAnsi="宋体" w:eastAsia="宋体" w:cs="仿宋_GB2312"/>
          <w:color w:val="auto"/>
          <w:sz w:val="24"/>
          <w:szCs w:val="24"/>
          <w:highlight w:val="none"/>
        </w:rPr>
        <w:t>开标时，出现下列情形之一的投标人，不参与资格审查和评标，</w:t>
      </w:r>
      <w:r>
        <w:rPr>
          <w:rFonts w:hint="eastAsia" w:ascii="宋体" w:hAnsi="宋体" w:eastAsia="宋体"/>
          <w:color w:val="auto"/>
          <w:sz w:val="24"/>
          <w:szCs w:val="24"/>
          <w:highlight w:val="none"/>
        </w:rPr>
        <w:t>其投标文件作无效处理</w:t>
      </w:r>
      <w:r>
        <w:rPr>
          <w:rFonts w:hint="eastAsia" w:ascii="宋体" w:hAnsi="宋体" w:eastAsia="宋体" w:cs="仿宋_GB2312"/>
          <w:color w:val="auto"/>
          <w:sz w:val="24"/>
          <w:szCs w:val="24"/>
          <w:highlight w:val="none"/>
        </w:rPr>
        <w:t>：</w:t>
      </w:r>
    </w:p>
    <w:p w14:paraId="23F0B8FA">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42.4.1未成功递交或因投标人原因未成功导入投标文件的；</w:t>
      </w:r>
    </w:p>
    <w:p w14:paraId="71C2A5E4">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42.4.2因投标人原因造成投标文件未解密的；</w:t>
      </w:r>
    </w:p>
    <w:p w14:paraId="210EF9DB">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42.4.3</w:t>
      </w:r>
      <w:r>
        <w:rPr>
          <w:rFonts w:hint="eastAsia" w:ascii="宋体" w:hAnsi="宋体" w:eastAsia="宋体"/>
          <w:color w:val="auto"/>
          <w:sz w:val="24"/>
          <w:szCs w:val="24"/>
          <w:highlight w:val="none"/>
        </w:rPr>
        <w:t>投标人未按要求递交投标保证金的</w:t>
      </w:r>
      <w:r>
        <w:rPr>
          <w:rFonts w:hint="eastAsia" w:ascii="宋体" w:hAnsi="宋体" w:eastAsia="宋体" w:cs="仿宋_GB2312"/>
          <w:color w:val="auto"/>
          <w:sz w:val="24"/>
          <w:szCs w:val="24"/>
          <w:highlight w:val="none"/>
        </w:rPr>
        <w:t>；</w:t>
      </w:r>
    </w:p>
    <w:p w14:paraId="1D1ADF24">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42.4.4两个（含两个）以上的投标人制作投标文件电脑机器特征码一致的；</w:t>
      </w:r>
    </w:p>
    <w:p w14:paraId="05680096">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42.4.5项目负责人和</w:t>
      </w:r>
      <w:r>
        <w:rPr>
          <w:rFonts w:hint="eastAsia" w:ascii="宋体" w:hAnsi="宋体" w:eastAsia="宋体" w:cs="仿宋_GB2312"/>
          <w:color w:val="auto"/>
          <w:sz w:val="24"/>
          <w:szCs w:val="24"/>
          <w:highlight w:val="none"/>
          <w:lang w:eastAsia="zh-CN"/>
        </w:rPr>
        <w:t>专职</w:t>
      </w:r>
      <w:r>
        <w:rPr>
          <w:rFonts w:hint="eastAsia" w:ascii="宋体" w:hAnsi="宋体" w:eastAsia="宋体" w:cs="仿宋_GB2312"/>
          <w:color w:val="auto"/>
          <w:sz w:val="24"/>
          <w:szCs w:val="24"/>
          <w:highlight w:val="none"/>
        </w:rPr>
        <w:t>安全员为同一人的。</w:t>
      </w:r>
    </w:p>
    <w:p w14:paraId="318ED48E">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s="仿宋_GB2312"/>
          <w:color w:val="auto"/>
          <w:sz w:val="24"/>
          <w:szCs w:val="24"/>
          <w:highlight w:val="none"/>
        </w:rPr>
        <w:t>42.5招标人使用</w:t>
      </w:r>
      <w:r>
        <w:rPr>
          <w:rFonts w:hint="eastAsia" w:ascii="宋体" w:hAnsi="宋体" w:eastAsia="宋体"/>
          <w:color w:val="auto"/>
          <w:sz w:val="24"/>
          <w:szCs w:val="24"/>
          <w:highlight w:val="none"/>
        </w:rPr>
        <w:t>制作该招标文件的机构业务数字证书</w:t>
      </w:r>
      <w:r>
        <w:rPr>
          <w:rFonts w:hint="eastAsia" w:ascii="宋体" w:hAnsi="宋体" w:eastAsia="宋体" w:cs="仿宋_GB2312"/>
          <w:color w:val="auto"/>
          <w:sz w:val="24"/>
          <w:szCs w:val="24"/>
          <w:highlight w:val="none"/>
        </w:rPr>
        <w:t>对已完成投标人解密的电子投标文件进行招标人解密。</w:t>
      </w:r>
    </w:p>
    <w:p w14:paraId="59B535FC">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42.6将所有解密成功的电子投标文件导入系统并公开开标。</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文件开标时不得开启，在评标时由评标系统随机编号后开启，交由评标委员会进行评审。</w:t>
      </w:r>
    </w:p>
    <w:p w14:paraId="66F5FFBF">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42.7由评标委员会对所有已公开开标的投标人进行资格审查。</w:t>
      </w:r>
    </w:p>
    <w:p w14:paraId="32023580">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42.8投标文件否决性条款审查（含投标报价算术复核）。</w:t>
      </w:r>
    </w:p>
    <w:p w14:paraId="6DDF3946">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42.9对通过否决性条款审查的投标文件进行</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文件审查评分（暗标）。</w:t>
      </w:r>
    </w:p>
    <w:p w14:paraId="28EEBAC4">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42.10揭晓</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文件评审结果。</w:t>
      </w:r>
    </w:p>
    <w:p w14:paraId="74E54D70">
      <w:pPr>
        <w:pStyle w:val="14"/>
        <w:tabs>
          <w:tab w:val="left" w:pos="7380"/>
        </w:tabs>
        <w:spacing w:after="0"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42.11对通过否决性条款审查的投标文件进行技术部分</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文件审查评分。</w:t>
      </w:r>
    </w:p>
    <w:p w14:paraId="6A6E51F3">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42.12对通过否决性条款审查的投标文件的投标报价进行评分。</w:t>
      </w:r>
    </w:p>
    <w:p w14:paraId="034EDFCF">
      <w:pPr>
        <w:pStyle w:val="14"/>
        <w:tabs>
          <w:tab w:val="left" w:pos="7380"/>
        </w:tabs>
        <w:spacing w:after="0"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42.13按照“综合得分=</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得分×</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得分权重+</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得分×</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得分权重+报价得分×报价得分权重+诚信综合评价排名得分×诚信综合评价排名得分权重”的公式，计算各有效投标文件的综合得分，并按照综合得分高低排序。</w:t>
      </w:r>
    </w:p>
    <w:p w14:paraId="6E59CFEB">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42.14评标委员会向招标人推荐中标候选人名单，并递交资格审查报告及评标报告。</w:t>
      </w:r>
    </w:p>
    <w:p w14:paraId="7B282298">
      <w:pPr>
        <w:snapToGrid w:val="0"/>
        <w:spacing w:line="360" w:lineRule="auto"/>
        <w:ind w:firstLine="525" w:firstLineChars="218"/>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43.开标细则</w:t>
      </w:r>
    </w:p>
    <w:p w14:paraId="4A060502">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43.1开标由招标人或其委托的招标代理机构主持；</w:t>
      </w:r>
    </w:p>
    <w:p w14:paraId="34ADC392">
      <w:pPr>
        <w:pStyle w:val="14"/>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43.2由招标人或其推选的代表检查投标文件的投标人解密情况，也可以由招标人委托的公证机构检查并公证，之后由招标人对全部投标文件进行解密。</w:t>
      </w:r>
    </w:p>
    <w:p w14:paraId="6BAEEB81">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43.3细则</w:t>
      </w:r>
    </w:p>
    <w:p w14:paraId="020655AE">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43.3.1递交投标文件截止时间前，各投标人将投标文件完整上传并保存在广州公共资源交易电子评标系统。</w:t>
      </w:r>
    </w:p>
    <w:p w14:paraId="1859F0BA">
      <w:pPr>
        <w:pStyle w:val="14"/>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kern w:val="44"/>
          <w:sz w:val="24"/>
          <w:szCs w:val="24"/>
          <w:highlight w:val="none"/>
        </w:rPr>
        <w:t>43.3.2投标人自行决定是否参加开标会。</w:t>
      </w:r>
      <w:r>
        <w:rPr>
          <w:rFonts w:hint="eastAsia" w:ascii="宋体" w:hAnsi="宋体" w:eastAsia="宋体"/>
          <w:color w:val="auto"/>
          <w:sz w:val="24"/>
          <w:szCs w:val="24"/>
          <w:highlight w:val="none"/>
        </w:rPr>
        <w:t>若投标人对开标过程有异议，应在开标现场提出，投标人代表提出异议时须出示本人身份证原件。招标人应当当场作出答复，并制作记录。</w:t>
      </w:r>
    </w:p>
    <w:p w14:paraId="12CC496A">
      <w:pPr>
        <w:pStyle w:val="14"/>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kern w:val="44"/>
          <w:sz w:val="24"/>
          <w:szCs w:val="24"/>
          <w:highlight w:val="none"/>
        </w:rPr>
        <w:t>43.4 开标前，首先由招标人或招标代理机构按 42.3 规定,现场随机抽取确定该工程计算评标参考价的下浮率 X。招标人或招标代理机构在开标时，公布以下所有内容：a、投标人名称；b、电子投标文件解密情况；c、电子投标文件的递交情况；d、法定代表人证明及授权委托；e、投标保证金；f、投标报价；g、人工费；h、绿色施工安全防护措施费；i、工期；j、质量标准；k、施工组织设计承诺书；l、项目负责人；m、专职安全员</w:t>
      </w:r>
      <w:r>
        <w:rPr>
          <w:rFonts w:hint="eastAsia" w:ascii="宋体" w:hAnsi="宋体" w:eastAsia="宋体"/>
          <w:color w:val="auto"/>
          <w:sz w:val="24"/>
          <w:szCs w:val="24"/>
          <w:highlight w:val="none"/>
        </w:rPr>
        <w:t>。</w:t>
      </w:r>
    </w:p>
    <w:p w14:paraId="30EE44C4">
      <w:pPr>
        <w:pStyle w:val="14"/>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43.5 投标报价以数字和文字两种方式表述的，应宣读文字表述的投标报价。</w:t>
      </w:r>
    </w:p>
    <w:p w14:paraId="4FCA296E">
      <w:pPr>
        <w:pStyle w:val="14"/>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43.6招标人对开标过程进行记录，并存档备查。</w:t>
      </w:r>
    </w:p>
    <w:p w14:paraId="67236514">
      <w:pPr>
        <w:pStyle w:val="14"/>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43.7招标人将上述符合要求的投标文件，送至评标委员会进行评审。</w:t>
      </w:r>
    </w:p>
    <w:p w14:paraId="7686C139">
      <w:pPr>
        <w:pStyle w:val="14"/>
        <w:tabs>
          <w:tab w:val="left" w:pos="7380"/>
        </w:tabs>
        <w:spacing w:after="0" w:line="360" w:lineRule="auto"/>
        <w:ind w:firstLine="525" w:firstLineChars="218"/>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44.资格审查及评标细则</w:t>
      </w:r>
    </w:p>
    <w:p w14:paraId="7569600C">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44.1资格审查及评标均由招标人依法组建的评标委员会负责。</w:t>
      </w:r>
    </w:p>
    <w:p w14:paraId="4C46E0B1">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44.2评标委员会的组成：资格审查及投标文件的评审由评标委员会负责。</w:t>
      </w:r>
    </w:p>
    <w:p w14:paraId="3ACA338D">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44.3资格审查、否决性条款审查</w:t>
      </w:r>
    </w:p>
    <w:p w14:paraId="2BE18D8D">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44.3.1评标委员会按资格审查的标准对所有递交投标文件的投标人进行审查，如资格审查合格的投标人不足3个时，应重新招标。</w:t>
      </w:r>
    </w:p>
    <w:p w14:paraId="13527262">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44.3.2如通过否决性条款审查的投标人少于3个时，应重新招标。</w:t>
      </w:r>
    </w:p>
    <w:p w14:paraId="3959CFBB">
      <w:pPr>
        <w:pStyle w:val="14"/>
        <w:tabs>
          <w:tab w:val="left" w:pos="7380"/>
        </w:tabs>
        <w:spacing w:after="0" w:line="360" w:lineRule="auto"/>
        <w:ind w:firstLine="525" w:firstLineChars="218"/>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45.投标人资格审查</w:t>
      </w:r>
    </w:p>
    <w:p w14:paraId="5DA79522">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45.1资格审查采用电子化审查方式进行，评标委员会利用计算机系统对投标人递交的资格审查文件进行独立评审。</w:t>
      </w:r>
    </w:p>
    <w:p w14:paraId="1D5AA5CF">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45.2《资格审查表》中序号2-5项（除广东省建筑施工企业管理人员安全生产考核信息系统安全生产管理人员证书信息的打印页、《信息公开证明》打印页外）评审内容的信息取自投标人在广州公共资源交易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企业库、城市园林绿化企业工程业绩库中的资料。评标委员会对该部分内容的审查，以开标当天中午12时在广州公共资源交易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企业库、城市园林绿化企业工程业绩库中的资料为依据。</w:t>
      </w:r>
    </w:p>
    <w:p w14:paraId="118FFED3">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45.3资格审查文件中全部符合《资格审查表》中情形的，为资格审查合格。否则为资格审查不合格，经评标委员会认定后，其投标文件不进入下一轮评审。如评标委员会成员的评审意见不一致时，可公开要求投标人进行澄清，并记录及由评标委员会、作出澄清的投标人签字确认，以评标委员会过半数成员的意见作为评标委员会对该情形的认定结论。</w:t>
      </w:r>
    </w:p>
    <w:p w14:paraId="08A3E8A5">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45.4汇总资格审查情况，编写资格审查报告。</w:t>
      </w:r>
    </w:p>
    <w:p w14:paraId="78D8A5C1">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45.5资格审查不合格及存在42.4条款情形的投标文件不参加评标，不参与评标参考价的计算。</w:t>
      </w:r>
    </w:p>
    <w:p w14:paraId="204C5B2E">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45.6资格审查时，投标企业名称已经工商变更的，但企业及个人的资料未完成企业名称变更，仍然承认其有效；投标企业未及时办理变更手续的，招标人或招标代理机构应通报发证部门。</w:t>
      </w:r>
    </w:p>
    <w:p w14:paraId="2F2FB305">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特别声明：资审合格后，投标人的资格发生变化而不满足投标人资格条件，在发出中标通知书前，资格问题仍未解决的，招标人将取消其中标资格。</w:t>
      </w:r>
    </w:p>
    <w:p w14:paraId="73E6BF15">
      <w:pPr>
        <w:spacing w:line="360" w:lineRule="auto"/>
        <w:ind w:firstLine="525" w:firstLineChars="218"/>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46.评标细则</w:t>
      </w:r>
    </w:p>
    <w:p w14:paraId="7CD76A81">
      <w:pPr>
        <w:pStyle w:val="14"/>
        <w:tabs>
          <w:tab w:val="left" w:pos="7380"/>
        </w:tabs>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46.1投标文件否决性条款审查</w:t>
      </w:r>
    </w:p>
    <w:p w14:paraId="78EECDE7">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46.1.1投标报价算术复核。评标委员会将对进行否决性条款审查的投标文件投标报价按照就低不就高的原则进行算术复核，具体标准如下：</w:t>
      </w:r>
    </w:p>
    <w:p w14:paraId="1FBEFE8F">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46.1.1.1数字表述的金额和用文字表述的金额不一致时，应以文字表述的金额为准。</w:t>
      </w:r>
    </w:p>
    <w:p w14:paraId="5C86EB91">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46.1.1.2经算术复核的投标人报价与其投标报价不一致时，按就低不就高原则确定其最终报价。</w:t>
      </w:r>
    </w:p>
    <w:p w14:paraId="4E8A22BB">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E211D0D">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46.1.1.4当合价、金额累加错误时，按就低不就高原则，如果累加修正值小于原累加值，则按累加修正值；如果累加修正值大于原累加值，则按原累加值。</w:t>
      </w:r>
    </w:p>
    <w:p w14:paraId="22FD1E61">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46.1.1.5如果投标人的有关规费、所有暂列金额、暂估价等未按招标文件规定的金额填写的，由评标委员会按照招标文件规定的金额进行修正。</w:t>
      </w:r>
    </w:p>
    <w:p w14:paraId="65C804D8">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5123066">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46.1.1.7按就低不就高原则，当修正后报价小于原报价，总价按修正后报价；当修正后报价大于原报价，总价按原报价，并在签订合同时载明在结算价中扣除修正报价与原报价的差额。</w:t>
      </w:r>
    </w:p>
    <w:p w14:paraId="322971D4">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46.1.1.8按上述修正错误的原则及方法调整或修正投标文件的投标报价，调整后的投标报价对投标人起约束作用。如果投标人不接受修正后的报价，则取消其投标资格，并且其投标保证金也将不予退还。以上修正不影响修正前按步骤确定的投标人排序。</w:t>
      </w:r>
    </w:p>
    <w:p w14:paraId="55CB4801">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46.1.2在评标过程中，评标委员会发现投标人的报价明显低于其他投标报价或者在设有成本警示价时明显低于成本警示价，使得其投标报价可能低于其个别成本的，应当要求该投标人作出书面说明并提供相关证明材料。投标人不能合理说明或者不能提供相关证明材料的，由评标委员会认定该投标人低于成本报价竞标，应当否决其投标。</w:t>
      </w:r>
    </w:p>
    <w:p w14:paraId="4308665C">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46.1.3对资格审查合格的投标人进行否决性条款审查，包括串通投标情形的核查、澄清及认定（如有）。投标文件中出现《投标文件否决性条款审查表》中任何一种情形的，评标委员会应否决其投标。如评标委员会成员的评审意见不一致时，以评标委员会过半数成员的意见作为评标委员会对该情形的认定结论。</w:t>
      </w:r>
    </w:p>
    <w:p w14:paraId="639A1B57">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如投标文件评审过程中，投标文件属于串通投标情形之一的（见《投标人串通投标评审表》），</w:t>
      </w:r>
      <w:r>
        <w:rPr>
          <w:rFonts w:ascii="宋体" w:hAnsi="宋体" w:eastAsia="宋体"/>
          <w:color w:val="auto"/>
          <w:sz w:val="24"/>
          <w:szCs w:val="24"/>
          <w:highlight w:val="none"/>
        </w:rPr>
        <w:t>评标委员会</w:t>
      </w:r>
      <w:r>
        <w:rPr>
          <w:rFonts w:hint="eastAsia" w:ascii="宋体" w:hAnsi="宋体" w:eastAsia="宋体"/>
          <w:color w:val="auto"/>
          <w:sz w:val="24"/>
          <w:szCs w:val="24"/>
          <w:highlight w:val="none"/>
        </w:rPr>
        <w:t>应参考投标人的澄清，按招标文件评标办法中《投标人串通投标评审表》的规定进行评审。</w:t>
      </w:r>
    </w:p>
    <w:p w14:paraId="52950DC4">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46.2</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否决性审查：对投标文件否决性条款审查合格的投标人进行</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否决性审查。投标文件中出现《</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文件否决性条款审查表》中任何一种情形的，评标委员会应否决其投标。如评标委员会成员的评审意见不一致时，以评标委员会过半数成员的意见作为评标委员会对该情形的认定结论。</w:t>
      </w:r>
    </w:p>
    <w:p w14:paraId="6586D197">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46.3</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审查评分：评标委员会按照《</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审查评分表》的标准，对通过否决性条款审查的投标文件进行</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审查，评出</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得分。</w:t>
      </w:r>
    </w:p>
    <w:p w14:paraId="105E93FC">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46.4在评标委员会全体成员均完成暗标评审和汇总后，由评标委员会确定投标人与暗标编号的对应关系，并在</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标号确认表上签字确认。</w:t>
      </w:r>
    </w:p>
    <w:p w14:paraId="10C3C28A">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46.5</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审查评分：评标委员会按照《</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审查评分表》的标准，对通过否决性条款审查的投标文件进行详细审查，评出</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得分。</w:t>
      </w:r>
    </w:p>
    <w:p w14:paraId="6F99FC17">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46.6对通过否决性条款审查的投标人的投标报价进行评分</w:t>
      </w:r>
    </w:p>
    <w:p w14:paraId="0B803BC5">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46.6.1以通过否决性条款审查的投标人中，随机抽取一半数量（四舍五入取整数）的投标报价，取其算术平均值下浮X作为评标参考价。（例：通过否决性条款审查的投标人的报价为3家，随机抽取2家投标人报价的算术平均值下浮X作为评标参考价。）</w:t>
      </w:r>
    </w:p>
    <w:p w14:paraId="7B1406BC">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46.6.2当报价等于评标参考价时得100分，报价每高于评标参考价1%，扣1.5分，每低于评标参考价1%，扣1分，扣至0分为止，得出报价得分，得分按四舍五入的原则保留两位小数。</w:t>
      </w:r>
    </w:p>
    <w:p w14:paraId="5BD5E13E">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46.7计算通过否决性条款审查的投标人综合得分</w:t>
      </w:r>
    </w:p>
    <w:p w14:paraId="7005A727">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46.7.1权重分配：技术部分（施工组织方案）得分权重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%，技术部分（项目实施能力）得分权重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%，报价得分权重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%，诚信综合评价得分权重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14:paraId="169D2875">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复杂和大型工程，技术部分（施工组织方案）得分权重不少于10%，报价得分权重不少于60%，诚信综合评价得分权重占0%-5%；其他工程，技术部分（施工组织方案）得分权重不少于5%，报价得分权重不少于80%，诚信综合评价得分权重占0-</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%。技术部分（项目实施能力）权重=100-技术部分（施工组织方案）得分权重-报价得分权重-诚信综合评价得分权重。企业诚信综合评价得分，以开标当天广州公共资源交易网站上公布的得分为准。</w:t>
      </w:r>
    </w:p>
    <w:p w14:paraId="06B1142B">
      <w:pPr>
        <w:spacing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46.7.2投标人综合得分=</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得分×</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得分权重+</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得分×</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得分权重+报价得分×报价得分权重+诚信综合评价排名得分×诚信综合评价排名得分权重。投标人综合得分满分为100分。</w:t>
      </w:r>
    </w:p>
    <w:p w14:paraId="4B9C20FB">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46.8评标委员会按照各有效投标人的综合得分从高到低排列先后次序。综合得分相同的，以诚信综合评价排名靠前的排前；如仍存在相同情况，则对具有相同情况的投标人，按中标候选人数量规定，由评标委员会采用记名投票方式，确定中标候选人的排序。</w:t>
      </w:r>
    </w:p>
    <w:p w14:paraId="0165815B">
      <w:pPr>
        <w:pStyle w:val="14"/>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46.9评标结束后，评标委员会按照第41条要求向招标人推荐中标候选人，并编制评标报告。评标报告由评标委员会全体签名，对评标结论有异议的评标委员会成员可以书面阐述其不同意见和理由。评标委员会在评标报告提交后随即解散，评标过程中使用的文件、表格以及其他资料应当及时归还招标人（或招标代理）。</w:t>
      </w:r>
    </w:p>
    <w:p w14:paraId="0A002715">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46.10资格审查合格的</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或通过否决定性条款审查的投标人少于3个的，应修正招标方案，重新招标（当N个标段同时招标且不允许兼中时，资格审查合格的</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或有效投标人少于N+2个的，应修正招标方案，重新招标）。</w:t>
      </w:r>
    </w:p>
    <w:p w14:paraId="2A92471A">
      <w:pPr>
        <w:spacing w:line="360" w:lineRule="auto"/>
        <w:ind w:firstLine="523" w:firstLineChars="218"/>
        <w:rPr>
          <w:rFonts w:hint="eastAsia" w:ascii="宋体" w:hAnsi="宋体" w:eastAsia="宋体"/>
          <w:color w:val="auto"/>
          <w:sz w:val="24"/>
          <w:szCs w:val="24"/>
          <w:highlight w:val="none"/>
        </w:rPr>
      </w:pPr>
    </w:p>
    <w:p w14:paraId="0A0D2C4C">
      <w:pPr>
        <w:spacing w:line="360" w:lineRule="auto"/>
        <w:ind w:firstLine="523" w:firstLineChars="218"/>
        <w:rPr>
          <w:rFonts w:hint="eastAsia" w:ascii="宋体" w:hAnsi="宋体" w:eastAsia="宋体"/>
          <w:color w:val="auto"/>
          <w:sz w:val="24"/>
          <w:szCs w:val="24"/>
          <w:highlight w:val="none"/>
        </w:rPr>
      </w:pPr>
    </w:p>
    <w:p w14:paraId="201A1EAC">
      <w:pPr>
        <w:spacing w:line="360" w:lineRule="auto"/>
        <w:ind w:firstLine="523" w:firstLineChars="218"/>
        <w:rPr>
          <w:rFonts w:hint="eastAsia" w:ascii="宋体" w:hAnsi="宋体" w:eastAsia="宋体"/>
          <w:color w:val="auto"/>
          <w:sz w:val="24"/>
          <w:szCs w:val="24"/>
          <w:highlight w:val="none"/>
        </w:rPr>
      </w:pPr>
    </w:p>
    <w:p w14:paraId="3C7CC232">
      <w:pPr>
        <w:spacing w:line="360" w:lineRule="auto"/>
        <w:ind w:firstLine="523" w:firstLineChars="218"/>
        <w:rPr>
          <w:rFonts w:hint="eastAsia" w:ascii="宋体" w:hAnsi="宋体" w:eastAsia="宋体"/>
          <w:color w:val="auto"/>
          <w:sz w:val="24"/>
          <w:szCs w:val="24"/>
          <w:highlight w:val="none"/>
        </w:rPr>
      </w:pPr>
    </w:p>
    <w:p w14:paraId="7B4BE669">
      <w:pPr>
        <w:spacing w:line="360" w:lineRule="auto"/>
        <w:ind w:firstLine="523" w:firstLineChars="218"/>
        <w:rPr>
          <w:rFonts w:hint="eastAsia" w:ascii="宋体" w:hAnsi="宋体" w:eastAsia="宋体"/>
          <w:color w:val="auto"/>
          <w:sz w:val="24"/>
          <w:szCs w:val="24"/>
          <w:highlight w:val="none"/>
        </w:rPr>
      </w:pPr>
    </w:p>
    <w:p w14:paraId="062C60FE">
      <w:pPr>
        <w:spacing w:line="360" w:lineRule="auto"/>
        <w:ind w:firstLine="523" w:firstLineChars="218"/>
        <w:rPr>
          <w:rFonts w:hint="eastAsia" w:ascii="宋体" w:hAnsi="宋体" w:eastAsia="宋体"/>
          <w:color w:val="auto"/>
          <w:sz w:val="24"/>
          <w:szCs w:val="24"/>
          <w:highlight w:val="none"/>
        </w:rPr>
      </w:pPr>
    </w:p>
    <w:p w14:paraId="04CE88D8">
      <w:pPr>
        <w:spacing w:line="360" w:lineRule="auto"/>
        <w:ind w:firstLine="523" w:firstLineChars="218"/>
        <w:rPr>
          <w:rFonts w:hint="eastAsia" w:ascii="宋体" w:hAnsi="宋体" w:eastAsia="宋体"/>
          <w:color w:val="auto"/>
          <w:sz w:val="24"/>
          <w:szCs w:val="24"/>
          <w:highlight w:val="none"/>
        </w:rPr>
      </w:pPr>
    </w:p>
    <w:p w14:paraId="5238F901">
      <w:pPr>
        <w:spacing w:line="360" w:lineRule="auto"/>
        <w:ind w:firstLine="523" w:firstLineChars="218"/>
        <w:rPr>
          <w:rFonts w:hint="eastAsia" w:ascii="宋体" w:hAnsi="宋体" w:eastAsia="宋体"/>
          <w:color w:val="auto"/>
          <w:sz w:val="24"/>
          <w:szCs w:val="24"/>
          <w:highlight w:val="none"/>
        </w:rPr>
      </w:pPr>
    </w:p>
    <w:p w14:paraId="5C3FB1EC">
      <w:pPr>
        <w:spacing w:line="360" w:lineRule="auto"/>
        <w:ind w:firstLine="523" w:firstLineChars="218"/>
        <w:rPr>
          <w:rFonts w:hint="eastAsia" w:ascii="宋体" w:hAnsi="宋体" w:eastAsia="宋体"/>
          <w:color w:val="auto"/>
          <w:sz w:val="24"/>
          <w:szCs w:val="24"/>
          <w:highlight w:val="none"/>
        </w:rPr>
      </w:pPr>
    </w:p>
    <w:p w14:paraId="5037A89D">
      <w:pPr>
        <w:spacing w:line="360" w:lineRule="auto"/>
        <w:ind w:firstLine="523" w:firstLineChars="218"/>
        <w:rPr>
          <w:rFonts w:hint="eastAsia" w:ascii="宋体" w:hAnsi="宋体" w:eastAsia="宋体"/>
          <w:color w:val="auto"/>
          <w:sz w:val="24"/>
          <w:szCs w:val="24"/>
          <w:highlight w:val="none"/>
        </w:rPr>
      </w:pPr>
    </w:p>
    <w:p w14:paraId="46FB7A01">
      <w:pPr>
        <w:spacing w:line="360" w:lineRule="auto"/>
        <w:ind w:firstLine="523" w:firstLineChars="218"/>
        <w:rPr>
          <w:rFonts w:hint="eastAsia" w:ascii="宋体" w:hAnsi="宋体" w:eastAsia="宋体"/>
          <w:color w:val="auto"/>
          <w:sz w:val="24"/>
          <w:szCs w:val="24"/>
          <w:highlight w:val="none"/>
        </w:rPr>
      </w:pPr>
    </w:p>
    <w:p w14:paraId="5A7688D7">
      <w:pPr>
        <w:spacing w:line="360" w:lineRule="auto"/>
        <w:ind w:firstLine="523" w:firstLineChars="218"/>
        <w:rPr>
          <w:rFonts w:hint="eastAsia" w:ascii="宋体" w:hAnsi="宋体" w:eastAsia="宋体"/>
          <w:color w:val="auto"/>
          <w:sz w:val="24"/>
          <w:szCs w:val="24"/>
          <w:highlight w:val="none"/>
        </w:rPr>
      </w:pPr>
    </w:p>
    <w:p w14:paraId="0C5FB83E">
      <w:pPr>
        <w:spacing w:line="360" w:lineRule="auto"/>
        <w:ind w:firstLine="523" w:firstLineChars="218"/>
        <w:rPr>
          <w:rFonts w:hint="eastAsia" w:ascii="宋体" w:hAnsi="宋体" w:eastAsia="宋体"/>
          <w:color w:val="auto"/>
          <w:sz w:val="24"/>
          <w:szCs w:val="24"/>
          <w:highlight w:val="none"/>
        </w:rPr>
      </w:pPr>
    </w:p>
    <w:p w14:paraId="6E400FA7">
      <w:pPr>
        <w:spacing w:line="360" w:lineRule="auto"/>
        <w:ind w:firstLine="523" w:firstLineChars="218"/>
        <w:rPr>
          <w:rFonts w:hint="eastAsia" w:ascii="宋体" w:hAnsi="宋体" w:eastAsia="宋体"/>
          <w:color w:val="auto"/>
          <w:sz w:val="24"/>
          <w:szCs w:val="24"/>
          <w:highlight w:val="none"/>
        </w:rPr>
      </w:pPr>
    </w:p>
    <w:p w14:paraId="3930E7E8">
      <w:pPr>
        <w:spacing w:line="360" w:lineRule="auto"/>
        <w:ind w:firstLine="523" w:firstLineChars="218"/>
        <w:rPr>
          <w:rFonts w:hint="eastAsia" w:ascii="宋体" w:hAnsi="宋体" w:eastAsia="宋体"/>
          <w:color w:val="auto"/>
          <w:sz w:val="24"/>
          <w:szCs w:val="24"/>
          <w:highlight w:val="none"/>
        </w:rPr>
      </w:pPr>
    </w:p>
    <w:p w14:paraId="5BE0FD8D">
      <w:pPr>
        <w:spacing w:line="360" w:lineRule="auto"/>
        <w:ind w:firstLine="523" w:firstLineChars="218"/>
        <w:rPr>
          <w:rFonts w:hint="eastAsia" w:ascii="宋体" w:hAnsi="宋体" w:eastAsia="宋体"/>
          <w:color w:val="auto"/>
          <w:sz w:val="24"/>
          <w:szCs w:val="24"/>
          <w:highlight w:val="none"/>
        </w:rPr>
      </w:pPr>
    </w:p>
    <w:p w14:paraId="065824B2">
      <w:pPr>
        <w:spacing w:line="360" w:lineRule="auto"/>
        <w:ind w:firstLine="523" w:firstLineChars="218"/>
        <w:rPr>
          <w:rFonts w:hint="eastAsia" w:ascii="宋体" w:hAnsi="宋体" w:eastAsia="宋体"/>
          <w:color w:val="auto"/>
          <w:sz w:val="24"/>
          <w:szCs w:val="24"/>
          <w:highlight w:val="none"/>
        </w:rPr>
      </w:pPr>
    </w:p>
    <w:p w14:paraId="0A9A9B03">
      <w:pPr>
        <w:pStyle w:val="3"/>
        <w:spacing w:before="120"/>
        <w:rPr>
          <w:rFonts w:hint="eastAsia" w:ascii="宋体" w:eastAsia="宋体"/>
          <w:color w:val="auto"/>
          <w:highlight w:val="none"/>
        </w:rPr>
      </w:pPr>
      <w:bookmarkStart w:id="204" w:name="_Toc14248"/>
      <w:bookmarkStart w:id="205" w:name="_Toc664"/>
      <w:r>
        <w:rPr>
          <w:rFonts w:hint="eastAsia" w:ascii="宋体" w:eastAsia="宋体"/>
          <w:color w:val="auto"/>
          <w:highlight w:val="none"/>
        </w:rPr>
        <w:t>可选办法</w:t>
      </w:r>
      <w:r>
        <w:rPr>
          <w:rFonts w:hint="eastAsia" w:ascii="宋体" w:eastAsia="宋体"/>
          <w:color w:val="auto"/>
          <w:highlight w:val="none"/>
          <w:lang w:eastAsia="zh-CN"/>
        </w:rPr>
        <w:t>二</w:t>
      </w:r>
      <w:r>
        <w:rPr>
          <w:rFonts w:hint="eastAsia" w:ascii="宋体" w:eastAsia="宋体"/>
          <w:color w:val="auto"/>
          <w:highlight w:val="none"/>
        </w:rPr>
        <w:t xml:space="preserve">  经评审的最低投标价法或者法律法规规定的其他评标方法</w:t>
      </w:r>
      <w:bookmarkEnd w:id="204"/>
      <w:bookmarkEnd w:id="205"/>
    </w:p>
    <w:p w14:paraId="62B8E62E">
      <w:pPr>
        <w:spacing w:line="360" w:lineRule="auto"/>
        <w:ind w:firstLine="523" w:firstLineChars="218"/>
        <w:jc w:val="center"/>
        <w:rPr>
          <w:rFonts w:hint="eastAsia" w:ascii="宋体" w:eastAsia="宋体"/>
          <w:color w:val="auto"/>
          <w:sz w:val="24"/>
          <w:szCs w:val="24"/>
          <w:highlight w:val="none"/>
          <w:lang w:eastAsia="zh-CN"/>
        </w:rPr>
        <w:sectPr>
          <w:headerReference r:id="rId5" w:type="default"/>
          <w:footerReference r:id="rId6" w:type="default"/>
          <w:endnotePr>
            <w:numFmt w:val="decimal"/>
          </w:endnotePr>
          <w:pgSz w:w="11850" w:h="16783"/>
          <w:pgMar w:top="1440" w:right="1418" w:bottom="1440" w:left="1418" w:header="851" w:footer="907" w:gutter="0"/>
          <w:pgNumType w:fmt="decimal"/>
          <w:cols w:space="720" w:num="1"/>
        </w:sectPr>
      </w:pPr>
      <w:r>
        <w:rPr>
          <w:rFonts w:hint="eastAsia" w:ascii="宋体" w:eastAsia="宋体"/>
          <w:color w:val="auto"/>
          <w:sz w:val="24"/>
          <w:szCs w:val="24"/>
          <w:highlight w:val="none"/>
          <w:lang w:eastAsia="zh-CN"/>
        </w:rPr>
        <w:t>（由招标人自行拟定）</w:t>
      </w:r>
    </w:p>
    <w:p w14:paraId="1A60DFE5">
      <w:pPr>
        <w:spacing w:line="360" w:lineRule="auto"/>
        <w:outlineLvl w:val="2"/>
        <w:rPr>
          <w:rFonts w:ascii="宋体" w:hAnsi="宋体" w:eastAsia="宋体"/>
          <w:color w:val="auto"/>
          <w:sz w:val="24"/>
          <w:szCs w:val="24"/>
          <w:highlight w:val="none"/>
        </w:rPr>
      </w:pPr>
      <w:bookmarkStart w:id="206" w:name="_Toc10355"/>
      <w:bookmarkStart w:id="207" w:name="_Toc13381"/>
      <w:bookmarkStart w:id="208" w:name="_Toc18676"/>
      <w:r>
        <w:rPr>
          <w:rFonts w:hint="eastAsia" w:ascii="宋体" w:hAnsi="宋体" w:eastAsia="宋体"/>
          <w:color w:val="auto"/>
          <w:sz w:val="24"/>
          <w:szCs w:val="24"/>
          <w:highlight w:val="none"/>
        </w:rPr>
        <w:t>附件1</w:t>
      </w:r>
      <w:bookmarkEnd w:id="206"/>
      <w:bookmarkEnd w:id="207"/>
      <w:bookmarkEnd w:id="208"/>
    </w:p>
    <w:p w14:paraId="153ACAA7">
      <w:pPr>
        <w:ind w:right="-437" w:rightChars="-208"/>
        <w:jc w:val="cente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开标记录表</w:t>
      </w:r>
    </w:p>
    <w:p w14:paraId="41E1C756">
      <w:pPr>
        <w:jc w:val="center"/>
        <w:rPr>
          <w:rFonts w:hint="eastAsia" w:ascii="宋体" w:hAnsi="宋体" w:eastAsia="宋体"/>
          <w:b/>
          <w:color w:val="auto"/>
          <w:szCs w:val="21"/>
          <w:highlight w:val="none"/>
        </w:rPr>
      </w:pPr>
    </w:p>
    <w:p w14:paraId="6ED8A8ED">
      <w:pPr>
        <w:rPr>
          <w:rFonts w:hint="eastAsia" w:ascii="宋体" w:hAnsi="宋体" w:eastAsia="宋体"/>
          <w:color w:val="auto"/>
          <w:szCs w:val="21"/>
          <w:highlight w:val="none"/>
        </w:rPr>
      </w:pPr>
      <w:r>
        <w:rPr>
          <w:rFonts w:hint="eastAsia" w:ascii="宋体" w:hAnsi="宋体" w:eastAsia="宋体"/>
          <w:color w:val="auto"/>
          <w:szCs w:val="21"/>
          <w:highlight w:val="none"/>
        </w:rPr>
        <w:t>开标地点：                                                                        开标时间：   年   月   日   时   分</w:t>
      </w:r>
    </w:p>
    <w:p w14:paraId="22DE4BE3">
      <w:pPr>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评标参考价下浮点数：   %                                                          最高投标限价：          （元）</w:t>
      </w:r>
    </w:p>
    <w:p w14:paraId="1DE4FC0B">
      <w:pPr>
        <w:spacing w:line="360" w:lineRule="auto"/>
        <w:rPr>
          <w:rFonts w:hint="eastAsia" w:ascii="宋体" w:hAnsi="宋体" w:eastAsia="宋体"/>
          <w:color w:val="auto"/>
          <w:szCs w:val="21"/>
          <w:highlight w:val="none"/>
        </w:rPr>
      </w:pPr>
    </w:p>
    <w:tbl>
      <w:tblPr>
        <w:tblStyle w:val="16"/>
        <w:tblW w:w="0" w:type="auto"/>
        <w:tblInd w:w="0" w:type="dxa"/>
        <w:tblLayout w:type="fixed"/>
        <w:tblCellMar>
          <w:top w:w="0" w:type="dxa"/>
          <w:left w:w="0" w:type="dxa"/>
          <w:bottom w:w="0" w:type="dxa"/>
          <w:right w:w="0" w:type="dxa"/>
        </w:tblCellMar>
      </w:tblPr>
      <w:tblGrid>
        <w:gridCol w:w="706"/>
        <w:gridCol w:w="803"/>
        <w:gridCol w:w="1101"/>
        <w:gridCol w:w="870"/>
        <w:gridCol w:w="870"/>
        <w:gridCol w:w="769"/>
        <w:gridCol w:w="803"/>
        <w:gridCol w:w="627"/>
        <w:gridCol w:w="611"/>
        <w:gridCol w:w="767"/>
        <w:gridCol w:w="855"/>
        <w:gridCol w:w="1116"/>
        <w:gridCol w:w="768"/>
        <w:gridCol w:w="785"/>
        <w:gridCol w:w="942"/>
        <w:gridCol w:w="784"/>
        <w:gridCol w:w="768"/>
        <w:gridCol w:w="959"/>
      </w:tblGrid>
      <w:tr w14:paraId="6298027A">
        <w:tblPrEx>
          <w:tblCellMar>
            <w:top w:w="0" w:type="dxa"/>
            <w:left w:w="0" w:type="dxa"/>
            <w:bottom w:w="0" w:type="dxa"/>
            <w:right w:w="0" w:type="dxa"/>
          </w:tblCellMar>
        </w:tblPrEx>
        <w:trPr>
          <w:trHeight w:val="780" w:hRule="atLeast"/>
        </w:trPr>
        <w:tc>
          <w:tcPr>
            <w:tcW w:w="7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6D7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D134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投标人名称</w:t>
            </w:r>
          </w:p>
        </w:tc>
        <w:tc>
          <w:tcPr>
            <w:tcW w:w="11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8D8F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投标文件是否解密</w:t>
            </w:r>
          </w:p>
        </w:tc>
        <w:tc>
          <w:tcPr>
            <w:tcW w:w="8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F1C8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电子标书递交是否成功</w:t>
            </w:r>
          </w:p>
        </w:tc>
        <w:tc>
          <w:tcPr>
            <w:tcW w:w="8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D054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法定代表人证明书及授权委托书</w:t>
            </w:r>
          </w:p>
        </w:tc>
        <w:tc>
          <w:tcPr>
            <w:tcW w:w="7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945E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项目负责人</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3F9B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专职安全员</w:t>
            </w: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9AEF5">
            <w:pPr>
              <w:keepNext w:val="0"/>
              <w:keepLines w:val="0"/>
              <w:widowControl/>
              <w:suppressLineNumbers w:val="0"/>
              <w:jc w:val="center"/>
              <w:textAlignment w:val="center"/>
              <w:rPr>
                <w:rFonts w:hint="eastAsia" w:ascii="宋体" w:hAnsi="宋体" w:eastAsia="宋体" w:cs="宋体"/>
                <w:i w:val="0"/>
                <w:strike/>
                <w:dstrike w:val="0"/>
                <w:color w:val="auto"/>
                <w:sz w:val="21"/>
                <w:szCs w:val="21"/>
                <w:highlight w:val="none"/>
                <w:u w:val="none"/>
              </w:rPr>
            </w:pPr>
            <w:r>
              <w:rPr>
                <w:rFonts w:hint="eastAsia" w:ascii="宋体" w:hAnsi="宋体" w:eastAsia="宋体" w:cs="宋体"/>
                <w:i w:val="0"/>
                <w:strike/>
                <w:dstrike w:val="0"/>
                <w:color w:val="auto"/>
                <w:kern w:val="0"/>
                <w:sz w:val="21"/>
                <w:szCs w:val="21"/>
                <w:highlight w:val="none"/>
                <w:u w:val="none"/>
                <w:lang w:val="en-US" w:eastAsia="zh-CN" w:bidi="ar"/>
              </w:rPr>
              <w:t>投标保证金（元）</w:t>
            </w:r>
          </w:p>
        </w:tc>
        <w:tc>
          <w:tcPr>
            <w:tcW w:w="7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896C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投标总报价（元）</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80A2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其中：人工费（元）</w:t>
            </w:r>
          </w:p>
        </w:tc>
        <w:tc>
          <w:tcPr>
            <w:tcW w:w="11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DE1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其中：绿色施工安全防护措施费（元）</w:t>
            </w:r>
          </w:p>
        </w:tc>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21DB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总工期</w:t>
            </w:r>
          </w:p>
        </w:tc>
        <w:tc>
          <w:tcPr>
            <w:tcW w:w="7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9F3A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工程质量标准</w:t>
            </w:r>
          </w:p>
        </w:tc>
        <w:tc>
          <w:tcPr>
            <w:tcW w:w="9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65BD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施工组织设计承诺书</w:t>
            </w:r>
          </w:p>
        </w:tc>
        <w:tc>
          <w:tcPr>
            <w:tcW w:w="7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E145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是否有效投标</w:t>
            </w:r>
          </w:p>
        </w:tc>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7D73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无效原因</w:t>
            </w:r>
          </w:p>
        </w:tc>
        <w:tc>
          <w:tcPr>
            <w:tcW w:w="9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C9E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投标人签名确认</w:t>
            </w:r>
          </w:p>
        </w:tc>
      </w:tr>
      <w:tr w14:paraId="2580BBD5">
        <w:tblPrEx>
          <w:tblCellMar>
            <w:top w:w="0" w:type="dxa"/>
            <w:left w:w="0" w:type="dxa"/>
            <w:bottom w:w="0" w:type="dxa"/>
            <w:right w:w="0" w:type="dxa"/>
          </w:tblCellMar>
        </w:tblPrEx>
        <w:trPr>
          <w:trHeight w:val="1020" w:hRule="atLeast"/>
        </w:trPr>
        <w:tc>
          <w:tcPr>
            <w:tcW w:w="7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A0E1B">
            <w:pPr>
              <w:jc w:val="center"/>
              <w:rPr>
                <w:rFonts w:hint="eastAsia" w:ascii="宋体" w:hAnsi="宋体" w:eastAsia="宋体" w:cs="宋体"/>
                <w:i w:val="0"/>
                <w:color w:val="auto"/>
                <w:sz w:val="21"/>
                <w:szCs w:val="21"/>
                <w:highlight w:val="none"/>
                <w:u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032B7">
            <w:pPr>
              <w:jc w:val="center"/>
              <w:rPr>
                <w:rFonts w:hint="eastAsia" w:ascii="宋体" w:hAnsi="宋体" w:eastAsia="宋体" w:cs="宋体"/>
                <w:i w:val="0"/>
                <w:color w:val="auto"/>
                <w:sz w:val="21"/>
                <w:szCs w:val="21"/>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910BE">
            <w:pPr>
              <w:jc w:val="center"/>
              <w:rPr>
                <w:rFonts w:hint="eastAsia" w:ascii="宋体" w:hAnsi="宋体" w:eastAsia="宋体" w:cs="宋体"/>
                <w:i w:val="0"/>
                <w:color w:val="auto"/>
                <w:sz w:val="21"/>
                <w:szCs w:val="21"/>
                <w:highlight w:val="none"/>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FA342">
            <w:pPr>
              <w:jc w:val="center"/>
              <w:rPr>
                <w:rFonts w:hint="eastAsia" w:ascii="宋体" w:hAnsi="宋体" w:eastAsia="宋体" w:cs="宋体"/>
                <w:i w:val="0"/>
                <w:color w:val="auto"/>
                <w:sz w:val="21"/>
                <w:szCs w:val="21"/>
                <w:highlight w:val="none"/>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FDB9C">
            <w:pPr>
              <w:jc w:val="center"/>
              <w:rPr>
                <w:rFonts w:hint="eastAsia" w:ascii="宋体" w:hAnsi="宋体" w:eastAsia="宋体" w:cs="宋体"/>
                <w:i w:val="0"/>
                <w:color w:val="auto"/>
                <w:sz w:val="21"/>
                <w:szCs w:val="21"/>
                <w:highlight w:val="none"/>
                <w:u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1BC5B">
            <w:pPr>
              <w:jc w:val="center"/>
              <w:rPr>
                <w:rFonts w:hint="eastAsia" w:ascii="宋体" w:hAnsi="宋体" w:eastAsia="宋体" w:cs="宋体"/>
                <w:i w:val="0"/>
                <w:color w:val="auto"/>
                <w:sz w:val="21"/>
                <w:szCs w:val="21"/>
                <w:highlight w:val="none"/>
                <w:u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E50B8">
            <w:pPr>
              <w:jc w:val="center"/>
              <w:rPr>
                <w:rFonts w:hint="eastAsia" w:ascii="宋体" w:hAnsi="宋体" w:eastAsia="宋体" w:cs="宋体"/>
                <w:i w:val="0"/>
                <w:color w:val="auto"/>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D6385">
            <w:pPr>
              <w:keepNext w:val="0"/>
              <w:keepLines w:val="0"/>
              <w:widowControl/>
              <w:suppressLineNumbers w:val="0"/>
              <w:jc w:val="center"/>
              <w:textAlignment w:val="center"/>
              <w:rPr>
                <w:rFonts w:hint="eastAsia" w:ascii="宋体" w:hAnsi="宋体" w:eastAsia="宋体" w:cs="宋体"/>
                <w:i w:val="0"/>
                <w:strike/>
                <w:dstrike w:val="0"/>
                <w:color w:val="auto"/>
                <w:sz w:val="21"/>
                <w:szCs w:val="21"/>
                <w:highlight w:val="none"/>
                <w:u w:val="none"/>
              </w:rPr>
            </w:pPr>
            <w:r>
              <w:rPr>
                <w:rFonts w:hint="eastAsia" w:ascii="宋体" w:hAnsi="宋体" w:eastAsia="宋体" w:cs="宋体"/>
                <w:i w:val="0"/>
                <w:strike/>
                <w:dstrike w:val="0"/>
                <w:color w:val="auto"/>
                <w:kern w:val="0"/>
                <w:sz w:val="21"/>
                <w:szCs w:val="21"/>
                <w:highlight w:val="none"/>
                <w:u w:val="none"/>
                <w:lang w:val="en-US" w:eastAsia="zh-CN" w:bidi="ar"/>
              </w:rPr>
              <w:t>缴纳方式</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4EE6A">
            <w:pPr>
              <w:keepNext w:val="0"/>
              <w:keepLines w:val="0"/>
              <w:widowControl/>
              <w:suppressLineNumbers w:val="0"/>
              <w:jc w:val="center"/>
              <w:textAlignment w:val="center"/>
              <w:rPr>
                <w:rFonts w:hint="eastAsia" w:ascii="宋体" w:hAnsi="宋体" w:eastAsia="宋体" w:cs="宋体"/>
                <w:i w:val="0"/>
                <w:strike/>
                <w:dstrike w:val="0"/>
                <w:color w:val="auto"/>
                <w:sz w:val="21"/>
                <w:szCs w:val="21"/>
                <w:highlight w:val="none"/>
                <w:u w:val="none"/>
              </w:rPr>
            </w:pPr>
            <w:r>
              <w:rPr>
                <w:rFonts w:hint="eastAsia" w:ascii="宋体" w:hAnsi="宋体" w:eastAsia="宋体" w:cs="宋体"/>
                <w:i w:val="0"/>
                <w:strike/>
                <w:dstrike w:val="0"/>
                <w:color w:val="auto"/>
                <w:kern w:val="0"/>
                <w:sz w:val="21"/>
                <w:szCs w:val="21"/>
                <w:highlight w:val="none"/>
                <w:u w:val="none"/>
                <w:lang w:val="en-US" w:eastAsia="zh-CN" w:bidi="ar"/>
              </w:rPr>
              <w:t>金额</w:t>
            </w:r>
          </w:p>
        </w:tc>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A1558">
            <w:pPr>
              <w:jc w:val="center"/>
              <w:rPr>
                <w:rFonts w:hint="eastAsia" w:ascii="宋体" w:hAnsi="宋体" w:eastAsia="宋体" w:cs="宋体"/>
                <w:i w:val="0"/>
                <w:color w:val="auto"/>
                <w:sz w:val="21"/>
                <w:szCs w:val="21"/>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E83CF">
            <w:pPr>
              <w:jc w:val="center"/>
              <w:rPr>
                <w:rFonts w:hint="eastAsia" w:ascii="宋体" w:hAnsi="宋体" w:eastAsia="宋体" w:cs="宋体"/>
                <w:i w:val="0"/>
                <w:color w:val="auto"/>
                <w:sz w:val="21"/>
                <w:szCs w:val="21"/>
                <w:highlight w:val="none"/>
                <w:u w:val="none"/>
              </w:rPr>
            </w:pPr>
          </w:p>
        </w:tc>
        <w:tc>
          <w:tcPr>
            <w:tcW w:w="11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C35D6">
            <w:pPr>
              <w:jc w:val="center"/>
              <w:rPr>
                <w:rFonts w:hint="eastAsia" w:ascii="宋体" w:hAnsi="宋体" w:eastAsia="宋体" w:cs="宋体"/>
                <w:i w:val="0"/>
                <w:color w:val="auto"/>
                <w:sz w:val="21"/>
                <w:szCs w:val="21"/>
                <w:highlight w:val="none"/>
                <w:u w:val="none"/>
              </w:rPr>
            </w:pPr>
          </w:p>
        </w:tc>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DB378">
            <w:pPr>
              <w:jc w:val="center"/>
              <w:rPr>
                <w:rFonts w:hint="eastAsia" w:ascii="宋体" w:hAnsi="宋体" w:eastAsia="宋体" w:cs="宋体"/>
                <w:i w:val="0"/>
                <w:color w:val="auto"/>
                <w:sz w:val="21"/>
                <w:szCs w:val="21"/>
                <w:highlight w:val="none"/>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A2186">
            <w:pPr>
              <w:jc w:val="center"/>
              <w:rPr>
                <w:rFonts w:hint="eastAsia" w:ascii="宋体" w:hAnsi="宋体" w:eastAsia="宋体" w:cs="宋体"/>
                <w:i w:val="0"/>
                <w:color w:val="auto"/>
                <w:sz w:val="21"/>
                <w:szCs w:val="21"/>
                <w:highlight w:val="none"/>
                <w:u w:val="none"/>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42CC8">
            <w:pPr>
              <w:jc w:val="center"/>
              <w:rPr>
                <w:rFonts w:hint="eastAsia" w:ascii="宋体" w:hAnsi="宋体" w:eastAsia="宋体" w:cs="宋体"/>
                <w:i w:val="0"/>
                <w:color w:val="auto"/>
                <w:sz w:val="21"/>
                <w:szCs w:val="21"/>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C9264">
            <w:pPr>
              <w:jc w:val="center"/>
              <w:rPr>
                <w:rFonts w:hint="eastAsia" w:ascii="宋体" w:hAnsi="宋体" w:eastAsia="宋体" w:cs="宋体"/>
                <w:i w:val="0"/>
                <w:color w:val="auto"/>
                <w:sz w:val="21"/>
                <w:szCs w:val="21"/>
                <w:highlight w:val="none"/>
                <w:u w:val="none"/>
              </w:rPr>
            </w:pPr>
          </w:p>
        </w:tc>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1E7D5">
            <w:pPr>
              <w:jc w:val="center"/>
              <w:rPr>
                <w:rFonts w:hint="eastAsia" w:ascii="宋体" w:hAnsi="宋体" w:eastAsia="宋体" w:cs="宋体"/>
                <w:i w:val="0"/>
                <w:color w:val="auto"/>
                <w:sz w:val="21"/>
                <w:szCs w:val="21"/>
                <w:highlight w:val="none"/>
                <w:u w:val="none"/>
              </w:rPr>
            </w:pPr>
          </w:p>
        </w:tc>
        <w:tc>
          <w:tcPr>
            <w:tcW w:w="9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67DFD">
            <w:pPr>
              <w:jc w:val="center"/>
              <w:rPr>
                <w:rFonts w:hint="eastAsia" w:ascii="宋体" w:hAnsi="宋体" w:eastAsia="宋体" w:cs="宋体"/>
                <w:i w:val="0"/>
                <w:color w:val="auto"/>
                <w:sz w:val="21"/>
                <w:szCs w:val="21"/>
                <w:highlight w:val="none"/>
                <w:u w:val="none"/>
              </w:rPr>
            </w:pPr>
          </w:p>
        </w:tc>
      </w:tr>
      <w:tr w14:paraId="4A7C3B72">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DAB32">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BF478">
            <w:pPr>
              <w:jc w:val="center"/>
              <w:rPr>
                <w:rFonts w:hint="eastAsia" w:ascii="宋体" w:hAnsi="宋体" w:eastAsia="宋体" w:cs="宋体"/>
                <w:i w:val="0"/>
                <w:color w:val="auto"/>
                <w:sz w:val="21"/>
                <w:szCs w:val="21"/>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AE9C8">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25DEF">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0CA8F">
            <w:pPr>
              <w:jc w:val="center"/>
              <w:rPr>
                <w:rFonts w:hint="eastAsia" w:ascii="宋体" w:hAnsi="宋体" w:eastAsia="宋体" w:cs="宋体"/>
                <w:i w:val="0"/>
                <w:color w:val="auto"/>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64B55">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5800D">
            <w:pPr>
              <w:jc w:val="center"/>
              <w:rPr>
                <w:rFonts w:hint="eastAsia" w:ascii="宋体" w:hAnsi="宋体" w:eastAsia="宋体" w:cs="宋体"/>
                <w:i w:val="0"/>
                <w:color w:val="auto"/>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9AFD5">
            <w:pPr>
              <w:jc w:val="center"/>
              <w:rPr>
                <w:rFonts w:hint="eastAsia" w:ascii="宋体" w:hAnsi="宋体" w:eastAsia="宋体" w:cs="宋体"/>
                <w:i w:val="0"/>
                <w:color w:val="auto"/>
                <w:sz w:val="24"/>
                <w:szCs w:val="24"/>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053B2">
            <w:pPr>
              <w:jc w:val="center"/>
              <w:rPr>
                <w:rFonts w:hint="eastAsia" w:ascii="宋体" w:hAnsi="宋体" w:eastAsia="宋体" w:cs="宋体"/>
                <w:i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A6F32">
            <w:pPr>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C964A">
            <w:pPr>
              <w:jc w:val="center"/>
              <w:rPr>
                <w:rFonts w:hint="eastAsia" w:ascii="宋体" w:hAnsi="宋体" w:eastAsia="宋体" w:cs="宋体"/>
                <w:i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68F76">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EEB32">
            <w:pPr>
              <w:jc w:val="center"/>
              <w:rPr>
                <w:rFonts w:hint="eastAsia" w:ascii="宋体" w:hAnsi="宋体" w:eastAsia="宋体" w:cs="宋体"/>
                <w:i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9B799">
            <w:pPr>
              <w:jc w:val="center"/>
              <w:rPr>
                <w:rFonts w:hint="eastAsia" w:ascii="宋体" w:hAnsi="宋体" w:eastAsia="宋体" w:cs="宋体"/>
                <w:i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563BE">
            <w:pPr>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D76FE">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73DDD">
            <w:pPr>
              <w:jc w:val="center"/>
              <w:rPr>
                <w:rFonts w:hint="eastAsia" w:ascii="宋体" w:hAnsi="宋体" w:eastAsia="宋体" w:cs="宋体"/>
                <w:i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5844C">
            <w:pPr>
              <w:jc w:val="center"/>
              <w:rPr>
                <w:rFonts w:hint="eastAsia" w:ascii="宋体" w:hAnsi="宋体" w:eastAsia="宋体" w:cs="宋体"/>
                <w:i w:val="0"/>
                <w:color w:val="auto"/>
                <w:sz w:val="21"/>
                <w:szCs w:val="21"/>
                <w:highlight w:val="none"/>
                <w:u w:val="none"/>
              </w:rPr>
            </w:pPr>
          </w:p>
        </w:tc>
      </w:tr>
      <w:tr w14:paraId="21BA0370">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A9E19">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823E7">
            <w:pPr>
              <w:jc w:val="center"/>
              <w:rPr>
                <w:rFonts w:hint="eastAsia" w:ascii="宋体" w:hAnsi="宋体" w:eastAsia="宋体" w:cs="宋体"/>
                <w:i w:val="0"/>
                <w:color w:val="auto"/>
                <w:sz w:val="21"/>
                <w:szCs w:val="21"/>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543CF">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EB3CD">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5458E">
            <w:pPr>
              <w:jc w:val="center"/>
              <w:rPr>
                <w:rFonts w:hint="eastAsia" w:ascii="宋体" w:hAnsi="宋体" w:eastAsia="宋体" w:cs="宋体"/>
                <w:i w:val="0"/>
                <w:color w:val="auto"/>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F5A36">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5DCCB">
            <w:pPr>
              <w:jc w:val="center"/>
              <w:rPr>
                <w:rFonts w:hint="eastAsia" w:ascii="宋体" w:hAnsi="宋体" w:eastAsia="宋体" w:cs="宋体"/>
                <w:i w:val="0"/>
                <w:color w:val="auto"/>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90BBC">
            <w:pPr>
              <w:jc w:val="center"/>
              <w:rPr>
                <w:rFonts w:hint="eastAsia" w:ascii="宋体" w:hAnsi="宋体" w:eastAsia="宋体" w:cs="宋体"/>
                <w:i w:val="0"/>
                <w:color w:val="auto"/>
                <w:sz w:val="21"/>
                <w:szCs w:val="21"/>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B53E9">
            <w:pPr>
              <w:jc w:val="center"/>
              <w:rPr>
                <w:rFonts w:hint="eastAsia" w:ascii="宋体" w:hAnsi="宋体" w:eastAsia="宋体" w:cs="宋体"/>
                <w:i w:val="0"/>
                <w:color w:val="auto"/>
                <w:sz w:val="21"/>
                <w:szCs w:val="21"/>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84A05">
            <w:pPr>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BBD9C">
            <w:pPr>
              <w:jc w:val="center"/>
              <w:rPr>
                <w:rFonts w:hint="eastAsia" w:ascii="宋体" w:hAnsi="宋体" w:eastAsia="宋体" w:cs="宋体"/>
                <w:i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3C2E5">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57A3D">
            <w:pPr>
              <w:jc w:val="center"/>
              <w:rPr>
                <w:rFonts w:hint="eastAsia" w:ascii="宋体" w:hAnsi="宋体" w:eastAsia="宋体" w:cs="宋体"/>
                <w:i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FE1F8">
            <w:pPr>
              <w:jc w:val="center"/>
              <w:rPr>
                <w:rFonts w:hint="eastAsia" w:ascii="宋体" w:hAnsi="宋体" w:eastAsia="宋体" w:cs="宋体"/>
                <w:i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60177">
            <w:pPr>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7769E">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F5471">
            <w:pPr>
              <w:jc w:val="center"/>
              <w:rPr>
                <w:rFonts w:hint="eastAsia" w:ascii="宋体" w:hAnsi="宋体" w:eastAsia="宋体" w:cs="宋体"/>
                <w:i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33DF7">
            <w:pPr>
              <w:jc w:val="center"/>
              <w:rPr>
                <w:rFonts w:hint="eastAsia" w:ascii="宋体" w:hAnsi="宋体" w:eastAsia="宋体" w:cs="宋体"/>
                <w:i w:val="0"/>
                <w:color w:val="auto"/>
                <w:sz w:val="21"/>
                <w:szCs w:val="21"/>
                <w:highlight w:val="none"/>
                <w:u w:val="none"/>
              </w:rPr>
            </w:pPr>
          </w:p>
        </w:tc>
      </w:tr>
      <w:tr w14:paraId="53FAFBE2">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81F37">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447E0">
            <w:pPr>
              <w:jc w:val="center"/>
              <w:rPr>
                <w:rFonts w:hint="eastAsia" w:ascii="宋体" w:hAnsi="宋体" w:eastAsia="宋体" w:cs="宋体"/>
                <w:i w:val="0"/>
                <w:color w:val="auto"/>
                <w:sz w:val="21"/>
                <w:szCs w:val="21"/>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4C4C0">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B9054">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04E0C">
            <w:pPr>
              <w:jc w:val="center"/>
              <w:rPr>
                <w:rFonts w:hint="eastAsia" w:ascii="宋体" w:hAnsi="宋体" w:eastAsia="宋体" w:cs="宋体"/>
                <w:i w:val="0"/>
                <w:color w:val="auto"/>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08C1C">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0CE97">
            <w:pPr>
              <w:jc w:val="center"/>
              <w:rPr>
                <w:rFonts w:hint="eastAsia" w:ascii="宋体" w:hAnsi="宋体" w:eastAsia="宋体" w:cs="宋体"/>
                <w:i w:val="0"/>
                <w:color w:val="auto"/>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EFB55">
            <w:pPr>
              <w:jc w:val="center"/>
              <w:rPr>
                <w:rFonts w:hint="eastAsia" w:ascii="宋体" w:hAnsi="宋体" w:eastAsia="宋体" w:cs="宋体"/>
                <w:i w:val="0"/>
                <w:color w:val="auto"/>
                <w:sz w:val="21"/>
                <w:szCs w:val="21"/>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BA42B">
            <w:pPr>
              <w:jc w:val="center"/>
              <w:rPr>
                <w:rFonts w:hint="eastAsia" w:ascii="宋体" w:hAnsi="宋体" w:eastAsia="宋体" w:cs="宋体"/>
                <w:i w:val="0"/>
                <w:color w:val="auto"/>
                <w:sz w:val="21"/>
                <w:szCs w:val="21"/>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13F01">
            <w:pPr>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3E428">
            <w:pPr>
              <w:jc w:val="center"/>
              <w:rPr>
                <w:rFonts w:hint="eastAsia" w:ascii="宋体" w:hAnsi="宋体" w:eastAsia="宋体" w:cs="宋体"/>
                <w:i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226F2">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7A65B">
            <w:pPr>
              <w:jc w:val="center"/>
              <w:rPr>
                <w:rFonts w:hint="eastAsia" w:ascii="宋体" w:hAnsi="宋体" w:eastAsia="宋体" w:cs="宋体"/>
                <w:i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1F363">
            <w:pPr>
              <w:jc w:val="center"/>
              <w:rPr>
                <w:rFonts w:hint="eastAsia" w:ascii="宋体" w:hAnsi="宋体" w:eastAsia="宋体" w:cs="宋体"/>
                <w:i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6B745">
            <w:pPr>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5F473">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C8B4C">
            <w:pPr>
              <w:jc w:val="center"/>
              <w:rPr>
                <w:rFonts w:hint="eastAsia" w:ascii="宋体" w:hAnsi="宋体" w:eastAsia="宋体" w:cs="宋体"/>
                <w:i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792BC">
            <w:pPr>
              <w:jc w:val="center"/>
              <w:rPr>
                <w:rFonts w:hint="eastAsia" w:ascii="宋体" w:hAnsi="宋体" w:eastAsia="宋体" w:cs="宋体"/>
                <w:i w:val="0"/>
                <w:color w:val="auto"/>
                <w:sz w:val="21"/>
                <w:szCs w:val="21"/>
                <w:highlight w:val="none"/>
                <w:u w:val="none"/>
              </w:rPr>
            </w:pPr>
          </w:p>
        </w:tc>
      </w:tr>
      <w:tr w14:paraId="6C65E52A">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F6FEA">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5586B">
            <w:pPr>
              <w:jc w:val="center"/>
              <w:rPr>
                <w:rFonts w:hint="eastAsia" w:ascii="宋体" w:hAnsi="宋体" w:eastAsia="宋体" w:cs="宋体"/>
                <w:i w:val="0"/>
                <w:color w:val="auto"/>
                <w:sz w:val="21"/>
                <w:szCs w:val="21"/>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C5558">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8323A">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04F10">
            <w:pPr>
              <w:jc w:val="center"/>
              <w:rPr>
                <w:rFonts w:hint="eastAsia" w:ascii="宋体" w:hAnsi="宋体" w:eastAsia="宋体" w:cs="宋体"/>
                <w:i w:val="0"/>
                <w:color w:val="auto"/>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30E50">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748AC">
            <w:pPr>
              <w:jc w:val="center"/>
              <w:rPr>
                <w:rFonts w:hint="eastAsia" w:ascii="宋体" w:hAnsi="宋体" w:eastAsia="宋体" w:cs="宋体"/>
                <w:i w:val="0"/>
                <w:color w:val="auto"/>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7225C">
            <w:pPr>
              <w:jc w:val="center"/>
              <w:rPr>
                <w:rFonts w:hint="eastAsia" w:ascii="宋体" w:hAnsi="宋体" w:eastAsia="宋体" w:cs="宋体"/>
                <w:i w:val="0"/>
                <w:color w:val="auto"/>
                <w:sz w:val="21"/>
                <w:szCs w:val="21"/>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799BA">
            <w:pPr>
              <w:jc w:val="center"/>
              <w:rPr>
                <w:rFonts w:hint="eastAsia" w:ascii="宋体" w:hAnsi="宋体" w:eastAsia="宋体" w:cs="宋体"/>
                <w:i w:val="0"/>
                <w:color w:val="auto"/>
                <w:sz w:val="21"/>
                <w:szCs w:val="21"/>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C1A33">
            <w:pPr>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CFE40">
            <w:pPr>
              <w:jc w:val="center"/>
              <w:rPr>
                <w:rFonts w:hint="eastAsia" w:ascii="宋体" w:hAnsi="宋体" w:eastAsia="宋体" w:cs="宋体"/>
                <w:i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6A311">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782E9">
            <w:pPr>
              <w:jc w:val="center"/>
              <w:rPr>
                <w:rFonts w:hint="eastAsia" w:ascii="宋体" w:hAnsi="宋体" w:eastAsia="宋体" w:cs="宋体"/>
                <w:i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93282">
            <w:pPr>
              <w:jc w:val="center"/>
              <w:rPr>
                <w:rFonts w:hint="eastAsia" w:ascii="宋体" w:hAnsi="宋体" w:eastAsia="宋体" w:cs="宋体"/>
                <w:i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E98B6">
            <w:pPr>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3E60B">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14B2F">
            <w:pPr>
              <w:jc w:val="center"/>
              <w:rPr>
                <w:rFonts w:hint="eastAsia" w:ascii="宋体" w:hAnsi="宋体" w:eastAsia="宋体" w:cs="宋体"/>
                <w:i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83885">
            <w:pPr>
              <w:jc w:val="center"/>
              <w:rPr>
                <w:rFonts w:hint="eastAsia" w:ascii="宋体" w:hAnsi="宋体" w:eastAsia="宋体" w:cs="宋体"/>
                <w:i w:val="0"/>
                <w:color w:val="auto"/>
                <w:sz w:val="21"/>
                <w:szCs w:val="21"/>
                <w:highlight w:val="none"/>
                <w:u w:val="none"/>
              </w:rPr>
            </w:pPr>
          </w:p>
        </w:tc>
      </w:tr>
      <w:tr w14:paraId="39535E36">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47540">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4222C">
            <w:pPr>
              <w:jc w:val="center"/>
              <w:rPr>
                <w:rFonts w:hint="eastAsia" w:ascii="宋体" w:hAnsi="宋体" w:eastAsia="宋体" w:cs="宋体"/>
                <w:i w:val="0"/>
                <w:color w:val="auto"/>
                <w:sz w:val="21"/>
                <w:szCs w:val="21"/>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9647E">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B6335">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5F921">
            <w:pPr>
              <w:jc w:val="center"/>
              <w:rPr>
                <w:rFonts w:hint="eastAsia" w:ascii="宋体" w:hAnsi="宋体" w:eastAsia="宋体" w:cs="宋体"/>
                <w:i w:val="0"/>
                <w:color w:val="auto"/>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E7008">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E4FE6">
            <w:pPr>
              <w:jc w:val="center"/>
              <w:rPr>
                <w:rFonts w:hint="eastAsia" w:ascii="宋体" w:hAnsi="宋体" w:eastAsia="宋体" w:cs="宋体"/>
                <w:i w:val="0"/>
                <w:color w:val="auto"/>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67238">
            <w:pPr>
              <w:jc w:val="center"/>
              <w:rPr>
                <w:rFonts w:hint="eastAsia" w:ascii="宋体" w:hAnsi="宋体" w:eastAsia="宋体" w:cs="宋体"/>
                <w:i w:val="0"/>
                <w:color w:val="auto"/>
                <w:sz w:val="21"/>
                <w:szCs w:val="21"/>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B173E">
            <w:pPr>
              <w:jc w:val="center"/>
              <w:rPr>
                <w:rFonts w:hint="eastAsia" w:ascii="宋体" w:hAnsi="宋体" w:eastAsia="宋体" w:cs="宋体"/>
                <w:i w:val="0"/>
                <w:color w:val="auto"/>
                <w:sz w:val="21"/>
                <w:szCs w:val="21"/>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6781C">
            <w:pPr>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7B316">
            <w:pPr>
              <w:jc w:val="center"/>
              <w:rPr>
                <w:rFonts w:hint="eastAsia" w:ascii="宋体" w:hAnsi="宋体" w:eastAsia="宋体" w:cs="宋体"/>
                <w:i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DFE4D">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C4D51">
            <w:pPr>
              <w:jc w:val="center"/>
              <w:rPr>
                <w:rFonts w:hint="eastAsia" w:ascii="宋体" w:hAnsi="宋体" w:eastAsia="宋体" w:cs="宋体"/>
                <w:i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F3CCE">
            <w:pPr>
              <w:jc w:val="center"/>
              <w:rPr>
                <w:rFonts w:hint="eastAsia" w:ascii="宋体" w:hAnsi="宋体" w:eastAsia="宋体" w:cs="宋体"/>
                <w:i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75C0A">
            <w:pPr>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738AC">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6EB10">
            <w:pPr>
              <w:jc w:val="center"/>
              <w:rPr>
                <w:rFonts w:hint="eastAsia" w:ascii="宋体" w:hAnsi="宋体" w:eastAsia="宋体" w:cs="宋体"/>
                <w:i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994ED">
            <w:pPr>
              <w:jc w:val="center"/>
              <w:rPr>
                <w:rFonts w:hint="eastAsia" w:ascii="宋体" w:hAnsi="宋体" w:eastAsia="宋体" w:cs="宋体"/>
                <w:i w:val="0"/>
                <w:color w:val="auto"/>
                <w:sz w:val="21"/>
                <w:szCs w:val="21"/>
                <w:highlight w:val="none"/>
                <w:u w:val="none"/>
              </w:rPr>
            </w:pPr>
          </w:p>
        </w:tc>
      </w:tr>
    </w:tbl>
    <w:p w14:paraId="2A8B1C03">
      <w:pPr>
        <w:rPr>
          <w:rFonts w:hint="eastAsia" w:ascii="宋体" w:hAnsi="宋体" w:eastAsia="宋体"/>
          <w:color w:val="auto"/>
          <w:szCs w:val="21"/>
          <w:highlight w:val="none"/>
        </w:rPr>
      </w:pPr>
    </w:p>
    <w:p w14:paraId="076F5D71">
      <w:pPr>
        <w:rPr>
          <w:rFonts w:hint="eastAsia" w:ascii="宋体" w:hAnsi="宋体" w:eastAsia="宋体"/>
          <w:color w:val="auto"/>
          <w:szCs w:val="21"/>
          <w:highlight w:val="none"/>
        </w:rPr>
      </w:pPr>
      <w:r>
        <w:rPr>
          <w:rFonts w:hint="eastAsia" w:ascii="宋体" w:hAnsi="宋体" w:eastAsia="宋体"/>
          <w:color w:val="auto"/>
          <w:szCs w:val="21"/>
          <w:highlight w:val="none"/>
        </w:rPr>
        <w:t>注：本表部分信息源自《广州园林绿化工程施工招标投标书》。</w:t>
      </w:r>
    </w:p>
    <w:p w14:paraId="1446E782">
      <w:pPr>
        <w:rPr>
          <w:rFonts w:hint="eastAsia" w:ascii="宋体" w:hAnsi="宋体" w:eastAsia="宋体"/>
          <w:color w:val="auto"/>
          <w:sz w:val="24"/>
          <w:highlight w:val="none"/>
        </w:rPr>
      </w:pPr>
    </w:p>
    <w:p w14:paraId="1970E089">
      <w:pPr>
        <w:rPr>
          <w:rFonts w:hint="eastAsia" w:ascii="宋体" w:hAnsi="宋体" w:eastAsia="宋体"/>
          <w:color w:val="auto"/>
          <w:sz w:val="24"/>
          <w:highlight w:val="none"/>
        </w:rPr>
      </w:pPr>
    </w:p>
    <w:p w14:paraId="632E8EC2">
      <w:pPr>
        <w:rPr>
          <w:rFonts w:hint="eastAsia" w:ascii="宋体" w:hAnsi="宋体" w:eastAsia="宋体"/>
          <w:color w:val="auto"/>
          <w:szCs w:val="21"/>
          <w:highlight w:val="none"/>
        </w:rPr>
      </w:pPr>
      <w:r>
        <w:rPr>
          <w:rFonts w:hint="eastAsia" w:ascii="宋体" w:hAnsi="宋体" w:eastAsia="宋体"/>
          <w:color w:val="auto"/>
          <w:szCs w:val="21"/>
          <w:highlight w:val="none"/>
        </w:rPr>
        <w:t xml:space="preserve">招标人代表：                                                       招标代理机构代表： </w:t>
      </w:r>
    </w:p>
    <w:p w14:paraId="2271A9C6">
      <w:pPr>
        <w:pStyle w:val="14"/>
        <w:tabs>
          <w:tab w:val="left" w:pos="7380"/>
        </w:tabs>
        <w:spacing w:after="0" w:line="360" w:lineRule="auto"/>
        <w:ind w:firstLine="0"/>
        <w:rPr>
          <w:rFonts w:hint="eastAsia" w:ascii="宋体" w:hAnsi="宋体" w:eastAsia="宋体"/>
          <w:color w:val="auto"/>
          <w:szCs w:val="21"/>
          <w:highlight w:val="none"/>
        </w:rPr>
      </w:pPr>
    </w:p>
    <w:p w14:paraId="6AEDBEE2">
      <w:pPr>
        <w:pStyle w:val="14"/>
        <w:tabs>
          <w:tab w:val="left" w:pos="7380"/>
        </w:tabs>
        <w:spacing w:after="0" w:line="360" w:lineRule="auto"/>
        <w:ind w:firstLine="0"/>
        <w:rPr>
          <w:rFonts w:hint="eastAsia" w:ascii="宋体" w:hAnsi="宋体" w:eastAsia="宋体"/>
          <w:color w:val="auto"/>
          <w:szCs w:val="21"/>
          <w:highlight w:val="none"/>
        </w:rPr>
      </w:pPr>
    </w:p>
    <w:p w14:paraId="7E8D4012">
      <w:pPr>
        <w:pStyle w:val="14"/>
        <w:tabs>
          <w:tab w:val="left" w:pos="7380"/>
        </w:tabs>
        <w:spacing w:after="0" w:line="360" w:lineRule="auto"/>
        <w:ind w:firstLine="0"/>
        <w:rPr>
          <w:rFonts w:hint="eastAsia" w:ascii="宋体" w:hAnsi="宋体" w:eastAsia="宋体"/>
          <w:color w:val="auto"/>
          <w:szCs w:val="21"/>
          <w:highlight w:val="none"/>
        </w:rPr>
      </w:pPr>
    </w:p>
    <w:p w14:paraId="4B78E135">
      <w:pPr>
        <w:pStyle w:val="14"/>
        <w:tabs>
          <w:tab w:val="left" w:pos="7380"/>
        </w:tabs>
        <w:spacing w:after="0" w:line="360" w:lineRule="auto"/>
        <w:ind w:firstLine="0"/>
        <w:rPr>
          <w:rFonts w:hint="eastAsia" w:ascii="宋体" w:hAnsi="宋体" w:eastAsia="宋体"/>
          <w:color w:val="auto"/>
          <w:szCs w:val="21"/>
          <w:highlight w:val="none"/>
        </w:rPr>
      </w:pPr>
    </w:p>
    <w:p w14:paraId="242249FA">
      <w:pPr>
        <w:pStyle w:val="14"/>
        <w:tabs>
          <w:tab w:val="left" w:pos="7380"/>
        </w:tabs>
        <w:spacing w:after="0" w:line="360" w:lineRule="auto"/>
        <w:ind w:firstLine="0"/>
        <w:rPr>
          <w:rFonts w:hint="eastAsia" w:ascii="宋体" w:hAnsi="宋体" w:eastAsia="宋体"/>
          <w:color w:val="auto"/>
          <w:szCs w:val="21"/>
          <w:highlight w:val="none"/>
        </w:rPr>
      </w:pPr>
    </w:p>
    <w:p w14:paraId="03B8B8F4">
      <w:pPr>
        <w:spacing w:line="360" w:lineRule="auto"/>
        <w:outlineLvl w:val="2"/>
        <w:rPr>
          <w:rFonts w:hint="eastAsia" w:ascii="宋体" w:hAnsi="宋体" w:eastAsia="宋体"/>
          <w:color w:val="auto"/>
          <w:sz w:val="24"/>
          <w:szCs w:val="24"/>
          <w:highlight w:val="none"/>
        </w:rPr>
      </w:pPr>
      <w:bookmarkStart w:id="209" w:name="_Toc18570"/>
      <w:bookmarkStart w:id="210" w:name="_Toc25303"/>
    </w:p>
    <w:p w14:paraId="66DBB3EC">
      <w:pPr>
        <w:spacing w:line="360" w:lineRule="auto"/>
        <w:outlineLvl w:val="2"/>
        <w:rPr>
          <w:rFonts w:ascii="宋体" w:hAnsi="宋体" w:eastAsia="宋体"/>
          <w:color w:val="auto"/>
          <w:sz w:val="24"/>
          <w:szCs w:val="24"/>
          <w:highlight w:val="none"/>
        </w:rPr>
      </w:pPr>
      <w:bookmarkStart w:id="211" w:name="_Toc6591"/>
      <w:r>
        <w:rPr>
          <w:rFonts w:hint="eastAsia" w:ascii="宋体" w:hAnsi="宋体" w:eastAsia="宋体"/>
          <w:color w:val="auto"/>
          <w:sz w:val="24"/>
          <w:szCs w:val="24"/>
          <w:highlight w:val="none"/>
        </w:rPr>
        <w:t>附件2</w:t>
      </w:r>
      <w:bookmarkEnd w:id="209"/>
      <w:bookmarkEnd w:id="210"/>
      <w:bookmarkEnd w:id="211"/>
    </w:p>
    <w:p w14:paraId="340053FA">
      <w:pPr>
        <w:spacing w:line="360" w:lineRule="auto"/>
        <w:jc w:val="center"/>
        <w:rPr>
          <w:rFonts w:hint="eastAsia" w:ascii="宋体" w:hAnsi="宋体" w:eastAsia="宋体"/>
          <w:b/>
          <w:color w:val="auto"/>
          <w:sz w:val="30"/>
          <w:szCs w:val="30"/>
          <w:highlight w:val="none"/>
        </w:rPr>
      </w:pPr>
      <w:r>
        <w:rPr>
          <w:rFonts w:hint="eastAsia" w:ascii="宋体" w:hAnsi="宋体" w:eastAsia="宋体"/>
          <w:b/>
          <w:color w:val="auto"/>
          <w:sz w:val="30"/>
          <w:szCs w:val="30"/>
          <w:highlight w:val="none"/>
        </w:rPr>
        <w:t>资格审查表</w:t>
      </w:r>
    </w:p>
    <w:p w14:paraId="4869BD0A">
      <w:pPr>
        <w:spacing w:line="360" w:lineRule="auto"/>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工程名称：</w:t>
      </w:r>
    </w:p>
    <w:tbl>
      <w:tblPr>
        <w:tblStyle w:val="16"/>
        <w:tblW w:w="0" w:type="auto"/>
        <w:tblInd w:w="-74" w:type="dxa"/>
        <w:tblLayout w:type="fixed"/>
        <w:tblCellMar>
          <w:top w:w="0" w:type="dxa"/>
          <w:left w:w="108" w:type="dxa"/>
          <w:bottom w:w="0" w:type="dxa"/>
          <w:right w:w="108" w:type="dxa"/>
        </w:tblCellMar>
      </w:tblPr>
      <w:tblGrid>
        <w:gridCol w:w="540"/>
        <w:gridCol w:w="9570"/>
        <w:gridCol w:w="850"/>
        <w:gridCol w:w="850"/>
        <w:gridCol w:w="850"/>
        <w:gridCol w:w="850"/>
      </w:tblGrid>
      <w:tr w14:paraId="0D803E93">
        <w:tblPrEx>
          <w:tblCellMar>
            <w:top w:w="0" w:type="dxa"/>
            <w:left w:w="108" w:type="dxa"/>
            <w:bottom w:w="0" w:type="dxa"/>
            <w:right w:w="108" w:type="dxa"/>
          </w:tblCellMar>
        </w:tblPrEx>
        <w:trPr>
          <w:trHeight w:val="679"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C8E49C9">
            <w:pPr>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9570"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3E20B25D">
            <w:pPr>
              <w:rPr>
                <w:rFonts w:hint="eastAsia" w:ascii="宋体" w:hAnsi="宋体" w:eastAsia="宋体"/>
                <w:b/>
                <w:color w:val="auto"/>
                <w:szCs w:val="21"/>
                <w:highlight w:val="none"/>
              </w:rPr>
            </w:pPr>
            <w:r>
              <w:rPr>
                <w:rFonts w:hint="eastAsia" w:ascii="宋体" w:hAnsi="宋体" w:eastAsia="宋体"/>
                <w:b/>
                <w:color w:val="auto"/>
                <w:szCs w:val="21"/>
                <w:highlight w:val="none"/>
              </w:rPr>
              <w:t xml:space="preserve">                                            投标人</w:t>
            </w:r>
          </w:p>
          <w:p w14:paraId="66001355">
            <w:pPr>
              <w:ind w:firstLine="211" w:firstLineChars="100"/>
              <w:rPr>
                <w:rFonts w:ascii="宋体" w:hAnsi="宋体" w:eastAsia="宋体"/>
                <w:b/>
                <w:color w:val="auto"/>
                <w:szCs w:val="21"/>
                <w:highlight w:val="none"/>
              </w:rPr>
            </w:pPr>
            <w:r>
              <w:rPr>
                <w:rFonts w:hint="eastAsia" w:ascii="宋体" w:hAnsi="宋体" w:eastAsia="宋体"/>
                <w:b/>
                <w:color w:val="auto"/>
                <w:szCs w:val="21"/>
                <w:highlight w:val="none"/>
              </w:rPr>
              <w:t>评审内容</w:t>
            </w:r>
          </w:p>
        </w:tc>
        <w:tc>
          <w:tcPr>
            <w:tcW w:w="850" w:type="dxa"/>
            <w:tcBorders>
              <w:top w:val="single" w:color="auto" w:sz="4" w:space="0"/>
              <w:left w:val="single" w:color="auto" w:sz="4" w:space="0"/>
              <w:bottom w:val="single" w:color="auto" w:sz="4" w:space="0"/>
              <w:right w:val="single" w:color="auto" w:sz="4" w:space="0"/>
            </w:tcBorders>
            <w:noWrap w:val="0"/>
            <w:vAlign w:val="top"/>
          </w:tcPr>
          <w:p w14:paraId="0416497D">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222566B">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234F808">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FE5EB1D">
            <w:pPr>
              <w:rPr>
                <w:rFonts w:ascii="宋体" w:hAnsi="宋体" w:eastAsia="宋体"/>
                <w:color w:val="auto"/>
                <w:szCs w:val="21"/>
                <w:highlight w:val="none"/>
              </w:rPr>
            </w:pPr>
          </w:p>
        </w:tc>
      </w:tr>
      <w:tr w14:paraId="2BE6E593">
        <w:tblPrEx>
          <w:tblCellMar>
            <w:top w:w="0" w:type="dxa"/>
            <w:left w:w="108" w:type="dxa"/>
            <w:bottom w:w="0" w:type="dxa"/>
            <w:right w:w="108" w:type="dxa"/>
          </w:tblCellMar>
        </w:tblPrEx>
        <w:trPr>
          <w:trHeight w:val="5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0022E5C">
            <w:pPr>
              <w:jc w:val="center"/>
              <w:rPr>
                <w:rFonts w:hint="eastAsia" w:ascii="宋体" w:hAnsi="宋体" w:eastAsia="宋体"/>
                <w:color w:val="auto"/>
                <w:szCs w:val="21"/>
                <w:highlight w:val="none"/>
              </w:rPr>
            </w:pPr>
            <w:r>
              <w:rPr>
                <w:rFonts w:hint="eastAsia" w:ascii="宋体" w:hAnsi="宋体" w:eastAsia="宋体"/>
                <w:color w:val="auto"/>
                <w:szCs w:val="21"/>
                <w:highlight w:val="none"/>
              </w:rPr>
              <w:t>1</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5B8A1FF8">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rPr>
              <w:t>投标文件中有法定代表人证明书，如投标文件为委托代理人签署应同时附上法定代表人证明书和法定代表人授权书。</w:t>
            </w:r>
          </w:p>
        </w:tc>
        <w:tc>
          <w:tcPr>
            <w:tcW w:w="850" w:type="dxa"/>
            <w:tcBorders>
              <w:top w:val="single" w:color="auto" w:sz="4" w:space="0"/>
              <w:left w:val="single" w:color="auto" w:sz="4" w:space="0"/>
              <w:bottom w:val="single" w:color="auto" w:sz="4" w:space="0"/>
              <w:right w:val="single" w:color="auto" w:sz="4" w:space="0"/>
            </w:tcBorders>
            <w:noWrap w:val="0"/>
            <w:vAlign w:val="top"/>
          </w:tcPr>
          <w:p w14:paraId="17808DDD">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BDBD630">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36B2B20">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3551AF4">
            <w:pPr>
              <w:rPr>
                <w:rFonts w:ascii="宋体" w:hAnsi="宋体" w:eastAsia="宋体"/>
                <w:color w:val="auto"/>
                <w:szCs w:val="21"/>
                <w:highlight w:val="none"/>
              </w:rPr>
            </w:pPr>
          </w:p>
        </w:tc>
      </w:tr>
      <w:tr w14:paraId="73C7233C">
        <w:tblPrEx>
          <w:tblCellMar>
            <w:top w:w="0" w:type="dxa"/>
            <w:left w:w="108" w:type="dxa"/>
            <w:bottom w:w="0" w:type="dxa"/>
            <w:right w:w="108" w:type="dxa"/>
          </w:tblCellMar>
        </w:tblPrEx>
        <w:trPr>
          <w:trHeight w:val="41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EDC4F86">
            <w:pPr>
              <w:jc w:val="center"/>
              <w:rPr>
                <w:rFonts w:hint="eastAsia" w:ascii="宋体" w:hAnsi="宋体" w:eastAsia="宋体"/>
                <w:color w:val="auto"/>
                <w:szCs w:val="21"/>
                <w:highlight w:val="none"/>
              </w:rPr>
            </w:pPr>
            <w:r>
              <w:rPr>
                <w:rFonts w:hint="eastAsia" w:ascii="宋体" w:hAnsi="宋体" w:eastAsia="宋体"/>
                <w:color w:val="auto"/>
                <w:szCs w:val="21"/>
                <w:highlight w:val="none"/>
              </w:rPr>
              <w:t>2</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5B7101BE">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投标人持有工商行政管理部门核发的营业执照满足公告要求。</w:t>
            </w:r>
          </w:p>
        </w:tc>
        <w:tc>
          <w:tcPr>
            <w:tcW w:w="850" w:type="dxa"/>
            <w:tcBorders>
              <w:top w:val="single" w:color="auto" w:sz="4" w:space="0"/>
              <w:left w:val="single" w:color="auto" w:sz="4" w:space="0"/>
              <w:bottom w:val="single" w:color="auto" w:sz="4" w:space="0"/>
              <w:right w:val="single" w:color="auto" w:sz="4" w:space="0"/>
            </w:tcBorders>
            <w:noWrap w:val="0"/>
            <w:vAlign w:val="top"/>
          </w:tcPr>
          <w:p w14:paraId="6B624C41">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22B90D8">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993F08E">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9CBA810">
            <w:pPr>
              <w:rPr>
                <w:rFonts w:ascii="宋体" w:hAnsi="宋体" w:eastAsia="宋体"/>
                <w:color w:val="auto"/>
                <w:szCs w:val="21"/>
                <w:highlight w:val="none"/>
              </w:rPr>
            </w:pPr>
          </w:p>
        </w:tc>
      </w:tr>
      <w:tr w14:paraId="4E62E422">
        <w:tblPrEx>
          <w:tblCellMar>
            <w:top w:w="0" w:type="dxa"/>
            <w:left w:w="108" w:type="dxa"/>
            <w:bottom w:w="0" w:type="dxa"/>
            <w:right w:w="108" w:type="dxa"/>
          </w:tblCellMar>
        </w:tblPrEx>
        <w:trPr>
          <w:trHeight w:val="364"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5406A66">
            <w:pPr>
              <w:jc w:val="center"/>
              <w:rPr>
                <w:rFonts w:hint="eastAsia" w:ascii="宋体" w:hAnsi="宋体" w:eastAsia="宋体"/>
                <w:color w:val="auto"/>
                <w:szCs w:val="21"/>
                <w:highlight w:val="none"/>
              </w:rPr>
            </w:pPr>
            <w:r>
              <w:rPr>
                <w:rFonts w:hint="eastAsia" w:ascii="宋体" w:hAnsi="宋体" w:eastAsia="宋体"/>
                <w:color w:val="auto"/>
                <w:szCs w:val="21"/>
                <w:highlight w:val="none"/>
              </w:rPr>
              <w:t>3</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2918A6B3">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rPr>
              <w:t>投标人拟担任本工程项目负责人的专业和资格满足公告要求。</w:t>
            </w:r>
          </w:p>
        </w:tc>
        <w:tc>
          <w:tcPr>
            <w:tcW w:w="850" w:type="dxa"/>
            <w:tcBorders>
              <w:top w:val="single" w:color="auto" w:sz="4" w:space="0"/>
              <w:left w:val="single" w:color="auto" w:sz="4" w:space="0"/>
              <w:bottom w:val="single" w:color="auto" w:sz="4" w:space="0"/>
              <w:right w:val="single" w:color="auto" w:sz="4" w:space="0"/>
            </w:tcBorders>
            <w:noWrap w:val="0"/>
            <w:vAlign w:val="top"/>
          </w:tcPr>
          <w:p w14:paraId="4FC7F3DB">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3E9C864">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B437042">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EC46EBC">
            <w:pPr>
              <w:rPr>
                <w:rFonts w:ascii="宋体" w:hAnsi="宋体" w:eastAsia="宋体"/>
                <w:color w:val="auto"/>
                <w:szCs w:val="21"/>
                <w:highlight w:val="none"/>
              </w:rPr>
            </w:pPr>
          </w:p>
        </w:tc>
      </w:tr>
      <w:tr w14:paraId="7453EF28">
        <w:tblPrEx>
          <w:tblCellMar>
            <w:top w:w="0" w:type="dxa"/>
            <w:left w:w="108" w:type="dxa"/>
            <w:bottom w:w="0" w:type="dxa"/>
            <w:right w:w="108" w:type="dxa"/>
          </w:tblCellMar>
        </w:tblPrEx>
        <w:trPr>
          <w:trHeight w:val="5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0E8F391">
            <w:pPr>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4</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486E0C35">
            <w:pPr>
              <w:rPr>
                <w:rFonts w:hint="eastAsia" w:ascii="宋体" w:hAnsi="宋体" w:eastAsia="宋体"/>
                <w:color w:val="auto"/>
                <w:szCs w:val="21"/>
                <w:highlight w:val="none"/>
              </w:rPr>
            </w:pPr>
            <w:r>
              <w:rPr>
                <w:rFonts w:hint="eastAsia" w:ascii="宋体" w:hAnsi="宋体" w:eastAsia="宋体"/>
                <w:color w:val="auto"/>
                <w:szCs w:val="21"/>
                <w:highlight w:val="none"/>
              </w:rPr>
              <w:t>专职安全人员须具有在有效期内的安全生产考核合格证书（C类），</w:t>
            </w:r>
            <w:r>
              <w:rPr>
                <w:rFonts w:hint="eastAsia" w:ascii="宋体" w:hAnsi="宋体" w:eastAsia="宋体"/>
                <w:color w:val="auto"/>
                <w:szCs w:val="21"/>
                <w:highlight w:val="none"/>
                <w:u w:val="single"/>
              </w:rPr>
              <w:t>或建筑施工企业专职安全生产管理人员安全生产考核合格证书（C3类）</w:t>
            </w:r>
            <w:r>
              <w:rPr>
                <w:rFonts w:hint="eastAsia" w:ascii="宋体" w:hAnsi="宋体" w:eastAsia="宋体"/>
                <w:color w:val="auto"/>
                <w:szCs w:val="21"/>
                <w:highlight w:val="none"/>
              </w:rPr>
              <w:t>。</w:t>
            </w:r>
          </w:p>
        </w:tc>
        <w:tc>
          <w:tcPr>
            <w:tcW w:w="850" w:type="dxa"/>
            <w:tcBorders>
              <w:top w:val="single" w:color="auto" w:sz="4" w:space="0"/>
              <w:left w:val="single" w:color="auto" w:sz="4" w:space="0"/>
              <w:bottom w:val="single" w:color="auto" w:sz="4" w:space="0"/>
              <w:right w:val="single" w:color="auto" w:sz="4" w:space="0"/>
            </w:tcBorders>
            <w:noWrap w:val="0"/>
            <w:vAlign w:val="top"/>
          </w:tcPr>
          <w:p w14:paraId="1EA61ED7">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11FE16F">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91153D4">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830876D">
            <w:pPr>
              <w:rPr>
                <w:rFonts w:ascii="宋体" w:hAnsi="宋体" w:eastAsia="宋体"/>
                <w:color w:val="auto"/>
                <w:szCs w:val="21"/>
                <w:highlight w:val="none"/>
              </w:rPr>
            </w:pPr>
          </w:p>
        </w:tc>
      </w:tr>
      <w:tr w14:paraId="721FD6C1">
        <w:tblPrEx>
          <w:tblCellMar>
            <w:top w:w="0" w:type="dxa"/>
            <w:left w:w="108" w:type="dxa"/>
            <w:bottom w:w="0" w:type="dxa"/>
            <w:right w:w="108" w:type="dxa"/>
          </w:tblCellMar>
        </w:tblPrEx>
        <w:trPr>
          <w:trHeight w:val="417"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4B66260">
            <w:pPr>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5</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65AEBF95">
            <w:pPr>
              <w:rPr>
                <w:rFonts w:hint="eastAsia" w:ascii="宋体" w:hAnsi="宋体" w:eastAsia="宋体"/>
                <w:color w:val="auto"/>
                <w:szCs w:val="21"/>
                <w:highlight w:val="none"/>
              </w:rPr>
            </w:pPr>
            <w:r>
              <w:rPr>
                <w:rFonts w:hint="eastAsia" w:ascii="宋体" w:hAnsi="宋体" w:eastAsia="宋体"/>
                <w:color w:val="auto"/>
                <w:szCs w:val="21"/>
                <w:highlight w:val="none"/>
              </w:rPr>
              <w:t>投标人按规定的格式及内容要求签署《投标人声明》。</w:t>
            </w:r>
          </w:p>
        </w:tc>
        <w:tc>
          <w:tcPr>
            <w:tcW w:w="850" w:type="dxa"/>
            <w:tcBorders>
              <w:top w:val="single" w:color="auto" w:sz="4" w:space="0"/>
              <w:left w:val="single" w:color="auto" w:sz="4" w:space="0"/>
              <w:bottom w:val="single" w:color="auto" w:sz="4" w:space="0"/>
              <w:right w:val="single" w:color="auto" w:sz="4" w:space="0"/>
            </w:tcBorders>
            <w:noWrap w:val="0"/>
            <w:vAlign w:val="top"/>
          </w:tcPr>
          <w:p w14:paraId="06CC6A16">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724AB87">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A073829">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8D2BC68">
            <w:pPr>
              <w:rPr>
                <w:rFonts w:ascii="宋体" w:hAnsi="宋体" w:eastAsia="宋体"/>
                <w:color w:val="auto"/>
                <w:szCs w:val="21"/>
                <w:highlight w:val="none"/>
              </w:rPr>
            </w:pPr>
          </w:p>
        </w:tc>
      </w:tr>
      <w:tr w14:paraId="5F087089">
        <w:tblPrEx>
          <w:tblCellMar>
            <w:top w:w="0" w:type="dxa"/>
            <w:left w:w="108" w:type="dxa"/>
            <w:bottom w:w="0" w:type="dxa"/>
            <w:right w:w="108" w:type="dxa"/>
          </w:tblCellMar>
        </w:tblPrEx>
        <w:trPr>
          <w:trHeight w:val="38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C4AEEF2">
            <w:pPr>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6</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63D60E00">
            <w:pPr>
              <w:rPr>
                <w:rFonts w:hint="eastAsia" w:ascii="宋体" w:hAnsi="宋体" w:eastAsia="宋体"/>
                <w:color w:val="auto"/>
                <w:szCs w:val="21"/>
                <w:highlight w:val="none"/>
                <w:u w:val="single"/>
              </w:rPr>
            </w:pPr>
            <w:r>
              <w:rPr>
                <w:rFonts w:hint="eastAsia" w:ascii="宋体" w:hAnsi="宋体" w:eastAsia="宋体" w:cs="宋体"/>
                <w:color w:val="auto"/>
                <w:szCs w:val="21"/>
                <w:highlight w:val="none"/>
                <w:u w:val="single"/>
                <w:lang w:val="en-US" w:eastAsia="zh-CN"/>
              </w:rPr>
              <w:t>本项目不接受联合体。</w:t>
            </w:r>
          </w:p>
        </w:tc>
        <w:tc>
          <w:tcPr>
            <w:tcW w:w="850" w:type="dxa"/>
            <w:tcBorders>
              <w:top w:val="single" w:color="auto" w:sz="4" w:space="0"/>
              <w:left w:val="single" w:color="auto" w:sz="4" w:space="0"/>
              <w:bottom w:val="single" w:color="auto" w:sz="4" w:space="0"/>
              <w:right w:val="single" w:color="auto" w:sz="4" w:space="0"/>
            </w:tcBorders>
            <w:noWrap w:val="0"/>
            <w:vAlign w:val="top"/>
          </w:tcPr>
          <w:p w14:paraId="7B5AD897">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63E8791">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5996763">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7237B10">
            <w:pPr>
              <w:rPr>
                <w:rFonts w:ascii="宋体" w:hAnsi="宋体" w:eastAsia="宋体"/>
                <w:color w:val="auto"/>
                <w:szCs w:val="21"/>
                <w:highlight w:val="none"/>
              </w:rPr>
            </w:pPr>
          </w:p>
        </w:tc>
      </w:tr>
      <w:tr w14:paraId="7F769152">
        <w:tblPrEx>
          <w:tblCellMar>
            <w:top w:w="0" w:type="dxa"/>
            <w:left w:w="108" w:type="dxa"/>
            <w:bottom w:w="0" w:type="dxa"/>
            <w:right w:w="108" w:type="dxa"/>
          </w:tblCellMar>
        </w:tblPrEx>
        <w:trPr>
          <w:trHeight w:val="76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EE0A656">
            <w:pPr>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7</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40DBFA4A">
            <w:pPr>
              <w:rPr>
                <w:rFonts w:hint="eastAsia" w:ascii="宋体" w:hAnsi="宋体" w:eastAsia="宋体"/>
                <w:color w:val="auto"/>
                <w:szCs w:val="21"/>
                <w:highlight w:val="none"/>
                <w:u w:val="single"/>
              </w:rPr>
            </w:pPr>
            <w:r>
              <w:rPr>
                <w:rFonts w:hint="eastAsia" w:ascii="宋体" w:hAnsi="宋体" w:eastAsia="宋体"/>
                <w:color w:val="auto"/>
                <w:szCs w:val="21"/>
                <w:highlight w:val="none"/>
                <w:u w:val="single"/>
                <w:lang w:val="en-US" w:eastAsia="zh-CN"/>
              </w:rPr>
              <w:t>投标人不存在《全国失信惩戒措施基础清单》惩戒内容为“在一定期限内依法取消参加依法必须进行招标的项目的投标资格”的情形。（投标人无需提供资料，按资格审查时广州交易集团有限公司（广州公共资源交易中心）交易系统比对的结果进行评审）</w:t>
            </w:r>
          </w:p>
        </w:tc>
        <w:tc>
          <w:tcPr>
            <w:tcW w:w="850" w:type="dxa"/>
            <w:tcBorders>
              <w:top w:val="single" w:color="auto" w:sz="4" w:space="0"/>
              <w:left w:val="single" w:color="auto" w:sz="4" w:space="0"/>
              <w:bottom w:val="single" w:color="auto" w:sz="4" w:space="0"/>
              <w:right w:val="single" w:color="auto" w:sz="4" w:space="0"/>
            </w:tcBorders>
            <w:noWrap w:val="0"/>
            <w:vAlign w:val="top"/>
          </w:tcPr>
          <w:p w14:paraId="03D55D16">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63D2ABE">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39DAFB2">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5758CFF">
            <w:pPr>
              <w:rPr>
                <w:rFonts w:ascii="宋体" w:hAnsi="宋体" w:eastAsia="宋体"/>
                <w:color w:val="auto"/>
                <w:szCs w:val="21"/>
                <w:highlight w:val="none"/>
              </w:rPr>
            </w:pPr>
          </w:p>
        </w:tc>
      </w:tr>
      <w:tr w14:paraId="67D155E7">
        <w:tblPrEx>
          <w:tblCellMar>
            <w:top w:w="0" w:type="dxa"/>
            <w:left w:w="108" w:type="dxa"/>
            <w:bottom w:w="0" w:type="dxa"/>
            <w:right w:w="108" w:type="dxa"/>
          </w:tblCellMar>
        </w:tblPrEx>
        <w:trPr>
          <w:trHeight w:val="76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FD16B8E">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8</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1AB7F283">
            <w:pPr>
              <w:rPr>
                <w:rFonts w:hint="eastAsia" w:ascii="宋体" w:hAnsi="宋体" w:eastAsia="宋体"/>
                <w:color w:val="auto"/>
                <w:szCs w:val="21"/>
                <w:highlight w:val="none"/>
              </w:rPr>
            </w:pPr>
            <w:r>
              <w:rPr>
                <w:rFonts w:hint="eastAsia" w:ascii="宋体" w:hAnsi="宋体" w:eastAsia="宋体" w:cs="宋体"/>
                <w:color w:val="auto"/>
                <w:szCs w:val="21"/>
                <w:highlight w:val="none"/>
                <w:u w:val="single"/>
              </w:rPr>
              <w:t>投标人未出现以下情形：与其它投标人的单位负责人为同一人或者存在控股、管理关系的不同单位，不得同时参加本招标项目投标（按投标人提供的《投标人声明》第</w:t>
            </w:r>
            <w:r>
              <w:rPr>
                <w:rFonts w:hint="eastAsia" w:ascii="宋体" w:hAnsi="宋体" w:eastAsia="宋体" w:cs="宋体"/>
                <w:color w:val="auto"/>
                <w:szCs w:val="21"/>
                <w:highlight w:val="none"/>
                <w:u w:val="single"/>
                <w:lang w:val="en-US" w:eastAsia="zh-CN"/>
              </w:rPr>
              <w:t>十一</w:t>
            </w:r>
            <w:r>
              <w:rPr>
                <w:rFonts w:hint="eastAsia" w:ascii="宋体" w:hAnsi="宋体" w:eastAsia="宋体" w:cs="宋体"/>
                <w:color w:val="auto"/>
                <w:szCs w:val="21"/>
                <w:highlight w:val="none"/>
                <w:u w:val="single"/>
              </w:rPr>
              <w:t>条内容进行评审）。</w:t>
            </w:r>
          </w:p>
        </w:tc>
        <w:tc>
          <w:tcPr>
            <w:tcW w:w="850" w:type="dxa"/>
            <w:tcBorders>
              <w:top w:val="single" w:color="auto" w:sz="4" w:space="0"/>
              <w:left w:val="single" w:color="auto" w:sz="4" w:space="0"/>
              <w:bottom w:val="single" w:color="auto" w:sz="4" w:space="0"/>
              <w:right w:val="single" w:color="auto" w:sz="4" w:space="0"/>
            </w:tcBorders>
            <w:noWrap w:val="0"/>
            <w:vAlign w:val="top"/>
          </w:tcPr>
          <w:p w14:paraId="78DCB574">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51151C9">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EFD469A">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668A566">
            <w:pPr>
              <w:rPr>
                <w:rFonts w:ascii="宋体" w:hAnsi="宋体" w:eastAsia="宋体"/>
                <w:color w:val="auto"/>
                <w:szCs w:val="21"/>
                <w:highlight w:val="none"/>
              </w:rPr>
            </w:pPr>
          </w:p>
        </w:tc>
      </w:tr>
      <w:tr w14:paraId="285E6F4C">
        <w:tblPrEx>
          <w:tblCellMar>
            <w:top w:w="0" w:type="dxa"/>
            <w:left w:w="108" w:type="dxa"/>
            <w:bottom w:w="0" w:type="dxa"/>
            <w:right w:w="108" w:type="dxa"/>
          </w:tblCellMar>
        </w:tblPrEx>
        <w:trPr>
          <w:trHeight w:val="76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C32C415">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9</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68DCC2B8">
            <w:pPr>
              <w:rPr>
                <w:rFonts w:hint="eastAsia" w:ascii="宋体" w:hAnsi="宋体" w:eastAsia="宋体" w:cs="宋体"/>
                <w:color w:val="auto"/>
                <w:szCs w:val="21"/>
                <w:highlight w:val="none"/>
                <w:u w:val="single"/>
              </w:rPr>
            </w:pPr>
            <w:r>
              <w:rPr>
                <w:rFonts w:hint="eastAsia" w:ascii="宋体" w:hAnsi="宋体" w:eastAsia="宋体"/>
                <w:color w:val="auto"/>
                <w:szCs w:val="21"/>
                <w:highlight w:val="none"/>
              </w:rPr>
              <w:t>本项目整体</w:t>
            </w:r>
            <w:r>
              <w:rPr>
                <w:rFonts w:hint="eastAsia" w:ascii="宋体" w:hAnsi="宋体" w:eastAsia="宋体"/>
                <w:color w:val="auto"/>
                <w:szCs w:val="21"/>
                <w:highlight w:val="none"/>
                <w:lang w:val="en-US" w:eastAsia="zh-CN"/>
              </w:rPr>
              <w:t>专门</w:t>
            </w:r>
            <w:r>
              <w:rPr>
                <w:rFonts w:hint="eastAsia" w:ascii="宋体" w:hAnsi="宋体" w:eastAsia="宋体"/>
                <w:color w:val="auto"/>
                <w:szCs w:val="21"/>
                <w:highlight w:val="none"/>
              </w:rPr>
              <w:t>面向中小微企业招标,本项目企业划分标准所属行业</w:t>
            </w:r>
            <w:r>
              <w:rPr>
                <w:rFonts w:hint="eastAsia" w:ascii="宋体" w:hAnsi="宋体" w:eastAsia="宋体"/>
                <w:color w:val="auto"/>
                <w:kern w:val="2"/>
                <w:sz w:val="21"/>
                <w:szCs w:val="21"/>
                <w:highlight w:val="none"/>
                <w:u w:val="none"/>
                <w:lang w:val="en-US" w:eastAsia="zh-CN"/>
              </w:rPr>
              <w:t>指农、林、牧、渔业</w:t>
            </w:r>
            <w:r>
              <w:rPr>
                <w:rFonts w:hint="eastAsia" w:ascii="宋体" w:hAnsi="宋体" w:eastAsia="宋体"/>
                <w:color w:val="auto"/>
                <w:szCs w:val="21"/>
                <w:highlight w:val="none"/>
              </w:rPr>
              <w:t>。投标人应按《政府采购促进中小企业发展管理办法》规定出具《中小企业声明函》</w:t>
            </w:r>
            <w:r>
              <w:rPr>
                <w:rFonts w:hint="eastAsia" w:ascii="宋体" w:hAnsi="宋体" w:eastAsia="宋体"/>
                <w:color w:val="auto"/>
                <w:szCs w:val="21"/>
                <w:highlight w:val="none"/>
                <w:lang w:val="en-US" w:eastAsia="zh-CN"/>
              </w:rPr>
              <w:t>且为</w:t>
            </w:r>
            <w:r>
              <w:rPr>
                <w:rFonts w:hint="eastAsia" w:ascii="宋体" w:hAnsi="宋体" w:eastAsia="宋体"/>
                <w:color w:val="auto"/>
                <w:szCs w:val="21"/>
                <w:highlight w:val="none"/>
              </w:rPr>
              <w:t>中小微企业。</w:t>
            </w:r>
          </w:p>
        </w:tc>
        <w:tc>
          <w:tcPr>
            <w:tcW w:w="850" w:type="dxa"/>
            <w:tcBorders>
              <w:top w:val="single" w:color="auto" w:sz="4" w:space="0"/>
              <w:left w:val="single" w:color="auto" w:sz="4" w:space="0"/>
              <w:bottom w:val="single" w:color="auto" w:sz="4" w:space="0"/>
              <w:right w:val="single" w:color="auto" w:sz="4" w:space="0"/>
            </w:tcBorders>
            <w:noWrap w:val="0"/>
            <w:vAlign w:val="top"/>
          </w:tcPr>
          <w:p w14:paraId="457C215D">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29B1CC3">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6AD44F7">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AE1F0A3">
            <w:pPr>
              <w:rPr>
                <w:rFonts w:ascii="宋体" w:hAnsi="宋体" w:eastAsia="宋体"/>
                <w:color w:val="auto"/>
                <w:szCs w:val="21"/>
                <w:highlight w:val="none"/>
              </w:rPr>
            </w:pPr>
          </w:p>
        </w:tc>
      </w:tr>
      <w:tr w14:paraId="7F0B9294">
        <w:tblPrEx>
          <w:tblCellMar>
            <w:top w:w="0" w:type="dxa"/>
            <w:left w:w="108" w:type="dxa"/>
            <w:bottom w:w="0" w:type="dxa"/>
            <w:right w:w="108" w:type="dxa"/>
          </w:tblCellMar>
        </w:tblPrEx>
        <w:trPr>
          <w:trHeight w:val="76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0629C0C">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10</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77CF6388">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投标人须在广州交易集团有限公司（广州公共资源交易中心）企业库办理企业信息登记，拟担任本工程项目负责人须是本企业信息登记中的在册人员。项目负责人和安全员不为同一人。</w:t>
            </w:r>
          </w:p>
        </w:tc>
        <w:tc>
          <w:tcPr>
            <w:tcW w:w="850" w:type="dxa"/>
            <w:tcBorders>
              <w:top w:val="single" w:color="auto" w:sz="4" w:space="0"/>
              <w:left w:val="single" w:color="auto" w:sz="4" w:space="0"/>
              <w:bottom w:val="single" w:color="auto" w:sz="4" w:space="0"/>
              <w:right w:val="single" w:color="auto" w:sz="4" w:space="0"/>
            </w:tcBorders>
            <w:noWrap w:val="0"/>
            <w:vAlign w:val="top"/>
          </w:tcPr>
          <w:p w14:paraId="6DA79A6F">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7F30FFC">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02094C0">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6015E13">
            <w:pPr>
              <w:rPr>
                <w:rFonts w:ascii="宋体" w:hAnsi="宋体" w:eastAsia="宋体"/>
                <w:color w:val="auto"/>
                <w:szCs w:val="21"/>
                <w:highlight w:val="none"/>
              </w:rPr>
            </w:pPr>
          </w:p>
        </w:tc>
      </w:tr>
    </w:tbl>
    <w:p w14:paraId="518B0F6B">
      <w:pPr>
        <w:ind w:left="630" w:hanging="630" w:hangingChars="300"/>
        <w:rPr>
          <w:rFonts w:ascii="宋体" w:hAnsi="宋体" w:eastAsia="宋体"/>
          <w:color w:val="auto"/>
          <w:szCs w:val="21"/>
          <w:highlight w:val="none"/>
        </w:rPr>
      </w:pPr>
      <w:r>
        <w:rPr>
          <w:rFonts w:hint="eastAsia" w:ascii="宋体" w:hAnsi="宋体" w:eastAsia="宋体"/>
          <w:color w:val="auto"/>
          <w:szCs w:val="21"/>
          <w:highlight w:val="none"/>
        </w:rPr>
        <w:t>注：1.本表评审内容的信息取自</w:t>
      </w:r>
      <w:r>
        <w:rPr>
          <w:rFonts w:hint="eastAsia" w:ascii="宋体" w:hAnsi="宋体" w:eastAsia="宋体"/>
          <w:color w:val="auto"/>
          <w:szCs w:val="21"/>
          <w:highlight w:val="none"/>
          <w:lang w:eastAsia="zh-CN"/>
        </w:rPr>
        <w:t>投标人</w:t>
      </w:r>
      <w:r>
        <w:rPr>
          <w:rFonts w:hint="eastAsia" w:ascii="宋体" w:hAnsi="宋体" w:eastAsia="宋体"/>
          <w:color w:val="auto"/>
          <w:szCs w:val="21"/>
          <w:highlight w:val="none"/>
        </w:rPr>
        <w:t>在广州公共资源交易</w:t>
      </w:r>
      <w:r>
        <w:rPr>
          <w:rFonts w:hint="eastAsia" w:ascii="宋体" w:hAnsi="宋体" w:eastAsia="宋体"/>
          <w:color w:val="auto"/>
          <w:szCs w:val="21"/>
          <w:highlight w:val="none"/>
          <w:lang w:eastAsia="zh-CN"/>
        </w:rPr>
        <w:t>平台</w:t>
      </w:r>
      <w:r>
        <w:rPr>
          <w:rFonts w:hint="eastAsia" w:ascii="宋体" w:hAnsi="宋体" w:eastAsia="宋体"/>
          <w:color w:val="auto"/>
          <w:szCs w:val="21"/>
          <w:highlight w:val="none"/>
        </w:rPr>
        <w:t>企业库、园林绿化企业工程业绩库登记的信息，</w:t>
      </w:r>
      <w:r>
        <w:rPr>
          <w:rFonts w:hint="eastAsia" w:ascii="宋体" w:hAnsi="宋体" w:eastAsia="宋体"/>
          <w:color w:val="auto"/>
          <w:szCs w:val="21"/>
          <w:highlight w:val="none"/>
          <w:lang w:eastAsia="zh-CN"/>
        </w:rPr>
        <w:t>投标人</w:t>
      </w:r>
      <w:r>
        <w:rPr>
          <w:rFonts w:hint="eastAsia" w:ascii="宋体" w:hAnsi="宋体" w:eastAsia="宋体"/>
          <w:color w:val="auto"/>
          <w:szCs w:val="21"/>
          <w:highlight w:val="none"/>
        </w:rPr>
        <w:t>在广州公共资源交易</w:t>
      </w:r>
      <w:r>
        <w:rPr>
          <w:rFonts w:hint="eastAsia" w:ascii="宋体" w:hAnsi="宋体" w:eastAsia="宋体"/>
          <w:color w:val="auto"/>
          <w:szCs w:val="21"/>
          <w:highlight w:val="none"/>
          <w:lang w:eastAsia="zh-CN"/>
        </w:rPr>
        <w:t>平台</w:t>
      </w:r>
      <w:r>
        <w:rPr>
          <w:rFonts w:hint="eastAsia" w:ascii="宋体" w:hAnsi="宋体" w:eastAsia="宋体"/>
          <w:color w:val="auto"/>
          <w:szCs w:val="21"/>
          <w:highlight w:val="none"/>
        </w:rPr>
        <w:t>企业库、园林绿化企业工程业绩库登记的信息将视为其递交资格审查文件的一部分。评标委员会对该部分内容的审查，以开标当天中午12时在广州公共资源交易</w:t>
      </w:r>
      <w:r>
        <w:rPr>
          <w:rFonts w:hint="eastAsia" w:ascii="宋体" w:hAnsi="宋体" w:eastAsia="宋体"/>
          <w:color w:val="auto"/>
          <w:szCs w:val="21"/>
          <w:highlight w:val="none"/>
          <w:lang w:eastAsia="zh-CN"/>
        </w:rPr>
        <w:t>平台</w:t>
      </w:r>
      <w:r>
        <w:rPr>
          <w:rFonts w:hint="eastAsia" w:ascii="宋体" w:hAnsi="宋体" w:eastAsia="宋体"/>
          <w:color w:val="auto"/>
          <w:szCs w:val="21"/>
          <w:highlight w:val="none"/>
        </w:rPr>
        <w:t>企业库、园林绿化企业工程业绩库记录的信息为依据。</w:t>
      </w:r>
    </w:p>
    <w:p w14:paraId="601FAE1F">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2.使用GZYLZB202</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-1招标文件范本，与范本内容不同之处均以下划线标明。</w:t>
      </w:r>
    </w:p>
    <w:p w14:paraId="5D79C802">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3.凡不满足《资格审查表》中任何一项情形，结论均为无效，否则视为有效。</w:t>
      </w:r>
    </w:p>
    <w:p w14:paraId="2A6A15DC">
      <w:pPr>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4.如对本表中某种情形的评审意见不一致时，以评标委员会过半数成员的意见作为评标委员会对该情形的认定结论。</w:t>
      </w:r>
    </w:p>
    <w:p w14:paraId="5DE5D966">
      <w:pPr>
        <w:pStyle w:val="14"/>
        <w:tabs>
          <w:tab w:val="left" w:pos="7380"/>
        </w:tabs>
        <w:spacing w:after="0" w:line="360" w:lineRule="auto"/>
        <w:ind w:firstLine="0"/>
        <w:rPr>
          <w:rFonts w:hint="eastAsia" w:ascii="宋体" w:hAnsi="宋体" w:eastAsia="宋体"/>
          <w:b/>
          <w:color w:val="auto"/>
          <w:szCs w:val="21"/>
          <w:highlight w:val="none"/>
        </w:rPr>
      </w:pPr>
      <w:r>
        <w:rPr>
          <w:rFonts w:hint="eastAsia" w:ascii="宋体" w:hAnsi="宋体" w:eastAsia="宋体"/>
          <w:b/>
          <w:color w:val="auto"/>
          <w:szCs w:val="21"/>
          <w:highlight w:val="none"/>
        </w:rPr>
        <w:t xml:space="preserve">评委签名：  </w:t>
      </w:r>
      <w:r>
        <w:rPr>
          <w:rFonts w:hint="eastAsia" w:ascii="宋体" w:hAnsi="宋体" w:eastAsia="宋体"/>
          <w:color w:val="auto"/>
          <w:szCs w:val="21"/>
          <w:highlight w:val="none"/>
        </w:rPr>
        <w:t xml:space="preserve">                                                                                         </w:t>
      </w:r>
      <w:r>
        <w:rPr>
          <w:rFonts w:hint="eastAsia" w:ascii="宋体" w:hAnsi="宋体" w:eastAsia="宋体"/>
          <w:b/>
          <w:color w:val="auto"/>
          <w:szCs w:val="21"/>
          <w:highlight w:val="none"/>
        </w:rPr>
        <w:t>日期：</w:t>
      </w:r>
    </w:p>
    <w:p w14:paraId="39194732">
      <w:pPr>
        <w:spacing w:line="360" w:lineRule="auto"/>
        <w:outlineLvl w:val="2"/>
        <w:rPr>
          <w:rFonts w:hint="eastAsia" w:ascii="宋体" w:hAnsi="宋体" w:eastAsia="宋体"/>
          <w:bCs/>
          <w:color w:val="auto"/>
          <w:sz w:val="24"/>
          <w:szCs w:val="24"/>
          <w:highlight w:val="none"/>
        </w:rPr>
      </w:pPr>
      <w:bookmarkStart w:id="212" w:name="_Toc30697"/>
      <w:bookmarkStart w:id="213" w:name="_Toc20013"/>
    </w:p>
    <w:p w14:paraId="5A3104CA">
      <w:pPr>
        <w:spacing w:line="360" w:lineRule="auto"/>
        <w:outlineLvl w:val="2"/>
        <w:rPr>
          <w:rFonts w:ascii="宋体" w:hAnsi="宋体" w:eastAsia="宋体"/>
          <w:bCs/>
          <w:color w:val="auto"/>
          <w:sz w:val="24"/>
          <w:szCs w:val="24"/>
          <w:highlight w:val="none"/>
        </w:rPr>
      </w:pPr>
      <w:bookmarkStart w:id="214" w:name="_Toc7315"/>
      <w:r>
        <w:rPr>
          <w:rFonts w:hint="eastAsia" w:ascii="宋体" w:hAnsi="宋体" w:eastAsia="宋体"/>
          <w:bCs/>
          <w:color w:val="auto"/>
          <w:sz w:val="24"/>
          <w:szCs w:val="24"/>
          <w:highlight w:val="none"/>
        </w:rPr>
        <w:t>附件3</w:t>
      </w:r>
      <w:bookmarkEnd w:id="212"/>
      <w:bookmarkEnd w:id="213"/>
      <w:bookmarkEnd w:id="214"/>
    </w:p>
    <w:p w14:paraId="101EB192">
      <w:pPr>
        <w:spacing w:line="360" w:lineRule="auto"/>
        <w:jc w:val="center"/>
        <w:rPr>
          <w:rFonts w:hint="eastAsia" w:ascii="宋体" w:hAnsi="宋体" w:eastAsia="宋体"/>
          <w:b/>
          <w:color w:val="auto"/>
          <w:sz w:val="24"/>
          <w:highlight w:val="none"/>
        </w:rPr>
      </w:pPr>
      <w:r>
        <w:rPr>
          <w:rFonts w:hint="eastAsia" w:ascii="宋体" w:hAnsi="宋体" w:eastAsia="宋体" w:cs="宋体"/>
          <w:b/>
          <w:bCs/>
          <w:color w:val="auto"/>
          <w:kern w:val="0"/>
          <w:sz w:val="32"/>
          <w:szCs w:val="32"/>
          <w:highlight w:val="none"/>
        </w:rPr>
        <w:t>算术复核表</w:t>
      </w:r>
    </w:p>
    <w:p w14:paraId="5601112F">
      <w:pPr>
        <w:widowControl/>
        <w:jc w:val="left"/>
        <w:rPr>
          <w:rFonts w:hint="eastAsia" w:ascii="宋体" w:hAnsi="宋体" w:eastAsia="宋体" w:cs="宋体"/>
          <w:b/>
          <w:bCs/>
          <w:color w:val="auto"/>
          <w:kern w:val="0"/>
          <w:sz w:val="24"/>
          <w:szCs w:val="24"/>
          <w:highlight w:val="none"/>
        </w:rPr>
      </w:pPr>
    </w:p>
    <w:p w14:paraId="7B7C9D02">
      <w:pPr>
        <w:widowControl/>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工程名称：                                           投标人:                                               单位：元</w:t>
      </w:r>
    </w:p>
    <w:tbl>
      <w:tblPr>
        <w:tblStyle w:val="16"/>
        <w:tblW w:w="0" w:type="auto"/>
        <w:tblInd w:w="93" w:type="dxa"/>
        <w:tblLayout w:type="fixed"/>
        <w:tblCellMar>
          <w:top w:w="0" w:type="dxa"/>
          <w:left w:w="108" w:type="dxa"/>
          <w:bottom w:w="0" w:type="dxa"/>
          <w:right w:w="108" w:type="dxa"/>
        </w:tblCellMar>
      </w:tblPr>
      <w:tblGrid>
        <w:gridCol w:w="645"/>
        <w:gridCol w:w="4488"/>
        <w:gridCol w:w="1602"/>
        <w:gridCol w:w="1575"/>
        <w:gridCol w:w="1575"/>
        <w:gridCol w:w="1680"/>
        <w:gridCol w:w="3045"/>
      </w:tblGrid>
      <w:tr w14:paraId="480E9477">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40F77FC3">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编号</w:t>
            </w:r>
          </w:p>
        </w:tc>
        <w:tc>
          <w:tcPr>
            <w:tcW w:w="4488" w:type="dxa"/>
            <w:tcBorders>
              <w:top w:val="single" w:color="auto" w:sz="4" w:space="0"/>
              <w:left w:val="nil"/>
              <w:bottom w:val="single" w:color="auto" w:sz="4" w:space="0"/>
              <w:right w:val="single" w:color="auto" w:sz="4" w:space="0"/>
            </w:tcBorders>
            <w:noWrap w:val="0"/>
            <w:vAlign w:val="center"/>
          </w:tcPr>
          <w:p w14:paraId="44021B35">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算术复核项目</w:t>
            </w:r>
          </w:p>
        </w:tc>
        <w:tc>
          <w:tcPr>
            <w:tcW w:w="1602" w:type="dxa"/>
            <w:tcBorders>
              <w:top w:val="single" w:color="auto" w:sz="4" w:space="0"/>
              <w:left w:val="nil"/>
              <w:bottom w:val="single" w:color="auto" w:sz="4" w:space="0"/>
              <w:right w:val="single" w:color="auto" w:sz="4" w:space="0"/>
            </w:tcBorders>
            <w:noWrap w:val="0"/>
            <w:vAlign w:val="center"/>
          </w:tcPr>
          <w:p w14:paraId="67425190">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修正前投标</w:t>
            </w:r>
          </w:p>
          <w:p w14:paraId="03F12801">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报价A</w:t>
            </w:r>
          </w:p>
        </w:tc>
        <w:tc>
          <w:tcPr>
            <w:tcW w:w="1575" w:type="dxa"/>
            <w:tcBorders>
              <w:top w:val="single" w:color="auto" w:sz="4" w:space="0"/>
              <w:left w:val="nil"/>
              <w:bottom w:val="single" w:color="auto" w:sz="4" w:space="0"/>
              <w:right w:val="single" w:color="auto" w:sz="4" w:space="0"/>
            </w:tcBorders>
            <w:noWrap w:val="0"/>
            <w:vAlign w:val="center"/>
          </w:tcPr>
          <w:p w14:paraId="5FA1B0FE">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修正后投标</w:t>
            </w:r>
          </w:p>
          <w:p w14:paraId="78AEB601">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报价B</w:t>
            </w:r>
          </w:p>
        </w:tc>
        <w:tc>
          <w:tcPr>
            <w:tcW w:w="1575" w:type="dxa"/>
            <w:tcBorders>
              <w:top w:val="single" w:color="auto" w:sz="4" w:space="0"/>
              <w:left w:val="nil"/>
              <w:bottom w:val="single" w:color="auto" w:sz="4" w:space="0"/>
              <w:right w:val="single" w:color="auto" w:sz="4" w:space="0"/>
            </w:tcBorders>
            <w:noWrap w:val="0"/>
            <w:vAlign w:val="center"/>
          </w:tcPr>
          <w:p w14:paraId="14212BB3">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修正率</w:t>
            </w:r>
          </w:p>
          <w:p w14:paraId="5158996E">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r=|A-B|/A*100%</w:t>
            </w:r>
          </w:p>
        </w:tc>
        <w:tc>
          <w:tcPr>
            <w:tcW w:w="1680" w:type="dxa"/>
            <w:tcBorders>
              <w:top w:val="single" w:color="auto" w:sz="4" w:space="0"/>
              <w:left w:val="nil"/>
              <w:bottom w:val="single" w:color="auto" w:sz="4" w:space="0"/>
              <w:right w:val="single" w:color="auto" w:sz="4" w:space="0"/>
            </w:tcBorders>
            <w:noWrap w:val="0"/>
            <w:vAlign w:val="center"/>
          </w:tcPr>
          <w:p w14:paraId="51FD44F1">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经评审的最终投标报价</w:t>
            </w:r>
          </w:p>
        </w:tc>
        <w:tc>
          <w:tcPr>
            <w:tcW w:w="3045" w:type="dxa"/>
            <w:tcBorders>
              <w:top w:val="single" w:color="auto" w:sz="4" w:space="0"/>
              <w:left w:val="nil"/>
              <w:bottom w:val="single" w:color="auto" w:sz="4" w:space="0"/>
              <w:right w:val="single" w:color="auto" w:sz="4" w:space="0"/>
            </w:tcBorders>
            <w:noWrap w:val="0"/>
            <w:vAlign w:val="center"/>
          </w:tcPr>
          <w:p w14:paraId="71DCCA23">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当B&gt;A时，修正后报价与原报价的差额；当B≤A,R=0</w:t>
            </w:r>
          </w:p>
        </w:tc>
      </w:tr>
      <w:tr w14:paraId="6C55B14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3CE68F80">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w:t>
            </w:r>
          </w:p>
        </w:tc>
        <w:tc>
          <w:tcPr>
            <w:tcW w:w="4488" w:type="dxa"/>
            <w:tcBorders>
              <w:top w:val="nil"/>
              <w:left w:val="nil"/>
              <w:bottom w:val="single" w:color="auto" w:sz="4" w:space="0"/>
              <w:right w:val="single" w:color="auto" w:sz="4" w:space="0"/>
            </w:tcBorders>
            <w:noWrap w:val="0"/>
            <w:vAlign w:val="center"/>
          </w:tcPr>
          <w:p w14:paraId="3637240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[单位工程1]</w:t>
            </w:r>
          </w:p>
        </w:tc>
        <w:tc>
          <w:tcPr>
            <w:tcW w:w="1602" w:type="dxa"/>
            <w:tcBorders>
              <w:top w:val="nil"/>
              <w:left w:val="nil"/>
              <w:bottom w:val="single" w:color="auto" w:sz="4" w:space="0"/>
              <w:right w:val="single" w:color="auto" w:sz="4" w:space="0"/>
            </w:tcBorders>
            <w:noWrap w:val="0"/>
            <w:vAlign w:val="center"/>
          </w:tcPr>
          <w:p w14:paraId="65C4623F">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1D111D91">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4B7F3E20">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05919B07">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4FD1EC3F">
            <w:pPr>
              <w:widowControl/>
              <w:jc w:val="left"/>
              <w:rPr>
                <w:rFonts w:ascii="宋体" w:hAnsi="宋体" w:eastAsia="宋体" w:cs="宋体"/>
                <w:color w:val="auto"/>
                <w:kern w:val="0"/>
                <w:sz w:val="24"/>
                <w:szCs w:val="24"/>
                <w:highlight w:val="none"/>
              </w:rPr>
            </w:pPr>
          </w:p>
        </w:tc>
      </w:tr>
      <w:tr w14:paraId="07B4C80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5B3BEB97">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p>
        </w:tc>
        <w:tc>
          <w:tcPr>
            <w:tcW w:w="4488" w:type="dxa"/>
            <w:tcBorders>
              <w:top w:val="nil"/>
              <w:left w:val="nil"/>
              <w:bottom w:val="single" w:color="auto" w:sz="4" w:space="0"/>
              <w:right w:val="single" w:color="auto" w:sz="4" w:space="0"/>
            </w:tcBorders>
            <w:noWrap w:val="0"/>
            <w:vAlign w:val="center"/>
          </w:tcPr>
          <w:p w14:paraId="151293B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[单位工程2]</w:t>
            </w:r>
          </w:p>
        </w:tc>
        <w:tc>
          <w:tcPr>
            <w:tcW w:w="1602" w:type="dxa"/>
            <w:tcBorders>
              <w:top w:val="nil"/>
              <w:left w:val="nil"/>
              <w:bottom w:val="single" w:color="auto" w:sz="4" w:space="0"/>
              <w:right w:val="single" w:color="auto" w:sz="4" w:space="0"/>
            </w:tcBorders>
            <w:noWrap w:val="0"/>
            <w:vAlign w:val="center"/>
          </w:tcPr>
          <w:p w14:paraId="04EACF5E">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3A8B4BAB">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2AA5B035">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05014467">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70D34CED">
            <w:pPr>
              <w:jc w:val="left"/>
              <w:rPr>
                <w:rFonts w:ascii="宋体" w:hAnsi="宋体" w:eastAsia="宋体" w:cs="宋体"/>
                <w:color w:val="auto"/>
                <w:kern w:val="0"/>
                <w:sz w:val="24"/>
                <w:szCs w:val="24"/>
                <w:highlight w:val="none"/>
              </w:rPr>
            </w:pPr>
          </w:p>
        </w:tc>
      </w:tr>
      <w:tr w14:paraId="3EA2473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39C9AE46">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463E809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0723BABD">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3A9E143C">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7CCBE41D">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32B0909D">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155C9235">
            <w:pPr>
              <w:jc w:val="left"/>
              <w:rPr>
                <w:rFonts w:ascii="宋体" w:hAnsi="宋体" w:eastAsia="宋体" w:cs="宋体"/>
                <w:color w:val="auto"/>
                <w:kern w:val="0"/>
                <w:sz w:val="24"/>
                <w:szCs w:val="24"/>
                <w:highlight w:val="none"/>
              </w:rPr>
            </w:pPr>
          </w:p>
        </w:tc>
      </w:tr>
      <w:tr w14:paraId="02775B3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0CD148C3">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28ED7BE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6FB5904D">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15BCD026">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5F378890">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669A82DB">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1DD69B6E">
            <w:pPr>
              <w:jc w:val="left"/>
              <w:rPr>
                <w:rFonts w:ascii="宋体" w:hAnsi="宋体" w:eastAsia="宋体" w:cs="宋体"/>
                <w:color w:val="auto"/>
                <w:kern w:val="0"/>
                <w:sz w:val="24"/>
                <w:szCs w:val="24"/>
                <w:highlight w:val="none"/>
              </w:rPr>
            </w:pPr>
          </w:p>
        </w:tc>
      </w:tr>
      <w:tr w14:paraId="7863E4C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30C9DA03">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18CDABD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1BD01667">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1BB15476">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6284DF8E">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4D17B85B">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22F56AE5">
            <w:pPr>
              <w:jc w:val="left"/>
              <w:rPr>
                <w:rFonts w:ascii="宋体" w:hAnsi="宋体" w:eastAsia="宋体" w:cs="宋体"/>
                <w:color w:val="auto"/>
                <w:kern w:val="0"/>
                <w:sz w:val="24"/>
                <w:szCs w:val="24"/>
                <w:highlight w:val="none"/>
              </w:rPr>
            </w:pPr>
          </w:p>
        </w:tc>
      </w:tr>
      <w:tr w14:paraId="373CB45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4DC9D724">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1B64210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7251FDF1">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3971D9EA">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1AA5C1AF">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5E1D0D4C">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4F9DB2E5">
            <w:pPr>
              <w:jc w:val="left"/>
              <w:rPr>
                <w:rFonts w:ascii="宋体" w:hAnsi="宋体" w:eastAsia="宋体" w:cs="宋体"/>
                <w:color w:val="auto"/>
                <w:kern w:val="0"/>
                <w:sz w:val="24"/>
                <w:szCs w:val="24"/>
                <w:highlight w:val="none"/>
              </w:rPr>
            </w:pPr>
          </w:p>
        </w:tc>
      </w:tr>
      <w:tr w14:paraId="543FEA3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18897B36">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n</w:t>
            </w:r>
          </w:p>
        </w:tc>
        <w:tc>
          <w:tcPr>
            <w:tcW w:w="4488" w:type="dxa"/>
            <w:tcBorders>
              <w:top w:val="nil"/>
              <w:left w:val="nil"/>
              <w:bottom w:val="single" w:color="auto" w:sz="4" w:space="0"/>
              <w:right w:val="single" w:color="auto" w:sz="4" w:space="0"/>
            </w:tcBorders>
            <w:noWrap w:val="0"/>
            <w:vAlign w:val="center"/>
          </w:tcPr>
          <w:p w14:paraId="090407B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[单位工程n]</w:t>
            </w:r>
          </w:p>
        </w:tc>
        <w:tc>
          <w:tcPr>
            <w:tcW w:w="1602" w:type="dxa"/>
            <w:tcBorders>
              <w:top w:val="nil"/>
              <w:left w:val="nil"/>
              <w:bottom w:val="single" w:color="auto" w:sz="4" w:space="0"/>
              <w:right w:val="single" w:color="auto" w:sz="4" w:space="0"/>
            </w:tcBorders>
            <w:noWrap w:val="0"/>
            <w:vAlign w:val="center"/>
          </w:tcPr>
          <w:p w14:paraId="3BA4DF6C">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1F3E1FE4">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7492285B">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239DFF67">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7E0C31F8">
            <w:pPr>
              <w:widowControl/>
              <w:jc w:val="left"/>
              <w:rPr>
                <w:rFonts w:ascii="宋体" w:hAnsi="宋体" w:eastAsia="宋体" w:cs="宋体"/>
                <w:color w:val="auto"/>
                <w:kern w:val="0"/>
                <w:sz w:val="24"/>
                <w:szCs w:val="24"/>
                <w:highlight w:val="none"/>
              </w:rPr>
            </w:pPr>
          </w:p>
        </w:tc>
      </w:tr>
      <w:tr w14:paraId="0FB18B8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11A05078">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3ED57359">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投标报价</w:t>
            </w:r>
          </w:p>
        </w:tc>
        <w:tc>
          <w:tcPr>
            <w:tcW w:w="1602" w:type="dxa"/>
            <w:tcBorders>
              <w:top w:val="nil"/>
              <w:left w:val="nil"/>
              <w:bottom w:val="single" w:color="auto" w:sz="4" w:space="0"/>
              <w:right w:val="single" w:color="auto" w:sz="4" w:space="0"/>
            </w:tcBorders>
            <w:noWrap w:val="0"/>
            <w:vAlign w:val="center"/>
          </w:tcPr>
          <w:p w14:paraId="225A7B9D">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1A885912">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r2bl w:val="single" w:color="auto" w:sz="4" w:space="0"/>
            </w:tcBorders>
            <w:noWrap w:val="0"/>
            <w:vAlign w:val="center"/>
          </w:tcPr>
          <w:p w14:paraId="3C896EB0">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4F5496DC">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6F142933">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∑A=A</w:t>
            </w:r>
            <w:r>
              <w:rPr>
                <w:rFonts w:hint="eastAsia" w:ascii="宋体" w:hAnsi="宋体" w:eastAsia="宋体" w:cs="宋体"/>
                <w:color w:val="auto"/>
                <w:kern w:val="0"/>
                <w:sz w:val="24"/>
                <w:szCs w:val="24"/>
                <w:highlight w:val="none"/>
                <w:vertAlign w:val="subscript"/>
              </w:rPr>
              <w:t>1</w:t>
            </w:r>
            <w:r>
              <w:rPr>
                <w:rFonts w:hint="eastAsia" w:ascii="宋体" w:hAnsi="宋体" w:eastAsia="宋体" w:cs="宋体"/>
                <w:color w:val="auto"/>
                <w:kern w:val="0"/>
                <w:sz w:val="24"/>
                <w:szCs w:val="24"/>
                <w:highlight w:val="none"/>
              </w:rPr>
              <w:t>+A</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+…An；∑B=B</w:t>
            </w:r>
            <w:r>
              <w:rPr>
                <w:rFonts w:hint="eastAsia" w:ascii="宋体" w:hAnsi="宋体" w:eastAsia="宋体" w:cs="宋体"/>
                <w:color w:val="auto"/>
                <w:kern w:val="0"/>
                <w:sz w:val="24"/>
                <w:szCs w:val="24"/>
                <w:highlight w:val="none"/>
                <w:vertAlign w:val="subscript"/>
              </w:rPr>
              <w:t>1</w:t>
            </w:r>
            <w:r>
              <w:rPr>
                <w:rFonts w:hint="eastAsia" w:ascii="宋体" w:hAnsi="宋体" w:eastAsia="宋体" w:cs="宋体"/>
                <w:color w:val="auto"/>
                <w:kern w:val="0"/>
                <w:sz w:val="24"/>
                <w:szCs w:val="24"/>
                <w:highlight w:val="none"/>
              </w:rPr>
              <w:t>+B</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+…Bn</w:t>
            </w:r>
          </w:p>
        </w:tc>
      </w:tr>
    </w:tbl>
    <w:p w14:paraId="4D71730E">
      <w:pPr>
        <w:widowControl/>
        <w:tabs>
          <w:tab w:val="left" w:pos="5226"/>
          <w:tab w:val="left" w:pos="6828"/>
          <w:tab w:val="left" w:pos="8403"/>
          <w:tab w:val="left" w:pos="9978"/>
        </w:tabs>
        <w:ind w:left="1142" w:leftChars="44" w:hanging="1050" w:hangingChars="500"/>
        <w:jc w:val="left"/>
        <w:rPr>
          <w:rFonts w:hint="eastAsia" w:ascii="宋体" w:hAnsi="宋体" w:eastAsia="宋体"/>
          <w:color w:val="auto"/>
          <w:szCs w:val="21"/>
          <w:highlight w:val="none"/>
        </w:rPr>
      </w:pPr>
      <w:r>
        <w:rPr>
          <w:rFonts w:hint="eastAsia" w:ascii="宋体" w:hAnsi="宋体" w:eastAsia="宋体" w:cs="宋体"/>
          <w:color w:val="auto"/>
          <w:kern w:val="0"/>
          <w:szCs w:val="21"/>
          <w:highlight w:val="none"/>
        </w:rPr>
        <w:t>修正原则：</w:t>
      </w:r>
      <w:r>
        <w:rPr>
          <w:rFonts w:hint="eastAsia" w:ascii="宋体" w:hAnsi="宋体" w:eastAsia="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p>
    <w:p w14:paraId="59AF17B3">
      <w:pPr>
        <w:widowControl/>
        <w:tabs>
          <w:tab w:val="left" w:pos="5226"/>
          <w:tab w:val="left" w:pos="6828"/>
          <w:tab w:val="left" w:pos="8403"/>
          <w:tab w:val="left" w:pos="9978"/>
        </w:tabs>
        <w:ind w:left="1142" w:leftChars="44" w:hanging="1050" w:hangingChars="500"/>
        <w:jc w:val="left"/>
        <w:rPr>
          <w:rFonts w:hint="eastAsia" w:ascii="宋体" w:hAnsi="宋体" w:eastAsia="宋体"/>
          <w:color w:val="auto"/>
          <w:szCs w:val="21"/>
          <w:highlight w:val="none"/>
        </w:rPr>
      </w:pPr>
    </w:p>
    <w:p w14:paraId="01769126">
      <w:pPr>
        <w:widowControl/>
        <w:tabs>
          <w:tab w:val="left" w:pos="5226"/>
          <w:tab w:val="left" w:pos="6828"/>
          <w:tab w:val="left" w:pos="11040"/>
        </w:tabs>
        <w:ind w:left="1297" w:leftChars="44" w:hanging="1205" w:hangingChars="500"/>
        <w:jc w:val="left"/>
        <w:rPr>
          <w:rFonts w:hint="eastAsia" w:ascii="宋体" w:hAnsi="宋体" w:eastAsia="宋体"/>
          <w:color w:val="auto"/>
          <w:sz w:val="24"/>
          <w:szCs w:val="24"/>
          <w:highlight w:val="none"/>
        </w:rPr>
      </w:pPr>
      <w:r>
        <w:rPr>
          <w:rFonts w:hint="eastAsia" w:ascii="宋体" w:hAnsi="宋体" w:eastAsia="宋体" w:cs="宋体"/>
          <w:b/>
          <w:bCs/>
          <w:color w:val="auto"/>
          <w:kern w:val="0"/>
          <w:sz w:val="24"/>
          <w:szCs w:val="24"/>
          <w:highlight w:val="none"/>
        </w:rPr>
        <w:t>评委签名</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 w:val="24"/>
          <w:szCs w:val="24"/>
          <w:highlight w:val="none"/>
        </w:rPr>
        <w:t>日期：</w:t>
      </w:r>
    </w:p>
    <w:p w14:paraId="46709D4B">
      <w:pPr>
        <w:widowControl/>
        <w:jc w:val="left"/>
        <w:rPr>
          <w:rFonts w:ascii="宋体" w:hAnsi="宋体" w:eastAsia="宋体"/>
          <w:color w:val="auto"/>
          <w:sz w:val="24"/>
          <w:szCs w:val="24"/>
          <w:highlight w:val="none"/>
        </w:rPr>
        <w:sectPr>
          <w:headerReference r:id="rId7" w:type="default"/>
          <w:endnotePr>
            <w:numFmt w:val="decimal"/>
          </w:endnotePr>
          <w:pgSz w:w="16783" w:h="11850" w:orient="landscape"/>
          <w:pgMar w:top="851" w:right="1134" w:bottom="567" w:left="1134" w:header="0" w:footer="0" w:gutter="567"/>
          <w:pgNumType w:fmt="decimal"/>
          <w:cols w:space="720" w:num="1"/>
        </w:sectPr>
      </w:pPr>
    </w:p>
    <w:p w14:paraId="68A7A720">
      <w:pPr>
        <w:ind w:firstLine="117" w:firstLineChars="49"/>
        <w:rPr>
          <w:rFonts w:hint="eastAsia" w:ascii="宋体" w:hAnsi="宋体" w:eastAsia="宋体"/>
          <w:color w:val="auto"/>
          <w:sz w:val="24"/>
          <w:szCs w:val="24"/>
          <w:highlight w:val="none"/>
        </w:rPr>
      </w:pPr>
    </w:p>
    <w:p w14:paraId="76B57ABC">
      <w:pPr>
        <w:ind w:firstLine="117" w:firstLineChars="49"/>
        <w:outlineLvl w:val="2"/>
        <w:rPr>
          <w:rFonts w:ascii="宋体" w:hAnsi="宋体" w:eastAsia="宋体"/>
          <w:color w:val="auto"/>
          <w:sz w:val="24"/>
          <w:szCs w:val="24"/>
          <w:highlight w:val="none"/>
        </w:rPr>
      </w:pPr>
      <w:bookmarkStart w:id="215" w:name="_Toc27331"/>
      <w:bookmarkStart w:id="216" w:name="_Toc1106"/>
      <w:bookmarkStart w:id="217" w:name="_Toc2138"/>
      <w:r>
        <w:rPr>
          <w:rFonts w:hint="eastAsia" w:ascii="宋体" w:hAnsi="宋体" w:eastAsia="宋体"/>
          <w:color w:val="auto"/>
          <w:sz w:val="24"/>
          <w:szCs w:val="24"/>
          <w:highlight w:val="none"/>
        </w:rPr>
        <w:t>附件4</w:t>
      </w:r>
      <w:bookmarkEnd w:id="215"/>
      <w:bookmarkEnd w:id="216"/>
      <w:bookmarkEnd w:id="217"/>
    </w:p>
    <w:p w14:paraId="6034B7A9">
      <w:pPr>
        <w:ind w:firstLine="117" w:firstLineChars="49"/>
        <w:rPr>
          <w:rFonts w:hint="eastAsia" w:ascii="宋体" w:hAnsi="宋体" w:eastAsia="宋体"/>
          <w:color w:val="auto"/>
          <w:sz w:val="24"/>
          <w:szCs w:val="24"/>
          <w:highlight w:val="none"/>
        </w:rPr>
      </w:pPr>
    </w:p>
    <w:p w14:paraId="7BB13BC6">
      <w:pPr>
        <w:spacing w:line="360" w:lineRule="auto"/>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算术复核汇总表</w:t>
      </w:r>
    </w:p>
    <w:p w14:paraId="30506CCB">
      <w:pPr>
        <w:ind w:firstLine="360" w:firstLineChars="150"/>
        <w:rPr>
          <w:rFonts w:hint="eastAsia" w:ascii="宋体" w:hAnsi="宋体" w:eastAsia="宋体"/>
          <w:color w:val="auto"/>
          <w:szCs w:val="21"/>
          <w:highlight w:val="none"/>
        </w:rPr>
      </w:pPr>
      <w:r>
        <w:rPr>
          <w:rFonts w:hint="eastAsia" w:ascii="宋体" w:hAnsi="宋体" w:eastAsia="宋体" w:cs="宋体"/>
          <w:bCs/>
          <w:color w:val="auto"/>
          <w:kern w:val="0"/>
          <w:sz w:val="24"/>
          <w:szCs w:val="24"/>
          <w:highlight w:val="none"/>
        </w:rPr>
        <w:t>工程名称：</w:t>
      </w:r>
    </w:p>
    <w:tbl>
      <w:tblPr>
        <w:tblStyle w:val="16"/>
        <w:tblW w:w="0" w:type="auto"/>
        <w:tblInd w:w="288" w:type="dxa"/>
        <w:tblLayout w:type="fixed"/>
        <w:tblCellMar>
          <w:top w:w="0" w:type="dxa"/>
          <w:left w:w="108" w:type="dxa"/>
          <w:bottom w:w="0" w:type="dxa"/>
          <w:right w:w="108" w:type="dxa"/>
        </w:tblCellMar>
      </w:tblPr>
      <w:tblGrid>
        <w:gridCol w:w="888"/>
        <w:gridCol w:w="4440"/>
        <w:gridCol w:w="3060"/>
        <w:gridCol w:w="3240"/>
        <w:gridCol w:w="2754"/>
      </w:tblGrid>
      <w:tr w14:paraId="0BD803EA">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03F71AAB">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编号</w:t>
            </w:r>
          </w:p>
        </w:tc>
        <w:tc>
          <w:tcPr>
            <w:tcW w:w="4440" w:type="dxa"/>
            <w:tcBorders>
              <w:top w:val="single" w:color="auto" w:sz="4" w:space="0"/>
              <w:left w:val="single" w:color="auto" w:sz="4" w:space="0"/>
              <w:bottom w:val="single" w:color="auto" w:sz="4" w:space="0"/>
              <w:right w:val="single" w:color="auto" w:sz="4" w:space="0"/>
            </w:tcBorders>
            <w:noWrap w:val="0"/>
            <w:vAlign w:val="center"/>
          </w:tcPr>
          <w:p w14:paraId="1E01348C">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投标人名称</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B4CC6F0">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原投标报价（A）</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1D02050A">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算术复核后投标报价（B）</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6FCE7D49">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误差率（r=|A-B|/A*100%）</w:t>
            </w:r>
          </w:p>
        </w:tc>
      </w:tr>
      <w:tr w14:paraId="242DD008">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09C580D7">
            <w:pPr>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75BD766B">
            <w:pPr>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2CCFC001">
            <w:pPr>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764F6C85">
            <w:pPr>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502C1826">
            <w:pPr>
              <w:rPr>
                <w:rFonts w:ascii="宋体" w:hAnsi="宋体" w:eastAsia="宋体"/>
                <w:b/>
                <w:color w:val="auto"/>
                <w:sz w:val="24"/>
                <w:szCs w:val="24"/>
                <w:highlight w:val="none"/>
              </w:rPr>
            </w:pPr>
          </w:p>
        </w:tc>
      </w:tr>
      <w:tr w14:paraId="69F74250">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6FE0A865">
            <w:pPr>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674A5AF1">
            <w:pPr>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171C7BC8">
            <w:pPr>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34045D4C">
            <w:pPr>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2BA057EB">
            <w:pPr>
              <w:rPr>
                <w:rFonts w:ascii="宋体" w:hAnsi="宋体" w:eastAsia="宋体"/>
                <w:b/>
                <w:color w:val="auto"/>
                <w:sz w:val="24"/>
                <w:szCs w:val="24"/>
                <w:highlight w:val="none"/>
              </w:rPr>
            </w:pPr>
          </w:p>
        </w:tc>
      </w:tr>
      <w:tr w14:paraId="50704AD7">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25C2C4E3">
            <w:pPr>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13CD49D9">
            <w:pPr>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1A3D0CB">
            <w:pPr>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5223781C">
            <w:pPr>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6DDE5B92">
            <w:pPr>
              <w:rPr>
                <w:rFonts w:ascii="宋体" w:hAnsi="宋体" w:eastAsia="宋体"/>
                <w:b/>
                <w:color w:val="auto"/>
                <w:sz w:val="24"/>
                <w:szCs w:val="24"/>
                <w:highlight w:val="none"/>
              </w:rPr>
            </w:pPr>
          </w:p>
        </w:tc>
      </w:tr>
      <w:tr w14:paraId="59323137">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7C3DD661">
            <w:pPr>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32032E4A">
            <w:pPr>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5815B5F">
            <w:pPr>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0516FD7E">
            <w:pPr>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33A0EEA3">
            <w:pPr>
              <w:rPr>
                <w:rFonts w:ascii="宋体" w:hAnsi="宋体" w:eastAsia="宋体"/>
                <w:b/>
                <w:color w:val="auto"/>
                <w:sz w:val="24"/>
                <w:szCs w:val="24"/>
                <w:highlight w:val="none"/>
              </w:rPr>
            </w:pPr>
          </w:p>
        </w:tc>
      </w:tr>
      <w:tr w14:paraId="15751F97">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483FFCA3">
            <w:pPr>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38FC0C98">
            <w:pPr>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8EB84EF">
            <w:pPr>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35741D53">
            <w:pPr>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36E53193">
            <w:pPr>
              <w:rPr>
                <w:rFonts w:ascii="宋体" w:hAnsi="宋体" w:eastAsia="宋体"/>
                <w:b/>
                <w:color w:val="auto"/>
                <w:sz w:val="24"/>
                <w:szCs w:val="24"/>
                <w:highlight w:val="none"/>
              </w:rPr>
            </w:pPr>
          </w:p>
        </w:tc>
      </w:tr>
      <w:tr w14:paraId="16986C59">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6AC725EA">
            <w:pPr>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7809A243">
            <w:pPr>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FDBEA7C">
            <w:pPr>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2D4356FB">
            <w:pPr>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2D20327F">
            <w:pPr>
              <w:rPr>
                <w:rFonts w:ascii="宋体" w:hAnsi="宋体" w:eastAsia="宋体"/>
                <w:b/>
                <w:color w:val="auto"/>
                <w:sz w:val="24"/>
                <w:szCs w:val="24"/>
                <w:highlight w:val="none"/>
              </w:rPr>
            </w:pPr>
          </w:p>
        </w:tc>
      </w:tr>
      <w:tr w14:paraId="06ABA15B">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770A4F99">
            <w:pPr>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0804CEC4">
            <w:pPr>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A46BAAC">
            <w:pPr>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09C6761E">
            <w:pPr>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39BE63B0">
            <w:pPr>
              <w:rPr>
                <w:rFonts w:ascii="宋体" w:hAnsi="宋体" w:eastAsia="宋体"/>
                <w:b/>
                <w:color w:val="auto"/>
                <w:sz w:val="24"/>
                <w:szCs w:val="24"/>
                <w:highlight w:val="none"/>
              </w:rPr>
            </w:pPr>
          </w:p>
        </w:tc>
      </w:tr>
      <w:tr w14:paraId="1C9D3555">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75511EFD">
            <w:pPr>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4DD0A0C6">
            <w:pPr>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5EC01CC">
            <w:pPr>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222ECFB0">
            <w:pPr>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6A45512C">
            <w:pPr>
              <w:rPr>
                <w:rFonts w:ascii="宋体" w:hAnsi="宋体" w:eastAsia="宋体"/>
                <w:b/>
                <w:color w:val="auto"/>
                <w:sz w:val="24"/>
                <w:szCs w:val="24"/>
                <w:highlight w:val="none"/>
              </w:rPr>
            </w:pPr>
          </w:p>
        </w:tc>
      </w:tr>
    </w:tbl>
    <w:p w14:paraId="741196A6">
      <w:pPr>
        <w:rPr>
          <w:rFonts w:hint="eastAsia" w:ascii="宋体" w:hAnsi="宋体" w:eastAsia="宋体"/>
          <w:b/>
          <w:color w:val="auto"/>
          <w:sz w:val="24"/>
          <w:szCs w:val="24"/>
          <w:highlight w:val="none"/>
        </w:rPr>
      </w:pPr>
    </w:p>
    <w:p w14:paraId="5B99B605">
      <w:pPr>
        <w:ind w:firstLine="361" w:firstLineChars="150"/>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评委签名</w:t>
      </w:r>
      <w:r>
        <w:rPr>
          <w:rFonts w:hint="eastAsia" w:ascii="宋体" w:hAnsi="宋体" w:eastAsia="宋体"/>
          <w:color w:val="auto"/>
          <w:sz w:val="24"/>
          <w:szCs w:val="24"/>
          <w:highlight w:val="none"/>
        </w:rPr>
        <w:t>：                                                                                         日期：</w:t>
      </w:r>
    </w:p>
    <w:p w14:paraId="30D7AED0">
      <w:pPr>
        <w:tabs>
          <w:tab w:val="left" w:pos="7987"/>
        </w:tabs>
        <w:bidi w:val="0"/>
        <w:jc w:val="left"/>
        <w:rPr>
          <w:rFonts w:hint="eastAsia" w:eastAsia="楷体_GB2312"/>
          <w:color w:val="auto"/>
          <w:highlight w:val="none"/>
          <w:lang w:eastAsia="zh-CN"/>
        </w:rPr>
        <w:sectPr>
          <w:endnotePr>
            <w:numFmt w:val="decimal"/>
          </w:endnotePr>
          <w:pgSz w:w="16783" w:h="11850" w:orient="landscape"/>
          <w:pgMar w:top="851" w:right="1247" w:bottom="567" w:left="1134" w:header="851" w:footer="567" w:gutter="0"/>
          <w:pgNumType w:fmt="decimal"/>
          <w:cols w:space="720" w:num="1"/>
          <w:titlePg/>
          <w:docGrid w:type="lines" w:linePitch="312" w:charSpace="0"/>
        </w:sectPr>
      </w:pPr>
    </w:p>
    <w:p w14:paraId="47A4182E">
      <w:pPr>
        <w:spacing w:line="360" w:lineRule="auto"/>
        <w:rPr>
          <w:rFonts w:hint="eastAsia" w:ascii="宋体" w:hAnsi="宋体" w:eastAsia="宋体"/>
          <w:b/>
          <w:color w:val="auto"/>
          <w:sz w:val="24"/>
          <w:szCs w:val="24"/>
          <w:highlight w:val="none"/>
        </w:rPr>
      </w:pPr>
    </w:p>
    <w:p w14:paraId="65BE5FFA">
      <w:pPr>
        <w:jc w:val="left"/>
        <w:outlineLvl w:val="2"/>
        <w:rPr>
          <w:rFonts w:hint="eastAsia" w:ascii="宋体" w:hAnsi="宋体" w:eastAsia="宋体"/>
          <w:b/>
          <w:color w:val="auto"/>
          <w:sz w:val="28"/>
          <w:szCs w:val="28"/>
          <w:highlight w:val="none"/>
        </w:rPr>
      </w:pPr>
      <w:r>
        <w:rPr>
          <w:rFonts w:ascii="宋体" w:hAnsi="宋体" w:eastAsia="宋体"/>
          <w:b/>
          <w:color w:val="auto"/>
          <w:sz w:val="24"/>
          <w:szCs w:val="24"/>
          <w:highlight w:val="none"/>
        </w:rPr>
        <w:br w:type="page"/>
      </w:r>
      <w:bookmarkStart w:id="218" w:name="_Toc27359"/>
      <w:bookmarkStart w:id="219" w:name="_Toc28978"/>
      <w:bookmarkStart w:id="220" w:name="_Toc11569"/>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 xml:space="preserve">                                         </w:t>
      </w:r>
      <w:r>
        <w:rPr>
          <w:rFonts w:hint="eastAsia" w:ascii="宋体" w:hAnsi="宋体" w:eastAsia="宋体"/>
          <w:b/>
          <w:color w:val="auto"/>
          <w:sz w:val="28"/>
          <w:szCs w:val="28"/>
          <w:highlight w:val="none"/>
        </w:rPr>
        <w:t>投标文件否决性条款审查表</w:t>
      </w:r>
      <w:bookmarkEnd w:id="218"/>
      <w:bookmarkEnd w:id="219"/>
      <w:bookmarkEnd w:id="220"/>
    </w:p>
    <w:p w14:paraId="525D4A95">
      <w:pPr>
        <w:rPr>
          <w:rFonts w:hint="eastAsia" w:ascii="宋体" w:hAnsi="宋体" w:eastAsia="宋体"/>
          <w:b/>
          <w:color w:val="auto"/>
          <w:szCs w:val="21"/>
          <w:highlight w:val="none"/>
        </w:rPr>
      </w:pPr>
      <w:r>
        <w:rPr>
          <w:rFonts w:hint="eastAsia" w:ascii="宋体" w:hAnsi="宋体" w:eastAsia="宋体"/>
          <w:b/>
          <w:color w:val="auto"/>
          <w:szCs w:val="21"/>
          <w:highlight w:val="none"/>
        </w:rPr>
        <w:t>工程名称：</w:t>
      </w:r>
    </w:p>
    <w:tbl>
      <w:tblPr>
        <w:tblStyle w:val="16"/>
        <w:tblW w:w="0" w:type="auto"/>
        <w:tblInd w:w="3" w:type="dxa"/>
        <w:tblLayout w:type="fixed"/>
        <w:tblCellMar>
          <w:top w:w="0" w:type="dxa"/>
          <w:left w:w="108" w:type="dxa"/>
          <w:bottom w:w="0" w:type="dxa"/>
          <w:right w:w="108" w:type="dxa"/>
        </w:tblCellMar>
      </w:tblPr>
      <w:tblGrid>
        <w:gridCol w:w="471"/>
        <w:gridCol w:w="8588"/>
        <w:gridCol w:w="1095"/>
        <w:gridCol w:w="1095"/>
        <w:gridCol w:w="1095"/>
        <w:gridCol w:w="1095"/>
        <w:gridCol w:w="1095"/>
      </w:tblGrid>
      <w:tr w14:paraId="2E917FAD">
        <w:tblPrEx>
          <w:tblCellMar>
            <w:top w:w="0" w:type="dxa"/>
            <w:left w:w="108" w:type="dxa"/>
            <w:bottom w:w="0" w:type="dxa"/>
            <w:right w:w="108" w:type="dxa"/>
          </w:tblCellMar>
        </w:tblPrEx>
        <w:trPr>
          <w:trHeight w:val="502"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4B128097">
            <w:pPr>
              <w:spacing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8588"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0F997C02">
            <w:pPr>
              <w:spacing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 xml:space="preserve">                                      投标人</w:t>
            </w:r>
          </w:p>
          <w:p w14:paraId="49412312">
            <w:pPr>
              <w:spacing w:line="300" w:lineRule="exact"/>
              <w:rPr>
                <w:rFonts w:ascii="宋体" w:hAnsi="宋体" w:eastAsia="宋体"/>
                <w:color w:val="auto"/>
                <w:szCs w:val="21"/>
                <w:highlight w:val="none"/>
              </w:rPr>
            </w:pPr>
            <w:r>
              <w:rPr>
                <w:rFonts w:hint="eastAsia" w:ascii="宋体" w:hAnsi="宋体" w:eastAsia="宋体"/>
                <w:color w:val="auto"/>
                <w:szCs w:val="21"/>
                <w:highlight w:val="none"/>
              </w:rPr>
              <w:t>评审内容</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68BD558A">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0601267">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B712AF">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BE00C6">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C943E68">
            <w:pPr>
              <w:spacing w:line="300" w:lineRule="exact"/>
              <w:rPr>
                <w:rFonts w:ascii="宋体" w:hAnsi="宋体" w:eastAsia="宋体"/>
                <w:color w:val="auto"/>
                <w:szCs w:val="21"/>
                <w:highlight w:val="none"/>
              </w:rPr>
            </w:pPr>
          </w:p>
        </w:tc>
      </w:tr>
      <w:tr w14:paraId="7108D1E5">
        <w:tblPrEx>
          <w:tblCellMar>
            <w:top w:w="0" w:type="dxa"/>
            <w:left w:w="108" w:type="dxa"/>
            <w:bottom w:w="0" w:type="dxa"/>
            <w:right w:w="108" w:type="dxa"/>
          </w:tblCellMar>
        </w:tblPrEx>
        <w:trPr>
          <w:trHeight w:val="242"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3A5F2FA8">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1</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3B8EF4C6">
            <w:pPr>
              <w:spacing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投标文件中没有《投标函》；</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1A44CF9">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AD66535">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2DAA215">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B692BCC">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AE74B6A">
            <w:pPr>
              <w:spacing w:line="300" w:lineRule="exact"/>
              <w:rPr>
                <w:rFonts w:ascii="宋体" w:hAnsi="宋体" w:eastAsia="宋体"/>
                <w:color w:val="auto"/>
                <w:szCs w:val="21"/>
                <w:highlight w:val="none"/>
              </w:rPr>
            </w:pPr>
          </w:p>
        </w:tc>
      </w:tr>
      <w:tr w14:paraId="43EF636E">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2CF3036C">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2</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4451A028">
            <w:pPr>
              <w:spacing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投标文件中没有《广州园林绿化工程施工招标投标书》；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3B1A1F2">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B120E4B">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91281FC">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2223E04">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2A8B819">
            <w:pPr>
              <w:spacing w:line="300" w:lineRule="exact"/>
              <w:rPr>
                <w:rFonts w:ascii="宋体" w:hAnsi="宋体" w:eastAsia="宋体"/>
                <w:color w:val="auto"/>
                <w:szCs w:val="21"/>
                <w:highlight w:val="none"/>
              </w:rPr>
            </w:pPr>
          </w:p>
        </w:tc>
      </w:tr>
      <w:tr w14:paraId="725739FE">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19B0E3A5">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3</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529F5092">
            <w:pPr>
              <w:spacing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未承诺响应招标文件所附施工组织设计要点的；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38C658A">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D58E95A">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6ABA89">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0C5986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3E15CA9">
            <w:pPr>
              <w:spacing w:line="300" w:lineRule="exact"/>
              <w:rPr>
                <w:rFonts w:ascii="宋体" w:hAnsi="宋体" w:eastAsia="宋体"/>
                <w:color w:val="auto"/>
                <w:szCs w:val="21"/>
                <w:highlight w:val="none"/>
              </w:rPr>
            </w:pPr>
          </w:p>
        </w:tc>
      </w:tr>
      <w:tr w14:paraId="3014A0E2">
        <w:tblPrEx>
          <w:tblCellMar>
            <w:top w:w="0" w:type="dxa"/>
            <w:left w:w="108" w:type="dxa"/>
            <w:bottom w:w="0" w:type="dxa"/>
            <w:right w:w="108" w:type="dxa"/>
          </w:tblCellMar>
        </w:tblPrEx>
        <w:trPr>
          <w:trHeight w:val="251"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65E9C73D">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4</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3480D831">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不能满足完成投标项目工期的；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0B45A2B">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1BE5A83">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EA1E040">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86CD4A6">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0D321B6">
            <w:pPr>
              <w:spacing w:line="300" w:lineRule="exact"/>
              <w:rPr>
                <w:rFonts w:ascii="宋体" w:hAnsi="宋体" w:eastAsia="宋体"/>
                <w:color w:val="auto"/>
                <w:szCs w:val="21"/>
                <w:highlight w:val="none"/>
              </w:rPr>
            </w:pPr>
          </w:p>
        </w:tc>
      </w:tr>
      <w:tr w14:paraId="2F239C30">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710C770D">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5</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09AAA970">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投标文件未按规定的格式填写，或主要内容不全，或关键字迹模糊、无法辨认；</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E84E740">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0232A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9B9E2FC">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90789CD">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9209756">
            <w:pPr>
              <w:spacing w:line="300" w:lineRule="exact"/>
              <w:rPr>
                <w:rFonts w:ascii="宋体" w:hAnsi="宋体" w:eastAsia="宋体"/>
                <w:color w:val="auto"/>
                <w:szCs w:val="21"/>
                <w:highlight w:val="none"/>
              </w:rPr>
            </w:pPr>
          </w:p>
        </w:tc>
      </w:tr>
      <w:tr w14:paraId="34529A39">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47737307">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6</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68B16C37">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对同一招标项目出现两个或以上的投标报价，且没有声明哪个有效；</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5D056A1">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FCD31E8">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6BD27F">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2D21DD8">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5DB8C47">
            <w:pPr>
              <w:spacing w:line="300" w:lineRule="exact"/>
              <w:rPr>
                <w:rFonts w:ascii="宋体" w:hAnsi="宋体" w:eastAsia="宋体"/>
                <w:color w:val="auto"/>
                <w:szCs w:val="21"/>
                <w:highlight w:val="none"/>
              </w:rPr>
            </w:pPr>
          </w:p>
        </w:tc>
      </w:tr>
      <w:tr w14:paraId="58EC11FC">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5E3C1B85">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7</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5296404E">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投标报价高于最高投标限价；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B216711">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B8057E8">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243EFF7">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BD16551">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D08D4CD">
            <w:pPr>
              <w:spacing w:line="300" w:lineRule="exact"/>
              <w:rPr>
                <w:rFonts w:ascii="宋体" w:hAnsi="宋体" w:eastAsia="宋体"/>
                <w:color w:val="auto"/>
                <w:szCs w:val="21"/>
                <w:highlight w:val="none"/>
              </w:rPr>
            </w:pPr>
          </w:p>
        </w:tc>
      </w:tr>
      <w:tr w14:paraId="4A203862">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1C5DFD06">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8</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70E0FBC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投标报价低于企业成本的（投标人的报价明显低于其他投标报价或者在设有成本警示价时明显低于成本警示价，使得其投标报价可能低于其个别成本，又不能合理说明或者不能提供相关证明材料，评标委员会认定该投标人低于成本报价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E5D9888">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274FAF2">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B89C8E6">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4581B3C">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1CD4A1">
            <w:pPr>
              <w:spacing w:line="300" w:lineRule="exact"/>
              <w:rPr>
                <w:rFonts w:ascii="宋体" w:hAnsi="宋体" w:eastAsia="宋体"/>
                <w:color w:val="auto"/>
                <w:szCs w:val="21"/>
                <w:highlight w:val="none"/>
              </w:rPr>
            </w:pPr>
          </w:p>
        </w:tc>
      </w:tr>
      <w:tr w14:paraId="5DAC41B8">
        <w:tblPrEx>
          <w:tblCellMar>
            <w:top w:w="0" w:type="dxa"/>
            <w:left w:w="108" w:type="dxa"/>
            <w:bottom w:w="0" w:type="dxa"/>
            <w:right w:w="108" w:type="dxa"/>
          </w:tblCellMar>
        </w:tblPrEx>
        <w:trPr>
          <w:trHeight w:val="276"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0436DF61">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9</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55019665">
            <w:pPr>
              <w:spacing w:line="300" w:lineRule="exact"/>
              <w:rPr>
                <w:rFonts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投标报价中对招标文件规定的绿色施工安全防护措施费进行浮动或改变；</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279513D">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FE8705F">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69A10A5">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69CA928">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9641004">
            <w:pPr>
              <w:spacing w:line="300" w:lineRule="exact"/>
              <w:rPr>
                <w:rFonts w:ascii="宋体" w:hAnsi="宋体" w:eastAsia="宋体"/>
                <w:color w:val="auto"/>
                <w:szCs w:val="21"/>
                <w:highlight w:val="none"/>
              </w:rPr>
            </w:pPr>
          </w:p>
        </w:tc>
      </w:tr>
      <w:tr w14:paraId="6770A957">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5D24F543">
            <w:pPr>
              <w:spacing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5239C46B">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算术复核后的投标报价与原投标报价相比存在1%或以上误差的；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143AC90">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90DC46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53A583C">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02A2325">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C8CBCE3">
            <w:pPr>
              <w:spacing w:line="300" w:lineRule="exact"/>
              <w:rPr>
                <w:rFonts w:ascii="宋体" w:hAnsi="宋体" w:eastAsia="宋体"/>
                <w:color w:val="auto"/>
                <w:szCs w:val="21"/>
                <w:highlight w:val="none"/>
              </w:rPr>
            </w:pPr>
          </w:p>
        </w:tc>
      </w:tr>
      <w:tr w14:paraId="348A160F">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5A940D39">
            <w:pPr>
              <w:spacing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11</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573D8519">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不同投标人的投标文件由同一单位或者个人编制；</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CD0DA6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B0952C">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EC93891">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61D5341">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4FDE468">
            <w:pPr>
              <w:spacing w:line="300" w:lineRule="exact"/>
              <w:rPr>
                <w:rFonts w:ascii="宋体" w:hAnsi="宋体" w:eastAsia="宋体"/>
                <w:color w:val="auto"/>
                <w:szCs w:val="21"/>
                <w:highlight w:val="none"/>
              </w:rPr>
            </w:pPr>
          </w:p>
        </w:tc>
      </w:tr>
      <w:tr w14:paraId="4C68B154">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4C21F3E8">
            <w:pPr>
              <w:spacing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12</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0291CDB9">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不同投标人委托同一单位或者个人办理投标事宜；</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CD3609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CA2217">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68429F1">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06D686D">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FE78869">
            <w:pPr>
              <w:spacing w:line="300" w:lineRule="exact"/>
              <w:rPr>
                <w:rFonts w:ascii="宋体" w:hAnsi="宋体" w:eastAsia="宋体"/>
                <w:color w:val="auto"/>
                <w:szCs w:val="21"/>
                <w:highlight w:val="none"/>
              </w:rPr>
            </w:pPr>
          </w:p>
        </w:tc>
      </w:tr>
      <w:tr w14:paraId="263E4A49">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6D3854C4">
            <w:pPr>
              <w:spacing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13</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240EC5AD">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不同投标人的投标文件载明的项目管理成员为同一人；</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A96AE2F">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3E07A01">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078E186">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22AF66D">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E16525C">
            <w:pPr>
              <w:spacing w:line="300" w:lineRule="exact"/>
              <w:rPr>
                <w:rFonts w:ascii="宋体" w:hAnsi="宋体" w:eastAsia="宋体"/>
                <w:color w:val="auto"/>
                <w:szCs w:val="21"/>
                <w:highlight w:val="none"/>
              </w:rPr>
            </w:pPr>
          </w:p>
        </w:tc>
      </w:tr>
      <w:tr w14:paraId="316F7DBE">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2A054F2A">
            <w:pPr>
              <w:spacing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14</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0CB5DB57">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不同投标人的投标文件异常一致或者投标报价呈规律性差异；</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5EA62CD">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C9D3AEB">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D152416">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4C45F11">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E85818F">
            <w:pPr>
              <w:spacing w:line="300" w:lineRule="exact"/>
              <w:rPr>
                <w:rFonts w:ascii="宋体" w:hAnsi="宋体" w:eastAsia="宋体"/>
                <w:color w:val="auto"/>
                <w:szCs w:val="21"/>
                <w:highlight w:val="none"/>
              </w:rPr>
            </w:pPr>
          </w:p>
        </w:tc>
      </w:tr>
      <w:tr w14:paraId="65EFF37E">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523DE491">
            <w:pPr>
              <w:spacing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15</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6774658A">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不同投标人的投标文件相互混装；</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A252020">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8FA6280">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15949F1">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C695350">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8E6AE4C">
            <w:pPr>
              <w:spacing w:line="300" w:lineRule="exact"/>
              <w:rPr>
                <w:rFonts w:ascii="宋体" w:hAnsi="宋体" w:eastAsia="宋体"/>
                <w:color w:val="auto"/>
                <w:szCs w:val="21"/>
                <w:highlight w:val="none"/>
              </w:rPr>
            </w:pPr>
          </w:p>
        </w:tc>
      </w:tr>
      <w:tr w14:paraId="7A9639F8">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461DFDEE">
            <w:pPr>
              <w:spacing w:line="300" w:lineRule="exact"/>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16</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04C3FCAB">
            <w:pPr>
              <w:spacing w:line="300" w:lineRule="exact"/>
              <w:rPr>
                <w:rFonts w:hint="eastAsia" w:ascii="宋体" w:hAnsi="宋体" w:eastAsia="宋体"/>
                <w:color w:val="auto"/>
                <w:szCs w:val="21"/>
                <w:highlight w:val="none"/>
              </w:rPr>
            </w:pPr>
            <w:r>
              <w:rPr>
                <w:rFonts w:hint="eastAsia" w:ascii="宋体" w:hAnsi="宋体" w:eastAsia="宋体"/>
                <w:strike/>
                <w:dstrike w:val="0"/>
                <w:color w:val="auto"/>
                <w:szCs w:val="21"/>
                <w:highlight w:val="none"/>
              </w:rPr>
              <w:t>不同投标人的投标保证金从同一单位或者个人的账户转出；</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6443B90">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1672C3B">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D2C20C4">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A97E74B">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A69663B">
            <w:pPr>
              <w:spacing w:line="300" w:lineRule="exact"/>
              <w:rPr>
                <w:rFonts w:ascii="宋体" w:hAnsi="宋体" w:eastAsia="宋体"/>
                <w:color w:val="auto"/>
                <w:szCs w:val="21"/>
                <w:highlight w:val="none"/>
              </w:rPr>
            </w:pPr>
          </w:p>
        </w:tc>
      </w:tr>
      <w:tr w14:paraId="69027052">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54CE0B16">
            <w:pPr>
              <w:spacing w:line="300" w:lineRule="exact"/>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17</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0C12468D">
            <w:pPr>
              <w:spacing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不同投标人的投标报价中分部分项工程量清单综合单价相似度达到80%及以上的；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0CD62B9">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F547B54">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D1B4D78">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9A8BDDC">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57DA1A4">
            <w:pPr>
              <w:spacing w:line="300" w:lineRule="exact"/>
              <w:rPr>
                <w:rFonts w:ascii="宋体" w:hAnsi="宋体" w:eastAsia="宋体"/>
                <w:color w:val="auto"/>
                <w:szCs w:val="21"/>
                <w:highlight w:val="none"/>
              </w:rPr>
            </w:pPr>
          </w:p>
        </w:tc>
      </w:tr>
      <w:tr w14:paraId="6055FD59">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7840DE5D">
            <w:pPr>
              <w:spacing w:line="300" w:lineRule="exact"/>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18</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46F93646">
            <w:pPr>
              <w:spacing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不同投标人加密打包投标文件的电脑机器特征码相同的；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F283744">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76BFD30">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8305D6D">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CF2982F">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A4CF937">
            <w:pPr>
              <w:spacing w:line="300" w:lineRule="exact"/>
              <w:rPr>
                <w:rFonts w:ascii="宋体" w:hAnsi="宋体" w:eastAsia="宋体"/>
                <w:color w:val="auto"/>
                <w:szCs w:val="21"/>
                <w:highlight w:val="none"/>
              </w:rPr>
            </w:pPr>
          </w:p>
        </w:tc>
      </w:tr>
      <w:tr w14:paraId="042E3D09">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10FD025E">
            <w:pPr>
              <w:spacing w:line="300" w:lineRule="exact"/>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19</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0CAB2746">
            <w:pPr>
              <w:spacing w:line="30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rPr>
              <w:t>不同投标人的投标文件工程量清单编制机器硬件信息相同的</w:t>
            </w:r>
            <w:r>
              <w:rPr>
                <w:rFonts w:hint="eastAsia" w:ascii="宋体" w:hAnsi="宋体" w:eastAsia="宋体"/>
                <w:color w:val="auto"/>
                <w:szCs w:val="21"/>
                <w:highlight w:val="none"/>
                <w:lang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28B94D9">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00301C3">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5CD6614">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1BBC3EA">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FB7A767">
            <w:pPr>
              <w:spacing w:line="300" w:lineRule="exact"/>
              <w:rPr>
                <w:rFonts w:ascii="宋体" w:hAnsi="宋体" w:eastAsia="宋体"/>
                <w:color w:val="auto"/>
                <w:szCs w:val="21"/>
                <w:highlight w:val="none"/>
              </w:rPr>
            </w:pPr>
          </w:p>
        </w:tc>
      </w:tr>
      <w:tr w14:paraId="7F0DEBFB">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005AFF75">
            <w:pPr>
              <w:spacing w:line="300" w:lineRule="exact"/>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20</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2ED5D581">
            <w:pPr>
              <w:spacing w:line="300" w:lineRule="exact"/>
              <w:rPr>
                <w:rFonts w:hint="eastAsia" w:ascii="宋体" w:hAnsi="宋体" w:eastAsia="宋体"/>
                <w:color w:val="auto"/>
                <w:szCs w:val="21"/>
                <w:highlight w:val="none"/>
              </w:rPr>
            </w:pPr>
            <w:r>
              <w:rPr>
                <w:rFonts w:hint="eastAsia" w:ascii="宋体" w:hAnsi="宋体" w:eastAsia="宋体" w:cs="Times New Roman"/>
                <w:strike/>
                <w:dstrike w:val="0"/>
                <w:color w:val="auto"/>
                <w:szCs w:val="21"/>
                <w:highlight w:val="none"/>
                <w:lang w:eastAsia="zh-CN"/>
              </w:rPr>
              <w:t>未按要求提交投标保证金的；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39537C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D55E961">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21A6D92">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0DC31A8">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69627C7">
            <w:pPr>
              <w:spacing w:line="300" w:lineRule="exact"/>
              <w:rPr>
                <w:rFonts w:ascii="宋体" w:hAnsi="宋体" w:eastAsia="宋体"/>
                <w:color w:val="auto"/>
                <w:szCs w:val="21"/>
                <w:highlight w:val="none"/>
              </w:rPr>
            </w:pPr>
          </w:p>
        </w:tc>
      </w:tr>
      <w:tr w14:paraId="70E37A18">
        <w:tblPrEx>
          <w:tblCellMar>
            <w:top w:w="0" w:type="dxa"/>
            <w:left w:w="108" w:type="dxa"/>
            <w:bottom w:w="0" w:type="dxa"/>
            <w:right w:w="108" w:type="dxa"/>
          </w:tblCellMar>
        </w:tblPrEx>
        <w:trPr>
          <w:trHeight w:val="268"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4C8408B4">
            <w:pPr>
              <w:spacing w:line="300" w:lineRule="exact"/>
              <w:jc w:val="center"/>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lang w:val="en-US" w:eastAsia="zh-CN"/>
              </w:rPr>
              <w:t>21</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4CE8AA5E">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无《对投标文件编制的承诺》。</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CA51687">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850DDFA">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63A2507">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480661B">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10CB8F8">
            <w:pPr>
              <w:spacing w:line="300" w:lineRule="exact"/>
              <w:rPr>
                <w:rFonts w:ascii="宋体" w:hAnsi="宋体" w:eastAsia="宋体"/>
                <w:color w:val="auto"/>
                <w:szCs w:val="21"/>
                <w:highlight w:val="none"/>
              </w:rPr>
            </w:pPr>
          </w:p>
        </w:tc>
      </w:tr>
    </w:tbl>
    <w:p w14:paraId="7BCC16FB">
      <w:pPr>
        <w:spacing w:line="240" w:lineRule="exact"/>
        <w:jc w:val="left"/>
        <w:rPr>
          <w:rFonts w:hint="eastAsia" w:ascii="宋体" w:hAnsi="宋体" w:eastAsia="宋体"/>
          <w:color w:val="auto"/>
          <w:sz w:val="18"/>
          <w:szCs w:val="18"/>
          <w:highlight w:val="none"/>
        </w:rPr>
      </w:pPr>
      <w:r>
        <w:rPr>
          <w:rFonts w:hint="eastAsia" w:ascii="宋体" w:hAnsi="宋体" w:eastAsia="宋体"/>
          <w:color w:val="auto"/>
          <w:szCs w:val="21"/>
          <w:highlight w:val="none"/>
        </w:rPr>
        <w:t>注：</w:t>
      </w:r>
      <w:r>
        <w:rPr>
          <w:rFonts w:hint="eastAsia" w:ascii="宋体" w:hAnsi="宋体" w:eastAsia="宋体"/>
          <w:color w:val="auto"/>
          <w:sz w:val="18"/>
          <w:szCs w:val="18"/>
          <w:highlight w:val="none"/>
        </w:rPr>
        <w:t>1.本表使用GZYLZB202</w:t>
      </w:r>
      <w:r>
        <w:rPr>
          <w:rFonts w:hint="eastAsia" w:ascii="宋体" w:hAnsi="宋体" w:eastAsia="宋体"/>
          <w:color w:val="auto"/>
          <w:sz w:val="18"/>
          <w:szCs w:val="18"/>
          <w:highlight w:val="none"/>
          <w:lang w:val="en-US" w:eastAsia="zh-CN"/>
        </w:rPr>
        <w:t>3</w:t>
      </w:r>
      <w:r>
        <w:rPr>
          <w:rFonts w:hint="eastAsia" w:ascii="宋体" w:hAnsi="宋体" w:eastAsia="宋体"/>
          <w:color w:val="auto"/>
          <w:sz w:val="18"/>
          <w:szCs w:val="18"/>
          <w:highlight w:val="none"/>
        </w:rPr>
        <w:t>-1招标文件范本，与范本内容不同之处均以下划线标明。</w:t>
      </w:r>
    </w:p>
    <w:p w14:paraId="3503ACB7">
      <w:pPr>
        <w:spacing w:line="240" w:lineRule="exact"/>
        <w:ind w:firstLine="360" w:firstLineChars="200"/>
        <w:jc w:val="left"/>
        <w:rPr>
          <w:rFonts w:hint="eastAsia" w:ascii="宋体" w:hAnsi="宋体" w:eastAsia="宋体"/>
          <w:color w:val="auto"/>
          <w:sz w:val="18"/>
          <w:szCs w:val="18"/>
          <w:highlight w:val="none"/>
        </w:rPr>
      </w:pPr>
      <w:r>
        <w:rPr>
          <w:rFonts w:hint="eastAsia" w:ascii="宋体" w:hAnsi="宋体" w:eastAsia="宋体"/>
          <w:color w:val="auto"/>
          <w:sz w:val="18"/>
          <w:szCs w:val="18"/>
          <w:highlight w:val="none"/>
        </w:rPr>
        <w:t>2.凡出现《投标文件否决性条款审查表》中任何一项情形，否决其投标。</w:t>
      </w:r>
    </w:p>
    <w:p w14:paraId="053E3B4D">
      <w:pPr>
        <w:spacing w:line="240" w:lineRule="exact"/>
        <w:ind w:left="359" w:leftChars="171"/>
        <w:jc w:val="left"/>
        <w:rPr>
          <w:rFonts w:hint="eastAsia" w:ascii="宋体" w:hAnsi="宋体" w:eastAsia="宋体"/>
          <w:color w:val="auto"/>
          <w:sz w:val="18"/>
          <w:szCs w:val="18"/>
          <w:highlight w:val="none"/>
        </w:rPr>
      </w:pPr>
      <w:r>
        <w:rPr>
          <w:rFonts w:hint="eastAsia" w:ascii="宋体" w:hAnsi="宋体" w:eastAsia="宋体"/>
          <w:color w:val="auto"/>
          <w:sz w:val="18"/>
          <w:szCs w:val="18"/>
          <w:highlight w:val="none"/>
        </w:rPr>
        <w:t>3.分部分项工程量清单综合单价相似度和加密打包投标文件的电脑机器特征码以广州公共资源交易评标系统的检索信息为准。出现第</w:t>
      </w:r>
      <w:r>
        <w:rPr>
          <w:rFonts w:hint="eastAsia" w:ascii="宋体" w:hAnsi="宋体" w:eastAsia="宋体"/>
          <w:color w:val="auto"/>
          <w:sz w:val="18"/>
          <w:szCs w:val="18"/>
          <w:highlight w:val="none"/>
          <w:lang w:val="en-US" w:eastAsia="zh-CN"/>
        </w:rPr>
        <w:t>11-19</w:t>
      </w:r>
      <w:r>
        <w:rPr>
          <w:rFonts w:hint="eastAsia" w:ascii="宋体" w:hAnsi="宋体" w:eastAsia="宋体"/>
          <w:color w:val="auto"/>
          <w:sz w:val="18"/>
          <w:szCs w:val="18"/>
          <w:highlight w:val="none"/>
        </w:rPr>
        <w:t>项内容所列情形之一的，评标委员会应按照招标文件《投标人串通投标评审表》中的规定进行有关串通投标认定。</w:t>
      </w:r>
    </w:p>
    <w:p w14:paraId="4652BFD2">
      <w:pPr>
        <w:spacing w:line="240" w:lineRule="exact"/>
        <w:ind w:left="359" w:leftChars="171"/>
        <w:jc w:val="left"/>
        <w:rPr>
          <w:rFonts w:hint="eastAsia" w:ascii="宋体" w:hAnsi="宋体" w:eastAsia="宋体"/>
          <w:color w:val="auto"/>
          <w:sz w:val="18"/>
          <w:szCs w:val="18"/>
          <w:highlight w:val="none"/>
        </w:rPr>
      </w:pPr>
      <w:r>
        <w:rPr>
          <w:rFonts w:hint="eastAsia" w:ascii="宋体" w:hAnsi="宋体" w:eastAsia="宋体"/>
          <w:color w:val="auto"/>
          <w:sz w:val="18"/>
          <w:szCs w:val="18"/>
          <w:highlight w:val="none"/>
        </w:rPr>
        <w:t xml:space="preserve">4.如对本表中某种情形的评审意见不一致时，以评标委员会过半数成员的意见作为评标委员会对该情形的认定结论。 </w:t>
      </w:r>
    </w:p>
    <w:p w14:paraId="08D82905">
      <w:pPr>
        <w:spacing w:line="240" w:lineRule="exact"/>
        <w:rPr>
          <w:rFonts w:hint="eastAsia" w:ascii="宋体" w:hAnsi="宋体" w:eastAsia="宋体"/>
          <w:b/>
          <w:color w:val="auto"/>
          <w:szCs w:val="21"/>
          <w:highlight w:val="none"/>
        </w:rPr>
      </w:pPr>
    </w:p>
    <w:p w14:paraId="26E90B28">
      <w:pPr>
        <w:spacing w:line="240" w:lineRule="exact"/>
        <w:rPr>
          <w:rFonts w:hint="eastAsia" w:ascii="宋体" w:hAnsi="宋体" w:eastAsia="宋体"/>
          <w:b/>
          <w:color w:val="auto"/>
          <w:szCs w:val="21"/>
          <w:highlight w:val="none"/>
        </w:rPr>
      </w:pPr>
      <w:r>
        <w:rPr>
          <w:rFonts w:hint="eastAsia" w:ascii="宋体" w:hAnsi="宋体" w:eastAsia="宋体"/>
          <w:b/>
          <w:color w:val="auto"/>
          <w:szCs w:val="21"/>
          <w:highlight w:val="none"/>
        </w:rPr>
        <w:t>评委签名：                                                                                        日期：</w:t>
      </w:r>
    </w:p>
    <w:p w14:paraId="3EAD3E93">
      <w:pPr>
        <w:pStyle w:val="14"/>
        <w:ind w:firstLine="0"/>
        <w:outlineLvl w:val="2"/>
        <w:rPr>
          <w:rFonts w:hint="eastAsia" w:ascii="宋体" w:hAnsi="宋体" w:eastAsia="宋体"/>
          <w:color w:val="auto"/>
          <w:sz w:val="24"/>
          <w:szCs w:val="24"/>
          <w:highlight w:val="none"/>
        </w:rPr>
      </w:pPr>
      <w:bookmarkStart w:id="221" w:name="_Toc10135"/>
      <w:bookmarkStart w:id="222" w:name="_Toc6821"/>
    </w:p>
    <w:p w14:paraId="5225BFB8">
      <w:pPr>
        <w:pStyle w:val="14"/>
        <w:ind w:firstLine="0"/>
        <w:outlineLvl w:val="2"/>
        <w:rPr>
          <w:rFonts w:hint="eastAsia" w:ascii="宋体" w:hAnsi="宋体" w:eastAsia="宋体"/>
          <w:color w:val="auto"/>
          <w:szCs w:val="21"/>
          <w:highlight w:val="none"/>
          <w:lang w:eastAsia="zh-CN"/>
        </w:rPr>
      </w:pPr>
      <w:bookmarkStart w:id="223" w:name="_Toc7797"/>
      <w:r>
        <w:rPr>
          <w:rFonts w:hint="eastAsia" w:ascii="宋体" w:hAnsi="宋体" w:eastAsia="宋体"/>
          <w:color w:val="auto"/>
          <w:sz w:val="24"/>
          <w:szCs w:val="24"/>
          <w:highlight w:val="none"/>
        </w:rPr>
        <w:t>附件</w:t>
      </w:r>
      <w:bookmarkEnd w:id="221"/>
      <w:bookmarkEnd w:id="222"/>
      <w:r>
        <w:rPr>
          <w:rFonts w:hint="eastAsia" w:ascii="宋体" w:hAnsi="宋体" w:eastAsia="宋体"/>
          <w:color w:val="auto"/>
          <w:sz w:val="24"/>
          <w:szCs w:val="24"/>
          <w:highlight w:val="none"/>
          <w:lang w:val="en-US" w:eastAsia="zh-CN"/>
        </w:rPr>
        <w:t>6</w:t>
      </w:r>
      <w:bookmarkEnd w:id="223"/>
    </w:p>
    <w:p w14:paraId="1F4609C2">
      <w:pPr>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投标人串通投标评审表</w:t>
      </w:r>
    </w:p>
    <w:tbl>
      <w:tblPr>
        <w:tblStyle w:val="16"/>
        <w:tblW w:w="145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91"/>
        <w:gridCol w:w="1188"/>
        <w:gridCol w:w="1716"/>
        <w:gridCol w:w="7553"/>
        <w:gridCol w:w="908"/>
        <w:gridCol w:w="1815"/>
      </w:tblGrid>
      <w:tr w14:paraId="6A10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6" w:type="dxa"/>
            <w:gridSpan w:val="3"/>
            <w:vMerge w:val="restart"/>
            <w:noWrap w:val="0"/>
            <w:vAlign w:val="center"/>
          </w:tcPr>
          <w:p w14:paraId="64454EA3">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w:t>
            </w:r>
          </w:p>
        </w:tc>
        <w:tc>
          <w:tcPr>
            <w:tcW w:w="10177" w:type="dxa"/>
            <w:gridSpan w:val="3"/>
            <w:vMerge w:val="restart"/>
            <w:noWrap w:val="0"/>
            <w:vAlign w:val="center"/>
          </w:tcPr>
          <w:p w14:paraId="2BBC0501">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15" w:type="dxa"/>
            <w:vMerge w:val="restart"/>
            <w:noWrap w:val="0"/>
            <w:vAlign w:val="center"/>
          </w:tcPr>
          <w:p w14:paraId="1FE6386C">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18A0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6" w:type="dxa"/>
            <w:gridSpan w:val="3"/>
            <w:vMerge w:val="continue"/>
            <w:noWrap w:val="0"/>
            <w:vAlign w:val="center"/>
          </w:tcPr>
          <w:p w14:paraId="0D0FAF2B">
            <w:pPr>
              <w:widowControl/>
              <w:jc w:val="left"/>
              <w:rPr>
                <w:rFonts w:ascii="宋体" w:hAnsi="宋体" w:eastAsia="宋体" w:cs="宋体"/>
                <w:color w:val="auto"/>
                <w:kern w:val="0"/>
                <w:sz w:val="24"/>
                <w:szCs w:val="24"/>
                <w:highlight w:val="none"/>
              </w:rPr>
            </w:pPr>
          </w:p>
        </w:tc>
        <w:tc>
          <w:tcPr>
            <w:tcW w:w="10177" w:type="dxa"/>
            <w:gridSpan w:val="3"/>
            <w:vMerge w:val="continue"/>
            <w:noWrap w:val="0"/>
            <w:vAlign w:val="center"/>
          </w:tcPr>
          <w:p w14:paraId="1643953E">
            <w:pPr>
              <w:widowControl/>
              <w:jc w:val="left"/>
              <w:rPr>
                <w:rFonts w:ascii="宋体" w:hAnsi="宋体" w:eastAsia="宋体" w:cs="宋体"/>
                <w:color w:val="auto"/>
                <w:kern w:val="0"/>
                <w:sz w:val="24"/>
                <w:szCs w:val="24"/>
                <w:highlight w:val="none"/>
              </w:rPr>
            </w:pPr>
          </w:p>
        </w:tc>
        <w:tc>
          <w:tcPr>
            <w:tcW w:w="1815" w:type="dxa"/>
            <w:vMerge w:val="continue"/>
            <w:noWrap w:val="0"/>
            <w:vAlign w:val="center"/>
          </w:tcPr>
          <w:p w14:paraId="7DA37DE7">
            <w:pPr>
              <w:widowControl/>
              <w:jc w:val="left"/>
              <w:rPr>
                <w:rFonts w:ascii="宋体" w:hAnsi="宋体" w:eastAsia="宋体" w:cs="宋体"/>
                <w:color w:val="auto"/>
                <w:kern w:val="0"/>
                <w:sz w:val="24"/>
                <w:szCs w:val="24"/>
                <w:highlight w:val="none"/>
              </w:rPr>
            </w:pPr>
          </w:p>
        </w:tc>
      </w:tr>
      <w:tr w14:paraId="7BA2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restart"/>
            <w:noWrap w:val="0"/>
            <w:textDirection w:val="tbRlV"/>
            <w:vAlign w:val="center"/>
          </w:tcPr>
          <w:p w14:paraId="604A7CF9">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串通投标认定</w:t>
            </w:r>
          </w:p>
        </w:tc>
        <w:tc>
          <w:tcPr>
            <w:tcW w:w="491" w:type="dxa"/>
            <w:vMerge w:val="restart"/>
            <w:noWrap w:val="0"/>
            <w:vAlign w:val="center"/>
          </w:tcPr>
          <w:p w14:paraId="20497DA0">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88" w:type="dxa"/>
            <w:vMerge w:val="restart"/>
            <w:noWrap w:val="0"/>
            <w:vAlign w:val="center"/>
          </w:tcPr>
          <w:p w14:paraId="634B407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存在</w:t>
            </w:r>
          </w:p>
          <w:p w14:paraId="59ECD339">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情形</w:t>
            </w:r>
          </w:p>
        </w:tc>
        <w:tc>
          <w:tcPr>
            <w:tcW w:w="9269" w:type="dxa"/>
            <w:gridSpan w:val="2"/>
            <w:noWrap w:val="0"/>
            <w:vAlign w:val="center"/>
          </w:tcPr>
          <w:p w14:paraId="0E5561E7">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不同投标人的投标文件由同一单位或者个人编制；   </w:t>
            </w:r>
          </w:p>
        </w:tc>
        <w:tc>
          <w:tcPr>
            <w:tcW w:w="908" w:type="dxa"/>
            <w:noWrap w:val="0"/>
            <w:vAlign w:val="center"/>
          </w:tcPr>
          <w:p w14:paraId="6B528E76">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restart"/>
            <w:noWrap w:val="0"/>
            <w:vAlign w:val="bottom"/>
          </w:tcPr>
          <w:p w14:paraId="6C5A72DE">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FCE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096C775E">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35DBCE3A">
            <w:pPr>
              <w:widowControl/>
              <w:jc w:val="left"/>
              <w:rPr>
                <w:rFonts w:ascii="宋体" w:hAnsi="宋体" w:eastAsia="宋体" w:cs="宋体"/>
                <w:color w:val="auto"/>
                <w:kern w:val="0"/>
                <w:sz w:val="24"/>
                <w:szCs w:val="24"/>
                <w:highlight w:val="none"/>
              </w:rPr>
            </w:pPr>
          </w:p>
        </w:tc>
        <w:tc>
          <w:tcPr>
            <w:tcW w:w="1188" w:type="dxa"/>
            <w:vMerge w:val="continue"/>
            <w:noWrap w:val="0"/>
            <w:vAlign w:val="center"/>
          </w:tcPr>
          <w:p w14:paraId="33D357D2">
            <w:pPr>
              <w:widowControl/>
              <w:jc w:val="left"/>
              <w:rPr>
                <w:rFonts w:ascii="宋体" w:hAnsi="宋体" w:eastAsia="宋体" w:cs="宋体"/>
                <w:color w:val="auto"/>
                <w:kern w:val="0"/>
                <w:sz w:val="24"/>
                <w:szCs w:val="24"/>
                <w:highlight w:val="none"/>
              </w:rPr>
            </w:pPr>
          </w:p>
        </w:tc>
        <w:tc>
          <w:tcPr>
            <w:tcW w:w="9269" w:type="dxa"/>
            <w:gridSpan w:val="2"/>
            <w:noWrap w:val="0"/>
            <w:vAlign w:val="center"/>
          </w:tcPr>
          <w:p w14:paraId="402D019C">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不同投标人委托同一单位或者个人办理投标事宜；  </w:t>
            </w:r>
          </w:p>
        </w:tc>
        <w:tc>
          <w:tcPr>
            <w:tcW w:w="908" w:type="dxa"/>
            <w:noWrap w:val="0"/>
            <w:vAlign w:val="center"/>
          </w:tcPr>
          <w:p w14:paraId="6CBF3B52">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7B9A83CC">
            <w:pPr>
              <w:widowControl/>
              <w:jc w:val="left"/>
              <w:rPr>
                <w:rFonts w:ascii="宋体" w:hAnsi="宋体" w:eastAsia="宋体" w:cs="宋体"/>
                <w:color w:val="auto"/>
                <w:kern w:val="0"/>
                <w:sz w:val="24"/>
                <w:szCs w:val="24"/>
                <w:highlight w:val="none"/>
              </w:rPr>
            </w:pPr>
          </w:p>
        </w:tc>
      </w:tr>
      <w:tr w14:paraId="251E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54473550">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69FFE940">
            <w:pPr>
              <w:widowControl/>
              <w:jc w:val="left"/>
              <w:rPr>
                <w:rFonts w:ascii="宋体" w:hAnsi="宋体" w:eastAsia="宋体" w:cs="宋体"/>
                <w:color w:val="auto"/>
                <w:kern w:val="0"/>
                <w:sz w:val="24"/>
                <w:szCs w:val="24"/>
                <w:highlight w:val="none"/>
              </w:rPr>
            </w:pPr>
          </w:p>
        </w:tc>
        <w:tc>
          <w:tcPr>
            <w:tcW w:w="1188" w:type="dxa"/>
            <w:vMerge w:val="continue"/>
            <w:noWrap w:val="0"/>
            <w:vAlign w:val="center"/>
          </w:tcPr>
          <w:p w14:paraId="6ACE4A91">
            <w:pPr>
              <w:widowControl/>
              <w:jc w:val="left"/>
              <w:rPr>
                <w:rFonts w:ascii="宋体" w:hAnsi="宋体" w:eastAsia="宋体" w:cs="宋体"/>
                <w:color w:val="auto"/>
                <w:kern w:val="0"/>
                <w:sz w:val="24"/>
                <w:szCs w:val="24"/>
                <w:highlight w:val="none"/>
              </w:rPr>
            </w:pPr>
          </w:p>
        </w:tc>
        <w:tc>
          <w:tcPr>
            <w:tcW w:w="9269" w:type="dxa"/>
            <w:gridSpan w:val="2"/>
            <w:noWrap w:val="0"/>
            <w:vAlign w:val="center"/>
          </w:tcPr>
          <w:p w14:paraId="64FD350C">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不同投标人的投标文件载明的项目管理成员为同一人；</w:t>
            </w:r>
          </w:p>
        </w:tc>
        <w:tc>
          <w:tcPr>
            <w:tcW w:w="908" w:type="dxa"/>
            <w:noWrap w:val="0"/>
            <w:vAlign w:val="center"/>
          </w:tcPr>
          <w:p w14:paraId="54C78417">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599DB6FB">
            <w:pPr>
              <w:widowControl/>
              <w:jc w:val="left"/>
              <w:rPr>
                <w:rFonts w:ascii="宋体" w:hAnsi="宋体" w:eastAsia="宋体" w:cs="宋体"/>
                <w:color w:val="auto"/>
                <w:kern w:val="0"/>
                <w:sz w:val="24"/>
                <w:szCs w:val="24"/>
                <w:highlight w:val="none"/>
              </w:rPr>
            </w:pPr>
          </w:p>
        </w:tc>
      </w:tr>
      <w:tr w14:paraId="3CF3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1396BDDF">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60431794">
            <w:pPr>
              <w:widowControl/>
              <w:jc w:val="left"/>
              <w:rPr>
                <w:rFonts w:ascii="宋体" w:hAnsi="宋体" w:eastAsia="宋体" w:cs="宋体"/>
                <w:color w:val="auto"/>
                <w:kern w:val="0"/>
                <w:sz w:val="24"/>
                <w:szCs w:val="24"/>
                <w:highlight w:val="none"/>
              </w:rPr>
            </w:pPr>
          </w:p>
        </w:tc>
        <w:tc>
          <w:tcPr>
            <w:tcW w:w="1188" w:type="dxa"/>
            <w:vMerge w:val="continue"/>
            <w:noWrap w:val="0"/>
            <w:vAlign w:val="center"/>
          </w:tcPr>
          <w:p w14:paraId="11A73237">
            <w:pPr>
              <w:widowControl/>
              <w:jc w:val="left"/>
              <w:rPr>
                <w:rFonts w:ascii="宋体" w:hAnsi="宋体" w:eastAsia="宋体" w:cs="宋体"/>
                <w:color w:val="auto"/>
                <w:kern w:val="0"/>
                <w:sz w:val="24"/>
                <w:szCs w:val="24"/>
                <w:highlight w:val="none"/>
              </w:rPr>
            </w:pPr>
          </w:p>
        </w:tc>
        <w:tc>
          <w:tcPr>
            <w:tcW w:w="9269" w:type="dxa"/>
            <w:gridSpan w:val="2"/>
            <w:noWrap w:val="0"/>
            <w:vAlign w:val="center"/>
          </w:tcPr>
          <w:p w14:paraId="632B37C7">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不同投标人的投标文件异常一致或者投标报价呈规律性差异；</w:t>
            </w:r>
          </w:p>
        </w:tc>
        <w:tc>
          <w:tcPr>
            <w:tcW w:w="908" w:type="dxa"/>
            <w:noWrap w:val="0"/>
            <w:vAlign w:val="center"/>
          </w:tcPr>
          <w:p w14:paraId="6E19EC33">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2B817233">
            <w:pPr>
              <w:widowControl/>
              <w:jc w:val="left"/>
              <w:rPr>
                <w:rFonts w:ascii="宋体" w:hAnsi="宋体" w:eastAsia="宋体" w:cs="宋体"/>
                <w:color w:val="auto"/>
                <w:kern w:val="0"/>
                <w:sz w:val="24"/>
                <w:szCs w:val="24"/>
                <w:highlight w:val="none"/>
              </w:rPr>
            </w:pPr>
          </w:p>
        </w:tc>
      </w:tr>
      <w:tr w14:paraId="04A6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6F5C7457">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6FB1D291">
            <w:pPr>
              <w:widowControl/>
              <w:jc w:val="left"/>
              <w:rPr>
                <w:rFonts w:ascii="宋体" w:hAnsi="宋体" w:eastAsia="宋体" w:cs="宋体"/>
                <w:color w:val="auto"/>
                <w:kern w:val="0"/>
                <w:sz w:val="24"/>
                <w:szCs w:val="24"/>
                <w:highlight w:val="none"/>
              </w:rPr>
            </w:pPr>
          </w:p>
        </w:tc>
        <w:tc>
          <w:tcPr>
            <w:tcW w:w="1188" w:type="dxa"/>
            <w:vMerge w:val="continue"/>
            <w:noWrap w:val="0"/>
            <w:vAlign w:val="center"/>
          </w:tcPr>
          <w:p w14:paraId="69F9CAAB">
            <w:pPr>
              <w:widowControl/>
              <w:jc w:val="left"/>
              <w:rPr>
                <w:rFonts w:ascii="宋体" w:hAnsi="宋体" w:eastAsia="宋体" w:cs="宋体"/>
                <w:color w:val="auto"/>
                <w:kern w:val="0"/>
                <w:sz w:val="24"/>
                <w:szCs w:val="24"/>
                <w:highlight w:val="none"/>
              </w:rPr>
            </w:pPr>
          </w:p>
        </w:tc>
        <w:tc>
          <w:tcPr>
            <w:tcW w:w="9269" w:type="dxa"/>
            <w:gridSpan w:val="2"/>
            <w:noWrap w:val="0"/>
            <w:vAlign w:val="center"/>
          </w:tcPr>
          <w:p w14:paraId="3C0D3D22">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不同投标人的投标文件相互混装； </w:t>
            </w:r>
          </w:p>
        </w:tc>
        <w:tc>
          <w:tcPr>
            <w:tcW w:w="908" w:type="dxa"/>
            <w:noWrap w:val="0"/>
            <w:vAlign w:val="center"/>
          </w:tcPr>
          <w:p w14:paraId="12D2CE64">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2AC9030E">
            <w:pPr>
              <w:widowControl/>
              <w:jc w:val="left"/>
              <w:rPr>
                <w:rFonts w:ascii="宋体" w:hAnsi="宋体" w:eastAsia="宋体" w:cs="宋体"/>
                <w:color w:val="auto"/>
                <w:kern w:val="0"/>
                <w:sz w:val="24"/>
                <w:szCs w:val="24"/>
                <w:highlight w:val="none"/>
              </w:rPr>
            </w:pPr>
          </w:p>
        </w:tc>
      </w:tr>
      <w:tr w14:paraId="0F56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76B83363">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5ECECB49">
            <w:pPr>
              <w:widowControl/>
              <w:jc w:val="left"/>
              <w:rPr>
                <w:rFonts w:ascii="宋体" w:hAnsi="宋体" w:eastAsia="宋体" w:cs="宋体"/>
                <w:color w:val="auto"/>
                <w:kern w:val="0"/>
                <w:sz w:val="24"/>
                <w:szCs w:val="24"/>
                <w:highlight w:val="none"/>
              </w:rPr>
            </w:pPr>
          </w:p>
        </w:tc>
        <w:tc>
          <w:tcPr>
            <w:tcW w:w="1188" w:type="dxa"/>
            <w:vMerge w:val="continue"/>
            <w:noWrap w:val="0"/>
            <w:vAlign w:val="center"/>
          </w:tcPr>
          <w:p w14:paraId="0DEC36BE">
            <w:pPr>
              <w:widowControl/>
              <w:jc w:val="left"/>
              <w:rPr>
                <w:rFonts w:ascii="宋体" w:hAnsi="宋体" w:eastAsia="宋体" w:cs="宋体"/>
                <w:color w:val="auto"/>
                <w:kern w:val="0"/>
                <w:sz w:val="24"/>
                <w:szCs w:val="24"/>
                <w:highlight w:val="none"/>
              </w:rPr>
            </w:pPr>
          </w:p>
        </w:tc>
        <w:tc>
          <w:tcPr>
            <w:tcW w:w="9269" w:type="dxa"/>
            <w:gridSpan w:val="2"/>
            <w:tcBorders>
              <w:bottom w:val="single" w:color="auto" w:sz="4" w:space="0"/>
            </w:tcBorders>
            <w:noWrap w:val="0"/>
            <w:vAlign w:val="center"/>
          </w:tcPr>
          <w:p w14:paraId="7FD79926">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不同投标人的投标保证金从同一单位或者个人的账户转出； </w:t>
            </w:r>
          </w:p>
        </w:tc>
        <w:tc>
          <w:tcPr>
            <w:tcW w:w="908" w:type="dxa"/>
            <w:noWrap w:val="0"/>
            <w:vAlign w:val="center"/>
          </w:tcPr>
          <w:p w14:paraId="51E1B32B">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7516A01E">
            <w:pPr>
              <w:widowControl/>
              <w:jc w:val="left"/>
              <w:rPr>
                <w:rFonts w:ascii="宋体" w:hAnsi="宋体" w:eastAsia="宋体" w:cs="宋体"/>
                <w:color w:val="auto"/>
                <w:kern w:val="0"/>
                <w:sz w:val="24"/>
                <w:szCs w:val="24"/>
                <w:highlight w:val="none"/>
              </w:rPr>
            </w:pPr>
          </w:p>
        </w:tc>
      </w:tr>
      <w:tr w14:paraId="22B4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615F9F93">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0D687AB6">
            <w:pPr>
              <w:widowControl/>
              <w:jc w:val="left"/>
              <w:rPr>
                <w:rFonts w:ascii="宋体" w:hAnsi="宋体" w:eastAsia="宋体" w:cs="宋体"/>
                <w:color w:val="auto"/>
                <w:kern w:val="0"/>
                <w:sz w:val="24"/>
                <w:szCs w:val="24"/>
                <w:highlight w:val="none"/>
              </w:rPr>
            </w:pPr>
          </w:p>
        </w:tc>
        <w:tc>
          <w:tcPr>
            <w:tcW w:w="1188" w:type="dxa"/>
            <w:vMerge w:val="continue"/>
            <w:noWrap w:val="0"/>
            <w:vAlign w:val="center"/>
          </w:tcPr>
          <w:p w14:paraId="5A045241">
            <w:pPr>
              <w:widowControl/>
              <w:jc w:val="left"/>
              <w:rPr>
                <w:rFonts w:ascii="宋体" w:hAnsi="宋体" w:eastAsia="宋体" w:cs="宋体"/>
                <w:color w:val="auto"/>
                <w:kern w:val="0"/>
                <w:sz w:val="24"/>
                <w:szCs w:val="24"/>
                <w:highlight w:val="none"/>
              </w:rPr>
            </w:pPr>
          </w:p>
        </w:tc>
        <w:tc>
          <w:tcPr>
            <w:tcW w:w="9269" w:type="dxa"/>
            <w:gridSpan w:val="2"/>
            <w:noWrap w:val="0"/>
            <w:vAlign w:val="center"/>
          </w:tcPr>
          <w:p w14:paraId="1A2E539E">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不同投标人的投标报价中分部分项工程量清单综合单价相似度达到80%及以上的；</w:t>
            </w:r>
          </w:p>
        </w:tc>
        <w:tc>
          <w:tcPr>
            <w:tcW w:w="908" w:type="dxa"/>
            <w:noWrap w:val="0"/>
            <w:vAlign w:val="center"/>
          </w:tcPr>
          <w:p w14:paraId="0B50CA42">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26B325B3">
            <w:pPr>
              <w:widowControl/>
              <w:jc w:val="left"/>
              <w:rPr>
                <w:rFonts w:ascii="宋体" w:hAnsi="宋体" w:eastAsia="宋体" w:cs="宋体"/>
                <w:color w:val="auto"/>
                <w:kern w:val="0"/>
                <w:sz w:val="24"/>
                <w:szCs w:val="24"/>
                <w:highlight w:val="none"/>
              </w:rPr>
            </w:pPr>
          </w:p>
        </w:tc>
      </w:tr>
      <w:tr w14:paraId="7CA0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3EE64787">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27803D5F">
            <w:pPr>
              <w:widowControl/>
              <w:jc w:val="left"/>
              <w:rPr>
                <w:rFonts w:ascii="宋体" w:hAnsi="宋体" w:eastAsia="宋体" w:cs="宋体"/>
                <w:color w:val="auto"/>
                <w:kern w:val="0"/>
                <w:sz w:val="24"/>
                <w:szCs w:val="24"/>
                <w:highlight w:val="none"/>
              </w:rPr>
            </w:pPr>
          </w:p>
        </w:tc>
        <w:tc>
          <w:tcPr>
            <w:tcW w:w="1188" w:type="dxa"/>
            <w:vMerge w:val="continue"/>
            <w:noWrap w:val="0"/>
            <w:vAlign w:val="center"/>
          </w:tcPr>
          <w:p w14:paraId="2E1223E6">
            <w:pPr>
              <w:widowControl/>
              <w:jc w:val="left"/>
              <w:rPr>
                <w:rFonts w:ascii="宋体" w:hAnsi="宋体" w:eastAsia="宋体" w:cs="宋体"/>
                <w:color w:val="auto"/>
                <w:kern w:val="0"/>
                <w:sz w:val="24"/>
                <w:szCs w:val="24"/>
                <w:highlight w:val="none"/>
              </w:rPr>
            </w:pPr>
          </w:p>
        </w:tc>
        <w:tc>
          <w:tcPr>
            <w:tcW w:w="9269" w:type="dxa"/>
            <w:gridSpan w:val="2"/>
            <w:noWrap w:val="0"/>
            <w:vAlign w:val="center"/>
          </w:tcPr>
          <w:p w14:paraId="67F4ECE2">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不同投标人加密打包投标文件的电脑机器特征码相同的。 </w:t>
            </w:r>
          </w:p>
        </w:tc>
        <w:tc>
          <w:tcPr>
            <w:tcW w:w="908" w:type="dxa"/>
            <w:noWrap w:val="0"/>
            <w:vAlign w:val="center"/>
          </w:tcPr>
          <w:p w14:paraId="4BA396C1">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0B873FD9">
            <w:pPr>
              <w:widowControl/>
              <w:jc w:val="left"/>
              <w:rPr>
                <w:rFonts w:ascii="宋体" w:hAnsi="宋体" w:eastAsia="宋体" w:cs="宋体"/>
                <w:color w:val="auto"/>
                <w:kern w:val="0"/>
                <w:sz w:val="24"/>
                <w:szCs w:val="24"/>
                <w:highlight w:val="none"/>
              </w:rPr>
            </w:pPr>
          </w:p>
        </w:tc>
      </w:tr>
      <w:tr w14:paraId="2946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3503DC88">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35E63FAC">
            <w:pPr>
              <w:widowControl/>
              <w:jc w:val="left"/>
              <w:rPr>
                <w:rFonts w:ascii="宋体" w:hAnsi="宋体" w:eastAsia="宋体" w:cs="宋体"/>
                <w:color w:val="auto"/>
                <w:kern w:val="0"/>
                <w:sz w:val="24"/>
                <w:szCs w:val="24"/>
                <w:highlight w:val="none"/>
              </w:rPr>
            </w:pPr>
          </w:p>
        </w:tc>
        <w:tc>
          <w:tcPr>
            <w:tcW w:w="1188" w:type="dxa"/>
            <w:vMerge w:val="continue"/>
            <w:noWrap w:val="0"/>
            <w:vAlign w:val="center"/>
          </w:tcPr>
          <w:p w14:paraId="371D3464">
            <w:pPr>
              <w:widowControl/>
              <w:jc w:val="left"/>
              <w:rPr>
                <w:rFonts w:ascii="宋体" w:hAnsi="宋体" w:eastAsia="宋体" w:cs="宋体"/>
                <w:color w:val="auto"/>
                <w:kern w:val="0"/>
                <w:sz w:val="24"/>
                <w:szCs w:val="24"/>
                <w:highlight w:val="none"/>
                <w:u w:val="single"/>
              </w:rPr>
            </w:pPr>
          </w:p>
        </w:tc>
        <w:tc>
          <w:tcPr>
            <w:tcW w:w="9269" w:type="dxa"/>
            <w:gridSpan w:val="2"/>
            <w:noWrap w:val="0"/>
            <w:vAlign w:val="center"/>
          </w:tcPr>
          <w:p w14:paraId="318EFD86">
            <w:pPr>
              <w:widowControl/>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不同投标人的投标文件工程量清单编制机器硬件信息相同的</w:t>
            </w:r>
            <w:r>
              <w:rPr>
                <w:rFonts w:hint="eastAsia" w:ascii="宋体" w:hAnsi="宋体" w:eastAsia="宋体" w:cs="宋体"/>
                <w:color w:val="auto"/>
                <w:kern w:val="0"/>
                <w:sz w:val="24"/>
                <w:szCs w:val="24"/>
                <w:highlight w:val="none"/>
                <w:u w:val="single"/>
                <w:lang w:eastAsia="zh-CN"/>
              </w:rPr>
              <w:t>；</w:t>
            </w:r>
          </w:p>
        </w:tc>
        <w:tc>
          <w:tcPr>
            <w:tcW w:w="908" w:type="dxa"/>
            <w:noWrap w:val="0"/>
            <w:vAlign w:val="center"/>
          </w:tcPr>
          <w:p w14:paraId="4D9809F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noWrap w:val="0"/>
            <w:vAlign w:val="center"/>
          </w:tcPr>
          <w:p w14:paraId="5357FC72">
            <w:pPr>
              <w:widowControl/>
              <w:jc w:val="left"/>
              <w:rPr>
                <w:rFonts w:ascii="宋体" w:hAnsi="宋体" w:eastAsia="宋体" w:cs="宋体"/>
                <w:color w:val="auto"/>
                <w:kern w:val="0"/>
                <w:sz w:val="24"/>
                <w:szCs w:val="24"/>
                <w:highlight w:val="none"/>
              </w:rPr>
            </w:pPr>
          </w:p>
        </w:tc>
      </w:tr>
      <w:tr w14:paraId="32EC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3BBBF675">
            <w:pPr>
              <w:widowControl/>
              <w:jc w:val="left"/>
              <w:rPr>
                <w:rFonts w:ascii="宋体" w:hAnsi="宋体" w:eastAsia="宋体" w:cs="宋体"/>
                <w:color w:val="auto"/>
                <w:kern w:val="0"/>
                <w:sz w:val="24"/>
                <w:szCs w:val="24"/>
                <w:highlight w:val="none"/>
              </w:rPr>
            </w:pPr>
          </w:p>
        </w:tc>
        <w:tc>
          <w:tcPr>
            <w:tcW w:w="491" w:type="dxa"/>
            <w:vMerge w:val="restart"/>
            <w:noWrap w:val="0"/>
            <w:vAlign w:val="center"/>
          </w:tcPr>
          <w:p w14:paraId="123EFABE">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188" w:type="dxa"/>
            <w:vMerge w:val="restart"/>
            <w:noWrap w:val="0"/>
            <w:vAlign w:val="center"/>
          </w:tcPr>
          <w:p w14:paraId="6F3DB49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w:t>
            </w:r>
          </w:p>
          <w:p w14:paraId="52248B21">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核查</w:t>
            </w:r>
          </w:p>
        </w:tc>
        <w:tc>
          <w:tcPr>
            <w:tcW w:w="10177" w:type="dxa"/>
            <w:gridSpan w:val="3"/>
            <w:noWrap w:val="0"/>
            <w:vAlign w:val="center"/>
          </w:tcPr>
          <w:p w14:paraId="61332B1C">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无澄清 □</w:t>
            </w:r>
          </w:p>
        </w:tc>
        <w:tc>
          <w:tcPr>
            <w:tcW w:w="1815" w:type="dxa"/>
            <w:vMerge w:val="restart"/>
            <w:noWrap w:val="0"/>
            <w:vAlign w:val="bottom"/>
          </w:tcPr>
          <w:p w14:paraId="2046C969">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441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145E8972">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5BE82BDF">
            <w:pPr>
              <w:widowControl/>
              <w:jc w:val="center"/>
              <w:rPr>
                <w:rFonts w:hint="eastAsia" w:ascii="宋体" w:hAnsi="宋体" w:eastAsia="宋体" w:cs="宋体"/>
                <w:color w:val="auto"/>
                <w:kern w:val="0"/>
                <w:sz w:val="24"/>
                <w:szCs w:val="24"/>
                <w:highlight w:val="none"/>
              </w:rPr>
            </w:pPr>
          </w:p>
        </w:tc>
        <w:tc>
          <w:tcPr>
            <w:tcW w:w="1188" w:type="dxa"/>
            <w:vMerge w:val="continue"/>
            <w:noWrap w:val="0"/>
            <w:vAlign w:val="center"/>
          </w:tcPr>
          <w:p w14:paraId="6E8CE168">
            <w:pPr>
              <w:widowControl/>
              <w:jc w:val="center"/>
              <w:rPr>
                <w:rFonts w:hint="eastAsia" w:ascii="宋体" w:hAnsi="宋体" w:eastAsia="宋体" w:cs="宋体"/>
                <w:color w:val="auto"/>
                <w:kern w:val="0"/>
                <w:sz w:val="24"/>
                <w:szCs w:val="24"/>
                <w:highlight w:val="none"/>
              </w:rPr>
            </w:pPr>
          </w:p>
        </w:tc>
        <w:tc>
          <w:tcPr>
            <w:tcW w:w="1716" w:type="dxa"/>
            <w:vMerge w:val="restart"/>
            <w:noWrap w:val="0"/>
            <w:vAlign w:val="center"/>
          </w:tcPr>
          <w:p w14:paraId="64C8F18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有澄清 □</w:t>
            </w:r>
          </w:p>
        </w:tc>
        <w:tc>
          <w:tcPr>
            <w:tcW w:w="8461" w:type="dxa"/>
            <w:gridSpan w:val="2"/>
            <w:noWrap w:val="0"/>
            <w:vAlign w:val="center"/>
          </w:tcPr>
          <w:p w14:paraId="23D4F23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w:t>
            </w:r>
            <w:r>
              <w:rPr>
                <w:rFonts w:hint="eastAsia" w:ascii="宋体" w:hAnsi="宋体" w:eastAsia="宋体" w:cs="宋体"/>
                <w:b/>
                <w:color w:val="auto"/>
                <w:kern w:val="0"/>
                <w:sz w:val="24"/>
                <w:szCs w:val="24"/>
                <w:highlight w:val="none"/>
              </w:rPr>
              <w:t>合理</w:t>
            </w:r>
            <w:r>
              <w:rPr>
                <w:rFonts w:hint="eastAsia" w:ascii="宋体" w:hAnsi="宋体" w:eastAsia="宋体" w:cs="宋体"/>
                <w:color w:val="auto"/>
                <w:kern w:val="0"/>
                <w:sz w:val="24"/>
                <w:szCs w:val="24"/>
                <w:highlight w:val="none"/>
              </w:rPr>
              <w:t xml:space="preserve">    □</w:t>
            </w:r>
          </w:p>
        </w:tc>
        <w:tc>
          <w:tcPr>
            <w:tcW w:w="1815" w:type="dxa"/>
            <w:vMerge w:val="continue"/>
            <w:noWrap w:val="0"/>
            <w:vAlign w:val="bottom"/>
          </w:tcPr>
          <w:p w14:paraId="16F30C61">
            <w:pPr>
              <w:widowControl/>
              <w:jc w:val="center"/>
              <w:rPr>
                <w:rFonts w:hint="eastAsia" w:ascii="宋体" w:hAnsi="宋体" w:eastAsia="宋体" w:cs="宋体"/>
                <w:color w:val="auto"/>
                <w:kern w:val="0"/>
                <w:sz w:val="24"/>
                <w:szCs w:val="24"/>
                <w:highlight w:val="none"/>
              </w:rPr>
            </w:pPr>
          </w:p>
        </w:tc>
      </w:tr>
      <w:tr w14:paraId="7136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330FD63A">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4D0DE019">
            <w:pPr>
              <w:widowControl/>
              <w:jc w:val="center"/>
              <w:rPr>
                <w:rFonts w:hint="eastAsia" w:ascii="宋体" w:hAnsi="宋体" w:eastAsia="宋体" w:cs="宋体"/>
                <w:color w:val="auto"/>
                <w:kern w:val="0"/>
                <w:sz w:val="24"/>
                <w:szCs w:val="24"/>
                <w:highlight w:val="none"/>
              </w:rPr>
            </w:pPr>
          </w:p>
        </w:tc>
        <w:tc>
          <w:tcPr>
            <w:tcW w:w="1188" w:type="dxa"/>
            <w:vMerge w:val="continue"/>
            <w:noWrap w:val="0"/>
            <w:vAlign w:val="center"/>
          </w:tcPr>
          <w:p w14:paraId="2D94403F">
            <w:pPr>
              <w:widowControl/>
              <w:jc w:val="center"/>
              <w:rPr>
                <w:rFonts w:hint="eastAsia" w:ascii="宋体" w:hAnsi="宋体" w:eastAsia="宋体" w:cs="宋体"/>
                <w:color w:val="auto"/>
                <w:kern w:val="0"/>
                <w:sz w:val="24"/>
                <w:szCs w:val="24"/>
                <w:highlight w:val="none"/>
              </w:rPr>
            </w:pPr>
          </w:p>
        </w:tc>
        <w:tc>
          <w:tcPr>
            <w:tcW w:w="1716" w:type="dxa"/>
            <w:vMerge w:val="continue"/>
            <w:noWrap w:val="0"/>
            <w:vAlign w:val="center"/>
          </w:tcPr>
          <w:p w14:paraId="03AA043E">
            <w:pPr>
              <w:widowControl/>
              <w:rPr>
                <w:rFonts w:hint="eastAsia" w:ascii="宋体" w:hAnsi="宋体" w:eastAsia="宋体" w:cs="宋体"/>
                <w:color w:val="auto"/>
                <w:kern w:val="0"/>
                <w:sz w:val="24"/>
                <w:szCs w:val="24"/>
                <w:highlight w:val="none"/>
              </w:rPr>
            </w:pPr>
          </w:p>
        </w:tc>
        <w:tc>
          <w:tcPr>
            <w:tcW w:w="8461" w:type="dxa"/>
            <w:gridSpan w:val="2"/>
            <w:noWrap w:val="0"/>
            <w:vAlign w:val="center"/>
          </w:tcPr>
          <w:p w14:paraId="2B55411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w:t>
            </w:r>
            <w:r>
              <w:rPr>
                <w:rFonts w:hint="eastAsia" w:ascii="宋体" w:hAnsi="宋体" w:eastAsia="宋体" w:cs="宋体"/>
                <w:b/>
                <w:color w:val="auto"/>
                <w:kern w:val="0"/>
                <w:sz w:val="24"/>
                <w:szCs w:val="24"/>
                <w:highlight w:val="none"/>
              </w:rPr>
              <w:t>不合理</w:t>
            </w:r>
            <w:r>
              <w:rPr>
                <w:rFonts w:hint="eastAsia" w:ascii="宋体" w:hAnsi="宋体" w:eastAsia="宋体" w:cs="宋体"/>
                <w:color w:val="auto"/>
                <w:kern w:val="0"/>
                <w:sz w:val="24"/>
                <w:szCs w:val="24"/>
                <w:highlight w:val="none"/>
              </w:rPr>
              <w:t xml:space="preserve">  □</w:t>
            </w:r>
          </w:p>
        </w:tc>
        <w:tc>
          <w:tcPr>
            <w:tcW w:w="1815" w:type="dxa"/>
            <w:vMerge w:val="continue"/>
            <w:noWrap w:val="0"/>
            <w:vAlign w:val="bottom"/>
          </w:tcPr>
          <w:p w14:paraId="42D78BB8">
            <w:pPr>
              <w:widowControl/>
              <w:jc w:val="center"/>
              <w:rPr>
                <w:rFonts w:hint="eastAsia" w:ascii="宋体" w:hAnsi="宋体" w:eastAsia="宋体" w:cs="宋体"/>
                <w:color w:val="auto"/>
                <w:kern w:val="0"/>
                <w:sz w:val="24"/>
                <w:szCs w:val="24"/>
                <w:highlight w:val="none"/>
              </w:rPr>
            </w:pPr>
          </w:p>
        </w:tc>
      </w:tr>
      <w:tr w14:paraId="5CAA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67" w:type="dxa"/>
            <w:vMerge w:val="continue"/>
            <w:tcBorders>
              <w:bottom w:val="single" w:color="auto" w:sz="4" w:space="0"/>
            </w:tcBorders>
            <w:noWrap w:val="0"/>
            <w:vAlign w:val="center"/>
          </w:tcPr>
          <w:p w14:paraId="5419C27D">
            <w:pPr>
              <w:widowControl/>
              <w:jc w:val="left"/>
              <w:rPr>
                <w:rFonts w:ascii="宋体" w:hAnsi="宋体" w:eastAsia="宋体" w:cs="宋体"/>
                <w:color w:val="auto"/>
                <w:kern w:val="0"/>
                <w:sz w:val="24"/>
                <w:szCs w:val="24"/>
                <w:highlight w:val="none"/>
              </w:rPr>
            </w:pPr>
          </w:p>
        </w:tc>
        <w:tc>
          <w:tcPr>
            <w:tcW w:w="491" w:type="dxa"/>
            <w:tcBorders>
              <w:bottom w:val="single" w:color="auto" w:sz="4" w:space="0"/>
            </w:tcBorders>
            <w:noWrap w:val="0"/>
            <w:vAlign w:val="center"/>
          </w:tcPr>
          <w:p w14:paraId="10893700">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188" w:type="dxa"/>
            <w:tcBorders>
              <w:bottom w:val="single" w:color="auto" w:sz="4" w:space="0"/>
            </w:tcBorders>
            <w:noWrap w:val="0"/>
            <w:vAlign w:val="center"/>
          </w:tcPr>
          <w:p w14:paraId="322D0880">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认定</w:t>
            </w:r>
          </w:p>
        </w:tc>
        <w:tc>
          <w:tcPr>
            <w:tcW w:w="11992" w:type="dxa"/>
            <w:gridSpan w:val="4"/>
            <w:tcBorders>
              <w:bottom w:val="single" w:color="auto" w:sz="4" w:space="0"/>
            </w:tcBorders>
            <w:noWrap w:val="0"/>
            <w:vAlign w:val="center"/>
          </w:tcPr>
          <w:p w14:paraId="27B26CD2">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串通投标 </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是□    否□</w:t>
            </w:r>
          </w:p>
        </w:tc>
      </w:tr>
    </w:tbl>
    <w:p w14:paraId="3E47C0B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注：1.评标委员会应将证据、记录、澄清等相关依据文件保存完整；</w:t>
      </w:r>
    </w:p>
    <w:p w14:paraId="534BE164">
      <w:pPr>
        <w:widowControl/>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2.评标委员会按照少数服从多数的原则进行表决；</w:t>
      </w:r>
    </w:p>
    <w:p w14:paraId="66697F01">
      <w:pPr>
        <w:widowControl/>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3.评审工程量清单综合单价相似的仅限于投标人投标报价中分部分项工程量清单综合单价。</w:t>
      </w:r>
    </w:p>
    <w:p w14:paraId="6E7B54A8">
      <w:pPr>
        <w:widowControl/>
        <w:jc w:val="left"/>
        <w:rPr>
          <w:rFonts w:hint="eastAsia" w:ascii="宋体" w:hAnsi="宋体" w:eastAsia="宋体" w:cs="宋体"/>
          <w:b/>
          <w:color w:val="auto"/>
          <w:kern w:val="0"/>
          <w:sz w:val="24"/>
          <w:szCs w:val="24"/>
          <w:highlight w:val="none"/>
        </w:rPr>
      </w:pPr>
    </w:p>
    <w:p w14:paraId="31B5B100">
      <w:pPr>
        <w:widowControl/>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评标委员会签名：                                                                      日期：</w:t>
      </w:r>
    </w:p>
    <w:p w14:paraId="5FF1873A">
      <w:pPr>
        <w:outlineLvl w:val="2"/>
        <w:rPr>
          <w:rFonts w:ascii="宋体" w:hAnsi="宋体" w:eastAsia="宋体" w:cs="宋体"/>
          <w:b/>
          <w:color w:val="auto"/>
          <w:kern w:val="0"/>
          <w:sz w:val="24"/>
          <w:szCs w:val="24"/>
          <w:highlight w:val="none"/>
        </w:rPr>
      </w:pPr>
      <w:r>
        <w:rPr>
          <w:rFonts w:ascii="宋体" w:hAnsi="宋体" w:eastAsia="宋体" w:cs="宋体"/>
          <w:b/>
          <w:color w:val="auto"/>
          <w:kern w:val="0"/>
          <w:sz w:val="24"/>
          <w:szCs w:val="24"/>
          <w:highlight w:val="none"/>
        </w:rPr>
        <w:br w:type="page"/>
      </w:r>
      <w:bookmarkStart w:id="224" w:name="_Toc15680"/>
    </w:p>
    <w:p w14:paraId="7B386DBE">
      <w:pPr>
        <w:outlineLvl w:val="2"/>
        <w:rPr>
          <w:rFonts w:ascii="宋体" w:hAnsi="宋体" w:eastAsia="宋体"/>
          <w:color w:val="auto"/>
          <w:sz w:val="24"/>
          <w:szCs w:val="24"/>
          <w:highlight w:val="none"/>
        </w:rPr>
      </w:pPr>
      <w:bookmarkStart w:id="225" w:name="_Toc19490"/>
      <w:bookmarkStart w:id="226" w:name="_Toc4279"/>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（适用于办法</w:t>
      </w:r>
      <w:r>
        <w:rPr>
          <w:rFonts w:hint="eastAsia" w:ascii="宋体" w:hAnsi="宋体" w:eastAsia="宋体"/>
          <w:color w:val="auto"/>
          <w:sz w:val="24"/>
          <w:szCs w:val="24"/>
          <w:highlight w:val="none"/>
          <w:lang w:eastAsia="zh-CN"/>
        </w:rPr>
        <w:t>一</w:t>
      </w:r>
      <w:r>
        <w:rPr>
          <w:rFonts w:hint="eastAsia" w:ascii="宋体" w:hAnsi="宋体" w:eastAsia="宋体"/>
          <w:color w:val="auto"/>
          <w:sz w:val="24"/>
          <w:szCs w:val="24"/>
          <w:highlight w:val="none"/>
        </w:rPr>
        <w:t>）</w:t>
      </w:r>
      <w:bookmarkEnd w:id="224"/>
      <w:bookmarkEnd w:id="225"/>
      <w:bookmarkEnd w:id="226"/>
    </w:p>
    <w:p w14:paraId="4294DFC7">
      <w:pPr>
        <w:jc w:val="center"/>
        <w:rPr>
          <w:rFonts w:hint="eastAsia" w:ascii="宋体" w:hAnsi="宋体" w:eastAsia="宋体"/>
          <w:b/>
          <w:color w:val="auto"/>
          <w:sz w:val="36"/>
          <w:szCs w:val="36"/>
          <w:highlight w:val="none"/>
        </w:rPr>
      </w:pPr>
      <w:r>
        <w:rPr>
          <w:rFonts w:hint="eastAsia" w:ascii="宋体" w:hAnsi="宋体" w:eastAsia="宋体"/>
          <w:b/>
          <w:color w:val="auto"/>
          <w:sz w:val="32"/>
          <w:szCs w:val="32"/>
          <w:highlight w:val="none"/>
          <w:lang w:eastAsia="zh-CN"/>
        </w:rPr>
        <w:t>技术部分（施工组织方案）</w:t>
      </w:r>
      <w:r>
        <w:rPr>
          <w:rFonts w:hint="eastAsia" w:ascii="宋体" w:hAnsi="宋体" w:eastAsia="宋体"/>
          <w:b/>
          <w:color w:val="auto"/>
          <w:sz w:val="32"/>
          <w:szCs w:val="32"/>
          <w:highlight w:val="none"/>
        </w:rPr>
        <w:t>文件否决性条款审查表</w:t>
      </w:r>
    </w:p>
    <w:p w14:paraId="24EA8C0B">
      <w:pPr>
        <w:tabs>
          <w:tab w:val="left" w:pos="720"/>
        </w:tabs>
        <w:snapToGrid w:val="0"/>
        <w:spacing w:line="360"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工程名称：</w:t>
      </w:r>
    </w:p>
    <w:tbl>
      <w:tblPr>
        <w:tblStyle w:val="16"/>
        <w:tblW w:w="0" w:type="auto"/>
        <w:tblInd w:w="3" w:type="dxa"/>
        <w:tblLayout w:type="fixed"/>
        <w:tblCellMar>
          <w:top w:w="0" w:type="dxa"/>
          <w:left w:w="108" w:type="dxa"/>
          <w:bottom w:w="0" w:type="dxa"/>
          <w:right w:w="108" w:type="dxa"/>
        </w:tblCellMar>
      </w:tblPr>
      <w:tblGrid>
        <w:gridCol w:w="656"/>
        <w:gridCol w:w="8269"/>
        <w:gridCol w:w="1080"/>
        <w:gridCol w:w="1080"/>
        <w:gridCol w:w="1080"/>
        <w:gridCol w:w="1080"/>
        <w:gridCol w:w="1080"/>
      </w:tblGrid>
      <w:tr w14:paraId="0F5DA179">
        <w:tblPrEx>
          <w:tblCellMar>
            <w:top w:w="0" w:type="dxa"/>
            <w:left w:w="108" w:type="dxa"/>
            <w:bottom w:w="0" w:type="dxa"/>
            <w:right w:w="108" w:type="dxa"/>
          </w:tblCellMar>
        </w:tblPrEx>
        <w:trPr>
          <w:trHeight w:val="44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10EF751C">
            <w:pPr>
              <w:spacing w:line="240" w:lineRule="exact"/>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826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346DCB9D">
            <w:pPr>
              <w:rPr>
                <w:rFonts w:hint="eastAsia" w:ascii="宋体" w:hAnsi="宋体" w:eastAsia="宋体"/>
                <w:color w:val="auto"/>
                <w:szCs w:val="21"/>
                <w:highlight w:val="none"/>
              </w:rPr>
            </w:pPr>
            <w:r>
              <w:rPr>
                <w:rFonts w:hint="eastAsia" w:ascii="宋体" w:hAnsi="宋体" w:eastAsia="宋体"/>
                <w:color w:val="auto"/>
                <w:szCs w:val="21"/>
                <w:highlight w:val="none"/>
              </w:rPr>
              <w:t xml:space="preserve">                                      投标人</w:t>
            </w:r>
          </w:p>
          <w:p w14:paraId="56214A83">
            <w:pPr>
              <w:rPr>
                <w:rFonts w:ascii="宋体" w:hAnsi="宋体" w:eastAsia="宋体"/>
                <w:color w:val="auto"/>
                <w:szCs w:val="21"/>
                <w:highlight w:val="none"/>
              </w:rPr>
            </w:pPr>
            <w:r>
              <w:rPr>
                <w:rFonts w:hint="eastAsia" w:ascii="宋体" w:hAnsi="宋体" w:eastAsia="宋体"/>
                <w:color w:val="auto"/>
                <w:szCs w:val="21"/>
                <w:highlight w:val="none"/>
              </w:rPr>
              <w:t>评审内容</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6B8F8CE3">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4E5C925">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BB5440E">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06534D0">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EB8F43A">
            <w:pPr>
              <w:rPr>
                <w:rFonts w:ascii="宋体" w:hAnsi="宋体" w:eastAsia="宋体"/>
                <w:color w:val="auto"/>
                <w:szCs w:val="21"/>
                <w:highlight w:val="none"/>
              </w:rPr>
            </w:pPr>
          </w:p>
        </w:tc>
      </w:tr>
      <w:tr w14:paraId="6DB27D62">
        <w:tblPrEx>
          <w:tblCellMar>
            <w:top w:w="0" w:type="dxa"/>
            <w:left w:w="108" w:type="dxa"/>
            <w:bottom w:w="0" w:type="dxa"/>
            <w:right w:w="108" w:type="dxa"/>
          </w:tblCellMar>
        </w:tblPrEx>
        <w:trPr>
          <w:trHeight w:val="312"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3D75BAD1">
            <w:pPr>
              <w:jc w:val="center"/>
              <w:rPr>
                <w:rFonts w:hint="eastAsia" w:ascii="宋体" w:hAnsi="宋体" w:eastAsia="宋体"/>
                <w:color w:val="auto"/>
                <w:szCs w:val="21"/>
                <w:highlight w:val="none"/>
              </w:rPr>
            </w:pPr>
            <w:r>
              <w:rPr>
                <w:rFonts w:hint="eastAsia" w:ascii="宋体" w:hAnsi="宋体" w:eastAsia="宋体"/>
                <w:color w:val="auto"/>
                <w:szCs w:val="21"/>
                <w:highlight w:val="none"/>
              </w:rPr>
              <w:t>1</w:t>
            </w:r>
          </w:p>
        </w:tc>
        <w:tc>
          <w:tcPr>
            <w:tcW w:w="8269" w:type="dxa"/>
            <w:tcBorders>
              <w:top w:val="single" w:color="auto" w:sz="4" w:space="0"/>
              <w:left w:val="single" w:color="auto" w:sz="4" w:space="0"/>
              <w:bottom w:val="single" w:color="auto" w:sz="4" w:space="0"/>
              <w:right w:val="single" w:color="auto" w:sz="4" w:space="0"/>
            </w:tcBorders>
            <w:noWrap w:val="0"/>
            <w:vAlign w:val="center"/>
          </w:tcPr>
          <w:p w14:paraId="66A933CF">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lang w:eastAsia="zh-CN"/>
              </w:rPr>
              <w:t>技术部分（施工组织方案）</w:t>
            </w:r>
            <w:r>
              <w:rPr>
                <w:rFonts w:hint="eastAsia" w:ascii="宋体" w:hAnsi="宋体" w:eastAsia="宋体"/>
                <w:color w:val="auto"/>
                <w:szCs w:val="21"/>
                <w:highlight w:val="none"/>
              </w:rPr>
              <w:t>有明显抄袭行为的；</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430C8C">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B866B4F">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580E908">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F90BDBE">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2133BA9">
            <w:pPr>
              <w:rPr>
                <w:rFonts w:ascii="宋体" w:hAnsi="宋体" w:eastAsia="宋体"/>
                <w:color w:val="auto"/>
                <w:szCs w:val="21"/>
                <w:highlight w:val="none"/>
              </w:rPr>
            </w:pPr>
          </w:p>
        </w:tc>
      </w:tr>
      <w:tr w14:paraId="34CF76F7">
        <w:tblPrEx>
          <w:tblCellMar>
            <w:top w:w="0" w:type="dxa"/>
            <w:left w:w="108" w:type="dxa"/>
            <w:bottom w:w="0" w:type="dxa"/>
            <w:right w:w="108" w:type="dxa"/>
          </w:tblCellMar>
        </w:tblPrEx>
        <w:trPr>
          <w:trHeight w:val="312"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4A4B7513">
            <w:pPr>
              <w:jc w:val="center"/>
              <w:rPr>
                <w:rFonts w:hint="eastAsia" w:ascii="宋体" w:hAnsi="宋体" w:eastAsia="宋体"/>
                <w:color w:val="auto"/>
                <w:szCs w:val="21"/>
                <w:highlight w:val="none"/>
              </w:rPr>
            </w:pPr>
            <w:r>
              <w:rPr>
                <w:rFonts w:hint="eastAsia" w:ascii="宋体" w:hAnsi="宋体" w:eastAsia="宋体"/>
                <w:color w:val="auto"/>
                <w:szCs w:val="21"/>
                <w:highlight w:val="none"/>
              </w:rPr>
              <w:t>2</w:t>
            </w:r>
          </w:p>
        </w:tc>
        <w:tc>
          <w:tcPr>
            <w:tcW w:w="8269" w:type="dxa"/>
            <w:tcBorders>
              <w:top w:val="single" w:color="auto" w:sz="4" w:space="0"/>
              <w:left w:val="single" w:color="auto" w:sz="4" w:space="0"/>
              <w:bottom w:val="single" w:color="auto" w:sz="4" w:space="0"/>
              <w:right w:val="single" w:color="auto" w:sz="4" w:space="0"/>
            </w:tcBorders>
            <w:noWrap w:val="0"/>
            <w:vAlign w:val="center"/>
          </w:tcPr>
          <w:p w14:paraId="3383A776">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lang w:eastAsia="zh-CN"/>
              </w:rPr>
              <w:t>技术部分（施工组织方案）</w:t>
            </w:r>
            <w:r>
              <w:rPr>
                <w:rFonts w:hint="eastAsia" w:ascii="宋体" w:hAnsi="宋体" w:eastAsia="宋体"/>
                <w:color w:val="auto"/>
                <w:szCs w:val="21"/>
                <w:highlight w:val="none"/>
              </w:rPr>
              <w:t>侵犯他人著作权和特许权的；</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6B70B0B">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7E34827">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86BA8B">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DF5F296">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B786C63">
            <w:pPr>
              <w:rPr>
                <w:rFonts w:ascii="宋体" w:hAnsi="宋体" w:eastAsia="宋体"/>
                <w:color w:val="auto"/>
                <w:szCs w:val="21"/>
                <w:highlight w:val="none"/>
              </w:rPr>
            </w:pPr>
          </w:p>
        </w:tc>
      </w:tr>
      <w:tr w14:paraId="3E785D08">
        <w:tblPrEx>
          <w:tblCellMar>
            <w:top w:w="0" w:type="dxa"/>
            <w:left w:w="108" w:type="dxa"/>
            <w:bottom w:w="0" w:type="dxa"/>
            <w:right w:w="108" w:type="dxa"/>
          </w:tblCellMar>
        </w:tblPrEx>
        <w:trPr>
          <w:trHeight w:val="90"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253CE725">
            <w:pPr>
              <w:jc w:val="center"/>
              <w:rPr>
                <w:rFonts w:hint="eastAsia" w:ascii="宋体" w:hAnsi="宋体" w:eastAsia="宋体"/>
                <w:color w:val="auto"/>
                <w:szCs w:val="21"/>
                <w:highlight w:val="none"/>
              </w:rPr>
            </w:pPr>
            <w:r>
              <w:rPr>
                <w:rFonts w:hint="eastAsia" w:ascii="宋体" w:hAnsi="宋体" w:eastAsia="宋体"/>
                <w:color w:val="auto"/>
                <w:szCs w:val="21"/>
                <w:highlight w:val="none"/>
              </w:rPr>
              <w:t>3</w:t>
            </w:r>
          </w:p>
        </w:tc>
        <w:tc>
          <w:tcPr>
            <w:tcW w:w="8269" w:type="dxa"/>
            <w:tcBorders>
              <w:top w:val="single" w:color="auto" w:sz="4" w:space="0"/>
              <w:left w:val="single" w:color="auto" w:sz="4" w:space="0"/>
              <w:bottom w:val="single" w:color="auto" w:sz="4" w:space="0"/>
              <w:right w:val="single" w:color="auto" w:sz="4" w:space="0"/>
            </w:tcBorders>
            <w:noWrap w:val="0"/>
            <w:vAlign w:val="center"/>
          </w:tcPr>
          <w:p w14:paraId="4192E560">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rPr>
              <w:t>发现投标人在</w:t>
            </w:r>
            <w:r>
              <w:rPr>
                <w:rFonts w:hint="eastAsia" w:ascii="宋体" w:hAnsi="宋体" w:eastAsia="宋体"/>
                <w:color w:val="auto"/>
                <w:szCs w:val="21"/>
                <w:highlight w:val="none"/>
                <w:lang w:eastAsia="zh-CN"/>
              </w:rPr>
              <w:t>技术部分（施工组织方案）</w:t>
            </w:r>
            <w:r>
              <w:rPr>
                <w:rFonts w:hint="eastAsia" w:ascii="宋体" w:hAnsi="宋体" w:eastAsia="宋体"/>
                <w:color w:val="auto"/>
                <w:szCs w:val="21"/>
                <w:highlight w:val="none"/>
              </w:rPr>
              <w:t>内标注名称、印章、商标、投标金额等记认符号（或使人辨认出投标人或其专业技术人员的身份）或出现涉及人员姓名、简历、等暴露投标人身份的内容。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FEF2B6">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B6208F0">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6A49B76">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A8C652B">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46FFDBE">
            <w:pPr>
              <w:rPr>
                <w:rFonts w:ascii="宋体" w:hAnsi="宋体" w:eastAsia="宋体"/>
                <w:color w:val="auto"/>
                <w:szCs w:val="21"/>
                <w:highlight w:val="none"/>
              </w:rPr>
            </w:pPr>
          </w:p>
        </w:tc>
      </w:tr>
      <w:tr w14:paraId="5DB074AA">
        <w:tblPrEx>
          <w:tblCellMar>
            <w:top w:w="0" w:type="dxa"/>
            <w:left w:w="108" w:type="dxa"/>
            <w:bottom w:w="0" w:type="dxa"/>
            <w:right w:w="108" w:type="dxa"/>
          </w:tblCellMar>
        </w:tblPrEx>
        <w:trPr>
          <w:trHeight w:val="90"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159A9AC7">
            <w:pPr>
              <w:jc w:val="center"/>
              <w:rPr>
                <w:rFonts w:ascii="宋体" w:hAnsi="宋体" w:eastAsia="宋体"/>
                <w:color w:val="auto"/>
                <w:szCs w:val="21"/>
                <w:highlight w:val="none"/>
              </w:rPr>
            </w:pPr>
            <w:r>
              <w:rPr>
                <w:rFonts w:hint="eastAsia" w:ascii="宋体" w:hAnsi="宋体" w:eastAsia="宋体"/>
                <w:color w:val="auto"/>
                <w:szCs w:val="21"/>
                <w:highlight w:val="none"/>
              </w:rPr>
              <w:t>4</w:t>
            </w:r>
          </w:p>
        </w:tc>
        <w:tc>
          <w:tcPr>
            <w:tcW w:w="8269" w:type="dxa"/>
            <w:tcBorders>
              <w:top w:val="single" w:color="auto" w:sz="4" w:space="0"/>
              <w:left w:val="single" w:color="auto" w:sz="4" w:space="0"/>
              <w:bottom w:val="single" w:color="auto" w:sz="4" w:space="0"/>
              <w:right w:val="single" w:color="auto" w:sz="4" w:space="0"/>
            </w:tcBorders>
            <w:noWrap w:val="0"/>
            <w:vAlign w:val="center"/>
          </w:tcPr>
          <w:p w14:paraId="43D58872">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rPr>
              <w:t>存在串通投标情形（串通投标情形以《中华人民共和国</w:t>
            </w:r>
            <w:r>
              <w:rPr>
                <w:rFonts w:hint="eastAsia" w:ascii="宋体" w:hAnsi="宋体" w:eastAsia="宋体"/>
                <w:color w:val="auto"/>
                <w:szCs w:val="21"/>
                <w:highlight w:val="none"/>
                <w:lang w:eastAsia="zh-CN"/>
              </w:rPr>
              <w:t>招标</w:t>
            </w:r>
            <w:r>
              <w:rPr>
                <w:rFonts w:hint="eastAsia" w:ascii="宋体" w:hAnsi="宋体" w:eastAsia="宋体"/>
                <w:color w:val="auto"/>
                <w:szCs w:val="21"/>
                <w:highlight w:val="none"/>
              </w:rPr>
              <w:t>投标法实施条例》的规定为准）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C3C4BEA">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5C29E6D">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8A1BC08">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143E8B2">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9259AD5">
            <w:pPr>
              <w:rPr>
                <w:rFonts w:ascii="宋体" w:hAnsi="宋体" w:eastAsia="宋体"/>
                <w:color w:val="auto"/>
                <w:szCs w:val="21"/>
                <w:highlight w:val="none"/>
              </w:rPr>
            </w:pPr>
          </w:p>
        </w:tc>
      </w:tr>
    </w:tbl>
    <w:p w14:paraId="745BC083">
      <w:pPr>
        <w:spacing w:line="260" w:lineRule="exact"/>
        <w:rPr>
          <w:rFonts w:hint="eastAsia" w:ascii="宋体" w:hAnsi="宋体" w:eastAsia="宋体"/>
          <w:color w:val="auto"/>
          <w:szCs w:val="21"/>
          <w:highlight w:val="none"/>
        </w:rPr>
      </w:pPr>
      <w:r>
        <w:rPr>
          <w:rFonts w:hint="eastAsia" w:ascii="宋体" w:hAnsi="宋体" w:eastAsia="宋体"/>
          <w:color w:val="auto"/>
          <w:szCs w:val="21"/>
          <w:highlight w:val="none"/>
        </w:rPr>
        <w:t>注：1.本表使用GZYLZB202</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-1招标文件范本，与范本内容不同之处均以下划线标明。</w:t>
      </w:r>
    </w:p>
    <w:p w14:paraId="05BC604C">
      <w:pPr>
        <w:spacing w:line="26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2.凡出现《</w:t>
      </w:r>
      <w:r>
        <w:rPr>
          <w:rFonts w:hint="eastAsia" w:ascii="宋体" w:hAnsi="宋体" w:eastAsia="宋体"/>
          <w:color w:val="auto"/>
          <w:szCs w:val="21"/>
          <w:highlight w:val="none"/>
          <w:lang w:eastAsia="zh-CN"/>
        </w:rPr>
        <w:t>技术部分（施工组织方案）</w:t>
      </w:r>
      <w:r>
        <w:rPr>
          <w:rFonts w:hint="eastAsia" w:ascii="宋体" w:hAnsi="宋体" w:eastAsia="宋体"/>
          <w:color w:val="auto"/>
          <w:szCs w:val="21"/>
          <w:highlight w:val="none"/>
        </w:rPr>
        <w:t>文件否决性条款审查表》中任何一项情形，否决其投标。</w:t>
      </w:r>
    </w:p>
    <w:p w14:paraId="11299A42">
      <w:pPr>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3.如对本表中某种情形的评审意见不一致时，以评标委员会过半数成员的意见作为评标委员会对该情形的认定结论。</w:t>
      </w:r>
    </w:p>
    <w:p w14:paraId="7D5AFF3B">
      <w:pPr>
        <w:rPr>
          <w:rFonts w:hint="eastAsia" w:ascii="宋体" w:hAnsi="宋体" w:eastAsia="宋体"/>
          <w:color w:val="auto"/>
          <w:szCs w:val="21"/>
          <w:highlight w:val="none"/>
        </w:rPr>
      </w:pPr>
    </w:p>
    <w:p w14:paraId="2BD79E9F">
      <w:pPr>
        <w:spacing w:line="240" w:lineRule="exact"/>
        <w:rPr>
          <w:rFonts w:hint="eastAsia" w:ascii="宋体" w:hAnsi="宋体" w:eastAsia="宋体"/>
          <w:b/>
          <w:color w:val="auto"/>
          <w:szCs w:val="21"/>
          <w:highlight w:val="none"/>
        </w:rPr>
      </w:pPr>
      <w:r>
        <w:rPr>
          <w:rFonts w:hint="eastAsia" w:ascii="宋体" w:hAnsi="宋体" w:eastAsia="宋体"/>
          <w:b/>
          <w:color w:val="auto"/>
          <w:szCs w:val="21"/>
          <w:highlight w:val="none"/>
        </w:rPr>
        <w:t xml:space="preserve"> 评委签名：                                                                                        日期：</w:t>
      </w:r>
    </w:p>
    <w:p w14:paraId="732818B1">
      <w:pPr>
        <w:rPr>
          <w:rFonts w:hint="eastAsia" w:ascii="宋体" w:hAnsi="宋体" w:eastAsia="宋体"/>
          <w:color w:val="auto"/>
          <w:szCs w:val="21"/>
          <w:highlight w:val="none"/>
        </w:rPr>
        <w:sectPr>
          <w:headerReference r:id="rId9" w:type="first"/>
          <w:headerReference r:id="rId8" w:type="default"/>
          <w:endnotePr>
            <w:numFmt w:val="decimal"/>
          </w:endnotePr>
          <w:type w:val="continuous"/>
          <w:pgSz w:w="16783" w:h="11850" w:orient="landscape"/>
          <w:pgMar w:top="567" w:right="1247" w:bottom="567" w:left="1134" w:header="284" w:footer="284" w:gutter="0"/>
          <w:pgNumType w:fmt="decimal"/>
          <w:cols w:space="720" w:num="1"/>
          <w:titlePg/>
          <w:docGrid w:type="lines" w:linePitch="312" w:charSpace="0"/>
        </w:sectPr>
      </w:pPr>
    </w:p>
    <w:p w14:paraId="33E40343">
      <w:pPr>
        <w:widowControl/>
        <w:ind w:firstLine="482" w:firstLineChars="200"/>
        <w:jc w:val="left"/>
        <w:rPr>
          <w:rFonts w:ascii="宋体" w:hAnsi="宋体" w:eastAsia="宋体" w:cs="宋体"/>
          <w:b/>
          <w:color w:val="auto"/>
          <w:kern w:val="0"/>
          <w:sz w:val="24"/>
          <w:szCs w:val="24"/>
          <w:highlight w:val="none"/>
        </w:rPr>
        <w:sectPr>
          <w:endnotePr>
            <w:numFmt w:val="decimal"/>
          </w:endnotePr>
          <w:type w:val="continuous"/>
          <w:pgSz w:w="16783" w:h="11850" w:orient="landscape"/>
          <w:pgMar w:top="567" w:right="1247" w:bottom="567" w:left="1134" w:header="284" w:footer="284" w:gutter="0"/>
          <w:pgNumType w:fmt="decimal"/>
          <w:cols w:space="720" w:num="1"/>
          <w:titlePg/>
          <w:docGrid w:type="lines" w:linePitch="312" w:charSpace="0"/>
        </w:sectPr>
      </w:pPr>
    </w:p>
    <w:p w14:paraId="05CF974A">
      <w:pPr>
        <w:pStyle w:val="14"/>
        <w:ind w:firstLine="0"/>
        <w:outlineLvl w:val="2"/>
        <w:rPr>
          <w:rFonts w:ascii="宋体" w:hAnsi="宋体" w:eastAsia="宋体"/>
          <w:color w:val="auto"/>
          <w:szCs w:val="21"/>
          <w:highlight w:val="none"/>
        </w:rPr>
      </w:pPr>
      <w:bookmarkStart w:id="227" w:name="_Toc20530"/>
      <w:bookmarkStart w:id="228" w:name="_Toc32064"/>
      <w:bookmarkStart w:id="229" w:name="_Toc19944"/>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（适用于办法</w:t>
      </w:r>
      <w:r>
        <w:rPr>
          <w:rFonts w:hint="eastAsia" w:ascii="宋体" w:hAnsi="宋体" w:eastAsia="宋体"/>
          <w:color w:val="auto"/>
          <w:sz w:val="24"/>
          <w:szCs w:val="24"/>
          <w:highlight w:val="none"/>
          <w:lang w:eastAsia="zh-CN"/>
        </w:rPr>
        <w:t>一</w:t>
      </w:r>
      <w:r>
        <w:rPr>
          <w:rFonts w:hint="eastAsia" w:ascii="宋体" w:hAnsi="宋体" w:eastAsia="宋体"/>
          <w:color w:val="auto"/>
          <w:sz w:val="24"/>
          <w:szCs w:val="24"/>
          <w:highlight w:val="none"/>
        </w:rPr>
        <w:t>）</w:t>
      </w:r>
      <w:bookmarkEnd w:id="227"/>
      <w:bookmarkEnd w:id="228"/>
      <w:bookmarkEnd w:id="229"/>
    </w:p>
    <w:p w14:paraId="45FB0B97">
      <w:pPr>
        <w:widowControl/>
        <w:spacing w:line="360" w:lineRule="auto"/>
        <w:jc w:val="center"/>
        <w:rPr>
          <w:b/>
          <w:bCs/>
          <w:color w:val="auto"/>
          <w:kern w:val="0"/>
          <w:sz w:val="28"/>
          <w:szCs w:val="28"/>
          <w:highlight w:val="none"/>
        </w:rPr>
      </w:pPr>
    </w:p>
    <w:p w14:paraId="5074889F">
      <w:pPr>
        <w:widowControl/>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lang w:eastAsia="zh-CN"/>
        </w:rPr>
        <w:t>技术部分（施工组织方案）</w:t>
      </w:r>
      <w:r>
        <w:rPr>
          <w:rFonts w:hint="eastAsia" w:ascii="宋体" w:hAnsi="宋体" w:eastAsia="宋体"/>
          <w:b/>
          <w:color w:val="auto"/>
          <w:sz w:val="36"/>
          <w:szCs w:val="36"/>
          <w:highlight w:val="none"/>
        </w:rPr>
        <w:t>编号确认表</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4280"/>
      </w:tblGrid>
      <w:tr w14:paraId="0667D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14:paraId="2AD42EF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420" w:type="dxa"/>
            <w:noWrap w:val="0"/>
            <w:vAlign w:val="center"/>
          </w:tcPr>
          <w:p w14:paraId="2C566D4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暗标编号</w:t>
            </w:r>
          </w:p>
        </w:tc>
        <w:tc>
          <w:tcPr>
            <w:tcW w:w="4280" w:type="dxa"/>
            <w:noWrap w:val="0"/>
            <w:vAlign w:val="center"/>
          </w:tcPr>
          <w:p w14:paraId="554E4DC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确认的投标人名称</w:t>
            </w:r>
          </w:p>
        </w:tc>
      </w:tr>
      <w:tr w14:paraId="693BA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4BB789DC">
            <w:pPr>
              <w:tabs>
                <w:tab w:val="left" w:pos="4680"/>
              </w:tabs>
              <w:spacing w:line="360" w:lineRule="auto"/>
              <w:rPr>
                <w:b/>
                <w:bCs/>
                <w:color w:val="auto"/>
                <w:szCs w:val="21"/>
                <w:highlight w:val="none"/>
                <w:u w:val="single"/>
              </w:rPr>
            </w:pPr>
          </w:p>
        </w:tc>
        <w:tc>
          <w:tcPr>
            <w:tcW w:w="3420" w:type="dxa"/>
            <w:noWrap w:val="0"/>
            <w:vAlign w:val="top"/>
          </w:tcPr>
          <w:p w14:paraId="72726CE2">
            <w:pPr>
              <w:tabs>
                <w:tab w:val="left" w:pos="4680"/>
              </w:tabs>
              <w:spacing w:line="360" w:lineRule="auto"/>
              <w:rPr>
                <w:b/>
                <w:bCs/>
                <w:color w:val="auto"/>
                <w:szCs w:val="21"/>
                <w:highlight w:val="none"/>
                <w:u w:val="single"/>
              </w:rPr>
            </w:pPr>
          </w:p>
        </w:tc>
        <w:tc>
          <w:tcPr>
            <w:tcW w:w="4280" w:type="dxa"/>
            <w:noWrap w:val="0"/>
            <w:vAlign w:val="top"/>
          </w:tcPr>
          <w:p w14:paraId="1BDF456B">
            <w:pPr>
              <w:tabs>
                <w:tab w:val="left" w:pos="4680"/>
              </w:tabs>
              <w:spacing w:line="360" w:lineRule="auto"/>
              <w:rPr>
                <w:b/>
                <w:bCs/>
                <w:color w:val="auto"/>
                <w:szCs w:val="21"/>
                <w:highlight w:val="none"/>
                <w:u w:val="single"/>
              </w:rPr>
            </w:pPr>
          </w:p>
        </w:tc>
      </w:tr>
      <w:tr w14:paraId="760DE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298E473F">
            <w:pPr>
              <w:tabs>
                <w:tab w:val="left" w:pos="4680"/>
              </w:tabs>
              <w:spacing w:line="360" w:lineRule="auto"/>
              <w:rPr>
                <w:b/>
                <w:bCs/>
                <w:color w:val="auto"/>
                <w:szCs w:val="21"/>
                <w:highlight w:val="none"/>
                <w:u w:val="single"/>
              </w:rPr>
            </w:pPr>
          </w:p>
        </w:tc>
        <w:tc>
          <w:tcPr>
            <w:tcW w:w="3420" w:type="dxa"/>
            <w:noWrap w:val="0"/>
            <w:vAlign w:val="top"/>
          </w:tcPr>
          <w:p w14:paraId="24853599">
            <w:pPr>
              <w:tabs>
                <w:tab w:val="left" w:pos="4680"/>
              </w:tabs>
              <w:spacing w:line="360" w:lineRule="auto"/>
              <w:rPr>
                <w:b/>
                <w:bCs/>
                <w:color w:val="auto"/>
                <w:szCs w:val="21"/>
                <w:highlight w:val="none"/>
                <w:u w:val="single"/>
              </w:rPr>
            </w:pPr>
          </w:p>
        </w:tc>
        <w:tc>
          <w:tcPr>
            <w:tcW w:w="4280" w:type="dxa"/>
            <w:noWrap w:val="0"/>
            <w:vAlign w:val="top"/>
          </w:tcPr>
          <w:p w14:paraId="129A2FAF">
            <w:pPr>
              <w:tabs>
                <w:tab w:val="left" w:pos="4680"/>
              </w:tabs>
              <w:spacing w:line="360" w:lineRule="auto"/>
              <w:rPr>
                <w:b/>
                <w:bCs/>
                <w:color w:val="auto"/>
                <w:szCs w:val="21"/>
                <w:highlight w:val="none"/>
                <w:u w:val="single"/>
              </w:rPr>
            </w:pPr>
          </w:p>
        </w:tc>
      </w:tr>
      <w:tr w14:paraId="067C4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5D81AB36">
            <w:pPr>
              <w:tabs>
                <w:tab w:val="left" w:pos="4680"/>
              </w:tabs>
              <w:spacing w:line="360" w:lineRule="auto"/>
              <w:rPr>
                <w:b/>
                <w:bCs/>
                <w:color w:val="auto"/>
                <w:szCs w:val="21"/>
                <w:highlight w:val="none"/>
                <w:u w:val="single"/>
              </w:rPr>
            </w:pPr>
          </w:p>
        </w:tc>
        <w:tc>
          <w:tcPr>
            <w:tcW w:w="3420" w:type="dxa"/>
            <w:noWrap w:val="0"/>
            <w:vAlign w:val="top"/>
          </w:tcPr>
          <w:p w14:paraId="363A8AF9">
            <w:pPr>
              <w:tabs>
                <w:tab w:val="left" w:pos="4680"/>
              </w:tabs>
              <w:spacing w:line="360" w:lineRule="auto"/>
              <w:rPr>
                <w:b/>
                <w:bCs/>
                <w:color w:val="auto"/>
                <w:szCs w:val="21"/>
                <w:highlight w:val="none"/>
                <w:u w:val="single"/>
              </w:rPr>
            </w:pPr>
          </w:p>
        </w:tc>
        <w:tc>
          <w:tcPr>
            <w:tcW w:w="4280" w:type="dxa"/>
            <w:noWrap w:val="0"/>
            <w:vAlign w:val="top"/>
          </w:tcPr>
          <w:p w14:paraId="0BF9A7CC">
            <w:pPr>
              <w:tabs>
                <w:tab w:val="left" w:pos="4680"/>
              </w:tabs>
              <w:spacing w:line="360" w:lineRule="auto"/>
              <w:rPr>
                <w:b/>
                <w:bCs/>
                <w:color w:val="auto"/>
                <w:szCs w:val="21"/>
                <w:highlight w:val="none"/>
                <w:u w:val="single"/>
              </w:rPr>
            </w:pPr>
          </w:p>
        </w:tc>
      </w:tr>
      <w:tr w14:paraId="39A49D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37C6CC27">
            <w:pPr>
              <w:tabs>
                <w:tab w:val="left" w:pos="4680"/>
              </w:tabs>
              <w:spacing w:line="360" w:lineRule="auto"/>
              <w:rPr>
                <w:b/>
                <w:bCs/>
                <w:color w:val="auto"/>
                <w:szCs w:val="21"/>
                <w:highlight w:val="none"/>
                <w:u w:val="single"/>
              </w:rPr>
            </w:pPr>
          </w:p>
        </w:tc>
        <w:tc>
          <w:tcPr>
            <w:tcW w:w="3420" w:type="dxa"/>
            <w:noWrap w:val="0"/>
            <w:vAlign w:val="top"/>
          </w:tcPr>
          <w:p w14:paraId="793519E7">
            <w:pPr>
              <w:tabs>
                <w:tab w:val="left" w:pos="4680"/>
              </w:tabs>
              <w:spacing w:line="360" w:lineRule="auto"/>
              <w:rPr>
                <w:b/>
                <w:bCs/>
                <w:color w:val="auto"/>
                <w:szCs w:val="21"/>
                <w:highlight w:val="none"/>
                <w:u w:val="single"/>
              </w:rPr>
            </w:pPr>
          </w:p>
        </w:tc>
        <w:tc>
          <w:tcPr>
            <w:tcW w:w="4280" w:type="dxa"/>
            <w:noWrap w:val="0"/>
            <w:vAlign w:val="top"/>
          </w:tcPr>
          <w:p w14:paraId="603AE797">
            <w:pPr>
              <w:tabs>
                <w:tab w:val="left" w:pos="4680"/>
              </w:tabs>
              <w:spacing w:line="360" w:lineRule="auto"/>
              <w:rPr>
                <w:b/>
                <w:bCs/>
                <w:color w:val="auto"/>
                <w:szCs w:val="21"/>
                <w:highlight w:val="none"/>
                <w:u w:val="single"/>
              </w:rPr>
            </w:pPr>
          </w:p>
        </w:tc>
      </w:tr>
      <w:tr w14:paraId="69F765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692407AE">
            <w:pPr>
              <w:tabs>
                <w:tab w:val="left" w:pos="4680"/>
              </w:tabs>
              <w:spacing w:line="360" w:lineRule="auto"/>
              <w:rPr>
                <w:b/>
                <w:bCs/>
                <w:color w:val="auto"/>
                <w:szCs w:val="21"/>
                <w:highlight w:val="none"/>
                <w:u w:val="single"/>
              </w:rPr>
            </w:pPr>
          </w:p>
        </w:tc>
        <w:tc>
          <w:tcPr>
            <w:tcW w:w="3420" w:type="dxa"/>
            <w:noWrap w:val="0"/>
            <w:vAlign w:val="top"/>
          </w:tcPr>
          <w:p w14:paraId="6A7F4B27">
            <w:pPr>
              <w:tabs>
                <w:tab w:val="left" w:pos="4680"/>
              </w:tabs>
              <w:spacing w:line="360" w:lineRule="auto"/>
              <w:rPr>
                <w:b/>
                <w:bCs/>
                <w:color w:val="auto"/>
                <w:szCs w:val="21"/>
                <w:highlight w:val="none"/>
                <w:u w:val="single"/>
              </w:rPr>
            </w:pPr>
          </w:p>
        </w:tc>
        <w:tc>
          <w:tcPr>
            <w:tcW w:w="4280" w:type="dxa"/>
            <w:noWrap w:val="0"/>
            <w:vAlign w:val="top"/>
          </w:tcPr>
          <w:p w14:paraId="4B56BD62">
            <w:pPr>
              <w:tabs>
                <w:tab w:val="left" w:pos="4680"/>
              </w:tabs>
              <w:spacing w:line="360" w:lineRule="auto"/>
              <w:rPr>
                <w:b/>
                <w:bCs/>
                <w:color w:val="auto"/>
                <w:szCs w:val="21"/>
                <w:highlight w:val="none"/>
                <w:u w:val="single"/>
              </w:rPr>
            </w:pPr>
          </w:p>
        </w:tc>
      </w:tr>
      <w:tr w14:paraId="68E3E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26024D78">
            <w:pPr>
              <w:tabs>
                <w:tab w:val="left" w:pos="4680"/>
              </w:tabs>
              <w:spacing w:line="360" w:lineRule="auto"/>
              <w:rPr>
                <w:b/>
                <w:bCs/>
                <w:color w:val="auto"/>
                <w:szCs w:val="21"/>
                <w:highlight w:val="none"/>
                <w:u w:val="single"/>
              </w:rPr>
            </w:pPr>
          </w:p>
        </w:tc>
        <w:tc>
          <w:tcPr>
            <w:tcW w:w="3420" w:type="dxa"/>
            <w:noWrap w:val="0"/>
            <w:vAlign w:val="top"/>
          </w:tcPr>
          <w:p w14:paraId="7235CC90">
            <w:pPr>
              <w:tabs>
                <w:tab w:val="left" w:pos="4680"/>
              </w:tabs>
              <w:spacing w:line="360" w:lineRule="auto"/>
              <w:rPr>
                <w:b/>
                <w:bCs/>
                <w:color w:val="auto"/>
                <w:szCs w:val="21"/>
                <w:highlight w:val="none"/>
                <w:u w:val="single"/>
              </w:rPr>
            </w:pPr>
          </w:p>
        </w:tc>
        <w:tc>
          <w:tcPr>
            <w:tcW w:w="4280" w:type="dxa"/>
            <w:noWrap w:val="0"/>
            <w:vAlign w:val="top"/>
          </w:tcPr>
          <w:p w14:paraId="305B2AB9">
            <w:pPr>
              <w:tabs>
                <w:tab w:val="left" w:pos="4680"/>
              </w:tabs>
              <w:spacing w:line="360" w:lineRule="auto"/>
              <w:rPr>
                <w:b/>
                <w:bCs/>
                <w:color w:val="auto"/>
                <w:szCs w:val="21"/>
                <w:highlight w:val="none"/>
                <w:u w:val="single"/>
              </w:rPr>
            </w:pPr>
          </w:p>
        </w:tc>
      </w:tr>
      <w:tr w14:paraId="464B0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70EB0327">
            <w:pPr>
              <w:tabs>
                <w:tab w:val="left" w:pos="4680"/>
              </w:tabs>
              <w:spacing w:line="360" w:lineRule="auto"/>
              <w:rPr>
                <w:b/>
                <w:bCs/>
                <w:color w:val="auto"/>
                <w:szCs w:val="21"/>
                <w:highlight w:val="none"/>
                <w:u w:val="single"/>
              </w:rPr>
            </w:pPr>
          </w:p>
        </w:tc>
        <w:tc>
          <w:tcPr>
            <w:tcW w:w="3420" w:type="dxa"/>
            <w:noWrap w:val="0"/>
            <w:vAlign w:val="top"/>
          </w:tcPr>
          <w:p w14:paraId="6AA88EFF">
            <w:pPr>
              <w:tabs>
                <w:tab w:val="left" w:pos="4680"/>
              </w:tabs>
              <w:spacing w:line="360" w:lineRule="auto"/>
              <w:rPr>
                <w:b/>
                <w:bCs/>
                <w:color w:val="auto"/>
                <w:szCs w:val="21"/>
                <w:highlight w:val="none"/>
                <w:u w:val="single"/>
              </w:rPr>
            </w:pPr>
          </w:p>
        </w:tc>
        <w:tc>
          <w:tcPr>
            <w:tcW w:w="4280" w:type="dxa"/>
            <w:noWrap w:val="0"/>
            <w:vAlign w:val="top"/>
          </w:tcPr>
          <w:p w14:paraId="4B9B43FF">
            <w:pPr>
              <w:tabs>
                <w:tab w:val="left" w:pos="4680"/>
              </w:tabs>
              <w:spacing w:line="360" w:lineRule="auto"/>
              <w:rPr>
                <w:b/>
                <w:bCs/>
                <w:color w:val="auto"/>
                <w:szCs w:val="21"/>
                <w:highlight w:val="none"/>
                <w:u w:val="single"/>
              </w:rPr>
            </w:pPr>
          </w:p>
        </w:tc>
      </w:tr>
      <w:tr w14:paraId="07015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36F1E0DA">
            <w:pPr>
              <w:tabs>
                <w:tab w:val="left" w:pos="4680"/>
              </w:tabs>
              <w:spacing w:line="360" w:lineRule="auto"/>
              <w:rPr>
                <w:b/>
                <w:bCs/>
                <w:color w:val="auto"/>
                <w:szCs w:val="21"/>
                <w:highlight w:val="none"/>
                <w:u w:val="single"/>
              </w:rPr>
            </w:pPr>
          </w:p>
        </w:tc>
        <w:tc>
          <w:tcPr>
            <w:tcW w:w="3420" w:type="dxa"/>
            <w:noWrap w:val="0"/>
            <w:vAlign w:val="top"/>
          </w:tcPr>
          <w:p w14:paraId="74783F0A">
            <w:pPr>
              <w:tabs>
                <w:tab w:val="left" w:pos="4680"/>
              </w:tabs>
              <w:spacing w:line="360" w:lineRule="auto"/>
              <w:rPr>
                <w:b/>
                <w:bCs/>
                <w:color w:val="auto"/>
                <w:szCs w:val="21"/>
                <w:highlight w:val="none"/>
                <w:u w:val="single"/>
              </w:rPr>
            </w:pPr>
          </w:p>
        </w:tc>
        <w:tc>
          <w:tcPr>
            <w:tcW w:w="4280" w:type="dxa"/>
            <w:noWrap w:val="0"/>
            <w:vAlign w:val="top"/>
          </w:tcPr>
          <w:p w14:paraId="7C90F801">
            <w:pPr>
              <w:tabs>
                <w:tab w:val="left" w:pos="4680"/>
              </w:tabs>
              <w:spacing w:line="360" w:lineRule="auto"/>
              <w:rPr>
                <w:b/>
                <w:bCs/>
                <w:color w:val="auto"/>
                <w:szCs w:val="21"/>
                <w:highlight w:val="none"/>
                <w:u w:val="single"/>
              </w:rPr>
            </w:pPr>
          </w:p>
        </w:tc>
      </w:tr>
      <w:tr w14:paraId="1CD161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0D5300BF">
            <w:pPr>
              <w:tabs>
                <w:tab w:val="left" w:pos="4680"/>
              </w:tabs>
              <w:spacing w:line="360" w:lineRule="auto"/>
              <w:rPr>
                <w:b/>
                <w:bCs/>
                <w:color w:val="auto"/>
                <w:szCs w:val="21"/>
                <w:highlight w:val="none"/>
                <w:u w:val="single"/>
              </w:rPr>
            </w:pPr>
          </w:p>
        </w:tc>
        <w:tc>
          <w:tcPr>
            <w:tcW w:w="3420" w:type="dxa"/>
            <w:noWrap w:val="0"/>
            <w:vAlign w:val="top"/>
          </w:tcPr>
          <w:p w14:paraId="0C235A41">
            <w:pPr>
              <w:tabs>
                <w:tab w:val="left" w:pos="4680"/>
              </w:tabs>
              <w:spacing w:line="360" w:lineRule="auto"/>
              <w:rPr>
                <w:b/>
                <w:bCs/>
                <w:color w:val="auto"/>
                <w:szCs w:val="21"/>
                <w:highlight w:val="none"/>
                <w:u w:val="single"/>
              </w:rPr>
            </w:pPr>
          </w:p>
        </w:tc>
        <w:tc>
          <w:tcPr>
            <w:tcW w:w="4280" w:type="dxa"/>
            <w:noWrap w:val="0"/>
            <w:vAlign w:val="top"/>
          </w:tcPr>
          <w:p w14:paraId="5AAEA0B6">
            <w:pPr>
              <w:tabs>
                <w:tab w:val="left" w:pos="4680"/>
              </w:tabs>
              <w:spacing w:line="360" w:lineRule="auto"/>
              <w:rPr>
                <w:b/>
                <w:bCs/>
                <w:color w:val="auto"/>
                <w:szCs w:val="21"/>
                <w:highlight w:val="none"/>
                <w:u w:val="single"/>
              </w:rPr>
            </w:pPr>
          </w:p>
        </w:tc>
      </w:tr>
      <w:tr w14:paraId="56C4E4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090814A0">
            <w:pPr>
              <w:tabs>
                <w:tab w:val="left" w:pos="4680"/>
              </w:tabs>
              <w:spacing w:line="360" w:lineRule="auto"/>
              <w:rPr>
                <w:b/>
                <w:bCs/>
                <w:color w:val="auto"/>
                <w:szCs w:val="21"/>
                <w:highlight w:val="none"/>
                <w:u w:val="single"/>
              </w:rPr>
            </w:pPr>
          </w:p>
        </w:tc>
        <w:tc>
          <w:tcPr>
            <w:tcW w:w="3420" w:type="dxa"/>
            <w:noWrap w:val="0"/>
            <w:vAlign w:val="top"/>
          </w:tcPr>
          <w:p w14:paraId="326B7581">
            <w:pPr>
              <w:tabs>
                <w:tab w:val="left" w:pos="4680"/>
              </w:tabs>
              <w:spacing w:line="360" w:lineRule="auto"/>
              <w:rPr>
                <w:b/>
                <w:bCs/>
                <w:color w:val="auto"/>
                <w:szCs w:val="21"/>
                <w:highlight w:val="none"/>
                <w:u w:val="single"/>
              </w:rPr>
            </w:pPr>
          </w:p>
        </w:tc>
        <w:tc>
          <w:tcPr>
            <w:tcW w:w="4280" w:type="dxa"/>
            <w:noWrap w:val="0"/>
            <w:vAlign w:val="top"/>
          </w:tcPr>
          <w:p w14:paraId="6A0710BF">
            <w:pPr>
              <w:tabs>
                <w:tab w:val="left" w:pos="4680"/>
              </w:tabs>
              <w:spacing w:line="360" w:lineRule="auto"/>
              <w:rPr>
                <w:b/>
                <w:bCs/>
                <w:color w:val="auto"/>
                <w:szCs w:val="21"/>
                <w:highlight w:val="none"/>
                <w:u w:val="single"/>
              </w:rPr>
            </w:pPr>
          </w:p>
        </w:tc>
      </w:tr>
      <w:tr w14:paraId="5B13E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42AFF2BE">
            <w:pPr>
              <w:tabs>
                <w:tab w:val="left" w:pos="4680"/>
              </w:tabs>
              <w:spacing w:line="360" w:lineRule="auto"/>
              <w:rPr>
                <w:b/>
                <w:bCs/>
                <w:color w:val="auto"/>
                <w:szCs w:val="21"/>
                <w:highlight w:val="none"/>
                <w:u w:val="single"/>
              </w:rPr>
            </w:pPr>
          </w:p>
        </w:tc>
        <w:tc>
          <w:tcPr>
            <w:tcW w:w="3420" w:type="dxa"/>
            <w:noWrap w:val="0"/>
            <w:vAlign w:val="top"/>
          </w:tcPr>
          <w:p w14:paraId="5A8A2D43">
            <w:pPr>
              <w:tabs>
                <w:tab w:val="left" w:pos="4680"/>
              </w:tabs>
              <w:spacing w:line="360" w:lineRule="auto"/>
              <w:rPr>
                <w:b/>
                <w:bCs/>
                <w:color w:val="auto"/>
                <w:szCs w:val="21"/>
                <w:highlight w:val="none"/>
                <w:u w:val="single"/>
              </w:rPr>
            </w:pPr>
          </w:p>
        </w:tc>
        <w:tc>
          <w:tcPr>
            <w:tcW w:w="4280" w:type="dxa"/>
            <w:noWrap w:val="0"/>
            <w:vAlign w:val="top"/>
          </w:tcPr>
          <w:p w14:paraId="011BAFF9">
            <w:pPr>
              <w:tabs>
                <w:tab w:val="left" w:pos="4680"/>
              </w:tabs>
              <w:spacing w:line="360" w:lineRule="auto"/>
              <w:rPr>
                <w:b/>
                <w:bCs/>
                <w:color w:val="auto"/>
                <w:szCs w:val="21"/>
                <w:highlight w:val="none"/>
                <w:u w:val="single"/>
              </w:rPr>
            </w:pPr>
          </w:p>
        </w:tc>
      </w:tr>
    </w:tbl>
    <w:p w14:paraId="699480B6">
      <w:pPr>
        <w:widowControl/>
        <w:tabs>
          <w:tab w:val="left" w:pos="4680"/>
        </w:tabs>
        <w:spacing w:line="360" w:lineRule="auto"/>
        <w:ind w:firstLine="1200" w:firstLineChars="500"/>
        <w:jc w:val="left"/>
        <w:rPr>
          <w:rFonts w:ascii="宋体" w:hAnsi="宋体" w:eastAsia="宋体" w:cs="宋体"/>
          <w:b/>
          <w:color w:val="auto"/>
          <w:kern w:val="0"/>
          <w:sz w:val="24"/>
          <w:szCs w:val="24"/>
          <w:highlight w:val="none"/>
        </w:rPr>
        <w:sectPr>
          <w:headerReference r:id="rId10" w:type="first"/>
          <w:endnotePr>
            <w:numFmt w:val="decimal"/>
          </w:endnotePr>
          <w:pgSz w:w="11850" w:h="16783"/>
          <w:pgMar w:top="1247" w:right="567" w:bottom="1134" w:left="567" w:header="284" w:footer="284" w:gutter="0"/>
          <w:pgNumType w:fmt="decimal"/>
          <w:cols w:space="720" w:num="1"/>
          <w:titlePg/>
          <w:docGrid w:type="lines" w:linePitch="312" w:charSpace="0"/>
        </w:sectPr>
      </w:pPr>
      <w:r>
        <w:rPr>
          <w:rFonts w:hint="eastAsia" w:ascii="宋体" w:hAnsi="宋体" w:eastAsia="宋体" w:cs="宋体"/>
          <w:color w:val="auto"/>
          <w:kern w:val="0"/>
          <w:sz w:val="24"/>
          <w:szCs w:val="24"/>
          <w:highlight w:val="none"/>
        </w:rPr>
        <w:t xml:space="preserve">评标委员会全体成员签名：                                日期： </w:t>
      </w:r>
    </w:p>
    <w:p w14:paraId="5B994A82">
      <w:pPr>
        <w:ind w:left="0" w:leftChars="0" w:right="-827" w:rightChars="-394"/>
        <w:rPr>
          <w:rFonts w:hint="eastAsia" w:ascii="宋体" w:hAnsi="宋体" w:eastAsia="宋体"/>
          <w:color w:val="auto"/>
          <w:sz w:val="24"/>
          <w:szCs w:val="24"/>
          <w:highlight w:val="none"/>
        </w:rPr>
      </w:pPr>
    </w:p>
    <w:p w14:paraId="3FA79A12">
      <w:pPr>
        <w:outlineLvl w:val="2"/>
        <w:rPr>
          <w:rFonts w:hint="eastAsia" w:ascii="宋体" w:hAnsi="宋体" w:eastAsia="宋体"/>
          <w:sz w:val="24"/>
          <w:szCs w:val="24"/>
          <w:highlight w:val="none"/>
        </w:rPr>
      </w:pPr>
      <w:bookmarkStart w:id="230" w:name="_Toc31445"/>
      <w:bookmarkStart w:id="231" w:name="_Toc18044"/>
      <w:bookmarkStart w:id="232" w:name="_Toc14600"/>
      <w:bookmarkStart w:id="233" w:name="_Toc471"/>
      <w:bookmarkStart w:id="234" w:name="_Toc9951"/>
      <w:bookmarkStart w:id="235" w:name="_Toc31091"/>
      <w:bookmarkStart w:id="236" w:name="_Toc19126"/>
      <w:bookmarkStart w:id="237" w:name="_Toc17917"/>
      <w:r>
        <w:rPr>
          <w:rFonts w:hint="eastAsia" w:ascii="宋体" w:hAnsi="宋体" w:eastAsia="宋体"/>
          <w:sz w:val="24"/>
          <w:szCs w:val="24"/>
          <w:highlight w:val="none"/>
        </w:rPr>
        <w:t>附件9（适用于办法一）</w:t>
      </w:r>
      <w:bookmarkEnd w:id="230"/>
      <w:bookmarkEnd w:id="231"/>
      <w:bookmarkEnd w:id="232"/>
      <w:bookmarkEnd w:id="233"/>
    </w:p>
    <w:p w14:paraId="0622BE5E">
      <w:pPr>
        <w:jc w:val="center"/>
        <w:rPr>
          <w:rFonts w:hint="eastAsia" w:ascii="宋体" w:hAnsi="宋体" w:eastAsia="宋体"/>
          <w:b/>
          <w:sz w:val="36"/>
          <w:szCs w:val="36"/>
          <w:highlight w:val="none"/>
        </w:rPr>
      </w:pPr>
      <w:r>
        <w:rPr>
          <w:rFonts w:hint="eastAsia" w:ascii="宋体" w:hAnsi="宋体" w:eastAsia="宋体"/>
          <w:b/>
          <w:sz w:val="36"/>
          <w:szCs w:val="36"/>
          <w:highlight w:val="none"/>
        </w:rPr>
        <w:t>技术部分（施工组织方案）审查评分表</w:t>
      </w:r>
    </w:p>
    <w:p w14:paraId="568989A2">
      <w:pPr>
        <w:rPr>
          <w:rFonts w:hint="eastAsia" w:ascii="宋体" w:hAnsi="宋体" w:eastAsia="宋体"/>
          <w:bCs/>
          <w:szCs w:val="21"/>
          <w:highlight w:val="none"/>
        </w:rPr>
      </w:pPr>
      <w:r>
        <w:rPr>
          <w:rFonts w:hint="eastAsia" w:ascii="宋体" w:hAnsi="宋体" w:eastAsia="宋体"/>
          <w:bCs/>
          <w:szCs w:val="21"/>
          <w:highlight w:val="none"/>
        </w:rPr>
        <w:t>工程名称：                                                                                 方案编号：</w:t>
      </w:r>
    </w:p>
    <w:tbl>
      <w:tblPr>
        <w:tblStyle w:val="16"/>
        <w:tblW w:w="14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2850"/>
        <w:gridCol w:w="815"/>
        <w:gridCol w:w="8372"/>
      </w:tblGrid>
      <w:tr w14:paraId="6CB1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52" w:type="dxa"/>
            <w:gridSpan w:val="2"/>
            <w:noWrap w:val="0"/>
            <w:vAlign w:val="center"/>
          </w:tcPr>
          <w:p w14:paraId="0D7D9E1E">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评审项目</w:t>
            </w:r>
          </w:p>
        </w:tc>
        <w:tc>
          <w:tcPr>
            <w:tcW w:w="815" w:type="dxa"/>
            <w:noWrap w:val="0"/>
            <w:vAlign w:val="center"/>
          </w:tcPr>
          <w:p w14:paraId="01E16A00">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分值</w:t>
            </w:r>
          </w:p>
        </w:tc>
        <w:tc>
          <w:tcPr>
            <w:tcW w:w="8372" w:type="dxa"/>
            <w:noWrap w:val="0"/>
            <w:vAlign w:val="center"/>
          </w:tcPr>
          <w:p w14:paraId="6B78BD93">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编制要求</w:t>
            </w:r>
          </w:p>
        </w:tc>
      </w:tr>
      <w:tr w14:paraId="6A69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352" w:type="dxa"/>
            <w:gridSpan w:val="2"/>
            <w:noWrap w:val="0"/>
            <w:vAlign w:val="center"/>
          </w:tcPr>
          <w:p w14:paraId="7AB19CE3">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第一章 概况</w:t>
            </w:r>
          </w:p>
        </w:tc>
        <w:tc>
          <w:tcPr>
            <w:tcW w:w="815" w:type="dxa"/>
            <w:noWrap w:val="0"/>
            <w:vAlign w:val="center"/>
          </w:tcPr>
          <w:p w14:paraId="09E3ACD4">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8372" w:type="dxa"/>
            <w:noWrap w:val="0"/>
            <w:vAlign w:val="center"/>
          </w:tcPr>
          <w:p w14:paraId="5D90BD23">
            <w:pPr>
              <w:spacing w:after="0" w:line="360" w:lineRule="auto"/>
              <w:rPr>
                <w:rFonts w:hint="eastAsia" w:ascii="宋体" w:hAnsi="宋体" w:eastAsia="宋体" w:cs="宋体"/>
                <w:szCs w:val="21"/>
                <w:highlight w:val="none"/>
              </w:rPr>
            </w:pPr>
            <w:r>
              <w:rPr>
                <w:rFonts w:hint="eastAsia" w:ascii="宋体" w:hAnsi="宋体" w:eastAsia="宋体" w:cs="宋体"/>
                <w:szCs w:val="21"/>
                <w:highlight w:val="none"/>
              </w:rPr>
              <w:t>概况内容全面、概括性强，包括工程概况、工程范围、编制依据。（上述内容描述完整者得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分，良者</w:t>
            </w:r>
            <w:r>
              <w:rPr>
                <w:rFonts w:hint="eastAsia" w:ascii="宋体" w:hAnsi="宋体" w:eastAsia="宋体" w:cs="宋体"/>
                <w:szCs w:val="21"/>
                <w:highlight w:val="none"/>
                <w:lang w:val="en-US" w:eastAsia="zh-CN"/>
              </w:rPr>
              <w:t>得3.5</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优者</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分；上述内容描述有漏项者不得分。本项最高得分5分）</w:t>
            </w:r>
          </w:p>
        </w:tc>
      </w:tr>
      <w:tr w14:paraId="53B2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02" w:type="dxa"/>
            <w:vMerge w:val="restart"/>
            <w:noWrap w:val="0"/>
            <w:vAlign w:val="center"/>
          </w:tcPr>
          <w:p w14:paraId="4C826D33">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第二章 工作目标与组织架构</w:t>
            </w:r>
          </w:p>
        </w:tc>
        <w:tc>
          <w:tcPr>
            <w:tcW w:w="2850" w:type="dxa"/>
            <w:noWrap w:val="0"/>
            <w:vAlign w:val="center"/>
          </w:tcPr>
          <w:p w14:paraId="649DEB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工作目标</w:t>
            </w:r>
          </w:p>
        </w:tc>
        <w:tc>
          <w:tcPr>
            <w:tcW w:w="815" w:type="dxa"/>
            <w:vMerge w:val="restart"/>
            <w:noWrap w:val="0"/>
            <w:vAlign w:val="center"/>
          </w:tcPr>
          <w:p w14:paraId="25CC7F2C">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8372" w:type="dxa"/>
            <w:vMerge w:val="restart"/>
            <w:noWrap w:val="0"/>
            <w:vAlign w:val="center"/>
          </w:tcPr>
          <w:p w14:paraId="47D6D9A2">
            <w:pPr>
              <w:spacing w:after="0" w:line="360" w:lineRule="auto"/>
              <w:rPr>
                <w:rFonts w:hint="eastAsia" w:ascii="宋体" w:hAnsi="宋体" w:eastAsia="宋体" w:cs="宋体"/>
                <w:szCs w:val="21"/>
                <w:highlight w:val="none"/>
              </w:rPr>
            </w:pPr>
            <w:r>
              <w:rPr>
                <w:rFonts w:hint="eastAsia" w:ascii="宋体" w:hAnsi="宋体" w:eastAsia="宋体" w:cs="宋体"/>
                <w:szCs w:val="21"/>
                <w:highlight w:val="none"/>
              </w:rPr>
              <w:t>了解项目总体情况，编制项目的总体目标、施工目标、质量目标和工期目标；编制合理的组织架构，满足项目需要。（上述内容描述完整者得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分，良者</w:t>
            </w:r>
            <w:r>
              <w:rPr>
                <w:rFonts w:hint="eastAsia" w:ascii="宋体" w:hAnsi="宋体" w:eastAsia="宋体" w:cs="宋体"/>
                <w:szCs w:val="21"/>
                <w:highlight w:val="none"/>
                <w:lang w:val="en-US" w:eastAsia="zh-CN"/>
              </w:rPr>
              <w:t>得3.5</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优者</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分；上述内容描述有漏项者不得分。本项最高得分5分）</w:t>
            </w:r>
          </w:p>
        </w:tc>
      </w:tr>
      <w:tr w14:paraId="77C9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02" w:type="dxa"/>
            <w:vMerge w:val="continue"/>
            <w:noWrap w:val="0"/>
            <w:vAlign w:val="center"/>
          </w:tcPr>
          <w:p w14:paraId="222A512A">
            <w:pPr>
              <w:spacing w:after="0" w:line="360" w:lineRule="auto"/>
              <w:jc w:val="center"/>
              <w:rPr>
                <w:rFonts w:hint="eastAsia" w:ascii="宋体" w:hAnsi="宋体" w:eastAsia="宋体" w:cs="宋体"/>
                <w:szCs w:val="21"/>
                <w:highlight w:val="none"/>
              </w:rPr>
            </w:pPr>
          </w:p>
        </w:tc>
        <w:tc>
          <w:tcPr>
            <w:tcW w:w="2850" w:type="dxa"/>
            <w:noWrap w:val="0"/>
            <w:vAlign w:val="center"/>
          </w:tcPr>
          <w:p w14:paraId="56352BB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组织架构</w:t>
            </w:r>
          </w:p>
        </w:tc>
        <w:tc>
          <w:tcPr>
            <w:tcW w:w="815" w:type="dxa"/>
            <w:vMerge w:val="continue"/>
            <w:noWrap w:val="0"/>
            <w:vAlign w:val="center"/>
          </w:tcPr>
          <w:p w14:paraId="63F76AFB">
            <w:pPr>
              <w:spacing w:after="0" w:line="360" w:lineRule="auto"/>
              <w:jc w:val="center"/>
              <w:rPr>
                <w:rFonts w:hint="eastAsia" w:ascii="宋体" w:hAnsi="宋体" w:eastAsia="宋体" w:cs="宋体"/>
                <w:szCs w:val="21"/>
                <w:highlight w:val="none"/>
              </w:rPr>
            </w:pPr>
          </w:p>
        </w:tc>
        <w:tc>
          <w:tcPr>
            <w:tcW w:w="8372" w:type="dxa"/>
            <w:vMerge w:val="continue"/>
            <w:noWrap w:val="0"/>
            <w:vAlign w:val="center"/>
          </w:tcPr>
          <w:p w14:paraId="7BF6D068">
            <w:pPr>
              <w:spacing w:after="0" w:line="360" w:lineRule="auto"/>
              <w:rPr>
                <w:rFonts w:hint="eastAsia" w:ascii="宋体" w:hAnsi="宋体" w:eastAsia="宋体" w:cs="宋体"/>
                <w:szCs w:val="21"/>
                <w:highlight w:val="none"/>
              </w:rPr>
            </w:pPr>
          </w:p>
        </w:tc>
      </w:tr>
      <w:tr w14:paraId="1504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5352" w:type="dxa"/>
            <w:gridSpan w:val="2"/>
            <w:noWrap w:val="0"/>
            <w:vAlign w:val="center"/>
          </w:tcPr>
          <w:p w14:paraId="05D0BFF0">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第三章 现状调查与分析</w:t>
            </w:r>
          </w:p>
        </w:tc>
        <w:tc>
          <w:tcPr>
            <w:tcW w:w="815" w:type="dxa"/>
            <w:noWrap w:val="0"/>
            <w:vAlign w:val="center"/>
          </w:tcPr>
          <w:p w14:paraId="24F50C2C">
            <w:pPr>
              <w:spacing w:after="0" w:line="360" w:lineRule="auto"/>
              <w:jc w:val="center"/>
              <w:rPr>
                <w:rFonts w:ascii="宋体" w:hAnsi="宋体" w:eastAsia="宋体" w:cs="宋体"/>
                <w:szCs w:val="21"/>
                <w:highlight w:val="none"/>
              </w:rPr>
            </w:pPr>
            <w:r>
              <w:rPr>
                <w:rFonts w:hint="eastAsia" w:ascii="宋体" w:hAnsi="宋体" w:eastAsia="宋体" w:cs="宋体"/>
                <w:szCs w:val="21"/>
                <w:highlight w:val="none"/>
              </w:rPr>
              <w:t>15</w:t>
            </w:r>
          </w:p>
        </w:tc>
        <w:tc>
          <w:tcPr>
            <w:tcW w:w="8372" w:type="dxa"/>
            <w:noWrap w:val="0"/>
            <w:vAlign w:val="center"/>
          </w:tcPr>
          <w:p w14:paraId="24CAB1DC">
            <w:pPr>
              <w:spacing w:after="0" w:line="360" w:lineRule="auto"/>
              <w:rPr>
                <w:rFonts w:hint="eastAsia" w:ascii="宋体" w:hAnsi="宋体" w:eastAsia="宋体" w:cs="宋体"/>
                <w:szCs w:val="21"/>
                <w:highlight w:val="none"/>
              </w:rPr>
            </w:pPr>
            <w:r>
              <w:rPr>
                <w:rFonts w:hint="eastAsia" w:ascii="宋体" w:hAnsi="宋体" w:eastAsia="宋体" w:cs="宋体"/>
                <w:szCs w:val="21"/>
                <w:highlight w:val="none"/>
              </w:rPr>
              <w:t>正确理解规划建设意图，对项目现状摸查充分；熟悉项目情况，能深入、合理地分析项目的具体特性，针对周边的区位条件、景观资源、植物现状等情况制定全面、合理的施工方案和处理措施。（</w:t>
            </w:r>
            <w:r>
              <w:rPr>
                <w:rFonts w:hint="eastAsia" w:ascii="宋体" w:hAnsi="宋体" w:eastAsia="宋体" w:cs="宋体"/>
                <w:szCs w:val="21"/>
                <w:highlight w:val="none"/>
                <w:lang w:eastAsia="zh-CN"/>
              </w:rPr>
              <w:t>上述</w:t>
            </w:r>
            <w:r>
              <w:rPr>
                <w:rFonts w:hint="eastAsia" w:ascii="宋体" w:hAnsi="宋体" w:eastAsia="宋体" w:cs="宋体"/>
                <w:szCs w:val="21"/>
                <w:highlight w:val="none"/>
              </w:rPr>
              <w:t>内容</w:t>
            </w:r>
            <w:r>
              <w:rPr>
                <w:rFonts w:hint="eastAsia" w:ascii="宋体" w:hAnsi="宋体" w:eastAsia="宋体" w:cs="宋体"/>
                <w:szCs w:val="21"/>
                <w:highlight w:val="none"/>
                <w:lang w:eastAsia="zh-CN"/>
              </w:rPr>
              <w:t>描述</w:t>
            </w:r>
            <w:r>
              <w:rPr>
                <w:rFonts w:hint="eastAsia" w:ascii="宋体" w:hAnsi="宋体" w:eastAsia="宋体" w:cs="宋体"/>
                <w:szCs w:val="21"/>
                <w:highlight w:val="none"/>
              </w:rPr>
              <w:t>完整者得</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分，良者</w:t>
            </w:r>
            <w:r>
              <w:rPr>
                <w:rFonts w:hint="eastAsia" w:ascii="宋体" w:hAnsi="宋体" w:eastAsia="宋体" w:cs="宋体"/>
                <w:szCs w:val="21"/>
                <w:highlight w:val="none"/>
                <w:lang w:val="en-US" w:eastAsia="zh-CN"/>
              </w:rPr>
              <w:t>得12.5</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优者</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分；无相关内容者得0分；本项最高得分15分）</w:t>
            </w:r>
          </w:p>
        </w:tc>
      </w:tr>
      <w:tr w14:paraId="3A35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502" w:type="dxa"/>
            <w:vMerge w:val="restart"/>
            <w:noWrap w:val="0"/>
            <w:vAlign w:val="center"/>
          </w:tcPr>
          <w:p w14:paraId="34FD10BB">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第四章 实施方案</w:t>
            </w:r>
          </w:p>
        </w:tc>
        <w:tc>
          <w:tcPr>
            <w:tcW w:w="2850" w:type="dxa"/>
            <w:noWrap w:val="0"/>
            <w:vAlign w:val="center"/>
          </w:tcPr>
          <w:p w14:paraId="25D8AAE5">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施工总体进度计划</w:t>
            </w:r>
          </w:p>
        </w:tc>
        <w:tc>
          <w:tcPr>
            <w:tcW w:w="815" w:type="dxa"/>
            <w:noWrap w:val="0"/>
            <w:vAlign w:val="center"/>
          </w:tcPr>
          <w:p w14:paraId="519D281C">
            <w:pPr>
              <w:spacing w:after="0" w:line="360" w:lineRule="auto"/>
              <w:jc w:val="center"/>
              <w:rPr>
                <w:rFonts w:ascii="宋体" w:hAnsi="宋体" w:eastAsia="宋体" w:cs="宋体"/>
                <w:szCs w:val="21"/>
                <w:highlight w:val="none"/>
              </w:rPr>
            </w:pPr>
            <w:r>
              <w:rPr>
                <w:rFonts w:hint="eastAsia" w:ascii="宋体" w:hAnsi="宋体" w:eastAsia="宋体" w:cs="宋体"/>
                <w:szCs w:val="21"/>
                <w:highlight w:val="none"/>
              </w:rPr>
              <w:t>5</w:t>
            </w:r>
          </w:p>
        </w:tc>
        <w:tc>
          <w:tcPr>
            <w:tcW w:w="8372" w:type="dxa"/>
            <w:noWrap w:val="0"/>
            <w:vAlign w:val="center"/>
          </w:tcPr>
          <w:p w14:paraId="5E33B09C">
            <w:pPr>
              <w:spacing w:after="0" w:line="360" w:lineRule="auto"/>
              <w:rPr>
                <w:rFonts w:ascii="宋体" w:hAnsi="宋体" w:eastAsia="宋体" w:cs="宋体"/>
                <w:szCs w:val="21"/>
                <w:highlight w:val="none"/>
              </w:rPr>
            </w:pPr>
            <w:r>
              <w:rPr>
                <w:rFonts w:hint="eastAsia" w:ascii="宋体" w:hAnsi="宋体" w:eastAsia="宋体" w:cs="宋体"/>
                <w:szCs w:val="21"/>
                <w:highlight w:val="none"/>
              </w:rPr>
              <w:t>施工总体进度计划明确、具体、科学可靠，符合项目需求，且制定保障措施。（上述内容描述完整者得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分，良者</w:t>
            </w:r>
            <w:r>
              <w:rPr>
                <w:rFonts w:hint="eastAsia" w:ascii="宋体" w:hAnsi="宋体" w:eastAsia="宋体" w:cs="宋体"/>
                <w:szCs w:val="21"/>
                <w:highlight w:val="none"/>
                <w:lang w:val="en-US" w:eastAsia="zh-CN"/>
              </w:rPr>
              <w:t>得3.5</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优者</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分；上述内容描述有漏项者不得分。本项最高得分5分）</w:t>
            </w:r>
          </w:p>
        </w:tc>
      </w:tr>
      <w:tr w14:paraId="4873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02" w:type="dxa"/>
            <w:vMerge w:val="continue"/>
            <w:noWrap w:val="0"/>
            <w:vAlign w:val="center"/>
          </w:tcPr>
          <w:p w14:paraId="076DD0F6">
            <w:pPr>
              <w:spacing w:after="0" w:line="360" w:lineRule="auto"/>
              <w:jc w:val="center"/>
              <w:rPr>
                <w:rFonts w:hint="eastAsia" w:ascii="宋体" w:hAnsi="宋体" w:eastAsia="宋体" w:cs="宋体"/>
                <w:szCs w:val="21"/>
                <w:highlight w:val="none"/>
              </w:rPr>
            </w:pPr>
          </w:p>
        </w:tc>
        <w:tc>
          <w:tcPr>
            <w:tcW w:w="2850" w:type="dxa"/>
            <w:noWrap w:val="0"/>
            <w:vAlign w:val="center"/>
          </w:tcPr>
          <w:p w14:paraId="1E413D85">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施工组织与部署</w:t>
            </w:r>
          </w:p>
        </w:tc>
        <w:tc>
          <w:tcPr>
            <w:tcW w:w="815" w:type="dxa"/>
            <w:vMerge w:val="restart"/>
            <w:noWrap w:val="0"/>
            <w:vAlign w:val="center"/>
          </w:tcPr>
          <w:p w14:paraId="1E9ABEEA">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15</w:t>
            </w:r>
          </w:p>
        </w:tc>
        <w:tc>
          <w:tcPr>
            <w:tcW w:w="8372" w:type="dxa"/>
            <w:vMerge w:val="restart"/>
            <w:noWrap w:val="0"/>
            <w:vAlign w:val="center"/>
          </w:tcPr>
          <w:p w14:paraId="5953206E">
            <w:pPr>
              <w:spacing w:after="0" w:line="360" w:lineRule="auto"/>
              <w:rPr>
                <w:rFonts w:hint="eastAsia" w:ascii="宋体" w:hAnsi="宋体" w:eastAsia="宋体" w:cs="宋体"/>
                <w:szCs w:val="21"/>
                <w:highlight w:val="none"/>
              </w:rPr>
            </w:pPr>
            <w:r>
              <w:rPr>
                <w:rFonts w:hint="eastAsia" w:ascii="宋体" w:hAnsi="宋体" w:eastAsia="宋体" w:cs="宋体"/>
                <w:szCs w:val="21"/>
                <w:highlight w:val="none"/>
              </w:rPr>
              <w:t>1、施工组织内容合理，包括主要工程项目施工方法；2、施工投入人力物资合理充足；3、能有效保障劳动者合法权益</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相关保障</w:t>
            </w:r>
            <w:r>
              <w:rPr>
                <w:rFonts w:hint="eastAsia" w:ascii="宋体" w:hAnsi="宋体" w:eastAsia="宋体" w:cs="宋体"/>
                <w:szCs w:val="21"/>
                <w:highlight w:val="none"/>
                <w:lang w:eastAsia="zh-CN"/>
              </w:rPr>
              <w:t>措施</w:t>
            </w:r>
            <w:r>
              <w:rPr>
                <w:rFonts w:hint="eastAsia" w:ascii="宋体" w:hAnsi="宋体" w:eastAsia="宋体" w:cs="宋体"/>
                <w:szCs w:val="21"/>
                <w:highlight w:val="none"/>
              </w:rPr>
              <w:t>。（上述内容描述完整者得</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分，良者</w:t>
            </w:r>
            <w:r>
              <w:rPr>
                <w:rFonts w:hint="eastAsia" w:ascii="宋体" w:hAnsi="宋体" w:eastAsia="宋体" w:cs="宋体"/>
                <w:szCs w:val="21"/>
                <w:highlight w:val="none"/>
                <w:lang w:val="en-US" w:eastAsia="zh-CN"/>
              </w:rPr>
              <w:t>得12.5</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优者</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分；上述内容描述有漏项者不得分。本项最高得分15分）。</w:t>
            </w:r>
          </w:p>
        </w:tc>
      </w:tr>
      <w:tr w14:paraId="3BD9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02" w:type="dxa"/>
            <w:vMerge w:val="continue"/>
            <w:noWrap w:val="0"/>
            <w:vAlign w:val="center"/>
          </w:tcPr>
          <w:p w14:paraId="6ED508A5">
            <w:pPr>
              <w:spacing w:after="0" w:line="360" w:lineRule="auto"/>
              <w:jc w:val="center"/>
              <w:rPr>
                <w:rFonts w:hint="eastAsia" w:ascii="宋体" w:hAnsi="宋体" w:eastAsia="宋体" w:cs="宋体"/>
                <w:szCs w:val="21"/>
                <w:highlight w:val="none"/>
              </w:rPr>
            </w:pPr>
          </w:p>
        </w:tc>
        <w:tc>
          <w:tcPr>
            <w:tcW w:w="2850" w:type="dxa"/>
            <w:noWrap w:val="0"/>
            <w:vAlign w:val="center"/>
          </w:tcPr>
          <w:p w14:paraId="7BB4F3E7">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主要工程项目施工方法</w:t>
            </w:r>
          </w:p>
        </w:tc>
        <w:tc>
          <w:tcPr>
            <w:tcW w:w="815" w:type="dxa"/>
            <w:vMerge w:val="continue"/>
            <w:noWrap w:val="0"/>
            <w:vAlign w:val="center"/>
          </w:tcPr>
          <w:p w14:paraId="05D9F50D">
            <w:pPr>
              <w:spacing w:after="0" w:line="360" w:lineRule="auto"/>
              <w:jc w:val="center"/>
              <w:rPr>
                <w:rFonts w:hint="eastAsia" w:ascii="宋体" w:hAnsi="宋体" w:eastAsia="宋体" w:cs="宋体"/>
                <w:szCs w:val="21"/>
                <w:highlight w:val="none"/>
              </w:rPr>
            </w:pPr>
          </w:p>
        </w:tc>
        <w:tc>
          <w:tcPr>
            <w:tcW w:w="8372" w:type="dxa"/>
            <w:vMerge w:val="continue"/>
            <w:noWrap w:val="0"/>
            <w:vAlign w:val="center"/>
          </w:tcPr>
          <w:p w14:paraId="62CCD6BE">
            <w:pPr>
              <w:spacing w:after="0" w:line="360" w:lineRule="auto"/>
              <w:rPr>
                <w:rFonts w:hint="eastAsia" w:ascii="宋体" w:hAnsi="宋体" w:eastAsia="宋体" w:cs="宋体"/>
                <w:szCs w:val="21"/>
                <w:highlight w:val="none"/>
              </w:rPr>
            </w:pPr>
          </w:p>
        </w:tc>
      </w:tr>
      <w:tr w14:paraId="3786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02" w:type="dxa"/>
            <w:vMerge w:val="continue"/>
            <w:noWrap w:val="0"/>
            <w:vAlign w:val="center"/>
          </w:tcPr>
          <w:p w14:paraId="778FBD52">
            <w:pPr>
              <w:spacing w:after="0" w:line="360" w:lineRule="auto"/>
              <w:jc w:val="center"/>
              <w:rPr>
                <w:rFonts w:hint="eastAsia" w:ascii="宋体" w:hAnsi="宋体" w:eastAsia="宋体" w:cs="宋体"/>
                <w:szCs w:val="21"/>
                <w:highlight w:val="none"/>
              </w:rPr>
            </w:pPr>
          </w:p>
        </w:tc>
        <w:tc>
          <w:tcPr>
            <w:tcW w:w="2850" w:type="dxa"/>
            <w:noWrap w:val="0"/>
            <w:vAlign w:val="center"/>
          </w:tcPr>
          <w:p w14:paraId="47F4A466">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施工投入（人、机、材等）</w:t>
            </w:r>
          </w:p>
        </w:tc>
        <w:tc>
          <w:tcPr>
            <w:tcW w:w="815" w:type="dxa"/>
            <w:vMerge w:val="continue"/>
            <w:noWrap w:val="0"/>
            <w:vAlign w:val="center"/>
          </w:tcPr>
          <w:p w14:paraId="199CFC36">
            <w:pPr>
              <w:spacing w:after="0" w:line="360" w:lineRule="auto"/>
              <w:jc w:val="center"/>
              <w:rPr>
                <w:rFonts w:hint="eastAsia" w:ascii="宋体" w:hAnsi="宋体" w:eastAsia="宋体" w:cs="宋体"/>
                <w:szCs w:val="21"/>
                <w:highlight w:val="none"/>
              </w:rPr>
            </w:pPr>
          </w:p>
        </w:tc>
        <w:tc>
          <w:tcPr>
            <w:tcW w:w="8372" w:type="dxa"/>
            <w:vMerge w:val="continue"/>
            <w:noWrap w:val="0"/>
            <w:vAlign w:val="center"/>
          </w:tcPr>
          <w:p w14:paraId="748CFF1D">
            <w:pPr>
              <w:spacing w:after="0" w:line="360" w:lineRule="auto"/>
              <w:rPr>
                <w:rFonts w:hint="eastAsia" w:ascii="宋体" w:hAnsi="宋体" w:eastAsia="宋体" w:cs="宋体"/>
                <w:szCs w:val="21"/>
                <w:highlight w:val="none"/>
              </w:rPr>
            </w:pPr>
          </w:p>
        </w:tc>
      </w:tr>
      <w:tr w14:paraId="1075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502" w:type="dxa"/>
            <w:vMerge w:val="continue"/>
            <w:noWrap w:val="0"/>
            <w:vAlign w:val="center"/>
          </w:tcPr>
          <w:p w14:paraId="40392A8B">
            <w:pPr>
              <w:spacing w:after="0" w:line="360" w:lineRule="auto"/>
              <w:jc w:val="center"/>
              <w:rPr>
                <w:rFonts w:hint="eastAsia" w:ascii="宋体" w:hAnsi="宋体" w:eastAsia="宋体" w:cs="宋体"/>
                <w:szCs w:val="21"/>
                <w:highlight w:val="none"/>
              </w:rPr>
            </w:pPr>
          </w:p>
        </w:tc>
        <w:tc>
          <w:tcPr>
            <w:tcW w:w="2850" w:type="dxa"/>
            <w:noWrap w:val="0"/>
            <w:vAlign w:val="center"/>
          </w:tcPr>
          <w:p w14:paraId="027D29ED">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材料设备采购计划</w:t>
            </w:r>
          </w:p>
        </w:tc>
        <w:tc>
          <w:tcPr>
            <w:tcW w:w="815" w:type="dxa"/>
            <w:noWrap w:val="0"/>
            <w:vAlign w:val="center"/>
          </w:tcPr>
          <w:p w14:paraId="11FF20BB">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8372" w:type="dxa"/>
            <w:noWrap w:val="0"/>
            <w:vAlign w:val="center"/>
          </w:tcPr>
          <w:p w14:paraId="63BDB53E">
            <w:pPr>
              <w:spacing w:after="0" w:line="360" w:lineRule="auto"/>
              <w:rPr>
                <w:rFonts w:hint="eastAsia" w:ascii="宋体" w:hAnsi="宋体" w:eastAsia="宋体" w:cs="宋体"/>
                <w:szCs w:val="21"/>
                <w:highlight w:val="none"/>
              </w:rPr>
            </w:pPr>
            <w:r>
              <w:rPr>
                <w:rFonts w:hint="eastAsia" w:ascii="宋体" w:hAnsi="宋体" w:eastAsia="宋体" w:cs="宋体"/>
                <w:color w:val="auto"/>
                <w:sz w:val="21"/>
                <w:szCs w:val="21"/>
                <w:highlight w:val="none"/>
              </w:rPr>
              <w:t>材料</w:t>
            </w: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rPr>
              <w:t>计划合理，紧密结合项目现状，能有效保障项目顺利推进。</w:t>
            </w:r>
            <w:r>
              <w:rPr>
                <w:rFonts w:hint="eastAsia" w:ascii="宋体" w:hAnsi="宋体" w:eastAsia="宋体" w:cs="宋体"/>
                <w:szCs w:val="21"/>
                <w:highlight w:val="none"/>
              </w:rPr>
              <w:t xml:space="preserve"> （上述内容描述完整者得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分，良者</w:t>
            </w:r>
            <w:r>
              <w:rPr>
                <w:rFonts w:hint="eastAsia" w:ascii="宋体" w:hAnsi="宋体" w:eastAsia="宋体" w:cs="宋体"/>
                <w:szCs w:val="21"/>
                <w:highlight w:val="none"/>
                <w:lang w:val="en-US" w:eastAsia="zh-CN"/>
              </w:rPr>
              <w:t>得3.5</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优者</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分；上述内容描述有漏项者不得分。本项最高得分5分）</w:t>
            </w:r>
          </w:p>
        </w:tc>
      </w:tr>
      <w:tr w14:paraId="2553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02" w:type="dxa"/>
            <w:vMerge w:val="continue"/>
            <w:noWrap w:val="0"/>
            <w:vAlign w:val="center"/>
          </w:tcPr>
          <w:p w14:paraId="199A4BBA">
            <w:pPr>
              <w:spacing w:after="0" w:line="360" w:lineRule="auto"/>
              <w:jc w:val="center"/>
              <w:rPr>
                <w:rFonts w:hint="eastAsia" w:ascii="宋体" w:hAnsi="宋体" w:eastAsia="宋体" w:cs="宋体"/>
                <w:szCs w:val="21"/>
                <w:highlight w:val="none"/>
              </w:rPr>
            </w:pPr>
          </w:p>
        </w:tc>
        <w:tc>
          <w:tcPr>
            <w:tcW w:w="2850" w:type="dxa"/>
            <w:noWrap w:val="0"/>
            <w:vAlign w:val="center"/>
          </w:tcPr>
          <w:p w14:paraId="02FB6D7B">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资金使用计划</w:t>
            </w:r>
          </w:p>
        </w:tc>
        <w:tc>
          <w:tcPr>
            <w:tcW w:w="815" w:type="dxa"/>
            <w:noWrap w:val="0"/>
            <w:vAlign w:val="center"/>
          </w:tcPr>
          <w:p w14:paraId="12CE1EAB">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8372" w:type="dxa"/>
            <w:noWrap w:val="0"/>
            <w:vAlign w:val="center"/>
          </w:tcPr>
          <w:p w14:paraId="611E7B9E">
            <w:pPr>
              <w:spacing w:after="0" w:line="360" w:lineRule="auto"/>
              <w:rPr>
                <w:rFonts w:hint="eastAsia" w:ascii="宋体" w:hAnsi="宋体" w:eastAsia="宋体" w:cs="宋体"/>
                <w:szCs w:val="21"/>
                <w:highlight w:val="none"/>
              </w:rPr>
            </w:pPr>
            <w:r>
              <w:rPr>
                <w:rFonts w:hint="eastAsia" w:ascii="宋体" w:hAnsi="宋体" w:eastAsia="宋体" w:cs="宋体"/>
                <w:szCs w:val="21"/>
                <w:highlight w:val="none"/>
              </w:rPr>
              <w:t>资金计划合理，能有效保障项目顺利推进（上述内容描述完整者得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分，良者</w:t>
            </w:r>
            <w:r>
              <w:rPr>
                <w:rFonts w:hint="eastAsia" w:ascii="宋体" w:hAnsi="宋体" w:eastAsia="宋体" w:cs="宋体"/>
                <w:szCs w:val="21"/>
                <w:highlight w:val="none"/>
                <w:lang w:val="en-US" w:eastAsia="zh-CN"/>
              </w:rPr>
              <w:t>得3.5</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优者</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分；上述内容描述有漏项者不得分。本项最高得分5分）</w:t>
            </w:r>
          </w:p>
        </w:tc>
      </w:tr>
      <w:tr w14:paraId="4E68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02" w:type="dxa"/>
            <w:vMerge w:val="continue"/>
            <w:noWrap w:val="0"/>
            <w:vAlign w:val="center"/>
          </w:tcPr>
          <w:p w14:paraId="51437ED8">
            <w:pPr>
              <w:spacing w:after="0" w:line="360" w:lineRule="auto"/>
              <w:jc w:val="center"/>
              <w:rPr>
                <w:rFonts w:hint="eastAsia" w:ascii="宋体" w:hAnsi="宋体" w:eastAsia="宋体" w:cs="宋体"/>
                <w:szCs w:val="21"/>
                <w:highlight w:val="none"/>
              </w:rPr>
            </w:pPr>
          </w:p>
        </w:tc>
        <w:tc>
          <w:tcPr>
            <w:tcW w:w="2850" w:type="dxa"/>
            <w:noWrap w:val="0"/>
            <w:vAlign w:val="center"/>
          </w:tcPr>
          <w:p w14:paraId="57C1C3AA">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质量标准</w:t>
            </w:r>
          </w:p>
        </w:tc>
        <w:tc>
          <w:tcPr>
            <w:tcW w:w="815" w:type="dxa"/>
            <w:noWrap w:val="0"/>
            <w:vAlign w:val="center"/>
          </w:tcPr>
          <w:p w14:paraId="4CA89041">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8372" w:type="dxa"/>
            <w:noWrap w:val="0"/>
            <w:vAlign w:val="center"/>
          </w:tcPr>
          <w:p w14:paraId="7887754F">
            <w:pPr>
              <w:spacing w:after="0" w:line="360" w:lineRule="auto"/>
              <w:rPr>
                <w:rFonts w:hint="eastAsia" w:ascii="宋体" w:hAnsi="宋体" w:eastAsia="宋体" w:cs="宋体"/>
                <w:szCs w:val="21"/>
                <w:highlight w:val="none"/>
              </w:rPr>
            </w:pPr>
            <w:r>
              <w:rPr>
                <w:rFonts w:hint="eastAsia" w:ascii="宋体" w:hAnsi="宋体" w:eastAsia="宋体" w:cs="宋体"/>
                <w:szCs w:val="21"/>
                <w:highlight w:val="none"/>
              </w:rPr>
              <w:t>质量保证措施完整、具体、可行。（上述内容描述完整者得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分，良者</w:t>
            </w:r>
            <w:r>
              <w:rPr>
                <w:rFonts w:hint="eastAsia" w:ascii="宋体" w:hAnsi="宋体" w:eastAsia="宋体" w:cs="宋体"/>
                <w:szCs w:val="21"/>
                <w:highlight w:val="none"/>
                <w:lang w:val="en-US" w:eastAsia="zh-CN"/>
              </w:rPr>
              <w:t>得7.5</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优者</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分；上述内容描述有漏项者不得分。本项最高得分10分）</w:t>
            </w:r>
          </w:p>
        </w:tc>
      </w:tr>
      <w:tr w14:paraId="6E48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02" w:type="dxa"/>
            <w:vMerge w:val="continue"/>
            <w:noWrap w:val="0"/>
            <w:vAlign w:val="center"/>
          </w:tcPr>
          <w:p w14:paraId="0DAFC20E">
            <w:pPr>
              <w:spacing w:after="0" w:line="360" w:lineRule="auto"/>
              <w:jc w:val="center"/>
              <w:rPr>
                <w:rFonts w:hint="eastAsia" w:ascii="宋体" w:hAnsi="宋体" w:eastAsia="宋体" w:cs="宋体"/>
                <w:szCs w:val="21"/>
                <w:highlight w:val="none"/>
              </w:rPr>
            </w:pPr>
          </w:p>
        </w:tc>
        <w:tc>
          <w:tcPr>
            <w:tcW w:w="2850" w:type="dxa"/>
            <w:noWrap w:val="0"/>
            <w:vAlign w:val="center"/>
          </w:tcPr>
          <w:p w14:paraId="04CEB672">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档案管理</w:t>
            </w:r>
          </w:p>
        </w:tc>
        <w:tc>
          <w:tcPr>
            <w:tcW w:w="815" w:type="dxa"/>
            <w:noWrap w:val="0"/>
            <w:vAlign w:val="center"/>
          </w:tcPr>
          <w:p w14:paraId="7D3EEC31">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8372" w:type="dxa"/>
            <w:noWrap w:val="0"/>
            <w:vAlign w:val="center"/>
          </w:tcPr>
          <w:p w14:paraId="599C8534">
            <w:pPr>
              <w:spacing w:after="0" w:line="360" w:lineRule="auto"/>
              <w:rPr>
                <w:rFonts w:hint="eastAsia" w:ascii="宋体" w:hAnsi="宋体" w:eastAsia="宋体" w:cs="宋体"/>
                <w:szCs w:val="21"/>
                <w:highlight w:val="none"/>
              </w:rPr>
            </w:pPr>
            <w:r>
              <w:rPr>
                <w:rFonts w:hint="eastAsia" w:ascii="宋体" w:hAnsi="宋体" w:eastAsia="宋体" w:cs="宋体"/>
                <w:szCs w:val="21"/>
                <w:highlight w:val="none"/>
              </w:rPr>
              <w:t>档案管理制度完整、规范。（上述内容描述完整者得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分，良者</w:t>
            </w:r>
            <w:r>
              <w:rPr>
                <w:rFonts w:hint="eastAsia" w:ascii="宋体" w:hAnsi="宋体" w:eastAsia="宋体" w:cs="宋体"/>
                <w:szCs w:val="21"/>
                <w:highlight w:val="none"/>
                <w:lang w:val="en-US" w:eastAsia="zh-CN"/>
              </w:rPr>
              <w:t>得3.5</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优者</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分；上述内容描述有漏项者不得分。本项最高得分5分）</w:t>
            </w:r>
          </w:p>
        </w:tc>
      </w:tr>
      <w:tr w14:paraId="603C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02" w:type="dxa"/>
            <w:vMerge w:val="continue"/>
            <w:noWrap w:val="0"/>
            <w:vAlign w:val="center"/>
          </w:tcPr>
          <w:p w14:paraId="1386D4C6">
            <w:pPr>
              <w:spacing w:after="0" w:line="360" w:lineRule="auto"/>
              <w:jc w:val="center"/>
              <w:rPr>
                <w:rFonts w:hint="eastAsia" w:ascii="宋体" w:hAnsi="宋体" w:eastAsia="宋体" w:cs="宋体"/>
                <w:szCs w:val="21"/>
                <w:highlight w:val="none"/>
              </w:rPr>
            </w:pPr>
          </w:p>
        </w:tc>
        <w:tc>
          <w:tcPr>
            <w:tcW w:w="2850" w:type="dxa"/>
            <w:noWrap w:val="0"/>
            <w:vAlign w:val="center"/>
          </w:tcPr>
          <w:p w14:paraId="33852C7B">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安全文明施工和绿色施工</w:t>
            </w:r>
          </w:p>
        </w:tc>
        <w:tc>
          <w:tcPr>
            <w:tcW w:w="815" w:type="dxa"/>
            <w:noWrap w:val="0"/>
            <w:vAlign w:val="center"/>
          </w:tcPr>
          <w:p w14:paraId="0D66F4CB">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8372" w:type="dxa"/>
            <w:noWrap w:val="0"/>
            <w:vAlign w:val="center"/>
          </w:tcPr>
          <w:p w14:paraId="130E7963">
            <w:pPr>
              <w:spacing w:after="0" w:line="360" w:lineRule="auto"/>
              <w:rPr>
                <w:rFonts w:hint="eastAsia" w:ascii="宋体" w:hAnsi="宋体" w:eastAsia="宋体" w:cs="宋体"/>
                <w:szCs w:val="21"/>
                <w:highlight w:val="none"/>
              </w:rPr>
            </w:pPr>
            <w:r>
              <w:rPr>
                <w:rFonts w:hint="eastAsia" w:ascii="宋体" w:hAnsi="宋体" w:eastAsia="宋体" w:cs="宋体"/>
                <w:szCs w:val="21"/>
                <w:highlight w:val="none"/>
              </w:rPr>
              <w:t>安全管理目标明确，能针对项目实施内容提出具体有效的防护措施；有完善的文明施工管理措施；绿色施工方案合理。（上述内容描述完整者得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分，良者</w:t>
            </w:r>
            <w:r>
              <w:rPr>
                <w:rFonts w:hint="eastAsia" w:ascii="宋体" w:hAnsi="宋体" w:eastAsia="宋体" w:cs="宋体"/>
                <w:szCs w:val="21"/>
                <w:highlight w:val="none"/>
                <w:lang w:val="en-US" w:eastAsia="zh-CN"/>
              </w:rPr>
              <w:t>得7.5</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优者</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分；上述内容描述有漏项者不得分。本项最高得分10分）</w:t>
            </w:r>
          </w:p>
        </w:tc>
      </w:tr>
      <w:tr w14:paraId="57AD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02" w:type="dxa"/>
            <w:vMerge w:val="continue"/>
            <w:noWrap w:val="0"/>
            <w:vAlign w:val="center"/>
          </w:tcPr>
          <w:p w14:paraId="3CF4F8FA">
            <w:pPr>
              <w:spacing w:after="0" w:line="360" w:lineRule="auto"/>
              <w:jc w:val="center"/>
              <w:rPr>
                <w:rFonts w:hint="eastAsia" w:ascii="宋体" w:hAnsi="宋体" w:eastAsia="宋体" w:cs="宋体"/>
                <w:szCs w:val="21"/>
                <w:highlight w:val="none"/>
              </w:rPr>
            </w:pPr>
          </w:p>
        </w:tc>
        <w:tc>
          <w:tcPr>
            <w:tcW w:w="2850" w:type="dxa"/>
            <w:noWrap w:val="0"/>
            <w:vAlign w:val="center"/>
          </w:tcPr>
          <w:p w14:paraId="6C5EDB2A">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工程保修和养护管理措施</w:t>
            </w:r>
          </w:p>
        </w:tc>
        <w:tc>
          <w:tcPr>
            <w:tcW w:w="815" w:type="dxa"/>
            <w:noWrap w:val="0"/>
            <w:vAlign w:val="center"/>
          </w:tcPr>
          <w:p w14:paraId="46C2DBAB">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8372" w:type="dxa"/>
            <w:noWrap w:val="0"/>
            <w:vAlign w:val="center"/>
          </w:tcPr>
          <w:p w14:paraId="2E205E68">
            <w:pPr>
              <w:spacing w:after="0" w:line="360" w:lineRule="auto"/>
              <w:rPr>
                <w:rFonts w:hint="eastAsia" w:ascii="宋体" w:hAnsi="宋体" w:eastAsia="宋体" w:cs="宋体"/>
                <w:szCs w:val="21"/>
                <w:highlight w:val="none"/>
              </w:rPr>
            </w:pPr>
            <w:r>
              <w:rPr>
                <w:rFonts w:hint="eastAsia" w:ascii="宋体" w:hAnsi="宋体" w:eastAsia="宋体" w:cs="宋体"/>
                <w:szCs w:val="21"/>
                <w:highlight w:val="none"/>
              </w:rPr>
              <w:t>工程保修和养护管理措施具体有效。（上述内容描述完整者得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分，良者</w:t>
            </w:r>
            <w:r>
              <w:rPr>
                <w:rFonts w:hint="eastAsia" w:ascii="宋体" w:hAnsi="宋体" w:eastAsia="宋体" w:cs="宋体"/>
                <w:szCs w:val="21"/>
                <w:highlight w:val="none"/>
                <w:lang w:val="en-US" w:eastAsia="zh-CN"/>
              </w:rPr>
              <w:t>得7.5</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优者</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分；上述内容描述有漏项者不得分。本项最高得分10分）</w:t>
            </w:r>
          </w:p>
        </w:tc>
      </w:tr>
      <w:tr w14:paraId="2B78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02" w:type="dxa"/>
            <w:vMerge w:val="restart"/>
            <w:noWrap w:val="0"/>
            <w:vAlign w:val="center"/>
          </w:tcPr>
          <w:p w14:paraId="0B059559">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第五章 投资及风险控制</w:t>
            </w:r>
          </w:p>
        </w:tc>
        <w:tc>
          <w:tcPr>
            <w:tcW w:w="2850" w:type="dxa"/>
            <w:noWrap w:val="0"/>
            <w:vAlign w:val="center"/>
          </w:tcPr>
          <w:p w14:paraId="268E51D2">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工程投资节约措施</w:t>
            </w:r>
          </w:p>
        </w:tc>
        <w:tc>
          <w:tcPr>
            <w:tcW w:w="815" w:type="dxa"/>
            <w:noWrap w:val="0"/>
            <w:vAlign w:val="center"/>
          </w:tcPr>
          <w:p w14:paraId="7DD1F1A7">
            <w:pPr>
              <w:spacing w:after="0" w:line="360" w:lineRule="auto"/>
              <w:jc w:val="center"/>
              <w:rPr>
                <w:rFonts w:ascii="宋体" w:hAnsi="宋体" w:eastAsia="宋体" w:cs="宋体"/>
                <w:szCs w:val="21"/>
                <w:highlight w:val="none"/>
              </w:rPr>
            </w:pPr>
            <w:r>
              <w:rPr>
                <w:rFonts w:hint="eastAsia" w:ascii="宋体" w:hAnsi="宋体" w:eastAsia="宋体" w:cs="宋体"/>
                <w:szCs w:val="21"/>
                <w:highlight w:val="none"/>
              </w:rPr>
              <w:t>5</w:t>
            </w:r>
          </w:p>
        </w:tc>
        <w:tc>
          <w:tcPr>
            <w:tcW w:w="8372" w:type="dxa"/>
            <w:noWrap w:val="0"/>
            <w:vAlign w:val="center"/>
          </w:tcPr>
          <w:p w14:paraId="027CC659">
            <w:pPr>
              <w:spacing w:after="0" w:line="360" w:lineRule="auto"/>
              <w:rPr>
                <w:rFonts w:hint="eastAsia" w:ascii="宋体" w:hAnsi="宋体" w:eastAsia="宋体" w:cs="宋体"/>
                <w:szCs w:val="21"/>
                <w:highlight w:val="none"/>
              </w:rPr>
            </w:pPr>
            <w:r>
              <w:rPr>
                <w:rFonts w:hint="eastAsia" w:ascii="宋体" w:hAnsi="宋体" w:eastAsia="宋体" w:cs="宋体"/>
                <w:szCs w:val="21"/>
                <w:highlight w:val="none"/>
              </w:rPr>
              <w:t>节约工程投资的措施及理由合理、可信、可行；（上述内容描述完整者得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分，良者</w:t>
            </w:r>
            <w:r>
              <w:rPr>
                <w:rFonts w:hint="eastAsia" w:ascii="宋体" w:hAnsi="宋体" w:eastAsia="宋体" w:cs="宋体"/>
                <w:szCs w:val="21"/>
                <w:highlight w:val="none"/>
                <w:lang w:val="en-US" w:eastAsia="zh-CN"/>
              </w:rPr>
              <w:t>得3</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优者</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分；上述内容描述有漏项者不得分。本项最高得分5分）</w:t>
            </w:r>
          </w:p>
        </w:tc>
      </w:tr>
      <w:tr w14:paraId="1906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502" w:type="dxa"/>
            <w:vMerge w:val="continue"/>
            <w:noWrap w:val="0"/>
            <w:vAlign w:val="center"/>
          </w:tcPr>
          <w:p w14:paraId="74724B84">
            <w:pPr>
              <w:spacing w:after="0" w:line="360" w:lineRule="auto"/>
              <w:jc w:val="center"/>
              <w:rPr>
                <w:rFonts w:hint="eastAsia" w:ascii="宋体" w:hAnsi="宋体" w:eastAsia="宋体" w:cs="宋体"/>
                <w:szCs w:val="21"/>
                <w:highlight w:val="none"/>
              </w:rPr>
            </w:pPr>
          </w:p>
        </w:tc>
        <w:tc>
          <w:tcPr>
            <w:tcW w:w="2850" w:type="dxa"/>
            <w:noWrap w:val="0"/>
            <w:vAlign w:val="center"/>
          </w:tcPr>
          <w:p w14:paraId="10E1009D">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应急预案和抵抗风险措施</w:t>
            </w:r>
          </w:p>
        </w:tc>
        <w:tc>
          <w:tcPr>
            <w:tcW w:w="815" w:type="dxa"/>
            <w:noWrap w:val="0"/>
            <w:vAlign w:val="center"/>
          </w:tcPr>
          <w:p w14:paraId="53513227">
            <w:pPr>
              <w:spacing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8372" w:type="dxa"/>
            <w:noWrap w:val="0"/>
            <w:vAlign w:val="center"/>
          </w:tcPr>
          <w:p w14:paraId="67F5D7EC">
            <w:pPr>
              <w:spacing w:after="0" w:line="360" w:lineRule="auto"/>
              <w:rPr>
                <w:rFonts w:hint="eastAsia" w:ascii="宋体" w:hAnsi="宋体" w:eastAsia="宋体" w:cs="宋体"/>
                <w:szCs w:val="21"/>
                <w:highlight w:val="none"/>
              </w:rPr>
            </w:pPr>
            <w:r>
              <w:rPr>
                <w:rFonts w:hint="eastAsia" w:ascii="宋体" w:hAnsi="宋体" w:eastAsia="宋体" w:cs="宋体"/>
                <w:szCs w:val="21"/>
                <w:highlight w:val="none"/>
              </w:rPr>
              <w:t>能合理分析可能存在的应急情况并提出应急处理措施，做到配合、协调、服务方案考虑全面。（上述内容描述完整者得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分，良者</w:t>
            </w:r>
            <w:r>
              <w:rPr>
                <w:rFonts w:hint="eastAsia" w:ascii="宋体" w:hAnsi="宋体" w:eastAsia="宋体" w:cs="宋体"/>
                <w:szCs w:val="21"/>
                <w:highlight w:val="none"/>
                <w:lang w:val="en-US" w:eastAsia="zh-CN"/>
              </w:rPr>
              <w:t>得3</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优者</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分；上述内容描述有漏项者不得分。本项最高得分5分）</w:t>
            </w:r>
          </w:p>
        </w:tc>
      </w:tr>
    </w:tbl>
    <w:p w14:paraId="2772D857">
      <w:pPr>
        <w:spacing w:line="240" w:lineRule="exact"/>
        <w:ind w:left="-540" w:leftChars="-257" w:right="-827" w:rightChars="-394" w:firstLine="540" w:firstLineChars="300"/>
        <w:rPr>
          <w:rFonts w:hint="eastAsia" w:ascii="宋体" w:hAnsi="宋体" w:eastAsia="宋体"/>
          <w:sz w:val="18"/>
          <w:szCs w:val="18"/>
          <w:highlight w:val="none"/>
        </w:rPr>
      </w:pPr>
    </w:p>
    <w:p w14:paraId="51220F8C">
      <w:pPr>
        <w:spacing w:line="240" w:lineRule="exact"/>
        <w:ind w:left="-540" w:leftChars="-257" w:right="-827" w:rightChars="-394" w:firstLine="540" w:firstLineChars="300"/>
        <w:rPr>
          <w:rFonts w:hint="eastAsia" w:ascii="宋体" w:hAnsi="宋体" w:eastAsia="宋体"/>
          <w:sz w:val="18"/>
          <w:szCs w:val="18"/>
          <w:highlight w:val="none"/>
        </w:rPr>
      </w:pPr>
      <w:r>
        <w:rPr>
          <w:rFonts w:hint="eastAsia" w:ascii="宋体" w:hAnsi="宋体" w:eastAsia="宋体"/>
          <w:sz w:val="18"/>
          <w:szCs w:val="18"/>
          <w:highlight w:val="none"/>
        </w:rPr>
        <w:t>备注：1.招标人可根据招标项目实际需要合理设置评审内容，不得设置排斥性条款及明显高于或偏离项目实施要求的内容；设置等次得分的，得分应为等差排列。</w:t>
      </w:r>
    </w:p>
    <w:p w14:paraId="7796C5B0">
      <w:pPr>
        <w:spacing w:line="240" w:lineRule="exact"/>
        <w:ind w:left="-540" w:leftChars="-257" w:right="-827" w:rightChars="-394"/>
        <w:rPr>
          <w:rFonts w:ascii="宋体" w:hAnsi="宋体" w:eastAsia="宋体"/>
          <w:sz w:val="18"/>
          <w:szCs w:val="18"/>
          <w:highlight w:val="none"/>
        </w:rPr>
      </w:pPr>
      <w:r>
        <w:rPr>
          <w:rFonts w:hint="eastAsia" w:ascii="宋体" w:hAnsi="宋体" w:eastAsia="宋体"/>
          <w:sz w:val="18"/>
          <w:szCs w:val="18"/>
          <w:highlight w:val="none"/>
        </w:rPr>
        <w:t xml:space="preserve">      2.评审项目总分应为100分,各评审子项的分值不得超出取值范围。</w:t>
      </w:r>
    </w:p>
    <w:p w14:paraId="40B15C82">
      <w:pPr>
        <w:spacing w:line="240" w:lineRule="exact"/>
        <w:ind w:left="-540" w:leftChars="-257" w:right="-827" w:rightChars="-394" w:firstLine="540" w:firstLineChars="300"/>
        <w:rPr>
          <w:rFonts w:hint="eastAsia" w:ascii="宋体" w:hAnsi="宋体" w:eastAsia="宋体"/>
          <w:sz w:val="18"/>
          <w:szCs w:val="18"/>
          <w:highlight w:val="none"/>
        </w:rPr>
      </w:pPr>
      <w:r>
        <w:rPr>
          <w:rFonts w:hint="eastAsia" w:ascii="宋体" w:hAnsi="宋体" w:eastAsia="宋体"/>
          <w:sz w:val="18"/>
          <w:szCs w:val="18"/>
          <w:highlight w:val="none"/>
        </w:rPr>
        <w:t>3.最终得分按投标须知前附表第32项所规定的方式进行汇总；分数出现小数点，保留小数点后二位小数，第三位小数四舍五入。</w:t>
      </w:r>
    </w:p>
    <w:p w14:paraId="6F8BB3EF">
      <w:pPr>
        <w:ind w:right="-827" w:rightChars="-394"/>
        <w:rPr>
          <w:rFonts w:hint="eastAsia" w:ascii="宋体" w:hAnsi="宋体" w:eastAsia="宋体" w:cs="宋体"/>
          <w:b/>
          <w:kern w:val="0"/>
          <w:sz w:val="24"/>
          <w:szCs w:val="24"/>
          <w:highlight w:val="none"/>
        </w:rPr>
      </w:pPr>
    </w:p>
    <w:p w14:paraId="50A4974F">
      <w:pPr>
        <w:ind w:left="-718" w:leftChars="-342" w:right="-827" w:rightChars="-394" w:firstLine="1687" w:firstLineChars="700"/>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评标委员会签名：                                                                      日期：</w:t>
      </w:r>
    </w:p>
    <w:p w14:paraId="7FCB5FF4">
      <w:pPr>
        <w:outlineLvl w:val="2"/>
        <w:rPr>
          <w:rFonts w:hint="eastAsia" w:ascii="宋体" w:hAnsi="宋体" w:eastAsia="宋体"/>
          <w:sz w:val="24"/>
          <w:szCs w:val="24"/>
          <w:highlight w:val="none"/>
        </w:rPr>
      </w:pPr>
    </w:p>
    <w:p w14:paraId="3C47B46C">
      <w:pPr>
        <w:outlineLvl w:val="2"/>
        <w:rPr>
          <w:rFonts w:hint="eastAsia" w:ascii="宋体" w:hAnsi="宋体" w:eastAsia="宋体"/>
          <w:sz w:val="24"/>
          <w:szCs w:val="24"/>
          <w:highlight w:val="none"/>
        </w:rPr>
      </w:pPr>
    </w:p>
    <w:p w14:paraId="4EC72F9A">
      <w:pPr>
        <w:outlineLvl w:val="2"/>
        <w:rPr>
          <w:rFonts w:hint="eastAsia" w:ascii="宋体" w:hAnsi="宋体" w:eastAsia="宋体"/>
          <w:sz w:val="24"/>
          <w:szCs w:val="24"/>
          <w:highlight w:val="none"/>
        </w:rPr>
      </w:pPr>
    </w:p>
    <w:p w14:paraId="7D58B5A0">
      <w:pPr>
        <w:outlineLvl w:val="2"/>
        <w:rPr>
          <w:rFonts w:hint="eastAsia" w:ascii="宋体" w:hAnsi="宋体" w:eastAsia="宋体"/>
          <w:sz w:val="24"/>
          <w:szCs w:val="24"/>
          <w:highlight w:val="none"/>
        </w:rPr>
      </w:pPr>
    </w:p>
    <w:p w14:paraId="02FA8B43">
      <w:pPr>
        <w:outlineLvl w:val="2"/>
        <w:rPr>
          <w:rFonts w:hint="eastAsia" w:ascii="宋体" w:hAnsi="宋体" w:eastAsia="宋体"/>
          <w:sz w:val="24"/>
          <w:szCs w:val="24"/>
          <w:highlight w:val="none"/>
        </w:rPr>
      </w:pPr>
    </w:p>
    <w:p w14:paraId="493F4458">
      <w:pPr>
        <w:outlineLvl w:val="2"/>
        <w:rPr>
          <w:rFonts w:hint="eastAsia" w:ascii="宋体" w:hAnsi="宋体" w:eastAsia="宋体"/>
          <w:sz w:val="24"/>
          <w:szCs w:val="24"/>
          <w:highlight w:val="none"/>
        </w:rPr>
      </w:pPr>
      <w:r>
        <w:rPr>
          <w:rFonts w:hint="eastAsia" w:ascii="宋体" w:hAnsi="宋体" w:eastAsia="宋体"/>
          <w:sz w:val="24"/>
          <w:szCs w:val="24"/>
          <w:highlight w:val="none"/>
        </w:rPr>
        <w:t>附件10（适用于办法一）</w:t>
      </w:r>
      <w:bookmarkEnd w:id="234"/>
    </w:p>
    <w:p w14:paraId="132C04D4">
      <w:pPr>
        <w:spacing w:line="40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技术部分（项目实施能力）审查评分表</w:t>
      </w:r>
    </w:p>
    <w:tbl>
      <w:tblPr>
        <w:tblStyle w:val="16"/>
        <w:tblW w:w="14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167"/>
        <w:gridCol w:w="1088"/>
        <w:gridCol w:w="10713"/>
      </w:tblGrid>
      <w:tr w14:paraId="5F53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84" w:type="dxa"/>
            <w:gridSpan w:val="2"/>
            <w:tcBorders>
              <w:top w:val="single" w:color="auto" w:sz="4" w:space="0"/>
              <w:left w:val="single" w:color="auto" w:sz="4" w:space="0"/>
              <w:bottom w:val="single" w:color="auto" w:sz="4" w:space="0"/>
              <w:right w:val="single" w:color="auto" w:sz="4" w:space="0"/>
            </w:tcBorders>
            <w:noWrap w:val="0"/>
            <w:vAlign w:val="center"/>
          </w:tcPr>
          <w:p w14:paraId="6AF2D1C2">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评审项目</w:t>
            </w:r>
          </w:p>
        </w:tc>
        <w:tc>
          <w:tcPr>
            <w:tcW w:w="1088" w:type="dxa"/>
            <w:vMerge w:val="restart"/>
            <w:tcBorders>
              <w:top w:val="single" w:color="auto" w:sz="4" w:space="0"/>
              <w:left w:val="nil"/>
              <w:bottom w:val="single" w:color="auto" w:sz="4" w:space="0"/>
              <w:right w:val="single" w:color="auto" w:sz="4" w:space="0"/>
            </w:tcBorders>
            <w:noWrap w:val="0"/>
            <w:vAlign w:val="center"/>
          </w:tcPr>
          <w:p w14:paraId="3001EE3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取值范围</w:t>
            </w:r>
          </w:p>
        </w:tc>
        <w:tc>
          <w:tcPr>
            <w:tcW w:w="10713" w:type="dxa"/>
            <w:vMerge w:val="restart"/>
            <w:tcBorders>
              <w:top w:val="single" w:color="auto" w:sz="4" w:space="0"/>
              <w:left w:val="nil"/>
              <w:bottom w:val="single" w:color="auto" w:sz="4" w:space="0"/>
              <w:right w:val="single" w:color="auto" w:sz="4" w:space="0"/>
            </w:tcBorders>
            <w:noWrap w:val="0"/>
            <w:vAlign w:val="center"/>
          </w:tcPr>
          <w:p w14:paraId="65B7712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评审内容</w:t>
            </w:r>
          </w:p>
        </w:tc>
      </w:tr>
      <w:tr w14:paraId="6BFF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5C66A18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名称</w:t>
            </w:r>
          </w:p>
        </w:tc>
        <w:tc>
          <w:tcPr>
            <w:tcW w:w="1167" w:type="dxa"/>
            <w:tcBorders>
              <w:top w:val="single" w:color="auto" w:sz="4" w:space="0"/>
              <w:left w:val="nil"/>
              <w:bottom w:val="single" w:color="auto" w:sz="4" w:space="0"/>
              <w:right w:val="single" w:color="auto" w:sz="4" w:space="0"/>
            </w:tcBorders>
            <w:noWrap w:val="0"/>
            <w:vAlign w:val="center"/>
          </w:tcPr>
          <w:p w14:paraId="7509CC3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子项</w:t>
            </w:r>
          </w:p>
        </w:tc>
        <w:tc>
          <w:tcPr>
            <w:tcW w:w="1088" w:type="dxa"/>
            <w:vMerge w:val="continue"/>
            <w:tcBorders>
              <w:top w:val="single" w:color="auto" w:sz="4" w:space="0"/>
              <w:left w:val="nil"/>
              <w:bottom w:val="single" w:color="auto" w:sz="4" w:space="0"/>
              <w:right w:val="single" w:color="auto" w:sz="4" w:space="0"/>
            </w:tcBorders>
            <w:noWrap w:val="0"/>
            <w:vAlign w:val="center"/>
          </w:tcPr>
          <w:p w14:paraId="2A6705E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713" w:type="dxa"/>
            <w:vMerge w:val="continue"/>
            <w:tcBorders>
              <w:top w:val="single" w:color="auto" w:sz="4" w:space="0"/>
              <w:left w:val="nil"/>
              <w:bottom w:val="single" w:color="auto" w:sz="4" w:space="0"/>
              <w:right w:val="single" w:color="auto" w:sz="4" w:space="0"/>
            </w:tcBorders>
            <w:noWrap w:val="0"/>
            <w:vAlign w:val="center"/>
          </w:tcPr>
          <w:p w14:paraId="36E8237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19FB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1117" w:type="dxa"/>
            <w:vMerge w:val="restart"/>
            <w:tcBorders>
              <w:top w:val="nil"/>
              <w:left w:val="single" w:color="auto" w:sz="4" w:space="0"/>
              <w:bottom w:val="single" w:color="auto" w:sz="4" w:space="0"/>
              <w:right w:val="single" w:color="auto" w:sz="4" w:space="0"/>
            </w:tcBorders>
            <w:noWrap w:val="0"/>
            <w:vAlign w:val="center"/>
          </w:tcPr>
          <w:p w14:paraId="7D444F08">
            <w:pPr>
              <w:keepNext w:val="0"/>
              <w:keepLines w:val="0"/>
              <w:widowControl/>
              <w:suppressLineNumbers w:val="0"/>
              <w:spacing w:before="0" w:beforeAutospacing="0" w:after="0" w:afterAutospacing="0" w:line="360" w:lineRule="exact"/>
              <w:ind w:left="0" w:right="0"/>
              <w:jc w:val="center"/>
              <w:rPr>
                <w:rFonts w:hint="eastAsia" w:ascii="宋体" w:hAnsi="宋体" w:eastAsia="宋体" w:cs="Times New Roman"/>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一、项目管理机构能力</w:t>
            </w:r>
          </w:p>
          <w:p w14:paraId="26FB216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color w:val="auto"/>
                <w:kern w:val="2"/>
                <w:sz w:val="21"/>
                <w:szCs w:val="21"/>
                <w:highlight w:val="none"/>
              </w:rPr>
            </w:pPr>
          </w:p>
        </w:tc>
        <w:tc>
          <w:tcPr>
            <w:tcW w:w="1167" w:type="dxa"/>
            <w:tcBorders>
              <w:top w:val="single" w:color="auto" w:sz="4" w:space="0"/>
              <w:left w:val="nil"/>
              <w:bottom w:val="single" w:color="auto" w:sz="4" w:space="0"/>
              <w:right w:val="single" w:color="auto" w:sz="4" w:space="0"/>
            </w:tcBorders>
            <w:noWrap w:val="0"/>
            <w:vAlign w:val="center"/>
          </w:tcPr>
          <w:p w14:paraId="5B7A287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项目负责人能力</w:t>
            </w:r>
          </w:p>
        </w:tc>
        <w:tc>
          <w:tcPr>
            <w:tcW w:w="1088" w:type="dxa"/>
            <w:tcBorders>
              <w:top w:val="single" w:color="auto" w:sz="4" w:space="0"/>
              <w:left w:val="nil"/>
              <w:bottom w:val="single" w:color="auto" w:sz="4" w:space="0"/>
              <w:right w:val="single" w:color="auto" w:sz="4" w:space="0"/>
            </w:tcBorders>
            <w:noWrap w:val="0"/>
            <w:vAlign w:val="center"/>
          </w:tcPr>
          <w:p w14:paraId="6824CCF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10713" w:type="dxa"/>
            <w:tcBorders>
              <w:top w:val="single" w:color="auto" w:sz="4" w:space="0"/>
              <w:left w:val="nil"/>
              <w:bottom w:val="single" w:color="auto" w:sz="4" w:space="0"/>
              <w:right w:val="single" w:color="auto" w:sz="4" w:space="0"/>
            </w:tcBorders>
            <w:noWrap w:val="0"/>
            <w:vAlign w:val="center"/>
          </w:tcPr>
          <w:p w14:paraId="06347273">
            <w:pPr>
              <w:keepNext w:val="0"/>
              <w:keepLines w:val="0"/>
              <w:widowControl/>
              <w:suppressLineNumbers w:val="0"/>
              <w:autoSpaceDE w:val="0"/>
              <w:autoSpaceDN/>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得分规则：</w:t>
            </w:r>
          </w:p>
          <w:p w14:paraId="76566CC6">
            <w:pPr>
              <w:keepNext w:val="0"/>
              <w:keepLines w:val="0"/>
              <w:widowControl/>
              <w:suppressLineNumbers w:val="0"/>
              <w:autoSpaceDE w:val="0"/>
              <w:autoSpaceDN/>
              <w:spacing w:before="0" w:beforeAutospacing="0" w:after="0" w:afterAutospacing="0"/>
              <w:ind w:left="0" w:right="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 xml:space="preserve">拟委派项目负责人从业经历按以下条件计取得分： </w:t>
            </w:r>
          </w:p>
          <w:p w14:paraId="120BE814">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①从业经历为10年（含本数）或以上的，得20分；</w:t>
            </w:r>
          </w:p>
          <w:p w14:paraId="32902815">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②从业经历为5</w:t>
            </w:r>
            <w:r>
              <w:rPr>
                <w:rFonts w:hint="default" w:ascii="宋体" w:hAnsi="宋体" w:eastAsia="宋体" w:cs="宋体"/>
                <w:color w:val="auto"/>
                <w:kern w:val="2"/>
                <w:sz w:val="21"/>
                <w:szCs w:val="21"/>
                <w:highlight w:val="none"/>
                <w:lang w:eastAsia="zh-CN" w:bidi="ar"/>
              </w:rPr>
              <w:t>年</w:t>
            </w:r>
            <w:r>
              <w:rPr>
                <w:rFonts w:hint="eastAsia" w:ascii="宋体" w:hAnsi="宋体" w:eastAsia="宋体" w:cs="宋体"/>
                <w:color w:val="auto"/>
                <w:kern w:val="2"/>
                <w:sz w:val="21"/>
                <w:szCs w:val="21"/>
                <w:highlight w:val="none"/>
                <w:lang w:val="en-US" w:eastAsia="zh-CN" w:bidi="ar"/>
              </w:rPr>
              <w:t>（含本数）-1</w:t>
            </w:r>
            <w:r>
              <w:rPr>
                <w:rFonts w:hint="default" w:ascii="宋体" w:hAnsi="宋体" w:eastAsia="宋体" w:cs="宋体"/>
                <w:color w:val="auto"/>
                <w:kern w:val="2"/>
                <w:sz w:val="21"/>
                <w:szCs w:val="21"/>
                <w:highlight w:val="none"/>
                <w:lang w:eastAsia="zh-CN" w:bidi="ar"/>
              </w:rPr>
              <w:t>0年</w:t>
            </w:r>
            <w:r>
              <w:rPr>
                <w:rFonts w:hint="eastAsia" w:ascii="宋体" w:hAnsi="宋体" w:eastAsia="宋体" w:cs="宋体"/>
                <w:color w:val="auto"/>
                <w:kern w:val="2"/>
                <w:sz w:val="21"/>
                <w:szCs w:val="21"/>
                <w:highlight w:val="none"/>
                <w:lang w:val="en-US" w:eastAsia="zh-CN" w:bidi="ar"/>
              </w:rPr>
              <w:t>（不含本数）的，得15分；</w:t>
            </w:r>
          </w:p>
          <w:p w14:paraId="63968153">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③从业经历为5年（不含本数）以下的，得10分。</w:t>
            </w:r>
          </w:p>
          <w:p w14:paraId="3A71E1D5">
            <w:pPr>
              <w:keepNext w:val="0"/>
              <w:keepLines w:val="0"/>
              <w:widowControl w:val="0"/>
              <w:suppressLineNumbers w:val="0"/>
              <w:autoSpaceDE w:val="0"/>
              <w:autoSpaceDN/>
              <w:snapToGrid w:val="0"/>
              <w:spacing w:before="0" w:beforeAutospacing="0" w:after="0" w:afterAutospacing="0" w:line="240"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本项最多得20分，同时满足多个档次的按最高档次得分计算。不提供相关证书及证明材料或不符合上述条件的不得分。须提供身份证和相应证书扫描件（从业经历以具有大专或以上学历毕业证的发证日期起计，如果投标人同时提供了多个学历毕业证书，则任一毕业证书能达到上述评审从业经历年限要求的即可得分，但不得累计得分。）及</w:t>
            </w:r>
            <w:r>
              <w:rPr>
                <w:rFonts w:hint="eastAsia" w:ascii="宋体" w:hAnsi="宋体" w:eastAsia="宋体" w:cs="宋体"/>
                <w:bCs/>
                <w:color w:val="auto"/>
                <w:szCs w:val="21"/>
                <w:highlight w:val="none"/>
              </w:rPr>
              <w:t>投标截止时间前近1个月在本单位购买的社保证明文件扫描件。</w:t>
            </w:r>
          </w:p>
        </w:tc>
      </w:tr>
      <w:tr w14:paraId="4A9E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117" w:type="dxa"/>
            <w:vMerge w:val="continue"/>
            <w:tcBorders>
              <w:top w:val="nil"/>
              <w:left w:val="single" w:color="auto" w:sz="4" w:space="0"/>
              <w:bottom w:val="single" w:color="auto" w:sz="4" w:space="0"/>
              <w:right w:val="single" w:color="auto" w:sz="4" w:space="0"/>
            </w:tcBorders>
            <w:noWrap w:val="0"/>
            <w:vAlign w:val="center"/>
          </w:tcPr>
          <w:p w14:paraId="6F927B0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67" w:type="dxa"/>
            <w:vMerge w:val="restart"/>
            <w:tcBorders>
              <w:top w:val="nil"/>
              <w:left w:val="nil"/>
              <w:bottom w:val="single" w:color="auto" w:sz="4" w:space="0"/>
              <w:right w:val="single" w:color="auto" w:sz="4" w:space="0"/>
            </w:tcBorders>
            <w:noWrap w:val="0"/>
            <w:vAlign w:val="center"/>
          </w:tcPr>
          <w:p w14:paraId="3CBDC1E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企业技术力量配备情况</w:t>
            </w:r>
          </w:p>
        </w:tc>
        <w:tc>
          <w:tcPr>
            <w:tcW w:w="1088" w:type="dxa"/>
            <w:vMerge w:val="restart"/>
            <w:tcBorders>
              <w:top w:val="nil"/>
              <w:left w:val="nil"/>
              <w:bottom w:val="single" w:color="auto" w:sz="4" w:space="0"/>
              <w:right w:val="single" w:color="auto" w:sz="4" w:space="0"/>
            </w:tcBorders>
            <w:noWrap w:val="0"/>
            <w:vAlign w:val="center"/>
          </w:tcPr>
          <w:p w14:paraId="6727C892">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30</w:t>
            </w:r>
          </w:p>
        </w:tc>
        <w:tc>
          <w:tcPr>
            <w:tcW w:w="10713" w:type="dxa"/>
            <w:tcBorders>
              <w:top w:val="single" w:color="auto" w:sz="4" w:space="0"/>
              <w:left w:val="nil"/>
              <w:bottom w:val="single" w:color="auto" w:sz="4" w:space="0"/>
              <w:right w:val="single" w:color="auto" w:sz="4" w:space="0"/>
            </w:tcBorders>
            <w:noWrap w:val="0"/>
            <w:vAlign w:val="center"/>
          </w:tcPr>
          <w:p w14:paraId="7091E6B7">
            <w:pPr>
              <w:keepNext w:val="0"/>
              <w:keepLines w:val="0"/>
              <w:widowControl w:val="0"/>
              <w:suppressLineNumbers w:val="0"/>
              <w:autoSpaceDE/>
              <w:autoSpaceDN/>
              <w:snapToGrid w:val="0"/>
              <w:spacing w:before="0" w:beforeAutospacing="0" w:after="0" w:afterAutospacing="0" w:line="240" w:lineRule="auto"/>
              <w:ind w:left="0" w:right="0"/>
              <w:jc w:val="both"/>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得分规则：</w:t>
            </w:r>
          </w:p>
          <w:p w14:paraId="0AF54B08">
            <w:pPr>
              <w:keepNext w:val="0"/>
              <w:keepLines w:val="0"/>
              <w:widowControl w:val="0"/>
              <w:suppressLineNumbers w:val="0"/>
              <w:autoSpaceDE/>
              <w:autoSpaceDN/>
              <w:snapToGrid w:val="0"/>
              <w:spacing w:before="0" w:beforeAutospacing="0" w:after="0" w:afterAutospacing="0" w:line="240" w:lineRule="auto"/>
              <w:ind w:left="0" w:right="0"/>
              <w:jc w:val="both"/>
              <w:rPr>
                <w:rFonts w:hint="default" w:ascii="Times New Roman" w:hAnsi="Times New Roman"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拟投入技术负责人：</w:t>
            </w:r>
          </w:p>
          <w:p w14:paraId="3C13E3AE">
            <w:pPr>
              <w:keepNext w:val="0"/>
              <w:keepLines w:val="0"/>
              <w:widowControl w:val="0"/>
              <w:suppressLineNumbers w:val="0"/>
              <w:autoSpaceDE/>
              <w:autoSpaceDN/>
              <w:snapToGrid w:val="0"/>
              <w:spacing w:before="0" w:beforeAutospacing="0" w:after="0" w:afterAutospacing="0" w:line="240" w:lineRule="auto"/>
              <w:ind w:left="0" w:leftChars="0" w:right="0"/>
              <w:jc w:val="both"/>
              <w:rPr>
                <w:rFonts w:hint="default" w:ascii="Times New Roman" w:hAnsi="Times New Roman"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一、专业技术能力按以下条件计取得分：</w:t>
            </w:r>
          </w:p>
          <w:p w14:paraId="5DC9012A">
            <w:pPr>
              <w:autoSpaceDE/>
              <w:snapToGrid w:val="0"/>
              <w:spacing w:after="0" w:line="240" w:lineRule="auto"/>
              <w:rPr>
                <w:rFonts w:hint="eastAsia" w:ascii="宋体" w:hAnsi="宋体" w:eastAsia="宋体" w:cs="宋体"/>
                <w:bCs/>
                <w:color w:val="auto"/>
                <w:szCs w:val="21"/>
                <w:highlight w:val="none"/>
                <w:lang w:val="en-US" w:eastAsia="zh-CN" w:bidi="ar"/>
              </w:rPr>
            </w:pPr>
            <w:r>
              <w:rPr>
                <w:rFonts w:hint="eastAsia" w:ascii="宋体" w:hAnsi="宋体" w:eastAsia="宋体" w:cs="Times New Roman"/>
                <w:bCs/>
                <w:color w:val="auto"/>
                <w:szCs w:val="21"/>
                <w:highlight w:val="none"/>
              </w:rPr>
              <w:t>具有园林绿化或风景园林专业</w:t>
            </w:r>
            <w:r>
              <w:rPr>
                <w:rFonts w:hint="eastAsia" w:ascii="宋体" w:hAnsi="宋体" w:eastAsia="宋体" w:cs="Times New Roman"/>
                <w:bCs/>
                <w:color w:val="auto"/>
                <w:szCs w:val="21"/>
                <w:highlight w:val="none"/>
                <w:lang w:val="en-US" w:eastAsia="zh-CN"/>
              </w:rPr>
              <w:t>副</w:t>
            </w:r>
            <w:r>
              <w:rPr>
                <w:rFonts w:hint="eastAsia" w:ascii="宋体" w:hAnsi="宋体" w:eastAsia="宋体" w:cs="Times New Roman"/>
                <w:bCs/>
                <w:color w:val="auto"/>
                <w:szCs w:val="21"/>
                <w:highlight w:val="none"/>
              </w:rPr>
              <w:t>高级（或</w:t>
            </w:r>
            <w:r>
              <w:rPr>
                <w:rFonts w:hint="eastAsia" w:ascii="宋体" w:hAnsi="宋体" w:eastAsia="宋体" w:cs="Times New Roman"/>
                <w:bCs/>
                <w:color w:val="auto"/>
                <w:szCs w:val="21"/>
                <w:highlight w:val="none"/>
                <w:lang w:val="en-US" w:eastAsia="zh-CN"/>
              </w:rPr>
              <w:t>以上</w:t>
            </w:r>
            <w:r>
              <w:rPr>
                <w:rFonts w:hint="eastAsia" w:ascii="宋体" w:hAnsi="宋体" w:eastAsia="宋体" w:cs="Times New Roman"/>
                <w:bCs/>
                <w:color w:val="auto"/>
                <w:szCs w:val="21"/>
                <w:highlight w:val="none"/>
              </w:rPr>
              <w:t>）技术职称的，得</w:t>
            </w:r>
            <w:r>
              <w:rPr>
                <w:rFonts w:hint="eastAsia" w:ascii="宋体" w:hAnsi="宋体" w:eastAsia="宋体" w:cs="Times New Roman"/>
                <w:bCs/>
                <w:color w:val="auto"/>
                <w:szCs w:val="21"/>
                <w:highlight w:val="none"/>
                <w:lang w:val="en-US" w:eastAsia="zh-CN"/>
              </w:rPr>
              <w:t>3分；</w:t>
            </w:r>
            <w:r>
              <w:rPr>
                <w:rFonts w:hint="eastAsia" w:ascii="宋体" w:hAnsi="宋体" w:eastAsia="宋体" w:cs="Times New Roman"/>
                <w:bCs/>
                <w:color w:val="auto"/>
                <w:szCs w:val="21"/>
                <w:highlight w:val="none"/>
              </w:rPr>
              <w:t>具有园林绿化或风景园林专业</w:t>
            </w:r>
            <w:r>
              <w:rPr>
                <w:rFonts w:hint="eastAsia" w:ascii="宋体" w:hAnsi="宋体" w:eastAsia="宋体" w:cs="Times New Roman"/>
                <w:bCs/>
                <w:color w:val="auto"/>
                <w:szCs w:val="21"/>
                <w:highlight w:val="none"/>
                <w:lang w:val="en-US" w:eastAsia="zh-CN"/>
              </w:rPr>
              <w:t>中</w:t>
            </w:r>
            <w:r>
              <w:rPr>
                <w:rFonts w:hint="eastAsia" w:ascii="宋体" w:hAnsi="宋体" w:eastAsia="宋体" w:cs="Times New Roman"/>
                <w:bCs/>
                <w:color w:val="auto"/>
                <w:szCs w:val="21"/>
                <w:highlight w:val="none"/>
                <w:lang w:eastAsia="zh-CN"/>
              </w:rPr>
              <w:t>级</w:t>
            </w:r>
            <w:r>
              <w:rPr>
                <w:rFonts w:hint="eastAsia" w:ascii="宋体" w:hAnsi="宋体" w:eastAsia="宋体" w:cs="Times New Roman"/>
                <w:bCs/>
                <w:color w:val="auto"/>
                <w:szCs w:val="21"/>
                <w:highlight w:val="none"/>
              </w:rPr>
              <w:t>技术职称的，得</w:t>
            </w:r>
            <w:r>
              <w:rPr>
                <w:rFonts w:hint="eastAsia" w:ascii="宋体" w:hAnsi="宋体" w:eastAsia="宋体" w:cs="Times New Roman"/>
                <w:bCs/>
                <w:color w:val="auto"/>
                <w:szCs w:val="21"/>
                <w:highlight w:val="none"/>
                <w:lang w:val="en-US" w:eastAsia="zh-CN"/>
              </w:rPr>
              <w:t>1</w:t>
            </w:r>
            <w:r>
              <w:rPr>
                <w:rFonts w:hint="eastAsia" w:ascii="宋体" w:hAnsi="宋体" w:eastAsia="宋体" w:cs="Times New Roman"/>
                <w:bCs/>
                <w:color w:val="auto"/>
                <w:szCs w:val="21"/>
                <w:highlight w:val="none"/>
              </w:rPr>
              <w:t>分</w:t>
            </w:r>
            <w:r>
              <w:rPr>
                <w:rFonts w:hint="eastAsia" w:ascii="宋体" w:hAnsi="宋体" w:eastAsia="宋体" w:cs="宋体"/>
                <w:bCs/>
                <w:color w:val="auto"/>
                <w:szCs w:val="21"/>
                <w:highlight w:val="none"/>
                <w:lang w:eastAsia="zh-CN" w:bidi="ar"/>
              </w:rPr>
              <w:t>。</w:t>
            </w:r>
          </w:p>
          <w:p w14:paraId="645D9870">
            <w:pPr>
              <w:keepNext w:val="0"/>
              <w:keepLines w:val="0"/>
              <w:widowControl w:val="0"/>
              <w:suppressLineNumbers w:val="0"/>
              <w:autoSpaceDE/>
              <w:autoSpaceDN/>
              <w:snapToGrid w:val="0"/>
              <w:spacing w:before="0" w:beforeAutospacing="0" w:after="0" w:afterAutospacing="0" w:line="240" w:lineRule="auto"/>
              <w:ind w:left="0" w:right="0"/>
              <w:jc w:val="both"/>
              <w:rPr>
                <w:rFonts w:hint="default" w:ascii="Times New Roman" w:hAnsi="Times New Roman"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二、从业经历按以下条件计取得分：</w:t>
            </w:r>
          </w:p>
          <w:p w14:paraId="76872E9C">
            <w:pPr>
              <w:keepNext w:val="0"/>
              <w:keepLines w:val="0"/>
              <w:widowControl w:val="0"/>
              <w:suppressLineNumbers w:val="0"/>
              <w:autoSpaceDE/>
              <w:autoSpaceDN/>
              <w:snapToGrid w:val="0"/>
              <w:spacing w:before="0" w:beforeAutospacing="0" w:after="0" w:afterAutospacing="0" w:line="24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①从业经历为15年（含本数）或以上的，得3分；</w:t>
            </w:r>
          </w:p>
          <w:p w14:paraId="5F41535B">
            <w:pPr>
              <w:keepNext w:val="0"/>
              <w:keepLines w:val="0"/>
              <w:widowControl w:val="0"/>
              <w:suppressLineNumbers w:val="0"/>
              <w:autoSpaceDE/>
              <w:autoSpaceDN/>
              <w:snapToGrid w:val="0"/>
              <w:spacing w:before="0" w:beforeAutospacing="0" w:after="0" w:afterAutospacing="0" w:line="24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②从业经历为5年（含本数）-15年（不含本数）的，得2分；</w:t>
            </w:r>
          </w:p>
          <w:p w14:paraId="76556352">
            <w:pPr>
              <w:keepNext w:val="0"/>
              <w:keepLines w:val="0"/>
              <w:widowControl w:val="0"/>
              <w:suppressLineNumbers w:val="0"/>
              <w:autoSpaceDE/>
              <w:autoSpaceDN/>
              <w:snapToGrid w:val="0"/>
              <w:spacing w:before="0" w:beforeAutospacing="0" w:after="0" w:afterAutospacing="0" w:line="240" w:lineRule="auto"/>
              <w:ind w:left="0" w:right="0"/>
              <w:jc w:val="both"/>
              <w:rPr>
                <w:rFonts w:hint="default"/>
                <w:highlight w:val="none"/>
                <w:lang w:val="en-US"/>
              </w:rPr>
            </w:pPr>
            <w:r>
              <w:rPr>
                <w:rFonts w:hint="eastAsia" w:ascii="宋体" w:hAnsi="宋体" w:eastAsia="宋体" w:cs="宋体"/>
                <w:color w:val="auto"/>
                <w:kern w:val="2"/>
                <w:sz w:val="21"/>
                <w:szCs w:val="21"/>
                <w:highlight w:val="none"/>
                <w:lang w:val="en-US" w:eastAsia="zh-CN" w:bidi="ar"/>
              </w:rPr>
              <w:t>③从业经历为5年（不含本数）以下的，得1分。</w:t>
            </w:r>
          </w:p>
        </w:tc>
      </w:tr>
      <w:tr w14:paraId="2DF8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17" w:type="dxa"/>
            <w:vMerge w:val="continue"/>
            <w:tcBorders>
              <w:top w:val="nil"/>
              <w:left w:val="single" w:color="auto" w:sz="4" w:space="0"/>
              <w:bottom w:val="single" w:color="auto" w:sz="4" w:space="0"/>
              <w:right w:val="single" w:color="auto" w:sz="4" w:space="0"/>
            </w:tcBorders>
            <w:noWrap w:val="0"/>
            <w:vAlign w:val="center"/>
          </w:tcPr>
          <w:p w14:paraId="6A5BF5F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67" w:type="dxa"/>
            <w:vMerge w:val="continue"/>
            <w:tcBorders>
              <w:top w:val="nil"/>
              <w:left w:val="nil"/>
              <w:bottom w:val="single" w:color="auto" w:sz="4" w:space="0"/>
              <w:right w:val="single" w:color="auto" w:sz="4" w:space="0"/>
            </w:tcBorders>
            <w:noWrap w:val="0"/>
            <w:vAlign w:val="center"/>
          </w:tcPr>
          <w:p w14:paraId="164B1B8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8" w:type="dxa"/>
            <w:vMerge w:val="continue"/>
            <w:tcBorders>
              <w:top w:val="nil"/>
              <w:left w:val="nil"/>
              <w:bottom w:val="single" w:color="auto" w:sz="4" w:space="0"/>
              <w:right w:val="single" w:color="auto" w:sz="4" w:space="0"/>
            </w:tcBorders>
            <w:noWrap w:val="0"/>
            <w:vAlign w:val="center"/>
          </w:tcPr>
          <w:p w14:paraId="22C56D8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713" w:type="dxa"/>
            <w:tcBorders>
              <w:top w:val="single" w:color="auto" w:sz="4" w:space="0"/>
              <w:left w:val="nil"/>
              <w:bottom w:val="single" w:color="auto" w:sz="4" w:space="0"/>
              <w:right w:val="single" w:color="auto" w:sz="4" w:space="0"/>
            </w:tcBorders>
            <w:noWrap w:val="0"/>
            <w:vAlign w:val="center"/>
          </w:tcPr>
          <w:p w14:paraId="1E773A87">
            <w:pPr>
              <w:keepNext w:val="0"/>
              <w:keepLines w:val="0"/>
              <w:widowControl w:val="0"/>
              <w:suppressLineNumbers w:val="0"/>
              <w:spacing w:before="0" w:beforeAutospacing="0" w:after="0" w:afterAutospacing="0"/>
              <w:ind w:left="0" w:right="0" w:firstLine="0" w:firstLineChars="0"/>
              <w:jc w:val="both"/>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得分规则：</w:t>
            </w:r>
          </w:p>
          <w:p w14:paraId="084B36F2">
            <w:pPr>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拟投入其他技术人员：</w:t>
            </w:r>
          </w:p>
          <w:p w14:paraId="05471B23">
            <w:pPr>
              <w:keepNext w:val="0"/>
              <w:keepLines w:val="0"/>
              <w:widowControl/>
              <w:suppressLineNumbers w:val="0"/>
              <w:autoSpaceDE/>
              <w:autoSpaceDN/>
              <w:snapToGrid w:val="0"/>
              <w:spacing w:before="0" w:beforeAutospacing="0" w:after="0" w:afterAutospacing="0" w:line="240" w:lineRule="auto"/>
              <w:ind w:left="0" w:right="0" w:firstLine="0" w:firstLineChars="0"/>
              <w:jc w:val="left"/>
              <w:rPr>
                <w:rFonts w:hint="eastAsia" w:ascii="宋体" w:hAnsi="宋体" w:eastAsia="宋体" w:cs="宋体"/>
                <w:i w:val="0"/>
                <w:iCs w:val="0"/>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
              </w:rPr>
              <w:t>一、</w:t>
            </w:r>
            <w:r>
              <w:rPr>
                <w:rFonts w:hint="eastAsia" w:ascii="宋体" w:hAnsi="宋体" w:eastAsia="宋体" w:cs="宋体"/>
                <w:b/>
                <w:bCs/>
                <w:color w:val="auto"/>
                <w:szCs w:val="21"/>
                <w:highlight w:val="none"/>
                <w:lang w:val="en-US" w:eastAsia="zh-CN"/>
              </w:rPr>
              <w:t>林业工程师</w:t>
            </w:r>
            <w:r>
              <w:rPr>
                <w:rFonts w:hint="eastAsia" w:ascii="宋体" w:hAnsi="宋体" w:eastAsia="宋体" w:cs="宋体"/>
                <w:b/>
                <w:bCs/>
                <w:color w:val="auto"/>
                <w:szCs w:val="21"/>
                <w:highlight w:val="none"/>
              </w:rPr>
              <w:t>1人：</w:t>
            </w:r>
          </w:p>
          <w:p w14:paraId="7D41EC2D">
            <w:pPr>
              <w:keepNext w:val="0"/>
              <w:keepLines w:val="0"/>
              <w:widowControl/>
              <w:suppressLineNumbers w:val="0"/>
              <w:autoSpaceDE/>
              <w:autoSpaceDN/>
              <w:snapToGrid w:val="0"/>
              <w:spacing w:before="0" w:beforeAutospacing="0" w:after="0" w:afterAutospacing="0" w:line="240" w:lineRule="auto"/>
              <w:ind w:left="0" w:right="0" w:firstLine="0" w:firstLineChars="0"/>
              <w:jc w:val="left"/>
              <w:rPr>
                <w:rFonts w:hint="eastAsia" w:ascii="宋体" w:hAnsi="宋体" w:eastAsia="宋体" w:cs="宋体"/>
                <w:i w:val="0"/>
                <w:iCs w:val="0"/>
                <w:color w:val="auto"/>
                <w:kern w:val="2"/>
                <w:sz w:val="21"/>
                <w:szCs w:val="21"/>
                <w:highlight w:val="none"/>
                <w:u w:val="none"/>
                <w:lang w:val="en-US" w:eastAsia="zh-CN" w:bidi="ar"/>
              </w:rPr>
            </w:pPr>
            <w:r>
              <w:rPr>
                <w:rFonts w:hint="eastAsia" w:ascii="宋体" w:hAnsi="宋体" w:eastAsia="宋体" w:cs="宋体"/>
                <w:i w:val="0"/>
                <w:iCs w:val="0"/>
                <w:color w:val="auto"/>
                <w:kern w:val="2"/>
                <w:sz w:val="21"/>
                <w:szCs w:val="21"/>
                <w:highlight w:val="none"/>
                <w:u w:val="none"/>
                <w:lang w:val="en-US" w:eastAsia="zh-CN" w:bidi="ar"/>
              </w:rPr>
              <w:t>具有林业专业副高级（或以上）技术职称的，得3分；具有林业专业中级技术职称的，得1分；无或其他不得分。以职称证书为准。</w:t>
            </w:r>
          </w:p>
          <w:p w14:paraId="6F50BD5D">
            <w:pPr>
              <w:widowControl/>
              <w:numPr>
                <w:ilvl w:val="0"/>
                <w:numId w:val="2"/>
              </w:numPr>
              <w:snapToGrid w:val="0"/>
              <w:spacing w:line="240" w:lineRule="auto"/>
              <w:ind w:firstLine="0" w:firstLineChars="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植物保护工程师（或农艺师）：</w:t>
            </w:r>
          </w:p>
          <w:p w14:paraId="2657BD31">
            <w:pPr>
              <w:keepNext w:val="0"/>
              <w:keepLines w:val="0"/>
              <w:widowControl/>
              <w:suppressLineNumbers w:val="0"/>
              <w:autoSpaceDE w:val="0"/>
              <w:autoSpaceDN/>
              <w:spacing w:before="0" w:beforeAutospacing="0" w:after="0" w:afterAutospacing="0"/>
              <w:ind w:left="0" w:right="0" w:firstLine="0" w:firstLineChars="0"/>
              <w:jc w:val="left"/>
              <w:rPr>
                <w:rFonts w:hint="eastAsia" w:hAnsi="宋体" w:eastAsia="宋体" w:cs="宋体"/>
                <w:color w:val="auto"/>
                <w:szCs w:val="21"/>
                <w:highlight w:val="none"/>
                <w:lang w:val="en-US" w:eastAsia="zh-CN"/>
              </w:rPr>
            </w:pPr>
            <w:r>
              <w:rPr>
                <w:rFonts w:hint="eastAsia" w:ascii="宋体" w:hAnsi="宋体" w:eastAsia="宋体" w:cs="宋体"/>
                <w:color w:val="auto"/>
                <w:szCs w:val="21"/>
                <w:highlight w:val="none"/>
              </w:rPr>
              <w:t>具有</w:t>
            </w:r>
            <w:r>
              <w:rPr>
                <w:rFonts w:hint="eastAsia" w:hAnsi="宋体" w:eastAsia="宋体" w:cs="宋体"/>
                <w:color w:val="auto"/>
                <w:szCs w:val="21"/>
                <w:highlight w:val="none"/>
                <w:lang w:eastAsia="zh-CN"/>
              </w:rPr>
              <w:t>农艺或植物保护</w:t>
            </w:r>
            <w:r>
              <w:rPr>
                <w:rFonts w:hint="eastAsia" w:hAnsi="宋体" w:eastAsia="宋体" w:cs="宋体"/>
                <w:color w:val="auto"/>
                <w:szCs w:val="21"/>
                <w:highlight w:val="none"/>
                <w:lang w:val="en-US" w:eastAsia="zh-CN"/>
              </w:rPr>
              <w:t>等专业</w:t>
            </w:r>
            <w:r>
              <w:rPr>
                <w:rFonts w:hint="eastAsia" w:hAnsi="宋体" w:eastAsia="宋体" w:cs="宋体"/>
                <w:color w:val="auto"/>
                <w:szCs w:val="21"/>
                <w:highlight w:val="none"/>
                <w:lang w:eastAsia="zh-CN"/>
              </w:rPr>
              <w:t>副高级</w:t>
            </w:r>
            <w:r>
              <w:rPr>
                <w:rFonts w:hint="eastAsia" w:ascii="宋体" w:hAnsi="宋体" w:eastAsia="宋体" w:cs="Times New Roman"/>
                <w:bCs/>
                <w:color w:val="auto"/>
                <w:szCs w:val="21"/>
                <w:highlight w:val="none"/>
              </w:rPr>
              <w:t>（或</w:t>
            </w:r>
            <w:r>
              <w:rPr>
                <w:rFonts w:hint="eastAsia" w:ascii="宋体" w:hAnsi="宋体" w:eastAsia="宋体" w:cs="Times New Roman"/>
                <w:bCs/>
                <w:color w:val="auto"/>
                <w:szCs w:val="21"/>
                <w:highlight w:val="none"/>
                <w:lang w:val="en-US" w:eastAsia="zh-CN"/>
              </w:rPr>
              <w:t>以上</w:t>
            </w:r>
            <w:r>
              <w:rPr>
                <w:rFonts w:hint="eastAsia" w:ascii="宋体" w:hAnsi="宋体" w:eastAsia="宋体" w:cs="Times New Roman"/>
                <w:bCs/>
                <w:color w:val="auto"/>
                <w:szCs w:val="21"/>
                <w:highlight w:val="none"/>
              </w:rPr>
              <w:t>）</w:t>
            </w:r>
            <w:r>
              <w:rPr>
                <w:rFonts w:hint="eastAsia" w:hAnsi="宋体" w:eastAsia="宋体" w:cs="宋体"/>
                <w:color w:val="auto"/>
                <w:szCs w:val="21"/>
                <w:highlight w:val="none"/>
                <w:lang w:eastAsia="zh-CN"/>
              </w:rPr>
              <w:t>技术职称的，得</w:t>
            </w:r>
            <w:r>
              <w:rPr>
                <w:rFonts w:hint="eastAsia" w:ascii="宋体" w:hAnsi="宋体" w:eastAsia="宋体" w:cs="宋体"/>
                <w:i w:val="0"/>
                <w:iCs w:val="0"/>
                <w:color w:val="auto"/>
                <w:kern w:val="2"/>
                <w:sz w:val="21"/>
                <w:szCs w:val="21"/>
                <w:highlight w:val="none"/>
                <w:u w:val="none"/>
                <w:lang w:val="en-US" w:eastAsia="zh-CN" w:bidi="ar"/>
              </w:rPr>
              <w:t>3</w:t>
            </w:r>
            <w:r>
              <w:rPr>
                <w:rFonts w:hint="eastAsia" w:hAnsi="宋体" w:eastAsia="宋体" w:cs="宋体"/>
                <w:color w:val="auto"/>
                <w:szCs w:val="21"/>
                <w:highlight w:val="none"/>
                <w:lang w:val="en-US" w:eastAsia="zh-CN"/>
              </w:rPr>
              <w:t>分；具有农艺或植物保护等专业中级技术职称的，得</w:t>
            </w:r>
            <w:r>
              <w:rPr>
                <w:rFonts w:hint="eastAsia" w:ascii="宋体" w:hAnsi="宋体" w:eastAsia="宋体" w:cs="宋体"/>
                <w:color w:val="auto"/>
                <w:szCs w:val="21"/>
                <w:highlight w:val="none"/>
                <w:lang w:val="en-US" w:eastAsia="zh-CN"/>
              </w:rPr>
              <w:t>1</w:t>
            </w:r>
            <w:r>
              <w:rPr>
                <w:rFonts w:hint="eastAsia" w:hAnsi="宋体" w:eastAsia="宋体" w:cs="宋体"/>
                <w:color w:val="auto"/>
                <w:szCs w:val="21"/>
                <w:highlight w:val="none"/>
                <w:lang w:val="en-US" w:eastAsia="zh-CN"/>
              </w:rPr>
              <w:t>分；</w:t>
            </w:r>
            <w:bookmarkStart w:id="238" w:name="OLE_LINK1"/>
            <w:r>
              <w:rPr>
                <w:rFonts w:hint="eastAsia" w:hAnsi="宋体" w:eastAsia="宋体" w:cs="宋体"/>
                <w:color w:val="auto"/>
                <w:szCs w:val="21"/>
                <w:highlight w:val="none"/>
                <w:lang w:val="en-US" w:eastAsia="zh-CN"/>
              </w:rPr>
              <w:t>无或其他不得分。</w:t>
            </w:r>
            <w:bookmarkEnd w:id="238"/>
          </w:p>
          <w:p w14:paraId="06B9282B">
            <w:pPr>
              <w:keepNext w:val="0"/>
              <w:keepLines w:val="0"/>
              <w:widowControl/>
              <w:suppressLineNumbers w:val="0"/>
              <w:autoSpaceDE w:val="0"/>
              <w:autoSpaceDN/>
              <w:spacing w:before="0" w:beforeAutospacing="0" w:after="0" w:afterAutospacing="0"/>
              <w:ind w:left="0" w:right="0" w:firstLine="0" w:firstLineChars="0"/>
              <w:jc w:val="left"/>
              <w:rPr>
                <w:rFonts w:hint="eastAsia" w:ascii="宋体" w:hAnsi="宋体" w:eastAsia="宋体" w:cs="Times New Roman"/>
                <w:b/>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w:t>
            </w:r>
            <w:r>
              <w:rPr>
                <w:rFonts w:hint="eastAsia" w:ascii="宋体" w:hAnsi="宋体" w:eastAsia="宋体" w:cs="宋体"/>
                <w:b/>
                <w:bCs w:val="0"/>
                <w:color w:val="auto"/>
                <w:kern w:val="2"/>
                <w:sz w:val="21"/>
                <w:szCs w:val="21"/>
                <w:highlight w:val="none"/>
                <w:lang w:val="en-US" w:eastAsia="zh-CN" w:bidi="ar"/>
              </w:rPr>
              <w:t>造价工程师：</w:t>
            </w:r>
          </w:p>
          <w:p w14:paraId="4F7CD258">
            <w:pPr>
              <w:keepNext w:val="0"/>
              <w:keepLines w:val="0"/>
              <w:widowControl w:val="0"/>
              <w:suppressLineNumbers w:val="0"/>
              <w:autoSpaceDE w:val="0"/>
              <w:autoSpaceDN/>
              <w:spacing w:before="0" w:beforeAutospacing="0" w:after="0" w:afterAutospacing="0" w:line="240" w:lineRule="auto"/>
              <w:ind w:left="0" w:right="0"/>
              <w:jc w:val="both"/>
              <w:rPr>
                <w:rFonts w:hint="default" w:ascii="宋体" w:hAnsi="宋体" w:eastAsia="宋体" w:cs="宋体"/>
                <w:bCs/>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①</w:t>
            </w:r>
            <w:r>
              <w:rPr>
                <w:rFonts w:hint="eastAsia" w:ascii="宋体" w:hAnsi="宋体" w:eastAsia="宋体" w:cs="宋体"/>
                <w:bCs/>
                <w:kern w:val="2"/>
                <w:sz w:val="21"/>
                <w:szCs w:val="21"/>
                <w:highlight w:val="none"/>
                <w:lang w:val="en-US" w:eastAsia="zh-CN" w:bidi="ar"/>
              </w:rPr>
              <w:t>具有注册一级造价工程师执业资格且在有效期内的，得</w:t>
            </w:r>
            <w:r>
              <w:rPr>
                <w:rFonts w:hint="eastAsia" w:ascii="宋体" w:hAnsi="宋体" w:cs="宋体"/>
                <w:bCs/>
                <w:kern w:val="2"/>
                <w:sz w:val="21"/>
                <w:szCs w:val="21"/>
                <w:highlight w:val="none"/>
                <w:lang w:val="en-US" w:eastAsia="zh-CN" w:bidi="ar"/>
              </w:rPr>
              <w:t>2</w:t>
            </w:r>
            <w:r>
              <w:rPr>
                <w:rFonts w:hint="eastAsia" w:ascii="宋体" w:hAnsi="宋体" w:eastAsia="宋体" w:cs="宋体"/>
                <w:bCs/>
                <w:kern w:val="2"/>
                <w:sz w:val="21"/>
                <w:szCs w:val="21"/>
                <w:highlight w:val="none"/>
                <w:lang w:val="en-US" w:eastAsia="zh-CN" w:bidi="ar"/>
              </w:rPr>
              <w:t>分；具有二级注册造价工程师执业资格且在有效期内的，得</w:t>
            </w:r>
            <w:r>
              <w:rPr>
                <w:rFonts w:hint="eastAsia" w:ascii="宋体" w:hAnsi="宋体" w:cs="宋体"/>
                <w:bCs/>
                <w:kern w:val="2"/>
                <w:sz w:val="21"/>
                <w:szCs w:val="21"/>
                <w:highlight w:val="none"/>
                <w:lang w:val="en-US" w:eastAsia="zh-CN" w:bidi="ar"/>
              </w:rPr>
              <w:t>1</w:t>
            </w:r>
            <w:r>
              <w:rPr>
                <w:rFonts w:hint="eastAsia" w:ascii="宋体" w:hAnsi="宋体" w:eastAsia="宋体" w:cs="宋体"/>
                <w:bCs/>
                <w:kern w:val="2"/>
                <w:sz w:val="21"/>
                <w:szCs w:val="21"/>
                <w:highlight w:val="none"/>
                <w:lang w:val="en-US" w:eastAsia="zh-CN" w:bidi="ar"/>
              </w:rPr>
              <w:t>分；</w:t>
            </w:r>
            <w:r>
              <w:rPr>
                <w:rFonts w:hint="eastAsia" w:ascii="宋体" w:hAnsi="宋体" w:eastAsia="宋体" w:cs="宋体"/>
                <w:b w:val="0"/>
                <w:bCs w:val="0"/>
                <w:kern w:val="2"/>
                <w:sz w:val="21"/>
                <w:szCs w:val="21"/>
                <w:highlight w:val="none"/>
                <w:lang w:val="en-US" w:eastAsia="zh-CN" w:bidi="ar"/>
              </w:rPr>
              <w:t>无或其他不得分</w:t>
            </w:r>
            <w:r>
              <w:rPr>
                <w:rFonts w:hint="eastAsia" w:ascii="宋体" w:hAnsi="宋体" w:eastAsia="宋体" w:cs="宋体"/>
                <w:bCs/>
                <w:kern w:val="2"/>
                <w:sz w:val="21"/>
                <w:szCs w:val="21"/>
                <w:highlight w:val="none"/>
                <w:lang w:val="en-US" w:eastAsia="zh-CN" w:bidi="ar"/>
              </w:rPr>
              <w:t>。以注册证书为准。</w:t>
            </w:r>
          </w:p>
          <w:p w14:paraId="79B56EF0">
            <w:pPr>
              <w:widowControl/>
              <w:snapToGrid w:val="0"/>
              <w:spacing w:line="240" w:lineRule="auto"/>
              <w:jc w:val="left"/>
              <w:rPr>
                <w:rFonts w:hint="eastAsia"/>
                <w:lang w:val="en-US" w:eastAsia="zh-CN"/>
              </w:rPr>
            </w:pPr>
            <w:r>
              <w:rPr>
                <w:rFonts w:hint="eastAsia" w:ascii="宋体" w:hAnsi="宋体" w:eastAsia="宋体" w:cs="宋体"/>
                <w:color w:val="auto"/>
                <w:sz w:val="21"/>
                <w:szCs w:val="21"/>
                <w:highlight w:val="none"/>
                <w:lang w:val="en-US" w:eastAsia="zh-CN"/>
              </w:rPr>
              <w:t>②具有</w:t>
            </w:r>
            <w:r>
              <w:rPr>
                <w:rFonts w:hint="eastAsia" w:ascii="宋体" w:hAnsi="宋体" w:eastAsia="宋体" w:cs="宋体"/>
                <w:i w:val="0"/>
                <w:iCs w:val="0"/>
                <w:color w:val="000000"/>
                <w:kern w:val="0"/>
                <w:sz w:val="21"/>
                <w:szCs w:val="21"/>
                <w:u w:val="none"/>
                <w:lang w:val="en-US" w:eastAsia="zh-CN" w:bidi="ar"/>
              </w:rPr>
              <w:t>园林绿化或风景园林专业副高级（或以上）技术职称的，得3分</w:t>
            </w:r>
            <w:r>
              <w:rPr>
                <w:rFonts w:hint="eastAsia" w:ascii="宋体" w:hAnsi="宋体" w:eastAsia="宋体" w:cs="宋体"/>
                <w:color w:val="auto"/>
                <w:sz w:val="21"/>
                <w:szCs w:val="21"/>
                <w:highlight w:val="none"/>
                <w:lang w:val="en-US" w:eastAsia="zh-CN"/>
              </w:rPr>
              <w:t>，具有</w:t>
            </w:r>
            <w:r>
              <w:rPr>
                <w:rFonts w:hint="eastAsia" w:ascii="宋体" w:hAnsi="宋体" w:eastAsia="宋体" w:cs="宋体"/>
                <w:i w:val="0"/>
                <w:iCs w:val="0"/>
                <w:color w:val="000000"/>
                <w:kern w:val="0"/>
                <w:sz w:val="21"/>
                <w:szCs w:val="21"/>
                <w:u w:val="none"/>
                <w:lang w:val="en-US" w:eastAsia="zh-CN" w:bidi="ar"/>
              </w:rPr>
              <w:t>园林绿化或风景园林专业</w:t>
            </w:r>
            <w:r>
              <w:rPr>
                <w:rFonts w:hint="eastAsia" w:ascii="宋体" w:hAnsi="宋体" w:eastAsia="宋体" w:cs="宋体"/>
                <w:color w:val="auto"/>
                <w:sz w:val="21"/>
                <w:szCs w:val="21"/>
                <w:highlight w:val="none"/>
                <w:lang w:val="en-US" w:eastAsia="zh-CN"/>
              </w:rPr>
              <w:t>中级技术职称的，得1分；</w:t>
            </w:r>
            <w:r>
              <w:rPr>
                <w:rFonts w:hint="eastAsia" w:ascii="宋体" w:hAnsi="宋体" w:eastAsia="宋体" w:cs="宋体"/>
                <w:color w:val="auto"/>
                <w:szCs w:val="21"/>
                <w:lang w:val="en-US" w:eastAsia="zh-CN"/>
              </w:rPr>
              <w:t>无或其他不得分。</w:t>
            </w:r>
            <w:r>
              <w:rPr>
                <w:rFonts w:hint="eastAsia" w:ascii="宋体" w:hAnsi="宋体" w:eastAsia="宋体" w:cs="宋体"/>
                <w:color w:val="auto"/>
                <w:szCs w:val="21"/>
                <w:highlight w:val="none"/>
                <w:lang w:val="en-US" w:eastAsia="zh-CN"/>
              </w:rPr>
              <w:t>以职称证书为准。</w:t>
            </w:r>
          </w:p>
          <w:p w14:paraId="0EFC84BD">
            <w:pPr>
              <w:keepNext w:val="0"/>
              <w:keepLines w:val="0"/>
              <w:widowControl w:val="0"/>
              <w:suppressLineNumbers w:val="0"/>
              <w:autoSpaceDE w:val="0"/>
              <w:autoSpaceDN/>
              <w:spacing w:before="0" w:beforeAutospacing="0" w:after="0" w:afterAutospacing="0"/>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w:t>
            </w:r>
            <w:r>
              <w:rPr>
                <w:rFonts w:hint="eastAsia" w:ascii="宋体" w:hAnsi="宋体" w:eastAsia="宋体" w:cs="宋体"/>
                <w:b/>
                <w:bCs w:val="0"/>
                <w:color w:val="auto"/>
                <w:kern w:val="2"/>
                <w:sz w:val="21"/>
                <w:szCs w:val="21"/>
                <w:highlight w:val="none"/>
                <w:lang w:val="en-US" w:eastAsia="zh-CN" w:bidi="ar"/>
              </w:rPr>
              <w:t>其他技术人员：</w:t>
            </w:r>
          </w:p>
          <w:p w14:paraId="762308ED">
            <w:pPr>
              <w:widowControl/>
              <w:snapToGrid w:val="0"/>
              <w:spacing w:line="240" w:lineRule="auto"/>
              <w:ind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1.拟投入其他技术人员中具有施工员2人、安全员1人、质量员1人、资料员1人、材料员（取样员）1人，测量员1人、每缺1人扣1分，本小项最高得7分，扣完为止。</w:t>
            </w:r>
          </w:p>
          <w:p w14:paraId="47C1C0F0">
            <w:pPr>
              <w:widowControl/>
              <w:snapToGrid w:val="0"/>
              <w:spacing w:line="240" w:lineRule="auto"/>
              <w:ind w:firstLine="0" w:firstLineChars="0"/>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highlight w:val="none"/>
                <w:lang w:eastAsia="zh-CN"/>
              </w:rPr>
              <w:t>拟投入人员具有</w:t>
            </w:r>
            <w:r>
              <w:rPr>
                <w:rFonts w:hint="eastAsia" w:ascii="宋体" w:hAnsi="宋体" w:eastAsia="宋体" w:cs="宋体"/>
                <w:color w:val="auto"/>
                <w:szCs w:val="21"/>
                <w:highlight w:val="none"/>
                <w:lang w:val="en-US" w:eastAsia="zh-CN"/>
              </w:rPr>
              <w:t>森林资源保护、生态、土壤等</w:t>
            </w:r>
            <w:r>
              <w:rPr>
                <w:rFonts w:hint="eastAsia" w:ascii="宋体" w:hAnsi="宋体" w:eastAsia="宋体" w:cs="宋体"/>
                <w:color w:val="auto"/>
                <w:szCs w:val="21"/>
                <w:highlight w:val="none"/>
                <w:lang w:eastAsia="zh-CN"/>
              </w:rPr>
              <w:t>专业技术人员，符合上述人员要求且齐全的，得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分，每缺少一名人员扣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分，扣完为止。本小项最高得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分。以毕业证</w:t>
            </w:r>
            <w:r>
              <w:rPr>
                <w:rFonts w:hint="eastAsia" w:ascii="宋体" w:hAnsi="宋体" w:eastAsia="宋体" w:cs="宋体"/>
                <w:color w:val="auto"/>
                <w:szCs w:val="21"/>
                <w:highlight w:val="none"/>
                <w:lang w:val="en-US" w:eastAsia="zh-CN"/>
              </w:rPr>
              <w:t>或职称证</w:t>
            </w:r>
            <w:r>
              <w:rPr>
                <w:rFonts w:hint="eastAsia" w:ascii="宋体" w:hAnsi="宋体" w:eastAsia="宋体" w:cs="宋体"/>
                <w:color w:val="auto"/>
                <w:szCs w:val="21"/>
                <w:highlight w:val="none"/>
                <w:lang w:eastAsia="zh-CN"/>
              </w:rPr>
              <w:t>为准。</w:t>
            </w:r>
          </w:p>
          <w:p w14:paraId="70EA19E6">
            <w:pPr>
              <w:widowControl/>
              <w:snapToGrid w:val="0"/>
              <w:spacing w:line="240" w:lineRule="auto"/>
              <w:ind w:firstLine="0" w:firstLineChars="0"/>
              <w:jc w:val="left"/>
              <w:rPr>
                <w:rFonts w:hint="default" w:ascii="宋体" w:hAnsi="宋体" w:eastAsia="宋体" w:cs="宋体"/>
                <w:color w:val="auto"/>
                <w:kern w:val="2"/>
                <w:sz w:val="21"/>
                <w:szCs w:val="21"/>
                <w:highlight w:val="none"/>
                <w:lang w:val="en-US"/>
              </w:rPr>
            </w:pPr>
            <w:r>
              <w:rPr>
                <w:rFonts w:hint="eastAsia" w:ascii="宋体" w:hAnsi="宋体" w:eastAsia="宋体" w:cs="宋体"/>
                <w:b/>
                <w:bCs/>
                <w:color w:val="auto"/>
                <w:kern w:val="2"/>
                <w:sz w:val="21"/>
                <w:szCs w:val="21"/>
                <w:highlight w:val="none"/>
                <w:lang w:val="en-US" w:eastAsia="zh-CN" w:bidi="ar"/>
              </w:rPr>
              <w:t>注</w:t>
            </w:r>
            <w:r>
              <w:rPr>
                <w:rFonts w:hint="eastAsia" w:ascii="宋体" w:hAnsi="宋体" w:eastAsia="宋体" w:cs="宋体"/>
                <w:color w:val="auto"/>
                <w:kern w:val="2"/>
                <w:sz w:val="21"/>
                <w:szCs w:val="21"/>
                <w:highlight w:val="none"/>
                <w:lang w:val="en-US" w:eastAsia="zh-CN" w:bidi="ar"/>
              </w:rPr>
              <w:t>：1.本项最高得24分，不提供相关证书或不符合上述条件的不得分。第四中的第1点和第2点独立评审，不存在互相补充关系。</w:t>
            </w:r>
          </w:p>
          <w:p w14:paraId="75AA0F6C">
            <w:pPr>
              <w:keepNext w:val="0"/>
              <w:keepLines w:val="0"/>
              <w:widowControl w:val="0"/>
              <w:suppressLineNumbers w:val="0"/>
              <w:spacing w:before="0" w:beforeAutospacing="0" w:after="0" w:afterAutospacing="0"/>
              <w:ind w:left="0" w:right="0" w:firstLine="420" w:firstLineChars="200"/>
              <w:jc w:val="both"/>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2.以上人员不重复计分，第一至第三及第四中的第1点须对应提供上述评审项相应要求的①身份证、②职称证书或资格证书或培训证或上岗证或技能证书或特种作业证书（</w:t>
            </w:r>
            <w:r>
              <w:rPr>
                <w:rFonts w:hint="eastAsia" w:ascii="宋体" w:hAnsi="宋体" w:eastAsia="宋体" w:cs="宋体"/>
                <w:i w:val="0"/>
                <w:iCs w:val="0"/>
                <w:color w:val="000000"/>
                <w:kern w:val="0"/>
                <w:sz w:val="21"/>
                <w:szCs w:val="21"/>
                <w:u w:val="none"/>
                <w:lang w:val="en-US" w:eastAsia="zh-CN" w:bidi="ar"/>
              </w:rPr>
              <w:t>同时提供查询网址及网址页面打印页</w:t>
            </w:r>
            <w:r>
              <w:rPr>
                <w:rFonts w:hint="eastAsia" w:ascii="宋体" w:hAnsi="宋体" w:eastAsia="宋体" w:cs="宋体"/>
                <w:color w:val="auto"/>
                <w:kern w:val="2"/>
                <w:sz w:val="21"/>
                <w:szCs w:val="21"/>
                <w:highlight w:val="none"/>
                <w:lang w:val="en-US" w:eastAsia="zh-CN" w:bidi="ar"/>
              </w:rPr>
              <w:t>）扫描件</w:t>
            </w:r>
            <w:r>
              <w:rPr>
                <w:rFonts w:hint="eastAsia" w:ascii="宋体" w:hAnsi="宋体" w:eastAsia="宋体" w:cs="宋体"/>
                <w:i w:val="0"/>
                <w:iCs w:val="0"/>
                <w:color w:val="000000"/>
                <w:kern w:val="0"/>
                <w:sz w:val="21"/>
                <w:szCs w:val="21"/>
                <w:u w:val="none"/>
                <w:lang w:val="en-US" w:eastAsia="zh-CN" w:bidi="ar"/>
              </w:rPr>
              <w:t>、③</w:t>
            </w:r>
            <w:r>
              <w:rPr>
                <w:rFonts w:hint="eastAsia" w:ascii="宋体" w:hAnsi="宋体" w:eastAsia="宋体" w:cs="宋体"/>
                <w:color w:val="auto"/>
                <w:kern w:val="2"/>
                <w:szCs w:val="21"/>
                <w:highlight w:val="none"/>
                <w:lang w:val="en-US" w:eastAsia="zh-CN" w:bidi="ar"/>
              </w:rPr>
              <w:t>投标截止时间前近1个月在本单位购买的社保证明文件扫描件</w:t>
            </w:r>
            <w:r>
              <w:rPr>
                <w:rFonts w:hint="eastAsia" w:ascii="宋体" w:hAnsi="宋体" w:eastAsia="宋体" w:cs="宋体"/>
                <w:i w:val="0"/>
                <w:iCs w:val="0"/>
                <w:color w:val="000000"/>
                <w:kern w:val="0"/>
                <w:sz w:val="21"/>
                <w:szCs w:val="21"/>
                <w:u w:val="none"/>
                <w:lang w:val="en-US" w:eastAsia="zh-CN" w:bidi="ar"/>
              </w:rPr>
              <w:t>，无提供不得分。第四中的第2点</w:t>
            </w:r>
            <w:r>
              <w:rPr>
                <w:rFonts w:hint="eastAsia" w:ascii="宋体" w:hAnsi="宋体" w:eastAsia="宋体" w:cs="宋体"/>
                <w:color w:val="auto"/>
                <w:kern w:val="2"/>
                <w:sz w:val="21"/>
                <w:szCs w:val="21"/>
                <w:highlight w:val="none"/>
                <w:lang w:val="en-US" w:eastAsia="zh-CN" w:bidi="ar"/>
              </w:rPr>
              <w:t>须对应提供上述评审项相应要求的①身份证、②毕业证或职称证（</w:t>
            </w:r>
            <w:r>
              <w:rPr>
                <w:rFonts w:hint="eastAsia" w:ascii="宋体" w:hAnsi="宋体" w:eastAsia="宋体" w:cs="宋体"/>
                <w:i w:val="0"/>
                <w:iCs w:val="0"/>
                <w:color w:val="000000"/>
                <w:kern w:val="0"/>
                <w:sz w:val="21"/>
                <w:szCs w:val="21"/>
                <w:u w:val="none"/>
                <w:lang w:val="en-US" w:eastAsia="zh-CN" w:bidi="ar"/>
              </w:rPr>
              <w:t>同时提供查询网址及网址页面打印页</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i w:val="0"/>
                <w:iCs w:val="0"/>
                <w:color w:val="000000"/>
                <w:kern w:val="0"/>
                <w:sz w:val="21"/>
                <w:szCs w:val="21"/>
                <w:u w:val="none"/>
                <w:lang w:val="en-US" w:eastAsia="zh-CN" w:bidi="ar"/>
              </w:rPr>
              <w:t>③</w:t>
            </w:r>
            <w:r>
              <w:rPr>
                <w:rFonts w:hint="eastAsia" w:ascii="宋体" w:hAnsi="宋体" w:eastAsia="宋体" w:cs="宋体"/>
                <w:color w:val="auto"/>
                <w:kern w:val="2"/>
                <w:szCs w:val="21"/>
                <w:highlight w:val="none"/>
                <w:lang w:val="en-US" w:eastAsia="zh-CN" w:bidi="ar"/>
              </w:rPr>
              <w:t>投标截止时间前近1个月在本单位购买的社保证明文件扫描件</w:t>
            </w:r>
            <w:r>
              <w:rPr>
                <w:rFonts w:hint="eastAsia" w:ascii="宋体" w:hAnsi="宋体" w:eastAsia="宋体" w:cs="宋体"/>
                <w:i w:val="0"/>
                <w:iCs w:val="0"/>
                <w:color w:val="000000"/>
                <w:kern w:val="0"/>
                <w:sz w:val="21"/>
                <w:szCs w:val="21"/>
                <w:u w:val="none"/>
                <w:lang w:val="en-US" w:eastAsia="zh-CN" w:bidi="ar"/>
              </w:rPr>
              <w:t>，无提供不得分。</w:t>
            </w:r>
          </w:p>
          <w:p w14:paraId="76038111">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bCs/>
                <w:color w:val="auto"/>
                <w:kern w:val="2"/>
                <w:sz w:val="21"/>
                <w:szCs w:val="21"/>
                <w:highlight w:val="none"/>
                <w:u w:val="none"/>
                <w:lang w:val="en-US" w:eastAsia="zh-CN" w:bidi="ar"/>
              </w:rPr>
              <w:t>3.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tc>
      </w:tr>
      <w:tr w14:paraId="3030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08CECA58">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b/>
                <w:color w:val="auto"/>
                <w:kern w:val="0"/>
                <w:sz w:val="21"/>
                <w:szCs w:val="21"/>
                <w:highlight w:val="none"/>
                <w:lang w:val="en-US" w:eastAsia="zh-CN" w:bidi="ar"/>
              </w:rPr>
              <w:t>二、机械设备投入情况</w:t>
            </w:r>
          </w:p>
        </w:tc>
        <w:tc>
          <w:tcPr>
            <w:tcW w:w="1167" w:type="dxa"/>
            <w:tcBorders>
              <w:top w:val="single" w:color="auto" w:sz="4" w:space="0"/>
              <w:left w:val="nil"/>
              <w:bottom w:val="single" w:color="auto" w:sz="4" w:space="0"/>
              <w:right w:val="single" w:color="auto" w:sz="4" w:space="0"/>
            </w:tcBorders>
            <w:noWrap w:val="0"/>
            <w:vAlign w:val="center"/>
          </w:tcPr>
          <w:p w14:paraId="2C44AD6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机械设备</w:t>
            </w:r>
          </w:p>
          <w:p w14:paraId="01D39BA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配备</w:t>
            </w:r>
          </w:p>
        </w:tc>
        <w:tc>
          <w:tcPr>
            <w:tcW w:w="1088" w:type="dxa"/>
            <w:tcBorders>
              <w:top w:val="single" w:color="auto" w:sz="4" w:space="0"/>
              <w:left w:val="nil"/>
              <w:bottom w:val="single" w:color="auto" w:sz="4" w:space="0"/>
              <w:right w:val="single" w:color="auto" w:sz="4" w:space="0"/>
            </w:tcBorders>
            <w:noWrap w:val="0"/>
            <w:vAlign w:val="center"/>
          </w:tcPr>
          <w:p w14:paraId="259F7B2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0713" w:type="dxa"/>
            <w:tcBorders>
              <w:top w:val="single" w:color="auto" w:sz="4" w:space="0"/>
              <w:left w:val="nil"/>
              <w:bottom w:val="single" w:color="auto" w:sz="4" w:space="0"/>
              <w:right w:val="single" w:color="auto" w:sz="4" w:space="0"/>
            </w:tcBorders>
            <w:noWrap w:val="0"/>
            <w:vAlign w:val="center"/>
          </w:tcPr>
          <w:p w14:paraId="4000B7B9">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Cs w:val="21"/>
                <w:highlight w:val="none"/>
              </w:rPr>
              <w:t>为满足施工要求，配备机械设备要求如下：</w:t>
            </w:r>
            <w:r>
              <w:rPr>
                <w:rFonts w:hint="eastAsia" w:ascii="宋体" w:hAnsi="宋体" w:eastAsia="宋体" w:cs="宋体"/>
                <w:i w:val="0"/>
                <w:iCs w:val="0"/>
                <w:color w:val="000000"/>
                <w:kern w:val="0"/>
                <w:sz w:val="21"/>
                <w:szCs w:val="21"/>
                <w:highlight w:val="none"/>
                <w:u w:val="none"/>
                <w:lang w:val="en-US" w:eastAsia="zh-CN" w:bidi="ar"/>
              </w:rPr>
              <w:t>洒水车1辆、货车2辆、管理用车1辆、打药机1台、剪草机1台。齐</w:t>
            </w:r>
            <w:r>
              <w:rPr>
                <w:rFonts w:hint="eastAsia" w:ascii="宋体" w:hAnsi="宋体" w:eastAsia="宋体" w:cs="宋体"/>
                <w:i w:val="0"/>
                <w:iCs w:val="0"/>
                <w:color w:val="000000"/>
                <w:kern w:val="0"/>
                <w:sz w:val="21"/>
                <w:szCs w:val="21"/>
                <w:u w:val="none"/>
                <w:lang w:val="en-US" w:eastAsia="zh-CN" w:bidi="ar"/>
              </w:rPr>
              <w:t>全得10分，每少一辆扣2分</w:t>
            </w:r>
            <w:r>
              <w:rPr>
                <w:rFonts w:hint="eastAsia" w:ascii="宋体" w:hAnsi="宋体" w:eastAsia="宋体" w:cs="宋体"/>
                <w:color w:val="auto"/>
                <w:szCs w:val="21"/>
                <w:lang w:val="en-US" w:eastAsia="zh-CN"/>
              </w:rPr>
              <w:t>，扣完为止</w:t>
            </w:r>
            <w:r>
              <w:rPr>
                <w:rFonts w:hint="eastAsia" w:ascii="宋体" w:hAnsi="宋体" w:eastAsia="宋体" w:cs="宋体"/>
                <w:i w:val="0"/>
                <w:iCs w:val="0"/>
                <w:color w:val="000000"/>
                <w:kern w:val="0"/>
                <w:sz w:val="21"/>
                <w:szCs w:val="21"/>
                <w:u w:val="none"/>
                <w:lang w:val="en-US" w:eastAsia="zh-CN" w:bidi="ar"/>
              </w:rPr>
              <w:t>。</w:t>
            </w:r>
          </w:p>
          <w:p w14:paraId="139BE224">
            <w:pPr>
              <w:keepNext w:val="0"/>
              <w:keepLines w:val="0"/>
              <w:widowControl w:val="0"/>
              <w:suppressLineNumbers w:val="0"/>
              <w:snapToGrid w:val="0"/>
              <w:spacing w:before="0" w:beforeAutospacing="0" w:after="0" w:afterAutospacing="0" w:line="240"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i w:val="0"/>
                <w:iCs w:val="0"/>
                <w:color w:val="000000"/>
                <w:kern w:val="0"/>
                <w:sz w:val="21"/>
                <w:szCs w:val="21"/>
                <w:u w:val="none"/>
                <w:lang w:val="en-US" w:eastAsia="zh-CN" w:bidi="ar"/>
              </w:rPr>
              <w:t>注：自有和租赁设备视为同等施工能力。如为自有，车辆需提供有效的行驶证（或购买发票）扫描件，机械设备提供设备购置发票复印件并加盖公章；如为租赁，租赁期应满足本工程工期要求，并承诺其租赁不属于重复租赁，需提供租赁合同、购买车辆的发票及有效的行驶证、承租方缴纳的租金发票扫描件并加盖公章。上述证明材料不齐全不得分。</w:t>
            </w:r>
          </w:p>
        </w:tc>
      </w:tr>
      <w:tr w14:paraId="69BC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C2B532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三、企业施工经验</w:t>
            </w:r>
          </w:p>
          <w:p w14:paraId="7C717B8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color w:val="auto"/>
                <w:kern w:val="2"/>
                <w:sz w:val="21"/>
                <w:szCs w:val="21"/>
                <w:highlight w:val="none"/>
              </w:rPr>
            </w:pPr>
          </w:p>
        </w:tc>
        <w:tc>
          <w:tcPr>
            <w:tcW w:w="1167" w:type="dxa"/>
            <w:tcBorders>
              <w:top w:val="single" w:color="auto" w:sz="4" w:space="0"/>
              <w:left w:val="nil"/>
              <w:bottom w:val="single" w:color="auto" w:sz="4" w:space="0"/>
              <w:right w:val="single" w:color="auto" w:sz="4" w:space="0"/>
            </w:tcBorders>
            <w:noWrap w:val="0"/>
            <w:vAlign w:val="center"/>
          </w:tcPr>
          <w:p w14:paraId="1D6E74E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类似业绩</w:t>
            </w:r>
          </w:p>
        </w:tc>
        <w:tc>
          <w:tcPr>
            <w:tcW w:w="1088" w:type="dxa"/>
            <w:tcBorders>
              <w:top w:val="single" w:color="auto" w:sz="4" w:space="0"/>
              <w:left w:val="nil"/>
              <w:bottom w:val="single" w:color="auto" w:sz="4" w:space="0"/>
              <w:right w:val="single" w:color="auto" w:sz="4" w:space="0"/>
            </w:tcBorders>
            <w:noWrap w:val="0"/>
            <w:vAlign w:val="center"/>
          </w:tcPr>
          <w:p w14:paraId="4FD8A02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30</w:t>
            </w:r>
          </w:p>
        </w:tc>
        <w:tc>
          <w:tcPr>
            <w:tcW w:w="10713" w:type="dxa"/>
            <w:tcBorders>
              <w:top w:val="single" w:color="auto" w:sz="4" w:space="0"/>
              <w:left w:val="nil"/>
              <w:bottom w:val="single" w:color="auto" w:sz="4" w:space="0"/>
              <w:right w:val="single" w:color="auto" w:sz="4" w:space="0"/>
            </w:tcBorders>
            <w:noWrap w:val="0"/>
            <w:vAlign w:val="center"/>
          </w:tcPr>
          <w:p w14:paraId="29D6DB57">
            <w:pPr>
              <w:numPr>
                <w:ilvl w:val="0"/>
                <w:numId w:val="0"/>
              </w:numPr>
              <w:snapToGrid w:val="0"/>
              <w:spacing w:after="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年1月1日至投标截止时间前，已完成过质量合格的类似工程业绩(类似工程业绩是指以公开招标方式承接的工程造价大于或等于</w:t>
            </w:r>
            <w:r>
              <w:rPr>
                <w:rFonts w:hint="eastAsia" w:ascii="宋体" w:hAnsi="宋体" w:eastAsia="宋体" w:cs="宋体"/>
                <w:color w:val="auto"/>
                <w:szCs w:val="21"/>
                <w:highlight w:val="none"/>
                <w:lang w:val="en-US" w:eastAsia="zh-CN"/>
              </w:rPr>
              <w:t>500</w:t>
            </w:r>
            <w:r>
              <w:rPr>
                <w:rFonts w:hint="eastAsia" w:ascii="宋体" w:hAnsi="宋体" w:eastAsia="宋体" w:cs="宋体"/>
                <w:color w:val="auto"/>
                <w:szCs w:val="21"/>
                <w:highlight w:val="none"/>
              </w:rPr>
              <w:t>万元的园林绿化工程业绩)，</w:t>
            </w:r>
            <w:r>
              <w:rPr>
                <w:rFonts w:hint="eastAsia" w:ascii="宋体" w:hAnsi="宋体" w:eastAsia="宋体" w:cs="宋体"/>
                <w:color w:val="auto"/>
                <w:szCs w:val="21"/>
                <w:highlight w:val="none"/>
                <w:lang w:val="en-US" w:eastAsia="zh-CN"/>
              </w:rPr>
              <w:t>每提供一项得6</w:t>
            </w:r>
            <w:r>
              <w:rPr>
                <w:rFonts w:hint="eastAsia" w:ascii="宋体" w:hAnsi="宋体" w:eastAsia="宋体" w:cs="宋体"/>
                <w:color w:val="auto"/>
                <w:szCs w:val="21"/>
                <w:highlight w:val="none"/>
              </w:rPr>
              <w:t>分，最多</w:t>
            </w:r>
            <w:r>
              <w:rPr>
                <w:rFonts w:hint="eastAsia" w:ascii="宋体" w:hAnsi="宋体" w:eastAsia="宋体"/>
                <w:bCs/>
                <w:color w:val="auto"/>
                <w:szCs w:val="21"/>
                <w:highlight w:val="none"/>
              </w:rPr>
              <w:t>得</w:t>
            </w:r>
            <w:r>
              <w:rPr>
                <w:rFonts w:hint="eastAsia" w:ascii="宋体" w:hAnsi="宋体" w:eastAsia="宋体"/>
                <w:bCs/>
                <w:color w:val="auto"/>
                <w:szCs w:val="21"/>
                <w:highlight w:val="none"/>
                <w:lang w:val="en-US" w:eastAsia="zh-CN"/>
              </w:rPr>
              <w:t>30</w:t>
            </w:r>
            <w:r>
              <w:rPr>
                <w:rFonts w:hint="eastAsia" w:ascii="宋体" w:hAnsi="宋体" w:eastAsia="宋体" w:cs="宋体"/>
                <w:color w:val="auto"/>
                <w:szCs w:val="21"/>
                <w:highlight w:val="none"/>
              </w:rPr>
              <w:t>分。</w:t>
            </w:r>
          </w:p>
          <w:p w14:paraId="18F61371">
            <w:pPr>
              <w:keepNext w:val="0"/>
              <w:keepLines w:val="0"/>
              <w:widowControl w:val="0"/>
              <w:suppressLineNumbers w:val="0"/>
              <w:snapToGrid w:val="0"/>
              <w:spacing w:before="0" w:beforeAutospacing="0" w:after="0" w:afterAutospacing="0" w:line="240"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绩取自广州公共资源交易中心城市园林绿化企业工程业绩库，需同时提供：广州公共资源交易中心城市园林绿化企业工程业绩库打印页、招标公告和中标公示的网络页面及查询路径、中标通知书、施工合同、竣工验收报告或工程竣工备案表或竣工验收证明。业绩金额以中标通知书为准，中标通知书没有金额的，以施工合同（不含补充合同）为准；时间以竣工验收时间为准。联合体业绩的则按中标通知书金额乘以联合体双方盖章确认的协议书比例为准或以合同标注的金额为准。上述资料未按要求提供或提供不齐全的不得分。</w:t>
            </w:r>
          </w:p>
        </w:tc>
      </w:tr>
      <w:tr w14:paraId="286E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117" w:type="dxa"/>
            <w:tcBorders>
              <w:top w:val="single" w:color="auto" w:sz="4" w:space="0"/>
              <w:left w:val="single" w:color="auto" w:sz="4" w:space="0"/>
              <w:right w:val="single" w:color="auto" w:sz="4" w:space="0"/>
            </w:tcBorders>
            <w:noWrap w:val="0"/>
            <w:vAlign w:val="center"/>
          </w:tcPr>
          <w:p w14:paraId="5BC5FA6D">
            <w:pPr>
              <w:keepNext w:val="0"/>
              <w:keepLines w:val="0"/>
              <w:widowControl/>
              <w:suppressLineNumbers w:val="0"/>
              <w:spacing w:before="0" w:beforeAutospacing="0" w:after="0" w:afterAutospacing="0" w:line="360" w:lineRule="exact"/>
              <w:ind w:left="0" w:right="0"/>
              <w:jc w:val="center"/>
              <w:rPr>
                <w:rFonts w:hint="eastAsia" w:ascii="宋体" w:hAnsi="宋体" w:eastAsia="宋体" w:cs="Times New Roman"/>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四、其他评审内容</w:t>
            </w:r>
          </w:p>
          <w:p w14:paraId="029C2BB2">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color w:val="auto"/>
                <w:kern w:val="2"/>
                <w:sz w:val="21"/>
                <w:szCs w:val="21"/>
                <w:highlight w:val="none"/>
              </w:rPr>
            </w:pPr>
          </w:p>
        </w:tc>
        <w:tc>
          <w:tcPr>
            <w:tcW w:w="1167" w:type="dxa"/>
            <w:tcBorders>
              <w:top w:val="single" w:color="auto" w:sz="4" w:space="0"/>
              <w:left w:val="nil"/>
              <w:right w:val="single" w:color="auto" w:sz="4" w:space="0"/>
            </w:tcBorders>
            <w:noWrap w:val="0"/>
            <w:vAlign w:val="center"/>
          </w:tcPr>
          <w:p w14:paraId="68DB374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其他评审内容</w:t>
            </w:r>
          </w:p>
        </w:tc>
        <w:tc>
          <w:tcPr>
            <w:tcW w:w="1088" w:type="dxa"/>
            <w:tcBorders>
              <w:top w:val="single" w:color="auto" w:sz="4" w:space="0"/>
              <w:left w:val="nil"/>
              <w:right w:val="single" w:color="auto" w:sz="4" w:space="0"/>
            </w:tcBorders>
            <w:noWrap w:val="0"/>
            <w:vAlign w:val="center"/>
          </w:tcPr>
          <w:p w14:paraId="548B977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0713" w:type="dxa"/>
            <w:tcBorders>
              <w:top w:val="single" w:color="auto" w:sz="4" w:space="0"/>
              <w:left w:val="nil"/>
              <w:bottom w:val="single" w:color="auto" w:sz="4" w:space="0"/>
              <w:right w:val="single" w:color="auto" w:sz="4" w:space="0"/>
            </w:tcBorders>
            <w:noWrap w:val="0"/>
            <w:vAlign w:val="center"/>
          </w:tcPr>
          <w:p w14:paraId="784D92E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投标人</w:t>
            </w:r>
            <w:r>
              <w:rPr>
                <w:rFonts w:hint="eastAsia" w:ascii="宋体" w:hAnsi="宋体" w:eastAsia="宋体" w:cs="宋体"/>
                <w:color w:val="auto"/>
                <w:szCs w:val="21"/>
                <w:highlight w:val="none"/>
                <w:lang w:eastAsia="zh-CN" w:bidi="ar"/>
              </w:rPr>
              <w:t>自</w:t>
            </w:r>
            <w:r>
              <w:rPr>
                <w:rFonts w:hint="eastAsia" w:ascii="宋体" w:hAnsi="宋体" w:eastAsia="宋体" w:cs="宋体"/>
                <w:color w:val="auto"/>
                <w:szCs w:val="21"/>
                <w:highlight w:val="none"/>
                <w:lang w:val="en-US" w:eastAsia="zh-CN" w:bidi="ar"/>
              </w:rPr>
              <w:t>2021年1月1日至今独立获得省级或以上建设行政主管部门颁发的绿化类工法证书的，每获得1项得2分，最多得10分；无或其他不得分；本项最高得10分。</w:t>
            </w:r>
          </w:p>
          <w:p w14:paraId="52A557DE">
            <w:pPr>
              <w:pageBreakBefore w:val="0"/>
              <w:widowControl w:val="0"/>
              <w:kinsoku/>
              <w:wordWrap/>
              <w:overflowPunct/>
              <w:topLinePunct w:val="0"/>
              <w:autoSpaceDE/>
              <w:autoSpaceDN/>
              <w:bidi w:val="0"/>
              <w:snapToGrid w:val="0"/>
              <w:spacing w:line="240" w:lineRule="auto"/>
              <w:textAlignment w:val="auto"/>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auto"/>
                <w:szCs w:val="21"/>
                <w:highlight w:val="none"/>
                <w:lang w:val="en-US" w:eastAsia="zh-CN" w:bidi="ar"/>
              </w:rPr>
              <w:t>注：工法获得时间以证书颁发时间为准，须提供工法证书扫描件、省级或以上建设主管部门评审结果公示网页和附件（所提供工法所在页）的截图及网页查询路径，证书上应可反映其为绿化类工法，若无法反映，须提供建设职能部门（或其主管的行业协会或学会）出具的科学技术成果鉴定证书扫描件，并且在科学技术成果鉴定证书中需能反映该工法的研究背景项目为绿化类项目，无法证明该工法为绿化类项目获得的工法不得分，所提供材料须加盖投标单位电子印章，不提供或提交资料不齐全不得分。</w:t>
            </w:r>
          </w:p>
        </w:tc>
      </w:tr>
    </w:tbl>
    <w:p w14:paraId="6561D0F0">
      <w:pPr>
        <w:spacing w:line="40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备注：1.招标人可根据招标项目实际需要合理设置评审内容，不得设置排斥性条款及明显高于或偏离项目实施要求的内容；设置等次得分的，得分应为等差排列。</w:t>
      </w:r>
    </w:p>
    <w:p w14:paraId="144F9D83">
      <w:pPr>
        <w:spacing w:line="40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2.评审项目总分应为100分,各评审子项的分值不得超出取值范围。</w:t>
      </w:r>
    </w:p>
    <w:p w14:paraId="0CD5B18D">
      <w:pPr>
        <w:spacing w:line="40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3.最终得分按投标须知前附表第32项所规定的方式进行汇总；分数出现小数点，保留小数点后二位小数，第三位小数四舍五入。</w:t>
      </w:r>
    </w:p>
    <w:p w14:paraId="3BD42CAE">
      <w:pPr>
        <w:spacing w:line="400" w:lineRule="exact"/>
        <w:jc w:val="center"/>
        <w:rPr>
          <w:rFonts w:hint="eastAsia" w:ascii="宋体" w:hAnsi="宋体" w:eastAsia="宋体" w:cs="宋体"/>
          <w:color w:val="auto"/>
          <w:kern w:val="0"/>
          <w:sz w:val="21"/>
          <w:szCs w:val="21"/>
          <w:highlight w:val="none"/>
          <w:lang w:val="en-US" w:eastAsia="zh-CN" w:bidi="ar"/>
        </w:rPr>
      </w:pPr>
    </w:p>
    <w:p w14:paraId="299600B2">
      <w:pPr>
        <w:spacing w:line="400" w:lineRule="exact"/>
        <w:jc w:val="both"/>
        <w:rPr>
          <w:rFonts w:hint="eastAsia" w:ascii="宋体" w:hAnsi="宋体" w:eastAsia="宋体" w:cs="宋体"/>
          <w:b/>
          <w:bCs/>
          <w:sz w:val="36"/>
          <w:szCs w:val="36"/>
          <w:highlight w:val="none"/>
        </w:rPr>
      </w:pPr>
      <w:r>
        <w:rPr>
          <w:rFonts w:hint="eastAsia" w:ascii="宋体" w:hAnsi="宋体" w:eastAsia="宋体" w:cs="宋体"/>
          <w:b/>
          <w:bCs/>
          <w:color w:val="auto"/>
          <w:kern w:val="0"/>
          <w:sz w:val="21"/>
          <w:szCs w:val="21"/>
          <w:highlight w:val="none"/>
          <w:lang w:val="en-US" w:eastAsia="zh-CN" w:bidi="ar"/>
        </w:rPr>
        <w:t>评标委员会签名：                                                                      日期：</w:t>
      </w:r>
    </w:p>
    <w:p w14:paraId="71299A8B">
      <w:pPr>
        <w:outlineLvl w:val="2"/>
        <w:rPr>
          <w:rFonts w:hint="eastAsia" w:ascii="宋体" w:hAnsi="宋体" w:eastAsia="宋体"/>
          <w:color w:val="auto"/>
          <w:sz w:val="24"/>
          <w:szCs w:val="24"/>
          <w:highlight w:val="none"/>
        </w:rPr>
      </w:pPr>
      <w:r>
        <w:rPr>
          <w:rFonts w:hint="eastAsia" w:ascii="宋体" w:hAnsi="宋体" w:eastAsia="宋体"/>
          <w:sz w:val="24"/>
          <w:szCs w:val="24"/>
          <w:highlight w:val="none"/>
        </w:rPr>
        <w:br w:type="page"/>
      </w:r>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11</w:t>
      </w:r>
      <w:r>
        <w:rPr>
          <w:rFonts w:hint="eastAsia" w:ascii="宋体" w:hAnsi="宋体" w:eastAsia="宋体"/>
          <w:color w:val="auto"/>
          <w:sz w:val="24"/>
          <w:szCs w:val="24"/>
          <w:highlight w:val="none"/>
        </w:rPr>
        <w:t>（适用于办法</w:t>
      </w:r>
      <w:r>
        <w:rPr>
          <w:rFonts w:hint="eastAsia" w:ascii="宋体" w:hAnsi="宋体" w:eastAsia="宋体"/>
          <w:color w:val="auto"/>
          <w:sz w:val="24"/>
          <w:szCs w:val="24"/>
          <w:highlight w:val="none"/>
          <w:lang w:eastAsia="zh-CN"/>
        </w:rPr>
        <w:t>一</w:t>
      </w:r>
      <w:r>
        <w:rPr>
          <w:rFonts w:hint="eastAsia" w:ascii="宋体" w:hAnsi="宋体" w:eastAsia="宋体"/>
          <w:color w:val="auto"/>
          <w:sz w:val="24"/>
          <w:szCs w:val="24"/>
          <w:highlight w:val="none"/>
        </w:rPr>
        <w:t>）</w:t>
      </w:r>
      <w:bookmarkEnd w:id="235"/>
      <w:bookmarkEnd w:id="236"/>
      <w:bookmarkEnd w:id="237"/>
    </w:p>
    <w:p w14:paraId="4413483D">
      <w:pPr>
        <w:rPr>
          <w:rFonts w:ascii="宋体" w:hAnsi="宋体" w:eastAsia="宋体"/>
          <w:color w:val="auto"/>
          <w:sz w:val="24"/>
          <w:szCs w:val="24"/>
          <w:highlight w:val="none"/>
        </w:rPr>
      </w:pPr>
    </w:p>
    <w:p w14:paraId="7F235107">
      <w:pPr>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投标报价评分表</w:t>
      </w:r>
    </w:p>
    <w:p w14:paraId="5B03EDC9">
      <w:pPr>
        <w:rPr>
          <w:rFonts w:ascii="宋体" w:hAnsi="宋体" w:eastAsia="宋体"/>
          <w:color w:val="auto"/>
          <w:szCs w:val="21"/>
          <w:highlight w:val="none"/>
        </w:rPr>
      </w:pPr>
      <w:r>
        <w:rPr>
          <w:rFonts w:hint="eastAsia" w:ascii="宋体" w:hAnsi="宋体" w:eastAsia="宋体"/>
          <w:color w:val="auto"/>
          <w:szCs w:val="21"/>
          <w:highlight w:val="none"/>
        </w:rPr>
        <w:t>工程名称：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14:paraId="51DD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602045D1">
            <w:pPr>
              <w:jc w:val="center"/>
              <w:rPr>
                <w:rFonts w:ascii="宋体" w:hAnsi="宋体" w:eastAsia="宋体"/>
                <w:color w:val="auto"/>
                <w:szCs w:val="21"/>
                <w:highlight w:val="none"/>
              </w:rPr>
            </w:pPr>
            <w:r>
              <w:rPr>
                <w:rFonts w:hint="eastAsia" w:ascii="宋体" w:hAnsi="宋体" w:eastAsia="宋体"/>
                <w:color w:val="auto"/>
                <w:szCs w:val="21"/>
                <w:highlight w:val="none"/>
              </w:rPr>
              <w:t>投标人名称</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011ED11">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DE90612">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B3C859A">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3BDB3C7">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7B14CC1">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EC5B90B">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77818E8">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AC82B91">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24C0095">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9E25684">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013C4E4">
            <w:pPr>
              <w:rPr>
                <w:rFonts w:ascii="宋体" w:hAnsi="宋体" w:eastAsia="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2DA335CA">
            <w:pPr>
              <w:rPr>
                <w:rFonts w:ascii="宋体" w:hAnsi="宋体" w:eastAsia="宋体"/>
                <w:color w:val="auto"/>
                <w:szCs w:val="21"/>
                <w:highlight w:val="none"/>
              </w:rPr>
            </w:pPr>
          </w:p>
        </w:tc>
      </w:tr>
      <w:tr w14:paraId="5874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3D383DC4">
            <w:pPr>
              <w:jc w:val="center"/>
              <w:rPr>
                <w:rFonts w:ascii="宋体" w:hAnsi="宋体" w:eastAsia="宋体"/>
                <w:color w:val="auto"/>
                <w:szCs w:val="21"/>
                <w:highlight w:val="none"/>
              </w:rPr>
            </w:pPr>
            <w:r>
              <w:rPr>
                <w:rFonts w:hint="eastAsia" w:ascii="宋体" w:hAnsi="宋体" w:eastAsia="宋体"/>
                <w:color w:val="auto"/>
                <w:szCs w:val="21"/>
                <w:highlight w:val="none"/>
              </w:rPr>
              <w:t>投标报价</w:t>
            </w:r>
            <w:r>
              <w:rPr>
                <w:rFonts w:ascii="宋体" w:hAnsi="宋体" w:eastAsia="宋体"/>
                <w:color w:val="auto"/>
                <w:szCs w:val="21"/>
                <w:highlight w:val="none"/>
              </w:rPr>
              <w:t>PT</w:t>
            </w:r>
            <w:r>
              <w:rPr>
                <w:rFonts w:hint="eastAsia" w:ascii="宋体" w:hAnsi="宋体" w:eastAsia="宋体"/>
                <w:color w:val="auto"/>
                <w:szCs w:val="21"/>
                <w:highlight w:val="none"/>
              </w:rPr>
              <w:t>（元）</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7A182B6">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F43E918">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0F5DD02">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4FDA065">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6EA6B9F">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CA21DBC">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19E08FA">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08312CA">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A31B2B9">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F6A7EE3">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390CADE">
            <w:pPr>
              <w:rPr>
                <w:rFonts w:ascii="宋体" w:hAnsi="宋体" w:eastAsia="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0AFFF248">
            <w:pPr>
              <w:rPr>
                <w:rFonts w:ascii="宋体" w:hAnsi="宋体" w:eastAsia="宋体"/>
                <w:color w:val="auto"/>
                <w:szCs w:val="21"/>
                <w:highlight w:val="none"/>
              </w:rPr>
            </w:pPr>
          </w:p>
        </w:tc>
      </w:tr>
      <w:tr w14:paraId="0404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54F132A2">
            <w:pPr>
              <w:jc w:val="center"/>
              <w:rPr>
                <w:rFonts w:ascii="宋体" w:hAnsi="宋体" w:eastAsia="宋体"/>
                <w:color w:val="auto"/>
                <w:szCs w:val="21"/>
                <w:highlight w:val="none"/>
              </w:rPr>
            </w:pPr>
            <w:r>
              <w:rPr>
                <w:rFonts w:hint="eastAsia" w:ascii="宋体" w:hAnsi="宋体" w:eastAsia="宋体"/>
                <w:color w:val="auto"/>
                <w:szCs w:val="21"/>
                <w:highlight w:val="none"/>
              </w:rPr>
              <w:t>计算评标参考价的下浮率X%</w:t>
            </w:r>
          </w:p>
        </w:tc>
        <w:tc>
          <w:tcPr>
            <w:tcW w:w="12577" w:type="dxa"/>
            <w:gridSpan w:val="12"/>
            <w:tcBorders>
              <w:top w:val="single" w:color="auto" w:sz="4" w:space="0"/>
              <w:left w:val="single" w:color="auto" w:sz="4" w:space="0"/>
              <w:bottom w:val="single" w:color="auto" w:sz="4" w:space="0"/>
              <w:right w:val="single" w:color="auto" w:sz="4" w:space="0"/>
            </w:tcBorders>
            <w:noWrap w:val="0"/>
            <w:vAlign w:val="center"/>
          </w:tcPr>
          <w:p w14:paraId="37C0BB79">
            <w:pPr>
              <w:rPr>
                <w:rFonts w:ascii="宋体" w:hAnsi="宋体" w:eastAsia="宋体"/>
                <w:color w:val="auto"/>
                <w:szCs w:val="21"/>
                <w:highlight w:val="none"/>
              </w:rPr>
            </w:pPr>
          </w:p>
        </w:tc>
      </w:tr>
      <w:tr w14:paraId="1DDF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56F1B82A">
            <w:pPr>
              <w:jc w:val="center"/>
              <w:rPr>
                <w:rFonts w:ascii="宋体" w:hAnsi="宋体" w:eastAsia="宋体"/>
                <w:color w:val="auto"/>
                <w:szCs w:val="21"/>
                <w:highlight w:val="none"/>
              </w:rPr>
            </w:pPr>
            <w:r>
              <w:rPr>
                <w:rFonts w:hint="eastAsia" w:ascii="宋体" w:hAnsi="宋体" w:eastAsia="宋体"/>
                <w:color w:val="auto"/>
                <w:szCs w:val="21"/>
                <w:highlight w:val="none"/>
              </w:rPr>
              <w:t>评标参考价PC（元）</w:t>
            </w:r>
          </w:p>
        </w:tc>
        <w:tc>
          <w:tcPr>
            <w:tcW w:w="12577" w:type="dxa"/>
            <w:gridSpan w:val="12"/>
            <w:tcBorders>
              <w:top w:val="single" w:color="auto" w:sz="4" w:space="0"/>
              <w:left w:val="single" w:color="auto" w:sz="4" w:space="0"/>
              <w:bottom w:val="single" w:color="auto" w:sz="4" w:space="0"/>
              <w:right w:val="single" w:color="auto" w:sz="4" w:space="0"/>
            </w:tcBorders>
            <w:noWrap w:val="0"/>
            <w:vAlign w:val="center"/>
          </w:tcPr>
          <w:p w14:paraId="4E48EFD1">
            <w:pPr>
              <w:rPr>
                <w:rFonts w:ascii="宋体" w:hAnsi="宋体" w:eastAsia="宋体"/>
                <w:color w:val="auto"/>
                <w:szCs w:val="21"/>
                <w:highlight w:val="none"/>
              </w:rPr>
            </w:pPr>
          </w:p>
        </w:tc>
      </w:tr>
      <w:tr w14:paraId="67FD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14767A49">
            <w:pPr>
              <w:jc w:val="center"/>
              <w:rPr>
                <w:rFonts w:ascii="宋体" w:hAnsi="宋体" w:eastAsia="宋体"/>
                <w:color w:val="auto"/>
                <w:szCs w:val="21"/>
                <w:highlight w:val="none"/>
              </w:rPr>
            </w:pPr>
            <w:r>
              <w:rPr>
                <w:rFonts w:hint="eastAsia" w:ascii="宋体" w:hAnsi="宋体" w:eastAsia="宋体"/>
                <w:color w:val="auto"/>
                <w:szCs w:val="21"/>
                <w:highlight w:val="none"/>
              </w:rPr>
              <w:t>偏差（（</w:t>
            </w:r>
            <w:r>
              <w:rPr>
                <w:rFonts w:ascii="宋体" w:hAnsi="宋体" w:eastAsia="宋体"/>
                <w:color w:val="auto"/>
                <w:szCs w:val="21"/>
                <w:highlight w:val="none"/>
              </w:rPr>
              <w:t>PT-PC</w:t>
            </w:r>
            <w:r>
              <w:rPr>
                <w:rFonts w:hint="eastAsia" w:ascii="宋体" w:hAnsi="宋体" w:eastAsia="宋体"/>
                <w:color w:val="auto"/>
                <w:szCs w:val="21"/>
                <w:highlight w:val="none"/>
              </w:rPr>
              <w:t>）</w:t>
            </w:r>
            <w:r>
              <w:rPr>
                <w:rFonts w:ascii="宋体" w:hAnsi="宋体" w:eastAsia="宋体"/>
                <w:color w:val="auto"/>
                <w:szCs w:val="21"/>
                <w:highlight w:val="none"/>
              </w:rPr>
              <w:t>/PC</w:t>
            </w:r>
            <w:r>
              <w:rPr>
                <w:rFonts w:hint="eastAsia" w:ascii="宋体" w:hAnsi="宋体" w:eastAsia="宋体"/>
                <w:color w:val="auto"/>
                <w:szCs w:val="21"/>
                <w:highlight w:val="none"/>
              </w:rPr>
              <w:t>）（</w:t>
            </w:r>
            <w:r>
              <w:rPr>
                <w:rFonts w:ascii="宋体" w:hAnsi="宋体" w:eastAsia="宋体"/>
                <w:color w:val="auto"/>
                <w:szCs w:val="21"/>
                <w:highlight w:val="none"/>
              </w:rPr>
              <w:t>%</w:t>
            </w:r>
            <w:r>
              <w:rPr>
                <w:rFonts w:hint="eastAsia" w:ascii="宋体" w:hAnsi="宋体" w:eastAsia="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D219F3B">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7BC9FAD">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D5634C1">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229A526">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98CBA10">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2C33D8B">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66F2BAB">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6623CB8">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A7BFCCE">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282C66D">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5C6EA5A">
            <w:pPr>
              <w:rPr>
                <w:rFonts w:ascii="宋体" w:hAnsi="宋体" w:eastAsia="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5AC08E57">
            <w:pPr>
              <w:rPr>
                <w:rFonts w:ascii="宋体" w:hAnsi="宋体" w:eastAsia="宋体"/>
                <w:color w:val="auto"/>
                <w:szCs w:val="21"/>
                <w:highlight w:val="none"/>
              </w:rPr>
            </w:pPr>
          </w:p>
        </w:tc>
      </w:tr>
      <w:tr w14:paraId="283B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2C5DEDE8">
            <w:pPr>
              <w:jc w:val="center"/>
              <w:rPr>
                <w:rFonts w:ascii="宋体" w:hAnsi="宋体" w:eastAsia="宋体"/>
                <w:color w:val="auto"/>
                <w:szCs w:val="21"/>
                <w:highlight w:val="none"/>
              </w:rPr>
            </w:pPr>
            <w:r>
              <w:rPr>
                <w:rFonts w:hint="eastAsia" w:ascii="宋体" w:hAnsi="宋体" w:eastAsia="宋体"/>
                <w:color w:val="auto"/>
                <w:szCs w:val="21"/>
                <w:highlight w:val="none"/>
              </w:rPr>
              <w:t>减分（</w:t>
            </w:r>
            <w:r>
              <w:rPr>
                <w:rFonts w:ascii="宋体" w:hAnsi="宋体" w:eastAsia="宋体"/>
                <w:color w:val="auto"/>
                <w:szCs w:val="21"/>
                <w:highlight w:val="none"/>
              </w:rPr>
              <w:t>A</w:t>
            </w:r>
            <w:r>
              <w:rPr>
                <w:rFonts w:hint="eastAsia" w:ascii="宋体" w:hAnsi="宋体" w:eastAsia="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A79B769">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6E46EA2">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1FADC6E">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D281EE3">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E75AAFB">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C5AC6E2">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FD65E7B">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77ADFA1">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0751EB4">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A05E9CA">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617E348">
            <w:pPr>
              <w:rPr>
                <w:rFonts w:ascii="宋体" w:hAnsi="宋体" w:eastAsia="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5C5C8D9C">
            <w:pPr>
              <w:rPr>
                <w:rFonts w:ascii="宋体" w:hAnsi="宋体" w:eastAsia="宋体"/>
                <w:color w:val="auto"/>
                <w:szCs w:val="21"/>
                <w:highlight w:val="none"/>
              </w:rPr>
            </w:pPr>
          </w:p>
        </w:tc>
      </w:tr>
      <w:tr w14:paraId="2CBC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55DC9F85">
            <w:pPr>
              <w:jc w:val="center"/>
              <w:rPr>
                <w:rFonts w:ascii="宋体" w:hAnsi="宋体" w:eastAsia="宋体"/>
                <w:color w:val="auto"/>
                <w:szCs w:val="21"/>
                <w:highlight w:val="none"/>
              </w:rPr>
            </w:pPr>
            <w:r>
              <w:rPr>
                <w:rFonts w:hint="eastAsia" w:ascii="宋体" w:hAnsi="宋体" w:eastAsia="宋体"/>
                <w:color w:val="auto"/>
                <w:szCs w:val="21"/>
                <w:highlight w:val="none"/>
              </w:rPr>
              <w:t>得分</w:t>
            </w:r>
            <w:r>
              <w:rPr>
                <w:rFonts w:ascii="宋体" w:hAnsi="宋体" w:eastAsia="宋体"/>
                <w:color w:val="auto"/>
                <w:szCs w:val="21"/>
                <w:highlight w:val="none"/>
              </w:rPr>
              <w:t>(I=100-A)</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E28A5FE">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3DDB6E7">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F4A8C8D">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F4C9EBC">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430610D">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F7BDB38">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B6DA28E">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9BD10C0">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81D2535">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94F38FB">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FF5AA2A">
            <w:pPr>
              <w:rPr>
                <w:rFonts w:ascii="宋体" w:hAnsi="宋体" w:eastAsia="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3B3624E6">
            <w:pPr>
              <w:rPr>
                <w:rFonts w:ascii="宋体" w:hAnsi="宋体" w:eastAsia="宋体"/>
                <w:color w:val="auto"/>
                <w:szCs w:val="21"/>
                <w:highlight w:val="none"/>
              </w:rPr>
            </w:pPr>
          </w:p>
        </w:tc>
      </w:tr>
    </w:tbl>
    <w:p w14:paraId="63D4F516">
      <w:pPr>
        <w:ind w:left="-199" w:leftChars="-95" w:right="-827" w:rightChars="-394"/>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评委签名：</w:t>
      </w:r>
    </w:p>
    <w:p w14:paraId="7A824B22">
      <w:pPr>
        <w:rPr>
          <w:rFonts w:ascii="宋体" w:hAnsi="宋体" w:eastAsia="宋体"/>
          <w:b/>
          <w:color w:val="auto"/>
          <w:sz w:val="24"/>
          <w:highlight w:val="none"/>
        </w:rPr>
      </w:pPr>
    </w:p>
    <w:p w14:paraId="7409E4B8">
      <w:pPr>
        <w:widowControl/>
        <w:jc w:val="left"/>
        <w:rPr>
          <w:rFonts w:ascii="宋体" w:hAnsi="宋体" w:eastAsia="宋体"/>
          <w:color w:val="auto"/>
          <w:szCs w:val="21"/>
          <w:highlight w:val="none"/>
        </w:rPr>
        <w:sectPr>
          <w:headerReference r:id="rId11" w:type="default"/>
          <w:endnotePr>
            <w:numFmt w:val="decimal"/>
          </w:endnotePr>
          <w:pgSz w:w="16783" w:h="11850" w:orient="landscape"/>
          <w:pgMar w:top="567" w:right="1616" w:bottom="567" w:left="1293" w:header="850" w:footer="907" w:gutter="567"/>
          <w:pgNumType w:fmt="decimal"/>
          <w:cols w:space="720" w:num="1"/>
        </w:sectPr>
      </w:pPr>
    </w:p>
    <w:p w14:paraId="3A17445E">
      <w:pPr>
        <w:outlineLvl w:val="2"/>
        <w:rPr>
          <w:rFonts w:ascii="宋体" w:hAnsi="宋体" w:eastAsia="宋体"/>
          <w:strike/>
          <w:dstrike w:val="0"/>
          <w:color w:val="auto"/>
          <w:sz w:val="24"/>
          <w:szCs w:val="24"/>
          <w:highlight w:val="none"/>
        </w:rPr>
      </w:pPr>
      <w:bookmarkStart w:id="239" w:name="_第三章__合同条款"/>
      <w:bookmarkEnd w:id="239"/>
      <w:bookmarkStart w:id="240" w:name="_Toc1527"/>
      <w:bookmarkStart w:id="241" w:name="_Toc5739"/>
      <w:bookmarkStart w:id="242" w:name="_Toc24053"/>
      <w:bookmarkStart w:id="243" w:name="_Toc14247"/>
      <w:bookmarkStart w:id="244" w:name="_Toc12342"/>
      <w:bookmarkStart w:id="245" w:name="_Toc14657"/>
      <w:bookmarkStart w:id="246" w:name="_Toc262229174"/>
      <w:bookmarkStart w:id="247" w:name="_Toc16566"/>
      <w:r>
        <w:rPr>
          <w:rFonts w:hint="eastAsia" w:ascii="宋体" w:hAnsi="宋体" w:eastAsia="宋体"/>
          <w:strike/>
          <w:dstrike w:val="0"/>
          <w:color w:val="auto"/>
          <w:sz w:val="24"/>
          <w:szCs w:val="24"/>
          <w:highlight w:val="none"/>
        </w:rPr>
        <w:t>附件</w:t>
      </w:r>
      <w:r>
        <w:rPr>
          <w:rFonts w:hint="eastAsia" w:ascii="宋体" w:hAnsi="宋体" w:eastAsia="宋体"/>
          <w:strike/>
          <w:dstrike w:val="0"/>
          <w:color w:val="auto"/>
          <w:sz w:val="24"/>
          <w:szCs w:val="24"/>
          <w:highlight w:val="none"/>
          <w:lang w:val="en-US" w:eastAsia="zh-CN"/>
        </w:rPr>
        <w:t>12</w:t>
      </w:r>
      <w:r>
        <w:rPr>
          <w:rFonts w:hint="eastAsia" w:ascii="宋体" w:hAnsi="宋体" w:eastAsia="宋体"/>
          <w:strike/>
          <w:dstrike w:val="0"/>
          <w:color w:val="auto"/>
          <w:sz w:val="24"/>
          <w:szCs w:val="24"/>
          <w:highlight w:val="none"/>
        </w:rPr>
        <w:t xml:space="preserve"> 定标委员会组建办法及定标方法</w:t>
      </w:r>
      <w:bookmarkEnd w:id="240"/>
      <w:bookmarkEnd w:id="241"/>
      <w:bookmarkEnd w:id="242"/>
      <w:bookmarkEnd w:id="243"/>
      <w:bookmarkEnd w:id="244"/>
      <w:bookmarkEnd w:id="245"/>
    </w:p>
    <w:p w14:paraId="43464F30">
      <w:pPr>
        <w:rPr>
          <w:rFonts w:hint="eastAsia" w:ascii="宋体" w:hAnsi="宋体" w:eastAsia="宋体"/>
          <w:strike/>
          <w:dstrike w:val="0"/>
          <w:color w:val="auto"/>
          <w:sz w:val="24"/>
          <w:szCs w:val="24"/>
          <w:highlight w:val="none"/>
        </w:rPr>
      </w:pPr>
    </w:p>
    <w:p w14:paraId="5EA74E5A">
      <w:pPr>
        <w:jc w:val="center"/>
        <w:rPr>
          <w:rFonts w:hint="eastAsia" w:ascii="宋体" w:hAnsi="宋体" w:eastAsia="宋体"/>
          <w:b/>
          <w:bCs/>
          <w:strike/>
          <w:dstrike w:val="0"/>
          <w:color w:val="auto"/>
          <w:sz w:val="36"/>
          <w:szCs w:val="36"/>
          <w:highlight w:val="none"/>
        </w:rPr>
      </w:pPr>
    </w:p>
    <w:p w14:paraId="2159B482">
      <w:pPr>
        <w:jc w:val="center"/>
        <w:rPr>
          <w:rFonts w:hint="eastAsia" w:ascii="宋体" w:hAnsi="宋体" w:eastAsia="宋体"/>
          <w:b/>
          <w:bCs/>
          <w:strike/>
          <w:dstrike w:val="0"/>
          <w:color w:val="auto"/>
          <w:sz w:val="36"/>
          <w:szCs w:val="36"/>
          <w:highlight w:val="none"/>
        </w:rPr>
      </w:pPr>
      <w:r>
        <w:rPr>
          <w:rFonts w:hint="eastAsia" w:ascii="宋体" w:hAnsi="宋体" w:eastAsia="宋体"/>
          <w:b/>
          <w:bCs/>
          <w:strike/>
          <w:dstrike w:val="0"/>
          <w:color w:val="auto"/>
          <w:sz w:val="36"/>
          <w:szCs w:val="36"/>
          <w:highlight w:val="none"/>
        </w:rPr>
        <w:t>定标委员会组建办法及定标办法</w:t>
      </w:r>
    </w:p>
    <w:p w14:paraId="5111B53A">
      <w:pPr>
        <w:jc w:val="left"/>
        <w:rPr>
          <w:rFonts w:hint="eastAsia" w:ascii="宋体" w:hAnsi="宋体" w:eastAsia="宋体"/>
          <w:strike/>
          <w:dstrike w:val="0"/>
          <w:color w:val="auto"/>
          <w:szCs w:val="21"/>
          <w:highlight w:val="none"/>
        </w:rPr>
      </w:pPr>
    </w:p>
    <w:p w14:paraId="7131851E">
      <w:pPr>
        <w:jc w:val="left"/>
        <w:rPr>
          <w:rFonts w:hint="eastAsia" w:ascii="宋体" w:eastAsia="宋体"/>
          <w:strike/>
          <w:dstrike w:val="0"/>
          <w:color w:val="auto"/>
          <w:highlight w:val="none"/>
        </w:rPr>
      </w:pPr>
      <w:r>
        <w:rPr>
          <w:rFonts w:hint="eastAsia" w:ascii="宋体" w:hAnsi="宋体" w:eastAsia="宋体"/>
          <w:strike/>
          <w:dstrike w:val="0"/>
          <w:color w:val="auto"/>
          <w:sz w:val="24"/>
          <w:szCs w:val="24"/>
          <w:highlight w:val="none"/>
        </w:rPr>
        <w:t>注：本项由招标人自行制定。</w:t>
      </w:r>
    </w:p>
    <w:p w14:paraId="54E3CAB1">
      <w:pPr>
        <w:pStyle w:val="21"/>
        <w:rPr>
          <w:rFonts w:hint="eastAsia"/>
          <w:strike/>
          <w:dstrike w:val="0"/>
          <w:color w:val="auto"/>
          <w:highlight w:val="none"/>
        </w:rPr>
      </w:pPr>
    </w:p>
    <w:p w14:paraId="5CF8FD75">
      <w:pPr>
        <w:spacing w:line="360" w:lineRule="auto"/>
        <w:jc w:val="left"/>
        <w:rPr>
          <w:rFonts w:hint="eastAsia" w:ascii="宋体" w:hAnsi="宋体" w:eastAsia="宋体" w:cs="宋体"/>
          <w:strike/>
          <w:dstrike w:val="0"/>
          <w:color w:val="auto"/>
          <w:sz w:val="24"/>
          <w:szCs w:val="24"/>
          <w:highlight w:val="none"/>
        </w:rPr>
      </w:pPr>
      <w:r>
        <w:rPr>
          <w:rFonts w:hint="eastAsia" w:ascii="宋体" w:hAnsi="宋体" w:eastAsia="宋体" w:cs="宋体"/>
          <w:strike/>
          <w:dstrike w:val="0"/>
          <w:color w:val="auto"/>
          <w:sz w:val="24"/>
          <w:szCs w:val="24"/>
          <w:highlight w:val="none"/>
        </w:rPr>
        <w:t>定标办法设置说明：</w:t>
      </w:r>
    </w:p>
    <w:p w14:paraId="4C30284D">
      <w:pPr>
        <w:pStyle w:val="21"/>
        <w:spacing w:line="360" w:lineRule="auto"/>
        <w:ind w:firstLine="480" w:firstLineChars="200"/>
        <w:rPr>
          <w:rFonts w:hint="eastAsia" w:ascii="宋体" w:hAnsi="宋体" w:cs="宋体"/>
          <w:strike/>
          <w:dstrike w:val="0"/>
          <w:color w:val="auto"/>
          <w:highlight w:val="none"/>
        </w:rPr>
      </w:pPr>
      <w:r>
        <w:rPr>
          <w:rFonts w:hint="eastAsia" w:ascii="宋体" w:hAnsi="宋体" w:cs="宋体"/>
          <w:strike/>
          <w:dstrike w:val="0"/>
          <w:color w:val="auto"/>
          <w:highlight w:val="none"/>
        </w:rPr>
        <w:t>一、招标公告发布前，招标人应当根据招标项目特点，事先制定科学、合理的定标委员会组建及定标办法，并在招标文件中详细载明。定标时必须严格遵守定标办法，不得临时改变。</w:t>
      </w:r>
    </w:p>
    <w:p w14:paraId="7C27BC22">
      <w:pPr>
        <w:pStyle w:val="21"/>
        <w:spacing w:line="360" w:lineRule="auto"/>
        <w:ind w:firstLine="480" w:firstLineChars="200"/>
        <w:rPr>
          <w:rFonts w:hint="eastAsia" w:ascii="宋体" w:hAnsi="宋体" w:cs="宋体"/>
          <w:strike/>
          <w:dstrike w:val="0"/>
          <w:color w:val="auto"/>
          <w:highlight w:val="none"/>
        </w:rPr>
      </w:pPr>
      <w:r>
        <w:rPr>
          <w:rFonts w:hint="eastAsia" w:ascii="宋体" w:hAnsi="宋体" w:cs="宋体"/>
          <w:strike/>
          <w:dstrike w:val="0"/>
          <w:color w:val="auto"/>
          <w:highlight w:val="none"/>
        </w:rPr>
        <w:t>二、定标办法应当对定标因素、定标程序等内容予以明确。可采用价格优势排名、票决、抽签、集体议事决策等办法。</w:t>
      </w:r>
    </w:p>
    <w:p w14:paraId="0BDAA888">
      <w:pPr>
        <w:pStyle w:val="21"/>
        <w:spacing w:line="360" w:lineRule="auto"/>
        <w:ind w:firstLine="480" w:firstLineChars="200"/>
        <w:rPr>
          <w:rFonts w:hint="eastAsia" w:ascii="宋体" w:hAnsi="宋体" w:cs="宋体"/>
          <w:strike/>
          <w:dstrike w:val="0"/>
          <w:color w:val="auto"/>
          <w:highlight w:val="none"/>
        </w:rPr>
      </w:pPr>
      <w:r>
        <w:rPr>
          <w:rFonts w:hint="eastAsia" w:ascii="宋体" w:hAnsi="宋体" w:cs="宋体"/>
          <w:strike/>
          <w:dstrike w:val="0"/>
          <w:color w:val="auto"/>
          <w:highlight w:val="none"/>
        </w:rPr>
        <w:t>定标委员会成员原则上从招标人、项目业主或者使用单位的领导班子成员、经营管理人员中产生，成员数量为</w:t>
      </w:r>
      <w:r>
        <w:rPr>
          <w:rFonts w:hint="eastAsia" w:ascii="宋体" w:hAnsi="宋体" w:cs="宋体"/>
          <w:strike/>
          <w:dstrike w:val="0"/>
          <w:color w:val="auto"/>
          <w:highlight w:val="none"/>
          <w:lang w:val="en-US" w:eastAsia="zh-CN"/>
        </w:rPr>
        <w:t>5</w:t>
      </w:r>
      <w:r>
        <w:rPr>
          <w:rFonts w:hint="eastAsia" w:ascii="宋体" w:hAnsi="宋体" w:cs="宋体"/>
          <w:strike/>
          <w:dstrike w:val="0"/>
          <w:color w:val="auto"/>
          <w:highlight w:val="none"/>
        </w:rPr>
        <w:t>人以上单数。</w:t>
      </w:r>
    </w:p>
    <w:p w14:paraId="2557D948">
      <w:pPr>
        <w:pStyle w:val="21"/>
        <w:spacing w:line="360" w:lineRule="auto"/>
        <w:ind w:firstLine="480" w:firstLineChars="200"/>
        <w:rPr>
          <w:rFonts w:hint="eastAsia" w:ascii="宋体" w:hAnsi="宋体" w:cs="宋体"/>
          <w:strike/>
          <w:dstrike w:val="0"/>
          <w:color w:val="auto"/>
          <w:highlight w:val="none"/>
        </w:rPr>
      </w:pPr>
      <w:r>
        <w:rPr>
          <w:rFonts w:hint="eastAsia" w:ascii="宋体" w:hAnsi="宋体" w:cs="宋体"/>
          <w:strike/>
          <w:dstrike w:val="0"/>
          <w:color w:val="auto"/>
          <w:highlight w:val="none"/>
        </w:rPr>
        <w:t>评标结束后，评标过程中使用的文件、表格及其他纸质资料由招标人收齐并妥善保管。招标人应当自中标候选人公示结束后5个工作日内进入交易中心召开定标会。定标过程应当公开、公平、公正，定标委员会按有关规定及招标文件约定的定标办法确定中标人。</w:t>
      </w:r>
    </w:p>
    <w:p w14:paraId="79687890">
      <w:pPr>
        <w:pStyle w:val="21"/>
        <w:spacing w:line="360" w:lineRule="auto"/>
        <w:ind w:firstLine="480" w:firstLineChars="200"/>
        <w:rPr>
          <w:rFonts w:hint="eastAsia" w:ascii="宋体" w:hAnsi="宋体" w:cs="宋体"/>
          <w:strike/>
          <w:dstrike w:val="0"/>
          <w:color w:val="auto"/>
          <w:highlight w:val="none"/>
        </w:rPr>
      </w:pPr>
      <w:r>
        <w:rPr>
          <w:rFonts w:hint="eastAsia" w:ascii="宋体" w:hAnsi="宋体" w:cs="宋体"/>
          <w:strike/>
          <w:dstrike w:val="0"/>
          <w:color w:val="auto"/>
          <w:highlight w:val="none"/>
        </w:rPr>
        <w:t>三、招标人应当对定标过程进行记录，并存档备查。</w:t>
      </w:r>
    </w:p>
    <w:p w14:paraId="344E20A7">
      <w:pPr>
        <w:pStyle w:val="14"/>
        <w:rPr>
          <w:rFonts w:hint="eastAsia" w:ascii="宋体" w:eastAsia="宋体"/>
          <w:strike/>
          <w:dstrike w:val="0"/>
          <w:color w:val="auto"/>
          <w:highlight w:val="none"/>
        </w:rPr>
      </w:pPr>
    </w:p>
    <w:p w14:paraId="75419513">
      <w:pPr>
        <w:pStyle w:val="14"/>
        <w:rPr>
          <w:rFonts w:hint="eastAsia" w:ascii="宋体" w:eastAsia="宋体"/>
          <w:color w:val="auto"/>
          <w:highlight w:val="none"/>
        </w:rPr>
      </w:pPr>
    </w:p>
    <w:p w14:paraId="61A3EB52">
      <w:pPr>
        <w:pStyle w:val="14"/>
        <w:rPr>
          <w:rFonts w:hint="eastAsia" w:ascii="宋体" w:eastAsia="宋体"/>
          <w:color w:val="auto"/>
          <w:highlight w:val="none"/>
        </w:rPr>
      </w:pPr>
    </w:p>
    <w:p w14:paraId="0FA9D4E1">
      <w:pPr>
        <w:pStyle w:val="14"/>
        <w:rPr>
          <w:rFonts w:hint="eastAsia" w:ascii="宋体" w:eastAsia="宋体"/>
          <w:color w:val="auto"/>
          <w:highlight w:val="none"/>
        </w:rPr>
      </w:pPr>
    </w:p>
    <w:p w14:paraId="09AAE48D">
      <w:pPr>
        <w:pStyle w:val="14"/>
        <w:rPr>
          <w:rFonts w:hint="eastAsia" w:ascii="宋体" w:eastAsia="宋体"/>
          <w:color w:val="auto"/>
          <w:highlight w:val="none"/>
        </w:rPr>
      </w:pPr>
    </w:p>
    <w:p w14:paraId="61F7474A">
      <w:pPr>
        <w:pStyle w:val="14"/>
        <w:rPr>
          <w:rFonts w:hint="eastAsia" w:ascii="宋体" w:eastAsia="宋体"/>
          <w:color w:val="auto"/>
          <w:highlight w:val="none"/>
        </w:rPr>
      </w:pPr>
    </w:p>
    <w:p w14:paraId="0D0A0396">
      <w:pPr>
        <w:pStyle w:val="14"/>
        <w:rPr>
          <w:rFonts w:hint="eastAsia" w:ascii="宋体" w:eastAsia="宋体"/>
          <w:color w:val="auto"/>
          <w:highlight w:val="none"/>
        </w:rPr>
      </w:pPr>
    </w:p>
    <w:p w14:paraId="4CEB581F">
      <w:pPr>
        <w:pStyle w:val="14"/>
        <w:rPr>
          <w:rFonts w:hint="eastAsia" w:ascii="宋体" w:eastAsia="宋体"/>
          <w:color w:val="auto"/>
          <w:highlight w:val="none"/>
        </w:rPr>
      </w:pPr>
    </w:p>
    <w:p w14:paraId="63F8D447">
      <w:pPr>
        <w:pStyle w:val="14"/>
        <w:rPr>
          <w:rFonts w:hint="eastAsia" w:ascii="宋体" w:eastAsia="宋体"/>
          <w:color w:val="auto"/>
          <w:highlight w:val="none"/>
        </w:rPr>
      </w:pPr>
    </w:p>
    <w:p w14:paraId="5BC23029">
      <w:pPr>
        <w:pStyle w:val="14"/>
        <w:rPr>
          <w:rFonts w:hint="eastAsia" w:ascii="宋体" w:eastAsia="宋体"/>
          <w:color w:val="auto"/>
          <w:highlight w:val="none"/>
        </w:rPr>
      </w:pPr>
    </w:p>
    <w:p w14:paraId="63028848">
      <w:pPr>
        <w:pStyle w:val="14"/>
        <w:rPr>
          <w:rFonts w:hint="eastAsia" w:ascii="宋体" w:eastAsia="宋体"/>
          <w:color w:val="auto"/>
          <w:highlight w:val="none"/>
        </w:rPr>
      </w:pPr>
    </w:p>
    <w:bookmarkEnd w:id="246"/>
    <w:bookmarkEnd w:id="247"/>
    <w:p w14:paraId="6C6B427D">
      <w:pPr>
        <w:pStyle w:val="14"/>
        <w:spacing w:line="360" w:lineRule="auto"/>
        <w:ind w:firstLine="0"/>
        <w:rPr>
          <w:rFonts w:hint="eastAsia" w:ascii="宋体" w:hAnsi="宋体" w:eastAsia="宋体"/>
          <w:color w:val="auto"/>
          <w:sz w:val="24"/>
          <w:szCs w:val="24"/>
          <w:highlight w:val="none"/>
        </w:rPr>
      </w:pPr>
    </w:p>
    <w:p w14:paraId="1660C80F">
      <w:pPr>
        <w:pStyle w:val="2"/>
        <w:rPr>
          <w:rFonts w:hint="eastAsia" w:ascii="宋体" w:eastAsia="宋体"/>
          <w:color w:val="auto"/>
          <w:highlight w:val="none"/>
        </w:rPr>
      </w:pPr>
      <w:bookmarkStart w:id="248" w:name="_Toc21721"/>
      <w:bookmarkStart w:id="249" w:name="_Toc17798"/>
      <w:bookmarkStart w:id="250" w:name="_Toc9607"/>
      <w:bookmarkStart w:id="251" w:name="_Toc30704"/>
      <w:bookmarkStart w:id="252" w:name="_Toc12568"/>
      <w:bookmarkStart w:id="253" w:name="_Toc27406"/>
      <w:bookmarkStart w:id="254" w:name="_Toc8475"/>
      <w:bookmarkStart w:id="255" w:name="_Toc22595"/>
      <w:bookmarkStart w:id="256" w:name="_Toc2939"/>
      <w:r>
        <w:rPr>
          <w:rFonts w:hint="eastAsia" w:ascii="宋体" w:eastAsia="宋体"/>
          <w:color w:val="auto"/>
          <w:highlight w:val="none"/>
        </w:rPr>
        <w:t>第三章  合同条款</w:t>
      </w:r>
      <w:bookmarkEnd w:id="248"/>
      <w:bookmarkEnd w:id="249"/>
      <w:bookmarkEnd w:id="250"/>
      <w:bookmarkEnd w:id="251"/>
      <w:bookmarkEnd w:id="252"/>
      <w:bookmarkEnd w:id="253"/>
      <w:bookmarkEnd w:id="254"/>
      <w:bookmarkEnd w:id="255"/>
      <w:bookmarkEnd w:id="256"/>
    </w:p>
    <w:p w14:paraId="0B8DAB24">
      <w:pPr>
        <w:widowControl w:val="0"/>
        <w:spacing w:after="0" w:line="360" w:lineRule="auto"/>
        <w:jc w:val="center"/>
        <w:rPr>
          <w:rFonts w:hint="eastAsia" w:ascii="宋体" w:hAnsi="宋体" w:cs="Times New Roman"/>
          <w:b/>
          <w:color w:val="auto"/>
          <w:kern w:val="2"/>
          <w:sz w:val="72"/>
          <w:szCs w:val="72"/>
          <w:highlight w:val="none"/>
        </w:rPr>
      </w:pPr>
    </w:p>
    <w:p w14:paraId="7631E181">
      <w:pPr>
        <w:pStyle w:val="14"/>
        <w:spacing w:line="360" w:lineRule="auto"/>
        <w:ind w:firstLine="0"/>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另册</w:t>
      </w:r>
    </w:p>
    <w:p w14:paraId="52E945B6">
      <w:pPr>
        <w:pStyle w:val="14"/>
        <w:spacing w:line="360" w:lineRule="auto"/>
        <w:ind w:firstLine="0"/>
        <w:jc w:val="left"/>
        <w:rPr>
          <w:rFonts w:hint="eastAsia" w:ascii="宋体" w:hAnsi="宋体" w:eastAsia="宋体"/>
          <w:color w:val="auto"/>
          <w:sz w:val="24"/>
          <w:szCs w:val="24"/>
          <w:highlight w:val="none"/>
        </w:rPr>
      </w:pPr>
    </w:p>
    <w:p w14:paraId="06044B37">
      <w:pPr>
        <w:pStyle w:val="14"/>
        <w:spacing w:line="360" w:lineRule="auto"/>
        <w:ind w:firstLine="0"/>
        <w:jc w:val="left"/>
        <w:rPr>
          <w:rFonts w:hint="eastAsia" w:ascii="宋体" w:hAnsi="宋体" w:eastAsia="宋体"/>
          <w:color w:val="auto"/>
          <w:sz w:val="24"/>
          <w:szCs w:val="24"/>
          <w:highlight w:val="none"/>
        </w:rPr>
      </w:pPr>
    </w:p>
    <w:p w14:paraId="0DEE0671">
      <w:pPr>
        <w:pStyle w:val="14"/>
        <w:spacing w:line="360" w:lineRule="auto"/>
        <w:ind w:firstLine="0"/>
        <w:jc w:val="left"/>
        <w:rPr>
          <w:rFonts w:hint="eastAsia" w:ascii="宋体" w:hAnsi="宋体" w:eastAsia="宋体"/>
          <w:color w:val="auto"/>
          <w:sz w:val="24"/>
          <w:szCs w:val="24"/>
          <w:highlight w:val="none"/>
        </w:rPr>
      </w:pPr>
    </w:p>
    <w:p w14:paraId="3289D41F">
      <w:pPr>
        <w:pStyle w:val="14"/>
        <w:spacing w:line="360" w:lineRule="auto"/>
        <w:ind w:firstLine="0"/>
        <w:jc w:val="left"/>
        <w:rPr>
          <w:rFonts w:hint="eastAsia" w:ascii="宋体" w:hAnsi="宋体" w:eastAsia="宋体"/>
          <w:color w:val="auto"/>
          <w:sz w:val="24"/>
          <w:szCs w:val="24"/>
          <w:highlight w:val="none"/>
        </w:rPr>
      </w:pPr>
    </w:p>
    <w:p w14:paraId="6611B906">
      <w:pPr>
        <w:pStyle w:val="14"/>
        <w:spacing w:line="360" w:lineRule="auto"/>
        <w:ind w:firstLine="0"/>
        <w:jc w:val="left"/>
        <w:rPr>
          <w:rFonts w:hint="eastAsia" w:ascii="宋体" w:hAnsi="宋体" w:eastAsia="宋体"/>
          <w:color w:val="auto"/>
          <w:sz w:val="24"/>
          <w:szCs w:val="24"/>
          <w:highlight w:val="none"/>
        </w:rPr>
      </w:pPr>
    </w:p>
    <w:p w14:paraId="2520B6AB">
      <w:pPr>
        <w:pStyle w:val="14"/>
        <w:spacing w:line="360" w:lineRule="auto"/>
        <w:ind w:firstLine="0"/>
        <w:jc w:val="left"/>
        <w:rPr>
          <w:rFonts w:hint="eastAsia" w:ascii="宋体" w:hAnsi="宋体" w:eastAsia="宋体"/>
          <w:color w:val="auto"/>
          <w:sz w:val="24"/>
          <w:szCs w:val="24"/>
          <w:highlight w:val="none"/>
        </w:rPr>
      </w:pPr>
    </w:p>
    <w:p w14:paraId="1DC71666">
      <w:pPr>
        <w:pStyle w:val="14"/>
        <w:spacing w:line="360" w:lineRule="auto"/>
        <w:ind w:firstLine="0"/>
        <w:jc w:val="left"/>
        <w:rPr>
          <w:rFonts w:hint="eastAsia" w:ascii="宋体" w:hAnsi="宋体" w:eastAsia="宋体"/>
          <w:color w:val="auto"/>
          <w:sz w:val="24"/>
          <w:szCs w:val="24"/>
          <w:highlight w:val="none"/>
        </w:rPr>
      </w:pPr>
    </w:p>
    <w:p w14:paraId="0D1676F9">
      <w:pPr>
        <w:pStyle w:val="14"/>
        <w:spacing w:line="360" w:lineRule="auto"/>
        <w:ind w:firstLine="0"/>
        <w:jc w:val="left"/>
        <w:rPr>
          <w:rFonts w:hint="eastAsia" w:ascii="宋体" w:hAnsi="宋体" w:eastAsia="宋体"/>
          <w:color w:val="auto"/>
          <w:sz w:val="24"/>
          <w:szCs w:val="24"/>
          <w:highlight w:val="none"/>
        </w:rPr>
      </w:pPr>
    </w:p>
    <w:p w14:paraId="51055F91">
      <w:pPr>
        <w:pStyle w:val="14"/>
        <w:spacing w:line="360" w:lineRule="auto"/>
        <w:ind w:firstLine="0"/>
        <w:jc w:val="left"/>
        <w:rPr>
          <w:rFonts w:hint="eastAsia" w:ascii="宋体" w:hAnsi="宋体" w:eastAsia="宋体"/>
          <w:color w:val="auto"/>
          <w:sz w:val="24"/>
          <w:szCs w:val="24"/>
          <w:highlight w:val="none"/>
        </w:rPr>
      </w:pPr>
    </w:p>
    <w:p w14:paraId="51CB7E79">
      <w:pPr>
        <w:pStyle w:val="14"/>
        <w:spacing w:line="360" w:lineRule="auto"/>
        <w:ind w:firstLine="0"/>
        <w:jc w:val="left"/>
        <w:rPr>
          <w:rFonts w:hint="eastAsia" w:ascii="宋体" w:hAnsi="宋体" w:eastAsia="宋体"/>
          <w:color w:val="auto"/>
          <w:sz w:val="24"/>
          <w:szCs w:val="24"/>
          <w:highlight w:val="none"/>
        </w:rPr>
      </w:pPr>
    </w:p>
    <w:p w14:paraId="70955BAF">
      <w:pPr>
        <w:pStyle w:val="14"/>
        <w:spacing w:line="360" w:lineRule="auto"/>
        <w:ind w:firstLine="0"/>
        <w:jc w:val="left"/>
        <w:rPr>
          <w:rFonts w:hint="eastAsia" w:ascii="宋体" w:hAnsi="宋体" w:eastAsia="宋体"/>
          <w:color w:val="auto"/>
          <w:sz w:val="24"/>
          <w:szCs w:val="24"/>
          <w:highlight w:val="none"/>
        </w:rPr>
      </w:pPr>
    </w:p>
    <w:p w14:paraId="0A216D60">
      <w:pPr>
        <w:pStyle w:val="14"/>
        <w:spacing w:line="360" w:lineRule="auto"/>
        <w:ind w:firstLine="0"/>
        <w:jc w:val="left"/>
        <w:rPr>
          <w:rFonts w:hint="eastAsia" w:ascii="宋体" w:hAnsi="宋体" w:eastAsia="宋体"/>
          <w:color w:val="auto"/>
          <w:sz w:val="24"/>
          <w:szCs w:val="24"/>
          <w:highlight w:val="none"/>
        </w:rPr>
      </w:pPr>
    </w:p>
    <w:p w14:paraId="2FD2E3D9">
      <w:pPr>
        <w:pStyle w:val="14"/>
        <w:spacing w:line="360" w:lineRule="auto"/>
        <w:ind w:firstLine="0"/>
        <w:jc w:val="left"/>
        <w:rPr>
          <w:rFonts w:hint="eastAsia" w:ascii="宋体" w:hAnsi="宋体" w:eastAsia="宋体"/>
          <w:color w:val="auto"/>
          <w:sz w:val="24"/>
          <w:szCs w:val="24"/>
          <w:highlight w:val="none"/>
        </w:rPr>
      </w:pPr>
    </w:p>
    <w:p w14:paraId="4F55D232">
      <w:pPr>
        <w:pStyle w:val="14"/>
        <w:spacing w:line="360" w:lineRule="auto"/>
        <w:ind w:firstLine="0"/>
        <w:jc w:val="left"/>
        <w:rPr>
          <w:rFonts w:hint="eastAsia" w:ascii="宋体" w:hAnsi="宋体" w:eastAsia="宋体"/>
          <w:color w:val="auto"/>
          <w:sz w:val="24"/>
          <w:szCs w:val="24"/>
          <w:highlight w:val="none"/>
        </w:rPr>
      </w:pPr>
    </w:p>
    <w:p w14:paraId="5515BF58">
      <w:pPr>
        <w:pStyle w:val="14"/>
        <w:ind w:firstLine="0"/>
        <w:jc w:val="left"/>
        <w:rPr>
          <w:rFonts w:hint="eastAsia" w:ascii="宋体" w:hAnsi="宋体" w:eastAsia="宋体"/>
          <w:color w:val="auto"/>
          <w:sz w:val="24"/>
          <w:szCs w:val="24"/>
          <w:highlight w:val="none"/>
        </w:rPr>
      </w:pPr>
      <w:bookmarkStart w:id="257" w:name="_Toc23279"/>
      <w:bookmarkStart w:id="258" w:name="_Toc623"/>
      <w:bookmarkStart w:id="259" w:name="_Toc262229175"/>
      <w:bookmarkStart w:id="260" w:name="_Toc12872"/>
      <w:bookmarkStart w:id="261" w:name="_Toc18379"/>
      <w:bookmarkStart w:id="262" w:name="_Toc101777645"/>
      <w:bookmarkStart w:id="263" w:name="_Toc85854822"/>
    </w:p>
    <w:bookmarkEnd w:id="257"/>
    <w:bookmarkEnd w:id="258"/>
    <w:bookmarkEnd w:id="259"/>
    <w:bookmarkEnd w:id="260"/>
    <w:bookmarkEnd w:id="261"/>
    <w:p w14:paraId="53ECB126">
      <w:pPr>
        <w:pStyle w:val="2"/>
        <w:rPr>
          <w:rFonts w:hint="eastAsia" w:ascii="宋体" w:eastAsia="宋体"/>
          <w:color w:val="auto"/>
          <w:highlight w:val="none"/>
        </w:rPr>
      </w:pPr>
      <w:bookmarkStart w:id="264" w:name="_Toc27821"/>
      <w:bookmarkStart w:id="265" w:name="_Toc16137"/>
      <w:bookmarkStart w:id="266" w:name="_Toc20947"/>
      <w:bookmarkStart w:id="267" w:name="_Toc19987"/>
      <w:bookmarkStart w:id="268" w:name="_Toc5442"/>
      <w:bookmarkStart w:id="269" w:name="_Toc14057"/>
      <w:r>
        <w:rPr>
          <w:rFonts w:hint="eastAsia" w:ascii="宋体" w:eastAsia="宋体"/>
          <w:color w:val="auto"/>
          <w:highlight w:val="none"/>
        </w:rPr>
        <w:t>第四章  投标文件格式</w:t>
      </w:r>
      <w:bookmarkEnd w:id="264"/>
      <w:bookmarkEnd w:id="265"/>
      <w:bookmarkEnd w:id="266"/>
      <w:bookmarkEnd w:id="267"/>
      <w:bookmarkEnd w:id="268"/>
      <w:bookmarkEnd w:id="269"/>
    </w:p>
    <w:p w14:paraId="1EA499F2">
      <w:pPr>
        <w:pStyle w:val="14"/>
        <w:spacing w:after="0" w:line="360" w:lineRule="auto"/>
        <w:ind w:firstLine="480" w:firstLineChars="200"/>
        <w:rPr>
          <w:rFonts w:hint="eastAsia" w:ascii="宋体" w:hAnsi="宋体" w:eastAsia="宋体"/>
          <w:color w:val="auto"/>
          <w:sz w:val="24"/>
          <w:szCs w:val="24"/>
          <w:highlight w:val="none"/>
        </w:rPr>
      </w:pPr>
    </w:p>
    <w:p w14:paraId="419EAC5F">
      <w:pPr>
        <w:pStyle w:val="14"/>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投标人应按以下规定的格式及要求编制投标文件，如电子投标文件没有按招标文件规定的格式及要求编制，因其所引起系统无法检索、读取电子投标文件中的数据时，其后果将由投标人承担。本格式及要求规定适用于电子评标项目的投标文件的编制。</w:t>
      </w:r>
    </w:p>
    <w:p w14:paraId="0F4CD8C4">
      <w:pPr>
        <w:pStyle w:val="14"/>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1.1《广州园林绿化工程施工招标投标书》是投标文件的重要组成部分，其内容是投标人开标信息的主要来源，投标人应准确填写《广州园林绿化工程施工招标投标书》的相关内容。</w:t>
      </w:r>
    </w:p>
    <w:p w14:paraId="48306327">
      <w:pPr>
        <w:pStyle w:val="14"/>
        <w:spacing w:after="0" w:line="360" w:lineRule="auto"/>
        <w:ind w:firstLine="480" w:firstLineChars="200"/>
        <w:rPr>
          <w:rFonts w:ascii="宋体" w:hAnsi="宋体" w:eastAsia="宋体"/>
          <w:bCs/>
          <w:color w:val="auto"/>
          <w:sz w:val="24"/>
          <w:szCs w:val="24"/>
          <w:highlight w:val="none"/>
        </w:rPr>
      </w:pPr>
      <w:r>
        <w:rPr>
          <w:rFonts w:hint="eastAsia" w:ascii="宋体" w:hAnsi="宋体" w:eastAsia="宋体"/>
          <w:color w:val="auto"/>
          <w:sz w:val="24"/>
          <w:szCs w:val="24"/>
          <w:highlight w:val="none"/>
        </w:rPr>
        <w:t>1.2</w:t>
      </w:r>
      <w:r>
        <w:rPr>
          <w:rFonts w:hint="eastAsia" w:ascii="宋体" w:hAnsi="宋体" w:eastAsia="宋体"/>
          <w:bCs/>
          <w:color w:val="auto"/>
          <w:sz w:val="24"/>
          <w:szCs w:val="24"/>
          <w:highlight w:val="none"/>
        </w:rPr>
        <w:t>工程量清单报价表应符合广东省《建设工程造价文件数据交换标准（电子评标部分）》的有关规定，《广州园林绿化工程施工招标投标书》使用广州公共资源交易</w:t>
      </w:r>
      <w:r>
        <w:rPr>
          <w:rFonts w:hint="eastAsia" w:ascii="宋体" w:hAnsi="宋体" w:eastAsia="宋体"/>
          <w:bCs/>
          <w:color w:val="auto"/>
          <w:sz w:val="24"/>
          <w:szCs w:val="24"/>
          <w:highlight w:val="none"/>
          <w:lang w:eastAsia="zh-CN"/>
        </w:rPr>
        <w:t>平台</w:t>
      </w:r>
      <w:r>
        <w:rPr>
          <w:rFonts w:hint="eastAsia" w:ascii="宋体" w:hAnsi="宋体" w:eastAsia="宋体"/>
          <w:bCs/>
          <w:color w:val="auto"/>
          <w:sz w:val="24"/>
          <w:szCs w:val="24"/>
          <w:highlight w:val="none"/>
        </w:rPr>
        <w:t>提供的电子投标文件管理软件直接填写，投标文件的其他内容均以电子文件编制。扫描图片电子文件要求为从扫描原纸质文件所形成的电子图片。图片文件格式要求为JPG格式，文件名称要求与上述对应名称一致且唯一，文件内容（即扫描图片内容）要求与文件名称相符，电子图片要求清晰可辨，每个JPG文件可包含多张扫描图片，单个JPG文件大小要求在1M以下。</w:t>
      </w:r>
    </w:p>
    <w:p w14:paraId="592CEAA9">
      <w:pPr>
        <w:pStyle w:val="14"/>
        <w:spacing w:after="0" w:line="360" w:lineRule="auto"/>
        <w:ind w:firstLine="480" w:firstLineChars="200"/>
        <w:rPr>
          <w:rFonts w:hint="eastAsia" w:ascii="宋体" w:hAnsi="宋体" w:eastAsia="宋体"/>
          <w:bCs/>
          <w:strike/>
          <w:dstrike w:val="0"/>
          <w:color w:val="auto"/>
          <w:sz w:val="24"/>
          <w:szCs w:val="24"/>
          <w:highlight w:val="none"/>
        </w:rPr>
      </w:pPr>
      <w:r>
        <w:rPr>
          <w:rFonts w:hint="eastAsia" w:ascii="宋体" w:hAnsi="宋体" w:eastAsia="宋体"/>
          <w:bCs/>
          <w:strike/>
          <w:dstrike w:val="0"/>
          <w:color w:val="auto"/>
          <w:sz w:val="24"/>
          <w:szCs w:val="24"/>
          <w:highlight w:val="none"/>
        </w:rPr>
        <w:t>1.3投标人为联合体投标时，应按以下规定填写：</w:t>
      </w:r>
    </w:p>
    <w:p w14:paraId="0E260365">
      <w:pPr>
        <w:pStyle w:val="14"/>
        <w:spacing w:after="0" w:line="360" w:lineRule="auto"/>
        <w:ind w:firstLine="480" w:firstLineChars="200"/>
        <w:rPr>
          <w:rFonts w:hint="eastAsia" w:ascii="宋体" w:hAnsi="宋体" w:eastAsia="宋体"/>
          <w:bCs/>
          <w:strike/>
          <w:dstrike w:val="0"/>
          <w:color w:val="auto"/>
          <w:sz w:val="24"/>
          <w:szCs w:val="24"/>
          <w:highlight w:val="none"/>
        </w:rPr>
      </w:pPr>
      <w:r>
        <w:rPr>
          <w:rFonts w:hint="eastAsia" w:ascii="宋体" w:hAnsi="宋体" w:eastAsia="宋体"/>
          <w:bCs/>
          <w:strike/>
          <w:dstrike w:val="0"/>
          <w:color w:val="auto"/>
          <w:sz w:val="24"/>
          <w:szCs w:val="24"/>
          <w:highlight w:val="none"/>
        </w:rPr>
        <w:t>联合体投标的，除《联合体投标协议》必须由联合体各方按要求签字或盖章外，其他资料可由联合体主办方签字或盖章，“投标人”应填写联合体各方的单位全称【格式：（主）XX公司；（成）XX公司】。法定代表人证明书及法定代表人授权书可由联合体主办方出具。</w:t>
      </w:r>
    </w:p>
    <w:p w14:paraId="323B2B29">
      <w:pPr>
        <w:pStyle w:val="14"/>
        <w:spacing w:after="0" w:line="360" w:lineRule="auto"/>
        <w:ind w:firstLine="480" w:firstLineChars="200"/>
        <w:rPr>
          <w:rFonts w:ascii="宋体" w:hAnsi="宋体" w:eastAsia="宋体"/>
          <w:strike/>
          <w:dstrike w:val="0"/>
          <w:color w:val="auto"/>
          <w:sz w:val="24"/>
          <w:szCs w:val="24"/>
          <w:highlight w:val="none"/>
        </w:rPr>
      </w:pPr>
      <w:r>
        <w:rPr>
          <w:rFonts w:hint="eastAsia" w:ascii="宋体" w:hAnsi="宋体" w:eastAsia="宋体"/>
          <w:bCs/>
          <w:strike/>
          <w:dstrike w:val="0"/>
          <w:color w:val="auto"/>
          <w:sz w:val="24"/>
          <w:szCs w:val="24"/>
          <w:highlight w:val="none"/>
        </w:rPr>
        <w:t>联合体投标的，在编制工程量清单时应只填写联合体主办方单位全称，且要求填写的全称与广州公共资源交易</w:t>
      </w:r>
      <w:r>
        <w:rPr>
          <w:rFonts w:hint="eastAsia" w:ascii="宋体" w:hAnsi="宋体" w:eastAsia="宋体"/>
          <w:bCs/>
          <w:strike/>
          <w:dstrike w:val="0"/>
          <w:color w:val="auto"/>
          <w:sz w:val="24"/>
          <w:szCs w:val="24"/>
          <w:highlight w:val="none"/>
          <w:lang w:eastAsia="zh-CN"/>
        </w:rPr>
        <w:t>平台</w:t>
      </w:r>
      <w:r>
        <w:rPr>
          <w:rFonts w:hint="eastAsia" w:ascii="宋体" w:hAnsi="宋体" w:eastAsia="宋体"/>
          <w:bCs/>
          <w:strike/>
          <w:dstrike w:val="0"/>
          <w:color w:val="auto"/>
          <w:sz w:val="24"/>
          <w:szCs w:val="24"/>
          <w:highlight w:val="none"/>
        </w:rPr>
        <w:t>企业库登记名称完全一致。</w:t>
      </w:r>
    </w:p>
    <w:p w14:paraId="1EE97BAD">
      <w:pPr>
        <w:outlineLvl w:val="2"/>
        <w:rPr>
          <w:rFonts w:ascii="宋体" w:hAnsi="宋体" w:eastAsia="宋体"/>
          <w:color w:val="auto"/>
          <w:highlight w:val="none"/>
        </w:rPr>
      </w:pPr>
      <w:r>
        <w:rPr>
          <w:rFonts w:ascii="宋体" w:hAnsi="宋体" w:eastAsia="宋体"/>
          <w:color w:val="auto"/>
          <w:highlight w:val="none"/>
        </w:rPr>
        <w:br w:type="page"/>
      </w:r>
      <w:bookmarkStart w:id="270" w:name="_Toc31563"/>
      <w:bookmarkStart w:id="271" w:name="_Toc23204"/>
      <w:bookmarkStart w:id="272" w:name="_Toc23381"/>
      <w:bookmarkStart w:id="273" w:name="_Toc26865"/>
      <w:bookmarkStart w:id="274" w:name="_Toc18466"/>
      <w:bookmarkStart w:id="275" w:name="_Toc28583"/>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13</w:t>
      </w:r>
      <w:r>
        <w:rPr>
          <w:rFonts w:hint="eastAsia" w:ascii="宋体" w:hAnsi="宋体" w:eastAsia="宋体"/>
          <w:color w:val="auto"/>
          <w:sz w:val="24"/>
          <w:szCs w:val="24"/>
          <w:highlight w:val="none"/>
        </w:rPr>
        <w:t xml:space="preserve"> 投标函</w:t>
      </w:r>
      <w:bookmarkEnd w:id="270"/>
      <w:bookmarkEnd w:id="271"/>
      <w:bookmarkEnd w:id="272"/>
      <w:bookmarkEnd w:id="273"/>
      <w:bookmarkEnd w:id="274"/>
      <w:bookmarkEnd w:id="275"/>
    </w:p>
    <w:p w14:paraId="6849EC8C">
      <w:pPr>
        <w:pStyle w:val="14"/>
        <w:spacing w:after="0" w:line="440" w:lineRule="exact"/>
        <w:ind w:firstLine="0"/>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 xml:space="preserve">投  </w:t>
      </w:r>
      <w:r>
        <w:rPr>
          <w:rFonts w:hint="eastAsia" w:ascii="宋体" w:hAnsi="宋体" w:eastAsia="宋体" w:cs="宋体"/>
          <w:b/>
          <w:color w:val="auto"/>
          <w:sz w:val="36"/>
          <w:szCs w:val="36"/>
          <w:highlight w:val="none"/>
        </w:rPr>
        <w:t>标</w:t>
      </w:r>
      <w:r>
        <w:rPr>
          <w:rFonts w:hint="eastAsia" w:ascii="宋体" w:hAnsi="宋体" w:eastAsia="宋体"/>
          <w:b/>
          <w:color w:val="auto"/>
          <w:sz w:val="36"/>
          <w:szCs w:val="36"/>
          <w:highlight w:val="none"/>
        </w:rPr>
        <w:t xml:space="preserve">  函</w:t>
      </w:r>
    </w:p>
    <w:p w14:paraId="34599390">
      <w:pPr>
        <w:pStyle w:val="14"/>
        <w:spacing w:after="0" w:line="440" w:lineRule="exact"/>
        <w:ind w:firstLine="0"/>
        <w:jc w:val="center"/>
        <w:rPr>
          <w:rFonts w:ascii="宋体" w:hAnsi="宋体" w:eastAsia="宋体"/>
          <w:b/>
          <w:color w:val="auto"/>
          <w:sz w:val="36"/>
          <w:szCs w:val="36"/>
          <w:highlight w:val="none"/>
        </w:rPr>
      </w:pPr>
    </w:p>
    <w:p w14:paraId="0F151FE6">
      <w:pPr>
        <w:spacing w:line="440" w:lineRule="exact"/>
        <w:rPr>
          <w:rFonts w:ascii="宋体" w:hAnsi="宋体" w:eastAsia="宋体"/>
          <w:b/>
          <w:color w:val="auto"/>
          <w:sz w:val="24"/>
          <w:szCs w:val="24"/>
          <w:highlight w:val="none"/>
        </w:rPr>
      </w:pPr>
      <w:r>
        <w:rPr>
          <w:rFonts w:hint="eastAsia" w:ascii="宋体" w:hAnsi="宋体" w:eastAsia="宋体"/>
          <w:b/>
          <w:color w:val="auto"/>
          <w:sz w:val="24"/>
          <w:szCs w:val="24"/>
          <w:highlight w:val="none"/>
        </w:rPr>
        <w:t>致：</w:t>
      </w:r>
      <w:r>
        <w:rPr>
          <w:rFonts w:hint="eastAsia" w:ascii="宋体" w:hAnsi="宋体" w:eastAsia="宋体"/>
          <w:b/>
          <w:color w:val="auto"/>
          <w:sz w:val="24"/>
          <w:szCs w:val="24"/>
          <w:highlight w:val="none"/>
          <w:u w:val="single"/>
        </w:rPr>
        <w:t xml:space="preserve">(招标人名称)                              </w:t>
      </w:r>
    </w:p>
    <w:p w14:paraId="1C5D6FED">
      <w:pPr>
        <w:spacing w:line="42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根据已收到贵方的项目编号为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工程的招标文件，并已详细审核了全部招标文件及有关附件。</w:t>
      </w:r>
    </w:p>
    <w:p w14:paraId="2535589C">
      <w:pPr>
        <w:spacing w:line="42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486B95AE">
      <w:pPr>
        <w:numPr>
          <w:ilvl w:val="0"/>
          <w:numId w:val="3"/>
          <w:numberingChange w:id="3" w:author="hu" w:date="2020-08-20T14:18:00Z" w:original="%1:1:0:．"/>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愿以经济标中的投标报价并按上述合同条款、标准和技术规范、图纸、工程量清单等的要求承包上述工程的施工、竣工并修补其任何缺陷。</w:t>
      </w:r>
    </w:p>
    <w:p w14:paraId="56AA970F">
      <w:pPr>
        <w:numPr>
          <w:ilvl w:val="0"/>
          <w:numId w:val="3"/>
          <w:numberingChange w:id="4" w:author="hu" w:date="2020-08-20T14:18:00Z" w:original="%1:2:0:．"/>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我方同意所递交的投标文件在投标须知规定的投标有效期内有效，在此期间内我方的投标有可能中标，我方将受此约束。如果在投标有效期内撤销投标或放弃中标资格，</w:t>
      </w:r>
      <w:r>
        <w:rPr>
          <w:rFonts w:hint="eastAsia" w:ascii="宋体" w:hAnsi="宋体" w:eastAsia="宋体" w:cs="宋体"/>
          <w:color w:val="auto"/>
          <w:sz w:val="24"/>
          <w:szCs w:val="24"/>
          <w:highlight w:val="none"/>
          <w:u w:val="single"/>
        </w:rPr>
        <w:t>我方给贵方造成损失的，贵方有权要求我方进行赔偿。</w:t>
      </w:r>
    </w:p>
    <w:p w14:paraId="0C1CE350">
      <w:pPr>
        <w:numPr>
          <w:ilvl w:val="0"/>
          <w:numId w:val="3"/>
          <w:numberingChange w:id="5" w:author="hu" w:date="2020-08-20T14:18:00Z" w:original="%1:3:0:．"/>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我方理解贵方将不受必须接受你们所收到的最低标价或其它任何投标文件的约束。</w:t>
      </w:r>
    </w:p>
    <w:p w14:paraId="7B564464">
      <w:pPr>
        <w:numPr>
          <w:ilvl w:val="0"/>
          <w:numId w:val="3"/>
          <w:numberingChange w:id="6" w:author="hu" w:date="2020-08-20T14:18:00Z" w:original="%1:4:0:．"/>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我方已知晓招标文件中载明的评标和定标条款，并接受按定标方法评审的定标结果。如我方成为本项目中标候选人，我方同意并授权招标人将我方投标文件</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部分进行公开。</w:t>
      </w:r>
    </w:p>
    <w:p w14:paraId="09582DE1">
      <w:pPr>
        <w:numPr>
          <w:ilvl w:val="0"/>
          <w:numId w:val="3"/>
          <w:numberingChange w:id="7" w:author="hu" w:date="2020-08-20T14:18:00Z" w:original="%1:5:0:．"/>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如果我方中标，我方保证按招标文件中规定的工期，在</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日历天内完成并移交本工程，质量标准达到招标文件中的要求。</w:t>
      </w:r>
    </w:p>
    <w:p w14:paraId="5BB5E84C">
      <w:pPr>
        <w:numPr>
          <w:ilvl w:val="0"/>
          <w:numId w:val="3"/>
          <w:numberingChange w:id="8" w:author="hu" w:date="2020-08-20T14:18:00Z" w:original="%1:6:0:．"/>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如果我方中标，我方将递交按招标文件规定且招标人认可的履约保函。</w:t>
      </w:r>
    </w:p>
    <w:p w14:paraId="0BA68158">
      <w:pPr>
        <w:numPr>
          <w:ilvl w:val="0"/>
          <w:numId w:val="3"/>
          <w:numberingChange w:id="9" w:author="hu" w:date="2020-08-20T14:18:00Z" w:original="%1:7:0:．"/>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除非另外达成协议并生效，贵方的中标通知书和本投标文件将成为约束双方的合同文件的组成部分。</w:t>
      </w:r>
    </w:p>
    <w:p w14:paraId="73BCE694">
      <w:pPr>
        <w:numPr>
          <w:ilvl w:val="0"/>
          <w:numId w:val="3"/>
          <w:numberingChange w:id="10" w:author="hu" w:date="2020-08-20T14:18:00Z" w:original="%1:8:0:．"/>
        </w:num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如果我方中标，我方将实行项目经理负责制，并按投标文件配备项目管理班子。如未经招标人同意更换项目班子成员，招标人有权取消我公司的中标资格或单方面终止合同，由此造成的违约责任由我公司承担。</w:t>
      </w:r>
    </w:p>
    <w:p w14:paraId="62C27E57">
      <w:pPr>
        <w:spacing w:line="420" w:lineRule="exact"/>
        <w:rPr>
          <w:rFonts w:hint="eastAsia" w:ascii="宋体" w:hAnsi="宋体" w:eastAsia="宋体"/>
          <w:color w:val="auto"/>
          <w:sz w:val="24"/>
          <w:szCs w:val="24"/>
          <w:highlight w:val="none"/>
        </w:rPr>
      </w:pPr>
    </w:p>
    <w:p w14:paraId="38AEE544">
      <w:pPr>
        <w:spacing w:line="42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法定代表人：（签名或盖章）</w:t>
      </w:r>
    </w:p>
    <w:p w14:paraId="34DA38B6">
      <w:pPr>
        <w:spacing w:line="42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投标人：（盖章）                               </w:t>
      </w:r>
    </w:p>
    <w:p w14:paraId="48565B0A">
      <w:pPr>
        <w:spacing w:line="420" w:lineRule="exact"/>
        <w:ind w:firstLine="5760" w:firstLineChars="24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p>
    <w:p w14:paraId="04C3FE6D">
      <w:pPr>
        <w:spacing w:line="480" w:lineRule="auto"/>
        <w:rPr>
          <w:rFonts w:ascii="宋体" w:hAnsi="宋体" w:eastAsia="宋体"/>
          <w:color w:val="auto"/>
          <w:sz w:val="24"/>
          <w:szCs w:val="24"/>
          <w:highlight w:val="none"/>
        </w:rPr>
      </w:pPr>
    </w:p>
    <w:p w14:paraId="72BE6183">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14:paraId="4FFDD152">
      <w:pPr>
        <w:autoSpaceDE w:val="0"/>
        <w:autoSpaceDN w:val="0"/>
        <w:adjustRightInd w:val="0"/>
        <w:spacing w:line="360" w:lineRule="auto"/>
        <w:jc w:val="center"/>
        <w:rPr>
          <w:rFonts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广州园林绿化工程施工招标投标书</w:t>
      </w:r>
    </w:p>
    <w:p w14:paraId="1C0A0532">
      <w:pPr>
        <w:autoSpaceDE w:val="0"/>
        <w:autoSpaceDN w:val="0"/>
        <w:adjustRightInd w:val="0"/>
        <w:spacing w:line="360" w:lineRule="auto"/>
        <w:jc w:val="center"/>
        <w:rPr>
          <w:rFonts w:ascii="宋体" w:hAnsi="宋体" w:eastAsia="宋体"/>
          <w:b/>
          <w:bCs/>
          <w:color w:val="auto"/>
          <w:sz w:val="52"/>
          <w:szCs w:val="52"/>
          <w:highlight w:val="none"/>
        </w:rPr>
      </w:pPr>
      <w:r>
        <w:rPr>
          <w:rFonts w:hint="eastAsia" w:ascii="宋体" w:hAnsi="宋体" w:eastAsia="宋体" w:cs="宋体"/>
          <w:b/>
          <w:color w:val="auto"/>
          <w:sz w:val="24"/>
          <w:szCs w:val="24"/>
          <w:highlight w:val="none"/>
          <w:lang w:val="zh-CN"/>
        </w:rPr>
        <w:t xml:space="preserve">                                              投标日期：   年  月  日</w:t>
      </w:r>
    </w:p>
    <w:tbl>
      <w:tblPr>
        <w:tblStyle w:val="16"/>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6035"/>
      </w:tblGrid>
      <w:tr w14:paraId="27BA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noWrap w:val="0"/>
            <w:vAlign w:val="center"/>
          </w:tcPr>
          <w:p w14:paraId="24A3A795">
            <w:pPr>
              <w:autoSpaceDE w:val="0"/>
              <w:autoSpaceDN w:val="0"/>
              <w:adjustRightInd w:val="0"/>
              <w:jc w:val="center"/>
              <w:rPr>
                <w:rFonts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工 程 名 称</w:t>
            </w:r>
          </w:p>
        </w:tc>
        <w:tc>
          <w:tcPr>
            <w:tcW w:w="6035" w:type="dxa"/>
            <w:tcBorders>
              <w:top w:val="single" w:color="auto" w:sz="4" w:space="0"/>
              <w:left w:val="single" w:color="auto" w:sz="4" w:space="0"/>
              <w:bottom w:val="single" w:color="auto" w:sz="4" w:space="0"/>
              <w:right w:val="single" w:color="auto" w:sz="4" w:space="0"/>
            </w:tcBorders>
            <w:noWrap w:val="0"/>
            <w:vAlign w:val="top"/>
          </w:tcPr>
          <w:p w14:paraId="2F433968">
            <w:pPr>
              <w:autoSpaceDE w:val="0"/>
              <w:autoSpaceDN w:val="0"/>
              <w:adjustRightInd w:val="0"/>
              <w:rPr>
                <w:rFonts w:ascii="宋体" w:hAnsi="宋体" w:eastAsia="宋体" w:cs="宋体"/>
                <w:b/>
                <w:bCs/>
                <w:color w:val="auto"/>
                <w:sz w:val="24"/>
                <w:szCs w:val="24"/>
                <w:highlight w:val="none"/>
                <w:lang w:val="zh-CN"/>
              </w:rPr>
            </w:pPr>
          </w:p>
        </w:tc>
      </w:tr>
      <w:tr w14:paraId="3C66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44" w:type="dxa"/>
            <w:vMerge w:val="restart"/>
            <w:tcBorders>
              <w:top w:val="single" w:color="auto" w:sz="4" w:space="0"/>
              <w:left w:val="single" w:color="auto" w:sz="4" w:space="0"/>
              <w:bottom w:val="single" w:color="auto" w:sz="4" w:space="0"/>
              <w:right w:val="single" w:color="auto" w:sz="4" w:space="0"/>
            </w:tcBorders>
            <w:noWrap w:val="0"/>
            <w:vAlign w:val="center"/>
          </w:tcPr>
          <w:p w14:paraId="5A4FDF67">
            <w:pPr>
              <w:autoSpaceDE w:val="0"/>
              <w:autoSpaceDN w:val="0"/>
              <w:adjustRightInd w:val="0"/>
              <w:jc w:val="center"/>
              <w:rPr>
                <w:rFonts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投标报价（元）</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425E9B0A">
            <w:pPr>
              <w:autoSpaceDE w:val="0"/>
              <w:autoSpaceDN w:val="0"/>
              <w:adjustRightInd w:val="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大写：</w:t>
            </w:r>
          </w:p>
        </w:tc>
      </w:tr>
      <w:tr w14:paraId="01E6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44" w:type="dxa"/>
            <w:vMerge w:val="continue"/>
            <w:tcBorders>
              <w:top w:val="single" w:color="auto" w:sz="4" w:space="0"/>
              <w:left w:val="single" w:color="auto" w:sz="4" w:space="0"/>
              <w:bottom w:val="single" w:color="auto" w:sz="4" w:space="0"/>
              <w:right w:val="single" w:color="auto" w:sz="4" w:space="0"/>
            </w:tcBorders>
            <w:noWrap w:val="0"/>
            <w:vAlign w:val="center"/>
          </w:tcPr>
          <w:p w14:paraId="6A8956A0">
            <w:pPr>
              <w:widowControl/>
              <w:jc w:val="center"/>
              <w:rPr>
                <w:rFonts w:ascii="宋体" w:hAnsi="宋体" w:eastAsia="宋体" w:cs="宋体"/>
                <w:b/>
                <w:bCs/>
                <w:color w:val="auto"/>
                <w:sz w:val="24"/>
                <w:szCs w:val="24"/>
                <w:highlight w:val="none"/>
                <w:lang w:val="zh-CN"/>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14:paraId="35913992">
            <w:pPr>
              <w:autoSpaceDE w:val="0"/>
              <w:autoSpaceDN w:val="0"/>
              <w:adjustRightInd w:val="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小写：</w:t>
            </w:r>
          </w:p>
        </w:tc>
      </w:tr>
      <w:tr w14:paraId="2EAE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44" w:type="dxa"/>
            <w:vMerge w:val="restart"/>
            <w:tcBorders>
              <w:top w:val="single" w:color="auto" w:sz="4" w:space="0"/>
              <w:left w:val="single" w:color="auto" w:sz="4" w:space="0"/>
              <w:bottom w:val="single" w:color="auto" w:sz="4" w:space="0"/>
              <w:right w:val="single" w:color="auto" w:sz="4" w:space="0"/>
            </w:tcBorders>
            <w:noWrap w:val="0"/>
            <w:vAlign w:val="center"/>
          </w:tcPr>
          <w:p w14:paraId="3B3BED6E">
            <w:pPr>
              <w:autoSpaceDE w:val="0"/>
              <w:autoSpaceDN w:val="0"/>
              <w:adjustRightInd w:val="0"/>
              <w:jc w:val="center"/>
              <w:rPr>
                <w:rFonts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其中：</w:t>
            </w:r>
            <w:r>
              <w:rPr>
                <w:rFonts w:hint="eastAsia" w:ascii="宋体" w:hAnsi="宋体" w:eastAsia="宋体" w:cs="宋体"/>
                <w:b/>
                <w:bCs/>
                <w:color w:val="auto"/>
                <w:sz w:val="24"/>
                <w:szCs w:val="24"/>
                <w:highlight w:val="none"/>
                <w:lang w:val="zh-CN"/>
              </w:rPr>
              <w:t>人工费</w:t>
            </w:r>
            <w:r>
              <w:rPr>
                <w:rFonts w:hint="eastAsia" w:ascii="宋体" w:hAnsi="宋体" w:eastAsia="宋体" w:cs="宋体"/>
                <w:b/>
                <w:color w:val="auto"/>
                <w:sz w:val="24"/>
                <w:szCs w:val="24"/>
                <w:highlight w:val="none"/>
                <w:lang w:val="zh-CN"/>
              </w:rPr>
              <w:t>（元）</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2B9C19B2">
            <w:pPr>
              <w:autoSpaceDE w:val="0"/>
              <w:autoSpaceDN w:val="0"/>
              <w:adjustRightInd w:val="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大写：</w:t>
            </w:r>
          </w:p>
        </w:tc>
      </w:tr>
      <w:tr w14:paraId="7C65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continue"/>
            <w:tcBorders>
              <w:top w:val="single" w:color="auto" w:sz="4" w:space="0"/>
              <w:left w:val="single" w:color="auto" w:sz="4" w:space="0"/>
              <w:bottom w:val="single" w:color="auto" w:sz="4" w:space="0"/>
              <w:right w:val="single" w:color="auto" w:sz="4" w:space="0"/>
            </w:tcBorders>
            <w:noWrap w:val="0"/>
            <w:vAlign w:val="center"/>
          </w:tcPr>
          <w:p w14:paraId="074B07D8">
            <w:pPr>
              <w:widowControl/>
              <w:jc w:val="center"/>
              <w:rPr>
                <w:rFonts w:ascii="宋体" w:hAnsi="宋体" w:eastAsia="宋体" w:cs="宋体"/>
                <w:b/>
                <w:bCs/>
                <w:color w:val="auto"/>
                <w:sz w:val="24"/>
                <w:szCs w:val="24"/>
                <w:highlight w:val="none"/>
                <w:lang w:val="zh-CN"/>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14:paraId="17B72ACA">
            <w:pPr>
              <w:autoSpaceDE w:val="0"/>
              <w:autoSpaceDN w:val="0"/>
              <w:adjustRightInd w:val="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小写：</w:t>
            </w:r>
          </w:p>
        </w:tc>
      </w:tr>
      <w:tr w14:paraId="4A62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restart"/>
            <w:tcBorders>
              <w:top w:val="single" w:color="auto" w:sz="4" w:space="0"/>
              <w:left w:val="single" w:color="auto" w:sz="4" w:space="0"/>
              <w:right w:val="single" w:color="auto" w:sz="4" w:space="0"/>
            </w:tcBorders>
            <w:noWrap w:val="0"/>
            <w:vAlign w:val="center"/>
          </w:tcPr>
          <w:p w14:paraId="78474EA6">
            <w:pPr>
              <w:widowControl/>
              <w:ind w:firstLine="118" w:firstLineChars="49"/>
              <w:jc w:val="center"/>
              <w:rPr>
                <w:rFonts w:hint="eastAsia" w:ascii="宋体" w:hAnsi="宋体" w:eastAsia="宋体" w:cs="宋体"/>
                <w:b/>
                <w:color w:val="auto"/>
                <w:sz w:val="24"/>
                <w:szCs w:val="24"/>
                <w:highlight w:val="none"/>
                <w:lang w:val="zh-CN"/>
              </w:rPr>
            </w:pPr>
            <w:r>
              <w:rPr>
                <w:rFonts w:hint="eastAsia" w:ascii="宋体" w:hAnsi="宋体" w:eastAsia="宋体" w:cs="宋体"/>
                <w:b/>
                <w:bCs/>
                <w:color w:val="auto"/>
                <w:sz w:val="24"/>
                <w:szCs w:val="24"/>
                <w:highlight w:val="none"/>
                <w:lang w:val="zh-CN"/>
              </w:rPr>
              <w:t>其中：</w:t>
            </w:r>
            <w:r>
              <w:rPr>
                <w:rFonts w:hint="eastAsia" w:ascii="宋体" w:hAnsi="宋体" w:eastAsia="宋体" w:cs="宋体"/>
                <w:b/>
                <w:color w:val="auto"/>
                <w:sz w:val="24"/>
                <w:szCs w:val="24"/>
                <w:highlight w:val="none"/>
                <w:lang w:val="zh-CN"/>
              </w:rPr>
              <w:t>绿色施工安全防护</w:t>
            </w:r>
          </w:p>
          <w:p w14:paraId="12DD9446">
            <w:pPr>
              <w:widowControl/>
              <w:ind w:firstLine="118" w:firstLineChars="49"/>
              <w:jc w:val="center"/>
              <w:rPr>
                <w:rFonts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措施费</w:t>
            </w:r>
            <w:r>
              <w:rPr>
                <w:rFonts w:hint="eastAsia" w:ascii="宋体" w:hAnsi="宋体" w:eastAsia="宋体" w:cs="宋体"/>
                <w:b/>
                <w:bCs/>
                <w:color w:val="auto"/>
                <w:sz w:val="24"/>
                <w:szCs w:val="24"/>
                <w:highlight w:val="none"/>
                <w:lang w:val="zh-CN"/>
              </w:rPr>
              <w:t>（元）</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7BCA699B">
            <w:pPr>
              <w:autoSpaceDE w:val="0"/>
              <w:autoSpaceDN w:val="0"/>
              <w:adjustRightInd w:val="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大写：</w:t>
            </w:r>
          </w:p>
        </w:tc>
      </w:tr>
      <w:tr w14:paraId="4E98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continue"/>
            <w:tcBorders>
              <w:left w:val="single" w:color="auto" w:sz="4" w:space="0"/>
              <w:bottom w:val="single" w:color="auto" w:sz="4" w:space="0"/>
              <w:right w:val="single" w:color="auto" w:sz="4" w:space="0"/>
            </w:tcBorders>
            <w:noWrap w:val="0"/>
            <w:vAlign w:val="center"/>
          </w:tcPr>
          <w:p w14:paraId="11D99695">
            <w:pPr>
              <w:widowControl/>
              <w:jc w:val="center"/>
              <w:rPr>
                <w:rFonts w:ascii="宋体" w:hAnsi="宋体" w:eastAsia="宋体" w:cs="宋体"/>
                <w:b/>
                <w:bCs/>
                <w:color w:val="auto"/>
                <w:sz w:val="24"/>
                <w:szCs w:val="24"/>
                <w:highlight w:val="none"/>
                <w:lang w:val="zh-CN"/>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14:paraId="376C8721">
            <w:pPr>
              <w:autoSpaceDE w:val="0"/>
              <w:autoSpaceDN w:val="0"/>
              <w:adjustRightInd w:val="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小写：</w:t>
            </w:r>
          </w:p>
        </w:tc>
      </w:tr>
      <w:tr w14:paraId="7791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noWrap w:val="0"/>
            <w:vAlign w:val="center"/>
          </w:tcPr>
          <w:p w14:paraId="72E568E7">
            <w:pPr>
              <w:jc w:val="center"/>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投 标 总 工 期</w:t>
            </w:r>
          </w:p>
        </w:tc>
        <w:tc>
          <w:tcPr>
            <w:tcW w:w="6035" w:type="dxa"/>
            <w:tcBorders>
              <w:top w:val="single" w:color="auto" w:sz="4" w:space="0"/>
              <w:left w:val="single" w:color="auto" w:sz="4" w:space="0"/>
              <w:bottom w:val="single" w:color="auto" w:sz="4" w:space="0"/>
              <w:right w:val="single" w:color="auto" w:sz="4" w:space="0"/>
            </w:tcBorders>
            <w:noWrap w:val="0"/>
            <w:vAlign w:val="top"/>
          </w:tcPr>
          <w:p w14:paraId="332C0A4D">
            <w:pPr>
              <w:autoSpaceDE w:val="0"/>
              <w:autoSpaceDN w:val="0"/>
              <w:adjustRightInd w:val="0"/>
              <w:rPr>
                <w:rFonts w:ascii="宋体" w:hAnsi="宋体" w:eastAsia="宋体" w:cs="宋体"/>
                <w:b/>
                <w:bCs/>
                <w:color w:val="auto"/>
                <w:sz w:val="24"/>
                <w:szCs w:val="24"/>
                <w:highlight w:val="none"/>
                <w:lang w:val="zh-CN"/>
              </w:rPr>
            </w:pPr>
          </w:p>
        </w:tc>
      </w:tr>
      <w:tr w14:paraId="166E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noWrap w:val="0"/>
            <w:vAlign w:val="center"/>
          </w:tcPr>
          <w:p w14:paraId="08CC9C64">
            <w:pPr>
              <w:jc w:val="center"/>
              <w:rPr>
                <w:rFonts w:ascii="宋体" w:hAnsi="宋体" w:eastAsia="宋体"/>
                <w:b/>
                <w:color w:val="auto"/>
                <w:sz w:val="24"/>
                <w:szCs w:val="24"/>
                <w:highlight w:val="none"/>
              </w:rPr>
            </w:pPr>
            <w:r>
              <w:rPr>
                <w:rFonts w:hint="eastAsia" w:ascii="宋体" w:hAnsi="宋体" w:eastAsia="宋体" w:cs="宋体"/>
                <w:b/>
                <w:color w:val="auto"/>
                <w:sz w:val="24"/>
                <w:szCs w:val="24"/>
                <w:highlight w:val="none"/>
                <w:lang w:val="zh-CN"/>
              </w:rPr>
              <w:t>工 程 质 量 标 准</w:t>
            </w:r>
          </w:p>
        </w:tc>
        <w:tc>
          <w:tcPr>
            <w:tcW w:w="6035" w:type="dxa"/>
            <w:tcBorders>
              <w:top w:val="single" w:color="auto" w:sz="4" w:space="0"/>
              <w:left w:val="single" w:color="auto" w:sz="4" w:space="0"/>
              <w:bottom w:val="single" w:color="auto" w:sz="4" w:space="0"/>
              <w:right w:val="single" w:color="auto" w:sz="4" w:space="0"/>
            </w:tcBorders>
            <w:noWrap w:val="0"/>
            <w:vAlign w:val="top"/>
          </w:tcPr>
          <w:p w14:paraId="339C2361">
            <w:pPr>
              <w:autoSpaceDE w:val="0"/>
              <w:autoSpaceDN w:val="0"/>
              <w:adjustRightInd w:val="0"/>
              <w:rPr>
                <w:rFonts w:ascii="宋体" w:hAnsi="宋体" w:eastAsia="宋体" w:cs="宋体"/>
                <w:b/>
                <w:bCs/>
                <w:color w:val="auto"/>
                <w:sz w:val="24"/>
                <w:szCs w:val="24"/>
                <w:highlight w:val="none"/>
                <w:lang w:val="zh-CN"/>
              </w:rPr>
            </w:pPr>
          </w:p>
        </w:tc>
      </w:tr>
      <w:tr w14:paraId="5A20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noWrap w:val="0"/>
            <w:vAlign w:val="center"/>
          </w:tcPr>
          <w:p w14:paraId="4E0DBB44">
            <w:pPr>
              <w:autoSpaceDE w:val="0"/>
              <w:autoSpaceDN w:val="0"/>
              <w:adjustRightInd w:val="0"/>
              <w:jc w:val="center"/>
              <w:rPr>
                <w:rFonts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保 修 期 限</w:t>
            </w:r>
          </w:p>
        </w:tc>
        <w:tc>
          <w:tcPr>
            <w:tcW w:w="6035" w:type="dxa"/>
            <w:tcBorders>
              <w:top w:val="single" w:color="auto" w:sz="4" w:space="0"/>
              <w:left w:val="single" w:color="auto" w:sz="4" w:space="0"/>
              <w:bottom w:val="single" w:color="auto" w:sz="4" w:space="0"/>
              <w:right w:val="single" w:color="auto" w:sz="4" w:space="0"/>
            </w:tcBorders>
            <w:noWrap w:val="0"/>
            <w:vAlign w:val="top"/>
          </w:tcPr>
          <w:p w14:paraId="788B8A9B">
            <w:pPr>
              <w:autoSpaceDE w:val="0"/>
              <w:autoSpaceDN w:val="0"/>
              <w:adjustRightInd w:val="0"/>
              <w:rPr>
                <w:rFonts w:ascii="宋体" w:hAnsi="宋体" w:eastAsia="宋体" w:cs="宋体"/>
                <w:b/>
                <w:bCs/>
                <w:color w:val="auto"/>
                <w:sz w:val="24"/>
                <w:szCs w:val="24"/>
                <w:highlight w:val="none"/>
                <w:lang w:val="zh-CN"/>
              </w:rPr>
            </w:pPr>
          </w:p>
        </w:tc>
      </w:tr>
    </w:tbl>
    <w:p w14:paraId="7C0AABEB">
      <w:pPr>
        <w:autoSpaceDE w:val="0"/>
        <w:autoSpaceDN w:val="0"/>
        <w:adjustRightInd w:val="0"/>
        <w:rPr>
          <w:rFonts w:ascii="宋体" w:hAnsi="宋体" w:eastAsia="宋体" w:cs="宋体"/>
          <w:color w:val="auto"/>
          <w:szCs w:val="21"/>
          <w:highlight w:val="none"/>
          <w:lang w:val="zh-CN"/>
        </w:rPr>
      </w:pPr>
    </w:p>
    <w:p w14:paraId="2F02A990">
      <w:pPr>
        <w:autoSpaceDE w:val="0"/>
        <w:autoSpaceDN w:val="0"/>
        <w:adjustRightInd w:val="0"/>
        <w:rPr>
          <w:rFonts w:hint="eastAsia" w:ascii="宋体" w:hAnsi="宋体" w:eastAsia="宋体" w:cs="宋体"/>
          <w:color w:val="auto"/>
          <w:szCs w:val="21"/>
          <w:highlight w:val="none"/>
          <w:lang w:val="zh-CN"/>
        </w:rPr>
      </w:pPr>
    </w:p>
    <w:p w14:paraId="16F32C0B">
      <w:pPr>
        <w:autoSpaceDE w:val="0"/>
        <w:autoSpaceDN w:val="0"/>
        <w:adjustRightInd w:val="0"/>
        <w:ind w:firstLine="420" w:firstLineChars="200"/>
        <w:rPr>
          <w:rFonts w:ascii="宋体" w:hAnsi="宋体" w:eastAsia="宋体"/>
          <w:color w:val="auto"/>
          <w:highlight w:val="none"/>
        </w:rPr>
      </w:pPr>
      <w:r>
        <w:rPr>
          <w:rFonts w:hint="eastAsia" w:ascii="宋体" w:hAnsi="宋体" w:eastAsia="宋体" w:cs="宋体"/>
          <w:color w:val="auto"/>
          <w:szCs w:val="21"/>
          <w:highlight w:val="none"/>
          <w:lang w:val="zh-CN"/>
        </w:rPr>
        <w:t>注：本投标书由投标文件管理软件生成，投标人可直接在上面填写相关内容。</w:t>
      </w:r>
    </w:p>
    <w:p w14:paraId="49D07FCD">
      <w:pPr>
        <w:rPr>
          <w:rFonts w:hint="eastAsia" w:ascii="宋体" w:hAnsi="宋体" w:eastAsia="宋体"/>
          <w:b/>
          <w:color w:val="auto"/>
          <w:sz w:val="36"/>
          <w:szCs w:val="36"/>
          <w:highlight w:val="none"/>
        </w:rPr>
      </w:pPr>
    </w:p>
    <w:p w14:paraId="13F7E4E8">
      <w:pPr>
        <w:rPr>
          <w:rFonts w:hint="eastAsia" w:ascii="宋体" w:hAnsi="宋体" w:eastAsia="宋体"/>
          <w:b/>
          <w:color w:val="auto"/>
          <w:sz w:val="36"/>
          <w:szCs w:val="36"/>
          <w:highlight w:val="none"/>
        </w:rPr>
      </w:pPr>
    </w:p>
    <w:p w14:paraId="574EA6C6">
      <w:pPr>
        <w:rPr>
          <w:rFonts w:hint="eastAsia" w:ascii="宋体" w:hAnsi="宋体" w:eastAsia="宋体"/>
          <w:b/>
          <w:color w:val="auto"/>
          <w:sz w:val="36"/>
          <w:szCs w:val="36"/>
          <w:highlight w:val="none"/>
        </w:rPr>
      </w:pPr>
    </w:p>
    <w:p w14:paraId="388A21FF">
      <w:pPr>
        <w:rPr>
          <w:rFonts w:hint="eastAsia" w:ascii="宋体" w:hAnsi="宋体" w:eastAsia="宋体"/>
          <w:b/>
          <w:color w:val="auto"/>
          <w:sz w:val="36"/>
          <w:szCs w:val="36"/>
          <w:highlight w:val="none"/>
        </w:rPr>
      </w:pPr>
    </w:p>
    <w:p w14:paraId="3EF67D2B">
      <w:pPr>
        <w:rPr>
          <w:rFonts w:hint="eastAsia" w:ascii="宋体" w:hAnsi="宋体" w:eastAsia="宋体"/>
          <w:b/>
          <w:color w:val="auto"/>
          <w:sz w:val="36"/>
          <w:szCs w:val="36"/>
          <w:highlight w:val="none"/>
        </w:rPr>
      </w:pPr>
    </w:p>
    <w:p w14:paraId="3F79262E">
      <w:pPr>
        <w:rPr>
          <w:rFonts w:hint="eastAsia" w:ascii="宋体" w:hAnsi="宋体" w:eastAsia="宋体"/>
          <w:b/>
          <w:color w:val="auto"/>
          <w:sz w:val="36"/>
          <w:szCs w:val="36"/>
          <w:highlight w:val="none"/>
        </w:rPr>
      </w:pPr>
    </w:p>
    <w:p w14:paraId="36EF2181">
      <w:pPr>
        <w:rPr>
          <w:rFonts w:hint="eastAsia" w:ascii="宋体" w:hAnsi="宋体" w:eastAsia="宋体"/>
          <w:b/>
          <w:color w:val="auto"/>
          <w:sz w:val="36"/>
          <w:szCs w:val="36"/>
          <w:highlight w:val="none"/>
        </w:rPr>
      </w:pPr>
    </w:p>
    <w:p w14:paraId="5AD9D454">
      <w:pPr>
        <w:rPr>
          <w:rFonts w:hint="eastAsia" w:ascii="宋体" w:hAnsi="宋体" w:eastAsia="宋体"/>
          <w:b/>
          <w:color w:val="auto"/>
          <w:sz w:val="36"/>
          <w:szCs w:val="36"/>
          <w:highlight w:val="none"/>
        </w:rPr>
      </w:pPr>
    </w:p>
    <w:p w14:paraId="6F9B7859">
      <w:pPr>
        <w:rPr>
          <w:rFonts w:hint="eastAsia" w:ascii="宋体" w:hAnsi="宋体" w:eastAsia="宋体"/>
          <w:b/>
          <w:color w:val="auto"/>
          <w:sz w:val="36"/>
          <w:szCs w:val="36"/>
          <w:highlight w:val="none"/>
        </w:rPr>
      </w:pPr>
    </w:p>
    <w:p w14:paraId="16109441">
      <w:pPr>
        <w:jc w:val="both"/>
        <w:rPr>
          <w:rFonts w:hint="eastAsia" w:ascii="宋体" w:hAnsi="宋体" w:eastAsia="宋体"/>
          <w:b/>
          <w:color w:val="auto"/>
          <w:sz w:val="36"/>
          <w:szCs w:val="36"/>
          <w:highlight w:val="none"/>
        </w:rPr>
      </w:pPr>
    </w:p>
    <w:p w14:paraId="12CD4AF8">
      <w:pPr>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响应招标文件所附</w:t>
      </w:r>
      <w:r>
        <w:rPr>
          <w:rFonts w:hint="eastAsia" w:ascii="宋体" w:hAnsi="宋体" w:eastAsia="宋体"/>
          <w:b/>
          <w:color w:val="auto"/>
          <w:sz w:val="36"/>
          <w:szCs w:val="36"/>
          <w:highlight w:val="none"/>
          <w:u w:val="single"/>
        </w:rPr>
        <w:t>施工组织设计要点</w:t>
      </w:r>
      <w:r>
        <w:rPr>
          <w:rFonts w:hint="eastAsia" w:ascii="宋体" w:hAnsi="宋体" w:eastAsia="宋体"/>
          <w:b/>
          <w:color w:val="auto"/>
          <w:sz w:val="36"/>
          <w:szCs w:val="36"/>
          <w:highlight w:val="none"/>
        </w:rPr>
        <w:t>承诺书</w:t>
      </w:r>
    </w:p>
    <w:p w14:paraId="63CBA336">
      <w:pPr>
        <w:spacing w:line="360" w:lineRule="auto"/>
        <w:rPr>
          <w:rFonts w:ascii="宋体" w:hAnsi="宋体" w:eastAsia="宋体"/>
          <w:color w:val="auto"/>
          <w:highlight w:val="none"/>
        </w:rPr>
      </w:pPr>
    </w:p>
    <w:p w14:paraId="10DEFBAB">
      <w:pPr>
        <w:spacing w:line="360" w:lineRule="auto"/>
        <w:rPr>
          <w:rFonts w:ascii="宋体" w:hAnsi="宋体" w:eastAsia="宋体"/>
          <w:color w:val="auto"/>
          <w:highlight w:val="none"/>
        </w:rPr>
      </w:pPr>
    </w:p>
    <w:p w14:paraId="557B50C9">
      <w:pPr>
        <w:spacing w:line="360" w:lineRule="auto"/>
        <w:rPr>
          <w:rFonts w:ascii="宋体" w:hAnsi="宋体" w:eastAsia="宋体"/>
          <w:color w:val="auto"/>
          <w:sz w:val="24"/>
          <w:highlight w:val="none"/>
        </w:rPr>
      </w:pPr>
    </w:p>
    <w:p w14:paraId="700D4B9A">
      <w:pPr>
        <w:spacing w:line="480" w:lineRule="auto"/>
        <w:rPr>
          <w:rFonts w:ascii="宋体" w:hAnsi="宋体" w:eastAsia="宋体"/>
          <w:color w:val="auto"/>
          <w:sz w:val="24"/>
          <w:highlight w:val="none"/>
          <w:u w:val="single"/>
        </w:rPr>
      </w:pPr>
      <w:r>
        <w:rPr>
          <w:rFonts w:hint="eastAsia" w:ascii="宋体" w:hAnsi="宋体" w:eastAsia="宋体"/>
          <w:color w:val="auto"/>
          <w:sz w:val="24"/>
          <w:highlight w:val="none"/>
          <w:u w:val="single"/>
        </w:rPr>
        <w:t xml:space="preserve">          （招标人）</w:t>
      </w:r>
      <w:r>
        <w:rPr>
          <w:rFonts w:hint="eastAsia" w:ascii="宋体" w:hAnsi="宋体" w:eastAsia="宋体"/>
          <w:color w:val="auto"/>
          <w:sz w:val="24"/>
          <w:highlight w:val="none"/>
        </w:rPr>
        <w:t>：</w:t>
      </w:r>
    </w:p>
    <w:p w14:paraId="2C872FF8">
      <w:pPr>
        <w:spacing w:line="48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我方承诺，如中标承建</w:t>
      </w:r>
      <w:r>
        <w:rPr>
          <w:rFonts w:hint="eastAsia" w:ascii="宋体" w:hAnsi="宋体" w:eastAsia="宋体"/>
          <w:color w:val="auto"/>
          <w:sz w:val="24"/>
          <w:highlight w:val="none"/>
          <w:u w:val="single"/>
        </w:rPr>
        <w:t xml:space="preserve">         (项目名称)</w:t>
      </w:r>
      <w:r>
        <w:rPr>
          <w:rFonts w:hint="eastAsia" w:ascii="宋体" w:hAnsi="宋体" w:eastAsia="宋体"/>
          <w:color w:val="auto"/>
          <w:sz w:val="24"/>
          <w:highlight w:val="none"/>
        </w:rPr>
        <w:t>，将按招标文件所附的本工程</w:t>
      </w:r>
      <w:r>
        <w:rPr>
          <w:rFonts w:hint="eastAsia" w:ascii="宋体" w:hAnsi="宋体" w:eastAsia="宋体"/>
          <w:color w:val="auto"/>
          <w:sz w:val="24"/>
          <w:highlight w:val="none"/>
          <w:u w:val="single"/>
        </w:rPr>
        <w:t xml:space="preserve">（施工组织设计要点  </w:t>
      </w:r>
      <w:r>
        <w:rPr>
          <w:rFonts w:hint="eastAsia" w:ascii="宋体" w:hAnsi="宋体" w:eastAsia="宋体"/>
          <w:color w:val="auto"/>
          <w:sz w:val="24"/>
          <w:highlight w:val="none"/>
        </w:rPr>
        <w:t>进行响应的基础上自行组织施工。并承诺在中标后按招标文件所附的</w:t>
      </w:r>
      <w:r>
        <w:rPr>
          <w:rFonts w:hint="eastAsia" w:ascii="宋体" w:hAnsi="宋体" w:eastAsia="宋体"/>
          <w:color w:val="auto"/>
          <w:sz w:val="24"/>
          <w:highlight w:val="none"/>
          <w:u w:val="single"/>
        </w:rPr>
        <w:t xml:space="preserve">施工组织设计要点  </w:t>
      </w:r>
      <w:r>
        <w:rPr>
          <w:rFonts w:hint="eastAsia" w:ascii="宋体" w:hAnsi="宋体" w:eastAsia="宋体"/>
          <w:color w:val="auto"/>
          <w:sz w:val="24"/>
          <w:highlight w:val="none"/>
        </w:rPr>
        <w:t>基础上编制详细的施工组织设计，并报经监理单位和建设单位审批后实施。</w:t>
      </w:r>
    </w:p>
    <w:p w14:paraId="57DFD613">
      <w:pPr>
        <w:spacing w:line="360" w:lineRule="auto"/>
        <w:rPr>
          <w:rFonts w:ascii="宋体" w:hAnsi="宋体" w:eastAsia="宋体"/>
          <w:color w:val="auto"/>
          <w:sz w:val="24"/>
          <w:highlight w:val="none"/>
        </w:rPr>
      </w:pPr>
    </w:p>
    <w:p w14:paraId="2FCAF1EB">
      <w:pPr>
        <w:spacing w:line="360" w:lineRule="auto"/>
        <w:rPr>
          <w:rFonts w:ascii="宋体" w:hAnsi="宋体" w:eastAsia="宋体"/>
          <w:color w:val="auto"/>
          <w:sz w:val="24"/>
          <w:highlight w:val="none"/>
        </w:rPr>
      </w:pPr>
    </w:p>
    <w:p w14:paraId="325F162D">
      <w:pPr>
        <w:spacing w:line="360" w:lineRule="auto"/>
        <w:rPr>
          <w:rFonts w:ascii="宋体" w:hAnsi="宋体" w:eastAsia="宋体"/>
          <w:color w:val="auto"/>
          <w:sz w:val="24"/>
          <w:highlight w:val="none"/>
        </w:rPr>
      </w:pPr>
    </w:p>
    <w:p w14:paraId="731C5ECF">
      <w:pPr>
        <w:spacing w:line="360" w:lineRule="auto"/>
        <w:rPr>
          <w:rFonts w:ascii="宋体" w:hAnsi="宋体" w:eastAsia="宋体"/>
          <w:color w:val="auto"/>
          <w:sz w:val="24"/>
          <w:highlight w:val="none"/>
        </w:rPr>
      </w:pPr>
    </w:p>
    <w:p w14:paraId="0F31E023">
      <w:pPr>
        <w:spacing w:line="360" w:lineRule="auto"/>
        <w:rPr>
          <w:rFonts w:hint="eastAsia" w:ascii="宋体" w:hAnsi="宋体" w:eastAsia="宋体"/>
          <w:color w:val="auto"/>
          <w:sz w:val="24"/>
          <w:highlight w:val="none"/>
        </w:rPr>
      </w:pPr>
    </w:p>
    <w:p w14:paraId="2262E668">
      <w:pPr>
        <w:spacing w:line="360" w:lineRule="auto"/>
        <w:rPr>
          <w:rFonts w:ascii="宋体" w:hAnsi="宋体" w:eastAsia="宋体"/>
          <w:color w:val="auto"/>
          <w:sz w:val="24"/>
          <w:highlight w:val="none"/>
        </w:rPr>
      </w:pPr>
    </w:p>
    <w:p w14:paraId="48F72EA6">
      <w:pPr>
        <w:spacing w:line="360" w:lineRule="auto"/>
        <w:ind w:firstLine="3480" w:firstLineChars="1450"/>
        <w:rPr>
          <w:rFonts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55B3E615">
      <w:pPr>
        <w:wordWrap w:val="0"/>
        <w:spacing w:line="360" w:lineRule="auto"/>
        <w:ind w:right="90"/>
        <w:jc w:val="center"/>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                           法定代表人或其委托代理人：</w:t>
      </w:r>
      <w:r>
        <w:rPr>
          <w:rFonts w:hint="eastAsia" w:ascii="宋体" w:hAnsi="宋体" w:eastAsia="宋体"/>
          <w:color w:val="auto"/>
          <w:sz w:val="24"/>
          <w:szCs w:val="24"/>
          <w:highlight w:val="none"/>
          <w:u w:val="single"/>
        </w:rPr>
        <w:t xml:space="preserve">                  </w:t>
      </w:r>
    </w:p>
    <w:p w14:paraId="408B7BA2">
      <w:pPr>
        <w:spacing w:line="360" w:lineRule="auto"/>
        <w:ind w:firstLine="5880" w:firstLineChars="2450"/>
        <w:rPr>
          <w:rFonts w:ascii="宋体" w:hAnsi="宋体" w:eastAsia="宋体"/>
          <w:color w:val="auto"/>
          <w:sz w:val="24"/>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月</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w:t>
      </w:r>
    </w:p>
    <w:p w14:paraId="2851A6D3">
      <w:pPr>
        <w:tabs>
          <w:tab w:val="left" w:pos="720"/>
        </w:tabs>
        <w:snapToGrid w:val="0"/>
        <w:spacing w:line="360" w:lineRule="auto"/>
        <w:jc w:val="center"/>
        <w:rPr>
          <w:rFonts w:ascii="宋体" w:hAnsi="宋体" w:eastAsia="宋体"/>
          <w:b/>
          <w:color w:val="auto"/>
          <w:sz w:val="32"/>
          <w:szCs w:val="32"/>
          <w:highlight w:val="none"/>
        </w:rPr>
      </w:pPr>
    </w:p>
    <w:p w14:paraId="0C358DC1">
      <w:pPr>
        <w:tabs>
          <w:tab w:val="left" w:pos="720"/>
        </w:tabs>
        <w:snapToGrid w:val="0"/>
        <w:spacing w:line="360" w:lineRule="auto"/>
        <w:jc w:val="center"/>
        <w:rPr>
          <w:rFonts w:ascii="宋体" w:hAnsi="宋体" w:eastAsia="宋体"/>
          <w:b/>
          <w:color w:val="auto"/>
          <w:sz w:val="32"/>
          <w:szCs w:val="32"/>
          <w:highlight w:val="none"/>
        </w:rPr>
      </w:pPr>
    </w:p>
    <w:p w14:paraId="5D030FA6">
      <w:pPr>
        <w:tabs>
          <w:tab w:val="left" w:pos="720"/>
        </w:tabs>
        <w:snapToGrid w:val="0"/>
        <w:spacing w:line="360" w:lineRule="auto"/>
        <w:jc w:val="center"/>
        <w:rPr>
          <w:rFonts w:ascii="宋体" w:hAnsi="宋体" w:eastAsia="宋体"/>
          <w:b/>
          <w:color w:val="auto"/>
          <w:sz w:val="32"/>
          <w:szCs w:val="32"/>
          <w:highlight w:val="none"/>
        </w:rPr>
      </w:pPr>
    </w:p>
    <w:p w14:paraId="678E1910">
      <w:pPr>
        <w:tabs>
          <w:tab w:val="left" w:pos="720"/>
        </w:tabs>
        <w:snapToGrid w:val="0"/>
        <w:spacing w:line="360" w:lineRule="auto"/>
        <w:jc w:val="center"/>
        <w:rPr>
          <w:rFonts w:ascii="宋体" w:hAnsi="宋体" w:eastAsia="宋体"/>
          <w:b/>
          <w:color w:val="auto"/>
          <w:sz w:val="32"/>
          <w:szCs w:val="32"/>
          <w:highlight w:val="none"/>
        </w:rPr>
      </w:pPr>
    </w:p>
    <w:p w14:paraId="44434E65">
      <w:pPr>
        <w:tabs>
          <w:tab w:val="left" w:pos="720"/>
        </w:tabs>
        <w:snapToGrid w:val="0"/>
        <w:spacing w:line="360" w:lineRule="auto"/>
        <w:jc w:val="center"/>
        <w:rPr>
          <w:rFonts w:ascii="宋体" w:hAnsi="宋体" w:eastAsia="宋体"/>
          <w:b/>
          <w:color w:val="auto"/>
          <w:sz w:val="32"/>
          <w:szCs w:val="32"/>
          <w:highlight w:val="none"/>
        </w:rPr>
      </w:pPr>
    </w:p>
    <w:p w14:paraId="5CE7EEF8">
      <w:pPr>
        <w:pStyle w:val="14"/>
        <w:spacing w:after="0" w:line="360" w:lineRule="auto"/>
        <w:ind w:firstLine="0"/>
        <w:jc w:val="center"/>
        <w:rPr>
          <w:rFonts w:hint="eastAsia" w:ascii="宋体" w:hAnsi="宋体" w:eastAsia="宋体"/>
          <w:b/>
          <w:color w:val="auto"/>
          <w:sz w:val="36"/>
          <w:szCs w:val="36"/>
          <w:highlight w:val="none"/>
        </w:rPr>
      </w:pPr>
    </w:p>
    <w:p w14:paraId="2876FBED">
      <w:pPr>
        <w:pStyle w:val="14"/>
        <w:spacing w:after="0" w:line="360" w:lineRule="auto"/>
        <w:ind w:firstLine="0"/>
        <w:jc w:val="center"/>
        <w:rPr>
          <w:rFonts w:hint="eastAsia" w:ascii="宋体" w:hAnsi="宋体" w:eastAsia="宋体"/>
          <w:b/>
          <w:color w:val="auto"/>
          <w:sz w:val="36"/>
          <w:szCs w:val="36"/>
          <w:highlight w:val="none"/>
        </w:rPr>
      </w:pPr>
    </w:p>
    <w:p w14:paraId="18720CFD">
      <w:pPr>
        <w:pStyle w:val="14"/>
        <w:spacing w:after="0" w:line="360" w:lineRule="auto"/>
        <w:ind w:firstLine="0"/>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对投标文件编制的承诺</w:t>
      </w:r>
    </w:p>
    <w:p w14:paraId="0A20746E">
      <w:pPr>
        <w:pStyle w:val="14"/>
        <w:spacing w:after="0" w:line="360" w:lineRule="auto"/>
        <w:ind w:firstLine="0"/>
        <w:jc w:val="center"/>
        <w:rPr>
          <w:rFonts w:hint="eastAsia" w:ascii="宋体" w:hAnsi="宋体" w:eastAsia="宋体"/>
          <w:color w:val="auto"/>
          <w:sz w:val="36"/>
          <w:szCs w:val="36"/>
          <w:highlight w:val="none"/>
        </w:rPr>
      </w:pPr>
    </w:p>
    <w:p w14:paraId="46F687C5">
      <w:pPr>
        <w:pStyle w:val="14"/>
        <w:spacing w:after="0" w:line="360" w:lineRule="auto"/>
        <w:ind w:left="-2" w:leftChars="-1"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本公司授权</w:t>
      </w:r>
      <w:r>
        <w:rPr>
          <w:rFonts w:hint="eastAsia" w:ascii="宋体" w:hAnsi="宋体" w:eastAsia="宋体"/>
          <w:color w:val="auto"/>
          <w:sz w:val="24"/>
          <w:szCs w:val="24"/>
          <w:highlight w:val="none"/>
          <w:u w:val="single"/>
        </w:rPr>
        <w:t xml:space="preserve">         （身份证号：               ）</w:t>
      </w:r>
      <w:r>
        <w:rPr>
          <w:rFonts w:hint="eastAsia" w:ascii="宋体" w:hAnsi="宋体" w:eastAsia="宋体"/>
          <w:color w:val="auto"/>
          <w:sz w:val="24"/>
          <w:szCs w:val="24"/>
          <w:highlight w:val="none"/>
        </w:rPr>
        <w:t>负责对投标文件的编制及内容进行解释、说明，并承诺以下事项：</w:t>
      </w:r>
    </w:p>
    <w:p w14:paraId="736352C9">
      <w:pPr>
        <w:pStyle w:val="14"/>
        <w:spacing w:after="0" w:line="360" w:lineRule="auto"/>
        <w:ind w:left="-2" w:leftChars="-1"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1.被授权人清楚投标文件编制的具体情况，包括技术方案文件、工程量清单、以及投标文件的加密打包的理解；</w:t>
      </w:r>
    </w:p>
    <w:p w14:paraId="5B8222EF">
      <w:pPr>
        <w:pStyle w:val="14"/>
        <w:spacing w:after="0" w:line="360" w:lineRule="auto"/>
        <w:ind w:left="-2" w:leftChars="-1"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2.在本项目开标至评标结束前，努力确保被授权人在项目评标所在地附近；</w:t>
      </w:r>
    </w:p>
    <w:p w14:paraId="2B4480FD">
      <w:pPr>
        <w:pStyle w:val="14"/>
        <w:spacing w:after="0" w:line="360" w:lineRule="auto"/>
        <w:ind w:left="-2" w:leftChars="-1"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3.从评标委员会要求澄清起2小时内，被授权人应如实地书面澄清。</w:t>
      </w:r>
    </w:p>
    <w:p w14:paraId="15FC790F">
      <w:pPr>
        <w:pStyle w:val="14"/>
        <w:spacing w:after="0" w:line="360" w:lineRule="auto"/>
        <w:ind w:left="-2" w:leftChars="-1"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如由于上述情形之一无法进行澄清的，我公司默认评标委员会作出的评审结论。</w:t>
      </w:r>
    </w:p>
    <w:p w14:paraId="4187910B">
      <w:pPr>
        <w:pStyle w:val="14"/>
        <w:spacing w:after="0" w:line="360" w:lineRule="auto"/>
        <w:ind w:firstLine="360" w:firstLineChars="15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52B5BAD8">
      <w:pPr>
        <w:pStyle w:val="14"/>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附件：1.《投标文件编制人员名单》</w:t>
      </w:r>
    </w:p>
    <w:p w14:paraId="0DE23276">
      <w:pPr>
        <w:pStyle w:val="14"/>
        <w:spacing w:after="0" w:line="360" w:lineRule="auto"/>
        <w:ind w:firstLine="1200" w:firstLineChars="5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2.《投标文件编制情况》</w:t>
      </w:r>
    </w:p>
    <w:p w14:paraId="203C4911">
      <w:pPr>
        <w:pStyle w:val="14"/>
        <w:spacing w:after="0" w:line="360" w:lineRule="auto"/>
        <w:ind w:firstLine="1200" w:firstLineChars="500"/>
        <w:rPr>
          <w:rFonts w:hint="eastAsia" w:ascii="宋体" w:hAnsi="宋体" w:eastAsia="宋体"/>
          <w:color w:val="auto"/>
          <w:sz w:val="24"/>
          <w:szCs w:val="24"/>
          <w:highlight w:val="none"/>
        </w:rPr>
      </w:pPr>
    </w:p>
    <w:p w14:paraId="64E06CF7">
      <w:pPr>
        <w:wordWrap w:val="0"/>
        <w:spacing w:line="360" w:lineRule="auto"/>
        <w:ind w:right="90" w:firstLine="3840" w:firstLineChars="16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投标人（盖章）：</w:t>
      </w:r>
      <w:r>
        <w:rPr>
          <w:rFonts w:hint="eastAsia" w:ascii="宋体" w:hAnsi="宋体" w:eastAsia="宋体"/>
          <w:color w:val="auto"/>
          <w:sz w:val="24"/>
          <w:szCs w:val="24"/>
          <w:highlight w:val="none"/>
          <w:u w:val="single"/>
        </w:rPr>
        <w:t xml:space="preserve">                            </w:t>
      </w:r>
    </w:p>
    <w:p w14:paraId="5DF18772">
      <w:pPr>
        <w:wordWrap w:val="0"/>
        <w:spacing w:line="360" w:lineRule="auto"/>
        <w:ind w:right="90"/>
        <w:jc w:val="righ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 法定代表人或其委托代理人：</w:t>
      </w:r>
      <w:r>
        <w:rPr>
          <w:rFonts w:hint="eastAsia" w:ascii="宋体" w:hAnsi="宋体" w:eastAsia="宋体"/>
          <w:color w:val="auto"/>
          <w:sz w:val="24"/>
          <w:szCs w:val="24"/>
          <w:highlight w:val="none"/>
          <w:u w:val="single"/>
        </w:rPr>
        <w:t xml:space="preserve">                  </w:t>
      </w:r>
    </w:p>
    <w:p w14:paraId="438984AB">
      <w:pPr>
        <w:spacing w:line="360" w:lineRule="auto"/>
        <w:ind w:right="90" w:firstLine="333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p>
    <w:p w14:paraId="135677F1">
      <w:pPr>
        <w:pStyle w:val="14"/>
        <w:spacing w:after="0" w:line="360" w:lineRule="auto"/>
        <w:ind w:firstLine="723"/>
        <w:jc w:val="center"/>
        <w:rPr>
          <w:rFonts w:hint="eastAsia" w:ascii="宋体" w:hAnsi="宋体" w:eastAsia="宋体"/>
          <w:b/>
          <w:color w:val="auto"/>
          <w:sz w:val="36"/>
          <w:szCs w:val="36"/>
          <w:highlight w:val="none"/>
        </w:rPr>
      </w:pPr>
    </w:p>
    <w:p w14:paraId="24FF3E80">
      <w:pPr>
        <w:pStyle w:val="14"/>
        <w:spacing w:after="0" w:line="360" w:lineRule="auto"/>
        <w:ind w:firstLine="723"/>
        <w:jc w:val="center"/>
        <w:rPr>
          <w:rFonts w:hint="eastAsia" w:ascii="宋体" w:hAnsi="宋体" w:eastAsia="宋体"/>
          <w:b/>
          <w:color w:val="auto"/>
          <w:sz w:val="36"/>
          <w:szCs w:val="36"/>
          <w:highlight w:val="none"/>
        </w:rPr>
      </w:pPr>
    </w:p>
    <w:p w14:paraId="293F9C38">
      <w:pPr>
        <w:pStyle w:val="14"/>
        <w:spacing w:after="0" w:line="360" w:lineRule="auto"/>
        <w:ind w:firstLine="723"/>
        <w:jc w:val="center"/>
        <w:rPr>
          <w:rFonts w:hint="eastAsia" w:ascii="宋体" w:hAnsi="宋体" w:eastAsia="宋体"/>
          <w:b/>
          <w:color w:val="auto"/>
          <w:sz w:val="36"/>
          <w:szCs w:val="36"/>
          <w:highlight w:val="none"/>
        </w:rPr>
      </w:pPr>
    </w:p>
    <w:p w14:paraId="122578EB">
      <w:pPr>
        <w:pStyle w:val="14"/>
        <w:spacing w:after="0" w:line="360" w:lineRule="auto"/>
        <w:ind w:firstLine="723"/>
        <w:jc w:val="center"/>
        <w:rPr>
          <w:rFonts w:hint="eastAsia" w:ascii="宋体" w:hAnsi="宋体" w:eastAsia="宋体"/>
          <w:b/>
          <w:color w:val="auto"/>
          <w:sz w:val="36"/>
          <w:szCs w:val="36"/>
          <w:highlight w:val="none"/>
        </w:rPr>
      </w:pPr>
    </w:p>
    <w:p w14:paraId="18FC08DF">
      <w:pPr>
        <w:pStyle w:val="14"/>
        <w:spacing w:after="0" w:line="360" w:lineRule="auto"/>
        <w:ind w:firstLine="723"/>
        <w:jc w:val="center"/>
        <w:rPr>
          <w:rFonts w:hint="eastAsia" w:ascii="宋体" w:hAnsi="宋体" w:eastAsia="宋体"/>
          <w:b/>
          <w:color w:val="auto"/>
          <w:sz w:val="36"/>
          <w:szCs w:val="36"/>
          <w:highlight w:val="none"/>
        </w:rPr>
      </w:pPr>
    </w:p>
    <w:p w14:paraId="0BF9E7DE">
      <w:pPr>
        <w:pStyle w:val="14"/>
        <w:spacing w:after="0" w:line="360" w:lineRule="auto"/>
        <w:ind w:firstLine="723"/>
        <w:jc w:val="center"/>
        <w:rPr>
          <w:rFonts w:hint="eastAsia" w:ascii="宋体" w:hAnsi="宋体" w:eastAsia="宋体"/>
          <w:b/>
          <w:color w:val="auto"/>
          <w:sz w:val="36"/>
          <w:szCs w:val="36"/>
          <w:highlight w:val="none"/>
        </w:rPr>
      </w:pPr>
    </w:p>
    <w:p w14:paraId="1388E262">
      <w:pPr>
        <w:pStyle w:val="14"/>
        <w:spacing w:after="0" w:line="360" w:lineRule="auto"/>
        <w:ind w:left="0" w:leftChars="0" w:firstLine="0" w:firstLineChars="0"/>
        <w:jc w:val="both"/>
        <w:rPr>
          <w:rFonts w:hint="eastAsia" w:ascii="宋体" w:hAnsi="宋体" w:eastAsia="宋体"/>
          <w:b/>
          <w:color w:val="auto"/>
          <w:sz w:val="36"/>
          <w:szCs w:val="36"/>
          <w:highlight w:val="none"/>
        </w:rPr>
      </w:pPr>
    </w:p>
    <w:p w14:paraId="3F751B4C">
      <w:pPr>
        <w:pStyle w:val="14"/>
        <w:spacing w:after="0" w:line="360" w:lineRule="auto"/>
        <w:ind w:firstLine="360"/>
        <w:jc w:val="center"/>
        <w:rPr>
          <w:rFonts w:hint="eastAsia" w:ascii="宋体" w:hAnsi="宋体" w:eastAsia="宋体"/>
          <w:color w:val="auto"/>
          <w:sz w:val="24"/>
          <w:szCs w:val="24"/>
          <w:highlight w:val="none"/>
        </w:rPr>
      </w:pPr>
      <w:r>
        <w:rPr>
          <w:rFonts w:hint="eastAsia" w:ascii="宋体" w:hAnsi="宋体" w:eastAsia="宋体"/>
          <w:b/>
          <w:color w:val="auto"/>
          <w:sz w:val="36"/>
          <w:szCs w:val="36"/>
          <w:highlight w:val="none"/>
        </w:rPr>
        <w:br w:type="page"/>
      </w:r>
      <w:r>
        <w:rPr>
          <w:rFonts w:hint="eastAsia" w:ascii="宋体" w:hAnsi="宋体" w:eastAsia="宋体"/>
          <w:b/>
          <w:color w:val="auto"/>
          <w:sz w:val="36"/>
          <w:szCs w:val="36"/>
          <w:highlight w:val="none"/>
        </w:rPr>
        <w:t>投标文件编制人员名单</w:t>
      </w:r>
    </w:p>
    <w:tbl>
      <w:tblPr>
        <w:tblStyle w:val="16"/>
        <w:tblW w:w="0" w:type="auto"/>
        <w:tblInd w:w="0" w:type="dxa"/>
        <w:tblLayout w:type="fixed"/>
        <w:tblCellMar>
          <w:top w:w="0" w:type="dxa"/>
          <w:left w:w="108" w:type="dxa"/>
          <w:bottom w:w="0" w:type="dxa"/>
          <w:right w:w="108" w:type="dxa"/>
        </w:tblCellMar>
      </w:tblPr>
      <w:tblGrid>
        <w:gridCol w:w="1249"/>
        <w:gridCol w:w="1453"/>
        <w:gridCol w:w="2486"/>
        <w:gridCol w:w="2383"/>
        <w:gridCol w:w="1609"/>
      </w:tblGrid>
      <w:tr w14:paraId="5E5B2A43">
        <w:tblPrEx>
          <w:tblCellMar>
            <w:top w:w="0" w:type="dxa"/>
            <w:left w:w="108" w:type="dxa"/>
            <w:bottom w:w="0" w:type="dxa"/>
            <w:right w:w="108" w:type="dxa"/>
          </w:tblCellMar>
        </w:tblPrEx>
        <w:trPr>
          <w:trHeight w:val="318" w:hRule="atLeast"/>
        </w:trPr>
        <w:tc>
          <w:tcPr>
            <w:tcW w:w="9180" w:type="dxa"/>
            <w:gridSpan w:val="5"/>
            <w:tcBorders>
              <w:top w:val="single" w:color="auto" w:sz="4" w:space="0"/>
              <w:left w:val="single" w:color="auto" w:sz="4" w:space="0"/>
              <w:bottom w:val="single" w:color="auto" w:sz="4" w:space="0"/>
              <w:right w:val="single" w:color="auto" w:sz="4" w:space="0"/>
            </w:tcBorders>
            <w:noWrap w:val="0"/>
            <w:vAlign w:val="center"/>
          </w:tcPr>
          <w:p w14:paraId="797900CC">
            <w:pPr>
              <w:tabs>
                <w:tab w:val="left" w:pos="720"/>
              </w:tabs>
              <w:snapToGri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投标人名称：</w:t>
            </w:r>
          </w:p>
        </w:tc>
      </w:tr>
      <w:tr w14:paraId="0CC15777">
        <w:tblPrEx>
          <w:tblCellMar>
            <w:top w:w="0" w:type="dxa"/>
            <w:left w:w="108" w:type="dxa"/>
            <w:bottom w:w="0" w:type="dxa"/>
            <w:right w:w="108" w:type="dxa"/>
          </w:tblCellMar>
        </w:tblPrEx>
        <w:trPr>
          <w:trHeight w:val="212"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14:paraId="415F8602">
            <w:pPr>
              <w:tabs>
                <w:tab w:val="left" w:pos="720"/>
              </w:tabs>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姓名</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0EE78275">
            <w:pPr>
              <w:tabs>
                <w:tab w:val="left" w:pos="720"/>
              </w:tabs>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职务</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5B06FAFB">
            <w:pPr>
              <w:tabs>
                <w:tab w:val="left" w:pos="720"/>
              </w:tabs>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所承担工作</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5DE90107">
            <w:pPr>
              <w:tabs>
                <w:tab w:val="left" w:pos="720"/>
              </w:tabs>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身份证号码</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845953C">
            <w:pPr>
              <w:tabs>
                <w:tab w:val="left" w:pos="720"/>
              </w:tabs>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本人签名栏</w:t>
            </w:r>
          </w:p>
        </w:tc>
      </w:tr>
      <w:tr w14:paraId="6C114810">
        <w:tblPrEx>
          <w:tblCellMar>
            <w:top w:w="0" w:type="dxa"/>
            <w:left w:w="108" w:type="dxa"/>
            <w:bottom w:w="0" w:type="dxa"/>
            <w:right w:w="108" w:type="dxa"/>
          </w:tblCellMar>
        </w:tblPrEx>
        <w:trPr>
          <w:trHeight w:val="58"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14:paraId="024396EE">
            <w:pPr>
              <w:tabs>
                <w:tab w:val="left" w:pos="720"/>
              </w:tabs>
              <w:snapToGrid w:val="0"/>
              <w:spacing w:line="360" w:lineRule="auto"/>
              <w:jc w:val="center"/>
              <w:rPr>
                <w:rFonts w:ascii="宋体" w:hAnsi="宋体" w:eastAsia="宋体"/>
                <w:color w:val="auto"/>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073007F9">
            <w:pPr>
              <w:tabs>
                <w:tab w:val="left" w:pos="720"/>
              </w:tabs>
              <w:snapToGrid w:val="0"/>
              <w:spacing w:line="360" w:lineRule="auto"/>
              <w:jc w:val="center"/>
              <w:rPr>
                <w:rFonts w:ascii="宋体" w:hAnsi="宋体" w:eastAsia="宋体"/>
                <w:color w:val="auto"/>
                <w:sz w:val="24"/>
                <w:szCs w:val="24"/>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14:paraId="6D718E9C">
            <w:pPr>
              <w:tabs>
                <w:tab w:val="left" w:pos="720"/>
              </w:tabs>
              <w:snapToGrid w:val="0"/>
              <w:spacing w:line="360" w:lineRule="auto"/>
              <w:jc w:val="center"/>
              <w:rPr>
                <w:rFonts w:ascii="宋体" w:hAnsi="宋体" w:eastAsia="宋体"/>
                <w:color w:val="auto"/>
                <w:sz w:val="24"/>
                <w:szCs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4D1F1515">
            <w:pPr>
              <w:tabs>
                <w:tab w:val="left" w:pos="720"/>
              </w:tabs>
              <w:snapToGrid w:val="0"/>
              <w:spacing w:line="360" w:lineRule="auto"/>
              <w:jc w:val="center"/>
              <w:rPr>
                <w:rFonts w:ascii="宋体" w:hAnsi="宋体" w:eastAsia="宋体"/>
                <w:color w:val="auto"/>
                <w:sz w:val="24"/>
                <w:szCs w:val="24"/>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8FBB21C">
            <w:pPr>
              <w:tabs>
                <w:tab w:val="left" w:pos="720"/>
              </w:tabs>
              <w:snapToGrid w:val="0"/>
              <w:spacing w:line="360" w:lineRule="auto"/>
              <w:jc w:val="center"/>
              <w:rPr>
                <w:rFonts w:ascii="宋体" w:hAnsi="宋体" w:eastAsia="宋体"/>
                <w:color w:val="auto"/>
                <w:sz w:val="24"/>
                <w:szCs w:val="24"/>
                <w:highlight w:val="none"/>
              </w:rPr>
            </w:pPr>
          </w:p>
        </w:tc>
      </w:tr>
      <w:tr w14:paraId="2C024335">
        <w:tblPrEx>
          <w:tblCellMar>
            <w:top w:w="0" w:type="dxa"/>
            <w:left w:w="108" w:type="dxa"/>
            <w:bottom w:w="0" w:type="dxa"/>
            <w:right w:w="108" w:type="dxa"/>
          </w:tblCellMar>
        </w:tblPrEx>
        <w:trPr>
          <w:trHeight w:val="162"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14:paraId="127CDBC8">
            <w:pPr>
              <w:tabs>
                <w:tab w:val="left" w:pos="720"/>
              </w:tabs>
              <w:snapToGrid w:val="0"/>
              <w:spacing w:line="360" w:lineRule="auto"/>
              <w:jc w:val="center"/>
              <w:rPr>
                <w:rFonts w:ascii="宋体" w:hAnsi="宋体" w:eastAsia="宋体"/>
                <w:color w:val="auto"/>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6FDD25E5">
            <w:pPr>
              <w:tabs>
                <w:tab w:val="left" w:pos="720"/>
              </w:tabs>
              <w:snapToGrid w:val="0"/>
              <w:spacing w:line="360" w:lineRule="auto"/>
              <w:jc w:val="center"/>
              <w:rPr>
                <w:rFonts w:ascii="宋体" w:hAnsi="宋体" w:eastAsia="宋体"/>
                <w:color w:val="auto"/>
                <w:sz w:val="24"/>
                <w:szCs w:val="24"/>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14:paraId="7E18C752">
            <w:pPr>
              <w:tabs>
                <w:tab w:val="left" w:pos="720"/>
              </w:tabs>
              <w:snapToGrid w:val="0"/>
              <w:spacing w:line="360" w:lineRule="auto"/>
              <w:jc w:val="center"/>
              <w:rPr>
                <w:rFonts w:ascii="宋体" w:hAnsi="宋体" w:eastAsia="宋体"/>
                <w:color w:val="auto"/>
                <w:sz w:val="24"/>
                <w:szCs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27C4499B">
            <w:pPr>
              <w:tabs>
                <w:tab w:val="left" w:pos="720"/>
              </w:tabs>
              <w:snapToGrid w:val="0"/>
              <w:spacing w:line="360" w:lineRule="auto"/>
              <w:jc w:val="center"/>
              <w:rPr>
                <w:rFonts w:ascii="宋体" w:hAnsi="宋体" w:eastAsia="宋体"/>
                <w:color w:val="auto"/>
                <w:sz w:val="24"/>
                <w:szCs w:val="24"/>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149730E">
            <w:pPr>
              <w:tabs>
                <w:tab w:val="left" w:pos="720"/>
              </w:tabs>
              <w:snapToGrid w:val="0"/>
              <w:spacing w:line="360" w:lineRule="auto"/>
              <w:jc w:val="center"/>
              <w:rPr>
                <w:rFonts w:ascii="宋体" w:hAnsi="宋体" w:eastAsia="宋体"/>
                <w:color w:val="auto"/>
                <w:sz w:val="24"/>
                <w:szCs w:val="24"/>
                <w:highlight w:val="none"/>
              </w:rPr>
            </w:pPr>
          </w:p>
        </w:tc>
      </w:tr>
      <w:tr w14:paraId="38517C26">
        <w:tblPrEx>
          <w:tblCellMar>
            <w:top w:w="0" w:type="dxa"/>
            <w:left w:w="108" w:type="dxa"/>
            <w:bottom w:w="0" w:type="dxa"/>
            <w:right w:w="108" w:type="dxa"/>
          </w:tblCellMar>
        </w:tblPrEx>
        <w:trPr>
          <w:trHeight w:val="123"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14:paraId="0BA7A018">
            <w:pPr>
              <w:tabs>
                <w:tab w:val="left" w:pos="720"/>
              </w:tabs>
              <w:snapToGrid w:val="0"/>
              <w:spacing w:line="360" w:lineRule="auto"/>
              <w:jc w:val="center"/>
              <w:rPr>
                <w:rFonts w:ascii="宋体" w:hAnsi="宋体" w:eastAsia="宋体"/>
                <w:color w:val="auto"/>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607AF1DD">
            <w:pPr>
              <w:tabs>
                <w:tab w:val="left" w:pos="720"/>
              </w:tabs>
              <w:snapToGrid w:val="0"/>
              <w:spacing w:line="360" w:lineRule="auto"/>
              <w:jc w:val="center"/>
              <w:rPr>
                <w:rFonts w:ascii="宋体" w:hAnsi="宋体" w:eastAsia="宋体"/>
                <w:color w:val="auto"/>
                <w:sz w:val="24"/>
                <w:szCs w:val="24"/>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14:paraId="43AE9035">
            <w:pPr>
              <w:tabs>
                <w:tab w:val="left" w:pos="720"/>
              </w:tabs>
              <w:snapToGrid w:val="0"/>
              <w:spacing w:line="360" w:lineRule="auto"/>
              <w:jc w:val="center"/>
              <w:rPr>
                <w:rFonts w:ascii="宋体" w:hAnsi="宋体" w:eastAsia="宋体"/>
                <w:color w:val="auto"/>
                <w:sz w:val="24"/>
                <w:szCs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7756C5DE">
            <w:pPr>
              <w:tabs>
                <w:tab w:val="left" w:pos="720"/>
              </w:tabs>
              <w:snapToGrid w:val="0"/>
              <w:spacing w:line="360" w:lineRule="auto"/>
              <w:jc w:val="center"/>
              <w:rPr>
                <w:rFonts w:ascii="宋体" w:hAnsi="宋体" w:eastAsia="宋体"/>
                <w:color w:val="auto"/>
                <w:sz w:val="24"/>
                <w:szCs w:val="24"/>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7862500">
            <w:pPr>
              <w:tabs>
                <w:tab w:val="left" w:pos="720"/>
              </w:tabs>
              <w:snapToGrid w:val="0"/>
              <w:spacing w:line="360" w:lineRule="auto"/>
              <w:jc w:val="center"/>
              <w:rPr>
                <w:rFonts w:ascii="宋体" w:hAnsi="宋体" w:eastAsia="宋体"/>
                <w:color w:val="auto"/>
                <w:sz w:val="24"/>
                <w:szCs w:val="24"/>
                <w:highlight w:val="none"/>
              </w:rPr>
            </w:pPr>
          </w:p>
        </w:tc>
      </w:tr>
    </w:tbl>
    <w:p w14:paraId="560A74EC">
      <w:pPr>
        <w:tabs>
          <w:tab w:val="left" w:pos="720"/>
        </w:tabs>
        <w:snapToGrid w:val="0"/>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编制负责人：                          解释负责人：</w:t>
      </w:r>
    </w:p>
    <w:p w14:paraId="0BA0F5B5">
      <w:pPr>
        <w:pStyle w:val="14"/>
        <w:spacing w:after="0" w:line="360" w:lineRule="auto"/>
        <w:ind w:left="-2" w:leftChars="-1" w:firstLine="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b/>
          <w:color w:val="auto"/>
          <w:sz w:val="24"/>
          <w:szCs w:val="24"/>
          <w:highlight w:val="none"/>
        </w:rPr>
        <w:t>1.</w:t>
      </w:r>
      <w:r>
        <w:rPr>
          <w:rFonts w:hint="eastAsia" w:ascii="宋体" w:hAnsi="宋体" w:eastAsia="宋体"/>
          <w:color w:val="auto"/>
          <w:sz w:val="24"/>
          <w:szCs w:val="24"/>
          <w:highlight w:val="none"/>
        </w:rPr>
        <w:t>参与编制标书所有人员名单应包括编制各种专业工程量清单投标报价、负责清样校对、负责加密打包、负责上传、负责密封、负责打印及复印等所有人员在内的人员名单。</w:t>
      </w:r>
    </w:p>
    <w:p w14:paraId="32E25039">
      <w:pPr>
        <w:pStyle w:val="14"/>
        <w:spacing w:after="0" w:line="360" w:lineRule="auto"/>
        <w:ind w:firstLine="482" w:firstLineChars="200"/>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 xml:space="preserve">2. </w:t>
      </w:r>
      <w:r>
        <w:rPr>
          <w:rFonts w:hint="eastAsia" w:ascii="宋体" w:hAnsi="宋体" w:eastAsia="宋体"/>
          <w:color w:val="auto"/>
          <w:sz w:val="24"/>
          <w:szCs w:val="24"/>
          <w:highlight w:val="none"/>
        </w:rPr>
        <w:t>上述人员可以兼任</w:t>
      </w:r>
      <w:r>
        <w:rPr>
          <w:rFonts w:hint="eastAsia" w:ascii="宋体" w:hAnsi="宋体" w:eastAsia="宋体"/>
          <w:b/>
          <w:color w:val="auto"/>
          <w:sz w:val="24"/>
          <w:szCs w:val="24"/>
          <w:highlight w:val="none"/>
        </w:rPr>
        <w:t>。</w:t>
      </w:r>
    </w:p>
    <w:p w14:paraId="17CCE8CE">
      <w:pPr>
        <w:pStyle w:val="14"/>
        <w:spacing w:after="0" w:line="360" w:lineRule="auto"/>
        <w:ind w:firstLine="0"/>
        <w:jc w:val="center"/>
        <w:rPr>
          <w:rFonts w:hint="eastAsia" w:ascii="宋体" w:hAnsi="宋体" w:eastAsia="宋体"/>
          <w:b/>
          <w:color w:val="auto"/>
          <w:sz w:val="36"/>
          <w:szCs w:val="36"/>
          <w:highlight w:val="none"/>
        </w:rPr>
      </w:pPr>
    </w:p>
    <w:p w14:paraId="0F8908A6">
      <w:pPr>
        <w:pStyle w:val="14"/>
        <w:spacing w:after="0" w:line="360" w:lineRule="auto"/>
        <w:ind w:firstLine="360"/>
        <w:jc w:val="center"/>
        <w:rPr>
          <w:rFonts w:hint="eastAsia" w:ascii="宋体" w:hAnsi="宋体" w:eastAsia="宋体"/>
          <w:color w:val="auto"/>
          <w:sz w:val="24"/>
          <w:szCs w:val="24"/>
          <w:highlight w:val="none"/>
        </w:rPr>
      </w:pPr>
      <w:r>
        <w:rPr>
          <w:rFonts w:hint="eastAsia" w:ascii="宋体" w:hAnsi="宋体" w:eastAsia="宋体"/>
          <w:b/>
          <w:color w:val="auto"/>
          <w:sz w:val="36"/>
          <w:szCs w:val="36"/>
          <w:highlight w:val="none"/>
        </w:rPr>
        <w:t>投标文件编制情况</w:t>
      </w:r>
    </w:p>
    <w:p w14:paraId="2644D249">
      <w:pPr>
        <w:pStyle w:val="14"/>
        <w:spacing w:after="0"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1.投标文件报价编制方式: □自行编制的，编制的负责人：</w:t>
      </w:r>
      <w:r>
        <w:rPr>
          <w:rFonts w:hint="eastAsia" w:ascii="宋体" w:hAnsi="宋体" w:eastAsia="宋体"/>
          <w:color w:val="auto"/>
          <w:sz w:val="24"/>
          <w:szCs w:val="24"/>
          <w:highlight w:val="none"/>
          <w:u w:val="single"/>
        </w:rPr>
        <w:t xml:space="preserve"> （盖造价工程师执业专用章或全国建设工程造价员章，执业单位应与投标人一致） </w:t>
      </w:r>
      <w:r>
        <w:rPr>
          <w:rFonts w:hint="eastAsia" w:ascii="宋体" w:hAnsi="宋体" w:eastAsia="宋体"/>
          <w:color w:val="auto"/>
          <w:sz w:val="24"/>
          <w:szCs w:val="24"/>
          <w:highlight w:val="none"/>
        </w:rPr>
        <w:t>。□委托编制的，受委托单位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，编制的负责人：</w:t>
      </w:r>
      <w:r>
        <w:rPr>
          <w:rFonts w:hint="eastAsia" w:ascii="宋体" w:hAnsi="宋体" w:eastAsia="宋体"/>
          <w:color w:val="auto"/>
          <w:sz w:val="24"/>
          <w:szCs w:val="24"/>
          <w:highlight w:val="none"/>
          <w:u w:val="single"/>
        </w:rPr>
        <w:t xml:space="preserve"> （盖造价工程师执业专用章或全国建设工程造价员章，执业单位应与受委托单位一致） </w:t>
      </w:r>
      <w:r>
        <w:rPr>
          <w:rFonts w:hint="eastAsia" w:ascii="宋体" w:hAnsi="宋体" w:eastAsia="宋体"/>
          <w:color w:val="auto"/>
          <w:sz w:val="24"/>
          <w:szCs w:val="24"/>
          <w:highlight w:val="none"/>
        </w:rPr>
        <w:t>。</w:t>
      </w:r>
    </w:p>
    <w:p w14:paraId="1B05C2F5">
      <w:pPr>
        <w:pStyle w:val="14"/>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2.投标报价（是□ / 否□）根据招标人提供的最高投标限价清单综合单价进行编制（招标人未提供最高投标限价清单综合单价的，直接勾选否）；</w:t>
      </w:r>
    </w:p>
    <w:p w14:paraId="7B9AF6DA">
      <w:pPr>
        <w:pStyle w:val="14"/>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3.投标报价的分部分项工程量清单综合单价沿用最高投标限价工程量清单综合单价比例</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%(最高投标限价分部分项工程量清单项目数的总数作分母，沿用最高投标限价分部分项工程量综合单价的项目数作分子)。</w:t>
      </w:r>
    </w:p>
    <w:p w14:paraId="08D39AA9">
      <w:pPr>
        <w:pStyle w:val="14"/>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4.投标文件加密打包的电脑情况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37"/>
        <w:gridCol w:w="2170"/>
        <w:gridCol w:w="2232"/>
      </w:tblGrid>
      <w:tr w14:paraId="5B76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3" w:type="dxa"/>
            <w:noWrap w:val="0"/>
            <w:vAlign w:val="center"/>
          </w:tcPr>
          <w:p w14:paraId="47C72D60">
            <w:pPr>
              <w:pStyle w:val="14"/>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投标文件加密打包的电脑</w:t>
            </w:r>
          </w:p>
        </w:tc>
        <w:tc>
          <w:tcPr>
            <w:tcW w:w="2137" w:type="dxa"/>
            <w:noWrap w:val="0"/>
            <w:vAlign w:val="center"/>
          </w:tcPr>
          <w:p w14:paraId="7C220E47">
            <w:pPr>
              <w:pStyle w:val="14"/>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自有    □</w:t>
            </w:r>
          </w:p>
        </w:tc>
        <w:tc>
          <w:tcPr>
            <w:tcW w:w="2170" w:type="dxa"/>
            <w:noWrap w:val="0"/>
            <w:vAlign w:val="center"/>
          </w:tcPr>
          <w:p w14:paraId="7618F12F">
            <w:pPr>
              <w:pStyle w:val="14"/>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外包    □</w:t>
            </w:r>
          </w:p>
        </w:tc>
        <w:tc>
          <w:tcPr>
            <w:tcW w:w="2232" w:type="dxa"/>
            <w:noWrap w:val="0"/>
            <w:vAlign w:val="center"/>
          </w:tcPr>
          <w:p w14:paraId="5F88BED8">
            <w:pPr>
              <w:pStyle w:val="14"/>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其他    □</w:t>
            </w:r>
          </w:p>
        </w:tc>
      </w:tr>
      <w:tr w14:paraId="06D8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943" w:type="dxa"/>
            <w:noWrap w:val="0"/>
            <w:vAlign w:val="center"/>
          </w:tcPr>
          <w:p w14:paraId="11964CFA">
            <w:pPr>
              <w:pStyle w:val="14"/>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电脑类型</w:t>
            </w:r>
          </w:p>
        </w:tc>
        <w:tc>
          <w:tcPr>
            <w:tcW w:w="6539" w:type="dxa"/>
            <w:gridSpan w:val="3"/>
            <w:noWrap w:val="0"/>
            <w:vAlign w:val="center"/>
          </w:tcPr>
          <w:p w14:paraId="64D326A5">
            <w:pPr>
              <w:pStyle w:val="14"/>
              <w:spacing w:after="0" w:line="360" w:lineRule="auto"/>
              <w:ind w:firstLine="0"/>
              <w:jc w:val="center"/>
              <w:rPr>
                <w:rFonts w:hint="eastAsia" w:ascii="宋体" w:hAnsi="宋体" w:eastAsia="宋体"/>
                <w:color w:val="auto"/>
                <w:sz w:val="24"/>
                <w:szCs w:val="24"/>
                <w:highlight w:val="none"/>
              </w:rPr>
            </w:pPr>
          </w:p>
        </w:tc>
      </w:tr>
      <w:tr w14:paraId="6591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noWrap w:val="0"/>
            <w:vAlign w:val="center"/>
          </w:tcPr>
          <w:p w14:paraId="2C375482">
            <w:pPr>
              <w:pStyle w:val="14"/>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电脑所属单位</w:t>
            </w:r>
          </w:p>
        </w:tc>
        <w:tc>
          <w:tcPr>
            <w:tcW w:w="6539" w:type="dxa"/>
            <w:gridSpan w:val="3"/>
            <w:noWrap w:val="0"/>
            <w:vAlign w:val="center"/>
          </w:tcPr>
          <w:p w14:paraId="08815F8F">
            <w:pPr>
              <w:pStyle w:val="14"/>
              <w:spacing w:after="0" w:line="360" w:lineRule="auto"/>
              <w:ind w:firstLine="0"/>
              <w:jc w:val="center"/>
              <w:rPr>
                <w:rFonts w:hint="eastAsia" w:ascii="宋体" w:hAnsi="宋体" w:eastAsia="宋体"/>
                <w:color w:val="auto"/>
                <w:sz w:val="24"/>
                <w:szCs w:val="24"/>
                <w:highlight w:val="none"/>
              </w:rPr>
            </w:pPr>
          </w:p>
        </w:tc>
      </w:tr>
      <w:tr w14:paraId="2C84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3" w:type="dxa"/>
            <w:noWrap w:val="0"/>
            <w:vAlign w:val="center"/>
          </w:tcPr>
          <w:p w14:paraId="2E2DCB68">
            <w:pPr>
              <w:pStyle w:val="14"/>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电脑所在地址</w:t>
            </w:r>
          </w:p>
        </w:tc>
        <w:tc>
          <w:tcPr>
            <w:tcW w:w="6539" w:type="dxa"/>
            <w:gridSpan w:val="3"/>
            <w:noWrap w:val="0"/>
            <w:vAlign w:val="center"/>
          </w:tcPr>
          <w:p w14:paraId="4E3019B2">
            <w:pPr>
              <w:pStyle w:val="14"/>
              <w:spacing w:after="0" w:line="360" w:lineRule="auto"/>
              <w:ind w:firstLine="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（如××市××区(县) ××街（路）××号××大厦××房）</w:t>
            </w:r>
          </w:p>
        </w:tc>
      </w:tr>
    </w:tbl>
    <w:p w14:paraId="41076A21">
      <w:pPr>
        <w:spacing w:line="420" w:lineRule="exact"/>
        <w:outlineLvl w:val="2"/>
        <w:rPr>
          <w:rFonts w:hint="eastAsia" w:ascii="宋体" w:hAnsi="宋体" w:eastAsia="宋体"/>
          <w:b/>
          <w:color w:val="auto"/>
          <w:sz w:val="36"/>
          <w:szCs w:val="36"/>
          <w:highlight w:val="none"/>
        </w:rPr>
      </w:pPr>
      <w:r>
        <w:rPr>
          <w:rFonts w:ascii="宋体" w:hAnsi="宋体" w:eastAsia="宋体"/>
          <w:color w:val="auto"/>
          <w:sz w:val="24"/>
          <w:szCs w:val="24"/>
          <w:highlight w:val="none"/>
        </w:rPr>
        <w:br w:type="page"/>
      </w:r>
      <w:bookmarkStart w:id="276" w:name="_Toc14674"/>
      <w:bookmarkStart w:id="277" w:name="_Toc1565"/>
      <w:bookmarkStart w:id="278" w:name="_Toc31826"/>
      <w:bookmarkStart w:id="279" w:name="_Toc17823"/>
      <w:bookmarkStart w:id="280" w:name="_Toc8944"/>
      <w:bookmarkStart w:id="281" w:name="_Toc1263"/>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14</w:t>
      </w:r>
      <w:r>
        <w:rPr>
          <w:rFonts w:hint="eastAsia" w:ascii="宋体" w:hAnsi="宋体" w:eastAsia="宋体"/>
          <w:color w:val="auto"/>
          <w:sz w:val="24"/>
          <w:szCs w:val="24"/>
          <w:highlight w:val="none"/>
        </w:rPr>
        <w:t xml:space="preserve"> 投标人声明</w:t>
      </w:r>
      <w:bookmarkEnd w:id="276"/>
      <w:bookmarkEnd w:id="277"/>
      <w:bookmarkEnd w:id="278"/>
      <w:bookmarkEnd w:id="279"/>
      <w:bookmarkEnd w:id="280"/>
      <w:bookmarkEnd w:id="281"/>
    </w:p>
    <w:p w14:paraId="325D4187">
      <w:pPr>
        <w:spacing w:line="420" w:lineRule="exact"/>
        <w:jc w:val="center"/>
        <w:rPr>
          <w:rFonts w:hint="eastAsia" w:ascii="宋体" w:hAnsi="宋体" w:eastAsia="宋体"/>
          <w:b/>
          <w:color w:val="auto"/>
          <w:sz w:val="36"/>
          <w:szCs w:val="36"/>
          <w:highlight w:val="none"/>
        </w:rPr>
      </w:pPr>
    </w:p>
    <w:p w14:paraId="7588CE77">
      <w:pPr>
        <w:spacing w:line="420" w:lineRule="exact"/>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投标</w:t>
      </w:r>
      <w:r>
        <w:rPr>
          <w:rFonts w:hint="eastAsia" w:ascii="宋体" w:hAnsi="宋体" w:eastAsia="宋体"/>
          <w:b/>
          <w:color w:val="auto"/>
          <w:kern w:val="0"/>
          <w:sz w:val="36"/>
          <w:szCs w:val="36"/>
          <w:highlight w:val="none"/>
        </w:rPr>
        <w:t>人</w:t>
      </w:r>
      <w:r>
        <w:rPr>
          <w:rFonts w:hint="eastAsia" w:ascii="宋体" w:hAnsi="宋体" w:eastAsia="宋体"/>
          <w:b/>
          <w:color w:val="auto"/>
          <w:sz w:val="36"/>
          <w:szCs w:val="36"/>
          <w:highlight w:val="none"/>
        </w:rPr>
        <w:t>声明</w:t>
      </w:r>
    </w:p>
    <w:p w14:paraId="332664C5">
      <w:pPr>
        <w:spacing w:line="420" w:lineRule="exact"/>
        <w:jc w:val="center"/>
        <w:rPr>
          <w:rFonts w:ascii="宋体" w:hAnsi="宋体" w:eastAsia="宋体"/>
          <w:b/>
          <w:color w:val="auto"/>
          <w:sz w:val="36"/>
          <w:szCs w:val="36"/>
          <w:highlight w:val="none"/>
        </w:rPr>
      </w:pPr>
    </w:p>
    <w:p w14:paraId="6BEDC176">
      <w:pPr>
        <w:pStyle w:val="22"/>
        <w:ind w:firstLine="0"/>
        <w:rPr>
          <w:rFonts w:ascii="宋体" w:hAnsi="宋体"/>
          <w:color w:val="auto"/>
          <w:sz w:val="28"/>
          <w:szCs w:val="28"/>
          <w:highlight w:val="none"/>
        </w:rPr>
      </w:pPr>
      <w:r>
        <w:rPr>
          <w:rFonts w:hint="eastAsia" w:ascii="宋体" w:hAnsi="宋体"/>
          <w:color w:val="auto"/>
          <w:sz w:val="28"/>
          <w:szCs w:val="28"/>
          <w:highlight w:val="none"/>
        </w:rPr>
        <w:t>广州市林业和园林局、本招标项目招标人：</w:t>
      </w:r>
    </w:p>
    <w:p w14:paraId="35A6D962">
      <w:pPr>
        <w:pStyle w:val="22"/>
        <w:ind w:firstLine="560" w:firstLineChars="200"/>
        <w:rPr>
          <w:rFonts w:ascii="宋体" w:hAnsi="宋体"/>
          <w:color w:val="auto"/>
          <w:sz w:val="28"/>
          <w:szCs w:val="28"/>
          <w:highlight w:val="none"/>
        </w:rPr>
      </w:pPr>
      <w:r>
        <w:rPr>
          <w:rFonts w:hint="eastAsia" w:ascii="宋体" w:hAnsi="宋体"/>
          <w:color w:val="auto"/>
          <w:sz w:val="28"/>
          <w:szCs w:val="28"/>
          <w:highlight w:val="none"/>
        </w:rPr>
        <w:t>本公司就参加</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投标工作，作出郑重声明：</w:t>
      </w:r>
    </w:p>
    <w:p w14:paraId="63065F32">
      <w:pPr>
        <w:pStyle w:val="22"/>
        <w:numPr>
          <w:ilvl w:val="0"/>
          <w:numId w:val="0"/>
        </w:numPr>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一、本公司保证本次投标活动所提供的材料都是真实的；在广州公共资源交易平台企业库登记的一切信息都是真实的、在有效期内的。如我司成为本项目中标候选人，我公司同意并授权招标人将我司投标文件的人员、业绩、奖项等资料进行公开。</w:t>
      </w:r>
    </w:p>
    <w:p w14:paraId="1678A955">
      <w:pPr>
        <w:pStyle w:val="22"/>
        <w:numPr>
          <w:ilvl w:val="0"/>
          <w:numId w:val="0"/>
        </w:numPr>
        <w:ind w:firstLine="560" w:firstLineChars="200"/>
        <w:rPr>
          <w:rFonts w:ascii="宋体" w:hAnsi="宋体"/>
          <w:color w:val="auto"/>
          <w:sz w:val="28"/>
          <w:szCs w:val="28"/>
          <w:highlight w:val="none"/>
        </w:rPr>
      </w:pPr>
      <w:r>
        <w:rPr>
          <w:rFonts w:hint="eastAsia" w:ascii="宋体" w:hAnsi="宋体"/>
          <w:color w:val="auto"/>
          <w:sz w:val="28"/>
          <w:szCs w:val="28"/>
          <w:highlight w:val="none"/>
        </w:rPr>
        <w:t>二、资格审查前，本公司在广州公共资源交易</w:t>
      </w:r>
      <w:r>
        <w:rPr>
          <w:rFonts w:hint="eastAsia" w:ascii="宋体" w:hAnsi="宋体"/>
          <w:color w:val="auto"/>
          <w:sz w:val="28"/>
          <w:szCs w:val="28"/>
          <w:highlight w:val="none"/>
          <w:lang w:eastAsia="zh-CN"/>
        </w:rPr>
        <w:t>平台</w:t>
      </w:r>
      <w:r>
        <w:rPr>
          <w:rFonts w:hint="eastAsia" w:ascii="宋体" w:hAnsi="宋体"/>
          <w:color w:val="auto"/>
          <w:sz w:val="28"/>
          <w:szCs w:val="28"/>
          <w:highlight w:val="none"/>
        </w:rPr>
        <w:t>已办理企业信息登记及拟担任本工程项目负责人是本企业信息登记中的在册人员。</w:t>
      </w:r>
    </w:p>
    <w:p w14:paraId="3F27B6CA">
      <w:pPr>
        <w:pStyle w:val="22"/>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三、本公司拟委派</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担任本工程的项目负责人，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担任本工程的技术负责人。</w:t>
      </w:r>
    </w:p>
    <w:p w14:paraId="139EDAF4">
      <w:pPr>
        <w:pStyle w:val="22"/>
        <w:ind w:firstLine="560" w:firstLineChars="200"/>
        <w:rPr>
          <w:rFonts w:ascii="宋体" w:hAnsi="宋体"/>
          <w:color w:val="auto"/>
          <w:sz w:val="28"/>
          <w:szCs w:val="28"/>
          <w:highlight w:val="none"/>
        </w:rPr>
      </w:pPr>
      <w:r>
        <w:rPr>
          <w:rFonts w:hint="eastAsia" w:ascii="宋体" w:hAnsi="宋体"/>
          <w:color w:val="auto"/>
          <w:sz w:val="28"/>
          <w:szCs w:val="28"/>
          <w:highlight w:val="none"/>
        </w:rPr>
        <w:t>四、本公司保证在本项目投标中不与其他单位围标、串标，不出让投标资格，不向招标人或评标委员会成员行贿。</w:t>
      </w:r>
    </w:p>
    <w:p w14:paraId="3A27893D">
      <w:pPr>
        <w:pStyle w:val="22"/>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五、本公司没有处于被责令停业的状态；没有处于被建设行政主管部门取消投标资格的处罚期内；没有处于财产被接管、冻结、破产的状态；在投标资格审查截止日期前</w:t>
      </w:r>
      <w:r>
        <w:rPr>
          <w:rFonts w:hint="eastAsia" w:ascii="宋体" w:hAnsi="宋体"/>
          <w:color w:val="auto"/>
          <w:sz w:val="28"/>
          <w:szCs w:val="28"/>
          <w:highlight w:val="none"/>
          <w:lang w:eastAsia="zh-CN"/>
        </w:rPr>
        <w:t>三</w:t>
      </w:r>
      <w:r>
        <w:rPr>
          <w:rFonts w:hint="eastAsia" w:ascii="宋体" w:hAnsi="宋体"/>
          <w:color w:val="auto"/>
          <w:sz w:val="28"/>
          <w:szCs w:val="28"/>
          <w:highlight w:val="none"/>
        </w:rPr>
        <w:t>年内没有建设行政主管部门、城市园林绿化行业主管部门已书面认定的重大工程质量问题；本公司或公司法定代表人、拟委派的项目负责人在近三年内没有行贿犯罪行为；本公司没有被人民法院列入失信被执行人名单。</w:t>
      </w:r>
    </w:p>
    <w:p w14:paraId="0A54D7E0">
      <w:pPr>
        <w:pStyle w:val="22"/>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本公司不存在《全国失信惩戒措施基础清单》惩戒内容为“在一定期限内依法取消参加依法必须进行招标的项目的投标资格”的情形</w:t>
      </w:r>
      <w:r>
        <w:rPr>
          <w:rFonts w:hint="eastAsia" w:ascii="宋体" w:hAnsi="宋体"/>
          <w:color w:val="auto"/>
          <w:sz w:val="28"/>
          <w:szCs w:val="28"/>
          <w:highlight w:val="none"/>
          <w:lang w:eastAsia="zh-CN"/>
        </w:rPr>
        <w:t>：串通投标或以行贿的手段谋取中标，且情节严重的投标人；以他人名义投标或者以其他方式弄虚作假，骗取中标，且情节严重的投标人；不按照与招标人订立的合同履行义务，且情节严重的中标人；被列入拖欠农民工工资失信联合惩戒对象名单的主体</w:t>
      </w:r>
      <w:r>
        <w:rPr>
          <w:rFonts w:hint="eastAsia" w:ascii="宋体" w:hAnsi="宋体"/>
          <w:color w:val="auto"/>
          <w:sz w:val="28"/>
          <w:szCs w:val="28"/>
          <w:highlight w:val="none"/>
        </w:rPr>
        <w:t>。</w:t>
      </w:r>
    </w:p>
    <w:p w14:paraId="347A5842">
      <w:pPr>
        <w:pStyle w:val="22"/>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六、本公司拟委派专职安全员兼任本工程的工地余泥渣土运输与排放管理员，严格遵守建设工程余泥渣土运输与排放管理制度，执行“一不准进、三不准出”规定。选择合法的余泥渣土运输单位及排放点。</w:t>
      </w:r>
    </w:p>
    <w:p w14:paraId="6E2E57E3">
      <w:pPr>
        <w:pStyle w:val="22"/>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七、本公司及其有隶属关系的机构没有参加本项目的设计、前期工作、招标文件编写、监理工作；本公司与承担本招标项目监理业务的单位没有隶属关系或其他利害关系。 </w:t>
      </w:r>
    </w:p>
    <w:p w14:paraId="0B52C3DE">
      <w:pPr>
        <w:pStyle w:val="22"/>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八、本公司保证本项目拟派的项目负责人和</w:t>
      </w:r>
      <w:r>
        <w:rPr>
          <w:rFonts w:hint="eastAsia" w:ascii="宋体" w:hAnsi="宋体"/>
          <w:color w:val="auto"/>
          <w:sz w:val="28"/>
          <w:szCs w:val="28"/>
          <w:highlight w:val="none"/>
          <w:lang w:eastAsia="zh-CN"/>
        </w:rPr>
        <w:t>专职</w:t>
      </w:r>
      <w:r>
        <w:rPr>
          <w:rFonts w:hint="eastAsia" w:ascii="宋体" w:hAnsi="宋体"/>
          <w:color w:val="auto"/>
          <w:sz w:val="28"/>
          <w:szCs w:val="28"/>
          <w:highlight w:val="none"/>
        </w:rPr>
        <w:t>安全员没有在其他在建项目中任职。</w:t>
      </w:r>
    </w:p>
    <w:p w14:paraId="58F40370">
      <w:pPr>
        <w:pStyle w:val="22"/>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九、本公司保证本项目投标文件编制、解释负责人按招标文件规定完成评标委员会提出的澄清要求（如有）。</w:t>
      </w:r>
    </w:p>
    <w:p w14:paraId="7484A844">
      <w:pPr>
        <w:pStyle w:val="22"/>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十、我司同意并授权招标人将我司响应招标文件要求的资格能力条件等信息进行公示。</w:t>
      </w:r>
    </w:p>
    <w:p w14:paraId="67707AB9">
      <w:pPr>
        <w:pStyle w:val="22"/>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14:paraId="2C3FF592">
      <w:pPr>
        <w:pStyle w:val="22"/>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特此声明</w:t>
      </w:r>
    </w:p>
    <w:p w14:paraId="1A8A94E9">
      <w:pPr>
        <w:pStyle w:val="22"/>
        <w:ind w:firstLine="560" w:firstLineChars="200"/>
        <w:rPr>
          <w:rFonts w:hint="eastAsia" w:ascii="宋体" w:hAnsi="宋体"/>
          <w:color w:val="auto"/>
          <w:sz w:val="28"/>
          <w:szCs w:val="28"/>
          <w:highlight w:val="none"/>
        </w:rPr>
      </w:pPr>
    </w:p>
    <w:p w14:paraId="5A4734BF">
      <w:pPr>
        <w:pStyle w:val="22"/>
        <w:ind w:right="140"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法定代表人签字：                       投标人：（盖章）           </w:t>
      </w:r>
    </w:p>
    <w:p w14:paraId="4936830A">
      <w:pPr>
        <w:pStyle w:val="22"/>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项目负责人签字：                       </w:t>
      </w:r>
    </w:p>
    <w:p w14:paraId="0E3A02D6">
      <w:pPr>
        <w:pStyle w:val="22"/>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技术负责人签字：                         </w:t>
      </w:r>
    </w:p>
    <w:p w14:paraId="1339FDF8">
      <w:pPr>
        <w:widowControl/>
        <w:spacing w:line="420" w:lineRule="exact"/>
        <w:jc w:val="left"/>
        <w:rPr>
          <w:rFonts w:ascii="宋体" w:hAnsi="宋体" w:eastAsia="宋体"/>
          <w:color w:val="auto"/>
          <w:kern w:val="0"/>
          <w:sz w:val="24"/>
          <w:szCs w:val="24"/>
          <w:highlight w:val="none"/>
        </w:rPr>
        <w:sectPr>
          <w:footerReference r:id="rId12" w:type="default"/>
          <w:endnotePr>
            <w:numFmt w:val="decimal"/>
          </w:endnotePr>
          <w:pgSz w:w="11850" w:h="16783"/>
          <w:pgMar w:top="1440" w:right="1418" w:bottom="1440" w:left="1418" w:header="851" w:footer="907" w:gutter="0"/>
          <w:pgNumType w:fmt="decimal"/>
          <w:cols w:space="720" w:num="1"/>
        </w:sectPr>
      </w:pPr>
      <w:r>
        <w:rPr>
          <w:rFonts w:hint="eastAsia" w:ascii="宋体" w:hAnsi="宋体"/>
          <w:color w:val="auto"/>
          <w:sz w:val="28"/>
          <w:szCs w:val="28"/>
          <w:highlight w:val="none"/>
        </w:rPr>
        <w:t xml:space="preserve">                                           </w:t>
      </w:r>
      <w:r>
        <w:rPr>
          <w:rFonts w:hint="eastAsia" w:ascii="宋体" w:hAnsi="宋体" w:eastAsia="仿宋_GB2312"/>
          <w:color w:val="auto"/>
          <w:kern w:val="0"/>
          <w:sz w:val="28"/>
          <w:szCs w:val="28"/>
          <w:highlight w:val="none"/>
        </w:rPr>
        <w:t>年   月   日</w:t>
      </w:r>
    </w:p>
    <w:p w14:paraId="57F0E0F3">
      <w:pPr>
        <w:outlineLvl w:val="2"/>
        <w:rPr>
          <w:rFonts w:ascii="宋体" w:hAnsi="宋体" w:eastAsia="宋体"/>
          <w:color w:val="auto"/>
          <w:sz w:val="24"/>
          <w:szCs w:val="24"/>
          <w:highlight w:val="none"/>
        </w:rPr>
      </w:pPr>
      <w:bookmarkStart w:id="282" w:name="_Toc24034"/>
      <w:bookmarkStart w:id="283" w:name="_Toc14047"/>
      <w:bookmarkStart w:id="284" w:name="_Toc4231"/>
      <w:bookmarkStart w:id="285" w:name="_Toc31234"/>
      <w:bookmarkStart w:id="286" w:name="_Toc10089"/>
      <w:bookmarkStart w:id="287" w:name="_Toc17394"/>
      <w:bookmarkStart w:id="288" w:name="_Toc300835213"/>
      <w:bookmarkStart w:id="289" w:name="_Toc247514283"/>
      <w:bookmarkStart w:id="290" w:name="_Toc507590785"/>
      <w:bookmarkStart w:id="291" w:name="_Toc144974860"/>
      <w:bookmarkStart w:id="292" w:name="_Toc247527831"/>
      <w:bookmarkStart w:id="293" w:name="_Toc507162845"/>
      <w:bookmarkStart w:id="294" w:name="_Toc152045791"/>
      <w:bookmarkStart w:id="295" w:name="_Toc152042580"/>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 xml:space="preserve"> 法人代表证明书及法定代表人授权书</w:t>
      </w:r>
      <w:bookmarkEnd w:id="282"/>
      <w:bookmarkEnd w:id="283"/>
      <w:bookmarkEnd w:id="284"/>
      <w:bookmarkEnd w:id="285"/>
      <w:bookmarkEnd w:id="286"/>
      <w:bookmarkEnd w:id="287"/>
    </w:p>
    <w:p w14:paraId="5D8DFA42">
      <w:pPr>
        <w:adjustRightInd w:val="0"/>
        <w:snapToGrid w:val="0"/>
        <w:spacing w:line="360" w:lineRule="auto"/>
        <w:jc w:val="center"/>
        <w:rPr>
          <w:rFonts w:hint="eastAsia" w:ascii="宋体" w:hAnsi="宋体"/>
          <w:b/>
          <w:color w:val="auto"/>
          <w:sz w:val="32"/>
          <w:highlight w:val="none"/>
        </w:rPr>
      </w:pPr>
    </w:p>
    <w:p w14:paraId="59B66829">
      <w:pPr>
        <w:adjustRightInd w:val="0"/>
        <w:snapToGrid w:val="0"/>
        <w:spacing w:line="360" w:lineRule="auto"/>
        <w:jc w:val="center"/>
        <w:rPr>
          <w:rFonts w:hint="eastAsia" w:ascii="宋体" w:hAnsi="宋体"/>
          <w:b/>
          <w:color w:val="auto"/>
          <w:sz w:val="32"/>
          <w:highlight w:val="none"/>
        </w:rPr>
      </w:pPr>
      <w:r>
        <w:rPr>
          <w:rFonts w:hint="eastAsia" w:ascii="宋体" w:hAnsi="宋体"/>
          <w:b/>
          <w:color w:val="auto"/>
          <w:sz w:val="32"/>
          <w:highlight w:val="none"/>
        </w:rPr>
        <w:t>法定代表人证明</w:t>
      </w:r>
      <w:bookmarkEnd w:id="288"/>
      <w:bookmarkEnd w:id="289"/>
      <w:bookmarkEnd w:id="290"/>
      <w:bookmarkEnd w:id="291"/>
      <w:bookmarkEnd w:id="292"/>
      <w:bookmarkEnd w:id="293"/>
      <w:bookmarkEnd w:id="294"/>
      <w:bookmarkEnd w:id="295"/>
      <w:r>
        <w:rPr>
          <w:rFonts w:hint="eastAsia" w:ascii="宋体" w:hAnsi="宋体"/>
          <w:b/>
          <w:color w:val="auto"/>
          <w:sz w:val="32"/>
          <w:highlight w:val="none"/>
        </w:rPr>
        <w:t>书</w:t>
      </w:r>
    </w:p>
    <w:p w14:paraId="1431CC70">
      <w:pPr>
        <w:adjustRightInd w:val="0"/>
        <w:snapToGrid w:val="0"/>
        <w:spacing w:line="360" w:lineRule="auto"/>
        <w:ind w:firstLine="400" w:firstLineChars="200"/>
        <w:rPr>
          <w:color w:val="auto"/>
          <w:sz w:val="20"/>
          <w:highlight w:val="none"/>
        </w:rPr>
      </w:pPr>
    </w:p>
    <w:p w14:paraId="44AA1842">
      <w:pPr>
        <w:adjustRightInd w:val="0"/>
        <w:snapToGrid w:val="0"/>
        <w:spacing w:line="360" w:lineRule="auto"/>
        <w:ind w:firstLine="480" w:firstLineChars="200"/>
        <w:rPr>
          <w:color w:val="auto"/>
          <w:sz w:val="24"/>
          <w:szCs w:val="24"/>
          <w:highlight w:val="none"/>
        </w:rPr>
      </w:pPr>
    </w:p>
    <w:p w14:paraId="192E9AD4">
      <w:pPr>
        <w:adjustRightInd w:val="0"/>
        <w:snapToGrid w:val="0"/>
        <w:spacing w:line="360" w:lineRule="auto"/>
        <w:ind w:firstLine="480" w:firstLineChars="200"/>
        <w:rPr>
          <w:color w:val="auto"/>
          <w:sz w:val="24"/>
          <w:szCs w:val="24"/>
          <w:highlight w:val="none"/>
          <w:u w:val="single"/>
        </w:rPr>
      </w:pPr>
      <w:r>
        <w:rPr>
          <w:rFonts w:hint="eastAsia" w:ascii="宋体" w:hAnsi="宋体" w:eastAsia="宋体"/>
          <w:color w:val="auto"/>
          <w:sz w:val="24"/>
          <w:szCs w:val="24"/>
          <w:highlight w:val="none"/>
          <w:u w:val="single"/>
        </w:rPr>
        <w:t xml:space="preserve">          </w:t>
      </w:r>
      <w:r>
        <w:rPr>
          <w:rFonts w:hint="eastAsia"/>
          <w:color w:val="auto"/>
          <w:sz w:val="24"/>
          <w:szCs w:val="24"/>
          <w:highlight w:val="none"/>
        </w:rPr>
        <w:t>（姓名）现任我单位</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职务，为我单位法定代表人，特此证明。</w:t>
      </w:r>
    </w:p>
    <w:p w14:paraId="36A6528D">
      <w:pPr>
        <w:adjustRightInd w:val="0"/>
        <w:snapToGrid w:val="0"/>
        <w:spacing w:line="360" w:lineRule="auto"/>
        <w:ind w:firstLine="480" w:firstLineChars="200"/>
        <w:rPr>
          <w:rFonts w:hint="eastAsia" w:eastAsia="宋体"/>
          <w:color w:val="auto"/>
          <w:sz w:val="24"/>
          <w:szCs w:val="24"/>
          <w:highlight w:val="none"/>
          <w:u w:val="single"/>
        </w:rPr>
      </w:pPr>
      <w:r>
        <w:rPr>
          <w:rFonts w:hint="eastAsia"/>
          <w:color w:val="auto"/>
          <w:sz w:val="24"/>
          <w:szCs w:val="24"/>
          <w:highlight w:val="none"/>
        </w:rPr>
        <w:t>有效期限：</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w:t>
      </w:r>
    </w:p>
    <w:p w14:paraId="44726879">
      <w:pPr>
        <w:adjustRightInd w:val="0"/>
        <w:snapToGrid w:val="0"/>
        <w:spacing w:line="360" w:lineRule="auto"/>
        <w:ind w:firstLine="480" w:firstLineChars="200"/>
        <w:rPr>
          <w:rFonts w:hint="eastAsia"/>
          <w:color w:val="auto"/>
          <w:sz w:val="24"/>
          <w:szCs w:val="24"/>
          <w:highlight w:val="none"/>
        </w:rPr>
      </w:pPr>
    </w:p>
    <w:p w14:paraId="6ECE734D">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法定代表人性别：</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，年龄：</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color w:val="auto"/>
          <w:sz w:val="24"/>
          <w:szCs w:val="24"/>
          <w:highlight w:val="none"/>
        </w:rPr>
        <w:t>，身份证号码：</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 xml:space="preserve">。 </w:t>
      </w:r>
    </w:p>
    <w:p w14:paraId="3B0C2707">
      <w:pPr>
        <w:adjustRightInd w:val="0"/>
        <w:snapToGrid w:val="0"/>
        <w:spacing w:line="360" w:lineRule="auto"/>
        <w:ind w:firstLine="480" w:firstLineChars="200"/>
        <w:rPr>
          <w:rFonts w:hint="eastAsia" w:eastAsia="宋体"/>
          <w:color w:val="auto"/>
          <w:sz w:val="24"/>
          <w:szCs w:val="24"/>
          <w:highlight w:val="none"/>
          <w:u w:val="single"/>
        </w:rPr>
      </w:pPr>
      <w:r>
        <w:rPr>
          <w:rFonts w:hint="eastAsia"/>
          <w:color w:val="auto"/>
          <w:sz w:val="24"/>
          <w:szCs w:val="24"/>
          <w:highlight w:val="none"/>
        </w:rPr>
        <w:t>企业统一社会信用代码：</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color w:val="auto"/>
          <w:sz w:val="24"/>
          <w:szCs w:val="24"/>
          <w:highlight w:val="none"/>
        </w:rPr>
        <w:t>，企业类型：</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w:t>
      </w:r>
    </w:p>
    <w:p w14:paraId="26444EA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color w:val="auto"/>
          <w:sz w:val="24"/>
          <w:szCs w:val="24"/>
          <w:highlight w:val="none"/>
        </w:rPr>
        <w:t>经营范围：</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w:t>
      </w:r>
    </w:p>
    <w:p w14:paraId="61EE2912">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附：法定代表人身份证复印件</w:t>
      </w:r>
    </w:p>
    <w:p w14:paraId="1F6818A6">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6C8700E9">
      <w:pPr>
        <w:adjustRightInd w:val="0"/>
        <w:snapToGrid w:val="0"/>
        <w:spacing w:line="360" w:lineRule="auto"/>
        <w:rPr>
          <w:rFonts w:hint="eastAsia" w:ascii="宋体" w:hAnsi="宋体" w:eastAsia="宋体" w:cs="宋体"/>
          <w:color w:val="auto"/>
          <w:sz w:val="24"/>
          <w:szCs w:val="24"/>
          <w:highlight w:val="none"/>
        </w:rPr>
      </w:pPr>
    </w:p>
    <w:p w14:paraId="22804E5A">
      <w:pPr>
        <w:adjustRightInd w:val="0"/>
        <w:snapToGrid w:val="0"/>
        <w:spacing w:line="360" w:lineRule="auto"/>
        <w:rPr>
          <w:rFonts w:hint="eastAsia" w:ascii="宋体" w:hAnsi="宋体" w:eastAsia="宋体" w:cs="宋体"/>
          <w:color w:val="auto"/>
          <w:sz w:val="24"/>
          <w:szCs w:val="24"/>
          <w:highlight w:val="none"/>
        </w:rPr>
      </w:pPr>
    </w:p>
    <w:p w14:paraId="2C84F242">
      <w:pPr>
        <w:adjustRightInd w:val="0"/>
        <w:snapToGrid w:val="0"/>
        <w:spacing w:line="360" w:lineRule="auto"/>
        <w:rPr>
          <w:rFonts w:hint="eastAsia" w:ascii="宋体" w:hAnsi="宋体" w:eastAsia="宋体" w:cs="宋体"/>
          <w:color w:val="auto"/>
          <w:sz w:val="24"/>
          <w:szCs w:val="24"/>
          <w:highlight w:val="none"/>
        </w:rPr>
      </w:pPr>
    </w:p>
    <w:p w14:paraId="756B076E">
      <w:pPr>
        <w:adjustRightInd w:val="0"/>
        <w:snapToGrid w:val="0"/>
        <w:spacing w:line="360" w:lineRule="auto"/>
        <w:rPr>
          <w:rFonts w:hint="eastAsia" w:ascii="宋体" w:hAnsi="宋体" w:eastAsia="宋体" w:cs="宋体"/>
          <w:color w:val="auto"/>
          <w:sz w:val="24"/>
          <w:szCs w:val="24"/>
          <w:highlight w:val="none"/>
        </w:rPr>
      </w:pPr>
    </w:p>
    <w:p w14:paraId="3CA198A5">
      <w:pPr>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rPr>
        <w:t>投标人：（盖章）</w:t>
      </w:r>
      <w:r>
        <w:rPr>
          <w:rFonts w:hint="eastAsia"/>
          <w:color w:val="auto"/>
          <w:sz w:val="24"/>
          <w:szCs w:val="24"/>
          <w:highlight w:val="none"/>
          <w:u w:val="single"/>
        </w:rPr>
        <w:t xml:space="preserve">                               </w:t>
      </w:r>
    </w:p>
    <w:p w14:paraId="00E2F885">
      <w:pPr>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rPr>
        <w:t>法定代表人：（签字或盖章）</w:t>
      </w:r>
      <w:r>
        <w:rPr>
          <w:rFonts w:hint="eastAsia"/>
          <w:color w:val="auto"/>
          <w:sz w:val="24"/>
          <w:szCs w:val="24"/>
          <w:highlight w:val="none"/>
          <w:u w:val="single"/>
        </w:rPr>
        <w:t xml:space="preserve">                     </w:t>
      </w:r>
    </w:p>
    <w:p w14:paraId="492A8BE2">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p>
    <w:p w14:paraId="3969DE6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C7829EB">
      <w:pPr>
        <w:adjustRightInd w:val="0"/>
        <w:snapToGrid w:val="0"/>
        <w:spacing w:line="360" w:lineRule="auto"/>
        <w:ind w:firstLine="480" w:firstLineChars="200"/>
        <w:jc w:val="center"/>
        <w:rPr>
          <w:rFonts w:hint="eastAsia" w:ascii="宋体" w:hAnsi="宋体" w:eastAsia="宋体" w:cs="宋体"/>
          <w:color w:val="auto"/>
          <w:sz w:val="24"/>
          <w:szCs w:val="24"/>
          <w:highlight w:val="none"/>
          <w:u w:val="single"/>
        </w:rPr>
      </w:pPr>
    </w:p>
    <w:p w14:paraId="68F0F4C0">
      <w:pPr>
        <w:adjustRightInd w:val="0"/>
        <w:snapToGrid w:val="0"/>
        <w:spacing w:line="360" w:lineRule="auto"/>
        <w:ind w:firstLine="480" w:firstLineChars="200"/>
        <w:jc w:val="center"/>
        <w:rPr>
          <w:rFonts w:hint="eastAsia" w:ascii="宋体" w:hAnsi="宋体" w:eastAsia="宋体" w:cs="宋体"/>
          <w:color w:val="auto"/>
          <w:sz w:val="24"/>
          <w:szCs w:val="24"/>
          <w:highlight w:val="none"/>
        </w:rPr>
      </w:pPr>
      <w:r>
        <w:rPr>
          <w:rFonts w:hint="eastAsia"/>
          <w:color w:val="auto"/>
          <w:sz w:val="24"/>
          <w:szCs w:val="24"/>
          <w:highlight w:val="none"/>
        </w:rPr>
        <w:t xml:space="preserve">                                                  </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r>
        <w:rPr>
          <w:rFonts w:hint="eastAsia" w:ascii="宋体" w:hAnsi="宋体" w:eastAsia="宋体" w:cs="宋体"/>
          <w:color w:val="auto"/>
          <w:sz w:val="24"/>
          <w:szCs w:val="24"/>
          <w:highlight w:val="none"/>
        </w:rPr>
        <w:br w:type="page"/>
      </w:r>
      <w:bookmarkStart w:id="296" w:name="_Toc507590786"/>
      <w:bookmarkStart w:id="297" w:name="_Toc247514284"/>
      <w:bookmarkStart w:id="298" w:name="_Toc300835214"/>
      <w:bookmarkStart w:id="299" w:name="_Toc247527832"/>
      <w:bookmarkStart w:id="300" w:name="_Toc144974861"/>
      <w:bookmarkStart w:id="301" w:name="_Toc152045792"/>
      <w:bookmarkStart w:id="302" w:name="_Toc507162846"/>
      <w:bookmarkStart w:id="303" w:name="_Toc152042581"/>
    </w:p>
    <w:p w14:paraId="52A66121">
      <w:pPr>
        <w:adjustRightInd w:val="0"/>
        <w:snapToGrid w:val="0"/>
        <w:spacing w:line="360" w:lineRule="auto"/>
        <w:ind w:firstLine="643" w:firstLineChars="200"/>
        <w:jc w:val="center"/>
        <w:rPr>
          <w:rFonts w:hint="eastAsia" w:ascii="宋体" w:hAnsi="宋体"/>
          <w:b/>
          <w:color w:val="auto"/>
          <w:sz w:val="32"/>
          <w:highlight w:val="none"/>
        </w:rPr>
      </w:pPr>
      <w:r>
        <w:rPr>
          <w:rFonts w:hint="eastAsia" w:ascii="宋体" w:hAnsi="宋体"/>
          <w:b/>
          <w:color w:val="auto"/>
          <w:sz w:val="32"/>
          <w:highlight w:val="none"/>
        </w:rPr>
        <w:t>法定代表人授权书</w:t>
      </w:r>
      <w:bookmarkEnd w:id="296"/>
      <w:bookmarkEnd w:id="297"/>
      <w:bookmarkEnd w:id="298"/>
      <w:bookmarkEnd w:id="299"/>
      <w:bookmarkEnd w:id="300"/>
      <w:bookmarkEnd w:id="301"/>
      <w:bookmarkEnd w:id="302"/>
      <w:bookmarkEnd w:id="303"/>
    </w:p>
    <w:p w14:paraId="26B9C216">
      <w:pPr>
        <w:adjustRightInd w:val="0"/>
        <w:snapToGrid w:val="0"/>
        <w:spacing w:line="360" w:lineRule="auto"/>
        <w:ind w:firstLine="480" w:firstLineChars="200"/>
        <w:rPr>
          <w:rFonts w:eastAsia="黑体"/>
          <w:color w:val="auto"/>
          <w:sz w:val="24"/>
          <w:highlight w:val="none"/>
        </w:rPr>
      </w:pPr>
    </w:p>
    <w:p w14:paraId="2EA8DBED">
      <w:pPr>
        <w:topLinePunct/>
        <w:adjustRightInd w:val="0"/>
        <w:snapToGrid w:val="0"/>
        <w:spacing w:line="360" w:lineRule="auto"/>
        <w:ind w:firstLine="480" w:firstLineChars="200"/>
        <w:rPr>
          <w:rFonts w:hint="eastAsia"/>
          <w:color w:val="auto"/>
          <w:sz w:val="24"/>
          <w:highlight w:val="none"/>
        </w:rPr>
      </w:pPr>
    </w:p>
    <w:p w14:paraId="3EE11848">
      <w:pPr>
        <w:topLinePunct/>
        <w:adjustRightInd w:val="0"/>
        <w:snapToGrid w:val="0"/>
        <w:spacing w:line="360" w:lineRule="auto"/>
        <w:ind w:firstLine="480" w:firstLineChars="200"/>
        <w:rPr>
          <w:color w:val="auto"/>
          <w:sz w:val="24"/>
          <w:highlight w:val="none"/>
        </w:rPr>
      </w:pPr>
      <w:r>
        <w:rPr>
          <w:rFonts w:hint="eastAsia"/>
          <w:color w:val="auto"/>
          <w:sz w:val="24"/>
          <w:highlight w:val="none"/>
        </w:rPr>
        <w:t>本人</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color w:val="auto"/>
          <w:sz w:val="24"/>
          <w:highlight w:val="none"/>
        </w:rPr>
        <w:t>（姓名）</w:t>
      </w:r>
      <w:r>
        <w:rPr>
          <w:rFonts w:hint="eastAsia"/>
          <w:color w:val="auto"/>
          <w:sz w:val="24"/>
          <w:highlight w:val="none"/>
        </w:rPr>
        <w:t>为</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color w:val="auto"/>
          <w:sz w:val="24"/>
          <w:highlight w:val="none"/>
        </w:rPr>
        <w:t>（投标人名称）的法定代表人，现</w:t>
      </w:r>
      <w:r>
        <w:rPr>
          <w:rFonts w:hint="eastAsia"/>
          <w:color w:val="auto"/>
          <w:sz w:val="24"/>
          <w:highlight w:val="none"/>
        </w:rPr>
        <w:t>授</w:t>
      </w:r>
    </w:p>
    <w:p w14:paraId="5BE56F56">
      <w:pPr>
        <w:adjustRightInd w:val="0"/>
        <w:snapToGrid w:val="0"/>
        <w:spacing w:line="360" w:lineRule="auto"/>
        <w:rPr>
          <w:color w:val="auto"/>
          <w:sz w:val="24"/>
          <w:highlight w:val="none"/>
        </w:rPr>
      </w:pPr>
      <w:r>
        <w:rPr>
          <w:rFonts w:hint="eastAsia"/>
          <w:color w:val="auto"/>
          <w:sz w:val="24"/>
          <w:highlight w:val="none"/>
        </w:rPr>
        <w:t>权</w:t>
      </w:r>
      <w:r>
        <w:rPr>
          <w:color w:val="auto"/>
          <w:sz w:val="24"/>
          <w:highlight w:val="none"/>
          <w:u w:val="single"/>
        </w:rPr>
        <w:t xml:space="preserve">        </w:t>
      </w:r>
      <w:r>
        <w:rPr>
          <w:color w:val="auto"/>
          <w:sz w:val="24"/>
          <w:highlight w:val="none"/>
        </w:rPr>
        <w:t>（姓名）为我方</w:t>
      </w:r>
      <w:r>
        <w:rPr>
          <w:rFonts w:hint="eastAsia"/>
          <w:color w:val="auto"/>
          <w:sz w:val="24"/>
          <w:highlight w:val="none"/>
        </w:rPr>
        <w:t>委托</w:t>
      </w:r>
      <w:r>
        <w:rPr>
          <w:color w:val="auto"/>
          <w:sz w:val="24"/>
          <w:highlight w:val="none"/>
        </w:rPr>
        <w:t>代理人。</w:t>
      </w:r>
      <w:r>
        <w:rPr>
          <w:rFonts w:hint="eastAsia"/>
          <w:color w:val="auto"/>
          <w:sz w:val="24"/>
          <w:highlight w:val="none"/>
        </w:rPr>
        <w:t>委托</w:t>
      </w:r>
      <w:r>
        <w:rPr>
          <w:color w:val="auto"/>
          <w:sz w:val="24"/>
          <w:highlight w:val="none"/>
        </w:rPr>
        <w:t>代理人根据授权，以我方名义签署、澄清</w:t>
      </w:r>
      <w:r>
        <w:rPr>
          <w:rFonts w:hint="eastAsia"/>
          <w:color w:val="auto"/>
          <w:sz w:val="24"/>
          <w:highlight w:val="none"/>
        </w:rPr>
        <w:t>、说明、补正</w:t>
      </w:r>
      <w:r>
        <w:rPr>
          <w:color w:val="auto"/>
          <w:sz w:val="24"/>
          <w:highlight w:val="none"/>
        </w:rPr>
        <w:t>、递交、撤回、修改</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（项目名称）投标文件</w:t>
      </w:r>
      <w:r>
        <w:rPr>
          <w:rFonts w:hint="eastAsia"/>
          <w:color w:val="auto"/>
          <w:sz w:val="24"/>
          <w:highlight w:val="none"/>
        </w:rPr>
        <w:t>，并</w:t>
      </w:r>
      <w:r>
        <w:rPr>
          <w:color w:val="auto"/>
          <w:sz w:val="24"/>
          <w:highlight w:val="none"/>
        </w:rPr>
        <w:t>处理有关事宜，其法律后果由我方承担。</w:t>
      </w:r>
      <w:r>
        <w:rPr>
          <w:rFonts w:hint="eastAsia"/>
          <w:color w:val="auto"/>
          <w:sz w:val="24"/>
          <w:highlight w:val="none"/>
        </w:rPr>
        <w:t>委托</w:t>
      </w:r>
      <w:r>
        <w:rPr>
          <w:color w:val="auto"/>
          <w:sz w:val="24"/>
          <w:highlight w:val="none"/>
        </w:rPr>
        <w:t>代理人无转委托权。</w:t>
      </w:r>
    </w:p>
    <w:p w14:paraId="0FE1BEBC">
      <w:pPr>
        <w:adjustRightInd w:val="0"/>
        <w:snapToGrid w:val="0"/>
        <w:spacing w:line="360" w:lineRule="auto"/>
        <w:ind w:firstLine="480" w:firstLineChars="200"/>
        <w:rPr>
          <w:color w:val="auto"/>
          <w:sz w:val="24"/>
          <w:highlight w:val="none"/>
        </w:rPr>
      </w:pPr>
      <w:r>
        <w:rPr>
          <w:rFonts w:hint="eastAsia"/>
          <w:color w:val="auto"/>
          <w:sz w:val="24"/>
          <w:highlight w:val="none"/>
        </w:rPr>
        <w:t>有效</w:t>
      </w:r>
      <w:r>
        <w:rPr>
          <w:color w:val="auto"/>
          <w:sz w:val="24"/>
          <w:highlight w:val="none"/>
        </w:rPr>
        <w:t>期限：</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14:paraId="06D966A3">
      <w:pPr>
        <w:adjustRightInd w:val="0"/>
        <w:snapToGrid w:val="0"/>
        <w:spacing w:line="360" w:lineRule="auto"/>
        <w:rPr>
          <w:color w:val="auto"/>
          <w:sz w:val="24"/>
          <w:highlight w:val="none"/>
        </w:rPr>
      </w:pPr>
    </w:p>
    <w:p w14:paraId="69FA5CF3">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委托代理人性别：</w:t>
      </w:r>
      <w:r>
        <w:rPr>
          <w:rFonts w:hint="eastAsia"/>
          <w:color w:val="auto"/>
          <w:sz w:val="24"/>
          <w:szCs w:val="24"/>
          <w:highlight w:val="none"/>
          <w:u w:val="single"/>
        </w:rPr>
        <w:t xml:space="preserve">　   </w:t>
      </w:r>
      <w:r>
        <w:rPr>
          <w:rFonts w:hint="eastAsia"/>
          <w:color w:val="auto"/>
          <w:sz w:val="24"/>
          <w:szCs w:val="24"/>
          <w:highlight w:val="none"/>
        </w:rPr>
        <w:t>，年龄：</w:t>
      </w:r>
      <w:r>
        <w:rPr>
          <w:rFonts w:hint="eastAsia"/>
          <w:color w:val="auto"/>
          <w:sz w:val="24"/>
          <w:szCs w:val="24"/>
          <w:highlight w:val="none"/>
          <w:u w:val="single"/>
        </w:rPr>
        <w:t xml:space="preserve">　  </w:t>
      </w:r>
      <w:r>
        <w:rPr>
          <w:rFonts w:hint="eastAsia"/>
          <w:color w:val="auto"/>
          <w:sz w:val="24"/>
          <w:szCs w:val="24"/>
          <w:highlight w:val="none"/>
        </w:rPr>
        <w:t>，身份证号码：</w:t>
      </w:r>
      <w:r>
        <w:rPr>
          <w:rFonts w:hint="eastAsia"/>
          <w:color w:val="auto"/>
          <w:sz w:val="24"/>
          <w:szCs w:val="24"/>
          <w:highlight w:val="none"/>
          <w:u w:val="single"/>
        </w:rPr>
        <w:t xml:space="preserve">        </w:t>
      </w:r>
      <w:r>
        <w:rPr>
          <w:rFonts w:hint="eastAsia"/>
          <w:color w:val="auto"/>
          <w:sz w:val="24"/>
          <w:szCs w:val="24"/>
          <w:highlight w:val="none"/>
        </w:rPr>
        <w:t xml:space="preserve">。 </w:t>
      </w:r>
    </w:p>
    <w:p w14:paraId="61D7F0B1">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附：委托代理人身份证复印件</w:t>
      </w:r>
    </w:p>
    <w:p w14:paraId="5E6B7A42">
      <w:pPr>
        <w:adjustRightInd w:val="0"/>
        <w:snapToGrid w:val="0"/>
        <w:spacing w:line="360" w:lineRule="auto"/>
        <w:rPr>
          <w:color w:val="auto"/>
          <w:sz w:val="24"/>
          <w:highlight w:val="none"/>
        </w:rPr>
      </w:pPr>
    </w:p>
    <w:p w14:paraId="332DC3DC">
      <w:pPr>
        <w:adjustRightInd w:val="0"/>
        <w:snapToGrid w:val="0"/>
        <w:spacing w:line="360" w:lineRule="auto"/>
        <w:rPr>
          <w:color w:val="auto"/>
          <w:sz w:val="24"/>
          <w:highlight w:val="none"/>
        </w:rPr>
      </w:pPr>
    </w:p>
    <w:p w14:paraId="2101F443">
      <w:pPr>
        <w:adjustRightInd w:val="0"/>
        <w:snapToGrid w:val="0"/>
        <w:spacing w:line="360" w:lineRule="auto"/>
        <w:rPr>
          <w:color w:val="auto"/>
          <w:sz w:val="24"/>
          <w:highlight w:val="none"/>
        </w:rPr>
      </w:pPr>
    </w:p>
    <w:p w14:paraId="491CEBB6">
      <w:pPr>
        <w:adjustRightInd w:val="0"/>
        <w:snapToGrid w:val="0"/>
        <w:spacing w:line="360" w:lineRule="auto"/>
        <w:rPr>
          <w:color w:val="auto"/>
          <w:sz w:val="24"/>
          <w:highlight w:val="none"/>
        </w:rPr>
      </w:pPr>
    </w:p>
    <w:p w14:paraId="4B0D2790">
      <w:pPr>
        <w:adjustRightInd w:val="0"/>
        <w:snapToGrid w:val="0"/>
        <w:spacing w:line="360" w:lineRule="auto"/>
        <w:rPr>
          <w:color w:val="auto"/>
          <w:sz w:val="24"/>
          <w:highlight w:val="none"/>
        </w:rPr>
      </w:pPr>
    </w:p>
    <w:p w14:paraId="0B4FC36B">
      <w:pPr>
        <w:adjustRightInd w:val="0"/>
        <w:snapToGrid w:val="0"/>
        <w:spacing w:line="360" w:lineRule="auto"/>
        <w:ind w:firstLine="480" w:firstLineChars="200"/>
        <w:rPr>
          <w:color w:val="auto"/>
          <w:sz w:val="24"/>
          <w:highlight w:val="none"/>
        </w:rPr>
      </w:pPr>
      <w:r>
        <w:rPr>
          <w:color w:val="auto"/>
          <w:sz w:val="24"/>
          <w:highlight w:val="none"/>
        </w:rPr>
        <w:t>投标人：（盖章）</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p w14:paraId="4B1C2AA7">
      <w:pPr>
        <w:adjustRightInd w:val="0"/>
        <w:snapToGrid w:val="0"/>
        <w:spacing w:line="360" w:lineRule="auto"/>
        <w:ind w:firstLine="480" w:firstLineChars="200"/>
        <w:rPr>
          <w:color w:val="auto"/>
          <w:sz w:val="24"/>
          <w:highlight w:val="none"/>
        </w:rPr>
      </w:pPr>
      <w:r>
        <w:rPr>
          <w:color w:val="auto"/>
          <w:sz w:val="24"/>
          <w:highlight w:val="none"/>
        </w:rPr>
        <w:t>法定代表人：（签字</w:t>
      </w:r>
      <w:r>
        <w:rPr>
          <w:rFonts w:hint="eastAsia"/>
          <w:color w:val="auto"/>
          <w:sz w:val="24"/>
          <w:highlight w:val="none"/>
        </w:rPr>
        <w:t>或盖章</w:t>
      </w:r>
      <w:r>
        <w:rPr>
          <w:color w:val="auto"/>
          <w:sz w:val="24"/>
          <w:highlight w:val="none"/>
        </w:rPr>
        <w:t>）</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p w14:paraId="2DF9F633">
      <w:pPr>
        <w:adjustRightInd w:val="0"/>
        <w:snapToGrid w:val="0"/>
        <w:spacing w:line="360" w:lineRule="auto"/>
        <w:ind w:firstLine="480" w:firstLineChars="200"/>
        <w:rPr>
          <w:color w:val="auto"/>
          <w:sz w:val="24"/>
          <w:highlight w:val="none"/>
        </w:rPr>
      </w:pPr>
      <w:r>
        <w:rPr>
          <w:color w:val="auto"/>
          <w:sz w:val="24"/>
          <w:highlight w:val="none"/>
        </w:rPr>
        <w:t>委托代理人：</w:t>
      </w:r>
      <w:r>
        <w:rPr>
          <w:rFonts w:hint="eastAsia"/>
          <w:color w:val="auto"/>
          <w:sz w:val="24"/>
          <w:highlight w:val="none"/>
        </w:rPr>
        <w:t>（签字或盖章）</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p w14:paraId="3E43330C">
      <w:pPr>
        <w:adjustRightInd w:val="0"/>
        <w:snapToGrid w:val="0"/>
        <w:spacing w:line="360" w:lineRule="auto"/>
        <w:ind w:firstLine="480" w:firstLineChars="200"/>
        <w:rPr>
          <w:rFonts w:hint="eastAsia"/>
          <w:color w:val="auto"/>
          <w:sz w:val="24"/>
          <w:highlight w:val="none"/>
        </w:rPr>
      </w:pPr>
    </w:p>
    <w:p w14:paraId="197771E1">
      <w:pPr>
        <w:adjustRightInd w:val="0"/>
        <w:snapToGrid w:val="0"/>
        <w:spacing w:line="360" w:lineRule="auto"/>
        <w:ind w:firstLine="480" w:firstLineChars="200"/>
        <w:rPr>
          <w:rFonts w:hint="eastAsia"/>
          <w:color w:val="auto"/>
          <w:sz w:val="24"/>
          <w:highlight w:val="none"/>
        </w:rPr>
      </w:pPr>
    </w:p>
    <w:p w14:paraId="1D4FDD74">
      <w:pPr>
        <w:adjustRightInd w:val="0"/>
        <w:snapToGrid w:val="0"/>
        <w:spacing w:line="360" w:lineRule="auto"/>
        <w:ind w:firstLine="480" w:firstLineChars="200"/>
        <w:rPr>
          <w:color w:val="auto"/>
          <w:sz w:val="24"/>
          <w:highlight w:val="none"/>
        </w:rPr>
      </w:pPr>
    </w:p>
    <w:p w14:paraId="4B4D66E5">
      <w:pPr>
        <w:adjustRightInd w:val="0"/>
        <w:snapToGrid w:val="0"/>
        <w:spacing w:line="360" w:lineRule="auto"/>
        <w:ind w:firstLine="4320" w:firstLineChars="1800"/>
        <w:jc w:val="right"/>
        <w:rPr>
          <w:rFonts w:eastAsia="黑体"/>
          <w:color w:val="auto"/>
          <w:sz w:val="24"/>
          <w:highlight w:val="none"/>
        </w:rPr>
      </w:pP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5AB4B0EA">
      <w:pPr>
        <w:pStyle w:val="14"/>
        <w:rPr>
          <w:rFonts w:hint="eastAsia"/>
          <w:color w:val="auto"/>
          <w:highlight w:val="none"/>
        </w:rPr>
        <w:sectPr>
          <w:pgSz w:w="11850" w:h="16783"/>
          <w:pgMar w:top="1417" w:right="1290" w:bottom="1417" w:left="1290" w:header="851" w:footer="992" w:gutter="0"/>
          <w:pgNumType w:fmt="decimal"/>
          <w:cols w:space="720" w:num="1"/>
          <w:docGrid w:type="lines" w:linePitch="312" w:charSpace="0"/>
        </w:sectPr>
      </w:pPr>
    </w:p>
    <w:p w14:paraId="19190B51">
      <w:pPr>
        <w:outlineLvl w:val="2"/>
        <w:rPr>
          <w:rFonts w:hint="eastAsia" w:ascii="宋体" w:hAnsi="宋体" w:eastAsia="宋体"/>
          <w:strike/>
          <w:dstrike w:val="0"/>
          <w:color w:val="auto"/>
          <w:sz w:val="24"/>
          <w:szCs w:val="24"/>
          <w:highlight w:val="none"/>
        </w:rPr>
      </w:pPr>
      <w:bookmarkStart w:id="304" w:name="_第五章__技术条件（工程建设标准）"/>
      <w:bookmarkEnd w:id="304"/>
      <w:bookmarkStart w:id="305" w:name="_Toc10827"/>
      <w:bookmarkStart w:id="306" w:name="_Toc17079"/>
      <w:bookmarkStart w:id="307" w:name="_Toc24538"/>
      <w:bookmarkStart w:id="308" w:name="_Toc1260"/>
      <w:bookmarkStart w:id="309" w:name="_Toc10195"/>
      <w:bookmarkStart w:id="310" w:name="_Toc19656"/>
      <w:bookmarkStart w:id="311" w:name="_Toc6556"/>
      <w:bookmarkStart w:id="312" w:name="_Toc25823"/>
      <w:bookmarkStart w:id="313" w:name="_Toc23174"/>
      <w:bookmarkStart w:id="314" w:name="_Toc19497"/>
      <w:bookmarkStart w:id="315" w:name="_Toc262229176"/>
      <w:r>
        <w:rPr>
          <w:rFonts w:hint="eastAsia" w:ascii="宋体" w:hAnsi="宋体" w:eastAsia="宋体"/>
          <w:strike/>
          <w:dstrike w:val="0"/>
          <w:color w:val="auto"/>
          <w:sz w:val="24"/>
          <w:szCs w:val="24"/>
          <w:highlight w:val="none"/>
        </w:rPr>
        <w:t>附件</w:t>
      </w:r>
      <w:r>
        <w:rPr>
          <w:rFonts w:hint="eastAsia" w:ascii="宋体" w:hAnsi="宋体" w:eastAsia="宋体"/>
          <w:strike/>
          <w:dstrike w:val="0"/>
          <w:color w:val="auto"/>
          <w:sz w:val="24"/>
          <w:szCs w:val="24"/>
          <w:highlight w:val="none"/>
          <w:lang w:val="en-US" w:eastAsia="zh-CN"/>
        </w:rPr>
        <w:t>16</w:t>
      </w:r>
      <w:r>
        <w:rPr>
          <w:rFonts w:hint="eastAsia" w:ascii="宋体" w:hAnsi="宋体" w:eastAsia="宋体"/>
          <w:strike/>
          <w:dstrike w:val="0"/>
          <w:color w:val="auto"/>
          <w:sz w:val="24"/>
          <w:szCs w:val="24"/>
          <w:highlight w:val="none"/>
        </w:rPr>
        <w:t xml:space="preserve"> 联合体投标协议</w:t>
      </w:r>
      <w:bookmarkEnd w:id="305"/>
      <w:bookmarkEnd w:id="306"/>
      <w:bookmarkEnd w:id="307"/>
      <w:bookmarkEnd w:id="308"/>
      <w:bookmarkEnd w:id="309"/>
      <w:bookmarkEnd w:id="310"/>
    </w:p>
    <w:p w14:paraId="191C2CB1">
      <w:pPr>
        <w:jc w:val="center"/>
        <w:rPr>
          <w:rFonts w:hint="eastAsia" w:ascii="宋体" w:hAnsi="宋体"/>
          <w:b/>
          <w:bCs/>
          <w:strike/>
          <w:dstrike w:val="0"/>
          <w:color w:val="auto"/>
          <w:sz w:val="32"/>
          <w:highlight w:val="none"/>
        </w:rPr>
      </w:pPr>
    </w:p>
    <w:p w14:paraId="4C74BAD1">
      <w:pPr>
        <w:jc w:val="center"/>
        <w:rPr>
          <w:rFonts w:hint="eastAsia" w:ascii="宋体" w:hAnsi="宋体"/>
          <w:strike/>
          <w:dstrike w:val="0"/>
          <w:color w:val="auto"/>
          <w:sz w:val="24"/>
          <w:highlight w:val="none"/>
        </w:rPr>
      </w:pPr>
      <w:r>
        <w:rPr>
          <w:rFonts w:hint="eastAsia" w:ascii="宋体" w:hAnsi="宋体"/>
          <w:b/>
          <w:bCs/>
          <w:strike/>
          <w:dstrike w:val="0"/>
          <w:color w:val="auto"/>
          <w:sz w:val="32"/>
          <w:highlight w:val="none"/>
        </w:rPr>
        <w:t>联合体投标协议</w:t>
      </w:r>
    </w:p>
    <w:p w14:paraId="40325F1E">
      <w:pPr>
        <w:adjustRightInd w:val="0"/>
        <w:snapToGrid w:val="0"/>
        <w:spacing w:line="360" w:lineRule="auto"/>
        <w:rPr>
          <w:rFonts w:hint="eastAsia" w:ascii="宋体" w:hAnsi="宋体"/>
          <w:strike/>
          <w:dstrike w:val="0"/>
          <w:color w:val="auto"/>
          <w:sz w:val="24"/>
          <w:highlight w:val="none"/>
        </w:rPr>
      </w:pPr>
    </w:p>
    <w:p w14:paraId="7891D52B">
      <w:pPr>
        <w:topLinePunct/>
        <w:adjustRightInd w:val="0"/>
        <w:snapToGrid w:val="0"/>
        <w:spacing w:line="360" w:lineRule="auto"/>
        <w:rPr>
          <w:rFonts w:ascii="宋体" w:hAnsi="宋体"/>
          <w:strike/>
          <w:dstrike w:val="0"/>
          <w:color w:val="auto"/>
          <w:sz w:val="24"/>
          <w:highlight w:val="none"/>
        </w:rPr>
      </w:pPr>
      <w:r>
        <w:rPr>
          <w:rFonts w:hint="eastAsia" w:ascii="宋体" w:hAnsi="宋体"/>
          <w:strike/>
          <w:dstrike w:val="0"/>
          <w:color w:val="auto"/>
          <w:sz w:val="24"/>
          <w:highlight w:val="none"/>
        </w:rPr>
        <w:t xml:space="preserve">    </w:t>
      </w:r>
      <w:r>
        <w:rPr>
          <w:rFonts w:hint="eastAsia" w:hAnsi="宋体"/>
          <w:strike/>
          <w:dstrike w:val="0"/>
          <w:color w:val="auto"/>
          <w:sz w:val="24"/>
          <w:highlight w:val="none"/>
        </w:rPr>
        <w:t>我方自愿组成联合体共同参加</w:t>
      </w:r>
      <w:r>
        <w:rPr>
          <w:rFonts w:hint="eastAsia" w:hAnsi="宋体"/>
          <w:strike/>
          <w:dstrike w:val="0"/>
          <w:color w:val="auto"/>
          <w:sz w:val="24"/>
          <w:highlight w:val="none"/>
          <w:u w:val="single"/>
        </w:rPr>
        <w:t xml:space="preserve">          </w:t>
      </w:r>
      <w:r>
        <w:rPr>
          <w:rFonts w:hint="eastAsia" w:hAnsi="宋体"/>
          <w:strike/>
          <w:dstrike w:val="0"/>
          <w:color w:val="auto"/>
          <w:sz w:val="24"/>
          <w:highlight w:val="none"/>
        </w:rPr>
        <w:t>项目的投标，</w:t>
      </w:r>
      <w:r>
        <w:rPr>
          <w:rFonts w:ascii="宋体" w:hAnsi="宋体"/>
          <w:strike/>
          <w:dstrike w:val="0"/>
          <w:color w:val="auto"/>
          <w:sz w:val="24"/>
          <w:highlight w:val="none"/>
        </w:rPr>
        <w:t>现就联合体投标事宜订立如下协议。</w:t>
      </w:r>
    </w:p>
    <w:p w14:paraId="00B9901A">
      <w:pPr>
        <w:topLinePunct/>
        <w:adjustRightInd w:val="0"/>
        <w:snapToGrid w:val="0"/>
        <w:spacing w:line="360" w:lineRule="auto"/>
        <w:ind w:firstLine="480" w:firstLineChars="200"/>
        <w:rPr>
          <w:rFonts w:ascii="宋体" w:hAnsi="宋体"/>
          <w:strike/>
          <w:dstrike w:val="0"/>
          <w:color w:val="auto"/>
          <w:sz w:val="24"/>
          <w:highlight w:val="none"/>
        </w:rPr>
      </w:pPr>
      <w:r>
        <w:rPr>
          <w:rFonts w:ascii="宋体" w:hAnsi="宋体"/>
          <w:strike/>
          <w:dstrike w:val="0"/>
          <w:color w:val="auto"/>
          <w:sz w:val="24"/>
          <w:highlight w:val="none"/>
        </w:rPr>
        <w:t>1</w:t>
      </w:r>
      <w:r>
        <w:rPr>
          <w:rFonts w:hint="eastAsia" w:ascii="宋体" w:hAnsi="宋体"/>
          <w:strike/>
          <w:dstrike w:val="0"/>
          <w:color w:val="auto"/>
          <w:sz w:val="24"/>
          <w:highlight w:val="none"/>
        </w:rPr>
        <w:t>.</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r>
        <w:rPr>
          <w:rFonts w:ascii="宋体" w:hAnsi="宋体"/>
          <w:strike/>
          <w:dstrike w:val="0"/>
          <w:color w:val="auto"/>
          <w:sz w:val="24"/>
          <w:highlight w:val="none"/>
        </w:rPr>
        <w:t>为</w:t>
      </w:r>
      <w:r>
        <w:rPr>
          <w:rFonts w:hint="eastAsia" w:ascii="宋体" w:hAnsi="宋体"/>
          <w:strike/>
          <w:dstrike w:val="0"/>
          <w:color w:val="auto"/>
          <w:sz w:val="24"/>
          <w:highlight w:val="none"/>
        </w:rPr>
        <w:t>联合体主办方</w:t>
      </w:r>
      <w:r>
        <w:rPr>
          <w:rFonts w:ascii="宋体" w:hAnsi="宋体"/>
          <w:strike/>
          <w:dstrike w:val="0"/>
          <w:color w:val="auto"/>
          <w:sz w:val="24"/>
          <w:highlight w:val="none"/>
        </w:rPr>
        <w:t>。</w:t>
      </w:r>
    </w:p>
    <w:p w14:paraId="02FD1CEE">
      <w:pPr>
        <w:topLinePunct/>
        <w:adjustRightInd w:val="0"/>
        <w:snapToGrid w:val="0"/>
        <w:spacing w:line="360" w:lineRule="auto"/>
        <w:ind w:firstLine="480" w:firstLineChars="200"/>
        <w:rPr>
          <w:rFonts w:ascii="宋体" w:hAnsi="宋体"/>
          <w:strike/>
          <w:dstrike w:val="0"/>
          <w:color w:val="auto"/>
          <w:sz w:val="24"/>
          <w:highlight w:val="none"/>
        </w:rPr>
      </w:pPr>
      <w:r>
        <w:rPr>
          <w:rFonts w:ascii="宋体" w:hAnsi="宋体"/>
          <w:strike/>
          <w:dstrike w:val="0"/>
          <w:color w:val="auto"/>
          <w:sz w:val="24"/>
          <w:highlight w:val="none"/>
        </w:rPr>
        <w:t>联合体</w:t>
      </w:r>
      <w:r>
        <w:rPr>
          <w:rFonts w:hint="eastAsia" w:ascii="宋体" w:hAnsi="宋体"/>
          <w:strike/>
          <w:dstrike w:val="0"/>
          <w:color w:val="auto"/>
          <w:sz w:val="24"/>
          <w:highlight w:val="none"/>
        </w:rPr>
        <w:t>主办方合法代表联合体各成员负责本招标项目投标文件编制和合同谈判活动，并代表联合体提交和接收相关的资料、信息及指示，并处理与之有关的一切事务，</w:t>
      </w:r>
      <w:r>
        <w:rPr>
          <w:rFonts w:ascii="宋体" w:hAnsi="宋体"/>
          <w:strike/>
          <w:dstrike w:val="0"/>
          <w:color w:val="auto"/>
          <w:sz w:val="24"/>
          <w:highlight w:val="none"/>
        </w:rPr>
        <w:t>负责合同实施阶段的主办、组织和协调工作。</w:t>
      </w:r>
    </w:p>
    <w:p w14:paraId="0ED0C108">
      <w:pPr>
        <w:topLinePunct/>
        <w:adjustRightInd w:val="0"/>
        <w:snapToGrid w:val="0"/>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2.</w:t>
      </w:r>
      <w:r>
        <w:rPr>
          <w:rFonts w:ascii="宋体" w:hAnsi="宋体"/>
          <w:strike/>
          <w:dstrike w:val="0"/>
          <w:color w:val="auto"/>
          <w:sz w:val="24"/>
          <w:highlight w:val="none"/>
        </w:rPr>
        <w:t>联合体将严格按照招标文件的各项要求，递交投标文件，履行合同，并对外承担连带责任。</w:t>
      </w:r>
    </w:p>
    <w:p w14:paraId="551720F5">
      <w:pPr>
        <w:topLinePunct/>
        <w:adjustRightInd w:val="0"/>
        <w:snapToGrid w:val="0"/>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3.</w:t>
      </w:r>
      <w:r>
        <w:rPr>
          <w:rFonts w:ascii="宋体" w:hAnsi="宋体"/>
          <w:strike/>
          <w:dstrike w:val="0"/>
          <w:color w:val="auto"/>
          <w:sz w:val="24"/>
          <w:highlight w:val="none"/>
        </w:rPr>
        <w:t xml:space="preserve">本协议书自签署之日起生效，合同履行完毕后自动失效。 </w:t>
      </w:r>
    </w:p>
    <w:p w14:paraId="582720EC">
      <w:pPr>
        <w:topLinePunct/>
        <w:adjustRightInd w:val="0"/>
        <w:snapToGrid w:val="0"/>
        <w:spacing w:line="360" w:lineRule="auto"/>
        <w:ind w:firstLine="480" w:firstLineChars="200"/>
        <w:rPr>
          <w:rFonts w:hint="eastAsia" w:ascii="宋体" w:hAnsi="宋体"/>
          <w:strike/>
          <w:dstrike w:val="0"/>
          <w:color w:val="auto"/>
          <w:sz w:val="24"/>
          <w:highlight w:val="none"/>
        </w:rPr>
      </w:pPr>
      <w:r>
        <w:rPr>
          <w:rFonts w:hint="eastAsia" w:ascii="宋体" w:hAnsi="宋体"/>
          <w:strike/>
          <w:dstrike w:val="0"/>
          <w:color w:val="auto"/>
          <w:sz w:val="24"/>
          <w:highlight w:val="none"/>
        </w:rPr>
        <w:t>4.</w:t>
      </w:r>
      <w:r>
        <w:rPr>
          <w:rFonts w:ascii="宋体" w:hAnsi="宋体"/>
          <w:strike/>
          <w:dstrike w:val="0"/>
          <w:color w:val="auto"/>
          <w:sz w:val="24"/>
          <w:highlight w:val="none"/>
        </w:rPr>
        <w:t>本协议书一式</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r>
        <w:rPr>
          <w:rFonts w:ascii="宋体" w:hAnsi="宋体"/>
          <w:strike/>
          <w:dstrike w:val="0"/>
          <w:color w:val="auto"/>
          <w:sz w:val="24"/>
          <w:highlight w:val="none"/>
        </w:rPr>
        <w:t>份，联合体成员和招标人各执一份。</w:t>
      </w:r>
    </w:p>
    <w:p w14:paraId="1751A3D7">
      <w:pPr>
        <w:topLinePunct/>
        <w:adjustRightInd w:val="0"/>
        <w:snapToGrid w:val="0"/>
        <w:spacing w:line="360" w:lineRule="auto"/>
        <w:rPr>
          <w:rFonts w:ascii="宋体" w:hAnsi="宋体"/>
          <w:strike/>
          <w:dstrike w:val="0"/>
          <w:color w:val="auto"/>
          <w:sz w:val="24"/>
          <w:highlight w:val="none"/>
        </w:rPr>
      </w:pPr>
    </w:p>
    <w:p w14:paraId="3A36194B">
      <w:pPr>
        <w:topLinePunct/>
        <w:adjustRightInd w:val="0"/>
        <w:snapToGrid w:val="0"/>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主办方</w:t>
      </w:r>
      <w:r>
        <w:rPr>
          <w:rFonts w:ascii="宋体" w:hAnsi="宋体"/>
          <w:strike/>
          <w:dstrike w:val="0"/>
          <w:color w:val="auto"/>
          <w:sz w:val="24"/>
          <w:highlight w:val="none"/>
        </w:rPr>
        <w:t>名称：（盖章）</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p>
    <w:p w14:paraId="5AF810F7">
      <w:pPr>
        <w:topLinePunct/>
        <w:adjustRightInd w:val="0"/>
        <w:snapToGrid w:val="0"/>
        <w:spacing w:line="360" w:lineRule="auto"/>
        <w:ind w:firstLine="480" w:firstLineChars="200"/>
        <w:rPr>
          <w:rFonts w:ascii="宋体" w:hAnsi="宋体"/>
          <w:strike/>
          <w:dstrike w:val="0"/>
          <w:color w:val="auto"/>
          <w:sz w:val="24"/>
          <w:highlight w:val="none"/>
        </w:rPr>
      </w:pPr>
      <w:r>
        <w:rPr>
          <w:rFonts w:ascii="宋体" w:hAnsi="宋体"/>
          <w:strike/>
          <w:dstrike w:val="0"/>
          <w:color w:val="auto"/>
          <w:sz w:val="24"/>
          <w:highlight w:val="none"/>
        </w:rPr>
        <w:t>法定代表人：（签字</w:t>
      </w:r>
      <w:r>
        <w:rPr>
          <w:rFonts w:hint="eastAsia" w:ascii="宋体" w:hAnsi="宋体"/>
          <w:strike/>
          <w:dstrike w:val="0"/>
          <w:color w:val="auto"/>
          <w:sz w:val="24"/>
          <w:highlight w:val="none"/>
        </w:rPr>
        <w:t>或盖章</w:t>
      </w:r>
      <w:r>
        <w:rPr>
          <w:rFonts w:ascii="宋体" w:hAnsi="宋体"/>
          <w:strike/>
          <w:dstrike w:val="0"/>
          <w:color w:val="auto"/>
          <w:sz w:val="24"/>
          <w:highlight w:val="none"/>
        </w:rPr>
        <w:t>）</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p>
    <w:p w14:paraId="56532A3E">
      <w:pPr>
        <w:pStyle w:val="8"/>
        <w:adjustRightInd w:val="0"/>
        <w:snapToGrid w:val="0"/>
        <w:spacing w:line="360" w:lineRule="auto"/>
        <w:rPr>
          <w:rFonts w:hint="eastAsia" w:hAnsi="宋体"/>
          <w:strike/>
          <w:dstrike w:val="0"/>
          <w:color w:val="auto"/>
          <w:sz w:val="24"/>
          <w:highlight w:val="none"/>
        </w:rPr>
      </w:pPr>
      <w:r>
        <w:rPr>
          <w:rFonts w:hint="eastAsia" w:hAnsi="宋体"/>
          <w:strike/>
          <w:dstrike w:val="0"/>
          <w:color w:val="auto"/>
          <w:sz w:val="24"/>
          <w:highlight w:val="none"/>
        </w:rPr>
        <w:t xml:space="preserve">    分工内容：</w:t>
      </w:r>
      <w:r>
        <w:rPr>
          <w:rFonts w:hint="eastAsia" w:hAnsi="宋体"/>
          <w:strike/>
          <w:dstrike w:val="0"/>
          <w:color w:val="auto"/>
          <w:sz w:val="24"/>
          <w:highlight w:val="none"/>
          <w:u w:val="single"/>
        </w:rPr>
        <w:t xml:space="preserve">                                                </w:t>
      </w:r>
    </w:p>
    <w:p w14:paraId="2EA0F2E6">
      <w:pPr>
        <w:topLinePunct/>
        <w:adjustRightInd w:val="0"/>
        <w:snapToGrid w:val="0"/>
        <w:spacing w:line="360" w:lineRule="auto"/>
        <w:ind w:firstLine="480" w:firstLineChars="200"/>
        <w:rPr>
          <w:rFonts w:ascii="宋体" w:hAnsi="宋体"/>
          <w:strike/>
          <w:dstrike w:val="0"/>
          <w:color w:val="auto"/>
          <w:sz w:val="24"/>
          <w:highlight w:val="none"/>
        </w:rPr>
      </w:pPr>
    </w:p>
    <w:p w14:paraId="35A7343B">
      <w:pPr>
        <w:topLinePunct/>
        <w:adjustRightInd w:val="0"/>
        <w:snapToGrid w:val="0"/>
        <w:spacing w:line="360" w:lineRule="auto"/>
        <w:ind w:firstLine="480" w:firstLineChars="200"/>
        <w:rPr>
          <w:rFonts w:ascii="宋体" w:hAnsi="宋体"/>
          <w:strike/>
          <w:dstrike w:val="0"/>
          <w:color w:val="auto"/>
          <w:sz w:val="24"/>
          <w:highlight w:val="none"/>
        </w:rPr>
      </w:pPr>
      <w:r>
        <w:rPr>
          <w:rFonts w:ascii="宋体" w:hAnsi="宋体"/>
          <w:strike/>
          <w:dstrike w:val="0"/>
          <w:color w:val="auto"/>
          <w:sz w:val="24"/>
          <w:highlight w:val="none"/>
        </w:rPr>
        <w:t>成员一名称：（盖章）</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p>
    <w:p w14:paraId="087EF6A5">
      <w:pPr>
        <w:topLinePunct/>
        <w:adjustRightInd w:val="0"/>
        <w:snapToGrid w:val="0"/>
        <w:spacing w:line="360" w:lineRule="auto"/>
        <w:ind w:firstLine="480" w:firstLineChars="200"/>
        <w:rPr>
          <w:rFonts w:hint="eastAsia" w:ascii="宋体" w:hAnsi="宋体"/>
          <w:strike/>
          <w:dstrike w:val="0"/>
          <w:color w:val="auto"/>
          <w:sz w:val="24"/>
          <w:highlight w:val="none"/>
        </w:rPr>
      </w:pPr>
      <w:r>
        <w:rPr>
          <w:rFonts w:ascii="宋体" w:hAnsi="宋体"/>
          <w:strike/>
          <w:dstrike w:val="0"/>
          <w:color w:val="auto"/>
          <w:sz w:val="24"/>
          <w:highlight w:val="none"/>
        </w:rPr>
        <w:t>法定代表人：（签字</w:t>
      </w:r>
      <w:r>
        <w:rPr>
          <w:rFonts w:hint="eastAsia" w:ascii="宋体" w:hAnsi="宋体"/>
          <w:strike/>
          <w:dstrike w:val="0"/>
          <w:color w:val="auto"/>
          <w:sz w:val="24"/>
          <w:highlight w:val="none"/>
        </w:rPr>
        <w:t>或盖章</w:t>
      </w:r>
      <w:r>
        <w:rPr>
          <w:rFonts w:ascii="宋体" w:hAnsi="宋体"/>
          <w:strike/>
          <w:dstrike w:val="0"/>
          <w:color w:val="auto"/>
          <w:sz w:val="24"/>
          <w:highlight w:val="none"/>
        </w:rPr>
        <w:t>）</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p>
    <w:p w14:paraId="7723265D">
      <w:pPr>
        <w:pStyle w:val="8"/>
        <w:adjustRightInd w:val="0"/>
        <w:snapToGrid w:val="0"/>
        <w:spacing w:line="360" w:lineRule="auto"/>
        <w:ind w:firstLine="405"/>
        <w:rPr>
          <w:rFonts w:hint="eastAsia" w:hAnsi="宋体"/>
          <w:strike/>
          <w:dstrike w:val="0"/>
          <w:color w:val="auto"/>
          <w:sz w:val="24"/>
          <w:highlight w:val="none"/>
        </w:rPr>
      </w:pPr>
      <w:r>
        <w:rPr>
          <w:rFonts w:hint="eastAsia" w:hAnsi="宋体"/>
          <w:strike/>
          <w:dstrike w:val="0"/>
          <w:color w:val="auto"/>
          <w:sz w:val="24"/>
          <w:highlight w:val="none"/>
        </w:rPr>
        <w:t xml:space="preserve"> 分工内容：</w:t>
      </w:r>
      <w:r>
        <w:rPr>
          <w:rFonts w:hint="eastAsia" w:hAnsi="宋体"/>
          <w:strike/>
          <w:dstrike w:val="0"/>
          <w:color w:val="auto"/>
          <w:sz w:val="24"/>
          <w:highlight w:val="none"/>
          <w:u w:val="single"/>
        </w:rPr>
        <w:t xml:space="preserve">                                                 </w:t>
      </w:r>
    </w:p>
    <w:p w14:paraId="6EEB1398">
      <w:pPr>
        <w:topLinePunct/>
        <w:adjustRightInd w:val="0"/>
        <w:snapToGrid w:val="0"/>
        <w:spacing w:line="360" w:lineRule="auto"/>
        <w:ind w:firstLine="480" w:firstLineChars="200"/>
        <w:rPr>
          <w:rFonts w:hint="eastAsia" w:ascii="宋体" w:hAnsi="宋体"/>
          <w:strike/>
          <w:dstrike w:val="0"/>
          <w:color w:val="auto"/>
          <w:sz w:val="24"/>
          <w:highlight w:val="none"/>
        </w:rPr>
      </w:pPr>
    </w:p>
    <w:p w14:paraId="33EAE1DB">
      <w:pPr>
        <w:topLinePunct/>
        <w:adjustRightInd w:val="0"/>
        <w:snapToGrid w:val="0"/>
        <w:spacing w:line="360" w:lineRule="auto"/>
        <w:ind w:firstLine="480" w:firstLineChars="200"/>
        <w:rPr>
          <w:rFonts w:ascii="宋体" w:hAnsi="宋体"/>
          <w:strike/>
          <w:dstrike w:val="0"/>
          <w:color w:val="auto"/>
          <w:sz w:val="24"/>
          <w:highlight w:val="none"/>
        </w:rPr>
      </w:pPr>
      <w:r>
        <w:rPr>
          <w:rFonts w:ascii="宋体" w:hAnsi="宋体"/>
          <w:strike/>
          <w:dstrike w:val="0"/>
          <w:color w:val="auto"/>
          <w:sz w:val="24"/>
          <w:highlight w:val="none"/>
        </w:rPr>
        <w:t>成员二名称：（盖章）</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p>
    <w:p w14:paraId="4748C6BD">
      <w:pPr>
        <w:topLinePunct/>
        <w:adjustRightInd w:val="0"/>
        <w:snapToGrid w:val="0"/>
        <w:spacing w:line="360" w:lineRule="auto"/>
        <w:ind w:firstLine="480" w:firstLineChars="200"/>
        <w:rPr>
          <w:rFonts w:hint="eastAsia" w:ascii="宋体" w:hAnsi="宋体"/>
          <w:strike/>
          <w:dstrike w:val="0"/>
          <w:color w:val="auto"/>
          <w:sz w:val="24"/>
          <w:highlight w:val="none"/>
        </w:rPr>
      </w:pPr>
      <w:r>
        <w:rPr>
          <w:rFonts w:ascii="宋体" w:hAnsi="宋体"/>
          <w:strike/>
          <w:dstrike w:val="0"/>
          <w:color w:val="auto"/>
          <w:sz w:val="24"/>
          <w:highlight w:val="none"/>
        </w:rPr>
        <w:t>法定代表人：（签字</w:t>
      </w:r>
      <w:r>
        <w:rPr>
          <w:rFonts w:hint="eastAsia" w:ascii="宋体" w:hAnsi="宋体"/>
          <w:strike/>
          <w:dstrike w:val="0"/>
          <w:color w:val="auto"/>
          <w:sz w:val="24"/>
          <w:highlight w:val="none"/>
        </w:rPr>
        <w:t>或盖章</w:t>
      </w:r>
      <w:r>
        <w:rPr>
          <w:rFonts w:ascii="宋体" w:hAnsi="宋体"/>
          <w:strike/>
          <w:dstrike w:val="0"/>
          <w:color w:val="auto"/>
          <w:sz w:val="24"/>
          <w:highlight w:val="none"/>
        </w:rPr>
        <w:t>）</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p>
    <w:p w14:paraId="74946376">
      <w:pPr>
        <w:pStyle w:val="8"/>
        <w:adjustRightInd w:val="0"/>
        <w:snapToGrid w:val="0"/>
        <w:spacing w:line="360" w:lineRule="auto"/>
        <w:ind w:firstLine="405"/>
        <w:rPr>
          <w:rFonts w:hint="eastAsia" w:hAnsi="宋体"/>
          <w:strike/>
          <w:dstrike w:val="0"/>
          <w:color w:val="auto"/>
          <w:sz w:val="24"/>
          <w:highlight w:val="none"/>
        </w:rPr>
      </w:pPr>
      <w:r>
        <w:rPr>
          <w:rFonts w:hint="eastAsia" w:hAnsi="宋体"/>
          <w:strike/>
          <w:dstrike w:val="0"/>
          <w:color w:val="auto"/>
          <w:sz w:val="24"/>
          <w:highlight w:val="none"/>
        </w:rPr>
        <w:t xml:space="preserve"> 分工内容：</w:t>
      </w:r>
      <w:r>
        <w:rPr>
          <w:rFonts w:hint="eastAsia" w:hAnsi="宋体"/>
          <w:strike/>
          <w:dstrike w:val="0"/>
          <w:color w:val="auto"/>
          <w:sz w:val="24"/>
          <w:highlight w:val="none"/>
          <w:u w:val="single"/>
        </w:rPr>
        <w:t xml:space="preserve">                                                 </w:t>
      </w:r>
    </w:p>
    <w:p w14:paraId="27D88CFE">
      <w:pPr>
        <w:topLinePunct/>
        <w:adjustRightInd w:val="0"/>
        <w:snapToGrid w:val="0"/>
        <w:spacing w:line="360" w:lineRule="auto"/>
        <w:ind w:firstLine="480" w:firstLineChars="200"/>
        <w:rPr>
          <w:rFonts w:ascii="宋体" w:hAnsi="宋体"/>
          <w:strike/>
          <w:dstrike w:val="0"/>
          <w:color w:val="auto"/>
          <w:sz w:val="24"/>
          <w:highlight w:val="none"/>
        </w:rPr>
      </w:pPr>
    </w:p>
    <w:p w14:paraId="0062B554">
      <w:pPr>
        <w:topLinePunct/>
        <w:adjustRightInd w:val="0"/>
        <w:snapToGrid w:val="0"/>
        <w:spacing w:line="360" w:lineRule="auto"/>
        <w:ind w:firstLine="480" w:firstLineChars="200"/>
        <w:rPr>
          <w:rFonts w:ascii="宋体" w:hAnsi="宋体"/>
          <w:strike/>
          <w:dstrike w:val="0"/>
          <w:color w:val="auto"/>
          <w:sz w:val="24"/>
          <w:highlight w:val="none"/>
        </w:rPr>
      </w:pPr>
    </w:p>
    <w:p w14:paraId="07F91EAE">
      <w:pPr>
        <w:jc w:val="right"/>
        <w:rPr>
          <w:rFonts w:hint="eastAsia" w:ascii="宋体" w:eastAsia="宋体"/>
          <w:b/>
          <w:color w:val="auto"/>
          <w:highlight w:val="none"/>
        </w:rPr>
        <w:sectPr>
          <w:pgSz w:w="11850" w:h="16783"/>
          <w:pgMar w:top="1417" w:right="1290" w:bottom="1417" w:left="1290" w:header="851" w:footer="992" w:gutter="0"/>
          <w:pgNumType w:fmt="decimal"/>
          <w:cols w:space="720" w:num="1"/>
          <w:docGrid w:type="lines" w:linePitch="312" w:charSpace="0"/>
        </w:sectPr>
      </w:pPr>
      <w:r>
        <w:rPr>
          <w:rFonts w:ascii="宋体" w:hAnsi="宋体"/>
          <w:strike/>
          <w:dstrike w:val="0"/>
          <w:color w:val="auto"/>
          <w:sz w:val="24"/>
          <w:highlight w:val="none"/>
          <w:u w:val="single"/>
        </w:rPr>
        <w:t xml:space="preserve">       </w:t>
      </w:r>
      <w:r>
        <w:rPr>
          <w:rFonts w:ascii="宋体" w:hAnsi="宋体"/>
          <w:strike/>
          <w:dstrike w:val="0"/>
          <w:color w:val="auto"/>
          <w:sz w:val="24"/>
          <w:highlight w:val="none"/>
        </w:rPr>
        <w:t>年</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r>
        <w:rPr>
          <w:rFonts w:ascii="宋体" w:hAnsi="宋体"/>
          <w:strike/>
          <w:dstrike w:val="0"/>
          <w:color w:val="auto"/>
          <w:sz w:val="24"/>
          <w:highlight w:val="none"/>
        </w:rPr>
        <w:t>月</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r>
        <w:rPr>
          <w:rFonts w:ascii="宋体" w:hAnsi="宋体"/>
          <w:strike/>
          <w:dstrike w:val="0"/>
          <w:color w:val="auto"/>
          <w:sz w:val="24"/>
          <w:highlight w:val="none"/>
        </w:rPr>
        <w:t>日</w:t>
      </w:r>
    </w:p>
    <w:p w14:paraId="55992342">
      <w:pPr>
        <w:outlineLvl w:val="2"/>
        <w:rPr>
          <w:rFonts w:hint="eastAsia" w:ascii="宋体" w:hAnsi="宋体" w:eastAsia="宋体" w:cs="宋体"/>
          <w:color w:val="auto"/>
          <w:sz w:val="24"/>
          <w:szCs w:val="24"/>
          <w:highlight w:val="none"/>
        </w:rPr>
      </w:pPr>
      <w:bookmarkStart w:id="316" w:name="_Toc22884"/>
      <w:bookmarkStart w:id="317" w:name="_Toc31891"/>
      <w:bookmarkStart w:id="318" w:name="_Toc26218"/>
      <w:bookmarkStart w:id="319" w:name="_Toc30014"/>
      <w:bookmarkStart w:id="320" w:name="_Toc8666"/>
      <w:bookmarkStart w:id="321" w:name="_Toc24517"/>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17</w:t>
      </w:r>
      <w:bookmarkEnd w:id="316"/>
      <w:r>
        <w:rPr>
          <w:rFonts w:hint="eastAsia" w:ascii="宋体" w:hAnsi="宋体" w:eastAsia="宋体" w:cs="宋体"/>
          <w:color w:val="auto"/>
          <w:sz w:val="24"/>
          <w:szCs w:val="24"/>
          <w:highlight w:val="none"/>
        </w:rPr>
        <w:t xml:space="preserve"> </w:t>
      </w:r>
    </w:p>
    <w:p w14:paraId="7105C69A">
      <w:pPr>
        <w:adjustRightInd w:val="0"/>
        <w:snapToGrid w:val="0"/>
        <w:spacing w:line="360" w:lineRule="auto"/>
        <w:jc w:val="center"/>
        <w:rPr>
          <w:rFonts w:hint="eastAsia" w:ascii="宋体" w:hAnsi="宋体" w:eastAsia="宋体" w:cs="宋体"/>
          <w:b/>
          <w:color w:val="auto"/>
          <w:sz w:val="32"/>
          <w:szCs w:val="22"/>
          <w:highlight w:val="none"/>
        </w:rPr>
      </w:pPr>
    </w:p>
    <w:p w14:paraId="540AC77F">
      <w:pPr>
        <w:shd w:val="clear" w:color="auto" w:fill="auto"/>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项目施工管理机构配备表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43"/>
        <w:gridCol w:w="1147"/>
        <w:gridCol w:w="1000"/>
        <w:gridCol w:w="1906"/>
        <w:gridCol w:w="999"/>
        <w:gridCol w:w="1249"/>
        <w:gridCol w:w="1093"/>
      </w:tblGrid>
      <w:tr w14:paraId="5E93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49" w:type="dxa"/>
            <w:noWrap w:val="0"/>
            <w:vAlign w:val="center"/>
          </w:tcPr>
          <w:p w14:paraId="374F8302">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443" w:type="dxa"/>
            <w:noWrap w:val="0"/>
            <w:vAlign w:val="center"/>
          </w:tcPr>
          <w:p w14:paraId="63A7B607">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拟在本项目任职</w:t>
            </w:r>
          </w:p>
        </w:tc>
        <w:tc>
          <w:tcPr>
            <w:tcW w:w="1147" w:type="dxa"/>
            <w:noWrap w:val="0"/>
            <w:vAlign w:val="center"/>
          </w:tcPr>
          <w:p w14:paraId="7480FDD5">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姓名</w:t>
            </w:r>
          </w:p>
        </w:tc>
        <w:tc>
          <w:tcPr>
            <w:tcW w:w="1000" w:type="dxa"/>
            <w:noWrap w:val="0"/>
            <w:vAlign w:val="center"/>
          </w:tcPr>
          <w:p w14:paraId="76BC79BF">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年龄</w:t>
            </w:r>
          </w:p>
        </w:tc>
        <w:tc>
          <w:tcPr>
            <w:tcW w:w="1906" w:type="dxa"/>
            <w:noWrap w:val="0"/>
            <w:vAlign w:val="center"/>
          </w:tcPr>
          <w:p w14:paraId="5F23CBD7">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身份证号码</w:t>
            </w:r>
          </w:p>
        </w:tc>
        <w:tc>
          <w:tcPr>
            <w:tcW w:w="999" w:type="dxa"/>
            <w:noWrap w:val="0"/>
            <w:vAlign w:val="center"/>
          </w:tcPr>
          <w:p w14:paraId="5598F260">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专业</w:t>
            </w:r>
          </w:p>
        </w:tc>
        <w:tc>
          <w:tcPr>
            <w:tcW w:w="1249" w:type="dxa"/>
            <w:noWrap w:val="0"/>
            <w:vAlign w:val="center"/>
          </w:tcPr>
          <w:p w14:paraId="2A72FC2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职称或职业资格</w:t>
            </w:r>
          </w:p>
        </w:tc>
        <w:tc>
          <w:tcPr>
            <w:tcW w:w="1093" w:type="dxa"/>
            <w:noWrap w:val="0"/>
            <w:vAlign w:val="center"/>
          </w:tcPr>
          <w:p w14:paraId="7F83729D">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4AF1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15C2D1AF">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5EC54112">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w:t>
            </w:r>
          </w:p>
        </w:tc>
        <w:tc>
          <w:tcPr>
            <w:tcW w:w="1147" w:type="dxa"/>
            <w:noWrap w:val="0"/>
            <w:vAlign w:val="center"/>
          </w:tcPr>
          <w:p w14:paraId="0BB88E47">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64C916D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1542DED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7FF256D3">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6328FDBC">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19AB27F5">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2CD0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0C8C27CF">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040672E1">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w:t>
            </w:r>
          </w:p>
        </w:tc>
        <w:tc>
          <w:tcPr>
            <w:tcW w:w="1147" w:type="dxa"/>
            <w:noWrap w:val="0"/>
            <w:vAlign w:val="center"/>
          </w:tcPr>
          <w:p w14:paraId="5C81A802">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003FA877">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3096A98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3018CA9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3C2035AB">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737A281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68E4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17AF265A">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6E7F51A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5B1ED20F">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4B8F643A">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38FA1143">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11F6FBB8">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778EF864">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00B9BC04">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3B93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4A3EB364">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7837E29B">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7C0A0FCB">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1C44B8C4">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78220113">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19EC867A">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1D793E3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7BC9915C">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2757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4F804CE3">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03239DA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3650D9B0">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4B44FCD0">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1492DFF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44E56A8D">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225619C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0B0CFF31">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6AB3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16F43461">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7ECF2724">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6D8CF542">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3D1E40ED">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2FA1BBA5">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1CE42F9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52C2E5D5">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398D10A1">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3AC7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1E4E6313">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7AD7CE6B">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50F656D3">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382E55C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5A87FB33">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04DE6865">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0925545A">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3B6482A1">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59F2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11FBCB82">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0BB4E21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7E7FF96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5D6FBF72">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1B21EF7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0F4755A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1AF6150F">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104E74F7">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6A6D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3D0C59F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39109DF3">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0F9AE33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6EF812B8">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1690A1C4">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49550D7F">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533270B5">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505DCE5D">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6608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758EB507">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2AD18F0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09CEA3F8">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7FFCD26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5E02CAF7">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261C396C">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22CC4D85">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2574B898">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4A37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3C1BA36D">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4518C183">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7083260D">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0DDE670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43AAB0B0">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1C93F6E2">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677CDCF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01B2AC20">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3064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05EB97E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283EB6A5">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5634B577">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369A9D2A">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5F2884E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6D5D9EA3">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16D457B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540FC18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bl>
    <w:p w14:paraId="02B5D218">
      <w:pPr>
        <w:shd w:val="clear" w:color="auto" w:fill="auto"/>
        <w:topLinePunct/>
        <w:adjustRightInd w:val="0"/>
        <w:snapToGrid w:val="0"/>
        <w:rPr>
          <w:rFonts w:hint="eastAsia" w:ascii="宋体" w:hAnsi="宋体" w:eastAsia="宋体" w:cs="宋体"/>
          <w:b/>
          <w:bCs/>
          <w:color w:val="auto"/>
          <w:szCs w:val="21"/>
          <w:highlight w:val="none"/>
        </w:rPr>
      </w:pPr>
    </w:p>
    <w:p w14:paraId="6CE6BF7D">
      <w:pPr>
        <w:shd w:val="clear" w:color="auto" w:fill="auto"/>
        <w:topLinePunct/>
        <w:adjustRightInd w:val="0"/>
        <w:snapToGrid w:val="0"/>
        <w:spacing w:line="360" w:lineRule="auto"/>
        <w:ind w:firstLine="422" w:firstLineChars="200"/>
        <w:rPr>
          <w:rFonts w:hint="eastAsia" w:ascii="宋体" w:hAnsi="宋体" w:eastAsia="宋体" w:cs="宋体"/>
          <w:color w:val="auto"/>
          <w:spacing w:val="4"/>
          <w:kern w:val="0"/>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val="en-US" w:eastAsia="zh-CN"/>
        </w:rPr>
        <w:t>1.</w:t>
      </w:r>
      <w:r>
        <w:rPr>
          <w:rFonts w:hint="eastAsia" w:ascii="宋体" w:hAnsi="宋体" w:eastAsia="宋体" w:cs="宋体"/>
          <w:b/>
          <w:color w:val="auto"/>
          <w:spacing w:val="4"/>
          <w:kern w:val="0"/>
          <w:szCs w:val="21"/>
          <w:highlight w:val="none"/>
        </w:rPr>
        <w:t>本表根据招标文件的最低要求并结合投标人的自身实际填写，一旦中标，要求全部到位，</w:t>
      </w:r>
      <w:r>
        <w:rPr>
          <w:rFonts w:hint="eastAsia" w:ascii="宋体" w:hAnsi="宋体" w:eastAsia="宋体" w:cs="宋体"/>
          <w:b/>
          <w:bCs/>
          <w:color w:val="auto"/>
          <w:szCs w:val="22"/>
          <w:highlight w:val="none"/>
        </w:rPr>
        <w:t>不得更换，否则按合同约定承担违约责任。</w:t>
      </w:r>
    </w:p>
    <w:p w14:paraId="20F8D382">
      <w:pPr>
        <w:numPr>
          <w:ilvl w:val="0"/>
          <w:numId w:val="4"/>
        </w:numPr>
        <w:shd w:val="clear" w:color="auto" w:fill="auto"/>
        <w:topLinePunct/>
        <w:adjustRightInd w:val="0"/>
        <w:snapToGrid w:val="0"/>
        <w:spacing w:line="360" w:lineRule="auto"/>
        <w:ind w:firstLine="436" w:firstLineChars="200"/>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rPr>
        <w:t>本表所填人员须提供身份证及投标截止前近一个月在本单位购买有效社保证明清晰扫描件，且须按招标公告和招标文件相应要求提供相关证明资料原件彩色清晰扫描件，并加盖公章。</w:t>
      </w:r>
    </w:p>
    <w:p w14:paraId="0E2E1136">
      <w:pPr>
        <w:shd w:val="clear" w:color="auto" w:fill="auto"/>
        <w:ind w:left="836" w:leftChars="67" w:right="42" w:rightChars="20" w:hanging="695" w:hangingChars="331"/>
        <w:rPr>
          <w:rFonts w:hint="eastAsia" w:ascii="宋体" w:hAnsi="宋体" w:eastAsia="宋体" w:cs="宋体"/>
          <w:color w:val="auto"/>
          <w:szCs w:val="21"/>
          <w:highlight w:val="none"/>
        </w:rPr>
      </w:pPr>
    </w:p>
    <w:p w14:paraId="756C7B56">
      <w:pPr>
        <w:shd w:val="clear" w:color="auto" w:fill="auto"/>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p>
    <w:p w14:paraId="750D6E19">
      <w:pPr>
        <w:shd w:val="clear" w:color="auto" w:fill="auto"/>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投标人：　　（盖章）</w:t>
      </w:r>
    </w:p>
    <w:p w14:paraId="5E83408F">
      <w:pPr>
        <w:shd w:val="clear" w:color="auto" w:fill="auto"/>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法定代表人或授权代理人（签字或盖章）：</w:t>
      </w:r>
    </w:p>
    <w:p w14:paraId="5C6195D7">
      <w:pPr>
        <w:shd w:val="clear" w:color="auto" w:fill="auto"/>
        <w:autoSpaceDE w:val="0"/>
        <w:autoSpaceDN w:val="0"/>
        <w:adjustRightInd w:val="0"/>
        <w:spacing w:line="360" w:lineRule="auto"/>
        <w:ind w:left="141" w:leftChars="67" w:right="42" w:rightChars="20" w:firstLine="3045" w:firstLineChars="1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7BF77E82">
      <w:pPr>
        <w:widowControl/>
        <w:topLinePunct/>
        <w:adjustRightInd w:val="0"/>
        <w:snapToGrid w:val="0"/>
        <w:spacing w:after="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pacing w:val="4"/>
          <w:kern w:val="0"/>
          <w:sz w:val="24"/>
          <w:szCs w:val="24"/>
          <w:highlight w:val="none"/>
        </w:rPr>
        <w:br w:type="page"/>
      </w:r>
      <w:bookmarkStart w:id="322" w:name="_Toc118295343"/>
      <w:bookmarkStart w:id="323" w:name="_Toc15907"/>
      <w:bookmarkStart w:id="324" w:name="_Toc14239"/>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主要人员简历表</w:t>
      </w:r>
      <w:bookmarkEnd w:id="322"/>
      <w:bookmarkEnd w:id="323"/>
      <w:bookmarkEnd w:id="324"/>
    </w:p>
    <w:p w14:paraId="5AA45343">
      <w:pPr>
        <w:rPr>
          <w:rFonts w:hint="eastAsia"/>
          <w:color w:val="auto"/>
          <w:highlight w:val="none"/>
        </w:rPr>
      </w:pPr>
    </w:p>
    <w:p w14:paraId="20EB5DE3">
      <w:pPr>
        <w:adjustRightInd w:val="0"/>
        <w:snapToGrid w:val="0"/>
        <w:spacing w:line="360" w:lineRule="auto"/>
        <w:jc w:val="center"/>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rPr>
        <w:t>主要人员简历表</w:t>
      </w:r>
    </w:p>
    <w:tbl>
      <w:tblPr>
        <w:tblStyle w:val="16"/>
        <w:tblpPr w:leftFromText="180" w:rightFromText="180" w:vertAnchor="text" w:tblpXSpec="center" w:tblpY="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2"/>
        <w:gridCol w:w="1540"/>
        <w:gridCol w:w="555"/>
        <w:gridCol w:w="988"/>
        <w:gridCol w:w="377"/>
        <w:gridCol w:w="1399"/>
        <w:gridCol w:w="295"/>
        <w:gridCol w:w="1178"/>
        <w:gridCol w:w="67"/>
        <w:gridCol w:w="1546"/>
      </w:tblGrid>
      <w:tr w14:paraId="6903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20" w:type="dxa"/>
            <w:noWrap w:val="0"/>
            <w:vAlign w:val="center"/>
          </w:tcPr>
          <w:p w14:paraId="4225E067">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姓名</w:t>
            </w:r>
          </w:p>
        </w:tc>
        <w:tc>
          <w:tcPr>
            <w:tcW w:w="2117" w:type="dxa"/>
            <w:gridSpan w:val="3"/>
            <w:noWrap w:val="0"/>
            <w:vAlign w:val="center"/>
          </w:tcPr>
          <w:p w14:paraId="260CE246">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c>
          <w:tcPr>
            <w:tcW w:w="1365" w:type="dxa"/>
            <w:gridSpan w:val="2"/>
            <w:noWrap w:val="0"/>
            <w:vAlign w:val="center"/>
          </w:tcPr>
          <w:p w14:paraId="2AB3B36B">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性别</w:t>
            </w:r>
          </w:p>
        </w:tc>
        <w:tc>
          <w:tcPr>
            <w:tcW w:w="1694" w:type="dxa"/>
            <w:gridSpan w:val="2"/>
            <w:noWrap w:val="0"/>
            <w:vAlign w:val="center"/>
          </w:tcPr>
          <w:p w14:paraId="4F292B24">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c>
          <w:tcPr>
            <w:tcW w:w="1178" w:type="dxa"/>
            <w:noWrap w:val="0"/>
            <w:vAlign w:val="center"/>
          </w:tcPr>
          <w:p w14:paraId="379B0152">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年龄</w:t>
            </w:r>
          </w:p>
        </w:tc>
        <w:tc>
          <w:tcPr>
            <w:tcW w:w="1613" w:type="dxa"/>
            <w:gridSpan w:val="2"/>
            <w:noWrap w:val="0"/>
            <w:vAlign w:val="center"/>
          </w:tcPr>
          <w:p w14:paraId="4E7A3C57">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r>
      <w:tr w14:paraId="298B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20" w:type="dxa"/>
            <w:noWrap w:val="0"/>
            <w:vAlign w:val="center"/>
          </w:tcPr>
          <w:p w14:paraId="5EE84B6E">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职务</w:t>
            </w:r>
          </w:p>
        </w:tc>
        <w:tc>
          <w:tcPr>
            <w:tcW w:w="2117" w:type="dxa"/>
            <w:gridSpan w:val="3"/>
            <w:noWrap w:val="0"/>
            <w:vAlign w:val="center"/>
          </w:tcPr>
          <w:p w14:paraId="531252BE">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c>
          <w:tcPr>
            <w:tcW w:w="1365" w:type="dxa"/>
            <w:gridSpan w:val="2"/>
            <w:noWrap w:val="0"/>
            <w:vAlign w:val="center"/>
          </w:tcPr>
          <w:p w14:paraId="58EDDB4E">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职称</w:t>
            </w:r>
          </w:p>
        </w:tc>
        <w:tc>
          <w:tcPr>
            <w:tcW w:w="1694" w:type="dxa"/>
            <w:gridSpan w:val="2"/>
            <w:noWrap w:val="0"/>
            <w:vAlign w:val="center"/>
          </w:tcPr>
          <w:p w14:paraId="6A81E5BD">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c>
          <w:tcPr>
            <w:tcW w:w="1178" w:type="dxa"/>
            <w:noWrap w:val="0"/>
            <w:vAlign w:val="center"/>
          </w:tcPr>
          <w:p w14:paraId="38EB0E47">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学历</w:t>
            </w:r>
          </w:p>
        </w:tc>
        <w:tc>
          <w:tcPr>
            <w:tcW w:w="1613" w:type="dxa"/>
            <w:gridSpan w:val="2"/>
            <w:noWrap w:val="0"/>
            <w:vAlign w:val="center"/>
          </w:tcPr>
          <w:p w14:paraId="1A98D3A5">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r>
      <w:tr w14:paraId="40B4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520" w:type="dxa"/>
            <w:noWrap w:val="0"/>
            <w:vAlign w:val="center"/>
          </w:tcPr>
          <w:p w14:paraId="19A482FA">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参加工作</w:t>
            </w:r>
          </w:p>
          <w:p w14:paraId="5D98B39F">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时间</w:t>
            </w:r>
          </w:p>
        </w:tc>
        <w:tc>
          <w:tcPr>
            <w:tcW w:w="2117" w:type="dxa"/>
            <w:gridSpan w:val="3"/>
            <w:noWrap w:val="0"/>
            <w:vAlign w:val="center"/>
          </w:tcPr>
          <w:p w14:paraId="24F21986">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c>
          <w:tcPr>
            <w:tcW w:w="1365" w:type="dxa"/>
            <w:gridSpan w:val="2"/>
            <w:noWrap w:val="0"/>
            <w:vAlign w:val="center"/>
          </w:tcPr>
          <w:p w14:paraId="2B44DCA9">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r>
              <w:rPr>
                <w:rFonts w:hint="eastAsia" w:ascii="宋体" w:hAnsi="宋体" w:eastAsia="宋体" w:cs="宋体"/>
                <w:b/>
                <w:snapToGrid w:val="0"/>
                <w:color w:val="auto"/>
                <w:spacing w:val="4"/>
                <w:sz w:val="24"/>
                <w:szCs w:val="24"/>
                <w:highlight w:val="none"/>
                <w:lang w:bidi="en-US"/>
              </w:rPr>
              <w:t>担任相应职务年限</w:t>
            </w:r>
          </w:p>
        </w:tc>
        <w:tc>
          <w:tcPr>
            <w:tcW w:w="4485" w:type="dxa"/>
            <w:gridSpan w:val="5"/>
            <w:noWrap w:val="0"/>
            <w:vAlign w:val="center"/>
          </w:tcPr>
          <w:p w14:paraId="71A65C7D">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r>
      <w:tr w14:paraId="1511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520" w:type="dxa"/>
            <w:noWrap w:val="0"/>
            <w:vAlign w:val="center"/>
          </w:tcPr>
          <w:p w14:paraId="46C828C0">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资格证书号</w:t>
            </w:r>
          </w:p>
        </w:tc>
        <w:tc>
          <w:tcPr>
            <w:tcW w:w="7967" w:type="dxa"/>
            <w:gridSpan w:val="10"/>
            <w:noWrap w:val="0"/>
            <w:vAlign w:val="center"/>
          </w:tcPr>
          <w:p w14:paraId="5C0693E8">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r>
      <w:tr w14:paraId="19DD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487" w:type="dxa"/>
            <w:gridSpan w:val="11"/>
            <w:noWrap w:val="0"/>
            <w:vAlign w:val="center"/>
          </w:tcPr>
          <w:p w14:paraId="25A6293D">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r>
              <w:rPr>
                <w:rFonts w:hint="eastAsia" w:ascii="宋体" w:hAnsi="宋体" w:eastAsia="宋体" w:cs="宋体"/>
                <w:b/>
                <w:snapToGrid w:val="0"/>
                <w:color w:val="auto"/>
                <w:spacing w:val="4"/>
                <w:sz w:val="24"/>
                <w:szCs w:val="24"/>
                <w:highlight w:val="none"/>
                <w:lang w:bidi="en-US"/>
              </w:rPr>
              <w:t>业绩简介</w:t>
            </w:r>
          </w:p>
        </w:tc>
      </w:tr>
      <w:tr w14:paraId="3A8D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2" w:type="dxa"/>
            <w:gridSpan w:val="2"/>
            <w:noWrap w:val="0"/>
            <w:vAlign w:val="center"/>
          </w:tcPr>
          <w:p w14:paraId="6396C034">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建设单位</w:t>
            </w:r>
          </w:p>
        </w:tc>
        <w:tc>
          <w:tcPr>
            <w:tcW w:w="1540" w:type="dxa"/>
            <w:noWrap w:val="0"/>
            <w:vAlign w:val="center"/>
          </w:tcPr>
          <w:p w14:paraId="1916CD63">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项目名称</w:t>
            </w:r>
          </w:p>
        </w:tc>
        <w:tc>
          <w:tcPr>
            <w:tcW w:w="1543" w:type="dxa"/>
            <w:gridSpan w:val="2"/>
            <w:noWrap w:val="0"/>
            <w:vAlign w:val="center"/>
          </w:tcPr>
          <w:p w14:paraId="2BEFC682">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建设规模</w:t>
            </w:r>
          </w:p>
        </w:tc>
        <w:tc>
          <w:tcPr>
            <w:tcW w:w="1776" w:type="dxa"/>
            <w:gridSpan w:val="2"/>
            <w:noWrap w:val="0"/>
            <w:vAlign w:val="center"/>
          </w:tcPr>
          <w:p w14:paraId="4CD3BC4B">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开、竣工日期</w:t>
            </w:r>
          </w:p>
        </w:tc>
        <w:tc>
          <w:tcPr>
            <w:tcW w:w="1540" w:type="dxa"/>
            <w:gridSpan w:val="3"/>
            <w:noWrap w:val="0"/>
            <w:vAlign w:val="center"/>
          </w:tcPr>
          <w:p w14:paraId="30E6CA05">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在建或已完</w:t>
            </w:r>
          </w:p>
        </w:tc>
        <w:tc>
          <w:tcPr>
            <w:tcW w:w="1546" w:type="dxa"/>
            <w:noWrap w:val="0"/>
            <w:vAlign w:val="center"/>
          </w:tcPr>
          <w:p w14:paraId="2E8E6D43">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工程质量</w:t>
            </w:r>
          </w:p>
        </w:tc>
      </w:tr>
      <w:tr w14:paraId="3BBE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42" w:type="dxa"/>
            <w:gridSpan w:val="2"/>
            <w:noWrap w:val="0"/>
            <w:vAlign w:val="center"/>
          </w:tcPr>
          <w:p w14:paraId="030658DB">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c>
          <w:tcPr>
            <w:tcW w:w="1540" w:type="dxa"/>
            <w:noWrap w:val="0"/>
            <w:vAlign w:val="center"/>
          </w:tcPr>
          <w:p w14:paraId="70CF5C40">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c>
          <w:tcPr>
            <w:tcW w:w="1543" w:type="dxa"/>
            <w:gridSpan w:val="2"/>
            <w:noWrap w:val="0"/>
            <w:vAlign w:val="center"/>
          </w:tcPr>
          <w:p w14:paraId="1FE81AB8">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c>
          <w:tcPr>
            <w:tcW w:w="1776" w:type="dxa"/>
            <w:gridSpan w:val="2"/>
            <w:noWrap w:val="0"/>
            <w:vAlign w:val="center"/>
          </w:tcPr>
          <w:p w14:paraId="580FA350">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c>
          <w:tcPr>
            <w:tcW w:w="1540" w:type="dxa"/>
            <w:gridSpan w:val="3"/>
            <w:noWrap w:val="0"/>
            <w:vAlign w:val="center"/>
          </w:tcPr>
          <w:p w14:paraId="19B4E92C">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c>
          <w:tcPr>
            <w:tcW w:w="1546" w:type="dxa"/>
            <w:noWrap w:val="0"/>
            <w:vAlign w:val="center"/>
          </w:tcPr>
          <w:p w14:paraId="2D681241">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r>
      <w:tr w14:paraId="4732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42" w:type="dxa"/>
            <w:gridSpan w:val="2"/>
            <w:noWrap w:val="0"/>
            <w:vAlign w:val="center"/>
          </w:tcPr>
          <w:p w14:paraId="7F58EDBC">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c>
          <w:tcPr>
            <w:tcW w:w="1540" w:type="dxa"/>
            <w:noWrap w:val="0"/>
            <w:vAlign w:val="center"/>
          </w:tcPr>
          <w:p w14:paraId="106A69AC">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c>
          <w:tcPr>
            <w:tcW w:w="1543" w:type="dxa"/>
            <w:gridSpan w:val="2"/>
            <w:noWrap w:val="0"/>
            <w:vAlign w:val="center"/>
          </w:tcPr>
          <w:p w14:paraId="26AB351D">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c>
          <w:tcPr>
            <w:tcW w:w="1776" w:type="dxa"/>
            <w:gridSpan w:val="2"/>
            <w:noWrap w:val="0"/>
            <w:vAlign w:val="center"/>
          </w:tcPr>
          <w:p w14:paraId="6D019ECB">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c>
          <w:tcPr>
            <w:tcW w:w="1540" w:type="dxa"/>
            <w:gridSpan w:val="3"/>
            <w:noWrap w:val="0"/>
            <w:vAlign w:val="center"/>
          </w:tcPr>
          <w:p w14:paraId="471F33E2">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c>
          <w:tcPr>
            <w:tcW w:w="1546" w:type="dxa"/>
            <w:noWrap w:val="0"/>
            <w:vAlign w:val="center"/>
          </w:tcPr>
          <w:p w14:paraId="51B3AD1D">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r>
    </w:tbl>
    <w:p w14:paraId="72ADD475">
      <w:pPr>
        <w:ind w:firstLine="551" w:firstLineChars="196"/>
        <w:rPr>
          <w:rFonts w:hint="eastAsia" w:ascii="宋体" w:hAnsi="宋体" w:eastAsia="宋体" w:cs="宋体"/>
          <w:b/>
          <w:bCs/>
          <w:color w:val="auto"/>
          <w:sz w:val="28"/>
          <w:szCs w:val="28"/>
          <w:highlight w:val="none"/>
        </w:rPr>
      </w:pPr>
    </w:p>
    <w:p w14:paraId="4923C37D">
      <w:pPr>
        <w:widowControl/>
        <w:topLinePunct/>
        <w:adjustRightInd w:val="0"/>
        <w:snapToGrid w:val="0"/>
        <w:spacing w:after="200" w:line="360" w:lineRule="auto"/>
        <w:ind w:firstLine="198" w:firstLineChars="80"/>
        <w:jc w:val="left"/>
        <w:rPr>
          <w:rFonts w:hint="eastAsia" w:ascii="宋体" w:hAnsi="宋体" w:eastAsia="宋体" w:cs="宋体"/>
          <w:color w:val="auto"/>
          <w:spacing w:val="4"/>
          <w:kern w:val="0"/>
          <w:sz w:val="24"/>
          <w:szCs w:val="24"/>
          <w:highlight w:val="none"/>
        </w:rPr>
      </w:pPr>
    </w:p>
    <w:p w14:paraId="27ABCB5F">
      <w:pPr>
        <w:widowControl/>
        <w:topLinePunct/>
        <w:adjustRightInd w:val="0"/>
        <w:snapToGrid w:val="0"/>
        <w:spacing w:after="200" w:line="360" w:lineRule="auto"/>
        <w:ind w:firstLine="3596" w:firstLineChars="1450"/>
        <w:jc w:val="left"/>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投标人：　　（盖章）</w:t>
      </w:r>
    </w:p>
    <w:p w14:paraId="15897575">
      <w:pPr>
        <w:widowControl/>
        <w:topLinePunct/>
        <w:adjustRightInd w:val="0"/>
        <w:snapToGrid w:val="0"/>
        <w:spacing w:after="200" w:line="360" w:lineRule="auto"/>
        <w:ind w:firstLine="3596" w:firstLineChars="1450"/>
        <w:jc w:val="left"/>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法定代表人或授权代理人(签字或盖章)：</w:t>
      </w:r>
    </w:p>
    <w:p w14:paraId="1D071D12">
      <w:pPr>
        <w:jc w:val="center"/>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 xml:space="preserve">          日   期：    年    月    日</w:t>
      </w:r>
    </w:p>
    <w:p w14:paraId="403C34BB">
      <w:pPr>
        <w:jc w:val="both"/>
        <w:rPr>
          <w:rFonts w:hint="eastAsia" w:ascii="宋体" w:eastAsia="宋体"/>
          <w:b/>
          <w:strike/>
          <w:dstrike w:val="0"/>
          <w:color w:val="auto"/>
          <w:highlight w:val="none"/>
        </w:rPr>
      </w:pPr>
    </w:p>
    <w:p w14:paraId="3C8DD98D">
      <w:pPr>
        <w:jc w:val="both"/>
        <w:rPr>
          <w:rFonts w:hint="eastAsia" w:ascii="宋体" w:eastAsia="宋体"/>
          <w:b/>
          <w:strike/>
          <w:dstrike w:val="0"/>
          <w:color w:val="auto"/>
          <w:highlight w:val="none"/>
        </w:rPr>
      </w:pPr>
    </w:p>
    <w:p w14:paraId="64B6769F">
      <w:pPr>
        <w:jc w:val="both"/>
        <w:rPr>
          <w:rFonts w:hint="eastAsia" w:ascii="宋体" w:eastAsia="宋体"/>
          <w:b/>
          <w:strike/>
          <w:dstrike w:val="0"/>
          <w:color w:val="auto"/>
          <w:highlight w:val="none"/>
        </w:rPr>
      </w:pPr>
    </w:p>
    <w:p w14:paraId="00035B8E">
      <w:pPr>
        <w:jc w:val="both"/>
        <w:rPr>
          <w:rFonts w:hint="eastAsia" w:ascii="宋体" w:eastAsia="宋体"/>
          <w:b/>
          <w:strike/>
          <w:dstrike w:val="0"/>
          <w:color w:val="auto"/>
          <w:highlight w:val="none"/>
        </w:rPr>
      </w:pPr>
    </w:p>
    <w:p w14:paraId="17F56663">
      <w:pPr>
        <w:jc w:val="both"/>
        <w:rPr>
          <w:rFonts w:hint="eastAsia" w:ascii="宋体" w:eastAsia="宋体"/>
          <w:b/>
          <w:strike/>
          <w:dstrike w:val="0"/>
          <w:color w:val="auto"/>
          <w:highlight w:val="none"/>
        </w:rPr>
      </w:pPr>
    </w:p>
    <w:p w14:paraId="003A32D2">
      <w:pPr>
        <w:jc w:val="both"/>
        <w:rPr>
          <w:rFonts w:hint="eastAsia" w:ascii="宋体" w:eastAsia="宋体"/>
          <w:b/>
          <w:strike/>
          <w:dstrike w:val="0"/>
          <w:color w:val="auto"/>
          <w:highlight w:val="none"/>
        </w:rPr>
      </w:pPr>
    </w:p>
    <w:p w14:paraId="708E4EDD">
      <w:pPr>
        <w:jc w:val="both"/>
        <w:rPr>
          <w:rFonts w:hint="eastAsia" w:ascii="宋体" w:eastAsia="宋体"/>
          <w:b/>
          <w:strike/>
          <w:dstrike w:val="0"/>
          <w:color w:val="auto"/>
          <w:highlight w:val="none"/>
        </w:rPr>
      </w:pPr>
    </w:p>
    <w:p w14:paraId="6D5B6FA3">
      <w:pPr>
        <w:jc w:val="both"/>
        <w:rPr>
          <w:rFonts w:hint="eastAsia" w:ascii="宋体" w:eastAsia="宋体"/>
          <w:b/>
          <w:strike/>
          <w:dstrike w:val="0"/>
          <w:color w:val="auto"/>
          <w:highlight w:val="none"/>
        </w:rPr>
      </w:pPr>
    </w:p>
    <w:p w14:paraId="4E56D4D0">
      <w:pPr>
        <w:jc w:val="both"/>
        <w:rPr>
          <w:rFonts w:hint="eastAsia" w:ascii="宋体" w:eastAsia="宋体"/>
          <w:b/>
          <w:strike/>
          <w:dstrike w:val="0"/>
          <w:color w:val="auto"/>
          <w:highlight w:val="none"/>
        </w:rPr>
      </w:pPr>
    </w:p>
    <w:p w14:paraId="7BB01F2C">
      <w:pPr>
        <w:jc w:val="both"/>
        <w:rPr>
          <w:rFonts w:hint="eastAsia" w:ascii="宋体" w:eastAsia="宋体"/>
          <w:b/>
          <w:strike/>
          <w:dstrike w:val="0"/>
          <w:color w:val="auto"/>
          <w:highlight w:val="none"/>
        </w:rPr>
      </w:pPr>
    </w:p>
    <w:p w14:paraId="0BF3B047">
      <w:pPr>
        <w:pStyle w:val="5"/>
        <w:tabs>
          <w:tab w:val="left" w:pos="1282"/>
        </w:tabs>
        <w:kinsoku w:val="0"/>
        <w:overflowPunct w:val="0"/>
        <w:spacing w:before="55"/>
        <w:ind w:left="0"/>
        <w:jc w:val="both"/>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附件19：</w:t>
      </w:r>
    </w:p>
    <w:p w14:paraId="043C06E0">
      <w:pPr>
        <w:pStyle w:val="5"/>
        <w:tabs>
          <w:tab w:val="left" w:pos="1282"/>
        </w:tabs>
        <w:kinsoku w:val="0"/>
        <w:overflowPunct w:val="0"/>
        <w:spacing w:before="55"/>
        <w:ind w:left="0"/>
        <w:jc w:val="center"/>
        <w:rPr>
          <w:rFonts w:hint="eastAsia" w:ascii="宋体" w:hAnsi="宋体" w:eastAsia="宋体" w:cs="宋体"/>
          <w:b/>
          <w:color w:val="auto"/>
          <w:spacing w:val="2"/>
          <w:position w:val="-1"/>
          <w:sz w:val="36"/>
          <w:szCs w:val="36"/>
          <w:highlight w:val="none"/>
          <w:lang w:eastAsia="zh-CN"/>
        </w:rPr>
      </w:pPr>
      <w:r>
        <w:rPr>
          <w:rFonts w:hint="eastAsia" w:ascii="宋体" w:hAnsi="宋体" w:eastAsia="宋体" w:cs="宋体"/>
          <w:b/>
          <w:color w:val="auto"/>
          <w:spacing w:val="2"/>
          <w:position w:val="-1"/>
          <w:sz w:val="36"/>
          <w:szCs w:val="36"/>
          <w:highlight w:val="none"/>
        </w:rPr>
        <w:t>中小企业声明函</w:t>
      </w:r>
    </w:p>
    <w:p w14:paraId="0906A79F">
      <w:pPr>
        <w:pStyle w:val="5"/>
        <w:kinsoku w:val="0"/>
        <w:overflowPunct w:val="0"/>
        <w:spacing w:before="12"/>
        <w:rPr>
          <w:rFonts w:hint="eastAsia" w:ascii="宋体" w:hAnsi="宋体" w:eastAsia="宋体" w:cs="宋体"/>
          <w:color w:val="auto"/>
          <w:sz w:val="26"/>
          <w:szCs w:val="26"/>
          <w:highlight w:val="none"/>
        </w:rPr>
      </w:pPr>
    </w:p>
    <w:p w14:paraId="1A734260">
      <w:pPr>
        <w:pStyle w:val="5"/>
        <w:tabs>
          <w:tab w:val="left" w:pos="1981"/>
          <w:tab w:val="left" w:pos="3555"/>
        </w:tabs>
        <w:kinsoku w:val="0"/>
        <w:overflowPunct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ab/>
      </w:r>
      <w:r>
        <w:rPr>
          <w:rFonts w:hint="eastAsia" w:ascii="宋体" w:hAnsi="宋体" w:eastAsia="宋体" w:cs="宋体"/>
          <w:color w:val="auto"/>
          <w:w w:val="95"/>
          <w:sz w:val="24"/>
          <w:szCs w:val="24"/>
          <w:highlight w:val="none"/>
          <w:u w:val="single"/>
        </w:rPr>
        <w:t>（招标人）</w:t>
      </w:r>
      <w:r>
        <w:rPr>
          <w:rFonts w:hint="eastAsia" w:ascii="宋体" w:hAnsi="宋体" w:eastAsia="宋体" w:cs="宋体"/>
          <w:color w:val="auto"/>
          <w:sz w:val="24"/>
          <w:szCs w:val="24"/>
          <w:highlight w:val="none"/>
          <w:u w:val="single"/>
        </w:rPr>
        <w:tab/>
      </w:r>
    </w:p>
    <w:p w14:paraId="729997D7">
      <w:pPr>
        <w:pStyle w:val="5"/>
        <w:kinsoku w:val="0"/>
        <w:overflowPunct w:val="0"/>
        <w:spacing w:after="0" w:line="360" w:lineRule="auto"/>
        <w:ind w:right="216" w:firstLine="46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本公司郑重声明，根据《政府采购促进中小企业发展管理办法》</w:t>
      </w:r>
      <w:r>
        <w:rPr>
          <w:rFonts w:hint="eastAsia" w:ascii="宋体" w:hAnsi="宋体" w:eastAsia="宋体" w:cs="宋体"/>
          <w:color w:val="auto"/>
          <w:sz w:val="24"/>
          <w:szCs w:val="24"/>
          <w:highlight w:val="none"/>
        </w:rPr>
        <w:t>（财库﹝2020﹞46</w:t>
      </w:r>
      <w:r>
        <w:rPr>
          <w:rFonts w:hint="eastAsia" w:ascii="宋体" w:hAnsi="宋体" w:eastAsia="宋体" w:cs="宋体"/>
          <w:color w:val="auto"/>
          <w:spacing w:val="-35"/>
          <w:sz w:val="24"/>
          <w:szCs w:val="24"/>
          <w:highlight w:val="none"/>
        </w:rPr>
        <w:t>号</w:t>
      </w:r>
      <w:r>
        <w:rPr>
          <w:rFonts w:hint="eastAsia" w:ascii="宋体" w:hAnsi="宋体" w:eastAsia="宋体" w:cs="宋体"/>
          <w:color w:val="auto"/>
          <w:sz w:val="24"/>
          <w:szCs w:val="24"/>
          <w:highlight w:val="none"/>
        </w:rPr>
        <w:t>）的规定，本公司参加</w:t>
      </w:r>
      <w:r>
        <w:rPr>
          <w:rFonts w:hint="eastAsia" w:ascii="宋体" w:hAnsi="宋体" w:eastAsia="宋体" w:cs="宋体"/>
          <w:color w:val="auto"/>
          <w:sz w:val="24"/>
          <w:szCs w:val="24"/>
          <w:highlight w:val="none"/>
          <w:u w:val="single"/>
        </w:rPr>
        <w:t>（招标人）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招标活动，工程的施工单位全部为符合政策要求的中小企业。企业的具体情况如下：</w:t>
      </w:r>
    </w:p>
    <w:p w14:paraId="7FD9D3A7">
      <w:pPr>
        <w:pStyle w:val="5"/>
        <w:kinsoku w:val="0"/>
        <w:overflowPunct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属</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承</w:t>
      </w:r>
      <w:r>
        <w:rPr>
          <w:rFonts w:hint="eastAsia" w:ascii="宋体" w:hAnsi="宋体" w:eastAsia="宋体" w:cs="宋体"/>
          <w:color w:val="auto"/>
          <w:sz w:val="24"/>
          <w:szCs w:val="24"/>
          <w:highlight w:val="none"/>
        </w:rPr>
        <w:t>建（承</w:t>
      </w:r>
      <w:r>
        <w:rPr>
          <w:rFonts w:hint="eastAsia" w:ascii="宋体" w:hAnsi="宋体" w:eastAsia="宋体" w:cs="宋体"/>
          <w:color w:val="auto"/>
          <w:spacing w:val="2"/>
          <w:sz w:val="24"/>
          <w:szCs w:val="24"/>
          <w:highlight w:val="none"/>
        </w:rPr>
        <w:t>接</w:t>
      </w:r>
      <w:r>
        <w:rPr>
          <w:rFonts w:hint="eastAsia" w:ascii="宋体" w:hAnsi="宋体" w:eastAsia="宋体" w:cs="宋体"/>
          <w:color w:val="auto"/>
          <w:sz w:val="24"/>
          <w:szCs w:val="24"/>
          <w:highlight w:val="none"/>
        </w:rPr>
        <w:t>）企</w:t>
      </w:r>
      <w:r>
        <w:rPr>
          <w:rFonts w:hint="eastAsia" w:ascii="宋体" w:hAnsi="宋体" w:eastAsia="宋体" w:cs="宋体"/>
          <w:color w:val="auto"/>
          <w:spacing w:val="2"/>
          <w:sz w:val="24"/>
          <w:szCs w:val="24"/>
          <w:highlight w:val="none"/>
        </w:rPr>
        <w:t>业</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2"/>
          <w:sz w:val="24"/>
          <w:szCs w:val="24"/>
          <w:highlight w:val="none"/>
          <w:u w:val="single"/>
        </w:rPr>
        <w:t>企</w:t>
      </w:r>
      <w:r>
        <w:rPr>
          <w:rFonts w:hint="eastAsia" w:ascii="宋体" w:hAnsi="宋体" w:eastAsia="宋体" w:cs="宋体"/>
          <w:color w:val="auto"/>
          <w:sz w:val="24"/>
          <w:szCs w:val="24"/>
          <w:highlight w:val="none"/>
          <w:u w:val="single"/>
        </w:rPr>
        <w:t>业名</w:t>
      </w:r>
      <w:r>
        <w:rPr>
          <w:rFonts w:hint="eastAsia" w:ascii="宋体" w:hAnsi="宋体" w:eastAsia="宋体" w:cs="宋体"/>
          <w:color w:val="auto"/>
          <w:spacing w:val="2"/>
          <w:sz w:val="24"/>
          <w:szCs w:val="24"/>
          <w:highlight w:val="none"/>
          <w:u w:val="single"/>
        </w:rPr>
        <w:t>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从</w:t>
      </w:r>
      <w:r>
        <w:rPr>
          <w:rFonts w:hint="eastAsia" w:ascii="宋体" w:hAnsi="宋体" w:eastAsia="宋体" w:cs="宋体"/>
          <w:color w:val="auto"/>
          <w:sz w:val="24"/>
          <w:szCs w:val="24"/>
          <w:highlight w:val="none"/>
        </w:rPr>
        <w:t>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pacing w:val="-1"/>
          <w:w w:val="99"/>
          <w:sz w:val="24"/>
          <w:szCs w:val="24"/>
          <w:highlight w:val="none"/>
        </w:rPr>
        <w:t>，</w:t>
      </w:r>
      <w:r>
        <w:rPr>
          <w:rFonts w:hint="eastAsia" w:ascii="宋体" w:hAnsi="宋体" w:eastAsia="宋体" w:cs="宋体"/>
          <w:color w:val="auto"/>
          <w:sz w:val="24"/>
          <w:szCs w:val="24"/>
          <w:highlight w:val="none"/>
        </w:rPr>
        <w:t>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pacing w:val="-1"/>
          <w:w w:val="99"/>
          <w:sz w:val="24"/>
          <w:szCs w:val="24"/>
          <w:highlight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w w:val="99"/>
          <w:sz w:val="24"/>
          <w:szCs w:val="24"/>
          <w:highlight w:val="none"/>
        </w:rPr>
        <w:t>；</w:t>
      </w:r>
    </w:p>
    <w:p w14:paraId="4122E650">
      <w:pPr>
        <w:pStyle w:val="5"/>
        <w:kinsoku w:val="0"/>
        <w:overflowPunct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4D380E1">
      <w:pPr>
        <w:pStyle w:val="5"/>
        <w:kinsoku w:val="0"/>
        <w:overflowPunct w:val="0"/>
        <w:spacing w:after="0" w:line="360" w:lineRule="auto"/>
        <w:ind w:right="32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97AB598">
      <w:pPr>
        <w:pStyle w:val="5"/>
        <w:kinsoku w:val="0"/>
        <w:overflowPunct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423B9AA">
      <w:pPr>
        <w:pStyle w:val="23"/>
        <w:widowControl/>
        <w:shd w:val="clear" w:color="auto" w:fill="FFFFFF"/>
        <w:spacing w:line="360" w:lineRule="auto"/>
        <w:ind w:firstLine="3780"/>
        <w:rPr>
          <w:rFonts w:ascii="宋体" w:hAnsi="宋体" w:cs="宋体"/>
          <w:color w:val="auto"/>
          <w:kern w:val="0"/>
          <w:sz w:val="24"/>
          <w:highlight w:val="none"/>
        </w:rPr>
      </w:pPr>
    </w:p>
    <w:p w14:paraId="3DF56D65">
      <w:pPr>
        <w:pStyle w:val="23"/>
        <w:widowControl/>
        <w:shd w:val="clear" w:color="auto" w:fill="FFFFFF"/>
        <w:spacing w:line="360" w:lineRule="auto"/>
        <w:ind w:firstLine="4380" w:firstLineChars="1825"/>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ascii="宋体" w:hAnsi="宋体" w:cs="宋体"/>
          <w:color w:val="auto"/>
          <w:kern w:val="0"/>
          <w:sz w:val="24"/>
          <w:highlight w:val="none"/>
          <w:u w:val="single"/>
        </w:rPr>
        <w:tab/>
      </w:r>
      <w:r>
        <w:rPr>
          <w:rFonts w:ascii="宋体" w:hAnsi="宋体" w:cs="宋体"/>
          <w:color w:val="auto"/>
          <w:kern w:val="0"/>
          <w:sz w:val="24"/>
          <w:highlight w:val="none"/>
          <w:u w:val="single"/>
        </w:rPr>
        <w:tab/>
      </w:r>
      <w:r>
        <w:rPr>
          <w:rFonts w:hint="eastAsia" w:ascii="宋体" w:hAnsi="宋体" w:cs="宋体"/>
          <w:color w:val="auto"/>
          <w:kern w:val="0"/>
          <w:sz w:val="24"/>
          <w:highlight w:val="none"/>
        </w:rPr>
        <w:t>（盖章）</w:t>
      </w:r>
    </w:p>
    <w:p w14:paraId="40370455">
      <w:pPr>
        <w:pStyle w:val="23"/>
        <w:widowControl/>
        <w:shd w:val="clear" w:color="auto" w:fill="FFFFFF"/>
        <w:spacing w:line="360" w:lineRule="auto"/>
        <w:ind w:right="1440"/>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年  月  日</w:t>
      </w:r>
    </w:p>
    <w:p w14:paraId="773BAD08">
      <w:pPr>
        <w:spacing w:line="360" w:lineRule="auto"/>
        <w:rPr>
          <w:rFonts w:hint="eastAsia" w:ascii="宋体" w:hAnsi="宋体" w:eastAsia="宋体" w:cs="宋体"/>
          <w:color w:val="auto"/>
          <w:sz w:val="24"/>
          <w:szCs w:val="24"/>
          <w:highlight w:val="none"/>
        </w:rPr>
      </w:pPr>
    </w:p>
    <w:p w14:paraId="3A0615D8">
      <w:pPr>
        <w:spacing w:line="360" w:lineRule="auto"/>
        <w:rPr>
          <w:rFonts w:hint="eastAsia" w:ascii="宋体" w:hAnsi="宋体" w:eastAsia="宋体" w:cs="宋体"/>
          <w:color w:val="auto"/>
          <w:sz w:val="24"/>
          <w:szCs w:val="24"/>
          <w:highlight w:val="none"/>
        </w:rPr>
      </w:pPr>
    </w:p>
    <w:p w14:paraId="56B2CD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11D39B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投标人应当自行核实是否属于小微企业，并认真填写声明函，若有虚假将追究其责任。</w:t>
      </w:r>
    </w:p>
    <w:p w14:paraId="117BB863">
      <w:pPr>
        <w:jc w:val="both"/>
        <w:rPr>
          <w:rFonts w:hint="eastAsia" w:ascii="宋体" w:eastAsia="宋体"/>
          <w:b/>
          <w:strike/>
          <w:dstrike w:val="0"/>
          <w:color w:val="auto"/>
          <w:highlight w:val="none"/>
        </w:rPr>
        <w:sectPr>
          <w:pgSz w:w="11850" w:h="16783"/>
          <w:pgMar w:top="1417" w:right="1290" w:bottom="1417" w:left="1290" w:header="851" w:footer="992" w:gutter="0"/>
          <w:pgNumType w:fmt="decimal"/>
          <w:cols w:space="720" w:num="1"/>
          <w:docGrid w:type="lines" w:linePitch="312" w:charSpace="0"/>
        </w:sectPr>
      </w:pPr>
      <w:r>
        <w:rPr>
          <w:rFonts w:hint="eastAsia" w:ascii="宋体" w:hAnsi="宋体" w:eastAsia="宋体" w:cs="宋体"/>
          <w:b/>
          <w:bCs/>
          <w:color w:val="auto"/>
          <w:sz w:val="27"/>
          <w:szCs w:val="27"/>
          <w:highlight w:val="none"/>
        </w:rPr>
        <w:br w:type="page"/>
      </w:r>
    </w:p>
    <w:p w14:paraId="4565B51C">
      <w:pPr>
        <w:pStyle w:val="2"/>
        <w:jc w:val="center"/>
        <w:rPr>
          <w:rFonts w:ascii="宋体" w:eastAsia="宋体"/>
          <w:b w:val="0"/>
          <w:color w:val="auto"/>
          <w:highlight w:val="none"/>
        </w:rPr>
      </w:pPr>
      <w:bookmarkStart w:id="325" w:name="_Toc12385"/>
      <w:r>
        <w:rPr>
          <w:rFonts w:hint="eastAsia" w:ascii="宋体" w:eastAsia="宋体"/>
          <w:b w:val="0"/>
          <w:color w:val="auto"/>
          <w:highlight w:val="none"/>
        </w:rPr>
        <w:t>第五章  技术条件（工程建设标准）</w:t>
      </w:r>
      <w:bookmarkEnd w:id="311"/>
      <w:bookmarkEnd w:id="312"/>
      <w:bookmarkEnd w:id="313"/>
      <w:bookmarkEnd w:id="314"/>
      <w:bookmarkEnd w:id="315"/>
      <w:bookmarkEnd w:id="317"/>
      <w:bookmarkEnd w:id="318"/>
      <w:bookmarkEnd w:id="319"/>
      <w:bookmarkEnd w:id="320"/>
      <w:bookmarkEnd w:id="321"/>
      <w:bookmarkEnd w:id="325"/>
    </w:p>
    <w:p w14:paraId="0339774D">
      <w:pPr>
        <w:rPr>
          <w:rFonts w:ascii="宋体" w:hAnsi="宋体" w:eastAsia="宋体"/>
          <w:color w:val="auto"/>
          <w:sz w:val="24"/>
          <w:szCs w:val="24"/>
          <w:highlight w:val="none"/>
        </w:rPr>
      </w:pPr>
    </w:p>
    <w:p w14:paraId="12C3F1A4">
      <w:pPr>
        <w:rPr>
          <w:rFonts w:ascii="宋体" w:hAnsi="宋体" w:eastAsia="宋体"/>
          <w:color w:val="auto"/>
          <w:sz w:val="24"/>
          <w:szCs w:val="24"/>
          <w:highlight w:val="none"/>
        </w:rPr>
      </w:pPr>
    </w:p>
    <w:p w14:paraId="5937CC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以现行的中华人民共和国及有关部委颁布的标准、规范、和规程。若施工时期建设主管部门颁布新的规范、标准，则按照新的规范、标准执行。</w:t>
      </w:r>
    </w:p>
    <w:p w14:paraId="529E4B9D">
      <w:pPr>
        <w:rPr>
          <w:rFonts w:ascii="宋体" w:hAnsi="宋体" w:eastAsia="宋体"/>
          <w:color w:val="auto"/>
          <w:highlight w:val="none"/>
        </w:rPr>
      </w:pPr>
      <w:r>
        <w:rPr>
          <w:rFonts w:ascii="宋体" w:hAnsi="宋体" w:eastAsia="宋体"/>
          <w:color w:val="auto"/>
          <w:szCs w:val="21"/>
          <w:highlight w:val="none"/>
        </w:rPr>
        <w:br w:type="page"/>
      </w:r>
    </w:p>
    <w:p w14:paraId="6950F5F1">
      <w:pPr>
        <w:pStyle w:val="2"/>
        <w:rPr>
          <w:rFonts w:ascii="宋体" w:eastAsia="宋体"/>
          <w:b w:val="0"/>
          <w:color w:val="auto"/>
          <w:highlight w:val="none"/>
        </w:rPr>
      </w:pPr>
      <w:bookmarkStart w:id="326" w:name="_第六章__图纸及勘察资料"/>
      <w:bookmarkEnd w:id="326"/>
      <w:bookmarkStart w:id="327" w:name="_Toc13226"/>
      <w:bookmarkStart w:id="328" w:name="_Toc30634"/>
      <w:bookmarkStart w:id="329" w:name="_Toc262229177"/>
      <w:bookmarkStart w:id="330" w:name="_Toc1405"/>
      <w:bookmarkStart w:id="331" w:name="_Toc13214"/>
      <w:bookmarkStart w:id="332" w:name="_Toc10021"/>
      <w:bookmarkStart w:id="333" w:name="_Toc24765"/>
      <w:bookmarkStart w:id="334" w:name="_Toc21559"/>
      <w:bookmarkStart w:id="335" w:name="_Toc27338"/>
      <w:bookmarkStart w:id="336" w:name="_Toc23083"/>
      <w:bookmarkStart w:id="337" w:name="_Toc31137"/>
      <w:r>
        <w:rPr>
          <w:rFonts w:hint="eastAsia" w:ascii="宋体" w:eastAsia="宋体"/>
          <w:b w:val="0"/>
          <w:color w:val="auto"/>
          <w:highlight w:val="none"/>
        </w:rPr>
        <w:t>第六章  图纸及勘察资料</w:t>
      </w:r>
      <w:bookmarkEnd w:id="327"/>
      <w:bookmarkEnd w:id="328"/>
      <w:bookmarkEnd w:id="329"/>
      <w:bookmarkEnd w:id="330"/>
      <w:bookmarkEnd w:id="331"/>
      <w:bookmarkEnd w:id="332"/>
      <w:bookmarkEnd w:id="333"/>
      <w:bookmarkEnd w:id="334"/>
      <w:bookmarkEnd w:id="335"/>
      <w:bookmarkEnd w:id="336"/>
      <w:bookmarkEnd w:id="337"/>
    </w:p>
    <w:p w14:paraId="37F511F9">
      <w:pPr>
        <w:rPr>
          <w:rFonts w:ascii="宋体" w:hAnsi="宋体" w:eastAsia="宋体"/>
          <w:color w:val="auto"/>
          <w:sz w:val="24"/>
          <w:szCs w:val="24"/>
          <w:highlight w:val="none"/>
        </w:rPr>
      </w:pPr>
    </w:p>
    <w:p w14:paraId="04062BF6">
      <w:pPr>
        <w:rPr>
          <w:rFonts w:ascii="宋体" w:hAnsi="宋体" w:eastAsia="宋体"/>
          <w:color w:val="auto"/>
          <w:sz w:val="24"/>
          <w:szCs w:val="24"/>
          <w:highlight w:val="none"/>
        </w:rPr>
      </w:pPr>
    </w:p>
    <w:p w14:paraId="3F765A47">
      <w:pPr>
        <w:rPr>
          <w:rFonts w:ascii="宋体" w:hAnsi="宋体" w:eastAsia="宋体"/>
          <w:b/>
          <w:color w:val="auto"/>
          <w:sz w:val="24"/>
          <w:szCs w:val="24"/>
          <w:highlight w:val="none"/>
        </w:rPr>
      </w:pPr>
      <w:r>
        <w:rPr>
          <w:rFonts w:hint="eastAsia" w:ascii="宋体" w:hAnsi="宋体" w:eastAsia="宋体"/>
          <w:color w:val="auto"/>
          <w:sz w:val="24"/>
          <w:szCs w:val="24"/>
          <w:highlight w:val="none"/>
        </w:rPr>
        <w:t>注：本章由招标人自行制定，另册。</w:t>
      </w:r>
    </w:p>
    <w:p w14:paraId="4CB0E1E8">
      <w:pPr>
        <w:rPr>
          <w:rFonts w:ascii="宋体" w:hAnsi="宋体" w:eastAsia="宋体"/>
          <w:color w:val="auto"/>
          <w:highlight w:val="none"/>
        </w:rPr>
      </w:pPr>
    </w:p>
    <w:p w14:paraId="3D9591AC">
      <w:pPr>
        <w:pStyle w:val="14"/>
        <w:ind w:firstLine="0"/>
        <w:rPr>
          <w:rFonts w:ascii="宋体" w:hAnsi="宋体" w:eastAsia="宋体"/>
          <w:color w:val="auto"/>
          <w:highlight w:val="none"/>
        </w:rPr>
      </w:pPr>
    </w:p>
    <w:p w14:paraId="68606694">
      <w:pPr>
        <w:pStyle w:val="14"/>
        <w:ind w:firstLine="0"/>
        <w:rPr>
          <w:rFonts w:ascii="宋体" w:hAnsi="宋体" w:eastAsia="宋体"/>
          <w:color w:val="auto"/>
          <w:highlight w:val="none"/>
        </w:rPr>
      </w:pPr>
    </w:p>
    <w:p w14:paraId="3D1AFBEC">
      <w:pPr>
        <w:pStyle w:val="14"/>
        <w:ind w:firstLine="0"/>
        <w:rPr>
          <w:rFonts w:ascii="宋体" w:hAnsi="宋体" w:eastAsia="宋体"/>
          <w:color w:val="auto"/>
          <w:highlight w:val="none"/>
        </w:rPr>
      </w:pPr>
    </w:p>
    <w:p w14:paraId="3CA8ADAC">
      <w:pPr>
        <w:pStyle w:val="14"/>
        <w:ind w:firstLine="0"/>
        <w:rPr>
          <w:rFonts w:ascii="宋体" w:hAnsi="宋体" w:eastAsia="宋体"/>
          <w:color w:val="auto"/>
          <w:highlight w:val="none"/>
        </w:rPr>
      </w:pPr>
      <w:r>
        <w:rPr>
          <w:rFonts w:ascii="宋体" w:hAnsi="宋体" w:eastAsia="宋体"/>
          <w:color w:val="auto"/>
          <w:highlight w:val="none"/>
        </w:rPr>
        <w:br w:type="page"/>
      </w:r>
    </w:p>
    <w:p w14:paraId="35943BC7">
      <w:pPr>
        <w:pStyle w:val="2"/>
        <w:rPr>
          <w:rFonts w:ascii="宋体" w:eastAsia="宋体"/>
          <w:b w:val="0"/>
          <w:color w:val="auto"/>
          <w:highlight w:val="none"/>
        </w:rPr>
      </w:pPr>
      <w:bookmarkStart w:id="338" w:name="_第七章__工程量清单"/>
      <w:bookmarkEnd w:id="338"/>
      <w:bookmarkStart w:id="339" w:name="_Toc2417"/>
      <w:bookmarkStart w:id="340" w:name="_Toc6799"/>
      <w:bookmarkStart w:id="341" w:name="_Toc15102"/>
      <w:bookmarkStart w:id="342" w:name="_Toc262229178"/>
      <w:bookmarkStart w:id="343" w:name="_Toc11895"/>
      <w:bookmarkStart w:id="344" w:name="_Toc22633"/>
      <w:bookmarkStart w:id="345" w:name="_Toc6561"/>
      <w:bookmarkStart w:id="346" w:name="_Toc16019"/>
      <w:bookmarkStart w:id="347" w:name="_Toc7393"/>
      <w:bookmarkStart w:id="348" w:name="_Toc8369"/>
      <w:bookmarkStart w:id="349" w:name="_Toc12762"/>
      <w:r>
        <w:rPr>
          <w:rFonts w:hint="eastAsia" w:ascii="宋体" w:eastAsia="宋体"/>
          <w:b w:val="0"/>
          <w:color w:val="auto"/>
          <w:highlight w:val="none"/>
        </w:rPr>
        <w:t>第七章  工程量清单</w:t>
      </w:r>
      <w:bookmarkEnd w:id="339"/>
      <w:bookmarkEnd w:id="340"/>
      <w:bookmarkEnd w:id="341"/>
      <w:bookmarkEnd w:id="342"/>
      <w:bookmarkEnd w:id="343"/>
      <w:bookmarkEnd w:id="344"/>
      <w:bookmarkEnd w:id="345"/>
      <w:bookmarkEnd w:id="346"/>
      <w:bookmarkEnd w:id="347"/>
      <w:bookmarkEnd w:id="348"/>
      <w:bookmarkEnd w:id="349"/>
    </w:p>
    <w:p w14:paraId="08C5494A">
      <w:pPr>
        <w:rPr>
          <w:rFonts w:ascii="宋体" w:hAnsi="宋体" w:eastAsia="宋体"/>
          <w:color w:val="auto"/>
          <w:sz w:val="24"/>
          <w:szCs w:val="24"/>
          <w:highlight w:val="none"/>
        </w:rPr>
      </w:pPr>
    </w:p>
    <w:p w14:paraId="56307605">
      <w:pPr>
        <w:rPr>
          <w:rFonts w:ascii="宋体" w:hAnsi="宋体" w:eastAsia="宋体"/>
          <w:color w:val="auto"/>
          <w:sz w:val="24"/>
          <w:szCs w:val="24"/>
          <w:highlight w:val="none"/>
        </w:rPr>
      </w:pPr>
    </w:p>
    <w:p w14:paraId="265F9ABB">
      <w:pPr>
        <w:rPr>
          <w:rFonts w:ascii="宋体" w:hAnsi="宋体" w:eastAsia="宋体"/>
          <w:b/>
          <w:color w:val="auto"/>
          <w:sz w:val="24"/>
          <w:szCs w:val="24"/>
          <w:highlight w:val="none"/>
        </w:rPr>
      </w:pPr>
      <w:r>
        <w:rPr>
          <w:rFonts w:hint="eastAsia" w:ascii="宋体" w:hAnsi="宋体" w:eastAsia="宋体"/>
          <w:color w:val="auto"/>
          <w:sz w:val="24"/>
          <w:szCs w:val="24"/>
          <w:highlight w:val="none"/>
        </w:rPr>
        <w:t>注：本章由招标人自行制定</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另册</w:t>
      </w:r>
      <w:r>
        <w:rPr>
          <w:rFonts w:hint="eastAsia" w:ascii="宋体" w:hAnsi="宋体" w:eastAsia="宋体"/>
          <w:color w:val="auto"/>
          <w:sz w:val="24"/>
          <w:szCs w:val="24"/>
          <w:highlight w:val="none"/>
          <w:lang w:eastAsia="zh-CN"/>
        </w:rPr>
        <w:t>。</w:t>
      </w:r>
    </w:p>
    <w:p w14:paraId="3395D15F">
      <w:pPr>
        <w:pStyle w:val="14"/>
        <w:spacing w:after="0" w:line="360" w:lineRule="auto"/>
        <w:ind w:left="-2" w:leftChars="-1" w:firstLine="960" w:firstLineChars="400"/>
        <w:rPr>
          <w:rFonts w:ascii="宋体" w:hAnsi="宋体" w:eastAsia="宋体"/>
          <w:color w:val="auto"/>
          <w:sz w:val="24"/>
          <w:szCs w:val="24"/>
          <w:highlight w:val="none"/>
        </w:rPr>
      </w:pPr>
    </w:p>
    <w:p w14:paraId="03764130">
      <w:pPr>
        <w:jc w:val="center"/>
        <w:outlineLvl w:val="1"/>
        <w:rPr>
          <w:rFonts w:hint="eastAsia" w:ascii="宋体" w:eastAsia="宋体"/>
          <w:b/>
          <w:color w:val="auto"/>
          <w:highlight w:val="none"/>
        </w:rPr>
      </w:pPr>
      <w:bookmarkStart w:id="350" w:name="_最高投标限价"/>
      <w:bookmarkEnd w:id="350"/>
      <w:r>
        <w:rPr>
          <w:rFonts w:ascii="宋体" w:eastAsia="宋体"/>
          <w:color w:val="auto"/>
          <w:highlight w:val="none"/>
        </w:rPr>
        <w:br w:type="page"/>
      </w:r>
      <w:bookmarkStart w:id="351" w:name="_Toc3215"/>
      <w:bookmarkStart w:id="352" w:name="_Toc9645"/>
      <w:bookmarkStart w:id="353" w:name="_Toc10897"/>
      <w:bookmarkStart w:id="354" w:name="_Toc6183"/>
      <w:bookmarkStart w:id="355" w:name="_Toc17533"/>
      <w:bookmarkStart w:id="356" w:name="_Toc133"/>
      <w:bookmarkStart w:id="357" w:name="_Toc23743"/>
      <w:bookmarkStart w:id="358" w:name="_Toc22863"/>
      <w:bookmarkStart w:id="359" w:name="_Toc13396"/>
      <w:bookmarkStart w:id="360" w:name="_Toc6519"/>
      <w:r>
        <w:rPr>
          <w:rFonts w:hint="eastAsia" w:ascii="宋体" w:hAnsi="宋体" w:eastAsia="宋体" w:cs="宋体"/>
          <w:b/>
          <w:bCs/>
          <w:color w:val="auto"/>
          <w:sz w:val="30"/>
          <w:szCs w:val="30"/>
          <w:highlight w:val="none"/>
        </w:rPr>
        <w:t>第八章</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30"/>
          <w:szCs w:val="30"/>
          <w:highlight w:val="none"/>
        </w:rPr>
        <w:t>最高投标限价</w:t>
      </w:r>
      <w:bookmarkEnd w:id="351"/>
      <w:bookmarkEnd w:id="352"/>
      <w:bookmarkEnd w:id="353"/>
      <w:bookmarkEnd w:id="354"/>
      <w:bookmarkEnd w:id="355"/>
      <w:bookmarkEnd w:id="356"/>
      <w:bookmarkEnd w:id="357"/>
      <w:bookmarkEnd w:id="358"/>
      <w:bookmarkEnd w:id="359"/>
      <w:bookmarkEnd w:id="360"/>
    </w:p>
    <w:p w14:paraId="38DDC02E">
      <w:pPr>
        <w:pStyle w:val="14"/>
        <w:rPr>
          <w:color w:val="auto"/>
          <w:highlight w:val="none"/>
        </w:rPr>
      </w:pPr>
    </w:p>
    <w:p w14:paraId="62893F44">
      <w:pPr>
        <w:spacing w:line="360" w:lineRule="auto"/>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注：招标人应当在发布招标文件时，公布最高投标限价的总价，分部分项工程费、措施项目费、其他项目费、规费和税金，以及绿色施工安全防护措施费、暂列金额、暂估价等投标人不可竞争的固定报价。</w:t>
      </w:r>
      <w:r>
        <w:rPr>
          <w:rFonts w:hint="eastAsia" w:ascii="宋体" w:hAnsi="宋体" w:eastAsia="宋体"/>
          <w:color w:val="auto"/>
          <w:sz w:val="24"/>
          <w:szCs w:val="24"/>
          <w:highlight w:val="none"/>
          <w:lang w:val="en-US" w:eastAsia="zh-CN"/>
        </w:rPr>
        <w:t>另册。</w:t>
      </w:r>
    </w:p>
    <w:p w14:paraId="27330B5C">
      <w:pPr>
        <w:spacing w:line="360" w:lineRule="auto"/>
        <w:ind w:firstLine="480"/>
        <w:rPr>
          <w:rFonts w:hint="eastAsia" w:ascii="宋体" w:hAnsi="宋体" w:eastAsia="宋体"/>
          <w:color w:val="auto"/>
          <w:sz w:val="24"/>
          <w:szCs w:val="24"/>
          <w:highlight w:val="none"/>
        </w:rPr>
      </w:pPr>
    </w:p>
    <w:bookmarkEnd w:id="262"/>
    <w:bookmarkEnd w:id="263"/>
    <w:p w14:paraId="4DC483F0">
      <w:pPr>
        <w:rPr>
          <w:rFonts w:ascii="宋体" w:hAnsi="宋体" w:eastAsia="宋体"/>
          <w:color w:val="auto"/>
          <w:highlight w:val="none"/>
        </w:rPr>
      </w:pPr>
    </w:p>
    <w:p w14:paraId="2B1A78D4"/>
    <w:sectPr>
      <w:pgSz w:w="11850" w:h="16783"/>
      <w:pgMar w:top="1417" w:right="1290" w:bottom="1417" w:left="129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F252A">
    <w:pPr>
      <w:pStyle w:val="10"/>
    </w:pPr>
    <w: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0</wp:posOffset>
              </wp:positionV>
              <wp:extent cx="153035" cy="175260"/>
              <wp:effectExtent l="0" t="0" r="0" b="0"/>
              <wp:wrapThrough wrapText="bothSides">
                <wp:wrapPolygon>
                  <wp:start x="0" y="0"/>
                  <wp:lineTo x="21600" y="0"/>
                  <wp:lineTo x="21600" y="21600"/>
                  <wp:lineTo x="0" y="21600"/>
                  <wp:lineTo x="0" y="0"/>
                </wp:wrapPolygon>
              </wp:wrapThrough>
              <wp:docPr id="1" name="文本框 1"/>
              <wp:cNvGraphicFramePr/>
              <a:graphic xmlns:a="http://schemas.openxmlformats.org/drawingml/2006/main">
                <a:graphicData uri="http://schemas.microsoft.com/office/word/2010/wordprocessingShape">
                  <wps:wsp>
                    <wps:cNvSpPr txBox="1"/>
                    <wps:spPr>
                      <a:xfrm>
                        <a:off x="0" y="0"/>
                        <a:ext cx="153035" cy="175260"/>
                      </a:xfrm>
                      <a:prstGeom prst="rect">
                        <a:avLst/>
                      </a:prstGeom>
                      <a:noFill/>
                      <a:ln>
                        <a:noFill/>
                      </a:ln>
                    </wps:spPr>
                    <wps:txbx>
                      <w:txbxContent>
                        <w:p w14:paraId="5898BF9A">
                          <w:pPr>
                            <w:pStyle w:val="10"/>
                            <w:rPr>
                              <w:rStyle w:val="18"/>
                              <w:sz w:val="21"/>
                              <w:szCs w:val="21"/>
                            </w:rPr>
                          </w:pPr>
                          <w:r>
                            <w:rPr>
                              <w:sz w:val="21"/>
                              <w:szCs w:val="21"/>
                            </w:rPr>
                            <w:fldChar w:fldCharType="begin"/>
                          </w:r>
                          <w:r>
                            <w:rPr>
                              <w:rStyle w:val="18"/>
                              <w:sz w:val="21"/>
                              <w:szCs w:val="21"/>
                            </w:rPr>
                            <w:instrText xml:space="preserve">PAGE  </w:instrText>
                          </w:r>
                          <w:r>
                            <w:rPr>
                              <w:sz w:val="21"/>
                              <w:szCs w:val="21"/>
                            </w:rPr>
                            <w:fldChar w:fldCharType="separate"/>
                          </w:r>
                          <w:r>
                            <w:rPr>
                              <w:rStyle w:val="18"/>
                              <w:sz w:val="21"/>
                              <w:szCs w:val="21"/>
                            </w:rPr>
                            <w:t>56</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3.8pt;width:12.05pt;mso-position-horizontal:center;mso-position-horizontal-relative:margin;mso-wrap-distance-left:9pt;mso-wrap-distance-right:9pt;mso-wrap-style:none;z-index:-251656192;mso-width-relative:page;mso-height-relative:page;" filled="f" stroked="f" coordsize="21600,21600" wrapcoords="0 0 21600 0 21600 21600 0 21600 0 0" o:gfxdata="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i0qNHRAAAAAwEAAA8AAAAAAAAAAQAgAAAAIgAAAGRycy9kb3du&#10;cmV2LnhtbFBLAQIUABQAAAAIAIdO4kBMmHq9zQEAAJcDAAAOAAAAAAAAAAEAIAAAACABAABkcnMv&#10;ZTJvRG9jLnhtbFBLBQYAAAAABgAGAFkBAABfBQAAAAA=&#10;">
              <v:fill on="f" focussize="0,0"/>
              <v:stroke on="f"/>
              <v:imagedata o:title=""/>
              <o:lock v:ext="edit" aspectratio="f"/>
              <v:textbox inset="0mm,0mm,0mm,0mm" style="mso-fit-shape-to-text:t;">
                <w:txbxContent>
                  <w:p w14:paraId="5898BF9A">
                    <w:pPr>
                      <w:pStyle w:val="10"/>
                      <w:rPr>
                        <w:rStyle w:val="18"/>
                        <w:sz w:val="21"/>
                        <w:szCs w:val="21"/>
                      </w:rPr>
                    </w:pPr>
                    <w:r>
                      <w:rPr>
                        <w:sz w:val="21"/>
                        <w:szCs w:val="21"/>
                      </w:rPr>
                      <w:fldChar w:fldCharType="begin"/>
                    </w:r>
                    <w:r>
                      <w:rPr>
                        <w:rStyle w:val="18"/>
                        <w:sz w:val="21"/>
                        <w:szCs w:val="21"/>
                      </w:rPr>
                      <w:instrText xml:space="preserve">PAGE  </w:instrText>
                    </w:r>
                    <w:r>
                      <w:rPr>
                        <w:sz w:val="21"/>
                        <w:szCs w:val="21"/>
                      </w:rPr>
                      <w:fldChar w:fldCharType="separate"/>
                    </w:r>
                    <w:r>
                      <w:rPr>
                        <w:rStyle w:val="18"/>
                        <w:sz w:val="21"/>
                        <w:szCs w:val="21"/>
                      </w:rPr>
                      <w:t>56</w:t>
                    </w:r>
                    <w:r>
                      <w:rPr>
                        <w:sz w:val="21"/>
                        <w:szCs w:val="21"/>
                      </w:rPr>
                      <w:fldChar w:fldCharType="end"/>
                    </w:r>
                  </w:p>
                </w:txbxContent>
              </v:textbox>
              <w10:wrap type="through"/>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D7F7C">
    <w:pPr>
      <w:pStyle w:val="10"/>
      <w:tabs>
        <w:tab w:val="center" w:pos="4320"/>
        <w:tab w:val="right" w:pos="8640"/>
        <w:tab w:val="clear" w:pos="4153"/>
        <w:tab w:val="clear" w:pos="8306"/>
      </w:tabs>
    </w:pPr>
  </w:p>
  <w:p w14:paraId="7E472EB8">
    <w:pPr>
      <w:pStyle w:val="10"/>
      <w:tabs>
        <w:tab w:val="center" w:pos="4320"/>
        <w:tab w:val="right" w:pos="864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EA7DD2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11</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fill on="f" focussize="0,0"/>
              <v:stroke on="f"/>
              <v:imagedata o:title=""/>
              <o:lock v:ext="edit" aspectratio="f"/>
              <v:textbox inset="0mm,0mm,0mm,0mm" style="mso-fit-shape-to-text:t;">
                <w:txbxContent>
                  <w:p w14:paraId="0EA7DD2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11</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37B7">
    <w:pPr>
      <w:pStyle w:val="11"/>
      <w:pBdr>
        <w:bottom w:val="none" w:color="auto" w:sz="0" w:space="0"/>
      </w:pBdr>
      <w:jc w:val="center"/>
      <w:rPr>
        <w:rFonts w:hint="default" w:eastAsia="楷体_GB2312"/>
        <w:sz w:val="20"/>
        <w:szCs w:val="20"/>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D281A">
    <w:pPr>
      <w:pStyle w:val="11"/>
      <w:pBdr>
        <w:bottom w:val="none" w:color="auto" w:sz="0" w:space="1"/>
      </w:pBdr>
      <w:rPr>
        <w:rFonts w:hint="eastAsia" w:ascii="Times New Roman" w:hAnsi="Times New Roman" w:cs="Times New Roman"/>
        <w:u w:val="none"/>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040AC">
    <w:pPr>
      <w:pStyle w:val="11"/>
      <w:pBdr>
        <w:bottom w:val="none" w:color="auto" w:sz="0" w:space="1"/>
      </w:pBdr>
      <w:rPr>
        <w:rFonts w:hint="eastAsia"/>
        <w:u w:val="none"/>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FD52">
    <w:pPr>
      <w:pStyle w:val="11"/>
      <w:pBdr>
        <w:bottom w:val="none" w:color="auto" w:sz="0" w:space="0"/>
      </w:pBdr>
      <w:jc w:val="both"/>
      <w:rPr>
        <w:rFonts w:hint="eastAsia" w:ascii="宋体" w:hAnsi="宋体" w:eastAsia="宋体" w:cs="宋体"/>
        <w:sz w:val="20"/>
        <w:szCs w:val="20"/>
        <w:lang w:val="en-US" w:eastAsia="zh-CN"/>
      </w:rPr>
    </w:pPr>
  </w:p>
  <w:p w14:paraId="4B079E6A">
    <w:pPr>
      <w:pStyle w:val="11"/>
      <w:pBdr>
        <w:bottom w:val="none" w:color="auto" w:sz="0" w:space="1"/>
      </w:pBdr>
      <w:rPr>
        <w:rFonts w:hint="eastAsia" w:ascii="Times New Roman" w:hAnsi="Times New Roman" w:cs="Times New Roman"/>
        <w:u w:val="none"/>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A52E">
    <w:pPr>
      <w:pStyle w:val="11"/>
      <w:pBdr>
        <w:bottom w:val="none" w:color="auto" w:sz="0" w:space="1"/>
      </w:pBdr>
      <w:rPr>
        <w:rFonts w:hint="eastAsia"/>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E033">
    <w:pPr>
      <w:pStyle w:val="11"/>
      <w:pBdr>
        <w:bottom w:val="none" w:color="auto" w:sz="0" w:space="0"/>
      </w:pBdr>
      <w:jc w:val="center"/>
      <w:rPr>
        <w:rFonts w:hint="eastAsia" w:ascii="宋体" w:hAnsi="宋体" w:eastAsia="宋体" w:cs="宋体"/>
        <w:sz w:val="20"/>
        <w:szCs w:val="20"/>
        <w:lang w:val="en-US" w:eastAsia="zh-CN"/>
      </w:rPr>
    </w:pPr>
  </w:p>
  <w:p w14:paraId="75573497">
    <w:pPr>
      <w:pStyle w:val="11"/>
      <w:pBdr>
        <w:bottom w:val="none" w:color="auto" w:sz="0" w:space="0"/>
      </w:pBdr>
      <w:jc w:val="center"/>
      <w:rPr>
        <w:rFonts w:hint="default" w:eastAsia="楷体_GB2312"/>
        <w:sz w:val="20"/>
        <w:szCs w:val="20"/>
        <w:lang w:val="en-US" w:eastAsia="zh-CN"/>
      </w:rPr>
    </w:pPr>
    <w:r>
      <w:rPr>
        <w:rFonts w:hint="eastAsia" w:ascii="宋体" w:hAnsi="宋体" w:eastAsia="宋体" w:cs="宋体"/>
        <w:sz w:val="20"/>
        <w:szCs w:val="20"/>
        <w:lang w:val="en-US" w:eastAsia="zh-CN"/>
      </w:rPr>
      <w:t>招标项目名称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59CF">
    <w:pPr>
      <w:pStyle w:val="11"/>
      <w:pBdr>
        <w:bottom w:val="none" w:color="auto" w:sz="0" w:space="0"/>
      </w:pBdr>
      <w:jc w:val="left"/>
      <w:rPr>
        <w:rFonts w:hint="eastAsia" w:ascii="宋体" w:hAnsi="宋体" w:eastAsia="宋体" w:cs="宋体"/>
        <w:sz w:val="20"/>
        <w:szCs w:val="20"/>
        <w:lang w:val="en-US" w:eastAsia="zh-CN"/>
      </w:rPr>
    </w:pPr>
  </w:p>
  <w:p w14:paraId="0A238FD4">
    <w:pPr>
      <w:pStyle w:val="11"/>
      <w:pBdr>
        <w:bottom w:val="none" w:color="auto" w:sz="0" w:space="0"/>
      </w:pBdr>
      <w:jc w:val="left"/>
      <w:rPr>
        <w:rFonts w:hint="eastAsia" w:ascii="宋体" w:hAnsi="宋体" w:eastAsia="宋体" w:cs="宋体"/>
        <w:sz w:val="20"/>
        <w:szCs w:val="20"/>
        <w:lang w:val="en-US" w:eastAsia="zh-CN"/>
      </w:rPr>
    </w:pPr>
  </w:p>
  <w:p w14:paraId="293EA13E">
    <w:pPr>
      <w:pStyle w:val="11"/>
      <w:pBdr>
        <w:bottom w:val="none" w:color="auto" w:sz="0" w:space="1"/>
      </w:pBdr>
      <w:rPr>
        <w:rFonts w:hint="eastAsia" w:ascii="宋体" w:hAnsi="宋体" w:eastAsia="宋体" w:cs="宋体"/>
        <w:sz w:val="20"/>
        <w:szCs w:val="20"/>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FBC66">
    <w:pPr>
      <w:pStyle w:val="11"/>
      <w:pBdr>
        <w:bottom w:val="none" w:color="auto" w:sz="0" w:space="1"/>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040EA"/>
    <w:multiLevelType w:val="singleLevel"/>
    <w:tmpl w:val="AD9040EA"/>
    <w:lvl w:ilvl="0" w:tentative="0">
      <w:start w:val="1"/>
      <w:numFmt w:val="decimal"/>
      <w:suff w:val="nothing"/>
      <w:lvlText w:val="%1．"/>
      <w:lvlJc w:val="left"/>
      <w:pPr>
        <w:ind w:left="0" w:firstLine="400"/>
      </w:pPr>
      <w:rPr>
        <w:rFonts w:hint="default"/>
      </w:rPr>
    </w:lvl>
  </w:abstractNum>
  <w:abstractNum w:abstractNumId="1">
    <w:nsid w:val="279B00BB"/>
    <w:multiLevelType w:val="singleLevel"/>
    <w:tmpl w:val="279B00BB"/>
    <w:lvl w:ilvl="0" w:tentative="0">
      <w:start w:val="1"/>
      <w:numFmt w:val="decimal"/>
      <w:suff w:val="nothing"/>
      <w:lvlText w:val="（%1）"/>
      <w:lvlJc w:val="left"/>
    </w:lvl>
  </w:abstractNum>
  <w:abstractNum w:abstractNumId="2">
    <w:nsid w:val="5FA39E2A"/>
    <w:multiLevelType w:val="singleLevel"/>
    <w:tmpl w:val="5FA39E2A"/>
    <w:lvl w:ilvl="0" w:tentative="0">
      <w:start w:val="2"/>
      <w:numFmt w:val="chineseCounting"/>
      <w:suff w:val="nothing"/>
      <w:lvlText w:val="%1、"/>
      <w:lvlJc w:val="left"/>
      <w:rPr>
        <w:rFonts w:hint="eastAsia"/>
      </w:rPr>
    </w:lvl>
  </w:abstractNum>
  <w:abstractNum w:abstractNumId="3">
    <w:nsid w:val="642FB3F3"/>
    <w:multiLevelType w:val="singleLevel"/>
    <w:tmpl w:val="642FB3F3"/>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
    <w15:presenceInfo w15:providerId="None" w15:userId="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YmRmZDI5OGUxNGMyYjc4MzQ5MDgyMmVkZjYxYTkifQ=="/>
  </w:docVars>
  <w:rsids>
    <w:rsidRoot w:val="557323A7"/>
    <w:rsid w:val="01D11354"/>
    <w:rsid w:val="02B43DB8"/>
    <w:rsid w:val="05C70E9C"/>
    <w:rsid w:val="08CB0CA3"/>
    <w:rsid w:val="094D5939"/>
    <w:rsid w:val="09842C00"/>
    <w:rsid w:val="0A516678"/>
    <w:rsid w:val="0C4843B9"/>
    <w:rsid w:val="0DB115A3"/>
    <w:rsid w:val="0F6A3358"/>
    <w:rsid w:val="101A606C"/>
    <w:rsid w:val="10232580"/>
    <w:rsid w:val="10645539"/>
    <w:rsid w:val="11B96311"/>
    <w:rsid w:val="16793CA6"/>
    <w:rsid w:val="16CA243A"/>
    <w:rsid w:val="198B51A0"/>
    <w:rsid w:val="1A393593"/>
    <w:rsid w:val="1B377BF5"/>
    <w:rsid w:val="1B9E1E1C"/>
    <w:rsid w:val="1CD444B2"/>
    <w:rsid w:val="1DE213F4"/>
    <w:rsid w:val="1EE066D3"/>
    <w:rsid w:val="206963AA"/>
    <w:rsid w:val="22192627"/>
    <w:rsid w:val="287E1436"/>
    <w:rsid w:val="2A704DAF"/>
    <w:rsid w:val="2C155C0E"/>
    <w:rsid w:val="2CCF5454"/>
    <w:rsid w:val="2D517119"/>
    <w:rsid w:val="311A6583"/>
    <w:rsid w:val="31ED688C"/>
    <w:rsid w:val="32C668B2"/>
    <w:rsid w:val="33957CEB"/>
    <w:rsid w:val="341328B3"/>
    <w:rsid w:val="36B349A1"/>
    <w:rsid w:val="3A856654"/>
    <w:rsid w:val="3E3208A1"/>
    <w:rsid w:val="40680A3A"/>
    <w:rsid w:val="40F41E3E"/>
    <w:rsid w:val="426E43CE"/>
    <w:rsid w:val="42D3096A"/>
    <w:rsid w:val="466A4950"/>
    <w:rsid w:val="46725508"/>
    <w:rsid w:val="46843E86"/>
    <w:rsid w:val="473A3E2A"/>
    <w:rsid w:val="49A23FC0"/>
    <w:rsid w:val="51961825"/>
    <w:rsid w:val="51E732F9"/>
    <w:rsid w:val="52A55916"/>
    <w:rsid w:val="52D03D8D"/>
    <w:rsid w:val="53E33EFE"/>
    <w:rsid w:val="552F2141"/>
    <w:rsid w:val="557323A7"/>
    <w:rsid w:val="5D935009"/>
    <w:rsid w:val="5F1C2834"/>
    <w:rsid w:val="608A457A"/>
    <w:rsid w:val="621A551D"/>
    <w:rsid w:val="68F55EA4"/>
    <w:rsid w:val="6ABA3ED7"/>
    <w:rsid w:val="6AD60B6A"/>
    <w:rsid w:val="758E40B5"/>
    <w:rsid w:val="77432AB8"/>
    <w:rsid w:val="77690189"/>
    <w:rsid w:val="78931961"/>
    <w:rsid w:val="7B162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1"/>
      <w:lang w:val="en-US" w:eastAsia="zh-CN" w:bidi="ar-SA"/>
    </w:rPr>
  </w:style>
  <w:style w:type="paragraph" w:styleId="2">
    <w:name w:val="heading 2"/>
    <w:basedOn w:val="1"/>
    <w:next w:val="1"/>
    <w:qFormat/>
    <w:uiPriority w:val="0"/>
    <w:pPr>
      <w:keepNext/>
      <w:keepLines/>
      <w:spacing w:before="240" w:beforeLines="0" w:after="120" w:afterLines="0" w:line="360" w:lineRule="auto"/>
      <w:jc w:val="center"/>
      <w:outlineLvl w:val="1"/>
    </w:pPr>
    <w:rPr>
      <w:rFonts w:ascii="仿宋_GB2312" w:hAnsi="宋体" w:eastAsia="仿宋_GB2312" w:cs="宋体"/>
      <w:b/>
      <w:sz w:val="30"/>
      <w:szCs w:val="30"/>
    </w:rPr>
  </w:style>
  <w:style w:type="paragraph" w:styleId="3">
    <w:name w:val="heading 3"/>
    <w:basedOn w:val="1"/>
    <w:next w:val="4"/>
    <w:qFormat/>
    <w:uiPriority w:val="0"/>
    <w:pPr>
      <w:keepNext/>
      <w:keepLines/>
      <w:spacing w:before="156" w:beforeLines="50" w:line="360" w:lineRule="auto"/>
      <w:jc w:val="center"/>
      <w:outlineLvl w:val="2"/>
    </w:pPr>
    <w:rPr>
      <w:rFonts w:ascii="仿宋_GB2312" w:hAnsi="宋体" w:eastAsia="仿宋_GB2312" w:cs="宋体"/>
      <w:b/>
      <w:sz w:val="30"/>
      <w:szCs w:val="3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next w:val="6"/>
    <w:qFormat/>
    <w:uiPriority w:val="0"/>
    <w:pPr>
      <w:spacing w:after="120" w:afterLines="0"/>
    </w:pPr>
    <w:rPr>
      <w:rFonts w:ascii="Times New Roman" w:hAnsi="Times New Roman" w:eastAsia="楷体_GB2312" w:cs="Times New Roman"/>
      <w:szCs w:val="20"/>
    </w:rPr>
  </w:style>
  <w:style w:type="paragraph" w:styleId="6">
    <w:name w:val="Body Text Indent"/>
    <w:basedOn w:val="1"/>
    <w:qFormat/>
    <w:uiPriority w:val="0"/>
    <w:pPr>
      <w:spacing w:after="120"/>
      <w:ind w:left="420" w:leftChars="200"/>
    </w:pPr>
    <w:rPr>
      <w:rFonts w:eastAsia="宋体"/>
      <w:sz w:val="30"/>
      <w:szCs w:val="24"/>
    </w:rPr>
  </w:style>
  <w:style w:type="paragraph" w:styleId="7">
    <w:name w:val="toc 3"/>
    <w:basedOn w:val="1"/>
    <w:next w:val="1"/>
    <w:qFormat/>
    <w:uiPriority w:val="0"/>
    <w:pPr>
      <w:ind w:left="840" w:leftChars="400"/>
    </w:pPr>
  </w:style>
  <w:style w:type="paragraph" w:styleId="8">
    <w:name w:val="Plain Text"/>
    <w:basedOn w:val="1"/>
    <w:next w:val="1"/>
    <w:qFormat/>
    <w:uiPriority w:val="0"/>
    <w:rPr>
      <w:rFonts w:ascii="宋体" w:hAnsi="Courier New" w:eastAsia="楷体_GB2312"/>
      <w:szCs w:val="24"/>
    </w:rPr>
  </w:style>
  <w:style w:type="paragraph" w:styleId="9">
    <w:name w:val="Date"/>
    <w:basedOn w:val="1"/>
    <w:next w:val="1"/>
    <w:qFormat/>
    <w:uiPriority w:val="0"/>
    <w:rPr>
      <w:rFonts w:ascii="Times New Roman" w:hAnsi="Times New Roman" w:eastAsia="楷体_GB2312" w:cs="Times New Roman"/>
      <w:szCs w:val="20"/>
    </w:rPr>
  </w:style>
  <w:style w:type="paragraph" w:styleId="10">
    <w:name w:val="footer"/>
    <w:basedOn w:val="1"/>
    <w:qFormat/>
    <w:uiPriority w:val="0"/>
    <w:pPr>
      <w:tabs>
        <w:tab w:val="center" w:pos="4153"/>
        <w:tab w:val="right" w:pos="8306"/>
      </w:tabs>
      <w:snapToGrid w:val="0"/>
      <w:jc w:val="left"/>
    </w:pPr>
    <w:rPr>
      <w:rFonts w:ascii="Times New Roman" w:hAnsi="Times New Roman" w:eastAsia="楷体_GB2312" w:cs="Times New Roman"/>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楷体_GB2312" w:cs="Times New Roman"/>
      <w:sz w:val="18"/>
      <w:szCs w:val="18"/>
    </w:rPr>
  </w:style>
  <w:style w:type="paragraph" w:styleId="12">
    <w:name w:val="toc 1"/>
    <w:basedOn w:val="1"/>
    <w:next w:val="1"/>
    <w:qFormat/>
    <w:uiPriority w:val="0"/>
    <w:pPr>
      <w:tabs>
        <w:tab w:val="right" w:leader="dot" w:pos="8493"/>
      </w:tabs>
      <w:adjustRightInd w:val="0"/>
      <w:spacing w:line="360" w:lineRule="auto"/>
      <w:jc w:val="left"/>
    </w:pPr>
    <w:rPr>
      <w:rFonts w:ascii="宋体" w:hAnsi="宋体"/>
      <w:b/>
      <w:caps/>
      <w:kern w:val="0"/>
      <w:sz w:val="24"/>
      <w:szCs w:val="32"/>
    </w:rPr>
  </w:style>
  <w:style w:type="paragraph" w:styleId="13">
    <w:name w:val="toc 2"/>
    <w:basedOn w:val="1"/>
    <w:next w:val="1"/>
    <w:qFormat/>
    <w:uiPriority w:val="0"/>
    <w:pPr>
      <w:tabs>
        <w:tab w:val="right" w:leader="dot" w:pos="9060"/>
      </w:tabs>
      <w:snapToGrid w:val="0"/>
      <w:spacing w:line="360" w:lineRule="auto"/>
      <w:jc w:val="left"/>
    </w:pPr>
    <w:rPr>
      <w:sz w:val="24"/>
      <w:szCs w:val="24"/>
    </w:rPr>
  </w:style>
  <w:style w:type="paragraph" w:styleId="14">
    <w:name w:val="Body Text First Indent"/>
    <w:basedOn w:val="5"/>
    <w:qFormat/>
    <w:uiPriority w:val="0"/>
    <w:pPr>
      <w:ind w:firstLine="420"/>
    </w:pPr>
  </w:style>
  <w:style w:type="paragraph" w:styleId="15">
    <w:name w:val="Body Text First Indent 2"/>
    <w:basedOn w:val="6"/>
    <w:qFormat/>
    <w:uiPriority w:val="0"/>
    <w:pPr>
      <w:spacing w:after="120" w:line="240" w:lineRule="auto"/>
      <w:ind w:left="200" w:leftChars="200" w:firstLine="200" w:firstLineChars="200"/>
    </w:pPr>
    <w:rPr>
      <w:rFonts w:ascii="Calibri" w:hAnsi="Calibri"/>
      <w:kern w:val="2"/>
      <w:sz w:val="21"/>
      <w:szCs w:val="24"/>
    </w:rPr>
  </w:style>
  <w:style w:type="character" w:styleId="18">
    <w:name w:val="page number"/>
    <w:basedOn w:val="17"/>
    <w:qFormat/>
    <w:uiPriority w:val="0"/>
    <w:rPr>
      <w:rFonts w:eastAsia="宋体"/>
      <w:kern w:val="2"/>
      <w:sz w:val="24"/>
      <w:szCs w:val="24"/>
      <w:lang w:val="en-US" w:eastAsia="zh-CN" w:bidi="ar-SA"/>
    </w:rPr>
  </w:style>
  <w:style w:type="character" w:styleId="19">
    <w:name w:val="Hyperlink"/>
    <w:basedOn w:val="17"/>
    <w:qFormat/>
    <w:uiPriority w:val="0"/>
    <w:rPr>
      <w:rFonts w:eastAsia="宋体"/>
      <w:color w:val="0000FF"/>
      <w:kern w:val="2"/>
      <w:sz w:val="24"/>
      <w:szCs w:val="24"/>
      <w:u w:val="single"/>
      <w:lang w:val="en-US" w:eastAsia="zh-CN" w:bidi="ar-SA"/>
    </w:rPr>
  </w:style>
  <w:style w:type="character" w:customStyle="1" w:styleId="20">
    <w:name w:val="NormalCharacter"/>
    <w:semiHidden/>
    <w:qFormat/>
    <w:uiPriority w:val="0"/>
    <w:rPr>
      <w:rFonts w:ascii="Times New Roman" w:hAnsi="Times New Roman" w:eastAsia="楷体_GB2312"/>
      <w:kern w:val="2"/>
      <w:sz w:val="21"/>
      <w:lang w:val="en-US" w:eastAsia="zh-CN" w:bidi="ar-SA"/>
    </w:rPr>
  </w:style>
  <w:style w:type="paragraph" w:customStyle="1" w:styleId="21">
    <w:name w:val="常用"/>
    <w:basedOn w:val="1"/>
    <w:next w:val="5"/>
    <w:qFormat/>
    <w:uiPriority w:val="0"/>
    <w:pPr>
      <w:spacing w:line="240" w:lineRule="auto"/>
      <w:jc w:val="left"/>
    </w:pPr>
    <w:rPr>
      <w:rFonts w:eastAsia="宋体"/>
      <w:sz w:val="24"/>
    </w:rPr>
  </w:style>
  <w:style w:type="paragraph" w:customStyle="1" w:styleId="2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3">
    <w:name w:val="正文_1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1867</Words>
  <Characters>2015</Characters>
  <Lines>0</Lines>
  <Paragraphs>0</Paragraphs>
  <TotalTime>0</TotalTime>
  <ScaleCrop>false</ScaleCrop>
  <LinksUpToDate>false</LinksUpToDate>
  <CharactersWithSpaces>2309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2024-08-26T03:05:00Z</dcterms:created>
  <dc:creator>寒小昕</dc:creator>
  <cp:lastModifiedBy>无法被捕捉的野生金皮卡</cp:lastModifiedBy>
  <dcterms:modified xsi:type="dcterms:W3CDTF">2025-04-11T06:03:19Z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22354F8D8B1B4F8B9E36019F13B9C8A0_13</vt:lpwstr>
  </property>
  <property fmtid="{D5CDD505-2E9C-101B-9397-08002B2CF9AE}" pid="4" name="KSOTemplateDocerSaveRecord">
    <vt:lpwstr>eyJoZGlkIjoiZGMwMThhZjNlNjIyNWEwNmY0OWFkMWEwMGE4ZGY0OWMiLCJ1c2VySWQiOiIzMDMxMDI4OTkifQ==</vt:lpwstr>
  </property>
</Properties>
</file>