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04BD0">
      <w:pPr>
        <w:autoSpaceDE w:val="0"/>
        <w:autoSpaceDN w:val="0"/>
        <w:adjustRightInd w:val="0"/>
        <w:spacing w:before="156" w:after="156" w:line="360" w:lineRule="auto"/>
        <w:jc w:val="center"/>
        <w:rPr>
          <w:rFonts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附录1资格审查条件(资质最低条件)</w:t>
      </w:r>
    </w:p>
    <w:p w14:paraId="38492C35">
      <w:pPr>
        <w:autoSpaceDE w:val="0"/>
        <w:autoSpaceDN w:val="0"/>
        <w:adjustRightInd w:val="0"/>
        <w:spacing w:before="156" w:after="156" w:line="360" w:lineRule="auto"/>
        <w:jc w:val="center"/>
        <w:rPr>
          <w:rFonts w:asciiTheme="minorEastAsia" w:hAnsiTheme="minorEastAsia" w:eastAsiaTheme="minorEastAsia"/>
          <w:color w:val="auto"/>
          <w:sz w:val="30"/>
          <w:szCs w:val="30"/>
          <w:highlight w:val="none"/>
        </w:rPr>
      </w:pPr>
    </w:p>
    <w:tbl>
      <w:tblPr>
        <w:tblStyle w:val="4"/>
        <w:tblW w:w="946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4"/>
      </w:tblGrid>
      <w:tr w14:paraId="5C500E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8" w:hRule="exact"/>
        </w:trPr>
        <w:tc>
          <w:tcPr>
            <w:tcW w:w="9464" w:type="dxa"/>
            <w:vAlign w:val="center"/>
          </w:tcPr>
          <w:p w14:paraId="1CB46DD0">
            <w:pPr>
              <w:spacing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监理企业资质等级要求</w:t>
            </w:r>
          </w:p>
        </w:tc>
      </w:tr>
      <w:tr w14:paraId="78C264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93" w:hRule="exact"/>
        </w:trPr>
        <w:tc>
          <w:tcPr>
            <w:tcW w:w="9464" w:type="dxa"/>
            <w:vAlign w:val="center"/>
          </w:tcPr>
          <w:p w14:paraId="4DA7AE0F">
            <w:pPr>
              <w:spacing w:line="360" w:lineRule="auto"/>
              <w:ind w:firstLine="480" w:firstLineChars="200"/>
              <w:outlineLvl w:val="0"/>
              <w:rPr>
                <w:rFonts w:cs="宋体" w:asciiTheme="minorEastAsia" w:hAnsiTheme="minorEastAsia" w:eastAsiaTheme="minorEastAsia"/>
                <w:color w:val="auto"/>
                <w:kern w:val="0"/>
                <w:sz w:val="24"/>
                <w:highlight w:val="none"/>
              </w:rPr>
            </w:pPr>
            <w:bookmarkStart w:id="0" w:name="_Toc24003"/>
            <w:bookmarkStart w:id="1" w:name="_Toc31691"/>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rPr>
              <w:t>、具有在中华人民共和国国内注册成立的独立企业法人营业执照。</w:t>
            </w:r>
            <w:bookmarkEnd w:id="0"/>
            <w:bookmarkEnd w:id="1"/>
          </w:p>
          <w:p w14:paraId="0BEDA452">
            <w:pPr>
              <w:spacing w:line="360" w:lineRule="auto"/>
              <w:ind w:firstLine="480" w:firstLineChars="200"/>
              <w:outlineLvl w:val="0"/>
              <w:rPr>
                <w:rFonts w:cs="宋体" w:asciiTheme="minorEastAsia" w:hAnsiTheme="minorEastAsia" w:eastAsiaTheme="minorEastAsia"/>
                <w:color w:val="auto"/>
                <w:kern w:val="0"/>
                <w:sz w:val="24"/>
                <w:highlight w:val="none"/>
              </w:rPr>
            </w:pPr>
            <w:bookmarkStart w:id="2" w:name="_Toc5591"/>
            <w:bookmarkStart w:id="3" w:name="_Toc22736"/>
            <w:r>
              <w:rPr>
                <w:rFonts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color w:val="auto"/>
                <w:kern w:val="0"/>
                <w:sz w:val="24"/>
                <w:highlight w:val="none"/>
              </w:rPr>
              <w:t>持有交通运输主管部门核发的在有效期内的公路工程乙级（或以上）监理企业资质。</w:t>
            </w:r>
            <w:bookmarkEnd w:id="2"/>
            <w:bookmarkEnd w:id="3"/>
          </w:p>
        </w:tc>
      </w:tr>
    </w:tbl>
    <w:p w14:paraId="14AC5985">
      <w:pPr>
        <w:widowControl/>
        <w:spacing w:line="360" w:lineRule="auto"/>
        <w:jc w:val="left"/>
        <w:rPr>
          <w:rFonts w:asciiTheme="minorEastAsia" w:hAnsiTheme="minorEastAsia" w:eastAsiaTheme="minorEastAsia"/>
          <w:color w:val="auto"/>
          <w:sz w:val="30"/>
          <w:szCs w:val="30"/>
          <w:highlight w:val="none"/>
        </w:rPr>
      </w:pPr>
    </w:p>
    <w:p w14:paraId="000EE7D6">
      <w:pPr>
        <w:widowControl/>
        <w:spacing w:line="360" w:lineRule="auto"/>
        <w:jc w:val="left"/>
        <w:rPr>
          <w:rFonts w:asciiTheme="minorEastAsia" w:hAnsiTheme="minorEastAsia" w:eastAsiaTheme="minorEastAsia"/>
          <w:color w:val="auto"/>
          <w:sz w:val="30"/>
          <w:szCs w:val="30"/>
          <w:highlight w:val="none"/>
        </w:rPr>
      </w:pPr>
      <w:r>
        <w:rPr>
          <w:rFonts w:asciiTheme="minorEastAsia" w:hAnsiTheme="minorEastAsia" w:eastAsiaTheme="minorEastAsia"/>
          <w:color w:val="auto"/>
          <w:sz w:val="30"/>
          <w:szCs w:val="30"/>
          <w:highlight w:val="none"/>
        </w:rPr>
        <w:br w:type="page"/>
      </w:r>
    </w:p>
    <w:p w14:paraId="1B2EDC15">
      <w:pPr>
        <w:autoSpaceDE w:val="0"/>
        <w:autoSpaceDN w:val="0"/>
        <w:adjustRightInd w:val="0"/>
        <w:spacing w:before="156" w:after="156" w:line="360" w:lineRule="auto"/>
        <w:jc w:val="center"/>
        <w:rPr>
          <w:rFonts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附录2资格审查条件(业绩最低要求)</w:t>
      </w:r>
    </w:p>
    <w:p w14:paraId="0C6A65F5">
      <w:pPr>
        <w:autoSpaceDE w:val="0"/>
        <w:autoSpaceDN w:val="0"/>
        <w:adjustRightInd w:val="0"/>
        <w:spacing w:before="156" w:after="156" w:line="360" w:lineRule="auto"/>
        <w:jc w:val="center"/>
        <w:rPr>
          <w:rFonts w:asciiTheme="minorEastAsia" w:hAnsiTheme="minorEastAsia" w:eastAsiaTheme="minorEastAsia"/>
          <w:color w:val="auto"/>
          <w:sz w:val="30"/>
          <w:szCs w:val="30"/>
          <w:highlight w:val="none"/>
        </w:rPr>
      </w:pPr>
    </w:p>
    <w:tbl>
      <w:tblPr>
        <w:tblStyle w:val="4"/>
        <w:tblW w:w="946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4"/>
      </w:tblGrid>
      <w:tr w14:paraId="56935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2" w:hRule="exact"/>
        </w:trPr>
        <w:tc>
          <w:tcPr>
            <w:tcW w:w="9464" w:type="dxa"/>
            <w:vAlign w:val="center"/>
          </w:tcPr>
          <w:p w14:paraId="5DE832F0">
            <w:pPr>
              <w:spacing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业绩要求</w:t>
            </w:r>
          </w:p>
        </w:tc>
      </w:tr>
      <w:tr w14:paraId="39239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42" w:hRule="exact"/>
        </w:trPr>
        <w:tc>
          <w:tcPr>
            <w:tcW w:w="9464" w:type="dxa"/>
            <w:vAlign w:val="center"/>
          </w:tcPr>
          <w:p w14:paraId="3B5EBF45">
            <w:pPr>
              <w:topLinePunct/>
              <w:adjustRightInd w:val="0"/>
              <w:spacing w:beforeLines="30" w:line="360" w:lineRule="auto"/>
              <w:ind w:firstLine="360" w:firstLineChars="15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近五年</w:t>
            </w:r>
            <w:r>
              <w:rPr>
                <w:rFonts w:hint="eastAsia" w:cs="宋体" w:asciiTheme="minorEastAsia" w:hAnsiTheme="minorEastAsia" w:eastAsiaTheme="minorEastAsia"/>
                <w:color w:val="auto"/>
                <w:kern w:val="0"/>
                <w:sz w:val="24"/>
                <w:highlight w:val="none"/>
                <w:lang w:eastAsia="zh-Hans"/>
              </w:rPr>
              <w:t>(</w:t>
            </w:r>
            <w:r>
              <w:rPr>
                <w:rFonts w:hint="eastAsia" w:cs="宋体" w:asciiTheme="minorEastAsia" w:hAnsiTheme="minorEastAsia" w:eastAsiaTheme="minorEastAsia"/>
                <w:color w:val="auto"/>
                <w:kern w:val="0"/>
                <w:sz w:val="24"/>
                <w:highlight w:val="none"/>
                <w:lang w:eastAsia="zh-CN"/>
              </w:rPr>
              <w:t>2020年4月1日</w:t>
            </w:r>
            <w:r>
              <w:rPr>
                <w:rFonts w:hint="eastAsia" w:cs="宋体" w:asciiTheme="minorEastAsia" w:hAnsiTheme="minorEastAsia" w:eastAsiaTheme="minorEastAsia"/>
                <w:color w:val="auto"/>
                <w:kern w:val="0"/>
                <w:sz w:val="24"/>
                <w:highlight w:val="none"/>
                <w:lang w:eastAsia="zh-Hans"/>
              </w:rPr>
              <w:t>至投标截止日)</w:t>
            </w:r>
            <w:r>
              <w:rPr>
                <w:rFonts w:hint="eastAsia" w:cs="宋体" w:asciiTheme="minorEastAsia" w:hAnsiTheme="minorEastAsia" w:eastAsiaTheme="minorEastAsia"/>
                <w:color w:val="auto"/>
                <w:kern w:val="0"/>
                <w:sz w:val="24"/>
                <w:highlight w:val="none"/>
              </w:rPr>
              <w:t>内，成功完成过以下业绩：</w:t>
            </w:r>
          </w:p>
          <w:p w14:paraId="1B8D3770">
            <w:pPr>
              <w:numPr>
                <w:ilvl w:val="0"/>
                <w:numId w:val="1"/>
              </w:numPr>
              <w:spacing w:line="360" w:lineRule="auto"/>
              <w:ind w:firstLine="480" w:firstLineChars="200"/>
              <w:outlineLvl w:val="0"/>
              <w:rPr>
                <w:rFonts w:hint="eastAsia" w:cs="宋体" w:asciiTheme="minorEastAsia" w:hAnsiTheme="minorEastAsia" w:eastAsiaTheme="minorEastAsia"/>
                <w:color w:val="auto"/>
                <w:kern w:val="0"/>
                <w:sz w:val="24"/>
                <w:highlight w:val="none"/>
                <w:lang w:val="en-US" w:eastAsia="zh-CN"/>
              </w:rPr>
            </w:pPr>
            <w:bookmarkStart w:id="4" w:name="_Toc13900"/>
            <w:bookmarkStart w:id="5" w:name="_Toc3647"/>
            <w:r>
              <w:rPr>
                <w:rFonts w:hint="eastAsia" w:cs="宋体" w:asciiTheme="minorEastAsia" w:hAnsiTheme="minorEastAsia" w:eastAsiaTheme="minorEastAsia"/>
                <w:color w:val="auto"/>
                <w:kern w:val="0"/>
                <w:sz w:val="24"/>
                <w:highlight w:val="none"/>
                <w:lang w:val="en-US" w:eastAsia="zh-CN"/>
              </w:rPr>
              <w:t>累计完成过不少于24km的类似工程施工监理任务，其中至少1个标段里程不少于8km；</w:t>
            </w:r>
            <w:bookmarkEnd w:id="4"/>
            <w:bookmarkEnd w:id="5"/>
          </w:p>
          <w:p w14:paraId="16EEEA6A">
            <w:pPr>
              <w:numPr>
                <w:ilvl w:val="0"/>
                <w:numId w:val="1"/>
              </w:numPr>
              <w:spacing w:line="360" w:lineRule="auto"/>
              <w:ind w:firstLine="480" w:firstLineChars="200"/>
              <w:outlineLvl w:val="0"/>
              <w:rPr>
                <w:rFonts w:hint="eastAsia" w:cs="宋体" w:asciiTheme="minorEastAsia" w:hAnsiTheme="minorEastAsia" w:eastAsiaTheme="minorEastAsia"/>
                <w:color w:val="auto"/>
                <w:kern w:val="0"/>
                <w:sz w:val="24"/>
                <w:highlight w:val="none"/>
                <w:lang w:val="en-US" w:eastAsia="zh-CN"/>
              </w:rPr>
            </w:pPr>
            <w:bookmarkStart w:id="6" w:name="_Toc25755"/>
            <w:r>
              <w:rPr>
                <w:rFonts w:hint="eastAsia" w:cs="宋体" w:asciiTheme="minorEastAsia" w:hAnsiTheme="minorEastAsia" w:eastAsiaTheme="minorEastAsia"/>
                <w:color w:val="auto"/>
                <w:kern w:val="0"/>
                <w:sz w:val="24"/>
                <w:highlight w:val="none"/>
                <w:lang w:val="en-US" w:eastAsia="zh-CN"/>
              </w:rPr>
              <w:t>累计完成不少于1座类似工程大桥的施工监理任务。</w:t>
            </w:r>
            <w:bookmarkEnd w:id="6"/>
          </w:p>
        </w:tc>
      </w:tr>
    </w:tbl>
    <w:p w14:paraId="5C15A8B6">
      <w:pPr>
        <w:spacing w:line="360" w:lineRule="auto"/>
        <w:ind w:firstLine="600" w:firstLineChars="250"/>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注：1、“近5年”指</w:t>
      </w:r>
      <w:r>
        <w:rPr>
          <w:rFonts w:hint="eastAsia" w:cs="宋体" w:asciiTheme="minorEastAsia" w:hAnsiTheme="minorEastAsia" w:eastAsiaTheme="minorEastAsia"/>
          <w:color w:val="auto"/>
          <w:kern w:val="0"/>
          <w:sz w:val="24"/>
          <w:szCs w:val="24"/>
          <w:highlight w:val="none"/>
          <w:lang w:eastAsia="zh-CN"/>
        </w:rPr>
        <w:t>2020年4月1日</w:t>
      </w:r>
      <w:r>
        <w:rPr>
          <w:rFonts w:hint="eastAsia" w:cs="宋体" w:asciiTheme="minorEastAsia" w:hAnsiTheme="minorEastAsia" w:eastAsiaTheme="minorEastAsia"/>
          <w:color w:val="auto"/>
          <w:kern w:val="0"/>
          <w:sz w:val="24"/>
          <w:szCs w:val="24"/>
          <w:highlight w:val="none"/>
        </w:rPr>
        <w:t>至投标文件递交截止日（以“全国公路建设市场监督管理系统”上交工验收或无交工验收一次性竣工验收的时间为准），若管理系统无法体现，则以项目竣工或交工验收报告时间为准）。</w:t>
      </w:r>
    </w:p>
    <w:p w14:paraId="4AF600AF">
      <w:pPr>
        <w:spacing w:line="360" w:lineRule="auto"/>
        <w:ind w:firstLine="600" w:firstLineChars="250"/>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2、“完成过”指工程完工并交工验收（时间以载明的交工验收或无交工验收一次性竣工验收时间为准），经评定合格，本文提到的交工验收是指交工验收或一次性竣工验收。</w:t>
      </w:r>
    </w:p>
    <w:p w14:paraId="54542C85">
      <w:pPr>
        <w:spacing w:line="360" w:lineRule="auto"/>
        <w:ind w:firstLine="600" w:firstLineChars="250"/>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3、本表要求业绩指由投标人承接并完成的业绩，投标人上级单位（如总公司、集团公司等）的监理业绩和投标人具备独立法人资格的下属机构的监理业绩均不予认定。若投标人提供的业绩证明为联合体业绩，则按交通运输部“全国公路建设市场监督管理系统”业绩信息的网页截图）体现其完成的工作量和专业认定，无法界定其完成的工作量和专业，此业绩不予认定。</w:t>
      </w:r>
    </w:p>
    <w:p w14:paraId="735A87F0">
      <w:pPr>
        <w:spacing w:line="360" w:lineRule="auto"/>
        <w:ind w:firstLine="600" w:firstLineChars="250"/>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4、业绩证明材料需提供交通运输部“全国公路建设市场监督管理系统”业绩信息的网页截图；若无法提供系统截图，则应提供项目中标通知书或监理合同及竣工或交工验收报告。</w:t>
      </w:r>
    </w:p>
    <w:p w14:paraId="2AA070E4">
      <w:pPr>
        <w:spacing w:line="360" w:lineRule="auto"/>
        <w:ind w:firstLine="600" w:firstLineChars="250"/>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5、招标人如发现业绩有不实或做假，将导致资格审查不通过。</w:t>
      </w:r>
    </w:p>
    <w:p w14:paraId="24E9A993">
      <w:pPr>
        <w:spacing w:line="360" w:lineRule="auto"/>
        <w:ind w:firstLine="600" w:firstLineChars="250"/>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6、如近年来，投标人法人机构发生合法变更或投标人单位名称变更时，应提供相关部门的合法批件或其他相关证明材料来证明其所附业绩的继承性。</w:t>
      </w:r>
    </w:p>
    <w:p w14:paraId="5178E62B">
      <w:pPr>
        <w:spacing w:line="360" w:lineRule="auto"/>
        <w:ind w:firstLine="600" w:firstLineChars="250"/>
        <w:rPr>
          <w:rFonts w:hint="eastAsia" w:cs="宋体" w:asciiTheme="minorEastAsia" w:hAnsiTheme="minorEastAsia" w:eastAsiaTheme="minorEastAsia"/>
          <w:color w:val="auto"/>
          <w:kern w:val="0"/>
          <w:sz w:val="24"/>
          <w:szCs w:val="24"/>
          <w:highlight w:val="none"/>
          <w:lang w:val="en-US" w:eastAsia="zh-CN"/>
        </w:rPr>
      </w:pPr>
      <w:r>
        <w:rPr>
          <w:rFonts w:hint="eastAsia" w:cs="宋体" w:asciiTheme="minorEastAsia" w:hAnsiTheme="minorEastAsia" w:eastAsiaTheme="minorEastAsia"/>
          <w:color w:val="auto"/>
          <w:kern w:val="0"/>
          <w:sz w:val="24"/>
          <w:szCs w:val="24"/>
          <w:highlight w:val="none"/>
          <w:lang w:val="en-US" w:eastAsia="zh-CN"/>
        </w:rPr>
        <w:t>7、同一合同段具有上述业绩可重复计算。</w:t>
      </w:r>
    </w:p>
    <w:p w14:paraId="06533AD0">
      <w:pPr>
        <w:spacing w:line="360" w:lineRule="auto"/>
        <w:ind w:firstLine="600" w:firstLineChars="250"/>
        <w:rPr>
          <w:rFonts w:asciiTheme="minorEastAsia" w:hAnsiTheme="minorEastAsia" w:eastAsiaTheme="minorEastAsia"/>
          <w:color w:val="auto"/>
          <w:sz w:val="30"/>
          <w:szCs w:val="30"/>
          <w:highlight w:val="none"/>
        </w:rPr>
      </w:pPr>
      <w:r>
        <w:rPr>
          <w:rFonts w:hint="eastAsia" w:cs="宋体" w:asciiTheme="minorEastAsia" w:hAnsiTheme="minorEastAsia" w:eastAsiaTheme="minorEastAsia"/>
          <w:color w:val="auto"/>
          <w:kern w:val="0"/>
          <w:sz w:val="24"/>
          <w:szCs w:val="24"/>
          <w:highlight w:val="none"/>
          <w:lang w:val="en-US" w:eastAsia="zh-CN"/>
        </w:rPr>
        <w:t>8、类似工程指新建或改建或扩建一级公路（或以上等级）公路工程项目。</w:t>
      </w:r>
      <w:r>
        <w:rPr>
          <w:rFonts w:asciiTheme="minorEastAsia" w:hAnsiTheme="minorEastAsia" w:eastAsiaTheme="minorEastAsia"/>
          <w:color w:val="auto"/>
          <w:sz w:val="30"/>
          <w:szCs w:val="30"/>
          <w:highlight w:val="none"/>
        </w:rPr>
        <w:br w:type="page"/>
      </w:r>
    </w:p>
    <w:p w14:paraId="7A66E9DE">
      <w:pPr>
        <w:autoSpaceDE w:val="0"/>
        <w:autoSpaceDN w:val="0"/>
        <w:adjustRightInd w:val="0"/>
        <w:spacing w:after="156" w:line="360" w:lineRule="auto"/>
        <w:jc w:val="center"/>
        <w:rPr>
          <w:rFonts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附录3资格审查条件(信誉最低要求)</w:t>
      </w:r>
    </w:p>
    <w:p w14:paraId="13A40411">
      <w:pPr>
        <w:spacing w:line="360" w:lineRule="auto"/>
        <w:rPr>
          <w:rFonts w:asciiTheme="minorEastAsia" w:hAnsiTheme="minorEastAsia" w:eastAsiaTheme="minorEastAsia"/>
          <w:color w:val="auto"/>
          <w:highlight w:val="none"/>
        </w:rPr>
      </w:pP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22"/>
      </w:tblGrid>
      <w:tr w14:paraId="63E61C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exact"/>
        </w:trPr>
        <w:tc>
          <w:tcPr>
            <w:tcW w:w="5000" w:type="pct"/>
            <w:vAlign w:val="center"/>
          </w:tcPr>
          <w:p w14:paraId="15C79D94">
            <w:pPr>
              <w:spacing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信誉要求</w:t>
            </w:r>
          </w:p>
        </w:tc>
      </w:tr>
      <w:tr w14:paraId="246007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85" w:hRule="exact"/>
        </w:trPr>
        <w:tc>
          <w:tcPr>
            <w:tcW w:w="5000" w:type="pct"/>
            <w:vAlign w:val="center"/>
          </w:tcPr>
          <w:p w14:paraId="13FC2FCF">
            <w:pPr>
              <w:topLinePunct/>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最新年度（含无广东省最新年度信用等级而上一年度有广东省信用等级的）在广东省公路工程从业单位信用评价（监理单位）中，信用等级未被评为</w:t>
            </w:r>
            <w:r>
              <w:rPr>
                <w:rFonts w:asciiTheme="minorEastAsia" w:hAnsiTheme="minorEastAsia" w:eastAsiaTheme="minorEastAsia"/>
                <w:color w:val="auto"/>
                <w:sz w:val="24"/>
                <w:highlight w:val="none"/>
              </w:rPr>
              <w:t>D</w:t>
            </w:r>
            <w:r>
              <w:rPr>
                <w:rFonts w:hint="eastAsia" w:asciiTheme="minorEastAsia" w:hAnsiTheme="minorEastAsia" w:eastAsiaTheme="minorEastAsia"/>
                <w:color w:val="auto"/>
                <w:sz w:val="24"/>
                <w:highlight w:val="none"/>
              </w:rPr>
              <w:t>级；初次进入广东省的投标人，在最新全国公路从业单位（监理单位）信用评价结果中未被评为</w:t>
            </w:r>
            <w:r>
              <w:rPr>
                <w:rFonts w:asciiTheme="minorEastAsia" w:hAnsiTheme="minorEastAsia" w:eastAsiaTheme="minorEastAsia"/>
                <w:color w:val="auto"/>
                <w:sz w:val="24"/>
                <w:highlight w:val="none"/>
              </w:rPr>
              <w:t>D</w:t>
            </w:r>
            <w:r>
              <w:rPr>
                <w:rFonts w:hint="eastAsia" w:asciiTheme="minorEastAsia" w:hAnsiTheme="minorEastAsia" w:eastAsiaTheme="minorEastAsia"/>
                <w:color w:val="auto"/>
                <w:sz w:val="24"/>
                <w:highlight w:val="none"/>
              </w:rPr>
              <w:t>级。</w:t>
            </w:r>
          </w:p>
        </w:tc>
      </w:tr>
    </w:tbl>
    <w:p w14:paraId="6F39E40F">
      <w:pPr>
        <w:tabs>
          <w:tab w:val="left" w:pos="4940"/>
        </w:tabs>
        <w:autoSpaceDE w:val="0"/>
        <w:autoSpaceDN w:val="0"/>
        <w:adjustRightInd w:val="0"/>
        <w:spacing w:before="31" w:line="360" w:lineRule="auto"/>
        <w:ind w:left="536" w:right="-20"/>
        <w:jc w:val="left"/>
        <w:rPr>
          <w:rFonts w:cs="宋体" w:asciiTheme="minorEastAsia" w:hAnsiTheme="minorEastAsia" w:eastAsiaTheme="minorEastAsia"/>
          <w:color w:val="auto"/>
          <w:spacing w:val="2"/>
          <w:kern w:val="0"/>
          <w:szCs w:val="21"/>
          <w:highlight w:val="none"/>
        </w:rPr>
      </w:pPr>
      <w:r>
        <w:rPr>
          <w:rFonts w:hint="eastAsia" w:cs="宋体" w:asciiTheme="minorEastAsia" w:hAnsiTheme="minorEastAsia" w:eastAsiaTheme="minorEastAsia"/>
          <w:color w:val="auto"/>
          <w:spacing w:val="2"/>
          <w:kern w:val="0"/>
          <w:sz w:val="24"/>
          <w:szCs w:val="24"/>
          <w:highlight w:val="none"/>
        </w:rPr>
        <w:t>注：</w:t>
      </w:r>
      <w:r>
        <w:rPr>
          <w:rFonts w:cs="宋体" w:asciiTheme="minorEastAsia" w:hAnsiTheme="minorEastAsia" w:eastAsiaTheme="minorEastAsia"/>
          <w:color w:val="auto"/>
          <w:spacing w:val="2"/>
          <w:kern w:val="0"/>
          <w:sz w:val="24"/>
          <w:szCs w:val="24"/>
          <w:highlight w:val="none"/>
        </w:rPr>
        <w:t>1</w:t>
      </w:r>
      <w:r>
        <w:rPr>
          <w:rFonts w:hint="eastAsia" w:cs="宋体" w:asciiTheme="minorEastAsia" w:hAnsiTheme="minorEastAsia" w:eastAsiaTheme="minorEastAsia"/>
          <w:color w:val="auto"/>
          <w:spacing w:val="2"/>
          <w:kern w:val="0"/>
          <w:sz w:val="24"/>
          <w:szCs w:val="24"/>
          <w:highlight w:val="none"/>
        </w:rPr>
        <w:t>、信用等级的确定原则遵循投标人须知前附表第</w:t>
      </w:r>
      <w:r>
        <w:rPr>
          <w:rFonts w:cs="宋体" w:asciiTheme="minorEastAsia" w:hAnsiTheme="minorEastAsia" w:eastAsiaTheme="minorEastAsia"/>
          <w:color w:val="auto"/>
          <w:spacing w:val="2"/>
          <w:kern w:val="0"/>
          <w:sz w:val="24"/>
          <w:szCs w:val="24"/>
          <w:highlight w:val="none"/>
        </w:rPr>
        <w:t>10.2</w:t>
      </w:r>
      <w:r>
        <w:rPr>
          <w:rFonts w:hint="eastAsia" w:cs="宋体" w:asciiTheme="minorEastAsia" w:hAnsiTheme="minorEastAsia" w:eastAsiaTheme="minorEastAsia"/>
          <w:color w:val="auto"/>
          <w:spacing w:val="2"/>
          <w:kern w:val="0"/>
          <w:sz w:val="24"/>
          <w:szCs w:val="24"/>
          <w:highlight w:val="none"/>
        </w:rPr>
        <w:t>款的规定。</w:t>
      </w:r>
    </w:p>
    <w:p w14:paraId="70E749A1">
      <w:pPr>
        <w:tabs>
          <w:tab w:val="left" w:pos="4940"/>
        </w:tabs>
        <w:autoSpaceDE w:val="0"/>
        <w:autoSpaceDN w:val="0"/>
        <w:adjustRightInd w:val="0"/>
        <w:spacing w:before="31" w:line="360" w:lineRule="auto"/>
        <w:ind w:left="536" w:right="-20"/>
        <w:jc w:val="left"/>
        <w:rPr>
          <w:rFonts w:cs="宋体" w:asciiTheme="minorEastAsia" w:hAnsiTheme="minorEastAsia" w:eastAsiaTheme="minorEastAsia"/>
          <w:color w:val="auto"/>
          <w:spacing w:val="2"/>
          <w:kern w:val="0"/>
          <w:szCs w:val="21"/>
          <w:highlight w:val="none"/>
        </w:rPr>
      </w:pPr>
    </w:p>
    <w:p w14:paraId="2ED4E9A8">
      <w:pPr>
        <w:spacing w:line="360" w:lineRule="auto"/>
        <w:rPr>
          <w:rFonts w:cs="宋体" w:asciiTheme="minorEastAsia" w:hAnsiTheme="minorEastAsia" w:eastAsiaTheme="minorEastAsia"/>
          <w:color w:val="auto"/>
          <w:kern w:val="0"/>
          <w:sz w:val="32"/>
          <w:szCs w:val="32"/>
          <w:highlight w:val="none"/>
        </w:rPr>
      </w:pPr>
      <w:r>
        <w:rPr>
          <w:rFonts w:cs="宋体" w:asciiTheme="minorEastAsia" w:hAnsiTheme="minorEastAsia" w:eastAsiaTheme="minorEastAsia"/>
          <w:color w:val="auto"/>
          <w:kern w:val="0"/>
          <w:sz w:val="32"/>
          <w:szCs w:val="32"/>
          <w:highlight w:val="none"/>
        </w:rPr>
        <w:br w:type="page"/>
      </w:r>
    </w:p>
    <w:p w14:paraId="14E543E4">
      <w:pPr>
        <w:pStyle w:val="2"/>
        <w:spacing w:line="360" w:lineRule="auto"/>
        <w:rPr>
          <w:color w:val="auto"/>
          <w:highlight w:val="none"/>
        </w:rPr>
      </w:pPr>
    </w:p>
    <w:p w14:paraId="60C7A3B1">
      <w:pPr>
        <w:autoSpaceDE w:val="0"/>
        <w:autoSpaceDN w:val="0"/>
        <w:adjustRightInd w:val="0"/>
        <w:spacing w:after="156" w:line="360" w:lineRule="auto"/>
        <w:jc w:val="center"/>
        <w:rPr>
          <w:rFonts w:hint="eastAsia" w:cs="Times New Roman" w:asciiTheme="minorEastAsia" w:hAnsiTheme="minorEastAsia" w:eastAsiaTheme="minorEastAsia"/>
          <w:color w:val="auto"/>
          <w:sz w:val="30"/>
          <w:szCs w:val="30"/>
          <w:highlight w:val="none"/>
        </w:rPr>
      </w:pPr>
      <w:r>
        <w:rPr>
          <w:rFonts w:hint="eastAsia" w:cs="Times New Roman" w:asciiTheme="minorEastAsia" w:hAnsiTheme="minorEastAsia" w:eastAsiaTheme="minorEastAsia"/>
          <w:color w:val="auto"/>
          <w:sz w:val="30"/>
          <w:szCs w:val="30"/>
          <w:highlight w:val="none"/>
        </w:rPr>
        <w:t>附录4资格审查条件(总监理工程师最低要求)</w:t>
      </w:r>
    </w:p>
    <w:p w14:paraId="5498D991">
      <w:pPr>
        <w:spacing w:line="360" w:lineRule="auto"/>
        <w:rPr>
          <w:rFonts w:asciiTheme="minorEastAsia" w:hAnsiTheme="minorEastAsia" w:eastAsiaTheme="minorEastAsia"/>
          <w:color w:val="auto"/>
          <w:highlight w:val="none"/>
        </w:rPr>
      </w:pPr>
    </w:p>
    <w:p w14:paraId="3E8F5F89">
      <w:pPr>
        <w:spacing w:line="360" w:lineRule="auto"/>
        <w:rPr>
          <w:rFonts w:asciiTheme="minorEastAsia" w:hAnsiTheme="minorEastAsia" w:eastAsiaTheme="minorEastAsia"/>
          <w:color w:val="auto"/>
          <w:highlight w:val="none"/>
        </w:rPr>
      </w:pPr>
    </w:p>
    <w:tbl>
      <w:tblPr>
        <w:tblStyle w:val="4"/>
        <w:tblW w:w="499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63"/>
        <w:gridCol w:w="1022"/>
        <w:gridCol w:w="3460"/>
        <w:gridCol w:w="2270"/>
      </w:tblGrid>
      <w:tr w14:paraId="4A862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3" w:hRule="exact"/>
        </w:trPr>
        <w:tc>
          <w:tcPr>
            <w:tcW w:w="1035" w:type="pct"/>
            <w:vAlign w:val="center"/>
          </w:tcPr>
          <w:p w14:paraId="54237BA8">
            <w:pPr>
              <w:spacing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人员</w:t>
            </w:r>
          </w:p>
        </w:tc>
        <w:tc>
          <w:tcPr>
            <w:tcW w:w="600" w:type="pct"/>
            <w:vAlign w:val="center"/>
          </w:tcPr>
          <w:p w14:paraId="79ABF0BA">
            <w:pPr>
              <w:spacing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数量</w:t>
            </w:r>
          </w:p>
        </w:tc>
        <w:tc>
          <w:tcPr>
            <w:tcW w:w="2031" w:type="pct"/>
            <w:vAlign w:val="center"/>
          </w:tcPr>
          <w:p w14:paraId="55914C5F">
            <w:pPr>
              <w:spacing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资格要求</w:t>
            </w:r>
          </w:p>
        </w:tc>
        <w:tc>
          <w:tcPr>
            <w:tcW w:w="1332" w:type="pct"/>
            <w:vAlign w:val="center"/>
          </w:tcPr>
          <w:p w14:paraId="17E16573">
            <w:pPr>
              <w:spacing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在岗要求</w:t>
            </w:r>
          </w:p>
        </w:tc>
      </w:tr>
      <w:tr w14:paraId="411C7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3" w:hRule="atLeast"/>
        </w:trPr>
        <w:tc>
          <w:tcPr>
            <w:tcW w:w="1035" w:type="pct"/>
            <w:vAlign w:val="center"/>
          </w:tcPr>
          <w:p w14:paraId="3C17E8F1">
            <w:pPr>
              <w:topLinePunct/>
              <w:adjustRightInd w:val="0"/>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总监理工程师</w:t>
            </w:r>
          </w:p>
        </w:tc>
        <w:tc>
          <w:tcPr>
            <w:tcW w:w="600" w:type="pct"/>
            <w:vAlign w:val="center"/>
          </w:tcPr>
          <w:p w14:paraId="6505BB6D">
            <w:pPr>
              <w:topLinePunct/>
              <w:adjustRightInd w:val="0"/>
              <w:spacing w:line="360" w:lineRule="auto"/>
              <w:jc w:val="center"/>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pacing w:val="-10"/>
                <w:sz w:val="24"/>
                <w:highlight w:val="none"/>
              </w:rPr>
              <w:t>1</w:t>
            </w:r>
          </w:p>
        </w:tc>
        <w:tc>
          <w:tcPr>
            <w:tcW w:w="2031" w:type="pct"/>
            <w:vMerge w:val="restart"/>
            <w:vAlign w:val="center"/>
          </w:tcPr>
          <w:p w14:paraId="490D906B">
            <w:pPr>
              <w:topLinePunct/>
              <w:adjustRightInd w:val="0"/>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路桥</w:t>
            </w:r>
            <w:r>
              <w:rPr>
                <w:rFonts w:hint="eastAsia" w:asciiTheme="minorEastAsia" w:hAnsiTheme="minorEastAsia" w:eastAsiaTheme="minorEastAsia"/>
                <w:color w:val="auto"/>
                <w:sz w:val="24"/>
                <w:highlight w:val="none"/>
              </w:rPr>
              <w:t>工程相关专业</w:t>
            </w:r>
            <w:r>
              <w:rPr>
                <w:rFonts w:hint="eastAsia" w:asciiTheme="minorEastAsia" w:hAnsiTheme="minorEastAsia" w:eastAsiaTheme="minorEastAsia"/>
                <w:color w:val="auto"/>
                <w:sz w:val="24"/>
                <w:highlight w:val="none"/>
                <w:lang w:val="en-US" w:eastAsia="zh-CN"/>
              </w:rPr>
              <w:t>高</w:t>
            </w:r>
            <w:r>
              <w:rPr>
                <w:rFonts w:hint="eastAsia" w:asciiTheme="minorEastAsia" w:hAnsiTheme="minorEastAsia" w:eastAsiaTheme="minorEastAsia"/>
                <w:color w:val="auto"/>
                <w:sz w:val="24"/>
                <w:highlight w:val="none"/>
              </w:rPr>
              <w:t>级工程师或以上职称，</w:t>
            </w:r>
            <w:r>
              <w:rPr>
                <w:rFonts w:hint="eastAsia" w:asciiTheme="minorEastAsia" w:hAnsiTheme="minorEastAsia" w:eastAsiaTheme="minorEastAsia"/>
                <w:color w:val="auto"/>
                <w:sz w:val="24"/>
                <w:highlight w:val="none"/>
                <w:lang w:val="en-US" w:eastAsia="zh-CN"/>
              </w:rPr>
              <w:t>至少担任过1项类似工程土建工程施工监理的监理负责人，</w:t>
            </w:r>
            <w:r>
              <w:rPr>
                <w:rFonts w:hint="eastAsia" w:asciiTheme="minorEastAsia" w:hAnsiTheme="minorEastAsia" w:eastAsiaTheme="minorEastAsia"/>
                <w:color w:val="auto"/>
                <w:sz w:val="24"/>
                <w:highlight w:val="none"/>
              </w:rPr>
              <w:t>持有交通运输部与人力资源社会保障部用印的交通运输工程专业监理工程师职业资格证书（或电子证书）或具有交通运输部核发的公路工程监理工程师资格证书，且已在投标人处进行注册（或从业登记）。</w:t>
            </w:r>
          </w:p>
        </w:tc>
        <w:tc>
          <w:tcPr>
            <w:tcW w:w="1332" w:type="pct"/>
            <w:vMerge w:val="restart"/>
            <w:vAlign w:val="center"/>
          </w:tcPr>
          <w:p w14:paraId="62F946CA">
            <w:pPr>
              <w:topLinePunct/>
              <w:adjustRightInd w:val="0"/>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无在岗项目（指目前未在其他项目上任职，或虽在其他项目上任职但本项目中标后能够从该项目撤离）</w:t>
            </w:r>
          </w:p>
        </w:tc>
      </w:tr>
      <w:tr w14:paraId="619D2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5" w:hRule="atLeast"/>
        </w:trPr>
        <w:tc>
          <w:tcPr>
            <w:tcW w:w="1035" w:type="pct"/>
            <w:vAlign w:val="center"/>
          </w:tcPr>
          <w:p w14:paraId="460025FA">
            <w:pPr>
              <w:topLinePunct/>
              <w:adjustRightInd w:val="0"/>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总监理工程师（备选）</w:t>
            </w:r>
          </w:p>
        </w:tc>
        <w:tc>
          <w:tcPr>
            <w:tcW w:w="600" w:type="pct"/>
            <w:vAlign w:val="center"/>
          </w:tcPr>
          <w:p w14:paraId="5D7309F2">
            <w:pPr>
              <w:topLinePunct/>
              <w:adjustRightInd w:val="0"/>
              <w:spacing w:line="360" w:lineRule="auto"/>
              <w:jc w:val="center"/>
              <w:rPr>
                <w:rFonts w:hint="eastAsia" w:cs="宋体" w:asciiTheme="minorEastAsia" w:hAnsiTheme="minorEastAsia" w:eastAsiaTheme="minorEastAsia"/>
                <w:color w:val="auto"/>
                <w:spacing w:val="-10"/>
                <w:sz w:val="24"/>
                <w:highlight w:val="none"/>
              </w:rPr>
            </w:pPr>
            <w:r>
              <w:rPr>
                <w:rFonts w:hint="eastAsia" w:cs="宋体" w:asciiTheme="minorEastAsia" w:hAnsiTheme="minorEastAsia" w:eastAsiaTheme="minorEastAsia"/>
                <w:color w:val="auto"/>
                <w:spacing w:val="-10"/>
                <w:sz w:val="24"/>
                <w:highlight w:val="none"/>
                <w:lang w:val="en-US" w:eastAsia="zh-CN"/>
              </w:rPr>
              <w:t>0~</w:t>
            </w:r>
            <w:r>
              <w:rPr>
                <w:rFonts w:hint="eastAsia" w:cs="宋体" w:asciiTheme="minorEastAsia" w:hAnsiTheme="minorEastAsia" w:eastAsiaTheme="minorEastAsia"/>
                <w:color w:val="auto"/>
                <w:spacing w:val="-10"/>
                <w:sz w:val="24"/>
                <w:highlight w:val="none"/>
              </w:rPr>
              <w:t>1</w:t>
            </w:r>
          </w:p>
        </w:tc>
        <w:tc>
          <w:tcPr>
            <w:tcW w:w="2031" w:type="pct"/>
            <w:vMerge w:val="continue"/>
            <w:vAlign w:val="center"/>
          </w:tcPr>
          <w:p w14:paraId="16B82319">
            <w:pPr>
              <w:topLinePunct/>
              <w:adjustRightInd w:val="0"/>
              <w:spacing w:line="360" w:lineRule="auto"/>
              <w:rPr>
                <w:rFonts w:hint="eastAsia" w:asciiTheme="minorEastAsia" w:hAnsiTheme="minorEastAsia" w:eastAsiaTheme="minorEastAsia"/>
                <w:color w:val="auto"/>
                <w:sz w:val="24"/>
                <w:highlight w:val="none"/>
              </w:rPr>
            </w:pPr>
          </w:p>
        </w:tc>
        <w:tc>
          <w:tcPr>
            <w:tcW w:w="1332" w:type="pct"/>
            <w:vMerge w:val="continue"/>
            <w:vAlign w:val="center"/>
          </w:tcPr>
          <w:p w14:paraId="2F407D36">
            <w:pPr>
              <w:topLinePunct/>
              <w:adjustRightInd w:val="0"/>
              <w:spacing w:line="360" w:lineRule="auto"/>
              <w:rPr>
                <w:rFonts w:hint="eastAsia" w:asciiTheme="minorEastAsia" w:hAnsiTheme="minorEastAsia" w:eastAsiaTheme="minorEastAsia"/>
                <w:color w:val="auto"/>
                <w:sz w:val="24"/>
                <w:highlight w:val="none"/>
              </w:rPr>
            </w:pPr>
          </w:p>
        </w:tc>
      </w:tr>
    </w:tbl>
    <w:p w14:paraId="627AC1E0">
      <w:pPr>
        <w:keepNext w:val="0"/>
        <w:keepLines w:val="0"/>
        <w:pageBreakBefore w:val="0"/>
        <w:widowControl w:val="0"/>
        <w:tabs>
          <w:tab w:val="left" w:pos="4940"/>
        </w:tabs>
        <w:kinsoku/>
        <w:wordWrap/>
        <w:overflowPunct/>
        <w:topLinePunct w:val="0"/>
        <w:autoSpaceDE w:val="0"/>
        <w:autoSpaceDN w:val="0"/>
        <w:bidi w:val="0"/>
        <w:adjustRightInd w:val="0"/>
        <w:snapToGrid/>
        <w:spacing w:before="31" w:line="360" w:lineRule="auto"/>
        <w:ind w:right="-23" w:firstLine="488" w:firstLineChars="200"/>
        <w:jc w:val="left"/>
        <w:textAlignment w:val="auto"/>
        <w:rPr>
          <w:rFonts w:hint="eastAsia" w:cs="宋体" w:asciiTheme="minorEastAsia" w:hAnsiTheme="minorEastAsia" w:eastAsiaTheme="minorEastAsia"/>
          <w:color w:val="auto"/>
          <w:spacing w:val="2"/>
          <w:kern w:val="0"/>
          <w:sz w:val="24"/>
          <w:szCs w:val="24"/>
          <w:highlight w:val="none"/>
        </w:rPr>
      </w:pPr>
      <w:r>
        <w:rPr>
          <w:rFonts w:hint="eastAsia" w:cs="宋体" w:asciiTheme="minorEastAsia" w:hAnsiTheme="minorEastAsia" w:eastAsiaTheme="minorEastAsia"/>
          <w:color w:val="auto"/>
          <w:spacing w:val="2"/>
          <w:kern w:val="0"/>
          <w:sz w:val="24"/>
          <w:szCs w:val="24"/>
          <w:highlight w:val="none"/>
        </w:rPr>
        <w:t>注：</w:t>
      </w:r>
      <w:r>
        <w:rPr>
          <w:rFonts w:cs="宋体" w:asciiTheme="minorEastAsia" w:hAnsiTheme="minorEastAsia" w:eastAsiaTheme="minorEastAsia"/>
          <w:color w:val="auto"/>
          <w:spacing w:val="2"/>
          <w:kern w:val="0"/>
          <w:sz w:val="24"/>
          <w:szCs w:val="24"/>
          <w:highlight w:val="none"/>
        </w:rPr>
        <w:t>1</w:t>
      </w:r>
      <w:r>
        <w:rPr>
          <w:rFonts w:hint="eastAsia" w:cs="宋体" w:asciiTheme="minorEastAsia" w:hAnsiTheme="minorEastAsia" w:eastAsiaTheme="minorEastAsia"/>
          <w:color w:val="auto"/>
          <w:spacing w:val="2"/>
          <w:kern w:val="0"/>
          <w:sz w:val="24"/>
          <w:szCs w:val="24"/>
          <w:highlight w:val="none"/>
        </w:rPr>
        <w:t>、“担任过类似工程监理负责人”监理负责人可为总监理工程师或副总监理工程师或驻地监理工程师。</w:t>
      </w:r>
    </w:p>
    <w:p w14:paraId="64CD6739">
      <w:r>
        <w:rPr>
          <w:rFonts w:hint="eastAsia" w:cs="宋体" w:asciiTheme="minorEastAsia" w:hAnsiTheme="minorEastAsia" w:eastAsiaTheme="minorEastAsia"/>
          <w:color w:val="auto"/>
          <w:spacing w:val="2"/>
          <w:kern w:val="0"/>
          <w:sz w:val="24"/>
          <w:szCs w:val="24"/>
          <w:highlight w:val="none"/>
          <w:lang w:val="en-US" w:eastAsia="zh-CN"/>
        </w:rPr>
        <w:t>2、路桥</w:t>
      </w:r>
      <w:r>
        <w:rPr>
          <w:rFonts w:hint="eastAsia" w:cs="宋体" w:asciiTheme="minorEastAsia" w:hAnsiTheme="minorEastAsia" w:eastAsiaTheme="minorEastAsia"/>
          <w:color w:val="auto"/>
          <w:spacing w:val="2"/>
          <w:kern w:val="0"/>
          <w:sz w:val="24"/>
          <w:szCs w:val="24"/>
          <w:highlight w:val="none"/>
        </w:rPr>
        <w:t>工程相关专业职称包括公路工程、桥梁工程、公路与桥梁、交通土建、隧道（地下结构）工程、</w:t>
      </w:r>
      <w:r>
        <w:rPr>
          <w:rFonts w:hint="eastAsia" w:cs="宋体" w:asciiTheme="minorEastAsia" w:hAnsiTheme="minorEastAsia" w:eastAsiaTheme="minorEastAsia"/>
          <w:color w:val="auto"/>
          <w:spacing w:val="2"/>
          <w:kern w:val="0"/>
          <w:sz w:val="24"/>
          <w:szCs w:val="24"/>
          <w:highlight w:val="none"/>
          <w:lang w:val="en-US" w:eastAsia="zh-CN"/>
        </w:rPr>
        <w:t>道路与桥梁、</w:t>
      </w:r>
      <w:r>
        <w:rPr>
          <w:rFonts w:hint="eastAsia" w:cs="宋体" w:asciiTheme="minorEastAsia" w:hAnsiTheme="minorEastAsia" w:eastAsiaTheme="minorEastAsia"/>
          <w:color w:val="auto"/>
          <w:spacing w:val="2"/>
          <w:kern w:val="0"/>
          <w:sz w:val="24"/>
          <w:szCs w:val="24"/>
          <w:highlight w:val="none"/>
        </w:rPr>
        <w:t>交通工程等专业职称。</w:t>
      </w: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77DDC1"/>
    <w:multiLevelType w:val="singleLevel"/>
    <w:tmpl w:val="7577DD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DF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cstheme="minorBidi"/>
      <w:sz w:val="24"/>
      <w:szCs w:val="22"/>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2025-04-10T10:18:54Z</dcterms:created>
  <dc:creator>Administrator</dc:creator>
  <cp:lastModifiedBy>龙仔丶</cp:lastModifiedBy>
  <dcterms:modified xsi:type="dcterms:W3CDTF">2025-04-10T10:19:13Z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eyJoZGlkIjoiZWQ3YjgwZDdhNjFkNDM2M2QyZjJmOGQ2MmE4M2U2YmEiLCJ1c2VySWQiOiIzMTIwNjIxMzAifQ==</vt:lpwstr>
  </property>
  <property fmtid="{D5CDD505-2E9C-101B-9397-08002B2CF9AE}" pid="4" name="ICV">
    <vt:lpwstr>6511498F5A284927B8F5C3FA53EA74E7_12</vt:lpwstr>
  </property>
</Properties>
</file>