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52938">
      <w:pPr>
        <w:autoSpaceDE w:val="0"/>
        <w:autoSpaceDN w:val="0"/>
        <w:adjustRightInd w:val="0"/>
        <w:spacing w:line="360" w:lineRule="auto"/>
        <w:jc w:val="center"/>
        <w:rPr>
          <w:rFonts w:cs="宋体" w:asciiTheme="minorEastAsia" w:hAnsiTheme="minorEastAsia" w:eastAsiaTheme="minorEastAsia"/>
          <w:b/>
          <w:color w:val="auto"/>
          <w:kern w:val="0"/>
          <w:position w:val="-2"/>
          <w:sz w:val="28"/>
          <w:szCs w:val="28"/>
          <w:highlight w:val="none"/>
        </w:rPr>
      </w:pPr>
      <w:r>
        <w:rPr>
          <w:rFonts w:hint="eastAsia" w:asciiTheme="minorEastAsia" w:hAnsiTheme="minorEastAsia" w:eastAsiaTheme="minorEastAsia"/>
          <w:b/>
          <w:color w:val="auto"/>
          <w:sz w:val="28"/>
          <w:szCs w:val="28"/>
          <w:highlight w:val="none"/>
        </w:rPr>
        <w:t>第三章</w:t>
      </w:r>
      <w:r>
        <w:rPr>
          <w:rFonts w:hint="eastAsia" w:asciiTheme="minorEastAsia" w:hAnsiTheme="minorEastAsia" w:eastAsiaTheme="minorEastAsia"/>
          <w:b/>
          <w:color w:val="auto"/>
          <w:sz w:val="28"/>
          <w:szCs w:val="28"/>
          <w:highlight w:val="none"/>
          <w:lang w:val="en-US" w:eastAsia="zh-CN"/>
        </w:rPr>
        <w:t xml:space="preserve">  </w:t>
      </w:r>
      <w:r>
        <w:rPr>
          <w:rFonts w:hint="eastAsia" w:asciiTheme="minorEastAsia" w:hAnsiTheme="minorEastAsia" w:eastAsiaTheme="minorEastAsia"/>
          <w:b/>
          <w:color w:val="auto"/>
          <w:sz w:val="28"/>
          <w:szCs w:val="28"/>
          <w:highlight w:val="none"/>
        </w:rPr>
        <w:t>评标办法（综合评估法）</w:t>
      </w:r>
    </w:p>
    <w:p w14:paraId="72E0DD7F">
      <w:pPr>
        <w:autoSpaceDE w:val="0"/>
        <w:autoSpaceDN w:val="0"/>
        <w:adjustRightIn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position w:val="-2"/>
          <w:sz w:val="28"/>
          <w:szCs w:val="28"/>
          <w:highlight w:val="none"/>
        </w:rPr>
        <w:t>评标办法前附表</w:t>
      </w:r>
    </w:p>
    <w:tbl>
      <w:tblPr>
        <w:tblStyle w:val="3"/>
        <w:tblW w:w="9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1"/>
        <w:gridCol w:w="840"/>
        <w:gridCol w:w="152"/>
        <w:gridCol w:w="492"/>
        <w:gridCol w:w="496"/>
        <w:gridCol w:w="278"/>
        <w:gridCol w:w="669"/>
        <w:gridCol w:w="391"/>
        <w:gridCol w:w="170"/>
        <w:gridCol w:w="395"/>
        <w:gridCol w:w="1201"/>
        <w:gridCol w:w="2544"/>
        <w:gridCol w:w="8483"/>
      </w:tblGrid>
      <w:tr w14:paraId="2B2A7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546" w:type="pct"/>
            <w:gridSpan w:val="3"/>
            <w:tcBorders>
              <w:top w:val="single" w:color="auto" w:sz="4" w:space="0"/>
              <w:bottom w:val="single" w:color="auto" w:sz="4" w:space="0"/>
              <w:right w:val="single" w:color="auto" w:sz="4" w:space="0"/>
            </w:tcBorders>
            <w:noWrap w:val="0"/>
            <w:vAlign w:val="center"/>
          </w:tcPr>
          <w:p w14:paraId="6975D45C">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0" w:type="pct"/>
            <w:gridSpan w:val="9"/>
            <w:tcBorders>
              <w:top w:val="single" w:color="auto" w:sz="4" w:space="0"/>
              <w:left w:val="single" w:color="auto" w:sz="4" w:space="0"/>
              <w:bottom w:val="single" w:color="auto" w:sz="4" w:space="0"/>
              <w:right w:val="single" w:color="auto" w:sz="4" w:space="0"/>
            </w:tcBorders>
            <w:noWrap w:val="0"/>
            <w:vAlign w:val="center"/>
          </w:tcPr>
          <w:p w14:paraId="442DC92B">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评审因素与评审标准</w:t>
            </w:r>
          </w:p>
        </w:tc>
      </w:tr>
      <w:tr w14:paraId="1F0A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248" w:type="pct"/>
            <w:tcBorders>
              <w:top w:val="single" w:color="auto" w:sz="4" w:space="0"/>
              <w:bottom w:val="single" w:color="auto" w:sz="4" w:space="0"/>
              <w:right w:val="single" w:color="auto" w:sz="4" w:space="0"/>
            </w:tcBorders>
            <w:noWrap w:val="0"/>
            <w:vAlign w:val="center"/>
          </w:tcPr>
          <w:p w14:paraId="1BF6EE1E">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8" w:type="pct"/>
            <w:gridSpan w:val="2"/>
            <w:tcBorders>
              <w:top w:val="single" w:color="auto" w:sz="4" w:space="0"/>
              <w:bottom w:val="single" w:color="auto" w:sz="4" w:space="0"/>
              <w:right w:val="single" w:color="auto" w:sz="4" w:space="0"/>
            </w:tcBorders>
            <w:noWrap w:val="0"/>
            <w:vAlign w:val="center"/>
          </w:tcPr>
          <w:p w14:paraId="55F5D08A">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评标方法</w:t>
            </w:r>
          </w:p>
        </w:tc>
        <w:tc>
          <w:tcPr>
            <w:tcW w:w="1960" w:type="pct"/>
            <w:gridSpan w:val="9"/>
            <w:tcBorders>
              <w:top w:val="single" w:color="auto" w:sz="4" w:space="0"/>
              <w:left w:val="single" w:color="auto" w:sz="4" w:space="0"/>
              <w:right w:val="single" w:color="auto" w:sz="4" w:space="0"/>
            </w:tcBorders>
            <w:noWrap w:val="0"/>
            <w:vAlign w:val="center"/>
          </w:tcPr>
          <w:p w14:paraId="1BA2119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综合评分相等时，评标委员会依次按照以下优先顺序推荐中标候选人或确定中标人：</w:t>
            </w:r>
          </w:p>
          <w:p w14:paraId="160FFD15">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（1）评标价低的投标人优先；</w:t>
            </w:r>
          </w:p>
          <w:p w14:paraId="66B70B58">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被招标项目所在地省级交通运输主管部门评为较高信用等级的投标人优先（采用如下的优先顺序：承诺使用的AA级投标人、不承诺使用的AA级投标人、承诺使用的A级投标人、不承诺使用的A级投标人、B级投标人、未参评且被确定为B级投标人）；</w:t>
            </w:r>
          </w:p>
          <w:p w14:paraId="3753EB1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（3）商务和技术得分较高的投标人优先；</w:t>
            </w:r>
          </w:p>
          <w:p w14:paraId="1BB43FCF">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b/>
                <w:color w:val="auto"/>
                <w:sz w:val="24"/>
                <w:highlight w:val="none"/>
              </w:rPr>
            </w:pPr>
            <w:r>
              <w:rPr>
                <w:rFonts w:hint="eastAsia" w:ascii="宋体" w:hAnsi="宋体" w:eastAsia="宋体" w:cs="宋体"/>
                <w:color w:val="auto"/>
                <w:sz w:val="24"/>
                <w:highlight w:val="none"/>
              </w:rPr>
              <w:t>（4）由评标委员会投票确定。</w:t>
            </w:r>
          </w:p>
        </w:tc>
      </w:tr>
      <w:tr w14:paraId="012FB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248" w:type="pct"/>
            <w:tcBorders>
              <w:top w:val="single" w:color="auto" w:sz="4" w:space="0"/>
              <w:bottom w:val="single" w:color="auto" w:sz="4" w:space="0"/>
              <w:right w:val="single" w:color="auto" w:sz="4" w:space="0"/>
            </w:tcBorders>
            <w:noWrap w:val="0"/>
            <w:vAlign w:val="center"/>
          </w:tcPr>
          <w:p w14:paraId="77BB5D78">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p w14:paraId="70922E9E">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p>
        </w:tc>
        <w:tc>
          <w:tcPr>
            <w:tcW w:w="298" w:type="pct"/>
            <w:gridSpan w:val="2"/>
            <w:tcBorders>
              <w:top w:val="single" w:color="auto" w:sz="4" w:space="0"/>
              <w:bottom w:val="single" w:color="auto" w:sz="4" w:space="0"/>
              <w:right w:val="single" w:color="auto" w:sz="4" w:space="0"/>
            </w:tcBorders>
            <w:noWrap w:val="0"/>
            <w:vAlign w:val="center"/>
          </w:tcPr>
          <w:p w14:paraId="65A41F4A">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形式评审与响应性评审标准</w:t>
            </w:r>
          </w:p>
        </w:tc>
        <w:tc>
          <w:tcPr>
            <w:tcW w:w="1960" w:type="pct"/>
            <w:gridSpan w:val="9"/>
            <w:tcBorders>
              <w:top w:val="single" w:color="auto" w:sz="4" w:space="0"/>
              <w:left w:val="single" w:color="auto" w:sz="4" w:space="0"/>
              <w:right w:val="single" w:color="auto" w:sz="4" w:space="0"/>
            </w:tcBorders>
            <w:noWrap w:val="0"/>
            <w:vAlign w:val="center"/>
          </w:tcPr>
          <w:p w14:paraId="649961F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第一个信封（商务及技术文件）评审标准：</w:t>
            </w:r>
          </w:p>
          <w:p w14:paraId="2846B214">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（1）投标文件按照招标文件规定的格式、内容填写，字迹清晰可辨：</w:t>
            </w:r>
          </w:p>
          <w:p w14:paraId="317076E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a.投标函按招标文件规定填报了项目名称、标段号（如有）、补遗书编号（如有）、监理服务期限、工程质量要求及安全目标；</w:t>
            </w:r>
          </w:p>
          <w:p w14:paraId="4BA7A423">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b.投标文件组成齐全完整，内容均按规定填写。</w:t>
            </w:r>
          </w:p>
          <w:p w14:paraId="0F6A7543">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（2）投标文件上法定代表人或其委托代理人的签字、投标人的单位章盖章齐全，符合招标文件规定。</w:t>
            </w:r>
          </w:p>
          <w:p w14:paraId="501694A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（3）投标人按照招标文件的规定提供了投标保证金：</w:t>
            </w:r>
          </w:p>
          <w:p w14:paraId="249C3A40">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a.投标保证金金额符合招标文件规定的金额，且投标保证金有效期不少于投标有效期；</w:t>
            </w:r>
          </w:p>
          <w:p w14:paraId="55958E90">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b.若投标保证金采用现金或支票形式提交，投标人应在招标文件规定的投标保证金递交截止时间之前将投标保证金由投标人的基本账户转入招标人指定账户；</w:t>
            </w:r>
          </w:p>
          <w:p w14:paraId="66B9887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c.若投标保证金采用银行保函或投标人须知前附表3.4.1项规定的其他形式提交，应满足招标文件要求。</w:t>
            </w:r>
          </w:p>
          <w:p w14:paraId="1591DE80">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（4）投标人法定代表人授权委托代理人签署投标文件的，须提交授权委托书，且授权人和被授权人均在授权委托书上签名，未使用印章、签名章或其他电子制版签名代替。</w:t>
            </w:r>
          </w:p>
          <w:p w14:paraId="20BB2F5F">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（5）投标人法定代表人亲自签署投标文件的，提供了法定代表人身份证明，且法定代表人在法定代表人身份证明上签名，未使用印章、签名章或其他电子制版签名代替。</w:t>
            </w:r>
          </w:p>
          <w:p w14:paraId="69DC8B1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（6）投标人未以联合体形式投标。</w:t>
            </w:r>
          </w:p>
          <w:p w14:paraId="348F6359">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（7）同一投标人未提交两个以上不同的投标文件，但招标文件要求提交备选投标的除外。</w:t>
            </w:r>
          </w:p>
          <w:p w14:paraId="20E04681">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（8）投标文件中未出现有关投标报价的内容。</w:t>
            </w:r>
          </w:p>
          <w:p w14:paraId="4A5E6451">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（9）投标文件载明的招标项目完成期限符合招标文件规定。</w:t>
            </w:r>
          </w:p>
          <w:p w14:paraId="25218A3A">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（10）投标文件对招标文件的实质性要求和条件作出响应。</w:t>
            </w:r>
          </w:p>
          <w:p w14:paraId="51A4F958">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（11）权利义务符合招标文件规定：</w:t>
            </w:r>
          </w:p>
          <w:p w14:paraId="5C0280C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a.投标人应接受招标文件规定的风险划分原则，未提出新的风险划分办法；</w:t>
            </w:r>
          </w:p>
          <w:p w14:paraId="3A1640C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b.投标人未增加委托人的责任范围，或减少投标人义务；</w:t>
            </w:r>
          </w:p>
          <w:p w14:paraId="7E4D83D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c.投标人未提出不同的支付办法；</w:t>
            </w:r>
          </w:p>
          <w:p w14:paraId="3752D1F1">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d.投标人对合同纠纷、事故处理办法未提出异议；</w:t>
            </w:r>
          </w:p>
          <w:p w14:paraId="2C82D89D">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e.投标人在投标活动中无欺诈行为；</w:t>
            </w:r>
          </w:p>
          <w:p w14:paraId="1922CCCA">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f.投标人未对合同条款有重要保留。</w:t>
            </w:r>
          </w:p>
          <w:p w14:paraId="7B471B28">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（12）投标文件正、副本份数符合招标文件第二章“投标人须知”第3.7.4项规定。</w:t>
            </w:r>
          </w:p>
          <w:p w14:paraId="342C56F0">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第二个信封（报价文件）评审标准：</w:t>
            </w:r>
          </w:p>
          <w:p w14:paraId="7B70131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（1）投标文件按照招标文件规定的格式、内容填写，字迹清晰可辨，内容齐全完整：</w:t>
            </w:r>
          </w:p>
          <w:p w14:paraId="573962B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a.投标函按招标文件规定填报了项目名称、标段号（如有）、补遗书编号（如有）、投标价（包括大写金额和小写金额）；</w:t>
            </w:r>
          </w:p>
          <w:p w14:paraId="3986FFCE">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b.已标价报价清单说明文字与招标文件规定一致，未进行实质性修改和删减；</w:t>
            </w:r>
          </w:p>
          <w:p w14:paraId="077EA89D">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c.投标文件组成齐全完整，内容均按规定填写。</w:t>
            </w:r>
          </w:p>
          <w:p w14:paraId="4C470102">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（2）投标文件上法定代表人或其委托代理人的签字、投标人的单位章盖章齐全，符合招标文件规定。</w:t>
            </w:r>
          </w:p>
          <w:p w14:paraId="6B6E9D81">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（3）投标报价未超过招标文件设定的最高投标限价（如有）。</w:t>
            </w:r>
          </w:p>
          <w:p w14:paraId="0B9A1EED">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（4）投标报价的大写金额能够确定具体数值。</w:t>
            </w:r>
          </w:p>
          <w:p w14:paraId="7E5C221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（5）同一投标人未提交两个以上不同的投标报价，但招标文件要求提交备选投标的除外。</w:t>
            </w:r>
          </w:p>
          <w:p w14:paraId="6161E132">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（6）投标文件正、副本份数符合招标文件第二章“投标人须知”第3.7.4项规定。</w:t>
            </w:r>
          </w:p>
        </w:tc>
      </w:tr>
      <w:tr w14:paraId="4D2D4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Height w:val="8229" w:hRule="atLeast"/>
        </w:trPr>
        <w:tc>
          <w:tcPr>
            <w:tcW w:w="248" w:type="pct"/>
            <w:tcBorders>
              <w:top w:val="single" w:color="auto" w:sz="4" w:space="0"/>
              <w:right w:val="single" w:color="auto" w:sz="4" w:space="0"/>
            </w:tcBorders>
            <w:noWrap w:val="0"/>
            <w:vAlign w:val="center"/>
          </w:tcPr>
          <w:p w14:paraId="64AF6902">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298" w:type="pct"/>
            <w:gridSpan w:val="2"/>
            <w:tcBorders>
              <w:top w:val="single" w:color="auto" w:sz="4" w:space="0"/>
              <w:right w:val="single" w:color="auto" w:sz="4" w:space="0"/>
            </w:tcBorders>
            <w:noWrap w:val="0"/>
            <w:vAlign w:val="center"/>
          </w:tcPr>
          <w:p w14:paraId="0061907B">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资格评审标准</w:t>
            </w:r>
          </w:p>
        </w:tc>
        <w:tc>
          <w:tcPr>
            <w:tcW w:w="1960" w:type="pct"/>
            <w:gridSpan w:val="9"/>
            <w:tcBorders>
              <w:top w:val="single" w:color="auto" w:sz="4" w:space="0"/>
              <w:left w:val="single" w:color="auto" w:sz="4" w:space="0"/>
              <w:right w:val="single" w:color="auto" w:sz="4" w:space="0"/>
            </w:tcBorders>
            <w:noWrap w:val="0"/>
            <w:vAlign w:val="center"/>
          </w:tcPr>
          <w:p w14:paraId="4B8D98E2">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投标人具备有效的营业执照、监理资质证书和基本账户开户许可证（如企业所在地已取消企业银行账户许可而无法提供开户许可证的，则需附上开户银行盖章的“基本存款账户信息”或“人民银行账户管理系统查询的基本账户信息截图”），投标人已录入交通运输部“</w:t>
            </w:r>
            <w:r>
              <w:rPr>
                <w:rFonts w:hint="eastAsia" w:ascii="宋体" w:hAnsi="宋体" w:eastAsia="宋体" w:cs="宋体"/>
                <w:color w:val="auto"/>
                <w:sz w:val="24"/>
                <w:highlight w:val="none"/>
                <w:lang w:eastAsia="zh-CN"/>
              </w:rPr>
              <w:t>全国公路建设市场监督管理系统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https://hwdms.mot.gov.cn/</w:t>
            </w:r>
            <w:r>
              <w:rPr>
                <w:rFonts w:hint="eastAsia" w:ascii="宋体" w:hAnsi="宋体" w:eastAsia="宋体" w:cs="宋体"/>
                <w:color w:val="auto"/>
                <w:sz w:val="24"/>
                <w:highlight w:val="none"/>
              </w:rPr>
              <w:t>）”中的公路工程施工监理资质企业名录，且投标人名称和资质与该名录中的相应企业名称和资质完全一致。</w:t>
            </w:r>
          </w:p>
          <w:p w14:paraId="6F68AAD2">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（2）投标人的资质等级符合招标文件规定。</w:t>
            </w:r>
          </w:p>
          <w:p w14:paraId="55CD82C9">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（3）投标人的类似项目业绩符合招标文件规定。</w:t>
            </w:r>
          </w:p>
          <w:p w14:paraId="28E89D7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（4）投标人的信誉符合招标文件规定。</w:t>
            </w:r>
          </w:p>
          <w:p w14:paraId="3A00096A">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（5）投标人的总监理工程师资格、在岗情况符合招标文件规定，并按规定在投标文件中签字确认。</w:t>
            </w:r>
          </w:p>
          <w:p w14:paraId="40ACD859">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（6）投标人的其他要求符合招标文件规定。</w:t>
            </w:r>
          </w:p>
          <w:p w14:paraId="5553865F">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（7）投标人不存在第二章“投标人须知”第1.4.3项或第1.4.4项规定的任何一种情形。</w:t>
            </w:r>
          </w:p>
          <w:p w14:paraId="0CE338A9">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（8）投标人符合第二章“投标人须知”第1.4.5项规定。</w:t>
            </w:r>
          </w:p>
          <w:p w14:paraId="6F728F1F">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p w14:paraId="2793F491">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p w14:paraId="24877C40">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p w14:paraId="5A4745D5">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p w14:paraId="34D1D04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p w14:paraId="466B3BCF">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p>
        </w:tc>
      </w:tr>
      <w:tr w14:paraId="64EE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248" w:type="pct"/>
            <w:tcBorders>
              <w:top w:val="single" w:color="auto" w:sz="4" w:space="0"/>
              <w:right w:val="single" w:color="auto" w:sz="4" w:space="0"/>
            </w:tcBorders>
            <w:noWrap w:val="0"/>
            <w:vAlign w:val="center"/>
          </w:tcPr>
          <w:p w14:paraId="0364B86A">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298" w:type="pct"/>
            <w:gridSpan w:val="2"/>
            <w:tcBorders>
              <w:top w:val="single" w:color="auto" w:sz="4" w:space="0"/>
              <w:right w:val="single" w:color="auto" w:sz="4" w:space="0"/>
            </w:tcBorders>
            <w:noWrap w:val="0"/>
            <w:vAlign w:val="center"/>
          </w:tcPr>
          <w:p w14:paraId="39194E8C">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条款内容</w:t>
            </w:r>
          </w:p>
        </w:tc>
        <w:tc>
          <w:tcPr>
            <w:tcW w:w="1960" w:type="pct"/>
            <w:gridSpan w:val="9"/>
            <w:tcBorders>
              <w:top w:val="single" w:color="auto" w:sz="4" w:space="0"/>
              <w:left w:val="single" w:color="auto" w:sz="4" w:space="0"/>
              <w:right w:val="single" w:color="auto" w:sz="4" w:space="0"/>
            </w:tcBorders>
            <w:noWrap w:val="0"/>
            <w:vAlign w:val="center"/>
          </w:tcPr>
          <w:p w14:paraId="68BACBA1">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编列内容</w:t>
            </w:r>
          </w:p>
        </w:tc>
      </w:tr>
      <w:tr w14:paraId="01190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248" w:type="pct"/>
            <w:tcBorders>
              <w:top w:val="single" w:color="auto" w:sz="4" w:space="0"/>
              <w:right w:val="single" w:color="auto" w:sz="4" w:space="0"/>
            </w:tcBorders>
            <w:noWrap w:val="0"/>
            <w:vAlign w:val="center"/>
          </w:tcPr>
          <w:p w14:paraId="1818FC34">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298" w:type="pct"/>
            <w:gridSpan w:val="2"/>
            <w:tcBorders>
              <w:top w:val="single" w:color="auto" w:sz="4" w:space="0"/>
              <w:right w:val="single" w:color="auto" w:sz="4" w:space="0"/>
            </w:tcBorders>
            <w:noWrap w:val="0"/>
            <w:vAlign w:val="center"/>
          </w:tcPr>
          <w:p w14:paraId="49DEE01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分值构成</w:t>
            </w:r>
          </w:p>
          <w:p w14:paraId="301B1256">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（总分100分）</w:t>
            </w:r>
          </w:p>
        </w:tc>
        <w:tc>
          <w:tcPr>
            <w:tcW w:w="1960" w:type="pct"/>
            <w:gridSpan w:val="9"/>
            <w:tcBorders>
              <w:top w:val="single" w:color="auto" w:sz="4" w:space="0"/>
              <w:left w:val="single" w:color="auto" w:sz="4" w:space="0"/>
              <w:right w:val="single" w:color="auto" w:sz="4" w:space="0"/>
            </w:tcBorders>
            <w:noWrap w:val="0"/>
            <w:vAlign w:val="center"/>
          </w:tcPr>
          <w:p w14:paraId="3CB5805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第一个信封（商务及技术文件）评分分值构成：</w:t>
            </w:r>
          </w:p>
          <w:p w14:paraId="6A3585DA">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技术建议书：</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w:t>
            </w:r>
          </w:p>
          <w:p w14:paraId="38EB76B2">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主要人员：</w:t>
            </w:r>
            <w:r>
              <w:rPr>
                <w:rFonts w:hint="eastAsia" w:ascii="宋体" w:hAnsi="宋体" w:eastAsia="宋体" w:cs="宋体"/>
                <w:color w:val="auto"/>
                <w:sz w:val="24"/>
                <w:highlight w:val="none"/>
                <w:u w:val="single"/>
              </w:rPr>
              <w:t>25</w:t>
            </w:r>
            <w:r>
              <w:rPr>
                <w:rFonts w:hint="eastAsia" w:ascii="宋体" w:hAnsi="宋体" w:eastAsia="宋体" w:cs="宋体"/>
                <w:color w:val="auto"/>
                <w:sz w:val="24"/>
                <w:highlight w:val="none"/>
              </w:rPr>
              <w:t>分</w:t>
            </w:r>
          </w:p>
          <w:p w14:paraId="18875BB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技术能力</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rPr>
              <w:t>分</w:t>
            </w:r>
          </w:p>
          <w:p w14:paraId="16C7B7BC">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r>
              <w:rPr>
                <w:rFonts w:hint="eastAsia" w:ascii="宋体" w:hAnsi="宋体" w:eastAsia="宋体" w:cs="宋体"/>
                <w:color w:val="auto"/>
                <w:sz w:val="24"/>
                <w:highlight w:val="none"/>
                <w:u w:val="single"/>
              </w:rPr>
              <w:t>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rPr>
              <w:t>分</w:t>
            </w:r>
          </w:p>
          <w:p w14:paraId="3001512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履约信誉：</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分</w:t>
            </w:r>
          </w:p>
          <w:p w14:paraId="172D54F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第二个信封（报价文件）评分分值构成：</w:t>
            </w:r>
          </w:p>
          <w:p w14:paraId="6DF36945">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分</w:t>
            </w:r>
          </w:p>
        </w:tc>
      </w:tr>
      <w:tr w14:paraId="085C3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Height w:val="1351" w:hRule="atLeast"/>
        </w:trPr>
        <w:tc>
          <w:tcPr>
            <w:tcW w:w="248" w:type="pct"/>
            <w:tcBorders>
              <w:top w:val="single" w:color="auto" w:sz="4" w:space="0"/>
              <w:right w:val="single" w:color="auto" w:sz="4" w:space="0"/>
            </w:tcBorders>
            <w:noWrap w:val="0"/>
            <w:vAlign w:val="center"/>
          </w:tcPr>
          <w:p w14:paraId="56264CB9">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298" w:type="pct"/>
            <w:gridSpan w:val="2"/>
            <w:tcBorders>
              <w:top w:val="single" w:color="auto" w:sz="4" w:space="0"/>
              <w:right w:val="single" w:color="auto" w:sz="4" w:space="0"/>
            </w:tcBorders>
            <w:noWrap w:val="0"/>
            <w:vAlign w:val="center"/>
          </w:tcPr>
          <w:p w14:paraId="11D5F1E3">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评标基准价计算方法</w:t>
            </w:r>
          </w:p>
        </w:tc>
        <w:tc>
          <w:tcPr>
            <w:tcW w:w="1960" w:type="pct"/>
            <w:gridSpan w:val="9"/>
            <w:tcBorders>
              <w:top w:val="single" w:color="auto" w:sz="4" w:space="0"/>
              <w:left w:val="single" w:color="auto" w:sz="4" w:space="0"/>
              <w:right w:val="single" w:color="auto" w:sz="4" w:space="0"/>
            </w:tcBorders>
            <w:noWrap w:val="0"/>
            <w:vAlign w:val="center"/>
          </w:tcPr>
          <w:p w14:paraId="44AB90D7">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color w:val="auto"/>
                <w:sz w:val="24"/>
                <w:highlight w:val="none"/>
              </w:rPr>
            </w:pPr>
            <w:r>
              <w:rPr>
                <w:color w:val="auto"/>
                <w:sz w:val="24"/>
                <w:highlight w:val="none"/>
              </w:rPr>
              <w:t>评标基准价的计算：</w:t>
            </w:r>
          </w:p>
          <w:p w14:paraId="5EBFD2C6">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color w:val="auto"/>
                <w:sz w:val="24"/>
                <w:highlight w:val="none"/>
              </w:rPr>
            </w:pPr>
            <w:r>
              <w:rPr>
                <w:color w:val="auto"/>
                <w:sz w:val="24"/>
                <w:highlight w:val="none"/>
              </w:rPr>
              <w:t>在开标现场，招标人将当场计算并宣布评标基准价。</w:t>
            </w:r>
          </w:p>
          <w:p w14:paraId="55C0D6F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color w:val="auto"/>
                <w:sz w:val="24"/>
                <w:highlight w:val="none"/>
              </w:rPr>
            </w:pPr>
            <w:r>
              <w:rPr>
                <w:color w:val="auto"/>
                <w:sz w:val="24"/>
                <w:highlight w:val="none"/>
              </w:rPr>
              <w:t>（1）评标价的确定：</w:t>
            </w:r>
          </w:p>
          <w:p w14:paraId="1C749D52">
            <w:pPr>
              <w:pStyle w:val="6"/>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jc w:val="both"/>
              <w:rPr>
                <w:color w:val="auto"/>
                <w:highlight w:val="none"/>
              </w:rPr>
            </w:pPr>
            <w:r>
              <w:rPr>
                <w:color w:val="auto"/>
                <w:highlight w:val="none"/>
              </w:rPr>
              <w:t>评标价＝投标函文字报价</w:t>
            </w:r>
          </w:p>
          <w:p w14:paraId="439B7E63">
            <w:pPr>
              <w:pStyle w:val="6"/>
              <w:keepNext w:val="0"/>
              <w:keepLines w:val="0"/>
              <w:pageBreakBefore w:val="0"/>
              <w:widowControl/>
              <w:numPr>
                <w:ilvl w:val="0"/>
                <w:numId w:val="1"/>
              </w:numPr>
              <w:wordWrap/>
              <w:overflowPunct/>
              <w:topLinePunct w:val="0"/>
              <w:autoSpaceDE w:val="0"/>
              <w:autoSpaceDN w:val="0"/>
              <w:bidi w:val="0"/>
              <w:adjustRightInd w:val="0"/>
              <w:snapToGrid w:val="0"/>
              <w:spacing w:line="360" w:lineRule="auto"/>
              <w:ind w:right="105" w:rightChars="50" w:firstLine="120" w:firstLineChars="50"/>
              <w:jc w:val="both"/>
              <w:rPr>
                <w:color w:val="auto"/>
                <w:highlight w:val="none"/>
              </w:rPr>
            </w:pPr>
            <w:r>
              <w:rPr>
                <w:rFonts w:hint="eastAsia"/>
                <w:color w:val="auto"/>
                <w:highlight w:val="none"/>
                <w:lang w:val="en-US" w:eastAsia="zh-CN"/>
              </w:rPr>
              <w:t>评标价的平均值的计算</w:t>
            </w:r>
            <w:r>
              <w:rPr>
                <w:color w:val="auto"/>
                <w:highlight w:val="none"/>
              </w:rPr>
              <w:t>：</w:t>
            </w:r>
          </w:p>
          <w:p w14:paraId="273C5EF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snapToGrid w:val="0"/>
                <w:color w:val="auto"/>
                <w:sz w:val="24"/>
                <w:highlight w:val="none"/>
                <w:shd w:val="clear" w:color="auto" w:fill="FFFFFF"/>
              </w:rPr>
            </w:pPr>
            <w:r>
              <w:rPr>
                <w:color w:val="auto"/>
                <w:sz w:val="24"/>
                <w:highlight w:val="none"/>
              </w:rPr>
              <w:t>①除按第二章“投标人须知”第5.2.4项规定开标现场被宣布为不进入评标基准价计算的投标报价之外，所有投标人的评标价去掉一个最高值和一个最低值后的算术平均值即为评标价平均值（如果参加评标价平均值计算的有效投标人少于5家时，则计算评标价平均值时不去掉最高值和最低值）</w:t>
            </w:r>
          </w:p>
          <w:p w14:paraId="2FA2C6AE">
            <w:pPr>
              <w:pStyle w:val="6"/>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jc w:val="both"/>
              <w:rPr>
                <w:snapToGrid w:val="0"/>
                <w:color w:val="auto"/>
                <w:sz w:val="24"/>
                <w:highlight w:val="none"/>
                <w:shd w:val="clear" w:color="auto" w:fill="FFFFFF"/>
              </w:rPr>
            </w:pPr>
            <w:r>
              <w:rPr>
                <w:color w:val="auto"/>
                <w:sz w:val="24"/>
                <w:highlight w:val="none"/>
              </w:rPr>
              <w:t>②</w:t>
            </w:r>
            <w:r>
              <w:rPr>
                <w:snapToGrid w:val="0"/>
                <w:color w:val="auto"/>
                <w:sz w:val="24"/>
                <w:highlight w:val="none"/>
                <w:shd w:val="clear" w:color="auto" w:fill="FFFFFF"/>
              </w:rPr>
              <w:t>参与评标价平均值计算的评标价的范围：最高</w:t>
            </w:r>
            <w:r>
              <w:rPr>
                <w:rFonts w:hint="eastAsia"/>
                <w:snapToGrid w:val="0"/>
                <w:color w:val="auto"/>
                <w:sz w:val="24"/>
                <w:highlight w:val="none"/>
                <w:shd w:val="clear" w:color="auto" w:fill="FFFFFF"/>
                <w:lang w:val="en-US" w:eastAsia="zh-CN"/>
              </w:rPr>
              <w:t>投标限价</w:t>
            </w:r>
            <w:r>
              <w:rPr>
                <w:snapToGrid w:val="0"/>
                <w:color w:val="auto"/>
                <w:sz w:val="24"/>
                <w:highlight w:val="none"/>
                <w:shd w:val="clear" w:color="auto" w:fill="FFFFFF"/>
              </w:rPr>
              <w:t>的85%≤参与评标价平均值计算的评标价≤最高</w:t>
            </w:r>
            <w:r>
              <w:rPr>
                <w:rFonts w:hint="eastAsia"/>
                <w:snapToGrid w:val="0"/>
                <w:color w:val="auto"/>
                <w:sz w:val="24"/>
                <w:highlight w:val="none"/>
                <w:shd w:val="clear" w:color="auto" w:fill="FFFFFF"/>
                <w:lang w:val="en-US" w:eastAsia="zh-CN"/>
              </w:rPr>
              <w:t>投标限价</w:t>
            </w:r>
            <w:r>
              <w:rPr>
                <w:snapToGrid w:val="0"/>
                <w:color w:val="auto"/>
                <w:sz w:val="24"/>
                <w:highlight w:val="none"/>
                <w:shd w:val="clear" w:color="auto" w:fill="FFFFFF"/>
              </w:rPr>
              <w:t>的</w:t>
            </w:r>
            <w:r>
              <w:rPr>
                <w:rFonts w:hint="eastAsia"/>
                <w:snapToGrid w:val="0"/>
                <w:color w:val="auto"/>
                <w:sz w:val="24"/>
                <w:highlight w:val="none"/>
                <w:shd w:val="clear" w:color="auto" w:fill="FFFFFF"/>
                <w:lang w:val="en-US" w:eastAsia="zh-CN"/>
              </w:rPr>
              <w:t>100</w:t>
            </w:r>
            <w:r>
              <w:rPr>
                <w:snapToGrid w:val="0"/>
                <w:color w:val="auto"/>
                <w:sz w:val="24"/>
                <w:highlight w:val="none"/>
                <w:shd w:val="clear" w:color="auto" w:fill="FFFFFF"/>
              </w:rPr>
              <w:t>%。</w:t>
            </w:r>
          </w:p>
          <w:p w14:paraId="560DD013">
            <w:pPr>
              <w:pStyle w:val="6"/>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jc w:val="both"/>
              <w:rPr>
                <w:rFonts w:hint="eastAsia" w:eastAsia="宋体"/>
                <w:color w:val="auto"/>
                <w:highlight w:val="none"/>
                <w:lang w:eastAsia="zh-CN"/>
              </w:rPr>
            </w:pPr>
            <w:r>
              <w:rPr>
                <w:snapToGrid w:val="0"/>
                <w:color w:val="auto"/>
                <w:highlight w:val="none"/>
                <w:shd w:val="clear" w:color="auto" w:fill="FFFFFF"/>
              </w:rPr>
              <w:t>③小于最高</w:t>
            </w:r>
            <w:r>
              <w:rPr>
                <w:rFonts w:hint="eastAsia"/>
                <w:snapToGrid w:val="0"/>
                <w:color w:val="auto"/>
                <w:highlight w:val="none"/>
                <w:shd w:val="clear" w:color="auto" w:fill="FFFFFF"/>
                <w:lang w:val="en-US" w:eastAsia="zh-CN"/>
              </w:rPr>
              <w:t>投标</w:t>
            </w:r>
            <w:r>
              <w:rPr>
                <w:snapToGrid w:val="0"/>
                <w:color w:val="auto"/>
                <w:highlight w:val="none"/>
                <w:shd w:val="clear" w:color="auto" w:fill="FFFFFF"/>
              </w:rPr>
              <w:t>限价的85%的评标价不参与评标价平均值的计算，但仍参与评标价的得分计算。若投标人的评标价均小于最高</w:t>
            </w:r>
            <w:r>
              <w:rPr>
                <w:rFonts w:hint="eastAsia"/>
                <w:snapToGrid w:val="0"/>
                <w:color w:val="auto"/>
                <w:highlight w:val="none"/>
                <w:shd w:val="clear" w:color="auto" w:fill="FFFFFF"/>
                <w:lang w:val="en-US" w:eastAsia="zh-CN"/>
              </w:rPr>
              <w:t>投</w:t>
            </w:r>
            <w:r>
              <w:rPr>
                <w:snapToGrid w:val="0"/>
                <w:color w:val="auto"/>
                <w:highlight w:val="none"/>
                <w:shd w:val="clear" w:color="auto" w:fill="FFFFFF"/>
              </w:rPr>
              <w:t>标限价的85%时，则以最高</w:t>
            </w:r>
            <w:r>
              <w:rPr>
                <w:rFonts w:hint="eastAsia"/>
                <w:snapToGrid w:val="0"/>
                <w:color w:val="auto"/>
                <w:highlight w:val="none"/>
                <w:shd w:val="clear" w:color="auto" w:fill="FFFFFF"/>
                <w:lang w:val="en-US" w:eastAsia="zh-CN"/>
              </w:rPr>
              <w:t>投</w:t>
            </w:r>
            <w:r>
              <w:rPr>
                <w:snapToGrid w:val="0"/>
                <w:color w:val="auto"/>
                <w:highlight w:val="none"/>
                <w:shd w:val="clear" w:color="auto" w:fill="FFFFFF"/>
              </w:rPr>
              <w:t>标限价的85%为评标价平均值</w:t>
            </w:r>
            <w:r>
              <w:rPr>
                <w:color w:val="auto"/>
                <w:highlight w:val="none"/>
              </w:rPr>
              <w:t>。</w:t>
            </w:r>
          </w:p>
          <w:p w14:paraId="4B974AF4">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color w:val="auto"/>
                <w:sz w:val="24"/>
                <w:highlight w:val="none"/>
              </w:rPr>
            </w:pPr>
            <w:r>
              <w:rPr>
                <w:color w:val="auto"/>
                <w:sz w:val="24"/>
                <w:highlight w:val="none"/>
              </w:rPr>
              <w:t>（3）评标基准价的确定</w:t>
            </w:r>
          </w:p>
          <w:p w14:paraId="5A2ED0BB">
            <w:pPr>
              <w:keepNext w:val="0"/>
              <w:keepLines w:val="0"/>
              <w:pageBreakBefore w:val="0"/>
              <w:widowControl/>
              <w:wordWrap/>
              <w:overflowPunct/>
              <w:topLinePunct w:val="0"/>
              <w:autoSpaceDE w:val="0"/>
              <w:autoSpaceDN w:val="0"/>
              <w:bidi w:val="0"/>
              <w:adjustRightInd w:val="0"/>
              <w:snapToGrid w:val="0"/>
              <w:spacing w:line="360" w:lineRule="auto"/>
              <w:ind w:right="105" w:rightChars="50" w:firstLine="120" w:firstLineChars="50"/>
              <w:rPr>
                <w:color w:val="auto"/>
                <w:sz w:val="24"/>
                <w:highlight w:val="none"/>
              </w:rPr>
            </w:pPr>
            <w:r>
              <w:rPr>
                <w:color w:val="auto"/>
                <w:sz w:val="24"/>
                <w:highlight w:val="none"/>
              </w:rPr>
              <w:t>将评标价平均值直接作为评标基准价。在评标过程中，评标委员会应对招标人计算的评标基准价进行复核，存在计算错误的应予以修正并在评标报告中作出说明。除此之外，评标基准价在整个评标期间保持不变，不随任何因素发生变化。</w:t>
            </w:r>
          </w:p>
          <w:p w14:paraId="5B7F1317">
            <w:pPr>
              <w:pStyle w:val="6"/>
              <w:keepNext w:val="0"/>
              <w:keepLines w:val="0"/>
              <w:pageBreakBefore w:val="0"/>
              <w:widowControl/>
              <w:numPr>
                <w:ilvl w:val="0"/>
                <w:numId w:val="0"/>
              </w:numPr>
              <w:wordWrap/>
              <w:overflowPunct/>
              <w:topLinePunct w:val="0"/>
              <w:autoSpaceDE w:val="0"/>
              <w:autoSpaceDN w:val="0"/>
              <w:bidi w:val="0"/>
              <w:adjustRightInd w:val="0"/>
              <w:snapToGrid w:val="0"/>
              <w:spacing w:line="360" w:lineRule="auto"/>
              <w:ind w:left="0" w:leftChars="0" w:right="105" w:rightChars="50" w:firstLine="120" w:firstLineChars="50"/>
              <w:jc w:val="both"/>
              <w:rPr>
                <w:rFonts w:hint="eastAsia" w:ascii="宋体" w:hAnsi="宋体" w:eastAsia="宋体" w:cs="宋体"/>
                <w:color w:val="auto"/>
                <w:spacing w:val="-9"/>
                <w:kern w:val="2"/>
                <w:sz w:val="20"/>
                <w:szCs w:val="20"/>
                <w:highlight w:val="none"/>
                <w:lang w:val="en-US" w:eastAsia="zh-CN" w:bidi="ar-SA"/>
              </w:rPr>
            </w:pPr>
            <w:r>
              <w:rPr>
                <w:color w:val="auto"/>
                <w:highlight w:val="none"/>
              </w:rPr>
              <w:t>注：评标价平均值、评标基准价均四舍五入至个位整数。</w:t>
            </w:r>
          </w:p>
        </w:tc>
      </w:tr>
      <w:tr w14:paraId="57855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493" w:type="pct"/>
        </w:trPr>
        <w:tc>
          <w:tcPr>
            <w:tcW w:w="248" w:type="pct"/>
            <w:tcBorders>
              <w:top w:val="single" w:color="auto" w:sz="4" w:space="0"/>
              <w:right w:val="single" w:color="auto" w:sz="4" w:space="0"/>
            </w:tcBorders>
            <w:noWrap w:val="0"/>
            <w:vAlign w:val="center"/>
          </w:tcPr>
          <w:p w14:paraId="678B8E87">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298" w:type="pct"/>
            <w:gridSpan w:val="2"/>
            <w:tcBorders>
              <w:top w:val="single" w:color="auto" w:sz="4" w:space="0"/>
              <w:right w:val="single" w:color="auto" w:sz="4" w:space="0"/>
            </w:tcBorders>
            <w:noWrap w:val="0"/>
            <w:vAlign w:val="center"/>
          </w:tcPr>
          <w:p w14:paraId="4B7991C9">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评标价的偏差率计算公式</w:t>
            </w:r>
          </w:p>
        </w:tc>
        <w:tc>
          <w:tcPr>
            <w:tcW w:w="1960" w:type="pct"/>
            <w:gridSpan w:val="9"/>
            <w:tcBorders>
              <w:top w:val="single" w:color="auto" w:sz="4" w:space="0"/>
              <w:left w:val="single" w:color="auto" w:sz="4" w:space="0"/>
              <w:right w:val="single" w:color="auto" w:sz="4" w:space="0"/>
            </w:tcBorders>
            <w:noWrap w:val="0"/>
            <w:vAlign w:val="center"/>
          </w:tcPr>
          <w:p w14:paraId="441B3742">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偏差率=100%×（投标人评标价－评标基准价）/评标基准价</w:t>
            </w:r>
          </w:p>
        </w:tc>
      </w:tr>
      <w:tr w14:paraId="7271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restart"/>
            <w:tcBorders>
              <w:top w:val="single" w:color="auto" w:sz="4" w:space="0"/>
            </w:tcBorders>
            <w:noWrap w:val="0"/>
            <w:vAlign w:val="center"/>
          </w:tcPr>
          <w:p w14:paraId="667F3294">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152" w:type="pct"/>
            <w:gridSpan w:val="9"/>
            <w:tcBorders>
              <w:top w:val="single" w:color="auto" w:sz="4" w:space="0"/>
            </w:tcBorders>
            <w:noWrap w:val="0"/>
            <w:vAlign w:val="top"/>
          </w:tcPr>
          <w:p w14:paraId="7649C8FD">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评分因素与权重分值</w:t>
            </w:r>
          </w:p>
        </w:tc>
        <w:tc>
          <w:tcPr>
            <w:tcW w:w="1105" w:type="pct"/>
            <w:gridSpan w:val="2"/>
            <w:vMerge w:val="restart"/>
            <w:tcBorders>
              <w:top w:val="single" w:color="auto" w:sz="4" w:space="0"/>
            </w:tcBorders>
            <w:noWrap w:val="0"/>
            <w:vAlign w:val="center"/>
          </w:tcPr>
          <w:p w14:paraId="17ACB5B5">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r>
      <w:tr w14:paraId="269A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continue"/>
            <w:noWrap w:val="0"/>
            <w:vAlign w:val="center"/>
          </w:tcPr>
          <w:p w14:paraId="43EC4D6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p>
        </w:tc>
        <w:tc>
          <w:tcPr>
            <w:tcW w:w="298" w:type="pct"/>
            <w:gridSpan w:val="2"/>
            <w:noWrap w:val="0"/>
            <w:vAlign w:val="center"/>
          </w:tcPr>
          <w:p w14:paraId="4DBAB47D">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297" w:type="pct"/>
            <w:gridSpan w:val="2"/>
            <w:noWrap w:val="0"/>
            <w:vAlign w:val="center"/>
          </w:tcPr>
          <w:p w14:paraId="6841D145">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p w14:paraId="298A89EC">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权重分值</w:t>
            </w:r>
          </w:p>
        </w:tc>
        <w:tc>
          <w:tcPr>
            <w:tcW w:w="395" w:type="pct"/>
            <w:gridSpan w:val="3"/>
            <w:noWrap w:val="0"/>
            <w:vAlign w:val="center"/>
          </w:tcPr>
          <w:p w14:paraId="48410AA7">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各评分因素细分项</w:t>
            </w:r>
          </w:p>
        </w:tc>
        <w:tc>
          <w:tcPr>
            <w:tcW w:w="162" w:type="pct"/>
            <w:gridSpan w:val="2"/>
            <w:noWrap w:val="0"/>
            <w:vAlign w:val="center"/>
          </w:tcPr>
          <w:p w14:paraId="0119462F">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1105" w:type="pct"/>
            <w:gridSpan w:val="2"/>
            <w:vMerge w:val="continue"/>
            <w:noWrap w:val="0"/>
            <w:vAlign w:val="top"/>
          </w:tcPr>
          <w:p w14:paraId="6DF817E8">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b/>
                <w:color w:val="auto"/>
                <w:sz w:val="24"/>
                <w:highlight w:val="none"/>
              </w:rPr>
            </w:pPr>
          </w:p>
        </w:tc>
      </w:tr>
      <w:tr w14:paraId="7320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restart"/>
            <w:noWrap w:val="0"/>
            <w:vAlign w:val="center"/>
          </w:tcPr>
          <w:p w14:paraId="2D9C9AC6">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2.2.4（1）</w:t>
            </w:r>
          </w:p>
        </w:tc>
        <w:tc>
          <w:tcPr>
            <w:tcW w:w="298" w:type="pct"/>
            <w:gridSpan w:val="2"/>
            <w:vMerge w:val="restart"/>
            <w:noWrap w:val="0"/>
            <w:vAlign w:val="center"/>
          </w:tcPr>
          <w:p w14:paraId="74C70D29">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技术建议书</w:t>
            </w:r>
          </w:p>
        </w:tc>
        <w:tc>
          <w:tcPr>
            <w:tcW w:w="297" w:type="pct"/>
            <w:gridSpan w:val="2"/>
            <w:vMerge w:val="restart"/>
            <w:noWrap w:val="0"/>
            <w:vAlign w:val="center"/>
          </w:tcPr>
          <w:p w14:paraId="1C48170E">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w:t>
            </w:r>
          </w:p>
        </w:tc>
        <w:tc>
          <w:tcPr>
            <w:tcW w:w="395" w:type="pct"/>
            <w:gridSpan w:val="3"/>
            <w:vMerge w:val="restart"/>
            <w:noWrap w:val="0"/>
            <w:vAlign w:val="center"/>
          </w:tcPr>
          <w:p w14:paraId="6884EA4F">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监理大纲（或监理方案）和措施</w:t>
            </w:r>
          </w:p>
        </w:tc>
        <w:tc>
          <w:tcPr>
            <w:tcW w:w="162" w:type="pct"/>
            <w:gridSpan w:val="2"/>
            <w:vMerge w:val="restart"/>
            <w:noWrap w:val="0"/>
            <w:vAlign w:val="center"/>
          </w:tcPr>
          <w:p w14:paraId="52227976">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15分</w:t>
            </w:r>
          </w:p>
        </w:tc>
        <w:tc>
          <w:tcPr>
            <w:tcW w:w="356" w:type="pct"/>
            <w:noWrap w:val="0"/>
            <w:vAlign w:val="center"/>
          </w:tcPr>
          <w:p w14:paraId="4B28986F">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质量和安全监理</w:t>
            </w:r>
          </w:p>
          <w:p w14:paraId="7A17A2FA">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749" w:type="pct"/>
            <w:noWrap w:val="0"/>
            <w:vAlign w:val="center"/>
          </w:tcPr>
          <w:p w14:paraId="4D3932C2">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质量和安全监理目标明确，且完全响应广东省施工标准化和安全标准化指南的得</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w:t>
            </w:r>
          </w:p>
          <w:p w14:paraId="346655B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监理措施具体且有效，对质量和安全问题所采取的对策及预控方法合理可行的，响应广东省施工标准化和安全标准化指南程度，酌情加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分；</w:t>
            </w:r>
          </w:p>
        </w:tc>
      </w:tr>
      <w:tr w14:paraId="285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continue"/>
            <w:noWrap w:val="0"/>
            <w:vAlign w:val="center"/>
          </w:tcPr>
          <w:p w14:paraId="28997CAF">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8" w:type="pct"/>
            <w:gridSpan w:val="2"/>
            <w:vMerge w:val="continue"/>
            <w:noWrap w:val="0"/>
            <w:vAlign w:val="center"/>
          </w:tcPr>
          <w:p w14:paraId="61281AC4">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7" w:type="pct"/>
            <w:gridSpan w:val="2"/>
            <w:vMerge w:val="continue"/>
            <w:noWrap w:val="0"/>
            <w:vAlign w:val="center"/>
          </w:tcPr>
          <w:p w14:paraId="174F8817">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p>
        </w:tc>
        <w:tc>
          <w:tcPr>
            <w:tcW w:w="395" w:type="pct"/>
            <w:gridSpan w:val="3"/>
            <w:vMerge w:val="continue"/>
            <w:noWrap w:val="0"/>
            <w:vAlign w:val="center"/>
          </w:tcPr>
          <w:p w14:paraId="0CB79572">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p>
        </w:tc>
        <w:tc>
          <w:tcPr>
            <w:tcW w:w="162" w:type="pct"/>
            <w:gridSpan w:val="2"/>
            <w:vMerge w:val="continue"/>
            <w:noWrap w:val="0"/>
            <w:vAlign w:val="center"/>
          </w:tcPr>
          <w:p w14:paraId="4AE326D1">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u w:val="single"/>
              </w:rPr>
            </w:pPr>
          </w:p>
        </w:tc>
        <w:tc>
          <w:tcPr>
            <w:tcW w:w="356" w:type="pct"/>
            <w:noWrap w:val="0"/>
            <w:vAlign w:val="center"/>
          </w:tcPr>
          <w:p w14:paraId="000AE0AC">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进度监理（5分）</w:t>
            </w:r>
          </w:p>
        </w:tc>
        <w:tc>
          <w:tcPr>
            <w:tcW w:w="749" w:type="pct"/>
            <w:noWrap w:val="0"/>
            <w:vAlign w:val="center"/>
          </w:tcPr>
          <w:p w14:paraId="649473BE">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进度监理目标明确并满足招标文件的要求得</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w:t>
            </w:r>
          </w:p>
          <w:p w14:paraId="62803CB0">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监理措施具体且有效，对保证工期所采取的对策及预控方法合理可行的，酌情加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分。</w:t>
            </w:r>
          </w:p>
        </w:tc>
      </w:tr>
      <w:tr w14:paraId="70C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continue"/>
            <w:noWrap w:val="0"/>
            <w:vAlign w:val="center"/>
          </w:tcPr>
          <w:p w14:paraId="5596A917">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8" w:type="pct"/>
            <w:gridSpan w:val="2"/>
            <w:vMerge w:val="continue"/>
            <w:noWrap w:val="0"/>
            <w:vAlign w:val="center"/>
          </w:tcPr>
          <w:p w14:paraId="6E360DB8">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7" w:type="pct"/>
            <w:gridSpan w:val="2"/>
            <w:vMerge w:val="continue"/>
            <w:noWrap w:val="0"/>
            <w:vAlign w:val="center"/>
          </w:tcPr>
          <w:p w14:paraId="7F0E3845">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p>
        </w:tc>
        <w:tc>
          <w:tcPr>
            <w:tcW w:w="395" w:type="pct"/>
            <w:gridSpan w:val="3"/>
            <w:vMerge w:val="continue"/>
            <w:noWrap w:val="0"/>
            <w:vAlign w:val="center"/>
          </w:tcPr>
          <w:p w14:paraId="59CE0CCB">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p>
        </w:tc>
        <w:tc>
          <w:tcPr>
            <w:tcW w:w="162" w:type="pct"/>
            <w:gridSpan w:val="2"/>
            <w:vMerge w:val="continue"/>
            <w:noWrap w:val="0"/>
            <w:vAlign w:val="center"/>
          </w:tcPr>
          <w:p w14:paraId="2CCD14E4">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u w:val="single"/>
              </w:rPr>
            </w:pPr>
          </w:p>
        </w:tc>
        <w:tc>
          <w:tcPr>
            <w:tcW w:w="356" w:type="pct"/>
            <w:noWrap w:val="0"/>
            <w:vAlign w:val="center"/>
          </w:tcPr>
          <w:p w14:paraId="50314DBB">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费用和合同监理</w:t>
            </w:r>
          </w:p>
          <w:p w14:paraId="216BA1F6">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749" w:type="pct"/>
            <w:noWrap w:val="0"/>
            <w:vAlign w:val="center"/>
          </w:tcPr>
          <w:p w14:paraId="18252532">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有工程计量与支付监理方面的具体管理方法和措施具体且有效，有明确的变更管理、预防索赔、减少合同纠纷的管理和控制措施得</w:t>
            </w:r>
            <w:r>
              <w:rPr>
                <w:rFonts w:hint="eastAsia" w:ascii="宋体" w:hAnsi="宋体" w:eastAsia="宋体" w:cs="宋体"/>
                <w:color w:val="auto"/>
                <w:sz w:val="24"/>
                <w:highlight w:val="none"/>
                <w:u w:val="single"/>
                <w:lang w:val="en-US" w:eastAsia="zh-CN"/>
              </w:rPr>
              <w:t>1.8</w:t>
            </w:r>
            <w:r>
              <w:rPr>
                <w:rFonts w:hint="eastAsia" w:ascii="宋体" w:hAnsi="宋体" w:eastAsia="宋体" w:cs="宋体"/>
                <w:color w:val="auto"/>
                <w:sz w:val="24"/>
                <w:highlight w:val="none"/>
              </w:rPr>
              <w:t>分；</w:t>
            </w:r>
          </w:p>
          <w:p w14:paraId="1A19873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有合理可行的控制超计量支付及提前计量支付的预控方法的，酌情加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分。</w:t>
            </w:r>
          </w:p>
        </w:tc>
      </w:tr>
      <w:tr w14:paraId="4CF2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continue"/>
            <w:noWrap w:val="0"/>
            <w:vAlign w:val="center"/>
          </w:tcPr>
          <w:p w14:paraId="4C84830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8" w:type="pct"/>
            <w:gridSpan w:val="2"/>
            <w:vMerge w:val="continue"/>
            <w:noWrap w:val="0"/>
            <w:vAlign w:val="center"/>
          </w:tcPr>
          <w:p w14:paraId="3FA2F7AD">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7" w:type="pct"/>
            <w:gridSpan w:val="2"/>
            <w:vMerge w:val="continue"/>
            <w:noWrap w:val="0"/>
            <w:vAlign w:val="center"/>
          </w:tcPr>
          <w:p w14:paraId="7A80C9BF">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p>
        </w:tc>
        <w:tc>
          <w:tcPr>
            <w:tcW w:w="395" w:type="pct"/>
            <w:gridSpan w:val="3"/>
            <w:vMerge w:val="continue"/>
            <w:noWrap w:val="0"/>
            <w:vAlign w:val="center"/>
          </w:tcPr>
          <w:p w14:paraId="200B42BF">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p>
        </w:tc>
        <w:tc>
          <w:tcPr>
            <w:tcW w:w="162" w:type="pct"/>
            <w:gridSpan w:val="2"/>
            <w:vMerge w:val="continue"/>
            <w:noWrap w:val="0"/>
            <w:vAlign w:val="center"/>
          </w:tcPr>
          <w:p w14:paraId="6C22426B">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u w:val="single"/>
              </w:rPr>
            </w:pPr>
          </w:p>
        </w:tc>
        <w:tc>
          <w:tcPr>
            <w:tcW w:w="356" w:type="pct"/>
            <w:noWrap w:val="0"/>
            <w:vAlign w:val="top"/>
          </w:tcPr>
          <w:p w14:paraId="331D3C1C">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施工环境保护管理（2分）</w:t>
            </w:r>
          </w:p>
        </w:tc>
        <w:tc>
          <w:tcPr>
            <w:tcW w:w="749" w:type="pct"/>
            <w:noWrap w:val="0"/>
            <w:vAlign w:val="top"/>
          </w:tcPr>
          <w:p w14:paraId="5D463DE3">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有环保监理措施，且完全响应广东省施工标准化和安全标准化指南的得</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分；</w:t>
            </w:r>
          </w:p>
          <w:p w14:paraId="0FC1DD4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环保监理措施和方法具体且有效的，响应广东省施工标准化和安全标准化指南程度，酌情加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rPr>
              <w:t>分。</w:t>
            </w:r>
          </w:p>
        </w:tc>
      </w:tr>
      <w:tr w14:paraId="1CF6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2210" w:hRule="atLeast"/>
        </w:trPr>
        <w:tc>
          <w:tcPr>
            <w:tcW w:w="248" w:type="pct"/>
            <w:vMerge w:val="continue"/>
            <w:noWrap w:val="0"/>
            <w:vAlign w:val="center"/>
          </w:tcPr>
          <w:p w14:paraId="1D76B71F">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8" w:type="pct"/>
            <w:gridSpan w:val="2"/>
            <w:vMerge w:val="continue"/>
            <w:noWrap w:val="0"/>
            <w:vAlign w:val="center"/>
          </w:tcPr>
          <w:p w14:paraId="4E686FD8">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7" w:type="pct"/>
            <w:gridSpan w:val="2"/>
            <w:vMerge w:val="continue"/>
            <w:noWrap w:val="0"/>
            <w:vAlign w:val="center"/>
          </w:tcPr>
          <w:p w14:paraId="0B29C80A">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p>
        </w:tc>
        <w:tc>
          <w:tcPr>
            <w:tcW w:w="395" w:type="pct"/>
            <w:gridSpan w:val="3"/>
            <w:noWrap w:val="0"/>
            <w:vAlign w:val="center"/>
          </w:tcPr>
          <w:p w14:paraId="23F966E6">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本工程监理工作的重点与难点分析</w:t>
            </w:r>
          </w:p>
        </w:tc>
        <w:tc>
          <w:tcPr>
            <w:tcW w:w="162" w:type="pct"/>
            <w:gridSpan w:val="2"/>
            <w:noWrap w:val="0"/>
            <w:vAlign w:val="center"/>
          </w:tcPr>
          <w:p w14:paraId="732C1DD2">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1105" w:type="pct"/>
            <w:gridSpan w:val="2"/>
            <w:noWrap w:val="0"/>
            <w:vAlign w:val="center"/>
          </w:tcPr>
          <w:p w14:paraId="0D6153C8">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有对工程重点、难点的分析得</w:t>
            </w:r>
            <w:r>
              <w:rPr>
                <w:rFonts w:hint="eastAsia" w:ascii="宋体" w:hAnsi="宋体" w:eastAsia="宋体" w:cs="宋体"/>
                <w:color w:val="auto"/>
                <w:sz w:val="24"/>
                <w:highlight w:val="none"/>
                <w:u w:val="single"/>
                <w:lang w:val="en-US" w:eastAsia="zh-CN"/>
              </w:rPr>
              <w:t>6.0</w:t>
            </w:r>
            <w:r>
              <w:rPr>
                <w:rFonts w:hint="eastAsia" w:ascii="宋体" w:hAnsi="宋体" w:eastAsia="宋体" w:cs="宋体"/>
                <w:color w:val="auto"/>
                <w:sz w:val="24"/>
                <w:highlight w:val="none"/>
              </w:rPr>
              <w:t>分；分析准确，且有合理可行的应对措施的，酌情加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4.0</w:t>
            </w:r>
            <w:r>
              <w:rPr>
                <w:rFonts w:hint="eastAsia" w:ascii="宋体" w:hAnsi="宋体" w:eastAsia="宋体" w:cs="宋体"/>
                <w:color w:val="auto"/>
                <w:sz w:val="24"/>
                <w:highlight w:val="none"/>
              </w:rPr>
              <w:t>分。</w:t>
            </w:r>
          </w:p>
        </w:tc>
      </w:tr>
      <w:tr w14:paraId="5C2A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Pr>
        <w:tc>
          <w:tcPr>
            <w:tcW w:w="248" w:type="pct"/>
            <w:vMerge w:val="continue"/>
            <w:noWrap w:val="0"/>
            <w:vAlign w:val="center"/>
          </w:tcPr>
          <w:p w14:paraId="5DE72053">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8" w:type="pct"/>
            <w:gridSpan w:val="2"/>
            <w:vMerge w:val="continue"/>
            <w:noWrap w:val="0"/>
            <w:vAlign w:val="center"/>
          </w:tcPr>
          <w:p w14:paraId="1541E238">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97" w:type="pct"/>
            <w:gridSpan w:val="2"/>
            <w:vMerge w:val="continue"/>
            <w:noWrap w:val="0"/>
            <w:vAlign w:val="center"/>
          </w:tcPr>
          <w:p w14:paraId="32F1BE5E">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u w:val="single"/>
              </w:rPr>
            </w:pPr>
          </w:p>
        </w:tc>
        <w:tc>
          <w:tcPr>
            <w:tcW w:w="395" w:type="pct"/>
            <w:gridSpan w:val="3"/>
            <w:noWrap w:val="0"/>
            <w:vAlign w:val="center"/>
          </w:tcPr>
          <w:p w14:paraId="6639973D">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对本工程的建议</w:t>
            </w:r>
          </w:p>
        </w:tc>
        <w:tc>
          <w:tcPr>
            <w:tcW w:w="162" w:type="pct"/>
            <w:gridSpan w:val="2"/>
            <w:noWrap w:val="0"/>
            <w:vAlign w:val="center"/>
          </w:tcPr>
          <w:p w14:paraId="0865843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1105" w:type="pct"/>
            <w:gridSpan w:val="2"/>
            <w:noWrap w:val="0"/>
            <w:vAlign w:val="center"/>
          </w:tcPr>
          <w:p w14:paraId="3D66A502">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有对本工程的建议的得</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分；对管理模式、工程质量、进度、投资控制、合同管理等方面均提出合理可行的建议的，酌情加</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分。</w:t>
            </w:r>
          </w:p>
        </w:tc>
      </w:tr>
      <w:tr w14:paraId="7F2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2377" w:hRule="atLeast"/>
        </w:trPr>
        <w:tc>
          <w:tcPr>
            <w:tcW w:w="248" w:type="pct"/>
            <w:noWrap w:val="0"/>
            <w:vAlign w:val="center"/>
          </w:tcPr>
          <w:p w14:paraId="411AF486">
            <w:pPr>
              <w:keepNext w:val="0"/>
              <w:keepLines w:val="0"/>
              <w:pageBreakBefore w:val="0"/>
              <w:wordWrap/>
              <w:overflowPunct/>
              <w:topLinePunct w:val="0"/>
              <w:autoSpaceDE w:val="0"/>
              <w:autoSpaceDN w:val="0"/>
              <w:bidi w:val="0"/>
              <w:spacing w:line="360" w:lineRule="auto"/>
              <w:ind w:left="-92" w:leftChars="-44"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2.2.4（2）</w:t>
            </w:r>
          </w:p>
        </w:tc>
        <w:tc>
          <w:tcPr>
            <w:tcW w:w="298" w:type="pct"/>
            <w:gridSpan w:val="2"/>
            <w:noWrap w:val="0"/>
            <w:vAlign w:val="center"/>
          </w:tcPr>
          <w:p w14:paraId="5A501614">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主要人员</w:t>
            </w:r>
          </w:p>
        </w:tc>
        <w:tc>
          <w:tcPr>
            <w:tcW w:w="297" w:type="pct"/>
            <w:gridSpan w:val="2"/>
            <w:noWrap w:val="0"/>
            <w:vAlign w:val="center"/>
          </w:tcPr>
          <w:p w14:paraId="3B2A3C52">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rPr>
              <w:t>分</w:t>
            </w:r>
          </w:p>
        </w:tc>
        <w:tc>
          <w:tcPr>
            <w:tcW w:w="395" w:type="pct"/>
            <w:gridSpan w:val="3"/>
            <w:noWrap w:val="0"/>
            <w:vAlign w:val="center"/>
          </w:tcPr>
          <w:p w14:paraId="5195A280">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总监理工程师任职资格与业绩</w:t>
            </w:r>
          </w:p>
        </w:tc>
        <w:tc>
          <w:tcPr>
            <w:tcW w:w="162" w:type="pct"/>
            <w:gridSpan w:val="2"/>
            <w:noWrap w:val="0"/>
            <w:vAlign w:val="center"/>
          </w:tcPr>
          <w:p w14:paraId="188CEBD9">
            <w:pPr>
              <w:keepNext w:val="0"/>
              <w:keepLines w:val="0"/>
              <w:pageBreakBefore w:val="0"/>
              <w:wordWrap/>
              <w:overflowPunct/>
              <w:topLinePunct w:val="0"/>
              <w:autoSpaceDE w:val="0"/>
              <w:autoSpaceDN w:val="0"/>
              <w:bidi w:val="0"/>
              <w:spacing w:line="360" w:lineRule="auto"/>
              <w:ind w:right="105" w:right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rPr>
              <w:t>分</w:t>
            </w:r>
          </w:p>
        </w:tc>
        <w:tc>
          <w:tcPr>
            <w:tcW w:w="1105" w:type="pct"/>
            <w:gridSpan w:val="2"/>
            <w:noWrap w:val="0"/>
            <w:vAlign w:val="center"/>
          </w:tcPr>
          <w:p w14:paraId="3E44C577">
            <w:pPr>
              <w:keepNext w:val="0"/>
              <w:keepLines w:val="0"/>
              <w:pageBreakBefore w:val="0"/>
              <w:wordWrap/>
              <w:overflowPunct/>
              <w:topLinePunct w:val="0"/>
              <w:autoSpaceDE w:val="0"/>
              <w:autoSpaceDN w:val="0"/>
              <w:bidi w:val="0"/>
              <w:spacing w:line="360" w:lineRule="auto"/>
              <w:ind w:right="105" w:rightChars="5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拟派总监理工程师</w:t>
            </w:r>
            <w:r>
              <w:rPr>
                <w:rFonts w:hint="eastAsia" w:ascii="宋体" w:hAnsi="宋体" w:eastAsia="宋体" w:cs="宋体"/>
                <w:color w:val="auto"/>
                <w:sz w:val="24"/>
                <w:highlight w:val="none"/>
              </w:rPr>
              <w:t>符合资格审查要求的，得</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r>
      <w:tr w14:paraId="1C20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4065" w:hRule="atLeast"/>
        </w:trPr>
        <w:tc>
          <w:tcPr>
            <w:tcW w:w="248" w:type="pct"/>
            <w:noWrap w:val="0"/>
            <w:vAlign w:val="center"/>
          </w:tcPr>
          <w:p w14:paraId="295E9C6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2.2.4（3）</w:t>
            </w:r>
          </w:p>
        </w:tc>
        <w:tc>
          <w:tcPr>
            <w:tcW w:w="298" w:type="pct"/>
            <w:gridSpan w:val="2"/>
            <w:noWrap w:val="0"/>
            <w:vAlign w:val="center"/>
          </w:tcPr>
          <w:p w14:paraId="5B558446">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w:t>
            </w:r>
          </w:p>
        </w:tc>
        <w:tc>
          <w:tcPr>
            <w:tcW w:w="297" w:type="pct"/>
            <w:gridSpan w:val="2"/>
            <w:noWrap w:val="0"/>
            <w:vAlign w:val="center"/>
          </w:tcPr>
          <w:p w14:paraId="62B89F2A">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分</w:t>
            </w:r>
          </w:p>
        </w:tc>
        <w:tc>
          <w:tcPr>
            <w:tcW w:w="1663" w:type="pct"/>
            <w:gridSpan w:val="7"/>
            <w:noWrap w:val="0"/>
            <w:vAlign w:val="top"/>
          </w:tcPr>
          <w:p w14:paraId="566992D9">
            <w:pPr>
              <w:keepNext w:val="0"/>
              <w:keepLines w:val="0"/>
              <w:pageBreakBefore w:val="0"/>
              <w:wordWrap/>
              <w:overflowPunct/>
              <w:topLinePunct w:val="0"/>
              <w:autoSpaceDE w:val="0"/>
              <w:autoSpaceDN w:val="0"/>
              <w:bidi w:val="0"/>
              <w:spacing w:line="360" w:lineRule="auto"/>
              <w:ind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评标价得分计算公式示例：</w:t>
            </w:r>
          </w:p>
          <w:p w14:paraId="3E940894">
            <w:pPr>
              <w:keepNext w:val="0"/>
              <w:keepLines w:val="0"/>
              <w:pageBreakBefore w:val="0"/>
              <w:wordWrap/>
              <w:overflowPunct/>
              <w:topLinePunct w:val="0"/>
              <w:autoSpaceDE w:val="0"/>
              <w:autoSpaceDN w:val="0"/>
              <w:bidi w:val="0"/>
              <w:spacing w:line="360" w:lineRule="auto"/>
              <w:ind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（1）如果投标人的评标价&gt;评标基准价，则评标价得分＝F－偏差率×100×E1；</w:t>
            </w:r>
          </w:p>
          <w:p w14:paraId="06F46CBA">
            <w:pPr>
              <w:keepNext w:val="0"/>
              <w:keepLines w:val="0"/>
              <w:pageBreakBefore w:val="0"/>
              <w:wordWrap/>
              <w:overflowPunct/>
              <w:topLinePunct w:val="0"/>
              <w:autoSpaceDE w:val="0"/>
              <w:autoSpaceDN w:val="0"/>
              <w:bidi w:val="0"/>
              <w:spacing w:line="360" w:lineRule="auto"/>
              <w:ind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（2）如果投标人的评标价≤评标基准价，则评标价得分＝F＋偏差率×100×E2。</w:t>
            </w:r>
          </w:p>
          <w:p w14:paraId="7A0310C1">
            <w:pPr>
              <w:keepNext w:val="0"/>
              <w:keepLines w:val="0"/>
              <w:pageBreakBefore w:val="0"/>
              <w:wordWrap/>
              <w:overflowPunct/>
              <w:topLinePunct w:val="0"/>
              <w:autoSpaceDE w:val="0"/>
              <w:autoSpaceDN w:val="0"/>
              <w:bidi w:val="0"/>
              <w:spacing w:line="360" w:lineRule="auto"/>
              <w:ind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其中：F=10，E1=1.0，E2=0.5</w:t>
            </w:r>
          </w:p>
          <w:p w14:paraId="17854E5E">
            <w:pPr>
              <w:keepNext w:val="0"/>
              <w:keepLines w:val="0"/>
              <w:pageBreakBefore w:val="0"/>
              <w:wordWrap/>
              <w:overflowPunct/>
              <w:topLinePunct w:val="0"/>
              <w:autoSpaceDE w:val="0"/>
              <w:autoSpaceDN w:val="0"/>
              <w:bidi w:val="0"/>
              <w:spacing w:line="360" w:lineRule="auto"/>
              <w:ind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评标价得分最高分为10分，最低分为0分，评标价得分保留小数点后四位，第五位四舍五入。</w:t>
            </w:r>
          </w:p>
        </w:tc>
      </w:tr>
      <w:tr w14:paraId="4F8E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1073" w:hRule="atLeast"/>
        </w:trPr>
        <w:tc>
          <w:tcPr>
            <w:tcW w:w="248" w:type="pct"/>
            <w:vMerge w:val="restart"/>
            <w:tcBorders>
              <w:right w:val="single" w:color="auto" w:sz="4" w:space="0"/>
            </w:tcBorders>
            <w:noWrap w:val="0"/>
            <w:vAlign w:val="center"/>
          </w:tcPr>
          <w:p w14:paraId="567EDDB0">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2.2.4（4）</w:t>
            </w:r>
          </w:p>
        </w:tc>
        <w:tc>
          <w:tcPr>
            <w:tcW w:w="250" w:type="pct"/>
            <w:vMerge w:val="restart"/>
            <w:tcBorders>
              <w:left w:val="single" w:color="auto" w:sz="4" w:space="0"/>
            </w:tcBorders>
            <w:noWrap w:val="0"/>
            <w:vAlign w:val="center"/>
          </w:tcPr>
          <w:p w14:paraId="4C818D7F">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其他因素</w:t>
            </w:r>
          </w:p>
        </w:tc>
        <w:tc>
          <w:tcPr>
            <w:tcW w:w="196" w:type="pct"/>
            <w:gridSpan w:val="2"/>
            <w:vMerge w:val="restart"/>
            <w:noWrap w:val="0"/>
            <w:vAlign w:val="center"/>
          </w:tcPr>
          <w:p w14:paraId="06C541D1">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业绩</w:t>
            </w:r>
          </w:p>
          <w:p w14:paraId="182D56CD">
            <w:pPr>
              <w:keepNext w:val="0"/>
              <w:keepLines w:val="0"/>
              <w:pageBreakBefore w:val="0"/>
              <w:wordWrap/>
              <w:overflowPunct/>
              <w:topLinePunct w:val="0"/>
              <w:autoSpaceDE w:val="0"/>
              <w:autoSpaceDN w:val="0"/>
              <w:bidi w:val="0"/>
              <w:spacing w:line="360" w:lineRule="auto"/>
              <w:ind w:left="-105" w:leftChars="-50" w:right="105" w:rightChars="50"/>
              <w:jc w:val="center"/>
              <w:rPr>
                <w:rFonts w:hint="default" w:ascii="宋体" w:hAnsi="宋体" w:eastAsia="宋体" w:cs="宋体"/>
                <w:color w:val="auto"/>
                <w:kern w:val="0"/>
                <w:sz w:val="24"/>
                <w:szCs w:val="24"/>
                <w:highlight w:val="none"/>
                <w:lang w:val="en-US" w:eastAsia="zh-CN" w:bidi="ar-SA"/>
              </w:rPr>
            </w:pPr>
          </w:p>
        </w:tc>
        <w:tc>
          <w:tcPr>
            <w:tcW w:w="234" w:type="pct"/>
            <w:gridSpan w:val="2"/>
            <w:vMerge w:val="restart"/>
            <w:noWrap w:val="0"/>
            <w:vAlign w:val="center"/>
          </w:tcPr>
          <w:p w14:paraId="3E68735E">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25分</w:t>
            </w:r>
          </w:p>
        </w:tc>
        <w:tc>
          <w:tcPr>
            <w:tcW w:w="200" w:type="pct"/>
            <w:vMerge w:val="restart"/>
            <w:noWrap w:val="0"/>
            <w:vAlign w:val="center"/>
          </w:tcPr>
          <w:p w14:paraId="12C58A00">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基本要求</w:t>
            </w:r>
          </w:p>
        </w:tc>
        <w:tc>
          <w:tcPr>
            <w:tcW w:w="158" w:type="pct"/>
            <w:gridSpan w:val="2"/>
            <w:noWrap w:val="0"/>
            <w:vAlign w:val="center"/>
          </w:tcPr>
          <w:p w14:paraId="246F6688">
            <w:pPr>
              <w:pStyle w:val="6"/>
              <w:keepNext w:val="0"/>
              <w:keepLines w:val="0"/>
              <w:pageBreakBefore w:val="0"/>
              <w:wordWrap/>
              <w:overflowPunct/>
              <w:topLinePunct w:val="0"/>
              <w:autoSpaceDE w:val="0"/>
              <w:autoSpaceDN w:val="0"/>
              <w:bidi w:val="0"/>
              <w:snapToGrid w:val="0"/>
              <w:spacing w:line="360" w:lineRule="auto"/>
              <w:ind w:right="105" w:right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15分</w:t>
            </w:r>
          </w:p>
        </w:tc>
        <w:tc>
          <w:tcPr>
            <w:tcW w:w="1219" w:type="pct"/>
            <w:gridSpan w:val="3"/>
            <w:noWrap w:val="0"/>
            <w:vAlign w:val="top"/>
          </w:tcPr>
          <w:p w14:paraId="08E6E979">
            <w:pPr>
              <w:pStyle w:val="6"/>
              <w:keepNext w:val="0"/>
              <w:keepLines w:val="0"/>
              <w:pageBreakBefore w:val="0"/>
              <w:widowControl w:val="0"/>
              <w:kinsoku/>
              <w:wordWrap/>
              <w:overflowPunct/>
              <w:topLinePunct w:val="0"/>
              <w:autoSpaceDE w:val="0"/>
              <w:autoSpaceDN w:val="0"/>
              <w:bidi w:val="0"/>
              <w:adjustRightInd w:val="0"/>
              <w:snapToGrid w:val="0"/>
              <w:spacing w:line="360" w:lineRule="auto"/>
              <w:ind w:right="105" w:rightChars="50" w:firstLine="120" w:firstLineChars="50"/>
              <w:textAlignment w:val="auto"/>
              <w:rPr>
                <w:rFonts w:hint="eastAsia" w:ascii="宋体" w:hAnsi="宋体" w:eastAsia="宋体" w:cs="宋体"/>
                <w:strike/>
                <w:dstrike w:val="0"/>
                <w:color w:val="auto"/>
                <w:sz w:val="24"/>
                <w:highlight w:val="none"/>
              </w:rPr>
            </w:pPr>
            <w:r>
              <w:rPr>
                <w:rFonts w:hint="eastAsia" w:ascii="宋体" w:hAnsi="宋体" w:eastAsia="宋体" w:cs="宋体"/>
                <w:color w:val="auto"/>
                <w:highlight w:val="none"/>
              </w:rPr>
              <w:t>满足招标文件附录2业绩最低要求的，得</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r>
      <w:tr w14:paraId="4DB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1073" w:hRule="atLeast"/>
        </w:trPr>
        <w:tc>
          <w:tcPr>
            <w:tcW w:w="248" w:type="pct"/>
            <w:vMerge w:val="continue"/>
            <w:tcBorders>
              <w:right w:val="single" w:color="auto" w:sz="4" w:space="0"/>
            </w:tcBorders>
            <w:noWrap w:val="0"/>
            <w:vAlign w:val="center"/>
          </w:tcPr>
          <w:p w14:paraId="535AC285">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50" w:type="pct"/>
            <w:vMerge w:val="continue"/>
            <w:tcBorders>
              <w:left w:val="single" w:color="auto" w:sz="4" w:space="0"/>
            </w:tcBorders>
            <w:noWrap w:val="0"/>
            <w:vAlign w:val="center"/>
          </w:tcPr>
          <w:p w14:paraId="6D95C2F5">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196" w:type="pct"/>
            <w:gridSpan w:val="2"/>
            <w:vMerge w:val="continue"/>
            <w:noWrap w:val="0"/>
            <w:vAlign w:val="center"/>
          </w:tcPr>
          <w:p w14:paraId="63AA0BA5">
            <w:pPr>
              <w:keepNext w:val="0"/>
              <w:keepLines w:val="0"/>
              <w:pageBreakBefore w:val="0"/>
              <w:wordWrap/>
              <w:overflowPunct/>
              <w:topLinePunct w:val="0"/>
              <w:autoSpaceDE w:val="0"/>
              <w:autoSpaceDN w:val="0"/>
              <w:bidi w:val="0"/>
              <w:spacing w:line="360" w:lineRule="auto"/>
              <w:ind w:left="-105" w:leftChars="-50" w:right="105" w:rightChars="50"/>
              <w:jc w:val="center"/>
              <w:rPr>
                <w:rFonts w:hint="default" w:ascii="宋体" w:hAnsi="宋体" w:eastAsia="宋体" w:cs="宋体"/>
                <w:color w:val="auto"/>
                <w:sz w:val="24"/>
                <w:highlight w:val="none"/>
                <w:lang w:val="en-US" w:eastAsia="zh-CN"/>
              </w:rPr>
            </w:pPr>
          </w:p>
        </w:tc>
        <w:tc>
          <w:tcPr>
            <w:tcW w:w="234" w:type="pct"/>
            <w:gridSpan w:val="2"/>
            <w:vMerge w:val="continue"/>
            <w:noWrap w:val="0"/>
            <w:vAlign w:val="center"/>
          </w:tcPr>
          <w:p w14:paraId="0F8F920C">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sz w:val="24"/>
                <w:highlight w:val="none"/>
                <w:lang w:val="en-US" w:eastAsia="zh-CN"/>
              </w:rPr>
            </w:pPr>
          </w:p>
        </w:tc>
        <w:tc>
          <w:tcPr>
            <w:tcW w:w="200" w:type="pct"/>
            <w:vMerge w:val="continue"/>
            <w:noWrap w:val="0"/>
            <w:vAlign w:val="center"/>
          </w:tcPr>
          <w:p w14:paraId="4D9AA4C3">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sz w:val="24"/>
                <w:highlight w:val="none"/>
              </w:rPr>
            </w:pPr>
          </w:p>
        </w:tc>
        <w:tc>
          <w:tcPr>
            <w:tcW w:w="158" w:type="pct"/>
            <w:gridSpan w:val="2"/>
            <w:noWrap w:val="0"/>
            <w:vAlign w:val="center"/>
          </w:tcPr>
          <w:p w14:paraId="0BF88F8F">
            <w:pPr>
              <w:pStyle w:val="6"/>
              <w:keepNext w:val="0"/>
              <w:keepLines w:val="0"/>
              <w:pageBreakBefore w:val="0"/>
              <w:wordWrap/>
              <w:overflowPunct/>
              <w:topLinePunct w:val="0"/>
              <w:autoSpaceDE w:val="0"/>
              <w:autoSpaceDN w:val="0"/>
              <w:bidi w:val="0"/>
              <w:snapToGrid w:val="0"/>
              <w:spacing w:line="360" w:lineRule="auto"/>
              <w:ind w:right="105" w:rightChars="5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kern w:val="0"/>
                <w:sz w:val="24"/>
                <w:szCs w:val="24"/>
                <w:highlight w:val="none"/>
                <w:lang w:val="en-US" w:eastAsia="zh-CN" w:bidi="ar-SA"/>
              </w:rPr>
              <w:t>分</w:t>
            </w:r>
          </w:p>
        </w:tc>
        <w:tc>
          <w:tcPr>
            <w:tcW w:w="1219" w:type="pct"/>
            <w:gridSpan w:val="3"/>
            <w:noWrap w:val="0"/>
            <w:vAlign w:val="top"/>
          </w:tcPr>
          <w:p w14:paraId="12ABF7F4">
            <w:pPr>
              <w:pStyle w:val="6"/>
              <w:keepNext w:val="0"/>
              <w:keepLines w:val="0"/>
              <w:pageBreakBefore w:val="0"/>
              <w:widowControl w:val="0"/>
              <w:kinsoku/>
              <w:wordWrap/>
              <w:overflowPunct/>
              <w:topLinePunct w:val="0"/>
              <w:autoSpaceDE w:val="0"/>
              <w:autoSpaceDN w:val="0"/>
              <w:bidi w:val="0"/>
              <w:adjustRightInd w:val="0"/>
              <w:snapToGrid w:val="0"/>
              <w:spacing w:line="360" w:lineRule="auto"/>
              <w:ind w:right="105" w:rightChars="5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在满足业绩最低要求的基础上：</w:t>
            </w:r>
          </w:p>
          <w:p w14:paraId="712CC4FF">
            <w:pPr>
              <w:pStyle w:val="6"/>
              <w:keepNext w:val="0"/>
              <w:keepLines w:val="0"/>
              <w:pageBreakBefore w:val="0"/>
              <w:widowControl w:val="0"/>
              <w:kinsoku/>
              <w:wordWrap/>
              <w:overflowPunct/>
              <w:topLinePunct w:val="0"/>
              <w:autoSpaceDE w:val="0"/>
              <w:autoSpaceDN w:val="0"/>
              <w:bidi w:val="0"/>
              <w:adjustRightInd w:val="0"/>
              <w:snapToGrid w:val="0"/>
              <w:spacing w:line="360" w:lineRule="auto"/>
              <w:ind w:right="105" w:rightChars="5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每增加1项类似工程且里程不少于8Km（尾数不计）的业绩加5分，最多加10分。</w:t>
            </w:r>
          </w:p>
        </w:tc>
      </w:tr>
      <w:tr w14:paraId="55D4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710" w:hRule="atLeast"/>
        </w:trPr>
        <w:tc>
          <w:tcPr>
            <w:tcW w:w="248" w:type="pct"/>
            <w:vMerge w:val="continue"/>
            <w:tcBorders>
              <w:right w:val="single" w:color="auto" w:sz="4" w:space="0"/>
            </w:tcBorders>
            <w:noWrap w:val="0"/>
            <w:vAlign w:val="center"/>
          </w:tcPr>
          <w:p w14:paraId="3ECBD263">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250" w:type="pct"/>
            <w:vMerge w:val="continue"/>
            <w:tcBorders>
              <w:left w:val="single" w:color="auto" w:sz="4" w:space="0"/>
            </w:tcBorders>
            <w:noWrap w:val="0"/>
            <w:vAlign w:val="center"/>
          </w:tcPr>
          <w:p w14:paraId="6467185B">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sz w:val="24"/>
                <w:highlight w:val="none"/>
              </w:rPr>
            </w:pPr>
          </w:p>
        </w:tc>
        <w:tc>
          <w:tcPr>
            <w:tcW w:w="196" w:type="pct"/>
            <w:gridSpan w:val="2"/>
            <w:noWrap w:val="0"/>
            <w:vAlign w:val="center"/>
          </w:tcPr>
          <w:p w14:paraId="56E0B213">
            <w:pPr>
              <w:keepNext w:val="0"/>
              <w:keepLines w:val="0"/>
              <w:pageBreakBefore w:val="0"/>
              <w:wordWrap/>
              <w:overflowPunct/>
              <w:topLinePunct w:val="0"/>
              <w:autoSpaceDE w:val="0"/>
              <w:autoSpaceDN w:val="0"/>
              <w:bidi w:val="0"/>
              <w:spacing w:line="360" w:lineRule="auto"/>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履约信誉</w:t>
            </w:r>
          </w:p>
        </w:tc>
        <w:tc>
          <w:tcPr>
            <w:tcW w:w="234" w:type="pct"/>
            <w:gridSpan w:val="2"/>
            <w:noWrap w:val="0"/>
            <w:vAlign w:val="center"/>
          </w:tcPr>
          <w:p w14:paraId="7694A024">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p>
          <w:p w14:paraId="48AB2C0F">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r>
              <w:rPr>
                <w:rFonts w:hint="eastAsia" w:ascii="宋体" w:hAnsi="宋体" w:eastAsia="宋体" w:cs="宋体"/>
                <w:color w:val="auto"/>
                <w:highlight w:val="none"/>
              </w:rPr>
              <w:t>10分</w:t>
            </w:r>
          </w:p>
          <w:p w14:paraId="66BC189C">
            <w:pPr>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p>
        </w:tc>
        <w:tc>
          <w:tcPr>
            <w:tcW w:w="200" w:type="pct"/>
            <w:noWrap w:val="0"/>
            <w:vAlign w:val="center"/>
          </w:tcPr>
          <w:p w14:paraId="19EFAE1A">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r>
              <w:rPr>
                <w:rFonts w:hint="eastAsia" w:ascii="宋体" w:hAnsi="宋体" w:eastAsia="宋体" w:cs="宋体"/>
                <w:color w:val="auto"/>
                <w:highlight w:val="none"/>
              </w:rPr>
              <w:t>履约信誉</w:t>
            </w:r>
          </w:p>
        </w:tc>
        <w:tc>
          <w:tcPr>
            <w:tcW w:w="158" w:type="pct"/>
            <w:gridSpan w:val="2"/>
            <w:noWrap w:val="0"/>
            <w:vAlign w:val="center"/>
          </w:tcPr>
          <w:p w14:paraId="6474408E">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r>
              <w:rPr>
                <w:rFonts w:hint="eastAsia" w:ascii="宋体" w:hAnsi="宋体" w:eastAsia="宋体" w:cs="宋体"/>
                <w:color w:val="auto"/>
                <w:highlight w:val="none"/>
              </w:rPr>
              <w:t>10分</w:t>
            </w:r>
          </w:p>
        </w:tc>
        <w:tc>
          <w:tcPr>
            <w:tcW w:w="1219" w:type="pct"/>
            <w:gridSpan w:val="3"/>
            <w:noWrap w:val="0"/>
            <w:vAlign w:val="top"/>
          </w:tcPr>
          <w:p w14:paraId="4371311A">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1.信用等级分值（5分）</w:t>
            </w:r>
          </w:p>
          <w:p w14:paraId="5F3B2ACD">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AA、A、B、C级单位的信用等级分得分分别为5.00、4.75、4.45、3.65分。</w:t>
            </w:r>
          </w:p>
          <w:p w14:paraId="351D3608">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注：信用等级的确定原则遵循投标人须知前附表10.2款的规定。</w:t>
            </w:r>
          </w:p>
          <w:p w14:paraId="2D691D03">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2.履约情况（5分）</w:t>
            </w:r>
          </w:p>
          <w:p w14:paraId="64B2D013">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若没出现下述情形得满分；</w:t>
            </w:r>
          </w:p>
          <w:p w14:paraId="1F05BDFC">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投标文件递交截止日前1年内，投标人因公路工程（含附属设施）质量、安全、履约或招标投标问题等原因被：</w:t>
            </w:r>
          </w:p>
          <w:p w14:paraId="0B1C05CB">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（1）交通运输部行政处罚的，扣5分/次。</w:t>
            </w:r>
          </w:p>
          <w:p w14:paraId="1973E6A7">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（2）广东省交通运输厅行政处罚的，扣3分/次。</w:t>
            </w:r>
          </w:p>
          <w:p w14:paraId="7973D125">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（3）茂名市交通运输局行政处罚的，扣1.5分/次。</w:t>
            </w:r>
          </w:p>
          <w:p w14:paraId="6FAB6934">
            <w:pPr>
              <w:pStyle w:val="6"/>
              <w:keepNext w:val="0"/>
              <w:keepLines w:val="0"/>
              <w:pageBreakBefore w:val="0"/>
              <w:wordWrap/>
              <w:overflowPunct/>
              <w:topLinePunct w:val="0"/>
              <w:autoSpaceDE w:val="0"/>
              <w:autoSpaceDN w:val="0"/>
              <w:bidi w:val="0"/>
              <w:spacing w:line="360" w:lineRule="auto"/>
              <w:ind w:right="105" w:rightChars="5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（4）广东省交通运输厅正式约谈的，扣0.1分/次。</w:t>
            </w:r>
          </w:p>
          <w:p w14:paraId="055D78F3">
            <w:pPr>
              <w:pStyle w:val="6"/>
              <w:keepNext w:val="0"/>
              <w:keepLines w:val="0"/>
              <w:pageBreakBefore w:val="0"/>
              <w:wordWrap/>
              <w:overflowPunct/>
              <w:topLinePunct w:val="0"/>
              <w:autoSpaceDE w:val="0"/>
              <w:autoSpaceDN w:val="0"/>
              <w:bidi w:val="0"/>
              <w:spacing w:line="360" w:lineRule="auto"/>
              <w:ind w:right="105" w:rightChars="50"/>
              <w:jc w:val="both"/>
              <w:rPr>
                <w:rFonts w:hint="eastAsia" w:ascii="宋体" w:hAnsi="宋体" w:eastAsia="宋体" w:cs="宋体"/>
                <w:color w:val="auto"/>
                <w:highlight w:val="none"/>
              </w:rPr>
            </w:pPr>
            <w:r>
              <w:rPr>
                <w:rFonts w:hint="eastAsia" w:ascii="宋体" w:hAnsi="宋体" w:eastAsia="宋体" w:cs="宋体"/>
                <w:color w:val="auto"/>
                <w:szCs w:val="21"/>
                <w:highlight w:val="none"/>
              </w:rPr>
              <w:t>注：同一事项同时被多个部门行政处罚或正式约谈只按最高的扣分计算1次</w:t>
            </w:r>
            <w:r>
              <w:rPr>
                <w:rStyle w:val="5"/>
                <w:rFonts w:hint="eastAsia" w:ascii="宋体" w:hAnsi="宋体" w:eastAsia="宋体" w:cs="宋体"/>
                <w:color w:val="auto"/>
                <w:szCs w:val="21"/>
                <w:highlight w:val="none"/>
              </w:rPr>
              <w:footnoteReference w:id="0"/>
            </w:r>
            <w:r>
              <w:rPr>
                <w:rFonts w:hint="eastAsia" w:ascii="宋体" w:hAnsi="宋体" w:eastAsia="宋体" w:cs="宋体"/>
                <w:color w:val="auto"/>
                <w:szCs w:val="21"/>
                <w:highlight w:val="none"/>
              </w:rPr>
              <w:t>。如果扣完本项分值，可以从总分中扣</w:t>
            </w:r>
            <w:r>
              <w:rPr>
                <w:rFonts w:hint="eastAsia" w:ascii="宋体" w:hAnsi="宋体" w:eastAsia="宋体" w:cs="宋体"/>
                <w:color w:val="auto"/>
                <w:highlight w:val="none"/>
              </w:rPr>
              <w:t>。</w:t>
            </w:r>
          </w:p>
        </w:tc>
      </w:tr>
      <w:tr w14:paraId="73B5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06" w:type="pct"/>
            <w:gridSpan w:val="12"/>
            <w:tcBorders>
              <w:top w:val="single" w:color="auto" w:sz="4" w:space="0"/>
              <w:left w:val="single" w:color="auto" w:sz="4" w:space="0"/>
              <w:bottom w:val="single" w:color="auto" w:sz="4" w:space="0"/>
              <w:right w:val="single" w:color="auto" w:sz="4" w:space="0"/>
            </w:tcBorders>
            <w:noWrap w:val="0"/>
            <w:vAlign w:val="center"/>
          </w:tcPr>
          <w:p w14:paraId="17B476D2">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c>
          <w:tcPr>
            <w:tcW w:w="2493" w:type="pct"/>
            <w:tcBorders>
              <w:top w:val="nil"/>
              <w:left w:val="single" w:color="auto" w:sz="4" w:space="0"/>
              <w:bottom w:val="nil"/>
              <w:right w:val="nil"/>
            </w:tcBorders>
            <w:noWrap w:val="0"/>
            <w:vAlign w:val="top"/>
          </w:tcPr>
          <w:p w14:paraId="1CE558FA">
            <w:pPr>
              <w:keepNext w:val="0"/>
              <w:keepLines w:val="0"/>
              <w:pageBreakBefore w:val="0"/>
              <w:wordWrap/>
              <w:overflowPunct/>
              <w:topLinePunct w:val="0"/>
              <w:autoSpaceDE w:val="0"/>
              <w:autoSpaceDN w:val="0"/>
              <w:bidi w:val="0"/>
              <w:spacing w:line="360" w:lineRule="auto"/>
              <w:ind w:right="105" w:rightChars="50"/>
              <w:rPr>
                <w:rFonts w:hint="eastAsia" w:ascii="宋体" w:hAnsi="宋体" w:eastAsia="宋体" w:cs="宋体"/>
                <w:color w:val="auto"/>
                <w:sz w:val="24"/>
                <w:highlight w:val="none"/>
              </w:rPr>
            </w:pPr>
          </w:p>
        </w:tc>
      </w:tr>
      <w:tr w14:paraId="3C95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455" w:hRule="atLeast"/>
        </w:trPr>
        <w:tc>
          <w:tcPr>
            <w:tcW w:w="248" w:type="pct"/>
            <w:tcBorders>
              <w:right w:val="single" w:color="auto" w:sz="4" w:space="0"/>
            </w:tcBorders>
            <w:noWrap w:val="0"/>
            <w:vAlign w:val="center"/>
          </w:tcPr>
          <w:p w14:paraId="72F0C6AB">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258" w:type="pct"/>
            <w:gridSpan w:val="11"/>
            <w:tcBorders>
              <w:top w:val="single" w:color="auto" w:sz="4" w:space="0"/>
              <w:left w:val="single" w:color="auto" w:sz="4" w:space="0"/>
              <w:right w:val="single" w:color="auto" w:sz="4" w:space="0"/>
            </w:tcBorders>
            <w:noWrap w:val="0"/>
            <w:vAlign w:val="center"/>
          </w:tcPr>
          <w:p w14:paraId="6C10C950">
            <w:pPr>
              <w:pStyle w:val="6"/>
              <w:keepNext w:val="0"/>
              <w:keepLines w:val="0"/>
              <w:pageBreakBefore w:val="0"/>
              <w:wordWrap/>
              <w:overflowPunct/>
              <w:topLinePunct w:val="0"/>
              <w:autoSpaceDE w:val="0"/>
              <w:autoSpaceDN w:val="0"/>
              <w:bidi w:val="0"/>
              <w:spacing w:line="360" w:lineRule="auto"/>
              <w:ind w:right="105" w:rightChars="50"/>
              <w:jc w:val="center"/>
              <w:rPr>
                <w:rFonts w:hint="eastAsia" w:ascii="宋体" w:hAnsi="宋体" w:eastAsia="宋体" w:cs="宋体"/>
                <w:color w:val="auto"/>
                <w:highlight w:val="none"/>
              </w:rPr>
            </w:pPr>
            <w:r>
              <w:rPr>
                <w:rFonts w:hint="eastAsia" w:ascii="宋体" w:hAnsi="宋体" w:eastAsia="宋体" w:cs="宋体"/>
                <w:color w:val="auto"/>
                <w:highlight w:val="none"/>
              </w:rPr>
              <w:t>补充或修改的内容</w:t>
            </w:r>
          </w:p>
        </w:tc>
      </w:tr>
      <w:tr w14:paraId="4447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2309" w:hRule="atLeast"/>
        </w:trPr>
        <w:tc>
          <w:tcPr>
            <w:tcW w:w="248" w:type="pct"/>
            <w:noWrap w:val="0"/>
            <w:vAlign w:val="center"/>
          </w:tcPr>
          <w:p w14:paraId="5B402AAB">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58" w:type="pct"/>
            <w:gridSpan w:val="11"/>
            <w:noWrap w:val="0"/>
            <w:vAlign w:val="top"/>
          </w:tcPr>
          <w:p w14:paraId="43F0A34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1.1评标方法</w:t>
            </w:r>
          </w:p>
          <w:p w14:paraId="55BC415E">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双信封的综合评估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2868717A">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1.2评标组织</w:t>
            </w:r>
          </w:p>
          <w:p w14:paraId="1C0CF8B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1.2.1协助工作组</w:t>
            </w:r>
          </w:p>
          <w:p w14:paraId="7D02FE91">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招标人可在评标工作开始前成立协助工作组，选派熟悉招标工作、政治素质高的人员组成，协助评标委员会工作。协助工作组人员的具体数量由招标人视评标工作量确定。</w:t>
            </w:r>
          </w:p>
          <w:p w14:paraId="0DB4627E">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招标人可以协助评标委员会开展下列工作并提供相关信息：</w:t>
            </w:r>
          </w:p>
          <w:p w14:paraId="7A1EBBA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（1）根据招标文件，编制评标使用的相应表格；</w:t>
            </w:r>
          </w:p>
          <w:p w14:paraId="7F7056E7">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（2）对投标报价进行算术性校核；</w:t>
            </w:r>
          </w:p>
          <w:p w14:paraId="27A07B6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（3）以评标标准和方法为依据，列出投标文件相对于招标文件的所有偏差，并进行归类汇总。</w:t>
            </w:r>
          </w:p>
          <w:p w14:paraId="6ED37FF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（4）查询</w:t>
            </w:r>
            <w:r>
              <w:rPr>
                <w:rFonts w:hint="eastAsia" w:ascii="宋体" w:hAnsi="宋体" w:eastAsia="宋体" w:cs="宋体"/>
                <w:color w:val="auto"/>
                <w:sz w:val="24"/>
                <w:highlight w:val="none"/>
                <w:lang w:eastAsia="zh-CN"/>
              </w:rPr>
              <w:t>全国公路建设市场监督管理系统</w:t>
            </w:r>
            <w:r>
              <w:rPr>
                <w:rFonts w:hint="eastAsia" w:ascii="宋体" w:hAnsi="宋体" w:eastAsia="宋体" w:cs="宋体"/>
                <w:color w:val="auto"/>
                <w:sz w:val="24"/>
                <w:highlight w:val="none"/>
              </w:rPr>
              <w:t>，对投标人的资质、业绩、主要人员资历和目前在岗情况、信用等级进行核实（如有）。</w:t>
            </w:r>
          </w:p>
          <w:p w14:paraId="7ED35BF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招标人不得对投标文件作出任何评价，不得故意遗漏或者片面摘录，不得在评标委员会对所有偏差定性之前透露存有偏差的投标人名称。</w:t>
            </w:r>
          </w:p>
          <w:p w14:paraId="28EE20E5">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1.2.2评标委员会</w:t>
            </w:r>
          </w:p>
          <w:p w14:paraId="4FCCEFB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评标委员会由招标人按国家、广东省等的有关规定依法组建。评标委员人数参见本招标文件“投标人须知前附表第6.1.1款。评标委员会的主要工作内容包括：</w:t>
            </w:r>
          </w:p>
          <w:p w14:paraId="7CABAB5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（1）评标委员会开始评标工作之前，首先听取招标人、协助工作组关于工程情况和辅助工作的说明，并认真研读招标文件，获取评标所需的重要信息和数据；</w:t>
            </w:r>
          </w:p>
          <w:p w14:paraId="5F951BE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（2）对协助工作组提供的评标工作用表和评标内容进行核查。</w:t>
            </w:r>
          </w:p>
          <w:p w14:paraId="32C1E60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（3）按照以下1.3款程序进行各项评审工作。</w:t>
            </w:r>
          </w:p>
          <w:p w14:paraId="4E7B0AA1">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1.3评审工作程序</w:t>
            </w:r>
          </w:p>
          <w:p w14:paraId="5A46605A">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（一）第一信封（商务及技术文件）：</w:t>
            </w:r>
          </w:p>
          <w:p w14:paraId="5F0E29C8">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l、初步评审：包括形式评审与响应性评审、资格评审；</w:t>
            </w:r>
          </w:p>
          <w:p w14:paraId="3083CDC1">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2、详细评审（评审打分）：评标委员会首先对通过初步评审的投标文件第一个信封（商务及技术文件）进行详细评审，对投标人的监理实施方案、主要人员、其他因素等分别评审打分。</w:t>
            </w:r>
          </w:p>
          <w:p w14:paraId="48A12CB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（二）第二信封（报价文件）：</w:t>
            </w:r>
          </w:p>
          <w:p w14:paraId="3BB425BA">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1、初步评审：</w:t>
            </w:r>
          </w:p>
          <w:p w14:paraId="505014C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（1）只有投标文件第一个信封通过详细评审的投标人才能继续参加第二信封报价文件的形式评审与响应性评审；</w:t>
            </w:r>
          </w:p>
          <w:p w14:paraId="7E9FAF77">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（2）报价算术性修正；</w:t>
            </w:r>
          </w:p>
          <w:p w14:paraId="05606D2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2、详细评审：计算评标基准价、评标价得分及综合得分；</w:t>
            </w:r>
          </w:p>
          <w:p w14:paraId="1B11624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（三）投标文件的澄清和说明（如有）</w:t>
            </w:r>
          </w:p>
          <w:p w14:paraId="6184606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（四）按评标办法规定推荐中标候选人，编写评标报告。</w:t>
            </w:r>
          </w:p>
        </w:tc>
      </w:tr>
      <w:tr w14:paraId="1F7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524" w:hRule="atLeast"/>
        </w:trPr>
        <w:tc>
          <w:tcPr>
            <w:tcW w:w="248" w:type="pct"/>
            <w:noWrap w:val="0"/>
            <w:vAlign w:val="center"/>
          </w:tcPr>
          <w:p w14:paraId="3965D57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p>
        </w:tc>
        <w:tc>
          <w:tcPr>
            <w:tcW w:w="2258" w:type="pct"/>
            <w:gridSpan w:val="11"/>
            <w:noWrap w:val="0"/>
            <w:vAlign w:val="top"/>
          </w:tcPr>
          <w:p w14:paraId="687B706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原3.2.2条款补充细化如下：</w:t>
            </w:r>
          </w:p>
          <w:p w14:paraId="714240D8">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第一个信封详细评审时，各评分因素（技术能力（如有）、履约信誉、技术建议书除外）得分一般不得低于该权重分值的60%，技术建议书得分一般不得低于该权重分值的80%，评标委员会成员对某一项评分因素的低于上述分值时，应当在评标报告中作出说明。</w:t>
            </w:r>
          </w:p>
          <w:p w14:paraId="08A921A7">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商务评分（主要人员、其他因素）得分应以评标委员会各成员的算术平均值确定。</w:t>
            </w:r>
          </w:p>
          <w:p w14:paraId="7AE4DFF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计算投标人技术得分时：各评分因素细分项中取消一个最高、一个最低分后计算算术平均值的和为投标人的最终技术得分，平均值计算保留小数点后三位，小数点后第四位“四舍五入”。</w:t>
            </w:r>
          </w:p>
          <w:p w14:paraId="1E65069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投标人的商务得分保留至小数点后两位，小数点后第三位“四舍五入”。</w:t>
            </w:r>
          </w:p>
        </w:tc>
      </w:tr>
      <w:tr w14:paraId="484E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524" w:hRule="atLeast"/>
        </w:trPr>
        <w:tc>
          <w:tcPr>
            <w:tcW w:w="248" w:type="pct"/>
            <w:noWrap w:val="0"/>
            <w:vAlign w:val="center"/>
          </w:tcPr>
          <w:p w14:paraId="2669EE9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3.6.1</w:t>
            </w:r>
          </w:p>
        </w:tc>
        <w:tc>
          <w:tcPr>
            <w:tcW w:w="2258" w:type="pct"/>
            <w:gridSpan w:val="11"/>
            <w:noWrap w:val="0"/>
            <w:vAlign w:val="top"/>
          </w:tcPr>
          <w:p w14:paraId="401D9E0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3.6.1项（2）目末增加以下条款：</w:t>
            </w:r>
          </w:p>
          <w:p w14:paraId="49901118">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g.广东省实施《中华人民共和国招标投标法》办法第十六条规定的情形。</w:t>
            </w:r>
          </w:p>
        </w:tc>
      </w:tr>
      <w:tr w14:paraId="4EAB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1949" w:hRule="atLeast"/>
        </w:trPr>
        <w:tc>
          <w:tcPr>
            <w:tcW w:w="248" w:type="pct"/>
            <w:noWrap w:val="0"/>
            <w:vAlign w:val="center"/>
          </w:tcPr>
          <w:p w14:paraId="065BAF3E">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3.6.3</w:t>
            </w:r>
          </w:p>
        </w:tc>
        <w:tc>
          <w:tcPr>
            <w:tcW w:w="2258" w:type="pct"/>
            <w:gridSpan w:val="11"/>
            <w:noWrap w:val="0"/>
            <w:vAlign w:val="top"/>
          </w:tcPr>
          <w:p w14:paraId="108699DF">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增加3.6.3项：</w:t>
            </w:r>
          </w:p>
          <w:p w14:paraId="143B2CCC">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191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3" w:type="pct"/>
          <w:trHeight w:val="343" w:hRule="atLeast"/>
        </w:trPr>
        <w:tc>
          <w:tcPr>
            <w:tcW w:w="248" w:type="pct"/>
            <w:noWrap w:val="0"/>
            <w:vAlign w:val="top"/>
          </w:tcPr>
          <w:p w14:paraId="40E0A152">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p>
        </w:tc>
        <w:tc>
          <w:tcPr>
            <w:tcW w:w="2258" w:type="pct"/>
            <w:gridSpan w:val="11"/>
            <w:noWrap w:val="0"/>
            <w:vAlign w:val="top"/>
          </w:tcPr>
          <w:p w14:paraId="64F2BCCC">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增加3.9.3、3.9.4、3.9.5、3.9.6条款后增加：</w:t>
            </w:r>
          </w:p>
          <w:p w14:paraId="3B460E4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3.9.3推荐中标候选人方式：按各合同段最高投标限价高低顺序依次选定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14:paraId="30723BB7">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3.9.4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503B1109">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3.9.5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0C77D65B">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3.9.6如果发生无法确定推荐中标候选人的其它意外情况，评标委员会可建议招标人重新招标。</w:t>
            </w:r>
          </w:p>
          <w:p w14:paraId="1DC330DF">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3.9.7本招标文件规定的否决投标条款包含在以下条款：</w:t>
            </w:r>
          </w:p>
          <w:p w14:paraId="0669D206">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（1）招标公告第3点投标人资格要求；</w:t>
            </w:r>
          </w:p>
          <w:p w14:paraId="148141D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（2）投标人须知1.4.3项、1.4.4项、1.4.5项、1.12.2项、3.4.2项、3.5.9</w:t>
            </w:r>
          </w:p>
          <w:p w14:paraId="4B2F8964">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p w14:paraId="7F27E333">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firstLine="120" w:firstLineChars="5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（3）本评标办法的否决条款。</w:t>
            </w:r>
          </w:p>
        </w:tc>
      </w:tr>
    </w:tbl>
    <w:p w14:paraId="155F9AEF">
      <w:pPr>
        <w:spacing w:line="360" w:lineRule="auto"/>
        <w:rPr>
          <w:rFonts w:asciiTheme="minorEastAsia" w:hAnsiTheme="minorEastAsia" w:eastAsiaTheme="minorEastAsia"/>
          <w:b/>
          <w:bCs/>
          <w:color w:val="auto"/>
          <w:sz w:val="22"/>
          <w:szCs w:val="22"/>
          <w:highlight w:val="none"/>
        </w:rPr>
      </w:pPr>
      <w:r>
        <w:rPr>
          <w:rFonts w:asciiTheme="minorEastAsia" w:hAnsiTheme="minorEastAsia" w:eastAsiaTheme="minorEastAsia"/>
          <w:b/>
          <w:bCs/>
          <w:color w:val="auto"/>
          <w:sz w:val="22"/>
          <w:szCs w:val="22"/>
          <w:highlight w:val="none"/>
        </w:rPr>
        <w:br w:type="page"/>
      </w:r>
    </w:p>
    <w:p w14:paraId="7E93A87D">
      <w:p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1.评标方法</w:t>
      </w:r>
    </w:p>
    <w:p w14:paraId="0D8A28BB">
      <w:pPr>
        <w:spacing w:line="360" w:lineRule="auto"/>
        <w:ind w:firstLine="480" w:firstLineChars="200"/>
        <w:rPr>
          <w:rFonts w:asciiTheme="minorEastAsia" w:hAnsiTheme="minorEastAsia" w:eastAsiaTheme="minorEastAsia"/>
          <w:color w:val="auto"/>
          <w:sz w:val="24"/>
          <w:highlight w:val="none"/>
        </w:rPr>
      </w:pPr>
      <w:bookmarkStart w:id="0" w:name="_Toc234382676"/>
      <w:r>
        <w:rPr>
          <w:rFonts w:hint="eastAsia" w:asciiTheme="minorEastAsia" w:hAnsiTheme="minorEastAsia" w:eastAsiaTheme="minorEastAsia"/>
          <w:color w:val="auto"/>
          <w:sz w:val="24"/>
          <w:highlight w:val="none"/>
        </w:rPr>
        <w:t>本次评标采用综合评估法。评标委员会对满足招标文件实质性要求的投标文件，按照本章第</w:t>
      </w: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款规定的评分标准进行打分，并按得分由高到低顺序推荐中标候选人，或根据招标人授权直接确定中标人，但投标报价低于其成本的除外。</w:t>
      </w:r>
      <w:r>
        <w:rPr>
          <w:rFonts w:asciiTheme="minorEastAsia" w:hAnsiTheme="minorEastAsia" w:eastAsiaTheme="minorEastAsia"/>
          <w:color w:val="auto"/>
          <w:sz w:val="24"/>
          <w:highlight w:val="none"/>
        </w:rPr>
        <w:t>综合评分</w:t>
      </w:r>
      <w:r>
        <w:rPr>
          <w:rFonts w:hint="eastAsia" w:asciiTheme="minorEastAsia" w:hAnsiTheme="minorEastAsia" w:eastAsiaTheme="minorEastAsia"/>
          <w:color w:val="auto"/>
          <w:sz w:val="24"/>
          <w:highlight w:val="none"/>
        </w:rPr>
        <w:t>相等时，评标委员会应按照评标办法前附表规定的优先次序推荐中标候选人或确定中标人。</w:t>
      </w:r>
    </w:p>
    <w:p w14:paraId="3CCB85BF">
      <w:pPr>
        <w:spacing w:beforeLines="150" w:line="360" w:lineRule="auto"/>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2.</w:t>
      </w:r>
      <w:r>
        <w:rPr>
          <w:rFonts w:hint="eastAsia" w:asciiTheme="minorEastAsia" w:hAnsiTheme="minorEastAsia" w:eastAsiaTheme="minorEastAsia"/>
          <w:b/>
          <w:color w:val="auto"/>
          <w:sz w:val="28"/>
          <w:szCs w:val="28"/>
          <w:highlight w:val="none"/>
        </w:rPr>
        <w:t>评审标准</w:t>
      </w:r>
      <w:bookmarkEnd w:id="0"/>
    </w:p>
    <w:p w14:paraId="388C3397">
      <w:pPr>
        <w:spacing w:line="360" w:lineRule="auto"/>
        <w:ind w:firstLine="482" w:firstLineChars="200"/>
        <w:rPr>
          <w:rFonts w:asciiTheme="minorEastAsia" w:hAnsiTheme="minorEastAsia" w:eastAsiaTheme="minorEastAsia"/>
          <w:b/>
          <w:color w:val="auto"/>
          <w:sz w:val="24"/>
          <w:highlight w:val="none"/>
        </w:rPr>
      </w:pPr>
      <w:bookmarkStart w:id="1" w:name="_Toc234382677"/>
      <w:r>
        <w:rPr>
          <w:rFonts w:asciiTheme="minorEastAsia" w:hAnsiTheme="minorEastAsia" w:eastAsiaTheme="minorEastAsia"/>
          <w:b/>
          <w:color w:val="auto"/>
          <w:sz w:val="24"/>
          <w:highlight w:val="none"/>
        </w:rPr>
        <w:t>2.1</w:t>
      </w:r>
      <w:r>
        <w:rPr>
          <w:rFonts w:hint="eastAsia" w:asciiTheme="minorEastAsia" w:hAnsiTheme="minorEastAsia" w:eastAsiaTheme="minorEastAsia"/>
          <w:b/>
          <w:color w:val="auto"/>
          <w:sz w:val="24"/>
          <w:highlight w:val="none"/>
        </w:rPr>
        <w:t>初步评审标准</w:t>
      </w:r>
      <w:bookmarkEnd w:id="1"/>
    </w:p>
    <w:p w14:paraId="3EC425C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2.1.1形式评审标准：见评标办法前附表。</w:t>
      </w:r>
    </w:p>
    <w:p w14:paraId="7513AE9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2.1.2资格评审标准：见评标办法前附表。（适用于未进行资格预审的）</w:t>
      </w:r>
    </w:p>
    <w:p w14:paraId="0C4C642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2.1.2资格评审标准：见资格预审文件第三章</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资格审查办法</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详细审查标准。（适用于已进行资格预审的）</w:t>
      </w:r>
    </w:p>
    <w:p w14:paraId="2A571ACC">
      <w:pPr>
        <w:spacing w:line="360" w:lineRule="auto"/>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2.1.3</w:t>
      </w:r>
      <w:r>
        <w:rPr>
          <w:rFonts w:hint="eastAsia" w:asciiTheme="minorEastAsia" w:hAnsiTheme="minorEastAsia" w:eastAsiaTheme="minorEastAsia"/>
          <w:color w:val="auto"/>
          <w:sz w:val="24"/>
          <w:highlight w:val="none"/>
        </w:rPr>
        <w:t>响应性评审标准：见评标办法前附表。</w:t>
      </w:r>
    </w:p>
    <w:p w14:paraId="212294B7">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w:t>
      </w:r>
      <w:r>
        <w:rPr>
          <w:rFonts w:hint="eastAsia" w:asciiTheme="minorEastAsia" w:hAnsiTheme="minorEastAsia" w:eastAsiaTheme="minorEastAsia"/>
          <w:b/>
          <w:color w:val="auto"/>
          <w:sz w:val="24"/>
          <w:highlight w:val="none"/>
        </w:rPr>
        <w:t>分值构成与评分标准</w:t>
      </w:r>
    </w:p>
    <w:p w14:paraId="627D3ED6">
      <w:pPr>
        <w:spacing w:line="360" w:lineRule="auto"/>
        <w:ind w:firstLine="480" w:firstLineChars="200"/>
        <w:rPr>
          <w:rFonts w:hint="eastAsia" w:asciiTheme="minorEastAsia" w:hAnsiTheme="minorEastAsia" w:eastAsiaTheme="minorEastAsia"/>
          <w:color w:val="auto"/>
          <w:sz w:val="24"/>
          <w:highlight w:val="none"/>
          <w:lang w:eastAsia="zh-CN"/>
        </w:rPr>
      </w:pPr>
      <w:r>
        <w:rPr>
          <w:rFonts w:cs="TimesNewRomanPSMT" w:asciiTheme="minorEastAsia" w:hAnsiTheme="minorEastAsia" w:eastAsiaTheme="minorEastAsia"/>
          <w:color w:val="auto"/>
          <w:kern w:val="0"/>
          <w:sz w:val="24"/>
          <w:highlight w:val="none"/>
        </w:rPr>
        <w:t>2</w:t>
      </w:r>
      <w:r>
        <w:rPr>
          <w:rFonts w:hint="eastAsia" w:asciiTheme="minorEastAsia" w:hAnsiTheme="minorEastAsia" w:eastAsiaTheme="minorEastAsia"/>
          <w:color w:val="auto"/>
          <w:sz w:val="24"/>
          <w:highlight w:val="none"/>
        </w:rPr>
        <w:t>.2.1分值构成</w:t>
      </w:r>
    </w:p>
    <w:p w14:paraId="242E105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（1）技术建议书：见评标办法前附表；</w:t>
      </w:r>
    </w:p>
    <w:p w14:paraId="70BBD93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（2）主要人员：见评标办法前附表；</w:t>
      </w:r>
    </w:p>
    <w:p w14:paraId="43A0730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）评标价：见评标办法前附表；</w:t>
      </w:r>
    </w:p>
    <w:p w14:paraId="3C44A7B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）其他评分因素：见评标办法前附表。</w:t>
      </w:r>
    </w:p>
    <w:p w14:paraId="07CBE244">
      <w:pPr>
        <w:spacing w:line="360" w:lineRule="auto"/>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2.2.2</w:t>
      </w:r>
      <w:r>
        <w:rPr>
          <w:rFonts w:hint="eastAsia" w:asciiTheme="minorEastAsia" w:hAnsiTheme="minorEastAsia" w:eastAsiaTheme="minorEastAsia"/>
          <w:color w:val="auto"/>
          <w:sz w:val="24"/>
          <w:highlight w:val="none"/>
        </w:rPr>
        <w:t>评标基准价计算</w:t>
      </w:r>
    </w:p>
    <w:p w14:paraId="7413D47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评标基准价计算方法：见评标办法前附表。</w:t>
      </w:r>
    </w:p>
    <w:p w14:paraId="1BF91D65">
      <w:pPr>
        <w:spacing w:line="360" w:lineRule="auto"/>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2.2.3</w:t>
      </w:r>
      <w:r>
        <w:rPr>
          <w:rFonts w:hint="eastAsia" w:asciiTheme="minorEastAsia" w:hAnsiTheme="minorEastAsia" w:eastAsiaTheme="minorEastAsia"/>
          <w:color w:val="auto"/>
          <w:sz w:val="24"/>
          <w:highlight w:val="none"/>
        </w:rPr>
        <w:t>评标价的偏差率计算</w:t>
      </w:r>
    </w:p>
    <w:p w14:paraId="7661172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评标价的偏差率计算公式：见评标办法前附表。</w:t>
      </w:r>
    </w:p>
    <w:p w14:paraId="6B382A0D">
      <w:pPr>
        <w:spacing w:line="360" w:lineRule="auto"/>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2.2.4</w:t>
      </w:r>
      <w:r>
        <w:rPr>
          <w:rFonts w:hint="eastAsia" w:asciiTheme="minorEastAsia" w:hAnsiTheme="minorEastAsia" w:eastAsiaTheme="minorEastAsia"/>
          <w:color w:val="auto"/>
          <w:sz w:val="24"/>
          <w:highlight w:val="none"/>
        </w:rPr>
        <w:t>评分标准</w:t>
      </w:r>
    </w:p>
    <w:p w14:paraId="11E78DE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（1）技术建议书评分标准：见评标办法前附表；</w:t>
      </w:r>
    </w:p>
    <w:p w14:paraId="36BA211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（2）主要人员评分标准：见评标办法前附表；</w:t>
      </w:r>
    </w:p>
    <w:p w14:paraId="4CACB4A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）评标价评分标准：见评标办法前附表；</w:t>
      </w:r>
    </w:p>
    <w:p w14:paraId="1CCF21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）其他因素评分标准：见评标办法前附表。</w:t>
      </w:r>
    </w:p>
    <w:p w14:paraId="7EF43AB1">
      <w:pPr>
        <w:spacing w:beforeLines="150" w:line="360" w:lineRule="auto"/>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3.</w:t>
      </w:r>
      <w:r>
        <w:rPr>
          <w:rFonts w:hint="eastAsia" w:asciiTheme="minorEastAsia" w:hAnsiTheme="minorEastAsia" w:eastAsiaTheme="minorEastAsia"/>
          <w:b/>
          <w:color w:val="auto"/>
          <w:sz w:val="28"/>
          <w:szCs w:val="28"/>
          <w:highlight w:val="none"/>
        </w:rPr>
        <w:t>评标程序</w:t>
      </w:r>
    </w:p>
    <w:p w14:paraId="12ABCC2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3.1第一个信封初步评审</w:t>
      </w:r>
    </w:p>
    <w:p w14:paraId="0D51805A">
      <w:pPr>
        <w:spacing w:line="360" w:lineRule="auto"/>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3.1.1评标委员会可以要求投标人提交第二章“</w:t>
      </w:r>
      <w:r>
        <w:rPr>
          <w:rFonts w:hint="eastAsia" w:asciiTheme="minorEastAsia" w:hAnsiTheme="minorEastAsia" w:eastAsiaTheme="minorEastAsia"/>
          <w:color w:val="auto"/>
          <w:sz w:val="24"/>
          <w:highlight w:val="none"/>
        </w:rPr>
        <w:t>投标人须知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3DFE4B7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3.1.2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738B7B91">
      <w:pPr>
        <w:spacing w:beforeLines="100" w:line="360" w:lineRule="auto"/>
        <w:ind w:firstLine="482" w:firstLineChars="200"/>
        <w:rPr>
          <w:rFonts w:hint="eastAsia" w:asciiTheme="minorEastAsia" w:hAnsiTheme="minorEastAsia" w:eastAsiaTheme="minorEastAsia"/>
          <w:color w:val="auto"/>
          <w:highlight w:val="none"/>
          <w:lang w:eastAsia="zh-CN"/>
        </w:rPr>
      </w:pPr>
      <w:r>
        <w:rPr>
          <w:rFonts w:asciiTheme="minorEastAsia" w:hAnsiTheme="minorEastAsia" w:eastAsiaTheme="minorEastAsia"/>
          <w:b/>
          <w:color w:val="auto"/>
          <w:sz w:val="24"/>
          <w:highlight w:val="none"/>
        </w:rPr>
        <w:t>3.2第一个信封详细评审</w:t>
      </w:r>
    </w:p>
    <w:p w14:paraId="4D29230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3.2.1评标委员会按本章第2.2款规定的量化因素和分值进行打分，并计算出各投标人的商务和技术得分。</w:t>
      </w:r>
    </w:p>
    <w:p w14:paraId="6ADEEDE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（1）按本章第2.2.4项（1）目规定的评审因素和分值对技术建议书部分计算出得分A；</w:t>
      </w:r>
    </w:p>
    <w:p w14:paraId="33F2059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（2）按本章第2.2.4项（2）目规定的评审因素和分值对主要人员部分计算出得分B；</w:t>
      </w:r>
    </w:p>
    <w:p w14:paraId="3F84761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（3）按本章第2.2.4项（4）目规定的评审因素和分值对其他部分计算出得分D。</w:t>
      </w:r>
    </w:p>
    <w:p w14:paraId="0A878BE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3.2.2投标人的商务和技术得分分值计算保留小数点后两位，小数点后第三位“四舍五入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14:paraId="6007FCE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3.2.3投标人的商务和技术得分=A+B+D。</w:t>
      </w:r>
    </w:p>
    <w:p w14:paraId="14D66110">
      <w:pPr>
        <w:spacing w:beforeLines="10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3.3第二个信封开标</w:t>
      </w:r>
    </w:p>
    <w:p w14:paraId="6D1CE02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第一个信封（商务及技术文件）评审结束后，招标人将按照第二章“投标人须知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第5.1款规定的时间和地点对通过投标文件第一个信封（商务及技术文件）评审的投标文件第二个信封（报价文件）进行开标。</w:t>
      </w:r>
    </w:p>
    <w:p w14:paraId="48B7FDA5">
      <w:pPr>
        <w:spacing w:beforeLines="10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3.4第二个信封初步评审</w:t>
      </w:r>
    </w:p>
    <w:p w14:paraId="6B111F4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3.4.1评标委员会依据本章第2.1.1项、第2.1.3项规定的评审标准对投标文件第二个信封（报价文件）进行初步评审。有一项不符合评审标准的，评标委员会应否决其投标。</w:t>
      </w:r>
    </w:p>
    <w:p w14:paraId="5434518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3.4.2投标报价有算术错误的，评标委员会按以下原则对投标报价进行修正，修正的价格经投标人书面确认后具有约束力。投标人不接受修正价格的，评标委员会应否决其投标。</w:t>
      </w:r>
    </w:p>
    <w:p w14:paraId="38C0883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（1）投标文件中的大写金额与小写金额不一致的，以大写金额为准；</w:t>
      </w:r>
    </w:p>
    <w:p w14:paraId="139882C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（2）总价金额与依据单价计算出的结果不一致的，以单价金额为准修正总价，但单价金额小数点有明显错误的除外；</w:t>
      </w:r>
    </w:p>
    <w:p w14:paraId="15986F7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（3）当单价与数量相乘不等于合价时，以单价计算为准，如果单价有明显的小数点位置差错，应以标出的合价为准，同时对单价予以修正；</w:t>
      </w:r>
    </w:p>
    <w:p w14:paraId="18A6B74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（4）当各子目的合价累计不等于总价时，应以各子目合价累计数为准，修正总价。</w:t>
      </w:r>
    </w:p>
    <w:p w14:paraId="2EC0EF3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3.4.3修正后的最终投标报价若超过最高投标限价（如有），评标委员会应否决其投标。</w:t>
      </w:r>
    </w:p>
    <w:p w14:paraId="009E386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3.4.4修正后的最终投标报价仅作为签订合同的一个依据，不参与评标价得分的计算。</w:t>
      </w:r>
    </w:p>
    <w:p w14:paraId="40E01865">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5第二个信封详细评审</w:t>
      </w:r>
    </w:p>
    <w:p w14:paraId="4B2DB40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3.5.1评标委员会按本章第2.2.4项（3）目规定的评审因素和分值对评标价计算出得分C。评标价得分分值计算保留小数点后两位，小数点后第三位“四舍五入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14:paraId="1408B9E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3.5.2投标人综合得分=投标人的商务和技术得分+C。</w:t>
      </w:r>
    </w:p>
    <w:p w14:paraId="4F9FFA4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29300EAB">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6投标文件相关信息的核查</w:t>
      </w:r>
    </w:p>
    <w:p w14:paraId="4DE7446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3.6.1在评标过程中，评标委员会应查询交通运输主管部门“</w:t>
      </w:r>
      <w:r>
        <w:rPr>
          <w:rFonts w:hint="eastAsia" w:asciiTheme="minorEastAsia" w:hAnsiTheme="minorEastAsia" w:eastAsiaTheme="minorEastAsia"/>
          <w:color w:val="auto"/>
          <w:sz w:val="24"/>
          <w:highlight w:val="none"/>
          <w:lang w:eastAsia="zh-CN"/>
        </w:rPr>
        <w:t>全国公路建设市场监督管理系统</w:t>
      </w:r>
      <w:r>
        <w:rPr>
          <w:rFonts w:hint="eastAsia" w:asciiTheme="minorEastAsia" w:hAnsiTheme="minorEastAsia" w:eastAsiaTheme="minorEastAsia"/>
          <w:color w:val="auto"/>
          <w:sz w:val="24"/>
          <w:highlight w:val="none"/>
        </w:rPr>
        <w:t>”，对投标人的资质、业绩、主要人员资历和目前在岗情况、信用等级等信息进行核实。若投标文件载明的信息与交通运输主管部门“</w:t>
      </w:r>
      <w:r>
        <w:rPr>
          <w:rFonts w:hint="eastAsia" w:asciiTheme="minorEastAsia" w:hAnsiTheme="minorEastAsia" w:eastAsiaTheme="minorEastAsia"/>
          <w:color w:val="auto"/>
          <w:sz w:val="24"/>
          <w:highlight w:val="none"/>
          <w:lang w:eastAsia="zh-CN"/>
        </w:rPr>
        <w:t>全国公路建设市场监督管理系统</w:t>
      </w:r>
      <w:r>
        <w:rPr>
          <w:rFonts w:hint="eastAsia" w:asciiTheme="minorEastAsia" w:hAnsiTheme="minorEastAsia" w:eastAsiaTheme="minorEastAsia"/>
          <w:color w:val="auto"/>
          <w:sz w:val="24"/>
          <w:highlight w:val="none"/>
        </w:rPr>
        <w:t>”发布的信息不符，使得投标人的资格条件不符合招标文件规定的，评标委员会应否决其投标。</w:t>
      </w:r>
    </w:p>
    <w:p w14:paraId="4633309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24C9695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（1）有下列情形之一的，属于投标人相互串通投标：</w:t>
      </w:r>
    </w:p>
    <w:p w14:paraId="7CC2E1E5">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a.投标人之间协商投标报价等投标文件的实质性内容；</w:t>
      </w:r>
    </w:p>
    <w:p w14:paraId="5A5DE7A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b.投标人之间约定中标人；</w:t>
      </w:r>
    </w:p>
    <w:p w14:paraId="55564C6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c.投标人之间约定部分投标人放弃投标或中标；</w:t>
      </w:r>
    </w:p>
    <w:p w14:paraId="1A388B3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d.属于同一集团、协会、商会等组织成员的投标人按照该组织要求协同投标；</w:t>
      </w:r>
    </w:p>
    <w:p w14:paraId="5ECAC80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e.投标人之间为谋取中标或排斥特定投标人而采取的其他联合行动。</w:t>
      </w:r>
    </w:p>
    <w:p w14:paraId="1458A07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（2）有下列情形之一的，视为投标人相互串通投标：</w:t>
      </w:r>
    </w:p>
    <w:p w14:paraId="3B820FD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a.不同投标人的投标文件由同一单位或个人编制；</w:t>
      </w:r>
    </w:p>
    <w:p w14:paraId="3AD01E1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b.不同投标人委托同一单位或个人办理投标事宜；</w:t>
      </w:r>
    </w:p>
    <w:p w14:paraId="0DC5F39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c.不同投标人的投标文件载明的项目管理成员为同一人；</w:t>
      </w:r>
    </w:p>
    <w:p w14:paraId="3FD6973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d.不同投标人的投标文件异常一致或投标报价呈规律性差异；</w:t>
      </w:r>
    </w:p>
    <w:p w14:paraId="518D9F1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e.不同投标人的投标文件相互混装；</w:t>
      </w:r>
    </w:p>
    <w:p w14:paraId="0E4A3D2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f.不同投标人的投标保证金从同一单位或个人的账户转出。</w:t>
      </w:r>
    </w:p>
    <w:p w14:paraId="5D536E9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（3）有下列情形之一的，属于招标人与投标人串通投标：</w:t>
      </w:r>
    </w:p>
    <w:p w14:paraId="5474C0E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a.招标人在开标前开启投标文件并将有关信息泄露给其他投标人;</w:t>
      </w:r>
    </w:p>
    <w:p w14:paraId="5CD2A74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b.招标人直接或间接向投标人泄露标底、评标委员会成员等信息；</w:t>
      </w:r>
    </w:p>
    <w:p w14:paraId="309940B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c.招标人明示或暗示投标人压低或抬高投标报价；</w:t>
      </w:r>
    </w:p>
    <w:p w14:paraId="65452C3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d.招标人授意投标人撤换、修改投标文件；</w:t>
      </w:r>
    </w:p>
    <w:p w14:paraId="77E4C8F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e.招标人明示或暗示投标人为特定投标人中标提供方便；</w:t>
      </w:r>
    </w:p>
    <w:p w14:paraId="672CACD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f.招标人与投标人为谋求特定投标人中标而采取的其他串通行为。</w:t>
      </w:r>
    </w:p>
    <w:p w14:paraId="2BBA54E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（4）投标人有下列情形之一的，属于弄虚作假的行为：</w:t>
      </w:r>
    </w:p>
    <w:p w14:paraId="08A4993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a.使用通过受让或租借等方式获取的资格、资质证书投标；</w:t>
      </w:r>
    </w:p>
    <w:p w14:paraId="062FDFB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b.使用伪造、变造的许可证件；</w:t>
      </w:r>
    </w:p>
    <w:p w14:paraId="277463B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c.提供虚假的业绩；</w:t>
      </w:r>
    </w:p>
    <w:p w14:paraId="0333930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d.提供虚假的项目负责人或主要技术人员简历、劳动关系证明；</w:t>
      </w:r>
    </w:p>
    <w:p w14:paraId="5030A83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e.提供虚假的信用状况；</w:t>
      </w:r>
    </w:p>
    <w:p w14:paraId="5CBF18B0">
      <w:pPr>
        <w:spacing w:line="360" w:lineRule="auto"/>
        <w:ind w:firstLine="48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z w:val="24"/>
          <w:highlight w:val="none"/>
        </w:rPr>
        <w:t>f.其他弄虚作假的行为。</w:t>
      </w:r>
    </w:p>
    <w:p w14:paraId="6BF725C4">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7投标文件的澄清和说明</w:t>
      </w:r>
    </w:p>
    <w:p w14:paraId="47F2888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DA5CFF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3.7.2澄清和说明不得超出投标文件的范围或改变投标文件的实质性内容（算术性错误的修正除外）。投标人的书面澄清、说明属于投标文件的组成部分。</w:t>
      </w:r>
    </w:p>
    <w:p w14:paraId="6C83627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3.7.3评标委员会不得暗示或诱导投标人作出澄清、说明，对投标人提交的澄清、说明有疑问的，可以要求投标人进一步澄清或说明，直至满足评标委员会的要求。</w:t>
      </w:r>
    </w:p>
    <w:p w14:paraId="385265A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3.7.4凡超出招标文件规定的或给委托人带来未曾要求的利益的变化、偏差或其他因素在评标时不予考虑。</w:t>
      </w:r>
    </w:p>
    <w:p w14:paraId="64104056">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8不得否决投标的情形</w:t>
      </w:r>
    </w:p>
    <w:p w14:paraId="0523241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投标文件存在第二章“投标人须知”第1.12.3项所列情形的，均视为细微偏差，评标委员会不得否决投标人的投标，应按照第二章“投标人须知”第1.12.4项规定的原则处理。</w:t>
      </w:r>
    </w:p>
    <w:p w14:paraId="0A82C33C">
      <w:pPr>
        <w:spacing w:beforeLines="100"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9评标结果</w:t>
      </w:r>
    </w:p>
    <w:p w14:paraId="45B2CF15">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3.9.1除第二章“投标人须知”前附表授权直接确定中标人外，评标委员会按照得分由高到低的顺序推荐中标候选人，并标明排序。</w:t>
      </w:r>
    </w:p>
    <w:p w14:paraId="514D7DE9">
      <w:r>
        <w:rPr>
          <w:rFonts w:hint="eastAsia" w:asciiTheme="minorEastAsia" w:hAnsiTheme="minorEastAsia" w:eastAsiaTheme="minorEastAsia"/>
          <w:color w:val="auto"/>
          <w:sz w:val="24"/>
          <w:highlight w:val="none"/>
        </w:rPr>
        <w:t>3.9.2评标委员会完成评标后，应向招标人提交书面评标报告。</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10" w:usb3="00000000" w:csb0="0006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5C087A1">
      <w:pPr>
        <w:pStyle w:val="2"/>
        <w:snapToGrid w:val="0"/>
        <w:rPr>
          <w:highlight w:val="none"/>
        </w:rPr>
      </w:pPr>
      <w:r>
        <w:rPr>
          <w:rStyle w:val="5"/>
          <w:highlight w:val="none"/>
        </w:rPr>
        <w:footnoteRef/>
      </w:r>
      <w:r>
        <w:rPr>
          <w:highlight w:val="none"/>
        </w:rPr>
        <w:t xml:space="preserve"> 本条内容所指的行政处罚和正式约谈是指</w:t>
      </w:r>
      <w:r>
        <w:rPr>
          <w:rFonts w:hint="eastAsia"/>
          <w:highlight w:val="none"/>
          <w:lang w:val="en-US" w:eastAsia="zh-CN"/>
        </w:rPr>
        <w:t>2024年4月1日</w:t>
      </w:r>
      <w:r>
        <w:rPr>
          <w:highlight w:val="none"/>
        </w:rPr>
        <w:t>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F6E7"/>
    <w:multiLevelType w:val="singleLevel"/>
    <w:tmpl w:val="28A5F6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6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rFonts w:asciiTheme="minorHAnsi" w:hAnsiTheme="minorHAnsi" w:cstheme="minorBidi"/>
      <w:sz w:val="18"/>
      <w:szCs w:val="18"/>
    </w:rPr>
  </w:style>
  <w:style w:type="character" w:styleId="5">
    <w:name w:val="footnote reference"/>
    <w:basedOn w:val="4"/>
    <w:qFormat/>
    <w:uiPriority w:val="99"/>
    <w:rPr>
      <w:vertAlign w:val="superscript"/>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2025-04-10T10:19:36Z</dcterms:created>
  <dc:creator>Administrator</dc:creator>
  <cp:lastModifiedBy>龙仔丶</cp:lastModifiedBy>
  <dcterms:modified xsi:type="dcterms:W3CDTF">2025-04-10T10:20:30Z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eyJoZGlkIjoiZWQ3YjgwZDdhNjFkNDM2M2QyZjJmOGQ2MmE4M2U2YmEiLCJ1c2VySWQiOiIzMTIwNjIxMzAifQ==</vt:lpwstr>
  </property>
  <property fmtid="{D5CDD505-2E9C-101B-9397-08002B2CF9AE}" pid="4" name="ICV">
    <vt:lpwstr>DC6FCEE727B846A7A953062CC61667EA_12</vt:lpwstr>
  </property>
</Properties>
</file>