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523EB">
      <w:pPr>
        <w:jc w:val="right"/>
        <w:rPr>
          <w:rFonts w:ascii="宋体" w:hAnsi="宋体" w:cs="宋体"/>
          <w:color w:val="auto"/>
          <w:sz w:val="30"/>
          <w:highlight w:val="none"/>
        </w:rPr>
      </w:pPr>
      <w:r>
        <w:rPr>
          <w:rFonts w:hint="eastAsia" w:ascii="宋体" w:hAnsi="宋体" w:cs="宋体"/>
          <w:color w:val="auto"/>
          <w:sz w:val="24"/>
          <w:highlight w:val="none"/>
        </w:rPr>
        <w:t>合同编号： 空港建设（工）字-（202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）第[  ]号</w:t>
      </w:r>
    </w:p>
    <w:p w14:paraId="6FDA182B">
      <w:pPr>
        <w:ind w:firstLine="602"/>
        <w:rPr>
          <w:color w:val="auto"/>
          <w:sz w:val="30"/>
          <w:highlight w:val="none"/>
        </w:rPr>
      </w:pPr>
    </w:p>
    <w:p w14:paraId="7AD71814">
      <w:pPr>
        <w:ind w:firstLine="602"/>
        <w:rPr>
          <w:color w:val="auto"/>
          <w:sz w:val="30"/>
          <w:highlight w:val="none"/>
        </w:rPr>
      </w:pPr>
    </w:p>
    <w:p w14:paraId="5A22476D">
      <w:pPr>
        <w:ind w:firstLine="602"/>
        <w:rPr>
          <w:color w:val="auto"/>
          <w:sz w:val="30"/>
          <w:highlight w:val="none"/>
        </w:rPr>
      </w:pPr>
    </w:p>
    <w:p w14:paraId="17F2DE0F">
      <w:pPr>
        <w:pStyle w:val="3"/>
        <w:ind w:firstLine="683" w:firstLineChars="100"/>
        <w:rPr>
          <w:b/>
          <w:color w:val="auto"/>
          <w:spacing w:val="-20"/>
          <w:kern w:val="10"/>
          <w:sz w:val="72"/>
          <w:highlight w:val="none"/>
        </w:rPr>
      </w:pPr>
      <w:r>
        <w:rPr>
          <w:rFonts w:hint="eastAsia"/>
          <w:b/>
          <w:color w:val="auto"/>
          <w:spacing w:val="-20"/>
          <w:kern w:val="10"/>
          <w:sz w:val="72"/>
          <w:highlight w:val="none"/>
        </w:rPr>
        <w:t>建设工程勘察设计合同</w:t>
      </w:r>
    </w:p>
    <w:p w14:paraId="3396CAA7">
      <w:pPr>
        <w:ind w:firstLine="482"/>
        <w:rPr>
          <w:color w:val="auto"/>
          <w:highlight w:val="none"/>
        </w:rPr>
      </w:pPr>
    </w:p>
    <w:p w14:paraId="14367DA7">
      <w:pPr>
        <w:ind w:firstLine="880"/>
        <w:rPr>
          <w:b/>
          <w:bCs/>
          <w:color w:val="auto"/>
          <w:sz w:val="44"/>
          <w:highlight w:val="none"/>
        </w:rPr>
      </w:pPr>
    </w:p>
    <w:p w14:paraId="48C813F1">
      <w:pPr>
        <w:ind w:firstLine="880"/>
        <w:rPr>
          <w:b/>
          <w:bCs/>
          <w:color w:val="auto"/>
          <w:sz w:val="44"/>
          <w:highlight w:val="none"/>
        </w:rPr>
      </w:pPr>
    </w:p>
    <w:p w14:paraId="440EA129">
      <w:pPr>
        <w:ind w:left="1506" w:hanging="1506" w:hangingChars="500"/>
        <w:rPr>
          <w:b/>
          <w:bCs/>
          <w:color w:val="auto"/>
          <w:sz w:val="30"/>
          <w:highlight w:val="none"/>
        </w:rPr>
      </w:pPr>
    </w:p>
    <w:p w14:paraId="2449A677">
      <w:pPr>
        <w:spacing w:line="720" w:lineRule="auto"/>
        <w:ind w:firstLine="465" w:firstLineChars="100"/>
        <w:rPr>
          <w:b/>
          <w:bCs/>
          <w:color w:val="auto"/>
          <w:sz w:val="30"/>
          <w:highlight w:val="none"/>
          <w:u w:val="single"/>
        </w:rPr>
      </w:pPr>
      <w:r>
        <w:rPr>
          <w:rFonts w:hint="eastAsia"/>
          <w:b/>
          <w:bCs/>
          <w:color w:val="auto"/>
          <w:spacing w:val="82"/>
          <w:sz w:val="30"/>
          <w:highlight w:val="none"/>
        </w:rPr>
        <w:t>工程名称:</w:t>
      </w:r>
      <w:r>
        <w:rPr>
          <w:rFonts w:hint="eastAsia"/>
          <w:b/>
          <w:bCs/>
          <w:color w:val="auto"/>
          <w:sz w:val="30"/>
          <w:highlight w:val="none"/>
          <w:u w:val="single"/>
        </w:rPr>
        <w:t>XXX工程</w:t>
      </w:r>
    </w:p>
    <w:p w14:paraId="7E2CDEF3">
      <w:pPr>
        <w:spacing w:line="720" w:lineRule="auto"/>
        <w:ind w:firstLine="602"/>
        <w:rPr>
          <w:b/>
          <w:bCs/>
          <w:color w:val="auto"/>
          <w:sz w:val="30"/>
          <w:highlight w:val="none"/>
        </w:rPr>
      </w:pPr>
      <w:r>
        <w:rPr>
          <w:rFonts w:hint="eastAsia"/>
          <w:b/>
          <w:bCs/>
          <w:color w:val="auto"/>
          <w:sz w:val="30"/>
          <w:highlight w:val="none"/>
        </w:rPr>
        <w:t>发   包   人：</w:t>
      </w:r>
      <w:r>
        <w:rPr>
          <w:rFonts w:hint="eastAsia"/>
          <w:b/>
          <w:bCs/>
          <w:color w:val="auto"/>
          <w:sz w:val="30"/>
          <w:highlight w:val="none"/>
          <w:u w:val="single"/>
        </w:rPr>
        <w:t>广州空港建设运营集团有限公司</w:t>
      </w:r>
    </w:p>
    <w:p w14:paraId="3A9E9CD3">
      <w:pPr>
        <w:spacing w:line="720" w:lineRule="auto"/>
        <w:ind w:firstLine="602"/>
        <w:rPr>
          <w:b/>
          <w:bCs/>
          <w:color w:val="auto"/>
          <w:spacing w:val="82"/>
          <w:sz w:val="30"/>
          <w:highlight w:val="none"/>
        </w:rPr>
      </w:pPr>
      <w:r>
        <w:rPr>
          <w:rFonts w:hint="eastAsia"/>
          <w:b/>
          <w:bCs/>
          <w:color w:val="auto"/>
          <w:sz w:val="30"/>
          <w:highlight w:val="none"/>
        </w:rPr>
        <w:t>承   包   人：</w:t>
      </w:r>
      <w:r>
        <w:rPr>
          <w:rFonts w:hint="eastAsia"/>
          <w:b/>
          <w:bCs/>
          <w:color w:val="auto"/>
          <w:sz w:val="30"/>
          <w:highlight w:val="none"/>
          <w:u w:val="single"/>
        </w:rPr>
        <w:t>XXX公司</w:t>
      </w:r>
      <w:r>
        <w:rPr>
          <w:rFonts w:hint="eastAsia"/>
          <w:b/>
          <w:bCs/>
          <w:color w:val="auto"/>
          <w:sz w:val="30"/>
          <w:highlight w:val="none"/>
        </w:rPr>
        <w:t xml:space="preserve">       </w:t>
      </w:r>
    </w:p>
    <w:p w14:paraId="79BAC71D">
      <w:pPr>
        <w:spacing w:line="720" w:lineRule="auto"/>
        <w:ind w:firstLine="465" w:firstLineChars="100"/>
        <w:rPr>
          <w:b/>
          <w:bCs/>
          <w:color w:val="auto"/>
          <w:sz w:val="30"/>
          <w:highlight w:val="none"/>
          <w:u w:val="single"/>
        </w:rPr>
      </w:pPr>
      <w:r>
        <w:rPr>
          <w:rFonts w:hint="eastAsia"/>
          <w:b/>
          <w:bCs/>
          <w:color w:val="auto"/>
          <w:spacing w:val="82"/>
          <w:sz w:val="30"/>
          <w:highlight w:val="none"/>
        </w:rPr>
        <w:t>签订地点</w:t>
      </w:r>
      <w:r>
        <w:rPr>
          <w:rFonts w:hint="eastAsia"/>
          <w:b/>
          <w:bCs/>
          <w:color w:val="auto"/>
          <w:sz w:val="30"/>
          <w:highlight w:val="none"/>
        </w:rPr>
        <w:t>：</w:t>
      </w:r>
      <w:r>
        <w:rPr>
          <w:rFonts w:hint="eastAsia"/>
          <w:b/>
          <w:bCs/>
          <w:color w:val="auto"/>
          <w:sz w:val="30"/>
          <w:highlight w:val="none"/>
          <w:u w:val="single"/>
        </w:rPr>
        <w:t>广州空港经济区</w:t>
      </w:r>
    </w:p>
    <w:p w14:paraId="52572D6A">
      <w:pPr>
        <w:spacing w:line="720" w:lineRule="auto"/>
        <w:ind w:firstLine="301" w:firstLineChars="100"/>
        <w:rPr>
          <w:b/>
          <w:bCs/>
          <w:color w:val="auto"/>
          <w:sz w:val="30"/>
          <w:highlight w:val="none"/>
          <w:u w:val="single"/>
        </w:rPr>
      </w:pPr>
    </w:p>
    <w:p w14:paraId="5AEA49AC">
      <w:pPr>
        <w:spacing w:line="720" w:lineRule="auto"/>
        <w:ind w:firstLine="301" w:firstLineChars="100"/>
        <w:rPr>
          <w:b/>
          <w:bCs/>
          <w:color w:val="auto"/>
          <w:sz w:val="30"/>
          <w:highlight w:val="none"/>
          <w:u w:val="single"/>
        </w:rPr>
      </w:pPr>
    </w:p>
    <w:p w14:paraId="1B1E0BDD">
      <w:pPr>
        <w:spacing w:line="720" w:lineRule="auto"/>
        <w:ind w:firstLine="301" w:firstLineChars="100"/>
        <w:rPr>
          <w:b/>
          <w:bCs/>
          <w:color w:val="auto"/>
          <w:sz w:val="30"/>
          <w:highlight w:val="none"/>
          <w:u w:val="single"/>
        </w:rPr>
      </w:pPr>
    </w:p>
    <w:p w14:paraId="32160E75">
      <w:pPr>
        <w:spacing w:line="720" w:lineRule="auto"/>
        <w:ind w:firstLine="930"/>
        <w:jc w:val="left"/>
        <w:rPr>
          <w:b/>
          <w:bCs/>
          <w:color w:val="auto"/>
          <w:spacing w:val="20"/>
          <w:sz w:val="36"/>
          <w:highlight w:val="none"/>
        </w:rPr>
      </w:pPr>
      <w:r>
        <w:rPr>
          <w:rFonts w:hint="eastAsia"/>
          <w:b/>
          <w:bCs/>
          <w:color w:val="auto"/>
          <w:spacing w:val="82"/>
          <w:sz w:val="30"/>
          <w:highlight w:val="none"/>
        </w:rPr>
        <w:t>签订日期</w:t>
      </w:r>
      <w:r>
        <w:rPr>
          <w:rFonts w:hint="eastAsia"/>
          <w:b/>
          <w:bCs/>
          <w:color w:val="auto"/>
          <w:sz w:val="30"/>
          <w:highlight w:val="none"/>
        </w:rPr>
        <w:t>：</w:t>
      </w:r>
      <w:r>
        <w:rPr>
          <w:rFonts w:hint="eastAsia"/>
          <w:b/>
          <w:bCs/>
          <w:color w:val="auto"/>
          <w:sz w:val="30"/>
          <w:highlight w:val="none"/>
          <w:u w:val="single"/>
        </w:rPr>
        <w:t>202</w:t>
      </w:r>
      <w:r>
        <w:rPr>
          <w:rFonts w:hint="eastAsia"/>
          <w:b/>
          <w:bCs/>
          <w:color w:val="auto"/>
          <w:sz w:val="30"/>
          <w:highlight w:val="none"/>
          <w:u w:val="single"/>
          <w:lang w:val="en-US" w:eastAsia="zh-CN"/>
        </w:rPr>
        <w:t>5</w:t>
      </w:r>
      <w:r>
        <w:rPr>
          <w:rFonts w:hint="eastAsia"/>
          <w:b/>
          <w:bCs/>
          <w:color w:val="auto"/>
          <w:sz w:val="30"/>
          <w:highlight w:val="none"/>
          <w:u w:val="single"/>
        </w:rPr>
        <w:t>年 月  日</w:t>
      </w:r>
    </w:p>
    <w:p w14:paraId="71D70947">
      <w:pPr>
        <w:spacing w:line="460" w:lineRule="exact"/>
        <w:ind w:firstLine="803"/>
        <w:rPr>
          <w:b/>
          <w:bCs/>
          <w:color w:val="auto"/>
          <w:spacing w:val="20"/>
          <w:sz w:val="36"/>
          <w:highlight w:val="none"/>
        </w:rPr>
      </w:pPr>
      <w:r>
        <w:rPr>
          <w:b/>
          <w:bCs/>
          <w:color w:val="auto"/>
          <w:spacing w:val="20"/>
          <w:sz w:val="36"/>
          <w:highlight w:val="none"/>
        </w:rPr>
        <w:br w:type="page"/>
      </w:r>
    </w:p>
    <w:p w14:paraId="5A21FDC4">
      <w:pPr>
        <w:pStyle w:val="3"/>
        <w:ind w:firstLine="643"/>
        <w:jc w:val="center"/>
        <w:rPr>
          <w:b/>
          <w:color w:val="auto"/>
          <w:spacing w:val="-20"/>
          <w:kern w:val="10"/>
          <w:sz w:val="36"/>
          <w:szCs w:val="36"/>
          <w:highlight w:val="none"/>
        </w:rPr>
      </w:pPr>
      <w:r>
        <w:rPr>
          <w:rFonts w:hint="eastAsia"/>
          <w:b/>
          <w:color w:val="auto"/>
          <w:spacing w:val="-20"/>
          <w:kern w:val="10"/>
          <w:sz w:val="36"/>
          <w:szCs w:val="36"/>
          <w:highlight w:val="none"/>
        </w:rPr>
        <w:t>建设工程勘察设计合同</w:t>
      </w:r>
    </w:p>
    <w:p w14:paraId="2BA3A557">
      <w:pPr>
        <w:spacing w:line="460" w:lineRule="exact"/>
        <w:ind w:firstLine="281" w:firstLineChars="100"/>
        <w:rPr>
          <w:b/>
          <w:bCs/>
          <w:color w:val="auto"/>
          <w:spacing w:val="20"/>
          <w:sz w:val="24"/>
          <w:highlight w:val="none"/>
        </w:rPr>
      </w:pPr>
    </w:p>
    <w:p w14:paraId="5A39838B">
      <w:pPr>
        <w:spacing w:line="460" w:lineRule="exact"/>
        <w:ind w:firstLine="240" w:firstLineChars="100"/>
        <w:rPr>
          <w:color w:val="auto"/>
          <w:sz w:val="24"/>
          <w:highlight w:val="none"/>
        </w:rPr>
      </w:pPr>
      <w:r>
        <w:rPr>
          <w:rFonts w:hint="eastAsia"/>
          <w:color w:val="auto"/>
          <w:sz w:val="24"/>
          <w:highlight w:val="none"/>
        </w:rPr>
        <w:t>发包人：</w:t>
      </w:r>
      <w:r>
        <w:rPr>
          <w:rFonts w:hint="eastAsia"/>
          <w:b/>
          <w:bCs/>
          <w:color w:val="auto"/>
          <w:sz w:val="24"/>
          <w:highlight w:val="none"/>
          <w:u w:val="single"/>
        </w:rPr>
        <w:t>广州空港建设运营集团有限公司</w:t>
      </w:r>
    </w:p>
    <w:p w14:paraId="74ACFA3A">
      <w:pPr>
        <w:spacing w:line="460" w:lineRule="exact"/>
        <w:ind w:firstLine="240" w:firstLineChars="100"/>
        <w:rPr>
          <w:color w:val="auto"/>
          <w:sz w:val="24"/>
          <w:highlight w:val="none"/>
        </w:rPr>
      </w:pPr>
      <w:r>
        <w:rPr>
          <w:rFonts w:hint="eastAsia"/>
          <w:color w:val="auto"/>
          <w:sz w:val="24"/>
          <w:highlight w:val="none"/>
        </w:rPr>
        <w:t>承包人：</w:t>
      </w:r>
      <w:r>
        <w:rPr>
          <w:rFonts w:hint="eastAsia"/>
          <w:b/>
          <w:bCs/>
          <w:color w:val="auto"/>
          <w:sz w:val="24"/>
          <w:highlight w:val="none"/>
          <w:u w:val="single"/>
        </w:rPr>
        <w:t>XXX公司</w:t>
      </w:r>
    </w:p>
    <w:p w14:paraId="6BFC72D0">
      <w:pPr>
        <w:spacing w:line="460" w:lineRule="exact"/>
        <w:ind w:firstLine="480" w:firstLineChars="200"/>
        <w:rPr>
          <w:rFonts w:ascii="宋体" w:hAnsi="宋体"/>
          <w:color w:val="auto"/>
          <w:sz w:val="24"/>
          <w:highlight w:val="none"/>
        </w:rPr>
      </w:pPr>
    </w:p>
    <w:p w14:paraId="4AC6BAB8">
      <w:pPr>
        <w:spacing w:line="460" w:lineRule="exact"/>
        <w:ind w:firstLine="480" w:firstLineChars="200"/>
        <w:rPr>
          <w:rFonts w:ascii="宋体" w:hAnsi="宋体"/>
          <w:color w:val="auto"/>
          <w:sz w:val="24"/>
          <w:highlight w:val="none"/>
        </w:rPr>
      </w:pPr>
      <w:r>
        <w:rPr>
          <w:rFonts w:ascii="宋体" w:hAnsi="宋体"/>
          <w:color w:val="auto"/>
          <w:sz w:val="24"/>
          <w:highlight w:val="none"/>
        </w:rPr>
        <w:t>根据</w:t>
      </w:r>
      <w:r>
        <w:rPr>
          <w:rFonts w:hint="eastAsia" w:ascii="宋体" w:hAnsi="宋体"/>
          <w:color w:val="auto"/>
          <w:sz w:val="24"/>
          <w:highlight w:val="none"/>
        </w:rPr>
        <w:t>《中华人民共和国民法典》</w:t>
      </w:r>
      <w:r>
        <w:rPr>
          <w:rFonts w:ascii="宋体" w:hAnsi="宋体"/>
          <w:color w:val="auto"/>
          <w:sz w:val="24"/>
          <w:highlight w:val="none"/>
        </w:rPr>
        <w:t>《中华人民共和国建筑法》</w:t>
      </w:r>
      <w:r>
        <w:rPr>
          <w:rFonts w:hint="eastAsia" w:ascii="宋体" w:hAnsi="宋体"/>
          <w:color w:val="auto"/>
          <w:sz w:val="24"/>
          <w:highlight w:val="none"/>
        </w:rPr>
        <w:t>《建设工程勘察设计管理条例》《建设工程质量管理条例》国家及地方有关建设工程勘察设计管理法律法规和规章，</w:t>
      </w:r>
      <w:r>
        <w:rPr>
          <w:rFonts w:ascii="宋体" w:hAnsi="宋体"/>
          <w:color w:val="auto"/>
          <w:sz w:val="24"/>
          <w:highlight w:val="none"/>
        </w:rPr>
        <w:t>遵循平等、自愿、公平和诚实信用的原则，双方就</w:t>
      </w:r>
      <w:r>
        <w:rPr>
          <w:rFonts w:hint="eastAsia" w:ascii="宋体" w:hAnsi="宋体"/>
          <w:color w:val="auto"/>
          <w:sz w:val="24"/>
          <w:highlight w:val="none"/>
          <w:u w:val="single"/>
        </w:rPr>
        <w:t>XXX工程</w:t>
      </w:r>
      <w:r>
        <w:rPr>
          <w:rFonts w:ascii="宋体" w:hAnsi="宋体"/>
          <w:color w:val="auto"/>
          <w:sz w:val="24"/>
          <w:highlight w:val="none"/>
        </w:rPr>
        <w:t>勘察</w:t>
      </w:r>
      <w:r>
        <w:rPr>
          <w:rFonts w:hint="eastAsia" w:ascii="宋体" w:hAnsi="宋体"/>
          <w:color w:val="auto"/>
          <w:sz w:val="24"/>
          <w:highlight w:val="none"/>
        </w:rPr>
        <w:t>设计及</w:t>
      </w:r>
      <w:r>
        <w:rPr>
          <w:rFonts w:ascii="宋体" w:hAnsi="宋体"/>
          <w:color w:val="auto"/>
          <w:sz w:val="24"/>
          <w:highlight w:val="none"/>
        </w:rPr>
        <w:t>有关事项协商一致</w:t>
      </w:r>
      <w:r>
        <w:rPr>
          <w:rFonts w:hint="eastAsia" w:ascii="宋体" w:hAnsi="宋体"/>
          <w:color w:val="auto"/>
          <w:sz w:val="24"/>
          <w:highlight w:val="none"/>
        </w:rPr>
        <w:t>，签订本合同。</w:t>
      </w:r>
    </w:p>
    <w:p w14:paraId="5CBC439E">
      <w:pPr>
        <w:spacing w:before="62" w:beforeLines="20" w:after="62" w:afterLines="20" w:line="460" w:lineRule="exact"/>
        <w:ind w:firstLine="482"/>
        <w:rPr>
          <w:rFonts w:eastAsia="黑体"/>
          <w:b/>
          <w:bCs/>
          <w:color w:val="auto"/>
          <w:sz w:val="24"/>
          <w:highlight w:val="none"/>
        </w:rPr>
      </w:pPr>
      <w:r>
        <w:rPr>
          <w:rFonts w:hint="eastAsia" w:eastAsia="黑体"/>
          <w:b/>
          <w:bCs/>
          <w:color w:val="auto"/>
          <w:sz w:val="24"/>
          <w:highlight w:val="none"/>
        </w:rPr>
        <w:t>第一条</w:t>
      </w:r>
      <w:r>
        <w:rPr>
          <w:rFonts w:hint="eastAsia" w:eastAsia="黑体"/>
          <w:b/>
          <w:bCs/>
          <w:color w:val="auto"/>
          <w:sz w:val="24"/>
          <w:highlight w:val="none"/>
        </w:rPr>
        <w:tab/>
      </w:r>
      <w:r>
        <w:rPr>
          <w:rFonts w:hint="eastAsia" w:eastAsia="黑体"/>
          <w:b/>
          <w:bCs/>
          <w:color w:val="auto"/>
          <w:sz w:val="24"/>
          <w:highlight w:val="none"/>
        </w:rPr>
        <w:t xml:space="preserve">  签订依据</w:t>
      </w:r>
    </w:p>
    <w:p w14:paraId="7EB0B332">
      <w:pPr>
        <w:spacing w:line="460" w:lineRule="exact"/>
        <w:ind w:firstLine="482"/>
        <w:rPr>
          <w:rFonts w:ascii="宋体" w:hAnsi="宋体"/>
          <w:color w:val="auto"/>
          <w:sz w:val="24"/>
          <w:highlight w:val="none"/>
        </w:rPr>
      </w:pPr>
      <w:r>
        <w:rPr>
          <w:rFonts w:hint="eastAsia" w:ascii="宋体" w:hAnsi="宋体"/>
          <w:color w:val="auto"/>
          <w:sz w:val="24"/>
          <w:highlight w:val="none"/>
        </w:rPr>
        <w:t>1.1招标文件、投标文件及中标通知书。</w:t>
      </w:r>
    </w:p>
    <w:p w14:paraId="142CFDC9">
      <w:pPr>
        <w:spacing w:line="460" w:lineRule="exact"/>
        <w:ind w:firstLine="482"/>
        <w:rPr>
          <w:rFonts w:ascii="宋体" w:hAnsi="宋体"/>
          <w:color w:val="auto"/>
          <w:sz w:val="24"/>
          <w:highlight w:val="none"/>
        </w:rPr>
      </w:pPr>
      <w:r>
        <w:rPr>
          <w:rFonts w:hint="eastAsia" w:ascii="宋体" w:hAnsi="宋体"/>
          <w:color w:val="auto"/>
          <w:sz w:val="24"/>
          <w:highlight w:val="none"/>
        </w:rPr>
        <w:t>1.2《中华人民共和国民法典》《中华人民共和国建筑法》和《建设工程勘察设计管理条例》《建设工程质量管理条例》等。</w:t>
      </w:r>
    </w:p>
    <w:p w14:paraId="0AFEF27A">
      <w:pPr>
        <w:spacing w:line="460" w:lineRule="exact"/>
        <w:ind w:firstLine="482"/>
        <w:rPr>
          <w:rFonts w:ascii="宋体" w:hAnsi="宋体"/>
          <w:color w:val="auto"/>
          <w:sz w:val="24"/>
          <w:highlight w:val="none"/>
        </w:rPr>
      </w:pPr>
      <w:r>
        <w:rPr>
          <w:rFonts w:hint="eastAsia" w:ascii="宋体" w:hAnsi="宋体"/>
          <w:color w:val="auto"/>
          <w:sz w:val="24"/>
          <w:highlight w:val="none"/>
        </w:rPr>
        <w:t>1.3国家及地方有关建设工程勘察设计管理法律法规和规章。</w:t>
      </w:r>
    </w:p>
    <w:p w14:paraId="2E6056C9">
      <w:pPr>
        <w:spacing w:line="460" w:lineRule="exact"/>
        <w:ind w:firstLine="482"/>
        <w:rPr>
          <w:rFonts w:ascii="宋体" w:hAnsi="宋体"/>
          <w:color w:val="auto"/>
          <w:sz w:val="24"/>
          <w:highlight w:val="none"/>
        </w:rPr>
      </w:pPr>
      <w:r>
        <w:rPr>
          <w:rFonts w:hint="eastAsia" w:ascii="宋体" w:hAnsi="宋体"/>
          <w:color w:val="auto"/>
          <w:sz w:val="24"/>
          <w:highlight w:val="none"/>
        </w:rPr>
        <w:t>1.4建设工程批准有关文件。</w:t>
      </w:r>
    </w:p>
    <w:p w14:paraId="72D92A8F">
      <w:pPr>
        <w:spacing w:before="62" w:beforeLines="20" w:after="62" w:afterLines="20" w:line="460" w:lineRule="exact"/>
        <w:ind w:firstLine="482" w:firstLineChars="200"/>
        <w:rPr>
          <w:rFonts w:eastAsia="黑体"/>
          <w:b/>
          <w:bCs/>
          <w:color w:val="auto"/>
          <w:sz w:val="24"/>
          <w:highlight w:val="none"/>
        </w:rPr>
      </w:pPr>
      <w:r>
        <w:rPr>
          <w:rFonts w:hint="eastAsia" w:eastAsia="黑体"/>
          <w:b/>
          <w:bCs/>
          <w:color w:val="auto"/>
          <w:sz w:val="24"/>
          <w:highlight w:val="none"/>
        </w:rPr>
        <w:t>第二条</w:t>
      </w:r>
      <w:r>
        <w:rPr>
          <w:rFonts w:hint="eastAsia" w:eastAsia="黑体"/>
          <w:b/>
          <w:bCs/>
          <w:color w:val="auto"/>
          <w:sz w:val="24"/>
          <w:highlight w:val="none"/>
        </w:rPr>
        <w:tab/>
      </w:r>
      <w:r>
        <w:rPr>
          <w:rFonts w:hint="eastAsia" w:eastAsia="黑体"/>
          <w:b/>
          <w:bCs/>
          <w:color w:val="auto"/>
          <w:sz w:val="24"/>
          <w:highlight w:val="none"/>
        </w:rPr>
        <w:t xml:space="preserve">  项目名称、规模、阶段、投资及内容</w:t>
      </w:r>
    </w:p>
    <w:p w14:paraId="417F2FEA">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.1项目名称：</w:t>
      </w:r>
      <w:r>
        <w:rPr>
          <w:rFonts w:hint="eastAsia" w:ascii="宋体" w:hAnsi="宋体"/>
          <w:color w:val="auto"/>
          <w:sz w:val="24"/>
          <w:highlight w:val="none"/>
          <w:u w:val="single"/>
        </w:rPr>
        <w:t xml:space="preserve">XXX工程 </w:t>
      </w:r>
    </w:p>
    <w:p w14:paraId="52058B5A">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.2项目</w:t>
      </w:r>
      <w:r>
        <w:rPr>
          <w:rFonts w:hint="eastAsia" w:ascii="宋体" w:hAnsi="宋体"/>
          <w:color w:val="auto"/>
          <w:sz w:val="24"/>
          <w:highlight w:val="none"/>
        </w:rPr>
        <w:t>位置：</w:t>
      </w:r>
      <w:r>
        <w:rPr>
          <w:rFonts w:hint="eastAsia" w:ascii="宋体" w:hAnsi="宋体" w:cs="宋体"/>
          <w:color w:val="auto"/>
          <w:sz w:val="24"/>
          <w:highlight w:val="none"/>
          <w:u w:val="single"/>
        </w:rPr>
        <w:t xml:space="preserve">                         </w:t>
      </w:r>
    </w:p>
    <w:p w14:paraId="65EA4A91">
      <w:pPr>
        <w:spacing w:line="360" w:lineRule="auto"/>
        <w:ind w:firstLine="424" w:firstLineChars="177"/>
        <w:rPr>
          <w:rFonts w:ascii="宋体" w:hAnsi="宋体" w:cs="宋体"/>
          <w:color w:val="auto"/>
          <w:sz w:val="24"/>
          <w:highlight w:val="none"/>
          <w:u w:val="single"/>
        </w:rPr>
      </w:pPr>
      <w:r>
        <w:rPr>
          <w:rFonts w:hint="eastAsia" w:ascii="宋体" w:hAnsi="宋体"/>
          <w:color w:val="auto"/>
          <w:sz w:val="24"/>
          <w:highlight w:val="none"/>
        </w:rPr>
        <w:t>2</w:t>
      </w:r>
      <w:r>
        <w:rPr>
          <w:rFonts w:ascii="宋体" w:hAnsi="宋体"/>
          <w:color w:val="auto"/>
          <w:sz w:val="24"/>
          <w:highlight w:val="none"/>
        </w:rPr>
        <w:t>.3</w:t>
      </w:r>
      <w:r>
        <w:rPr>
          <w:rFonts w:hint="eastAsia" w:ascii="宋体" w:hAnsi="宋体"/>
          <w:color w:val="auto"/>
          <w:sz w:val="24"/>
          <w:highlight w:val="none"/>
        </w:rPr>
        <w:t>项目规模：</w:t>
      </w:r>
      <w:r>
        <w:rPr>
          <w:rFonts w:hint="eastAsia" w:ascii="宋体" w:hAnsi="宋体" w:cs="宋体"/>
          <w:color w:val="auto"/>
          <w:sz w:val="24"/>
          <w:highlight w:val="none"/>
          <w:u w:val="single"/>
        </w:rPr>
        <w:t xml:space="preserve">                    </w:t>
      </w:r>
    </w:p>
    <w:p w14:paraId="78CC356E">
      <w:pPr>
        <w:spacing w:line="360" w:lineRule="auto"/>
        <w:ind w:firstLine="424" w:firstLineChars="177"/>
        <w:rPr>
          <w:color w:val="auto"/>
          <w:sz w:val="24"/>
          <w:highlight w:val="none"/>
        </w:rPr>
      </w:pPr>
      <w:r>
        <w:rPr>
          <w:rFonts w:hint="eastAsia" w:ascii="宋体" w:hAnsi="宋体" w:cs="宋体"/>
          <w:color w:val="auto"/>
          <w:sz w:val="24"/>
          <w:highlight w:val="none"/>
        </w:rPr>
        <w:t>（注：上述规模以相关部门最终的批复为准）</w:t>
      </w:r>
    </w:p>
    <w:p w14:paraId="75021B82">
      <w:pPr>
        <w:spacing w:before="62" w:beforeLines="20" w:after="62" w:afterLines="20" w:line="460" w:lineRule="exact"/>
        <w:ind w:firstLine="482" w:firstLineChars="200"/>
        <w:rPr>
          <w:rFonts w:eastAsia="黑体"/>
          <w:b/>
          <w:bCs/>
          <w:color w:val="auto"/>
          <w:sz w:val="24"/>
          <w:highlight w:val="none"/>
        </w:rPr>
      </w:pPr>
      <w:r>
        <w:rPr>
          <w:rFonts w:hint="eastAsia" w:eastAsia="黑体"/>
          <w:b/>
          <w:bCs/>
          <w:color w:val="auto"/>
          <w:sz w:val="24"/>
          <w:highlight w:val="none"/>
        </w:rPr>
        <w:t>第三条</w:t>
      </w:r>
      <w:r>
        <w:rPr>
          <w:rFonts w:hint="eastAsia" w:eastAsia="黑体"/>
          <w:b/>
          <w:bCs/>
          <w:color w:val="auto"/>
          <w:sz w:val="24"/>
          <w:highlight w:val="none"/>
        </w:rPr>
        <w:tab/>
      </w:r>
      <w:r>
        <w:rPr>
          <w:rFonts w:hint="eastAsia" w:eastAsia="黑体"/>
          <w:b/>
          <w:bCs/>
          <w:color w:val="auto"/>
          <w:sz w:val="24"/>
          <w:highlight w:val="none"/>
        </w:rPr>
        <w:t xml:space="preserve">  勘察设计依据</w:t>
      </w:r>
    </w:p>
    <w:p w14:paraId="763B18AF">
      <w:pPr>
        <w:spacing w:line="460" w:lineRule="exact"/>
        <w:ind w:firstLine="482"/>
        <w:rPr>
          <w:rFonts w:ascii="宋体" w:hAnsi="宋体"/>
          <w:color w:val="auto"/>
          <w:sz w:val="24"/>
          <w:highlight w:val="none"/>
        </w:rPr>
      </w:pPr>
      <w:r>
        <w:rPr>
          <w:rFonts w:hint="eastAsia" w:ascii="宋体" w:hAnsi="宋体"/>
          <w:color w:val="auto"/>
          <w:sz w:val="24"/>
          <w:highlight w:val="none"/>
        </w:rPr>
        <w:t>3.1发包人给承包人的中标文件。</w:t>
      </w:r>
    </w:p>
    <w:p w14:paraId="6A3B0907">
      <w:pPr>
        <w:spacing w:line="460" w:lineRule="exact"/>
        <w:ind w:firstLine="482"/>
        <w:rPr>
          <w:rFonts w:ascii="宋体" w:hAnsi="宋体"/>
          <w:color w:val="auto"/>
          <w:sz w:val="24"/>
          <w:highlight w:val="none"/>
        </w:rPr>
      </w:pPr>
      <w:r>
        <w:rPr>
          <w:rFonts w:hint="eastAsia" w:ascii="宋体" w:hAnsi="宋体"/>
          <w:color w:val="auto"/>
          <w:sz w:val="24"/>
          <w:highlight w:val="none"/>
        </w:rPr>
        <w:t>3.2发包人提交的基础资料。</w:t>
      </w:r>
    </w:p>
    <w:p w14:paraId="5C77A2E0">
      <w:pPr>
        <w:spacing w:line="460" w:lineRule="exact"/>
        <w:ind w:firstLine="482"/>
        <w:rPr>
          <w:rFonts w:ascii="宋体" w:hAnsi="宋体"/>
          <w:color w:val="auto"/>
          <w:sz w:val="24"/>
          <w:highlight w:val="none"/>
        </w:rPr>
      </w:pPr>
      <w:r>
        <w:rPr>
          <w:rFonts w:hint="eastAsia" w:ascii="宋体" w:hAnsi="宋体"/>
          <w:color w:val="auto"/>
          <w:sz w:val="24"/>
          <w:highlight w:val="none"/>
        </w:rPr>
        <w:t>3.3</w:t>
      </w:r>
      <w:r>
        <w:rPr>
          <w:rFonts w:hint="eastAsia"/>
          <w:color w:val="auto"/>
          <w:sz w:val="24"/>
          <w:highlight w:val="none"/>
        </w:rPr>
        <w:t>承包</w:t>
      </w:r>
      <w:r>
        <w:rPr>
          <w:rFonts w:hint="eastAsia" w:ascii="宋体" w:hAnsi="宋体"/>
          <w:color w:val="auto"/>
          <w:sz w:val="24"/>
          <w:highlight w:val="none"/>
        </w:rPr>
        <w:t>人采用的主要技术标准是：符合现行国家有关技术规范及标准要求</w:t>
      </w:r>
      <w:r>
        <w:rPr>
          <w:rFonts w:ascii="宋体" w:hAnsi="宋体"/>
          <w:color w:val="auto"/>
          <w:sz w:val="24"/>
          <w:highlight w:val="none"/>
        </w:rPr>
        <w:t>。</w:t>
      </w:r>
    </w:p>
    <w:p w14:paraId="5F78078A">
      <w:pPr>
        <w:spacing w:before="62" w:beforeLines="20" w:after="62" w:afterLines="20" w:line="460" w:lineRule="exact"/>
        <w:ind w:firstLine="482" w:firstLineChars="200"/>
        <w:rPr>
          <w:rFonts w:eastAsia="黑体"/>
          <w:b/>
          <w:bCs/>
          <w:color w:val="auto"/>
          <w:sz w:val="24"/>
          <w:highlight w:val="none"/>
        </w:rPr>
      </w:pPr>
      <w:r>
        <w:rPr>
          <w:rFonts w:hint="eastAsia" w:eastAsia="黑体"/>
          <w:b/>
          <w:bCs/>
          <w:color w:val="auto"/>
          <w:sz w:val="24"/>
          <w:highlight w:val="none"/>
        </w:rPr>
        <w:t>第四条</w:t>
      </w:r>
      <w:r>
        <w:rPr>
          <w:rFonts w:hint="eastAsia" w:eastAsia="黑体"/>
          <w:b/>
          <w:bCs/>
          <w:color w:val="auto"/>
          <w:sz w:val="24"/>
          <w:highlight w:val="none"/>
        </w:rPr>
        <w:tab/>
      </w:r>
      <w:r>
        <w:rPr>
          <w:rFonts w:hint="eastAsia" w:eastAsia="黑体"/>
          <w:b/>
          <w:bCs/>
          <w:color w:val="auto"/>
          <w:sz w:val="24"/>
          <w:highlight w:val="none"/>
        </w:rPr>
        <w:t xml:space="preserve">  合同文件的优先次序</w:t>
      </w:r>
    </w:p>
    <w:p w14:paraId="564EB128">
      <w:pPr>
        <w:spacing w:line="460" w:lineRule="exact"/>
        <w:ind w:firstLine="482"/>
        <w:rPr>
          <w:color w:val="auto"/>
          <w:sz w:val="24"/>
          <w:highlight w:val="none"/>
        </w:rPr>
      </w:pPr>
      <w:r>
        <w:rPr>
          <w:rFonts w:hint="eastAsia"/>
          <w:color w:val="auto"/>
          <w:sz w:val="24"/>
          <w:highlight w:val="none"/>
        </w:rPr>
        <w:t>构成本合同的文件可视为是能互相说明的，如果合同文件存在歧义或不一致，则根据如下优先次序来判断：</w:t>
      </w:r>
    </w:p>
    <w:p w14:paraId="571144F1">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4.1本合同书</w:t>
      </w:r>
    </w:p>
    <w:p w14:paraId="7EF01F15">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4.2中标通知书</w:t>
      </w:r>
    </w:p>
    <w:p w14:paraId="2CBEA1B8">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4.3招标文件及其附件</w:t>
      </w:r>
    </w:p>
    <w:p w14:paraId="1BC39635">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4.4发包人要求</w:t>
      </w:r>
    </w:p>
    <w:p w14:paraId="5DD0D924">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4.5投标文件及其附件</w:t>
      </w:r>
    </w:p>
    <w:p w14:paraId="4D9DF256">
      <w:pPr>
        <w:spacing w:line="460" w:lineRule="exact"/>
        <w:ind w:firstLine="482"/>
        <w:rPr>
          <w:rFonts w:ascii="宋体" w:hAnsi="宋体"/>
          <w:color w:val="auto"/>
          <w:sz w:val="24"/>
          <w:highlight w:val="none"/>
        </w:rPr>
      </w:pPr>
      <w:r>
        <w:rPr>
          <w:rFonts w:hint="eastAsia" w:ascii="宋体" w:hAnsi="宋体"/>
          <w:color w:val="auto"/>
          <w:sz w:val="24"/>
          <w:highlight w:val="none"/>
        </w:rPr>
        <w:t>上述合同文件包括合同当事人就该项合同文件所做出的补充和修改，属于同一类内容的文件，应以最新签署的为准。</w:t>
      </w:r>
      <w:r>
        <w:rPr>
          <w:rFonts w:hint="eastAsia" w:eastAsia="黑体"/>
          <w:b/>
          <w:bCs/>
          <w:color w:val="auto"/>
          <w:sz w:val="24"/>
          <w:highlight w:val="none"/>
        </w:rPr>
        <w:t xml:space="preserve"> </w:t>
      </w:r>
    </w:p>
    <w:p w14:paraId="10895F2A">
      <w:pPr>
        <w:spacing w:before="62" w:beforeLines="20" w:after="62" w:afterLines="20" w:line="460" w:lineRule="exact"/>
        <w:ind w:firstLine="482"/>
        <w:rPr>
          <w:rFonts w:eastAsia="黑体"/>
          <w:b/>
          <w:bCs/>
          <w:color w:val="auto"/>
          <w:sz w:val="24"/>
          <w:highlight w:val="none"/>
        </w:rPr>
      </w:pPr>
      <w:r>
        <w:rPr>
          <w:rFonts w:hint="eastAsia" w:eastAsia="黑体"/>
          <w:b/>
          <w:bCs/>
          <w:color w:val="auto"/>
          <w:sz w:val="24"/>
          <w:highlight w:val="none"/>
        </w:rPr>
        <w:t>第五条</w:t>
      </w:r>
      <w:r>
        <w:rPr>
          <w:rFonts w:hint="eastAsia" w:eastAsia="黑体"/>
          <w:b/>
          <w:bCs/>
          <w:color w:val="auto"/>
          <w:sz w:val="24"/>
          <w:highlight w:val="none"/>
        </w:rPr>
        <w:tab/>
      </w:r>
      <w:r>
        <w:rPr>
          <w:rFonts w:hint="eastAsia" w:eastAsia="黑体"/>
          <w:b/>
          <w:bCs/>
          <w:color w:val="auto"/>
          <w:sz w:val="24"/>
          <w:highlight w:val="none"/>
        </w:rPr>
        <w:t xml:space="preserve">   勘察设计工作范围及服务内容</w:t>
      </w:r>
    </w:p>
    <w:p w14:paraId="4416FDEA">
      <w:pPr>
        <w:spacing w:line="460" w:lineRule="exact"/>
        <w:ind w:firstLine="482"/>
        <w:rPr>
          <w:rFonts w:ascii="宋体" w:hAnsi="宋体"/>
          <w:color w:val="auto"/>
          <w:sz w:val="24"/>
          <w:highlight w:val="none"/>
        </w:rPr>
      </w:pPr>
      <w:r>
        <w:rPr>
          <w:rFonts w:hint="eastAsia" w:ascii="宋体" w:hAnsi="宋体"/>
          <w:color w:val="auto"/>
          <w:sz w:val="24"/>
          <w:highlight w:val="none"/>
        </w:rPr>
        <w:t>承包人对本项目实行勘察设计总承包，并对项目全过程的勘察、设计的进度、质量、安全、工程投资控制、设计总承包管理、限额设计及各专业协调、设计驻场服务等勘察设计周期内的各项事务全面负责。承包人应按期合格地完成勘察设计任务并交付相应的勘察设计成果，应及时向发包人及项目相关方通报所承担的项目勘察设计任务的进展、实施情况并送达必要文书，承包人的勘察设计成果应满足发包人需求，勘察设计工作应服从发包人或组织管理机构统一协调和合理调配。承包人</w:t>
      </w:r>
      <w:r>
        <w:rPr>
          <w:rFonts w:ascii="宋体" w:hAnsi="宋体"/>
          <w:color w:val="auto"/>
          <w:sz w:val="24"/>
          <w:highlight w:val="none"/>
        </w:rPr>
        <w:t>负责从</w:t>
      </w:r>
      <w:r>
        <w:rPr>
          <w:rFonts w:hint="eastAsia" w:ascii="宋体" w:hAnsi="宋体"/>
          <w:color w:val="auto"/>
          <w:sz w:val="24"/>
          <w:highlight w:val="none"/>
        </w:rPr>
        <w:t>勘察设计</w:t>
      </w:r>
      <w:r>
        <w:rPr>
          <w:rFonts w:ascii="宋体" w:hAnsi="宋体"/>
          <w:color w:val="auto"/>
          <w:sz w:val="24"/>
          <w:highlight w:val="none"/>
        </w:rPr>
        <w:t>开始到竣工验收完成备案全过程的设计指导及技术服务(含驻场服务)工作。</w:t>
      </w:r>
    </w:p>
    <w:p w14:paraId="73E72A60">
      <w:pPr>
        <w:spacing w:line="460" w:lineRule="exact"/>
        <w:ind w:firstLine="482"/>
        <w:rPr>
          <w:rFonts w:ascii="宋体" w:hAnsi="宋体"/>
          <w:color w:val="auto"/>
          <w:sz w:val="24"/>
          <w:highlight w:val="none"/>
        </w:rPr>
      </w:pPr>
      <w:r>
        <w:rPr>
          <w:rFonts w:hint="eastAsia" w:ascii="宋体" w:hAnsi="宋体"/>
          <w:color w:val="auto"/>
          <w:sz w:val="24"/>
          <w:highlight w:val="none"/>
        </w:rPr>
        <w:t>5.1勘察工作</w:t>
      </w:r>
    </w:p>
    <w:p w14:paraId="51BDDA79">
      <w:pPr>
        <w:spacing w:line="460" w:lineRule="exact"/>
        <w:ind w:firstLine="482"/>
        <w:rPr>
          <w:rFonts w:ascii="宋体" w:hAnsi="宋体"/>
          <w:color w:val="auto"/>
          <w:sz w:val="24"/>
          <w:highlight w:val="none"/>
          <w:u w:val="single"/>
        </w:rPr>
      </w:pPr>
      <w:r>
        <w:rPr>
          <w:rFonts w:hint="eastAsia" w:ascii="宋体" w:hAnsi="宋体"/>
          <w:color w:val="auto"/>
          <w:sz w:val="24"/>
          <w:highlight w:val="none"/>
        </w:rPr>
        <w:t>5.1.1勘察范围：本工程所需的勘察工作。</w:t>
      </w:r>
      <w:r>
        <w:rPr>
          <w:rFonts w:hint="eastAsia" w:ascii="宋体" w:hAnsi="宋体"/>
          <w:color w:val="auto"/>
          <w:sz w:val="24"/>
          <w:highlight w:val="none"/>
          <w:u w:val="single"/>
        </w:rPr>
        <w:t xml:space="preserve">根据招标公告填写               </w:t>
      </w:r>
    </w:p>
    <w:p w14:paraId="26B7D5B8">
      <w:pPr>
        <w:spacing w:line="460" w:lineRule="exact"/>
        <w:ind w:firstLine="480" w:firstLineChars="200"/>
        <w:rPr>
          <w:rFonts w:ascii="宋体" w:hAnsi="宋体"/>
          <w:b/>
          <w:bCs/>
          <w:color w:val="auto"/>
          <w:sz w:val="24"/>
          <w:highlight w:val="none"/>
          <w:u w:val="single"/>
        </w:rPr>
      </w:pPr>
      <w:r>
        <w:rPr>
          <w:rFonts w:hint="eastAsia" w:ascii="宋体" w:hAnsi="宋体"/>
          <w:color w:val="auto"/>
          <w:sz w:val="24"/>
          <w:highlight w:val="none"/>
        </w:rPr>
        <w:t>5.1.2勘察内容：</w:t>
      </w:r>
      <w:r>
        <w:rPr>
          <w:rFonts w:hint="eastAsia" w:ascii="宋体" w:hAnsi="宋体"/>
          <w:b/>
          <w:bCs/>
          <w:color w:val="auto"/>
          <w:sz w:val="24"/>
          <w:highlight w:val="none"/>
          <w:u w:val="single"/>
        </w:rPr>
        <w:t>本项目所需的所有勘察工作，包括但不限于勘察大纲、岩土工程勘察[含初步勘察、详细勘察及施工阶段勘察超前钻(如有)]、工程物探、地形测绘及工程测量并提供移交满足项目测量精度的控制点（不含广州空港经济区管理委员会已委托的报批过程中各行政管理部门相关测绘技术工作）等工作。</w:t>
      </w:r>
    </w:p>
    <w:p w14:paraId="7F375E60">
      <w:pPr>
        <w:spacing w:line="460" w:lineRule="exact"/>
        <w:ind w:firstLine="482" w:firstLineChars="200"/>
        <w:rPr>
          <w:rFonts w:ascii="宋体" w:hAnsi="宋体"/>
          <w:color w:val="auto"/>
          <w:sz w:val="24"/>
          <w:highlight w:val="none"/>
        </w:rPr>
      </w:pPr>
      <w:r>
        <w:rPr>
          <w:rFonts w:hint="eastAsia" w:ascii="宋体" w:hAnsi="宋体"/>
          <w:b/>
          <w:bCs/>
          <w:color w:val="auto"/>
          <w:sz w:val="24"/>
          <w:highlight w:val="none"/>
          <w:u w:val="single"/>
        </w:rPr>
        <w:t>注：所有勘察项目（含物探、检测、超前钻）均需报发包人根据现场实际情况确认同意后方可实施。</w:t>
      </w:r>
    </w:p>
    <w:p w14:paraId="430E57C8">
      <w:pPr>
        <w:spacing w:line="460" w:lineRule="exact"/>
        <w:ind w:firstLine="482"/>
        <w:rPr>
          <w:rFonts w:ascii="宋体" w:hAnsi="宋体"/>
          <w:color w:val="auto"/>
          <w:sz w:val="24"/>
          <w:highlight w:val="none"/>
        </w:rPr>
      </w:pPr>
      <w:r>
        <w:rPr>
          <w:rFonts w:hint="eastAsia" w:ascii="宋体" w:hAnsi="宋体"/>
          <w:color w:val="auto"/>
          <w:sz w:val="24"/>
          <w:highlight w:val="none"/>
        </w:rPr>
        <w:t>5.2设计工作</w:t>
      </w:r>
    </w:p>
    <w:p w14:paraId="47F7CC23">
      <w:pPr>
        <w:spacing w:line="460" w:lineRule="exact"/>
        <w:ind w:firstLine="482"/>
        <w:rPr>
          <w:rFonts w:ascii="宋体" w:hAnsi="宋体"/>
          <w:color w:val="auto"/>
          <w:sz w:val="24"/>
          <w:highlight w:val="none"/>
        </w:rPr>
      </w:pPr>
      <w:r>
        <w:rPr>
          <w:rFonts w:hint="eastAsia" w:ascii="宋体" w:hAnsi="宋体"/>
          <w:color w:val="auto"/>
          <w:sz w:val="24"/>
          <w:highlight w:val="none"/>
        </w:rPr>
        <w:t>5.2.1设计范围：本工程的全部设计工作。</w:t>
      </w:r>
      <w:r>
        <w:rPr>
          <w:rFonts w:hint="eastAsia" w:ascii="宋体" w:hAnsi="宋体"/>
          <w:color w:val="auto"/>
          <w:sz w:val="24"/>
          <w:highlight w:val="none"/>
          <w:u w:val="single"/>
        </w:rPr>
        <w:t xml:space="preserve">根据招标公告填写               </w:t>
      </w:r>
    </w:p>
    <w:p w14:paraId="733DADB6">
      <w:pPr>
        <w:spacing w:line="460" w:lineRule="exact"/>
        <w:ind w:firstLine="480" w:firstLineChars="200"/>
        <w:rPr>
          <w:rFonts w:ascii="宋体" w:hAnsi="宋体"/>
          <w:b/>
          <w:bCs/>
          <w:color w:val="auto"/>
          <w:sz w:val="24"/>
          <w:highlight w:val="none"/>
          <w:u w:val="single"/>
        </w:rPr>
      </w:pPr>
      <w:r>
        <w:rPr>
          <w:rFonts w:hint="eastAsia" w:ascii="宋体" w:hAnsi="宋体"/>
          <w:color w:val="auto"/>
          <w:sz w:val="24"/>
          <w:highlight w:val="none"/>
        </w:rPr>
        <w:t>5.2.2设计内容：</w:t>
      </w:r>
      <w:r>
        <w:rPr>
          <w:rFonts w:hint="eastAsia" w:ascii="宋体" w:hAnsi="宋体"/>
          <w:b/>
          <w:bCs/>
          <w:color w:val="auto"/>
          <w:sz w:val="24"/>
          <w:highlight w:val="none"/>
          <w:u w:val="single"/>
        </w:rPr>
        <w:t>承包人</w:t>
      </w:r>
      <w:r>
        <w:rPr>
          <w:rFonts w:hint="eastAsia" w:ascii="宋体" w:hAnsi="宋体"/>
          <w:b/>
          <w:bCs/>
          <w:color w:val="auto"/>
          <w:sz w:val="24"/>
          <w:highlight w:val="none"/>
          <w:u w:val="single"/>
          <w:lang w:val="en-US" w:eastAsia="zh-CN"/>
        </w:rPr>
        <w:t>须</w:t>
      </w:r>
      <w:r>
        <w:rPr>
          <w:rFonts w:hint="eastAsia" w:ascii="宋体" w:hAnsi="宋体"/>
          <w:b/>
          <w:bCs/>
          <w:color w:val="auto"/>
          <w:sz w:val="24"/>
          <w:highlight w:val="none"/>
          <w:u w:val="single"/>
        </w:rPr>
        <w:t>根据发包人要求及本项目实际情况，包括但不限于负责项目的设计大纲、规划修正和（或）调整（如有）、联审决策材料编制及相关技术评审、方案设计及修改、报建图设计和报建通编制、初步设计（含方案深化等）、概算编制、施工图设计、BIM技术应用</w:t>
      </w:r>
      <w:r>
        <w:rPr>
          <w:rFonts w:hint="eastAsia" w:ascii="宋体" w:hAnsi="宋体"/>
          <w:b/>
          <w:bCs/>
          <w:color w:val="auto"/>
          <w:sz w:val="24"/>
          <w:highlight w:val="none"/>
          <w:u w:val="single"/>
          <w:lang w:eastAsia="zh-CN"/>
        </w:rPr>
        <w:t>（</w:t>
      </w:r>
      <w:r>
        <w:rPr>
          <w:rFonts w:hint="eastAsia" w:ascii="宋体" w:hAnsi="宋体"/>
          <w:b/>
          <w:bCs/>
          <w:color w:val="auto"/>
          <w:sz w:val="24"/>
          <w:highlight w:val="none"/>
          <w:u w:val="single"/>
          <w:lang w:val="en-US" w:eastAsia="zh-CN"/>
        </w:rPr>
        <w:t>设计阶段</w:t>
      </w:r>
      <w:r>
        <w:rPr>
          <w:rFonts w:hint="eastAsia" w:ascii="宋体" w:hAnsi="宋体"/>
          <w:b/>
          <w:bCs/>
          <w:color w:val="auto"/>
          <w:sz w:val="24"/>
          <w:highlight w:val="none"/>
          <w:u w:val="single"/>
          <w:lang w:eastAsia="zh-CN"/>
        </w:rPr>
        <w:t>）、</w:t>
      </w:r>
      <w:r>
        <w:rPr>
          <w:rFonts w:hint="eastAsia" w:ascii="宋体" w:hAnsi="宋体"/>
          <w:b/>
          <w:bCs/>
          <w:color w:val="auto"/>
          <w:sz w:val="24"/>
          <w:highlight w:val="none"/>
          <w:u w:val="single"/>
        </w:rPr>
        <w:t>绿色建筑咨询服务、管线保护和（或）实物补偿类管线迁改设计、文物（如有）和树木保护专章编制、技术文件编制、各类相关专题研究、现场服务及竣工图绘制等。</w:t>
      </w:r>
    </w:p>
    <w:p w14:paraId="5F797C25">
      <w:pPr>
        <w:spacing w:line="460" w:lineRule="exact"/>
        <w:ind w:firstLine="480" w:firstLineChars="200"/>
        <w:rPr>
          <w:rFonts w:ascii="宋体" w:hAnsi="宋体"/>
          <w:color w:val="auto"/>
          <w:sz w:val="24"/>
          <w:highlight w:val="none"/>
        </w:rPr>
      </w:pPr>
      <w:r>
        <w:rPr>
          <w:rFonts w:hint="eastAsia" w:ascii="宋体" w:hAnsi="宋体"/>
          <w:color w:val="auto"/>
          <w:sz w:val="24"/>
          <w:highlight w:val="none"/>
          <w:u w:val="single"/>
        </w:rPr>
        <w:t>对项目技术、经济、资源、环境等条件进行综合分析、论证，负责本工程所有建筑主体、配套建筑和设施以及属于本项目所需、但又处于规划用地红线范围外的周边市政配套设施（含与外界连接道路、外供水、外排水、外供电、燃气、管线迁改等）的勘察</w:t>
      </w:r>
      <w:r>
        <w:rPr>
          <w:rFonts w:ascii="宋体" w:hAnsi="宋体"/>
          <w:color w:val="auto"/>
          <w:sz w:val="24"/>
          <w:highlight w:val="none"/>
          <w:u w:val="single"/>
        </w:rPr>
        <w:t>设计服务工作</w:t>
      </w:r>
      <w:r>
        <w:rPr>
          <w:rFonts w:hint="eastAsia" w:ascii="宋体" w:hAnsi="宋体"/>
          <w:color w:val="auto"/>
          <w:sz w:val="24"/>
          <w:highlight w:val="none"/>
          <w:u w:val="single"/>
        </w:rPr>
        <w:t>。包括但不限于</w:t>
      </w:r>
      <w:r>
        <w:rPr>
          <w:rFonts w:hint="eastAsia" w:ascii="宋体" w:hAnsi="宋体"/>
          <w:color w:val="auto"/>
          <w:sz w:val="24"/>
          <w:highlight w:val="none"/>
        </w:rPr>
        <w:t>：</w:t>
      </w:r>
    </w:p>
    <w:p w14:paraId="781E54FE">
      <w:pPr>
        <w:spacing w:line="460" w:lineRule="exact"/>
        <w:ind w:firstLine="482"/>
        <w:rPr>
          <w:rFonts w:ascii="宋体" w:hAnsi="宋体"/>
          <w:color w:val="auto"/>
          <w:sz w:val="24"/>
          <w:highlight w:val="none"/>
        </w:rPr>
      </w:pPr>
      <w:r>
        <w:rPr>
          <w:rFonts w:hint="eastAsia" w:ascii="宋体" w:hAnsi="宋体"/>
          <w:color w:val="auto"/>
          <w:sz w:val="24"/>
          <w:highlight w:val="none"/>
        </w:rPr>
        <w:t>5.2.3</w:t>
      </w:r>
      <w:r>
        <w:rPr>
          <w:rFonts w:ascii="宋体" w:hAnsi="宋体"/>
          <w:color w:val="auto"/>
          <w:sz w:val="24"/>
          <w:highlight w:val="none"/>
        </w:rPr>
        <w:t>室外市政、园林工程设计:本工程用地红线范围内的道路、绿化、室外广场、停车场、供电系统、照明系统、广播音响系统、安全防范监视系统、大屏幕显示系统、标识系统、室外给排水系统、自动喷淋系统、消防系统等的设计,以及室外各种管线综合平衡设计。</w:t>
      </w:r>
    </w:p>
    <w:p w14:paraId="67AD97FD">
      <w:pPr>
        <w:spacing w:line="460" w:lineRule="exact"/>
        <w:ind w:firstLine="482"/>
        <w:rPr>
          <w:rFonts w:ascii="宋体" w:hAnsi="宋体"/>
          <w:color w:val="auto"/>
          <w:sz w:val="24"/>
          <w:highlight w:val="none"/>
        </w:rPr>
      </w:pPr>
      <w:r>
        <w:rPr>
          <w:rFonts w:hint="eastAsia" w:ascii="宋体" w:hAnsi="宋体"/>
          <w:color w:val="auto"/>
          <w:sz w:val="24"/>
          <w:highlight w:val="none"/>
        </w:rPr>
        <w:t>5.2.4</w:t>
      </w:r>
      <w:r>
        <w:rPr>
          <w:rFonts w:ascii="宋体" w:hAnsi="宋体"/>
          <w:color w:val="auto"/>
          <w:sz w:val="24"/>
          <w:highlight w:val="none"/>
        </w:rPr>
        <w:t>建筑设计:本工程总平面范围内主体建筑和附属建筑的设计,含装饰装修设计。</w:t>
      </w:r>
    </w:p>
    <w:p w14:paraId="306246F8">
      <w:pPr>
        <w:spacing w:line="460" w:lineRule="exact"/>
        <w:ind w:firstLine="482"/>
        <w:rPr>
          <w:rFonts w:ascii="宋体" w:hAnsi="宋体"/>
          <w:color w:val="auto"/>
          <w:sz w:val="24"/>
          <w:highlight w:val="none"/>
        </w:rPr>
      </w:pPr>
      <w:r>
        <w:rPr>
          <w:rFonts w:hint="eastAsia" w:ascii="宋体" w:hAnsi="宋体"/>
          <w:color w:val="auto"/>
          <w:sz w:val="24"/>
          <w:highlight w:val="none"/>
        </w:rPr>
        <w:t>5.2.5</w:t>
      </w:r>
      <w:r>
        <w:rPr>
          <w:rFonts w:ascii="宋体" w:hAnsi="宋体"/>
          <w:color w:val="auto"/>
          <w:sz w:val="24"/>
          <w:highlight w:val="none"/>
        </w:rPr>
        <w:t>结构设计:本工程总平面范围内主体、附属结构的设计、装修工程的结构设计与验算、室外工程及构筑物的结构设计。</w:t>
      </w:r>
    </w:p>
    <w:p w14:paraId="149E7798">
      <w:pPr>
        <w:spacing w:line="460" w:lineRule="exact"/>
        <w:ind w:firstLine="482"/>
        <w:rPr>
          <w:rFonts w:ascii="宋体" w:hAnsi="宋体"/>
          <w:color w:val="auto"/>
          <w:sz w:val="24"/>
          <w:highlight w:val="none"/>
        </w:rPr>
      </w:pPr>
      <w:r>
        <w:rPr>
          <w:rFonts w:hint="eastAsia" w:ascii="宋体" w:hAnsi="宋体"/>
          <w:color w:val="auto"/>
          <w:sz w:val="24"/>
          <w:highlight w:val="none"/>
        </w:rPr>
        <w:t>5.2.6</w:t>
      </w:r>
      <w:r>
        <w:rPr>
          <w:rFonts w:ascii="宋体" w:hAnsi="宋体"/>
          <w:color w:val="auto"/>
          <w:sz w:val="24"/>
          <w:highlight w:val="none"/>
        </w:rPr>
        <w:t>人防设计:包括人防工程各专业内容的设计。</w:t>
      </w:r>
    </w:p>
    <w:p w14:paraId="1C968F8A">
      <w:pPr>
        <w:spacing w:line="460" w:lineRule="exact"/>
        <w:ind w:firstLine="482"/>
        <w:rPr>
          <w:rFonts w:ascii="宋体" w:hAnsi="宋体"/>
          <w:color w:val="auto"/>
          <w:sz w:val="24"/>
          <w:highlight w:val="none"/>
        </w:rPr>
      </w:pPr>
      <w:r>
        <w:rPr>
          <w:rFonts w:hint="eastAsia" w:ascii="宋体" w:hAnsi="宋体"/>
          <w:color w:val="auto"/>
          <w:sz w:val="24"/>
          <w:highlight w:val="none"/>
        </w:rPr>
        <w:t>5.2.7</w:t>
      </w:r>
      <w:r>
        <w:rPr>
          <w:rFonts w:ascii="宋体" w:hAnsi="宋体"/>
          <w:color w:val="auto"/>
          <w:sz w:val="24"/>
          <w:highlight w:val="none"/>
        </w:rPr>
        <w:t>强电设计:临电、高低压变配电系统、UPS不间断电源、备用电源系统、动力供电系统、室内外照明系统(含夜景设计)、防雷接地系统。</w:t>
      </w:r>
    </w:p>
    <w:p w14:paraId="17372A4B">
      <w:pPr>
        <w:spacing w:line="460" w:lineRule="exact"/>
        <w:ind w:firstLine="482"/>
        <w:rPr>
          <w:rFonts w:ascii="宋体" w:hAnsi="宋体"/>
          <w:color w:val="auto"/>
          <w:sz w:val="24"/>
          <w:highlight w:val="none"/>
        </w:rPr>
      </w:pPr>
      <w:r>
        <w:rPr>
          <w:rFonts w:hint="eastAsia" w:ascii="宋体" w:hAnsi="宋体"/>
          <w:color w:val="auto"/>
          <w:sz w:val="24"/>
          <w:highlight w:val="none"/>
        </w:rPr>
        <w:t>5.2.8</w:t>
      </w:r>
      <w:r>
        <w:rPr>
          <w:rFonts w:ascii="宋体" w:hAnsi="宋体"/>
          <w:color w:val="auto"/>
          <w:sz w:val="24"/>
          <w:highlight w:val="none"/>
        </w:rPr>
        <w:t>弱电与智能化系统设计:</w:t>
      </w:r>
      <w:r>
        <w:rPr>
          <w:rFonts w:hint="eastAsia" w:ascii="宋体" w:hAnsi="宋体"/>
          <w:color w:val="auto"/>
          <w:sz w:val="24"/>
          <w:highlight w:val="none"/>
        </w:rPr>
        <w:t>有线电视系统、综合布线系统、视频安防监控系统、访客对讲系统、停车场管理系统、通信接入及电话交换系统、广播系统、火灾报警与消防联动系统等</w:t>
      </w:r>
      <w:r>
        <w:rPr>
          <w:rFonts w:ascii="宋体" w:hAnsi="宋体"/>
          <w:color w:val="auto"/>
          <w:sz w:val="24"/>
          <w:highlight w:val="none"/>
        </w:rPr>
        <w:t>。</w:t>
      </w:r>
    </w:p>
    <w:p w14:paraId="6CB175DA">
      <w:pPr>
        <w:spacing w:line="460" w:lineRule="exact"/>
        <w:ind w:firstLine="482"/>
        <w:rPr>
          <w:rFonts w:ascii="宋体" w:hAnsi="宋体"/>
          <w:color w:val="auto"/>
          <w:sz w:val="24"/>
          <w:highlight w:val="none"/>
        </w:rPr>
      </w:pPr>
      <w:r>
        <w:rPr>
          <w:rFonts w:hint="eastAsia" w:ascii="宋体" w:hAnsi="宋体"/>
          <w:color w:val="auto"/>
          <w:sz w:val="24"/>
          <w:highlight w:val="none"/>
        </w:rPr>
        <w:t>5.2.9</w:t>
      </w:r>
      <w:r>
        <w:rPr>
          <w:rFonts w:ascii="宋体" w:hAnsi="宋体"/>
          <w:color w:val="auto"/>
          <w:sz w:val="24"/>
          <w:highlight w:val="none"/>
        </w:rPr>
        <w:t>给排水设计(含外水接入、接出部分,需设计接至主管部门指定接口):临水、建筑给水、排水系统设计、集中热水供应系统、红线外与市政管线接驳及永水等设计。</w:t>
      </w:r>
    </w:p>
    <w:p w14:paraId="1911C6CA">
      <w:pPr>
        <w:spacing w:line="460" w:lineRule="exact"/>
        <w:ind w:firstLine="482"/>
        <w:rPr>
          <w:rFonts w:ascii="宋体" w:hAnsi="宋体"/>
          <w:color w:val="auto"/>
          <w:sz w:val="24"/>
          <w:highlight w:val="none"/>
        </w:rPr>
      </w:pPr>
      <w:r>
        <w:rPr>
          <w:rFonts w:hint="eastAsia" w:ascii="宋体" w:hAnsi="宋体"/>
          <w:color w:val="auto"/>
          <w:sz w:val="24"/>
          <w:highlight w:val="none"/>
        </w:rPr>
        <w:t>5.2.10暖通</w:t>
      </w:r>
      <w:r>
        <w:rPr>
          <w:rFonts w:ascii="宋体" w:hAnsi="宋体"/>
          <w:color w:val="auto"/>
          <w:sz w:val="24"/>
          <w:highlight w:val="none"/>
        </w:rPr>
        <w:t>设计:建筑物内部通风系统、建筑物内部空气调节系统、中央吸尘系统等的设计。</w:t>
      </w:r>
    </w:p>
    <w:p w14:paraId="62B0EF88">
      <w:pPr>
        <w:spacing w:line="460" w:lineRule="exact"/>
        <w:ind w:firstLine="482"/>
        <w:rPr>
          <w:rFonts w:ascii="宋体" w:hAnsi="宋体"/>
          <w:color w:val="auto"/>
          <w:sz w:val="24"/>
          <w:highlight w:val="none"/>
        </w:rPr>
      </w:pPr>
      <w:r>
        <w:rPr>
          <w:rFonts w:hint="eastAsia" w:ascii="宋体" w:hAnsi="宋体"/>
          <w:color w:val="auto"/>
          <w:sz w:val="24"/>
          <w:highlight w:val="none"/>
        </w:rPr>
        <w:t>5.2.11</w:t>
      </w:r>
      <w:r>
        <w:rPr>
          <w:rFonts w:ascii="宋体" w:hAnsi="宋体"/>
          <w:color w:val="auto"/>
          <w:sz w:val="24"/>
          <w:highlight w:val="none"/>
        </w:rPr>
        <w:t>消防设计:消火栓系统、自动喷淋系统、气体灭火系统、防排烟系统、火灾自动报警及联动控制系统</w:t>
      </w:r>
      <w:r>
        <w:rPr>
          <w:rFonts w:hint="eastAsia" w:ascii="宋体" w:hAnsi="宋体"/>
          <w:color w:val="auto"/>
          <w:sz w:val="24"/>
          <w:highlight w:val="none"/>
        </w:rPr>
        <w:t>等</w:t>
      </w:r>
      <w:r>
        <w:rPr>
          <w:rFonts w:ascii="宋体" w:hAnsi="宋体"/>
          <w:color w:val="auto"/>
          <w:sz w:val="24"/>
          <w:highlight w:val="none"/>
        </w:rPr>
        <w:t>。</w:t>
      </w:r>
    </w:p>
    <w:p w14:paraId="4CE97621">
      <w:pPr>
        <w:spacing w:line="460" w:lineRule="exact"/>
        <w:ind w:firstLine="482"/>
        <w:rPr>
          <w:rFonts w:ascii="宋体" w:hAnsi="宋体"/>
          <w:color w:val="auto"/>
          <w:sz w:val="24"/>
          <w:highlight w:val="none"/>
        </w:rPr>
      </w:pPr>
      <w:r>
        <w:rPr>
          <w:rFonts w:hint="eastAsia" w:ascii="宋体" w:hAnsi="宋体"/>
          <w:color w:val="auto"/>
          <w:sz w:val="24"/>
          <w:highlight w:val="none"/>
        </w:rPr>
        <w:t>5.2.12</w:t>
      </w:r>
      <w:r>
        <w:rPr>
          <w:rFonts w:ascii="宋体" w:hAnsi="宋体"/>
          <w:color w:val="auto"/>
          <w:sz w:val="24"/>
          <w:highlight w:val="none"/>
        </w:rPr>
        <w:t>泛光照明设计</w:t>
      </w:r>
      <w:r>
        <w:rPr>
          <w:rFonts w:hint="eastAsia" w:ascii="宋体" w:hAnsi="宋体"/>
          <w:color w:val="auto"/>
          <w:sz w:val="24"/>
          <w:highlight w:val="none"/>
        </w:rPr>
        <w:t>。</w:t>
      </w:r>
    </w:p>
    <w:p w14:paraId="4B4C4981">
      <w:pPr>
        <w:spacing w:line="460" w:lineRule="exact"/>
        <w:ind w:firstLine="482"/>
        <w:rPr>
          <w:rFonts w:ascii="宋体" w:hAnsi="宋体"/>
          <w:color w:val="auto"/>
          <w:sz w:val="24"/>
          <w:highlight w:val="none"/>
        </w:rPr>
      </w:pPr>
      <w:r>
        <w:rPr>
          <w:rFonts w:hint="eastAsia" w:ascii="宋体" w:hAnsi="宋体"/>
          <w:color w:val="auto"/>
          <w:sz w:val="24"/>
          <w:highlight w:val="none"/>
        </w:rPr>
        <w:t>5.2.13</w:t>
      </w:r>
      <w:r>
        <w:rPr>
          <w:rFonts w:ascii="宋体" w:hAnsi="宋体"/>
          <w:color w:val="auto"/>
          <w:sz w:val="24"/>
          <w:highlight w:val="none"/>
        </w:rPr>
        <w:t>电梯工程设计与相关配合。</w:t>
      </w:r>
    </w:p>
    <w:p w14:paraId="09D0FC99">
      <w:pPr>
        <w:spacing w:line="460" w:lineRule="exact"/>
        <w:ind w:firstLine="482"/>
        <w:rPr>
          <w:rFonts w:ascii="宋体" w:hAnsi="宋体"/>
          <w:color w:val="auto"/>
          <w:sz w:val="24"/>
          <w:highlight w:val="none"/>
        </w:rPr>
      </w:pPr>
      <w:r>
        <w:rPr>
          <w:rFonts w:hint="eastAsia" w:ascii="宋体" w:hAnsi="宋体"/>
          <w:color w:val="auto"/>
          <w:sz w:val="24"/>
          <w:highlight w:val="none"/>
        </w:rPr>
        <w:t>5.2.14</w:t>
      </w:r>
      <w:r>
        <w:rPr>
          <w:rFonts w:ascii="宋体" w:hAnsi="宋体"/>
          <w:color w:val="auto"/>
          <w:sz w:val="24"/>
          <w:highlight w:val="none"/>
        </w:rPr>
        <w:t>按照本工程的灯光、声学等特殊工艺设计要求进行建筑、结构及其配套设备专业的设计与相关配合。</w:t>
      </w:r>
    </w:p>
    <w:p w14:paraId="73CF79C0">
      <w:pPr>
        <w:spacing w:line="460" w:lineRule="exact"/>
        <w:ind w:firstLine="482"/>
        <w:rPr>
          <w:rFonts w:ascii="宋体" w:hAnsi="宋体"/>
          <w:color w:val="auto"/>
          <w:sz w:val="24"/>
          <w:highlight w:val="none"/>
        </w:rPr>
      </w:pPr>
      <w:r>
        <w:rPr>
          <w:rFonts w:hint="eastAsia" w:ascii="宋体" w:hAnsi="宋体"/>
          <w:color w:val="auto"/>
          <w:sz w:val="24"/>
          <w:highlight w:val="none"/>
        </w:rPr>
        <w:t>5.2.15</w:t>
      </w:r>
      <w:r>
        <w:rPr>
          <w:rFonts w:ascii="宋体" w:hAnsi="宋体"/>
          <w:color w:val="auto"/>
          <w:sz w:val="24"/>
          <w:highlight w:val="none"/>
        </w:rPr>
        <w:t>管线综合平衡设计:各种专业设备、系统的管线在建筑物内、外的路由平衡设计。</w:t>
      </w:r>
    </w:p>
    <w:p w14:paraId="75F39634">
      <w:pPr>
        <w:spacing w:line="460" w:lineRule="exact"/>
        <w:ind w:firstLine="482"/>
        <w:rPr>
          <w:rFonts w:ascii="宋体" w:hAnsi="宋体"/>
          <w:color w:val="auto"/>
          <w:sz w:val="24"/>
          <w:highlight w:val="none"/>
        </w:rPr>
      </w:pPr>
      <w:r>
        <w:rPr>
          <w:rFonts w:hint="eastAsia" w:ascii="宋体" w:hAnsi="宋体"/>
          <w:color w:val="auto"/>
          <w:sz w:val="24"/>
          <w:highlight w:val="none"/>
        </w:rPr>
        <w:t>5.2.16</w:t>
      </w:r>
      <w:r>
        <w:rPr>
          <w:rFonts w:ascii="宋体" w:hAnsi="宋体"/>
          <w:color w:val="auto"/>
          <w:sz w:val="24"/>
          <w:highlight w:val="none"/>
        </w:rPr>
        <w:t>设备选型意见:就拟采用的专用机电设备、专用电子设备(如大屏幕显示系统、广播音响系统等)的选型于施工图设计开始前向发包人提出书面意见并提供相关设备的技术参数规格书。</w:t>
      </w:r>
    </w:p>
    <w:p w14:paraId="16F10AEB">
      <w:pPr>
        <w:spacing w:line="460" w:lineRule="exact"/>
        <w:ind w:firstLine="482"/>
        <w:rPr>
          <w:rFonts w:ascii="宋体" w:hAnsi="宋体"/>
          <w:color w:val="auto"/>
          <w:sz w:val="24"/>
          <w:highlight w:val="none"/>
        </w:rPr>
      </w:pPr>
      <w:r>
        <w:rPr>
          <w:rFonts w:hint="eastAsia" w:ascii="宋体" w:hAnsi="宋体"/>
          <w:color w:val="auto"/>
          <w:sz w:val="24"/>
          <w:highlight w:val="none"/>
        </w:rPr>
        <w:t>5.2.17</w:t>
      </w:r>
      <w:r>
        <w:rPr>
          <w:rFonts w:ascii="宋体" w:hAnsi="宋体"/>
          <w:color w:val="auto"/>
          <w:sz w:val="24"/>
          <w:highlight w:val="none"/>
        </w:rPr>
        <w:t>幕墙工程、钢结构工程设计。</w:t>
      </w:r>
    </w:p>
    <w:p w14:paraId="0AD540B0">
      <w:pPr>
        <w:spacing w:line="460" w:lineRule="exact"/>
        <w:ind w:firstLine="482"/>
        <w:rPr>
          <w:rFonts w:ascii="宋体" w:hAnsi="宋体"/>
          <w:color w:val="auto"/>
          <w:sz w:val="24"/>
          <w:highlight w:val="none"/>
        </w:rPr>
      </w:pPr>
      <w:r>
        <w:rPr>
          <w:rFonts w:hint="eastAsia" w:ascii="宋体" w:hAnsi="宋体"/>
          <w:color w:val="auto"/>
          <w:sz w:val="24"/>
          <w:highlight w:val="none"/>
        </w:rPr>
        <w:t>5.2.18</w:t>
      </w:r>
      <w:r>
        <w:rPr>
          <w:rFonts w:ascii="宋体" w:hAnsi="宋体"/>
          <w:color w:val="auto"/>
          <w:sz w:val="24"/>
          <w:highlight w:val="none"/>
        </w:rPr>
        <w:t>燃气工程设计。</w:t>
      </w:r>
    </w:p>
    <w:p w14:paraId="34ED8029">
      <w:pPr>
        <w:spacing w:line="460" w:lineRule="exact"/>
        <w:ind w:firstLine="482"/>
        <w:rPr>
          <w:rFonts w:ascii="宋体" w:hAnsi="宋体"/>
          <w:color w:val="auto"/>
          <w:sz w:val="24"/>
          <w:highlight w:val="none"/>
        </w:rPr>
      </w:pPr>
      <w:r>
        <w:rPr>
          <w:rFonts w:hint="eastAsia" w:ascii="宋体" w:hAnsi="宋体"/>
          <w:color w:val="auto"/>
          <w:sz w:val="24"/>
          <w:highlight w:val="none"/>
        </w:rPr>
        <w:t>5.2.19</w:t>
      </w:r>
      <w:r>
        <w:rPr>
          <w:rFonts w:ascii="宋体" w:hAnsi="宋体"/>
          <w:color w:val="auto"/>
          <w:sz w:val="24"/>
          <w:highlight w:val="none"/>
        </w:rPr>
        <w:t>建筑节能新技术的应用及设计。</w:t>
      </w:r>
    </w:p>
    <w:p w14:paraId="6CB2297F">
      <w:pPr>
        <w:spacing w:line="460" w:lineRule="exact"/>
        <w:ind w:firstLine="482"/>
        <w:rPr>
          <w:rFonts w:hint="eastAsia" w:ascii="宋体" w:hAnsi="宋体"/>
          <w:color w:val="auto"/>
          <w:sz w:val="24"/>
          <w:highlight w:val="none"/>
        </w:rPr>
      </w:pPr>
      <w:r>
        <w:rPr>
          <w:rFonts w:hint="eastAsia" w:ascii="宋体" w:hAnsi="宋体"/>
          <w:color w:val="auto"/>
          <w:sz w:val="24"/>
          <w:highlight w:val="none"/>
        </w:rPr>
        <w:t xml:space="preserve">5.2.20 </w:t>
      </w:r>
      <w:r>
        <w:rPr>
          <w:rFonts w:ascii="宋体" w:hAnsi="宋体"/>
          <w:color w:val="auto"/>
          <w:sz w:val="24"/>
          <w:highlight w:val="none"/>
        </w:rPr>
        <w:t>BIM设计:</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应用BIM技术全程辅助设计，出具BIM技术成果用于指导施工。利用BIM软件将建筑、结构（含钢结构）、给排水、暖通和电气专业设计方案，通过BIM三维模型形象的展示出来。在三维可视化的平台上，就建筑的性能，平面、立面和剖面的设计效果等，进一步的调整设计方案，使BIM三维模型贯穿于设计阶段任何过程，专业图纸校审、三维管线综合优化及净高控制分析。在施工和移交运维阶段，审核相关应该情况和成果，以达到完善各专业设计文件，优化施工和方便运维管理的目标。</w:t>
      </w:r>
    </w:p>
    <w:p w14:paraId="2A2C6098">
      <w:pPr>
        <w:spacing w:line="460" w:lineRule="exact"/>
        <w:ind w:firstLine="482"/>
        <w:rPr>
          <w:rFonts w:hint="default" w:ascii="宋体" w:hAnsi="宋体"/>
          <w:color w:val="auto"/>
          <w:sz w:val="24"/>
          <w:highlight w:val="none"/>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成果文件应满足国家的、《广东省建筑信息模型应用统一标准》 【DBI/T15-142-2018】、《民用建筑信息模型(BIM)设计技术规范》【DB4401T 9-2018】、广东省标准《建筑信息模型(BIM)交付标准》(征求意见稿)(2024年6月)、广东省标准《市政工程建筑信息模型(BIM)建模与交付标准》(征求意见稿)(2023年10月)及相关文件，如合同履行期间发布了最新的相关技术标准或规范则按最新的执行。</w:t>
      </w:r>
    </w:p>
    <w:p w14:paraId="361446F5">
      <w:pPr>
        <w:spacing w:line="460" w:lineRule="exact"/>
        <w:ind w:firstLine="482"/>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按照发包人要求</w:t>
      </w:r>
      <w:r>
        <w:rPr>
          <w:rFonts w:hint="eastAsia" w:ascii="宋体" w:hAnsi="宋体" w:cs="宋体"/>
          <w:color w:val="auto"/>
          <w:sz w:val="24"/>
          <w:highlight w:val="none"/>
          <w:lang w:val="en-US" w:eastAsia="zh-CN"/>
        </w:rPr>
        <w:t>时间</w:t>
      </w:r>
      <w:r>
        <w:rPr>
          <w:rFonts w:hint="eastAsia" w:ascii="宋体" w:hAnsi="宋体" w:cs="宋体"/>
          <w:color w:val="auto"/>
          <w:sz w:val="24"/>
          <w:highlight w:val="none"/>
        </w:rPr>
        <w:t>移交设计阶段BIM</w:t>
      </w:r>
      <w:r>
        <w:rPr>
          <w:rFonts w:hint="eastAsia" w:ascii="宋体" w:hAnsi="宋体" w:cs="宋体"/>
          <w:color w:val="auto"/>
          <w:sz w:val="24"/>
          <w:highlight w:val="none"/>
          <w:lang w:val="en-US" w:eastAsia="zh-CN"/>
        </w:rPr>
        <w:t>技术应用</w:t>
      </w:r>
      <w:r>
        <w:rPr>
          <w:rFonts w:hint="eastAsia" w:ascii="宋体" w:hAnsi="宋体" w:cs="宋体"/>
          <w:color w:val="auto"/>
          <w:sz w:val="24"/>
          <w:highlight w:val="none"/>
        </w:rPr>
        <w:t>成果</w:t>
      </w:r>
      <w:r>
        <w:rPr>
          <w:rFonts w:hint="eastAsia" w:ascii="宋体" w:hAnsi="宋体" w:cs="宋体"/>
          <w:color w:val="auto"/>
          <w:sz w:val="24"/>
          <w:highlight w:val="none"/>
          <w:lang w:eastAsia="zh-CN"/>
        </w:rPr>
        <w:t>。</w:t>
      </w:r>
    </w:p>
    <w:p w14:paraId="0BBD7E9F">
      <w:pPr>
        <w:spacing w:line="460" w:lineRule="exact"/>
        <w:ind w:firstLine="482"/>
        <w:rPr>
          <w:rFonts w:ascii="宋体" w:hAnsi="宋体"/>
          <w:color w:val="auto"/>
          <w:sz w:val="24"/>
          <w:highlight w:val="none"/>
        </w:rPr>
      </w:pPr>
      <w:r>
        <w:rPr>
          <w:rFonts w:hint="eastAsia" w:ascii="宋体" w:hAnsi="宋体"/>
          <w:color w:val="auto"/>
          <w:sz w:val="24"/>
          <w:highlight w:val="none"/>
        </w:rPr>
        <w:t>5.2.21</w:t>
      </w:r>
      <w:r>
        <w:rPr>
          <w:rFonts w:ascii="宋体" w:hAnsi="宋体"/>
          <w:color w:val="auto"/>
          <w:sz w:val="24"/>
          <w:highlight w:val="none"/>
        </w:rPr>
        <w:t>采用装配式建筑的建造方式</w:t>
      </w:r>
      <w:r>
        <w:rPr>
          <w:rFonts w:hint="eastAsia" w:ascii="宋体" w:hAnsi="宋体"/>
          <w:color w:val="auto"/>
          <w:sz w:val="24"/>
          <w:highlight w:val="none"/>
        </w:rPr>
        <w:t>，应满足国家和省现行的装配式建筑评价标准要求。具体以项目规划条件要求及相关政府部门的政策为准。</w:t>
      </w:r>
    </w:p>
    <w:p w14:paraId="67A0CC19">
      <w:pPr>
        <w:spacing w:line="460" w:lineRule="exact"/>
        <w:ind w:firstLine="482"/>
        <w:rPr>
          <w:rFonts w:ascii="宋体" w:hAnsi="宋体"/>
          <w:color w:val="auto"/>
          <w:sz w:val="24"/>
          <w:highlight w:val="none"/>
        </w:rPr>
      </w:pPr>
      <w:r>
        <w:rPr>
          <w:rFonts w:hint="eastAsia" w:ascii="宋体" w:hAnsi="宋体"/>
          <w:color w:val="auto"/>
          <w:sz w:val="24"/>
          <w:highlight w:val="none"/>
        </w:rPr>
        <w:t>5.2.22</w:t>
      </w:r>
      <w:r>
        <w:rPr>
          <w:rFonts w:ascii="宋体" w:hAnsi="宋体"/>
          <w:color w:val="auto"/>
          <w:sz w:val="24"/>
          <w:highlight w:val="none"/>
        </w:rPr>
        <w:t>标识设计</w:t>
      </w:r>
      <w:r>
        <w:rPr>
          <w:rFonts w:hint="eastAsia" w:ascii="宋体" w:hAnsi="宋体"/>
          <w:color w:val="auto"/>
          <w:sz w:val="24"/>
          <w:highlight w:val="none"/>
        </w:rPr>
        <w:t>。</w:t>
      </w:r>
    </w:p>
    <w:p w14:paraId="07065C8A">
      <w:pPr>
        <w:spacing w:line="460" w:lineRule="exact"/>
        <w:ind w:firstLine="482"/>
        <w:rPr>
          <w:rFonts w:ascii="宋体" w:hAnsi="宋体"/>
          <w:color w:val="auto"/>
          <w:sz w:val="24"/>
          <w:highlight w:val="none"/>
        </w:rPr>
      </w:pPr>
      <w:r>
        <w:rPr>
          <w:rFonts w:hint="eastAsia" w:ascii="宋体" w:hAnsi="宋体"/>
          <w:color w:val="auto"/>
          <w:sz w:val="24"/>
          <w:highlight w:val="none"/>
        </w:rPr>
        <w:t>5.2.23</w:t>
      </w:r>
      <w:r>
        <w:rPr>
          <w:rFonts w:ascii="宋体" w:hAnsi="宋体"/>
          <w:color w:val="auto"/>
          <w:sz w:val="24"/>
          <w:highlight w:val="none"/>
        </w:rPr>
        <w:t>在规划红线范围内,承包人应保证按规划及建筑功能要求、配套设施要求完成本工程造价中包含的全部项目的专业专项设计</w:t>
      </w:r>
      <w:r>
        <w:rPr>
          <w:rFonts w:hint="eastAsia" w:ascii="宋体" w:hAnsi="宋体"/>
          <w:color w:val="auto"/>
          <w:sz w:val="24"/>
          <w:highlight w:val="none"/>
        </w:rPr>
        <w:t>。</w:t>
      </w:r>
    </w:p>
    <w:p w14:paraId="05B4BCA0">
      <w:pPr>
        <w:spacing w:line="460" w:lineRule="exact"/>
        <w:ind w:firstLine="482"/>
        <w:rPr>
          <w:rFonts w:ascii="宋体" w:hAnsi="宋体"/>
          <w:color w:val="auto"/>
          <w:sz w:val="24"/>
          <w:highlight w:val="none"/>
        </w:rPr>
      </w:pPr>
      <w:r>
        <w:rPr>
          <w:rFonts w:hint="eastAsia" w:ascii="宋体" w:hAnsi="宋体"/>
          <w:color w:val="auto"/>
          <w:sz w:val="24"/>
          <w:highlight w:val="none"/>
        </w:rPr>
        <w:t>5.2.24</w:t>
      </w:r>
      <w:r>
        <w:rPr>
          <w:rFonts w:ascii="宋体" w:hAnsi="宋体"/>
          <w:color w:val="auto"/>
          <w:sz w:val="24"/>
          <w:highlight w:val="none"/>
        </w:rPr>
        <w:t>完成编制竣工图、竣工通等其他相关设计成果文件，配合竣工报批报建并协助通过竣工验收</w:t>
      </w:r>
      <w:r>
        <w:rPr>
          <w:rFonts w:hint="eastAsia" w:ascii="宋体" w:hAnsi="宋体"/>
          <w:color w:val="auto"/>
          <w:sz w:val="24"/>
          <w:highlight w:val="none"/>
        </w:rPr>
        <w:t>。</w:t>
      </w:r>
    </w:p>
    <w:p w14:paraId="54DCB747">
      <w:pPr>
        <w:spacing w:line="460" w:lineRule="exact"/>
        <w:ind w:firstLine="482"/>
        <w:rPr>
          <w:rFonts w:ascii="宋体" w:hAnsi="宋体"/>
          <w:color w:val="auto"/>
          <w:sz w:val="24"/>
          <w:highlight w:val="none"/>
        </w:rPr>
      </w:pPr>
      <w:r>
        <w:rPr>
          <w:rFonts w:hint="eastAsia" w:ascii="宋体" w:hAnsi="宋体"/>
          <w:color w:val="auto"/>
          <w:sz w:val="24"/>
          <w:highlight w:val="none"/>
        </w:rPr>
        <w:t>5.2.25</w:t>
      </w:r>
      <w:r>
        <w:rPr>
          <w:rFonts w:ascii="宋体" w:hAnsi="宋体"/>
          <w:color w:val="auto"/>
          <w:sz w:val="24"/>
          <w:highlight w:val="none"/>
        </w:rPr>
        <w:t>绿色建筑设计（如有）。负责按照广州市绿色建筑和建筑节能管理规定项目的建筑节能、环保及绿色建筑设计,编制实施保障措施，申报并通过绿色建筑设计评价标识认证</w:t>
      </w:r>
      <w:r>
        <w:rPr>
          <w:rFonts w:hint="eastAsia" w:ascii="宋体" w:hAnsi="宋体"/>
          <w:color w:val="auto"/>
          <w:sz w:val="24"/>
          <w:highlight w:val="none"/>
        </w:rPr>
        <w:t>。</w:t>
      </w:r>
    </w:p>
    <w:p w14:paraId="5D23EC76">
      <w:pPr>
        <w:spacing w:line="460" w:lineRule="exact"/>
        <w:ind w:firstLine="482"/>
        <w:rPr>
          <w:rFonts w:ascii="宋体" w:hAnsi="宋体"/>
          <w:color w:val="auto"/>
          <w:sz w:val="24"/>
          <w:highlight w:val="none"/>
        </w:rPr>
      </w:pPr>
      <w:r>
        <w:rPr>
          <w:rFonts w:hint="eastAsia" w:ascii="宋体" w:hAnsi="宋体"/>
          <w:color w:val="auto"/>
          <w:sz w:val="24"/>
          <w:highlight w:val="none"/>
        </w:rPr>
        <w:t>5.2.26按相关要求开展海绵城市建筑设计。</w:t>
      </w:r>
    </w:p>
    <w:p w14:paraId="01DAF1BF">
      <w:pPr>
        <w:spacing w:line="460" w:lineRule="exact"/>
        <w:ind w:firstLine="482"/>
        <w:rPr>
          <w:rFonts w:ascii="宋体" w:hAnsi="宋体"/>
          <w:color w:val="auto"/>
          <w:sz w:val="24"/>
          <w:highlight w:val="none"/>
        </w:rPr>
      </w:pPr>
      <w:r>
        <w:rPr>
          <w:rFonts w:hint="eastAsia" w:ascii="宋体" w:hAnsi="宋体"/>
          <w:color w:val="auto"/>
          <w:sz w:val="24"/>
          <w:highlight w:val="none"/>
        </w:rPr>
        <w:t>5.2.27</w:t>
      </w:r>
      <w:r>
        <w:rPr>
          <w:rFonts w:ascii="宋体" w:hAnsi="宋体"/>
          <w:color w:val="auto"/>
          <w:sz w:val="24"/>
          <w:highlight w:val="none"/>
        </w:rPr>
        <w:t>除需完成上述工作外,还需负责本项目总协调,工作内容包括但不限于:</w:t>
      </w:r>
    </w:p>
    <w:p w14:paraId="3EDA07D8">
      <w:pPr>
        <w:spacing w:line="460" w:lineRule="exact"/>
        <w:ind w:firstLine="482"/>
        <w:rPr>
          <w:rFonts w:ascii="宋体" w:hAnsi="宋体"/>
          <w:color w:val="auto"/>
          <w:sz w:val="24"/>
          <w:highlight w:val="none"/>
        </w:rPr>
      </w:pPr>
      <w:r>
        <w:rPr>
          <w:rFonts w:hint="eastAsia" w:ascii="宋体" w:hAnsi="宋体"/>
          <w:color w:val="auto"/>
          <w:sz w:val="24"/>
          <w:highlight w:val="none"/>
        </w:rPr>
        <w:t>5.2.27.</w:t>
      </w:r>
      <w:r>
        <w:rPr>
          <w:rFonts w:ascii="宋体" w:hAnsi="宋体"/>
          <w:color w:val="auto"/>
          <w:sz w:val="24"/>
          <w:highlight w:val="none"/>
        </w:rPr>
        <w:t>1组织各设计单位研究建设项目的总体设计方案。</w:t>
      </w:r>
    </w:p>
    <w:p w14:paraId="575BDE15">
      <w:pPr>
        <w:spacing w:line="460" w:lineRule="exact"/>
        <w:ind w:firstLine="482"/>
        <w:rPr>
          <w:rFonts w:ascii="宋体" w:hAnsi="宋体"/>
          <w:color w:val="auto"/>
          <w:sz w:val="24"/>
          <w:highlight w:val="none"/>
        </w:rPr>
      </w:pPr>
      <w:r>
        <w:rPr>
          <w:rFonts w:hint="eastAsia" w:ascii="宋体" w:hAnsi="宋体"/>
          <w:color w:val="auto"/>
          <w:sz w:val="24"/>
          <w:highlight w:val="none"/>
        </w:rPr>
        <w:t>5.2.27.</w:t>
      </w:r>
      <w:r>
        <w:rPr>
          <w:rFonts w:ascii="宋体" w:hAnsi="宋体"/>
          <w:color w:val="auto"/>
          <w:sz w:val="24"/>
          <w:highlight w:val="none"/>
        </w:rPr>
        <w:t>2确定统一的工程设计标准、规范、深度和要求。</w:t>
      </w:r>
    </w:p>
    <w:p w14:paraId="38737B65">
      <w:pPr>
        <w:spacing w:line="460" w:lineRule="exact"/>
        <w:ind w:firstLine="482"/>
        <w:rPr>
          <w:rFonts w:ascii="宋体" w:hAnsi="宋体"/>
          <w:color w:val="auto"/>
          <w:sz w:val="24"/>
          <w:highlight w:val="none"/>
        </w:rPr>
      </w:pPr>
      <w:r>
        <w:rPr>
          <w:rFonts w:hint="eastAsia" w:ascii="宋体" w:hAnsi="宋体"/>
          <w:color w:val="auto"/>
          <w:sz w:val="24"/>
          <w:highlight w:val="none"/>
        </w:rPr>
        <w:t>5.2.27.</w:t>
      </w:r>
      <w:r>
        <w:rPr>
          <w:rFonts w:ascii="宋体" w:hAnsi="宋体"/>
          <w:color w:val="auto"/>
          <w:sz w:val="24"/>
          <w:highlight w:val="none"/>
        </w:rPr>
        <w:t>3组织编制建设项目工程设计总说明、总图、总概算书。</w:t>
      </w:r>
    </w:p>
    <w:p w14:paraId="1D78FF67">
      <w:pPr>
        <w:spacing w:line="460" w:lineRule="exact"/>
        <w:ind w:firstLine="482"/>
        <w:rPr>
          <w:rFonts w:ascii="宋体" w:hAnsi="宋体"/>
          <w:color w:val="auto"/>
          <w:sz w:val="24"/>
          <w:highlight w:val="none"/>
        </w:rPr>
      </w:pPr>
      <w:r>
        <w:rPr>
          <w:rFonts w:hint="eastAsia" w:ascii="宋体" w:hAnsi="宋体"/>
          <w:color w:val="auto"/>
          <w:sz w:val="24"/>
          <w:highlight w:val="none"/>
        </w:rPr>
        <w:t>5.2.27.</w:t>
      </w:r>
      <w:r>
        <w:rPr>
          <w:rFonts w:ascii="宋体" w:hAnsi="宋体"/>
          <w:color w:val="auto"/>
          <w:sz w:val="24"/>
          <w:highlight w:val="none"/>
        </w:rPr>
        <w:t>4协调工程设计进度,组织各设计单位按照要求提交工程设计文件。</w:t>
      </w:r>
    </w:p>
    <w:p w14:paraId="062983D2">
      <w:pPr>
        <w:spacing w:line="460" w:lineRule="exact"/>
        <w:ind w:firstLine="482"/>
        <w:rPr>
          <w:rFonts w:ascii="宋体" w:hAnsi="宋体"/>
          <w:color w:val="auto"/>
          <w:sz w:val="24"/>
          <w:highlight w:val="none"/>
        </w:rPr>
      </w:pPr>
      <w:r>
        <w:rPr>
          <w:rFonts w:hint="eastAsia" w:ascii="宋体" w:hAnsi="宋体"/>
          <w:color w:val="auto"/>
          <w:sz w:val="24"/>
          <w:highlight w:val="none"/>
        </w:rPr>
        <w:t>5.2.27.</w:t>
      </w:r>
      <w:r>
        <w:rPr>
          <w:rFonts w:ascii="宋体" w:hAnsi="宋体"/>
          <w:color w:val="auto"/>
          <w:sz w:val="24"/>
          <w:highlight w:val="none"/>
        </w:rPr>
        <w:t>5负责协调、完成各项工程设计文件(包含承包人承包范围内的设计、发包人另行发包的专项工程设计、施工单位所做的深化设计等)的衔接设计工作,如: 界面接口、各种专业设备及系统的管线在建筑物内部通道走线平衡设计等。</w:t>
      </w:r>
    </w:p>
    <w:p w14:paraId="7D398D3A">
      <w:pPr>
        <w:spacing w:line="460" w:lineRule="exact"/>
        <w:ind w:firstLine="482"/>
        <w:rPr>
          <w:rFonts w:ascii="宋体" w:hAnsi="宋体"/>
          <w:color w:val="auto"/>
          <w:sz w:val="24"/>
          <w:highlight w:val="none"/>
        </w:rPr>
      </w:pPr>
      <w:r>
        <w:rPr>
          <w:rFonts w:hint="eastAsia" w:ascii="宋体" w:hAnsi="宋体"/>
          <w:color w:val="auto"/>
          <w:sz w:val="24"/>
          <w:highlight w:val="none"/>
        </w:rPr>
        <w:t>5.2.27.</w:t>
      </w:r>
      <w:r>
        <w:rPr>
          <w:rFonts w:ascii="宋体" w:hAnsi="宋体"/>
          <w:color w:val="auto"/>
          <w:sz w:val="24"/>
          <w:highlight w:val="none"/>
        </w:rPr>
        <w:t>6对发包人另行发包的专项工程设计文件和施工单位所做的深化设计文件进行审核并盖章确认。</w:t>
      </w:r>
    </w:p>
    <w:p w14:paraId="204A8EDE">
      <w:pPr>
        <w:spacing w:line="460" w:lineRule="exact"/>
        <w:ind w:firstLine="482"/>
        <w:rPr>
          <w:rFonts w:ascii="宋体" w:hAnsi="宋体"/>
          <w:color w:val="auto"/>
          <w:sz w:val="24"/>
          <w:highlight w:val="none"/>
        </w:rPr>
      </w:pPr>
      <w:r>
        <w:rPr>
          <w:rFonts w:hint="eastAsia" w:ascii="宋体" w:hAnsi="宋体"/>
          <w:color w:val="auto"/>
          <w:sz w:val="24"/>
          <w:highlight w:val="none"/>
        </w:rPr>
        <w:t>5.2.27.</w:t>
      </w:r>
      <w:r>
        <w:rPr>
          <w:rFonts w:ascii="宋体" w:hAnsi="宋体"/>
          <w:color w:val="auto"/>
          <w:sz w:val="24"/>
          <w:highlight w:val="none"/>
        </w:rPr>
        <w:t>7其他设计协调工作:指根据本合同约定,在设计和施工过程中发包人认为有需要应由承包人所做的管理、协调工作,包括与周边地块设计工作的协调。</w:t>
      </w:r>
    </w:p>
    <w:p w14:paraId="7A893F87">
      <w:pPr>
        <w:spacing w:line="460" w:lineRule="exact"/>
        <w:ind w:firstLine="482"/>
        <w:rPr>
          <w:rFonts w:ascii="宋体" w:hAnsi="宋体"/>
          <w:color w:val="auto"/>
          <w:sz w:val="24"/>
          <w:highlight w:val="none"/>
        </w:rPr>
      </w:pPr>
      <w:r>
        <w:rPr>
          <w:rFonts w:hint="eastAsia" w:ascii="宋体" w:hAnsi="宋体"/>
          <w:color w:val="auto"/>
          <w:sz w:val="24"/>
          <w:highlight w:val="none"/>
        </w:rPr>
        <w:t>5.2.27</w:t>
      </w:r>
      <w:r>
        <w:rPr>
          <w:rFonts w:ascii="宋体" w:hAnsi="宋体"/>
          <w:color w:val="auto"/>
          <w:sz w:val="24"/>
          <w:highlight w:val="none"/>
        </w:rPr>
        <w:t>承包人还需完成整体地块的以下工作:</w:t>
      </w:r>
      <w:r>
        <w:rPr>
          <w:rFonts w:hint="eastAsia" w:ascii="宋体" w:hAnsi="宋体"/>
          <w:color w:val="auto"/>
          <w:sz w:val="24"/>
          <w:highlight w:val="none"/>
        </w:rPr>
        <w:t>修建性详细规划设计、修改、调整、完善和协助报审工作；协助综合管线规划报审报批；协助取得人防、水利、水务、地铁、航空、卫生防疫、消防、教育、卫生专业，城管、住建部门、交通部门、卫生局、供电局等专业部门的审查意见；完成面积审核、建筑红线事宜</w:t>
      </w:r>
      <w:r>
        <w:rPr>
          <w:rFonts w:ascii="宋体" w:hAnsi="宋体"/>
          <w:color w:val="auto"/>
          <w:sz w:val="24"/>
          <w:highlight w:val="none"/>
        </w:rPr>
        <w:t>,规划建筑单体方案审查,单体建筑报建；道路、给排水工程施工图报建，协助取得建设工程规划许可证等。</w:t>
      </w:r>
    </w:p>
    <w:p w14:paraId="7D03C220">
      <w:pPr>
        <w:spacing w:line="460" w:lineRule="exact"/>
        <w:ind w:firstLine="482"/>
        <w:rPr>
          <w:rFonts w:ascii="宋体" w:hAnsi="宋体"/>
          <w:color w:val="auto"/>
          <w:sz w:val="24"/>
          <w:highlight w:val="none"/>
        </w:rPr>
      </w:pPr>
      <w:r>
        <w:rPr>
          <w:rFonts w:hint="eastAsia" w:ascii="宋体" w:hAnsi="宋体"/>
          <w:color w:val="auto"/>
          <w:sz w:val="24"/>
          <w:highlight w:val="none"/>
        </w:rPr>
        <w:t>5.2.28</w:t>
      </w:r>
      <w:r>
        <w:rPr>
          <w:rFonts w:ascii="宋体" w:hAnsi="宋体"/>
          <w:color w:val="auto"/>
          <w:sz w:val="24"/>
          <w:highlight w:val="none"/>
        </w:rPr>
        <w:t>参加由政府及主管部门组织召开且与本合同项目设计工作有关的各种会议。</w:t>
      </w:r>
    </w:p>
    <w:p w14:paraId="79E77864">
      <w:pPr>
        <w:spacing w:line="460" w:lineRule="exact"/>
        <w:ind w:firstLine="482"/>
        <w:rPr>
          <w:rFonts w:ascii="宋体" w:hAnsi="宋体"/>
          <w:color w:val="auto"/>
          <w:sz w:val="24"/>
          <w:highlight w:val="none"/>
        </w:rPr>
      </w:pPr>
      <w:r>
        <w:rPr>
          <w:rFonts w:hint="eastAsia" w:ascii="宋体" w:hAnsi="宋体"/>
          <w:color w:val="auto"/>
          <w:sz w:val="24"/>
          <w:highlight w:val="none"/>
        </w:rPr>
        <w:t>5.2.29</w:t>
      </w:r>
      <w:r>
        <w:rPr>
          <w:rFonts w:ascii="宋体" w:hAnsi="宋体"/>
          <w:color w:val="auto"/>
          <w:sz w:val="24"/>
          <w:highlight w:val="none"/>
        </w:rPr>
        <w:t>地震评估、环境评估、防雷评估、风洞试验、振动台试验、消防性能化分析及有关专项试验、研究与论证等不在承包人设计范畴内,但承包人应配合发包人工作。</w:t>
      </w:r>
    </w:p>
    <w:p w14:paraId="6CBAD053">
      <w:pPr>
        <w:spacing w:line="460" w:lineRule="exact"/>
        <w:ind w:firstLine="482"/>
        <w:rPr>
          <w:rFonts w:ascii="宋体" w:hAnsi="宋体"/>
          <w:color w:val="auto"/>
          <w:sz w:val="24"/>
          <w:highlight w:val="none"/>
        </w:rPr>
      </w:pPr>
      <w:r>
        <w:rPr>
          <w:rFonts w:hint="eastAsia" w:ascii="宋体" w:hAnsi="宋体"/>
          <w:color w:val="auto"/>
          <w:sz w:val="24"/>
          <w:highlight w:val="none"/>
        </w:rPr>
        <w:t>5.3</w:t>
      </w:r>
      <w:r>
        <w:rPr>
          <w:rFonts w:ascii="宋体" w:hAnsi="宋体"/>
          <w:color w:val="auto"/>
          <w:sz w:val="24"/>
          <w:highlight w:val="none"/>
        </w:rPr>
        <w:t>本项目外电工程、外水工程、环保工程（含污水处理等）、配套市政工程</w:t>
      </w:r>
      <w:r>
        <w:rPr>
          <w:rFonts w:hint="eastAsia" w:ascii="宋体" w:hAnsi="宋体"/>
          <w:color w:val="auto"/>
          <w:sz w:val="24"/>
          <w:highlight w:val="none"/>
        </w:rPr>
        <w:t>、</w:t>
      </w:r>
      <w:r>
        <w:rPr>
          <w:rFonts w:hint="eastAsia" w:ascii="宋体" w:hAnsi="宋体"/>
          <w:b/>
          <w:bCs/>
          <w:color w:val="auto"/>
          <w:sz w:val="24"/>
          <w:highlight w:val="none"/>
        </w:rPr>
        <w:t>管线迁改工程</w:t>
      </w:r>
      <w:r>
        <w:rPr>
          <w:rFonts w:ascii="宋体" w:hAnsi="宋体"/>
          <w:color w:val="auto"/>
          <w:sz w:val="24"/>
          <w:highlight w:val="none"/>
        </w:rPr>
        <w:t>等专业工程的设计专业要求高，若承包人不具备相应的能力，须根据国家有关规定委托给具有相应资质、能力且获得发包人认可的专业单位实施。专项分包设计费已包含在本合同设计费总额中，发包人不另行支付。且承包人须全面负责管理和协调专业分包单位，对各专项设计的质量、进度负责，专项分包各阶段设计文件须承包人校核确认，并由承包人项目总负责人及专项分包方人员进行会签盖章（设计图要求含有两个单位的图签，双图签出图）。</w:t>
      </w:r>
    </w:p>
    <w:p w14:paraId="5B63A83F">
      <w:pPr>
        <w:spacing w:line="460" w:lineRule="exact"/>
        <w:ind w:firstLine="482"/>
        <w:rPr>
          <w:rFonts w:ascii="宋体" w:hAnsi="宋体"/>
          <w:color w:val="auto"/>
          <w:sz w:val="24"/>
          <w:highlight w:val="none"/>
        </w:rPr>
      </w:pPr>
      <w:r>
        <w:rPr>
          <w:rFonts w:hint="eastAsia" w:ascii="宋体" w:hAnsi="宋体"/>
          <w:color w:val="auto"/>
          <w:sz w:val="24"/>
          <w:highlight w:val="none"/>
        </w:rPr>
        <w:t>对于需要进一步深化设计的专业工程（如钢结构、弱电智能化系统、幕墙等），承包人应在施工图初稿审核阶段，列出清单和深化设计具体要求，报发包人审核确认。经发包人审核确认后，承包人须提供施工图及用于指导深化设计的设计文件和资料（明确系统、设备、材料的技术指标及深化设计范围），并对深化设计成果文件进行完整性、有效性、正确性、可靠性及经济合理性审核，并由承包人项目总负责人及深化设计方人员进行会签盖章（深化设计图要求含有两个单位的图签，双图签出图）。</w:t>
      </w:r>
    </w:p>
    <w:p w14:paraId="2F9640B1">
      <w:pPr>
        <w:spacing w:line="460" w:lineRule="exact"/>
        <w:ind w:firstLine="482"/>
        <w:rPr>
          <w:rFonts w:ascii="宋体" w:hAnsi="宋体"/>
          <w:color w:val="auto"/>
          <w:sz w:val="24"/>
          <w:highlight w:val="none"/>
        </w:rPr>
      </w:pPr>
      <w:r>
        <w:rPr>
          <w:rFonts w:hint="eastAsia" w:ascii="宋体" w:hAnsi="宋体"/>
          <w:color w:val="auto"/>
          <w:sz w:val="24"/>
          <w:highlight w:val="none"/>
        </w:rPr>
        <w:t>5.4</w:t>
      </w:r>
      <w:r>
        <w:rPr>
          <w:rFonts w:ascii="宋体" w:hAnsi="宋体"/>
          <w:color w:val="auto"/>
          <w:sz w:val="24"/>
          <w:highlight w:val="none"/>
        </w:rPr>
        <w:t>配合完成发包人和相关行政主管部门对设计图纸、文件的各类审查工作，负责跟踪各类图纸审查手续、及时对审查意见进行回复或修改完善设计，若发包人或相关行政主管部门要求承包人对修建性详细规划或者方案设计、初步设计、施工图设计、绿色建筑设计等各阶段设计成果的内容、规模、需求、条件作补充和修改，则承包人应无条件按发包人要求进行补充和修改，直至通过发包人确认和相关行政主管部门核准。</w:t>
      </w:r>
    </w:p>
    <w:p w14:paraId="70E23457">
      <w:pPr>
        <w:spacing w:line="460" w:lineRule="exact"/>
        <w:ind w:firstLine="482"/>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负责编制方案投资估算、初步设计概算</w:t>
      </w:r>
      <w:r>
        <w:rPr>
          <w:rFonts w:hint="eastAsia" w:ascii="宋体" w:hAnsi="宋体"/>
          <w:color w:val="auto"/>
          <w:sz w:val="24"/>
          <w:highlight w:val="none"/>
        </w:rPr>
        <w:t>，</w:t>
      </w:r>
      <w:r>
        <w:rPr>
          <w:rFonts w:ascii="宋体" w:hAnsi="宋体"/>
          <w:color w:val="auto"/>
          <w:sz w:val="24"/>
          <w:highlight w:val="none"/>
        </w:rPr>
        <w:t>含拆除、场地平整、管线迁移、临设搭建、征拆补偿等各项工作内容。在保证设计质量的前提下，承包人须在本合同约定项目总投资限额下进行设计</w:t>
      </w:r>
      <w:r>
        <w:rPr>
          <w:rFonts w:hint="eastAsia" w:ascii="宋体" w:hAnsi="宋体"/>
          <w:color w:val="auto"/>
          <w:sz w:val="24"/>
          <w:highlight w:val="none"/>
        </w:rPr>
        <w:t>。承包人应按照批准的可行性研究及估算控制初步设计，按照批准的初步设计概算控制施工图设计。同时各专业在确保达到使用功能的前提下，原则上按照分配的投资限额控制设计，严格控制不合理的设计变更，确保总投资限额不突破。承包人应保证施工图按照概算批复进行限额设计，当发现施工图预算存在超出概算情况时，应及时配合发包人查找原因，必要时进行施工图变更或者修改。</w:t>
      </w:r>
    </w:p>
    <w:p w14:paraId="63449F64">
      <w:pPr>
        <w:spacing w:line="460" w:lineRule="exact"/>
        <w:ind w:firstLine="482"/>
        <w:rPr>
          <w:rFonts w:ascii="宋体" w:hAnsi="宋体"/>
          <w:color w:val="auto"/>
          <w:sz w:val="24"/>
          <w:highlight w:val="none"/>
        </w:rPr>
      </w:pPr>
      <w:r>
        <w:rPr>
          <w:rFonts w:hint="eastAsia" w:ascii="宋体" w:hAnsi="宋体"/>
          <w:color w:val="auto"/>
          <w:sz w:val="24"/>
          <w:highlight w:val="none"/>
        </w:rPr>
        <w:t>5.6</w:t>
      </w:r>
      <w:r>
        <w:rPr>
          <w:rFonts w:ascii="宋体" w:hAnsi="宋体"/>
          <w:color w:val="auto"/>
          <w:sz w:val="24"/>
          <w:highlight w:val="none"/>
        </w:rPr>
        <w:t>按发包人的要求切实落实投资控制目标并根据发包人需要进行设计各阶段项目经济分析，承包人需按发包人要求进行各阶段方案比选、技术选型比选的投资分析、施工阶段的设计变更造价变化分析等，并负责与发包人指定的造价审核机构对接、配合进行相应对数工作；承包人需按发包人要求提供所有相关技术资料配合发包人指定的造价</w:t>
      </w:r>
      <w:r>
        <w:rPr>
          <w:rFonts w:hint="eastAsia" w:ascii="宋体" w:hAnsi="宋体"/>
          <w:color w:val="auto"/>
          <w:sz w:val="24"/>
          <w:highlight w:val="none"/>
        </w:rPr>
        <w:t>审核机构审核施工图预算，并负责配合编制施工阶段设计变更引起的变更预算。</w:t>
      </w:r>
    </w:p>
    <w:p w14:paraId="29F8D1D6">
      <w:pPr>
        <w:spacing w:line="460" w:lineRule="exact"/>
        <w:ind w:firstLine="482"/>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w:t>
      </w:r>
      <w:r>
        <w:rPr>
          <w:rFonts w:hint="eastAsia" w:ascii="宋体" w:hAnsi="宋体"/>
          <w:color w:val="auto"/>
          <w:sz w:val="24"/>
          <w:highlight w:val="none"/>
        </w:rPr>
        <w:t>7</w:t>
      </w:r>
      <w:r>
        <w:rPr>
          <w:rFonts w:ascii="宋体" w:hAnsi="宋体"/>
          <w:color w:val="auto"/>
          <w:sz w:val="24"/>
          <w:highlight w:val="none"/>
        </w:rPr>
        <w:t>承包人</w:t>
      </w:r>
      <w:r>
        <w:rPr>
          <w:rFonts w:hint="eastAsia" w:ascii="宋体" w:hAnsi="宋体"/>
          <w:color w:val="auto"/>
          <w:sz w:val="24"/>
          <w:highlight w:val="none"/>
        </w:rPr>
        <w:t>配合发包人</w:t>
      </w:r>
      <w:r>
        <w:rPr>
          <w:rFonts w:ascii="宋体" w:hAnsi="宋体"/>
          <w:color w:val="auto"/>
          <w:sz w:val="24"/>
          <w:highlight w:val="none"/>
        </w:rPr>
        <w:t>办理本项目各项报建报批工作，包括但不限于建筑方案报建、规划报建、管线综合规划审批、人防报建、消防报建、初步设计审查备案、深基坑审查(如有)、各专业报建、绿色建筑设计评价标识认证（如有）、施工图审查、施工图报建、办理《建设工程规划许可证》等</w:t>
      </w:r>
      <w:r>
        <w:rPr>
          <w:rFonts w:hint="eastAsia" w:ascii="宋体" w:hAnsi="宋体"/>
          <w:color w:val="auto"/>
          <w:sz w:val="24"/>
          <w:highlight w:val="none"/>
        </w:rPr>
        <w:t>及其他行政主管部门规定所需的报批报建工作</w:t>
      </w:r>
      <w:r>
        <w:rPr>
          <w:rFonts w:ascii="宋体" w:hAnsi="宋体"/>
          <w:color w:val="auto"/>
          <w:sz w:val="24"/>
          <w:highlight w:val="none"/>
        </w:rPr>
        <w:t>。</w:t>
      </w:r>
    </w:p>
    <w:p w14:paraId="5D8734F3">
      <w:pPr>
        <w:spacing w:line="460" w:lineRule="exact"/>
        <w:ind w:firstLine="482"/>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w:t>
      </w:r>
      <w:r>
        <w:rPr>
          <w:rFonts w:hint="eastAsia" w:ascii="宋体" w:hAnsi="宋体"/>
          <w:color w:val="auto"/>
          <w:sz w:val="24"/>
          <w:highlight w:val="none"/>
        </w:rPr>
        <w:t>8</w:t>
      </w:r>
      <w:r>
        <w:rPr>
          <w:rFonts w:ascii="宋体" w:hAnsi="宋体"/>
          <w:color w:val="auto"/>
          <w:sz w:val="24"/>
          <w:highlight w:val="none"/>
        </w:rPr>
        <w:t xml:space="preserve">优化提升设计： </w:t>
      </w:r>
    </w:p>
    <w:p w14:paraId="3C931DEF">
      <w:pPr>
        <w:spacing w:line="460" w:lineRule="exact"/>
        <w:ind w:firstLine="482"/>
        <w:rPr>
          <w:rFonts w:ascii="宋体" w:hAnsi="宋体"/>
          <w:color w:val="auto"/>
          <w:sz w:val="24"/>
          <w:highlight w:val="none"/>
        </w:rPr>
      </w:pPr>
      <w:r>
        <w:rPr>
          <w:rFonts w:hint="eastAsia" w:ascii="宋体" w:hAnsi="宋体"/>
          <w:color w:val="auto"/>
          <w:sz w:val="24"/>
          <w:highlight w:val="none"/>
        </w:rPr>
        <w:t>承包人应无条件服从发包人产品定位及优化提升的策划内容，在设计、施工、竣工验收及结算等各阶段对项目优化提升提供技术支持及相应设计成果，包括但不限于：建筑布局、使用功能、空间形式、结构布置、设备管线、配套设施及内外墙优化布置、装饰装修、幕墙、园林绿化、停车场交通划线、标识系统设计、管线综合设计等方面，提供专业技术指导意见，编制并提交相应优化提升设计技术文件。</w:t>
      </w:r>
    </w:p>
    <w:p w14:paraId="1D7066F4">
      <w:pPr>
        <w:spacing w:line="460" w:lineRule="exact"/>
        <w:ind w:firstLine="482"/>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w:t>
      </w:r>
      <w:r>
        <w:rPr>
          <w:rFonts w:hint="eastAsia" w:ascii="宋体" w:hAnsi="宋体"/>
          <w:color w:val="auto"/>
          <w:sz w:val="24"/>
          <w:highlight w:val="none"/>
        </w:rPr>
        <w:t>9</w:t>
      </w:r>
      <w:r>
        <w:rPr>
          <w:rFonts w:ascii="宋体" w:hAnsi="宋体"/>
          <w:color w:val="auto"/>
          <w:sz w:val="24"/>
          <w:highlight w:val="none"/>
        </w:rPr>
        <w:t>负责配合发包人开展该项目的各类招标（或采购）工作，提供招标用图纸，编制招标技术规范，按发包人要求书面提供招标（或采购）技术需求建议、技术咨询报告，以及必要的设计资料和设计计算书；负责提供各主要设备材料采购清单、编制技术要求文件、提供选用品牌推荐建议及配合发包人进行预询价、技术谈判，对设备材料订货有关性能、参数、规格进行技术确认，以及协助参与对己订设备、材料的验收工作。</w:t>
      </w:r>
    </w:p>
    <w:p w14:paraId="033209C4">
      <w:pPr>
        <w:spacing w:line="460" w:lineRule="exact"/>
        <w:ind w:firstLine="482"/>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w:t>
      </w:r>
      <w:r>
        <w:rPr>
          <w:rFonts w:hint="eastAsia" w:ascii="宋体" w:hAnsi="宋体"/>
          <w:color w:val="auto"/>
          <w:sz w:val="24"/>
          <w:highlight w:val="none"/>
        </w:rPr>
        <w:t>10</w:t>
      </w:r>
      <w:r>
        <w:rPr>
          <w:rFonts w:ascii="宋体" w:hAnsi="宋体"/>
          <w:color w:val="auto"/>
          <w:sz w:val="24"/>
          <w:highlight w:val="none"/>
        </w:rPr>
        <w:t>负责配合发包人</w:t>
      </w:r>
      <w:r>
        <w:rPr>
          <w:rFonts w:hint="eastAsia" w:ascii="宋体" w:hAnsi="宋体"/>
          <w:color w:val="auto"/>
          <w:sz w:val="24"/>
          <w:highlight w:val="none"/>
        </w:rPr>
        <w:t>对各阶段勘察设计文件进行内部审查。发包人将采用内部审查会议、专家评审会、专项评审会、委托设计咨询等形式开展内部审查，审查会议的时间由发包人根据勘察设计进展情况发出会议通知。承包人负责按照发包人要求组织勘察设计文件审查会议，专家费、会议费等相关费用含在合同价款中，发包人不另行支付。</w:t>
      </w:r>
    </w:p>
    <w:p w14:paraId="0216A4C4">
      <w:pPr>
        <w:spacing w:line="460" w:lineRule="exact"/>
        <w:ind w:firstLine="482"/>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w:t>
      </w:r>
      <w:r>
        <w:rPr>
          <w:rFonts w:hint="eastAsia" w:ascii="宋体" w:hAnsi="宋体"/>
          <w:color w:val="auto"/>
          <w:sz w:val="24"/>
          <w:highlight w:val="none"/>
        </w:rPr>
        <w:t>11承包人应按照发包人要求，主动对接和协调行政主管部门和相关单位，确保项目设计条件的有效落地。</w:t>
      </w:r>
    </w:p>
    <w:p w14:paraId="05541FA2">
      <w:pPr>
        <w:spacing w:line="460" w:lineRule="exact"/>
        <w:ind w:firstLine="482"/>
        <w:rPr>
          <w:rFonts w:ascii="宋体" w:hAnsi="宋体"/>
          <w:b/>
          <w:bCs/>
          <w:color w:val="auto"/>
          <w:sz w:val="24"/>
          <w:highlight w:val="none"/>
        </w:rPr>
      </w:pPr>
      <w:r>
        <w:rPr>
          <w:rFonts w:hint="eastAsia" w:ascii="宋体" w:hAnsi="宋体"/>
          <w:color w:val="auto"/>
          <w:sz w:val="24"/>
          <w:highlight w:val="none"/>
        </w:rPr>
        <w:t>5</w:t>
      </w:r>
      <w:r>
        <w:rPr>
          <w:rFonts w:ascii="宋体" w:hAnsi="宋体"/>
          <w:color w:val="auto"/>
          <w:sz w:val="24"/>
          <w:highlight w:val="none"/>
        </w:rPr>
        <w:t>.</w:t>
      </w:r>
      <w:r>
        <w:rPr>
          <w:rFonts w:hint="eastAsia" w:ascii="宋体" w:hAnsi="宋体"/>
          <w:color w:val="auto"/>
          <w:sz w:val="24"/>
          <w:highlight w:val="none"/>
        </w:rPr>
        <w:t>12根据发包人确定的方案，制作可多维度展示、带灯光的项目全景沙盘模型，模型尺寸不小于3m×4m。其中，重点部位可视情况进行单独展示。相关费用含在合同价款中，发包人不另行支付。</w:t>
      </w:r>
    </w:p>
    <w:p w14:paraId="0F6A3A0B">
      <w:pPr>
        <w:spacing w:before="62" w:beforeLines="20" w:after="62" w:afterLines="20" w:line="460" w:lineRule="exact"/>
        <w:ind w:firstLine="482" w:firstLineChars="200"/>
        <w:rPr>
          <w:rFonts w:eastAsia="黑体"/>
          <w:b/>
          <w:bCs/>
          <w:color w:val="auto"/>
          <w:sz w:val="24"/>
          <w:highlight w:val="none"/>
        </w:rPr>
      </w:pPr>
      <w:r>
        <w:rPr>
          <w:rFonts w:hint="eastAsia" w:eastAsia="黑体"/>
          <w:b/>
          <w:bCs/>
          <w:color w:val="auto"/>
          <w:sz w:val="24"/>
          <w:highlight w:val="none"/>
        </w:rPr>
        <w:t>第六条</w:t>
      </w:r>
      <w:r>
        <w:rPr>
          <w:rFonts w:hint="eastAsia" w:eastAsia="黑体"/>
          <w:b/>
          <w:bCs/>
          <w:color w:val="auto"/>
          <w:sz w:val="24"/>
          <w:highlight w:val="none"/>
        </w:rPr>
        <w:tab/>
      </w:r>
      <w:r>
        <w:rPr>
          <w:rFonts w:hint="eastAsia" w:eastAsia="黑体"/>
          <w:b/>
          <w:bCs/>
          <w:color w:val="auto"/>
          <w:sz w:val="24"/>
          <w:highlight w:val="none"/>
        </w:rPr>
        <w:t xml:space="preserve"> 发包人向承包人提交的有关资料、文件及时间</w:t>
      </w:r>
    </w:p>
    <w:tbl>
      <w:tblPr>
        <w:tblStyle w:val="10"/>
        <w:tblW w:w="9027"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840"/>
        <w:gridCol w:w="2085"/>
        <w:gridCol w:w="1650"/>
        <w:gridCol w:w="3375"/>
        <w:gridCol w:w="1077"/>
      </w:tblGrid>
      <w:tr w14:paraId="3459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77" w:hRule="atLeast"/>
        </w:trPr>
        <w:tc>
          <w:tcPr>
            <w:tcW w:w="840" w:type="dxa"/>
            <w:vAlign w:val="center"/>
          </w:tcPr>
          <w:p w14:paraId="7CFA086E">
            <w:pPr>
              <w:snapToGrid w:val="0"/>
              <w:spacing w:line="460" w:lineRule="exact"/>
              <w:jc w:val="center"/>
              <w:rPr>
                <w:rFonts w:ascii="宋体" w:hAnsi="宋体"/>
                <w:color w:val="auto"/>
                <w:szCs w:val="21"/>
                <w:highlight w:val="none"/>
              </w:rPr>
            </w:pPr>
            <w:r>
              <w:rPr>
                <w:rFonts w:hint="eastAsia" w:ascii="宋体" w:hAnsi="宋体"/>
                <w:color w:val="auto"/>
                <w:szCs w:val="21"/>
                <w:highlight w:val="none"/>
              </w:rPr>
              <w:t>序号</w:t>
            </w:r>
          </w:p>
        </w:tc>
        <w:tc>
          <w:tcPr>
            <w:tcW w:w="2085" w:type="dxa"/>
            <w:vAlign w:val="center"/>
          </w:tcPr>
          <w:p w14:paraId="7EF85193">
            <w:pPr>
              <w:snapToGrid w:val="0"/>
              <w:spacing w:line="460" w:lineRule="exact"/>
              <w:jc w:val="center"/>
              <w:rPr>
                <w:rFonts w:ascii="宋体" w:hAnsi="宋体"/>
                <w:color w:val="auto"/>
                <w:szCs w:val="21"/>
                <w:highlight w:val="none"/>
              </w:rPr>
            </w:pPr>
            <w:r>
              <w:rPr>
                <w:rFonts w:hint="eastAsia" w:ascii="宋体" w:hAnsi="宋体"/>
                <w:color w:val="auto"/>
                <w:szCs w:val="21"/>
                <w:highlight w:val="none"/>
              </w:rPr>
              <w:t>资料及文件名称</w:t>
            </w:r>
          </w:p>
        </w:tc>
        <w:tc>
          <w:tcPr>
            <w:tcW w:w="1650" w:type="dxa"/>
            <w:vAlign w:val="center"/>
          </w:tcPr>
          <w:p w14:paraId="7F74151C">
            <w:pPr>
              <w:snapToGrid w:val="0"/>
              <w:spacing w:line="460" w:lineRule="exact"/>
              <w:ind w:firstLine="482"/>
              <w:rPr>
                <w:rFonts w:ascii="宋体" w:hAnsi="宋体"/>
                <w:color w:val="auto"/>
                <w:szCs w:val="21"/>
                <w:highlight w:val="none"/>
              </w:rPr>
            </w:pPr>
            <w:r>
              <w:rPr>
                <w:rFonts w:hint="eastAsia" w:ascii="宋体" w:hAnsi="宋体"/>
                <w:color w:val="auto"/>
                <w:szCs w:val="21"/>
                <w:highlight w:val="none"/>
              </w:rPr>
              <w:t>份数</w:t>
            </w:r>
          </w:p>
        </w:tc>
        <w:tc>
          <w:tcPr>
            <w:tcW w:w="3375" w:type="dxa"/>
            <w:vAlign w:val="center"/>
          </w:tcPr>
          <w:p w14:paraId="584F4167">
            <w:pPr>
              <w:snapToGrid w:val="0"/>
              <w:spacing w:line="460" w:lineRule="exact"/>
              <w:jc w:val="center"/>
              <w:rPr>
                <w:rFonts w:ascii="宋体" w:hAnsi="宋体"/>
                <w:color w:val="auto"/>
                <w:szCs w:val="21"/>
                <w:highlight w:val="none"/>
              </w:rPr>
            </w:pPr>
            <w:r>
              <w:rPr>
                <w:rFonts w:hint="eastAsia" w:ascii="宋体" w:hAnsi="宋体"/>
                <w:color w:val="auto"/>
                <w:szCs w:val="21"/>
                <w:highlight w:val="none"/>
              </w:rPr>
              <w:t>提交日期</w:t>
            </w:r>
          </w:p>
        </w:tc>
        <w:tc>
          <w:tcPr>
            <w:tcW w:w="1077" w:type="dxa"/>
            <w:vAlign w:val="center"/>
          </w:tcPr>
          <w:p w14:paraId="0058A0C3">
            <w:pPr>
              <w:snapToGrid w:val="0"/>
              <w:spacing w:line="460" w:lineRule="exact"/>
              <w:jc w:val="center"/>
              <w:rPr>
                <w:rFonts w:ascii="宋体" w:hAnsi="宋体"/>
                <w:color w:val="auto"/>
                <w:szCs w:val="21"/>
                <w:highlight w:val="none"/>
              </w:rPr>
            </w:pPr>
            <w:r>
              <w:rPr>
                <w:rFonts w:hint="eastAsia" w:ascii="宋体" w:hAnsi="宋体"/>
                <w:color w:val="auto"/>
                <w:szCs w:val="21"/>
                <w:highlight w:val="none"/>
              </w:rPr>
              <w:t>有关事宜</w:t>
            </w:r>
          </w:p>
        </w:tc>
      </w:tr>
      <w:tr w14:paraId="4569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Height w:val="850" w:hRule="atLeast"/>
        </w:trPr>
        <w:tc>
          <w:tcPr>
            <w:tcW w:w="840" w:type="dxa"/>
            <w:vAlign w:val="center"/>
          </w:tcPr>
          <w:p w14:paraId="3C57F31F">
            <w:pPr>
              <w:snapToGrid w:val="0"/>
              <w:spacing w:line="460" w:lineRule="exact"/>
              <w:jc w:val="center"/>
              <w:rPr>
                <w:rFonts w:ascii="宋体" w:hAnsi="宋体"/>
                <w:color w:val="auto"/>
                <w:szCs w:val="21"/>
                <w:highlight w:val="none"/>
              </w:rPr>
            </w:pPr>
            <w:r>
              <w:rPr>
                <w:rFonts w:hint="eastAsia" w:ascii="宋体" w:hAnsi="宋体"/>
                <w:color w:val="auto"/>
                <w:szCs w:val="21"/>
                <w:highlight w:val="none"/>
              </w:rPr>
              <w:t>1</w:t>
            </w:r>
          </w:p>
        </w:tc>
        <w:tc>
          <w:tcPr>
            <w:tcW w:w="2085" w:type="dxa"/>
            <w:vAlign w:val="center"/>
          </w:tcPr>
          <w:p w14:paraId="76E1C4E4">
            <w:pPr>
              <w:snapToGrid w:val="0"/>
              <w:spacing w:before="100" w:after="100" w:line="460" w:lineRule="exact"/>
              <w:jc w:val="center"/>
              <w:rPr>
                <w:rFonts w:ascii="宋体" w:hAnsi="宋体"/>
                <w:color w:val="auto"/>
                <w:szCs w:val="21"/>
                <w:highlight w:val="none"/>
              </w:rPr>
            </w:pPr>
            <w:r>
              <w:rPr>
                <w:rFonts w:hint="eastAsia" w:ascii="宋体" w:hAnsi="宋体"/>
                <w:color w:val="auto"/>
                <w:szCs w:val="21"/>
                <w:highlight w:val="none"/>
              </w:rPr>
              <w:t>中标通知书</w:t>
            </w:r>
          </w:p>
        </w:tc>
        <w:tc>
          <w:tcPr>
            <w:tcW w:w="1650" w:type="dxa"/>
            <w:vAlign w:val="center"/>
          </w:tcPr>
          <w:p w14:paraId="029D2FF6">
            <w:pPr>
              <w:snapToGrid w:val="0"/>
              <w:spacing w:line="460" w:lineRule="exact"/>
              <w:jc w:val="center"/>
              <w:rPr>
                <w:rFonts w:ascii="宋体" w:hAnsi="宋体"/>
                <w:color w:val="auto"/>
                <w:szCs w:val="21"/>
                <w:highlight w:val="none"/>
              </w:rPr>
            </w:pPr>
            <w:r>
              <w:rPr>
                <w:rFonts w:hint="eastAsia" w:ascii="宋体" w:hAnsi="宋体"/>
                <w:color w:val="auto"/>
                <w:szCs w:val="21"/>
                <w:highlight w:val="none"/>
              </w:rPr>
              <w:t>1</w:t>
            </w:r>
          </w:p>
        </w:tc>
        <w:tc>
          <w:tcPr>
            <w:tcW w:w="3375" w:type="dxa"/>
            <w:vMerge w:val="restart"/>
            <w:vAlign w:val="center"/>
          </w:tcPr>
          <w:p w14:paraId="7C1A339D">
            <w:pPr>
              <w:snapToGrid w:val="0"/>
              <w:spacing w:line="460" w:lineRule="exact"/>
              <w:rPr>
                <w:rFonts w:ascii="宋体" w:hAnsi="宋体"/>
                <w:color w:val="auto"/>
                <w:szCs w:val="21"/>
                <w:highlight w:val="none"/>
              </w:rPr>
            </w:pPr>
            <w:r>
              <w:rPr>
                <w:rFonts w:hint="eastAsia" w:ascii="宋体" w:hAnsi="宋体"/>
                <w:color w:val="auto"/>
                <w:szCs w:val="21"/>
                <w:highlight w:val="none"/>
              </w:rPr>
              <w:t>按发包人要求（若因发包人或经发包人同意的原因调整计划，则提交时间作相应调整）</w:t>
            </w:r>
          </w:p>
        </w:tc>
        <w:tc>
          <w:tcPr>
            <w:tcW w:w="1077" w:type="dxa"/>
            <w:vAlign w:val="center"/>
          </w:tcPr>
          <w:p w14:paraId="0C70065D">
            <w:pPr>
              <w:snapToGrid w:val="0"/>
              <w:spacing w:line="460" w:lineRule="exact"/>
              <w:ind w:firstLine="482"/>
              <w:jc w:val="center"/>
              <w:rPr>
                <w:rFonts w:ascii="宋体" w:hAnsi="宋体"/>
                <w:color w:val="auto"/>
                <w:szCs w:val="21"/>
                <w:highlight w:val="none"/>
              </w:rPr>
            </w:pPr>
          </w:p>
        </w:tc>
      </w:tr>
      <w:tr w14:paraId="6D43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Height w:val="765" w:hRule="atLeast"/>
        </w:trPr>
        <w:tc>
          <w:tcPr>
            <w:tcW w:w="840" w:type="dxa"/>
            <w:vAlign w:val="center"/>
          </w:tcPr>
          <w:p w14:paraId="4FEE9594">
            <w:pPr>
              <w:snapToGrid w:val="0"/>
              <w:spacing w:line="460" w:lineRule="exact"/>
              <w:jc w:val="center"/>
              <w:rPr>
                <w:rFonts w:ascii="宋体" w:hAnsi="宋体"/>
                <w:color w:val="auto"/>
                <w:szCs w:val="21"/>
                <w:highlight w:val="none"/>
              </w:rPr>
            </w:pPr>
            <w:r>
              <w:rPr>
                <w:rFonts w:hint="eastAsia" w:ascii="宋体" w:hAnsi="宋体"/>
                <w:color w:val="auto"/>
                <w:szCs w:val="21"/>
                <w:highlight w:val="none"/>
              </w:rPr>
              <w:t>2</w:t>
            </w:r>
          </w:p>
        </w:tc>
        <w:tc>
          <w:tcPr>
            <w:tcW w:w="2085" w:type="dxa"/>
            <w:vAlign w:val="center"/>
          </w:tcPr>
          <w:p w14:paraId="78A73B24">
            <w:pPr>
              <w:snapToGrid w:val="0"/>
              <w:spacing w:before="100" w:after="100" w:line="460" w:lineRule="exact"/>
              <w:jc w:val="center"/>
              <w:rPr>
                <w:rFonts w:ascii="宋体" w:hAnsi="宋体"/>
                <w:color w:val="auto"/>
                <w:szCs w:val="21"/>
                <w:highlight w:val="none"/>
              </w:rPr>
            </w:pPr>
            <w:r>
              <w:rPr>
                <w:rFonts w:hint="eastAsia" w:ascii="宋体" w:hAnsi="宋体"/>
                <w:color w:val="auto"/>
                <w:szCs w:val="21"/>
                <w:highlight w:val="none"/>
              </w:rPr>
              <w:t>其他相关材料</w:t>
            </w:r>
          </w:p>
        </w:tc>
        <w:tc>
          <w:tcPr>
            <w:tcW w:w="1650" w:type="dxa"/>
            <w:vAlign w:val="center"/>
          </w:tcPr>
          <w:p w14:paraId="68943696">
            <w:pPr>
              <w:snapToGrid w:val="0"/>
              <w:spacing w:line="460" w:lineRule="exact"/>
              <w:jc w:val="center"/>
              <w:rPr>
                <w:rFonts w:ascii="宋体" w:hAnsi="宋体"/>
                <w:color w:val="auto"/>
                <w:szCs w:val="21"/>
                <w:highlight w:val="none"/>
              </w:rPr>
            </w:pPr>
            <w:r>
              <w:rPr>
                <w:rFonts w:hint="eastAsia" w:ascii="宋体" w:hAnsi="宋体"/>
                <w:color w:val="auto"/>
                <w:szCs w:val="21"/>
                <w:highlight w:val="none"/>
              </w:rPr>
              <w:t>1</w:t>
            </w:r>
          </w:p>
        </w:tc>
        <w:tc>
          <w:tcPr>
            <w:tcW w:w="3375" w:type="dxa"/>
            <w:vMerge w:val="continue"/>
            <w:vAlign w:val="center"/>
          </w:tcPr>
          <w:p w14:paraId="004CA457">
            <w:pPr>
              <w:snapToGrid w:val="0"/>
              <w:spacing w:line="460" w:lineRule="exact"/>
              <w:ind w:firstLine="482"/>
              <w:jc w:val="center"/>
              <w:rPr>
                <w:rFonts w:ascii="宋体" w:hAnsi="宋体"/>
                <w:color w:val="auto"/>
                <w:szCs w:val="21"/>
                <w:highlight w:val="none"/>
              </w:rPr>
            </w:pPr>
          </w:p>
        </w:tc>
        <w:tc>
          <w:tcPr>
            <w:tcW w:w="1077" w:type="dxa"/>
            <w:vAlign w:val="center"/>
          </w:tcPr>
          <w:p w14:paraId="499332B8">
            <w:pPr>
              <w:snapToGrid w:val="0"/>
              <w:spacing w:line="460" w:lineRule="exact"/>
              <w:ind w:firstLine="482"/>
              <w:jc w:val="center"/>
              <w:rPr>
                <w:rFonts w:ascii="宋体" w:hAnsi="宋体"/>
                <w:color w:val="auto"/>
                <w:szCs w:val="21"/>
                <w:highlight w:val="none"/>
              </w:rPr>
            </w:pPr>
          </w:p>
        </w:tc>
      </w:tr>
    </w:tbl>
    <w:p w14:paraId="4DD2BB35">
      <w:pPr>
        <w:spacing w:before="62" w:beforeLines="20" w:after="62" w:afterLines="20" w:line="460" w:lineRule="exact"/>
        <w:ind w:firstLine="482" w:firstLineChars="200"/>
        <w:rPr>
          <w:rFonts w:eastAsia="黑体"/>
          <w:b/>
          <w:bCs/>
          <w:color w:val="auto"/>
          <w:sz w:val="24"/>
          <w:highlight w:val="none"/>
        </w:rPr>
      </w:pPr>
      <w:r>
        <w:rPr>
          <w:rFonts w:hint="eastAsia" w:eastAsia="黑体"/>
          <w:b/>
          <w:bCs/>
          <w:color w:val="auto"/>
          <w:sz w:val="24"/>
          <w:highlight w:val="none"/>
        </w:rPr>
        <w:t>第七条</w:t>
      </w:r>
      <w:r>
        <w:rPr>
          <w:rFonts w:hint="eastAsia" w:eastAsia="黑体"/>
          <w:b/>
          <w:bCs/>
          <w:color w:val="auto"/>
          <w:sz w:val="24"/>
          <w:highlight w:val="none"/>
        </w:rPr>
        <w:tab/>
      </w:r>
      <w:r>
        <w:rPr>
          <w:rFonts w:hint="eastAsia" w:eastAsia="黑体"/>
          <w:b/>
          <w:bCs/>
          <w:color w:val="auto"/>
          <w:sz w:val="24"/>
          <w:highlight w:val="none"/>
        </w:rPr>
        <w:t xml:space="preserve"> 承包人向发包人交付的设计文件及勘察成果文件份数、内容要求、时间</w:t>
      </w:r>
    </w:p>
    <w:p w14:paraId="2944D019">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.1承包人须严格按本合同约定的工作时限，向发包人书面提交勘察设计及报建报批成果文件，并按照发包人要求提供相关服务。</w:t>
      </w:r>
    </w:p>
    <w:p w14:paraId="0307BAAF">
      <w:pPr>
        <w:spacing w:line="460" w:lineRule="exact"/>
        <w:ind w:firstLine="480" w:firstLineChars="200"/>
        <w:rPr>
          <w:rFonts w:ascii="宋体" w:hAnsi="宋体"/>
          <w:color w:val="auto"/>
          <w:sz w:val="24"/>
          <w:highlight w:val="none"/>
        </w:rPr>
      </w:pPr>
      <w:r>
        <w:rPr>
          <w:rFonts w:ascii="宋体" w:hAnsi="宋体"/>
          <w:color w:val="auto"/>
          <w:sz w:val="24"/>
          <w:highlight w:val="none"/>
        </w:rPr>
        <w:t>7.2</w:t>
      </w:r>
      <w:r>
        <w:rPr>
          <w:rFonts w:hint="eastAsia" w:ascii="宋体" w:hAnsi="宋体"/>
          <w:color w:val="auto"/>
          <w:sz w:val="24"/>
          <w:highlight w:val="none"/>
        </w:rPr>
        <w:t>承包人提交的</w:t>
      </w:r>
      <w:r>
        <w:rPr>
          <w:rFonts w:ascii="宋体" w:hAnsi="宋体"/>
          <w:color w:val="auto"/>
          <w:sz w:val="24"/>
          <w:highlight w:val="none"/>
        </w:rPr>
        <w:t>设计图纸包括修建性详细规划设计图、方案设计图、初步设计图、各类项目所需报建图及电子文件、施工图、优化提升设计</w:t>
      </w:r>
      <w:r>
        <w:rPr>
          <w:rFonts w:hint="eastAsia" w:ascii="宋体" w:hAnsi="宋体"/>
          <w:color w:val="auto"/>
          <w:sz w:val="24"/>
          <w:highlight w:val="none"/>
        </w:rPr>
        <w:t>、竣工图等</w:t>
      </w:r>
      <w:r>
        <w:rPr>
          <w:rFonts w:ascii="宋体" w:hAnsi="宋体"/>
          <w:color w:val="auto"/>
          <w:sz w:val="24"/>
          <w:highlight w:val="none"/>
        </w:rPr>
        <w:t>；概算文件包含方案估算、初步设计概算；设计文件包括设计各阶段的设计总图、总设计说明、工程项目及主要设备材料及其他技术参数汇总表、各施工阶段所需设计图纸（必须含各单体综合管线平衡图）、配合各专业工程招标技术规范、工程量清单以及必要的设计资料和设计计算书。交付设计文件和资料时应附带详细清单。</w:t>
      </w:r>
      <w:r>
        <w:rPr>
          <w:rFonts w:hint="eastAsia" w:ascii="宋体" w:hAnsi="宋体"/>
          <w:color w:val="auto"/>
          <w:sz w:val="24"/>
          <w:highlight w:val="none"/>
        </w:rPr>
        <w:t>承包人提交的</w:t>
      </w:r>
      <w:r>
        <w:rPr>
          <w:rFonts w:ascii="宋体" w:hAnsi="宋体"/>
          <w:color w:val="auto"/>
          <w:sz w:val="24"/>
          <w:highlight w:val="none"/>
        </w:rPr>
        <w:t>设计成果文件应包括且不限于以下内容：</w:t>
      </w:r>
    </w:p>
    <w:p w14:paraId="02C7D67D">
      <w:pPr>
        <w:spacing w:line="460" w:lineRule="exact"/>
        <w:ind w:firstLine="480" w:firstLineChars="200"/>
        <w:rPr>
          <w:rFonts w:ascii="宋体" w:hAnsi="宋体"/>
          <w:color w:val="auto"/>
          <w:sz w:val="24"/>
          <w:highlight w:val="none"/>
        </w:rPr>
      </w:pPr>
      <w:r>
        <w:rPr>
          <w:rFonts w:ascii="宋体" w:hAnsi="宋体"/>
          <w:color w:val="auto"/>
          <w:sz w:val="24"/>
          <w:highlight w:val="none"/>
        </w:rPr>
        <w:t>7.2.1方案设计阶段的成果文件及工作要求</w:t>
      </w:r>
    </w:p>
    <w:p w14:paraId="256C0AB8">
      <w:pPr>
        <w:spacing w:line="460" w:lineRule="exact"/>
        <w:ind w:firstLine="480" w:firstLineChars="200"/>
        <w:rPr>
          <w:rFonts w:ascii="宋体" w:hAnsi="宋体"/>
          <w:color w:val="auto"/>
          <w:sz w:val="24"/>
          <w:highlight w:val="none"/>
        </w:rPr>
      </w:pPr>
      <w:r>
        <w:rPr>
          <w:rFonts w:ascii="宋体" w:hAnsi="宋体"/>
          <w:color w:val="auto"/>
          <w:sz w:val="24"/>
          <w:highlight w:val="none"/>
        </w:rPr>
        <w:t>7.2.1.1 方案设计阶段的成果文件</w:t>
      </w:r>
    </w:p>
    <w:p w14:paraId="65864D36">
      <w:pPr>
        <w:spacing w:line="46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1</w:t>
      </w:r>
      <w:r>
        <w:rPr>
          <w:rFonts w:ascii="宋体" w:hAnsi="宋体"/>
          <w:color w:val="auto"/>
          <w:sz w:val="24"/>
          <w:highlight w:val="none"/>
        </w:rPr>
        <w:t>）联审决策</w:t>
      </w:r>
      <w:r>
        <w:rPr>
          <w:rFonts w:hint="eastAsia" w:ascii="宋体" w:hAnsi="宋体"/>
          <w:color w:val="auto"/>
          <w:sz w:val="24"/>
          <w:highlight w:val="none"/>
        </w:rPr>
        <w:t>阶段建设方案成果</w:t>
      </w:r>
    </w:p>
    <w:p w14:paraId="19472F42">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承包人按照行政主管部门和联审决策流程相关要求，提供协同会审、联合评审及联审决策各阶段所需的建设方案，并根据相关审核意见进行相应修改。相关设计成果文件包括但不限于以下内容：</w:t>
      </w:r>
    </w:p>
    <w:p w14:paraId="42EBB5DD">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项目建设方案及汇报材料；总体设计图；关键节点方案；各专项设计方案；管线综合布置方案；建设规模和投资估算对比分析表等。</w:t>
      </w:r>
    </w:p>
    <w:p w14:paraId="79B3AA6C">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1）总体方案设计图</w:t>
      </w:r>
    </w:p>
    <w:p w14:paraId="346D36FA">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承包人按照规划主管部门的规划报建及发包人要求</w:t>
      </w:r>
      <w:r>
        <w:rPr>
          <w:rFonts w:ascii="宋体" w:hAnsi="宋体"/>
          <w:color w:val="auto"/>
          <w:sz w:val="24"/>
          <w:highlight w:val="none"/>
        </w:rPr>
        <w:t>,提供</w:t>
      </w:r>
      <w:r>
        <w:rPr>
          <w:rFonts w:hint="eastAsia" w:ascii="宋体" w:hAnsi="宋体"/>
          <w:color w:val="auto"/>
          <w:sz w:val="24"/>
          <w:highlight w:val="none"/>
        </w:rPr>
        <w:t>行政主管部门及发包人</w:t>
      </w:r>
      <w:r>
        <w:rPr>
          <w:rFonts w:ascii="宋体" w:hAnsi="宋体"/>
          <w:color w:val="auto"/>
          <w:sz w:val="24"/>
          <w:highlight w:val="none"/>
        </w:rPr>
        <w:t>所需相关设计成果文件</w:t>
      </w:r>
      <w:r>
        <w:rPr>
          <w:rFonts w:hint="eastAsia" w:ascii="宋体" w:hAnsi="宋体"/>
          <w:color w:val="auto"/>
          <w:sz w:val="24"/>
          <w:highlight w:val="none"/>
        </w:rPr>
        <w:t>和审核</w:t>
      </w:r>
      <w:r>
        <w:rPr>
          <w:rFonts w:ascii="宋体" w:hAnsi="宋体"/>
          <w:color w:val="auto"/>
          <w:sz w:val="24"/>
          <w:highlight w:val="none"/>
        </w:rPr>
        <w:t>意见</w:t>
      </w:r>
      <w:r>
        <w:rPr>
          <w:rFonts w:hint="eastAsia" w:ascii="宋体" w:hAnsi="宋体"/>
          <w:color w:val="auto"/>
          <w:sz w:val="24"/>
          <w:highlight w:val="none"/>
        </w:rPr>
        <w:t>等</w:t>
      </w:r>
      <w:r>
        <w:rPr>
          <w:rFonts w:ascii="宋体" w:hAnsi="宋体"/>
          <w:color w:val="auto"/>
          <w:sz w:val="24"/>
          <w:highlight w:val="none"/>
        </w:rPr>
        <w:t>对设计成果文件进行相应修改。相关设计成果文件包括但不限于以下内容:</w:t>
      </w:r>
    </w:p>
    <w:p w14:paraId="066C819C">
      <w:pPr>
        <w:spacing w:line="460" w:lineRule="exact"/>
        <w:ind w:firstLine="480" w:firstLineChars="200"/>
        <w:rPr>
          <w:rFonts w:ascii="宋体" w:hAnsi="宋体"/>
          <w:color w:val="auto"/>
          <w:sz w:val="24"/>
          <w:highlight w:val="none"/>
        </w:rPr>
      </w:pPr>
      <w:r>
        <w:rPr>
          <w:rFonts w:ascii="宋体" w:hAnsi="宋体"/>
          <w:color w:val="auto"/>
          <w:sz w:val="24"/>
          <w:highlight w:val="none"/>
        </w:rPr>
        <w:t>基地区位图</w:t>
      </w:r>
      <w:r>
        <w:rPr>
          <w:rFonts w:hint="eastAsia" w:ascii="宋体" w:hAnsi="宋体"/>
          <w:color w:val="auto"/>
          <w:sz w:val="24"/>
          <w:highlight w:val="none"/>
        </w:rPr>
        <w:t>；</w:t>
      </w:r>
      <w:r>
        <w:rPr>
          <w:rFonts w:ascii="宋体" w:hAnsi="宋体"/>
          <w:color w:val="auto"/>
          <w:sz w:val="24"/>
          <w:highlight w:val="none"/>
        </w:rPr>
        <w:t>基地现状图</w:t>
      </w:r>
      <w:r>
        <w:rPr>
          <w:rFonts w:hint="eastAsia" w:ascii="宋体" w:hAnsi="宋体"/>
          <w:color w:val="auto"/>
          <w:sz w:val="24"/>
          <w:highlight w:val="none"/>
        </w:rPr>
        <w:t>；</w:t>
      </w:r>
      <w:r>
        <w:rPr>
          <w:rFonts w:ascii="宋体" w:hAnsi="宋体"/>
          <w:color w:val="auto"/>
          <w:sz w:val="24"/>
          <w:highlight w:val="none"/>
        </w:rPr>
        <w:t>与周边环境及空间关系分析图</w:t>
      </w:r>
      <w:r>
        <w:rPr>
          <w:rFonts w:hint="eastAsia" w:ascii="宋体" w:hAnsi="宋体"/>
          <w:color w:val="auto"/>
          <w:sz w:val="24"/>
          <w:highlight w:val="none"/>
        </w:rPr>
        <w:t>；</w:t>
      </w:r>
      <w:r>
        <w:rPr>
          <w:rFonts w:ascii="宋体" w:hAnsi="宋体"/>
          <w:color w:val="auto"/>
          <w:sz w:val="24"/>
          <w:highlight w:val="none"/>
        </w:rPr>
        <w:t>交通系统分析图</w:t>
      </w:r>
      <w:r>
        <w:rPr>
          <w:rFonts w:hint="eastAsia" w:ascii="宋体" w:hAnsi="宋体"/>
          <w:color w:val="auto"/>
          <w:sz w:val="24"/>
          <w:highlight w:val="none"/>
        </w:rPr>
        <w:t>；</w:t>
      </w:r>
      <w:r>
        <w:rPr>
          <w:rFonts w:ascii="宋体" w:hAnsi="宋体"/>
          <w:color w:val="auto"/>
          <w:sz w:val="24"/>
          <w:highlight w:val="none"/>
        </w:rPr>
        <w:t>出入口、联系通道、垂直交通、公共交通设施等分布图</w:t>
      </w:r>
      <w:r>
        <w:rPr>
          <w:rFonts w:hint="eastAsia" w:ascii="宋体" w:hAnsi="宋体"/>
          <w:color w:val="auto"/>
          <w:sz w:val="24"/>
          <w:highlight w:val="none"/>
        </w:rPr>
        <w:t>；</w:t>
      </w:r>
      <w:r>
        <w:rPr>
          <w:rFonts w:ascii="宋体" w:hAnsi="宋体"/>
          <w:color w:val="auto"/>
          <w:sz w:val="24"/>
          <w:highlight w:val="none"/>
        </w:rPr>
        <w:t>总平面设计图</w:t>
      </w:r>
      <w:r>
        <w:rPr>
          <w:rFonts w:hint="eastAsia" w:ascii="宋体" w:hAnsi="宋体"/>
          <w:color w:val="auto"/>
          <w:sz w:val="24"/>
          <w:highlight w:val="none"/>
        </w:rPr>
        <w:t>；</w:t>
      </w:r>
      <w:r>
        <w:rPr>
          <w:rFonts w:ascii="宋体" w:hAnsi="宋体"/>
          <w:color w:val="auto"/>
          <w:sz w:val="24"/>
          <w:highlight w:val="none"/>
        </w:rPr>
        <w:t>各层平面图(电子制图比例为1：200)</w:t>
      </w:r>
      <w:r>
        <w:rPr>
          <w:rFonts w:hint="eastAsia" w:ascii="宋体" w:hAnsi="宋体"/>
          <w:color w:val="auto"/>
          <w:sz w:val="24"/>
          <w:highlight w:val="none"/>
        </w:rPr>
        <w:t>；</w:t>
      </w:r>
      <w:r>
        <w:rPr>
          <w:rFonts w:ascii="宋体" w:hAnsi="宋体"/>
          <w:color w:val="auto"/>
          <w:sz w:val="24"/>
          <w:highlight w:val="none"/>
        </w:rPr>
        <w:t>主要剖面和立面图(电子制图比例为1：200)</w:t>
      </w:r>
      <w:r>
        <w:rPr>
          <w:rFonts w:hint="eastAsia" w:ascii="宋体" w:hAnsi="宋体"/>
          <w:color w:val="auto"/>
          <w:sz w:val="24"/>
          <w:highlight w:val="none"/>
        </w:rPr>
        <w:t>；</w:t>
      </w:r>
      <w:r>
        <w:rPr>
          <w:rFonts w:ascii="宋体" w:hAnsi="宋体"/>
          <w:color w:val="auto"/>
          <w:sz w:val="24"/>
          <w:highlight w:val="none"/>
        </w:rPr>
        <w:t>重要空间节点效果图</w:t>
      </w:r>
      <w:r>
        <w:rPr>
          <w:rFonts w:hint="eastAsia" w:ascii="宋体" w:hAnsi="宋体"/>
          <w:color w:val="auto"/>
          <w:sz w:val="24"/>
          <w:highlight w:val="none"/>
        </w:rPr>
        <w:t>；</w:t>
      </w:r>
      <w:r>
        <w:rPr>
          <w:rFonts w:ascii="宋体" w:hAnsi="宋体"/>
          <w:color w:val="auto"/>
          <w:sz w:val="24"/>
          <w:highlight w:val="none"/>
        </w:rPr>
        <w:t>主要空间节点透视图</w:t>
      </w:r>
      <w:r>
        <w:rPr>
          <w:rFonts w:hint="eastAsia" w:ascii="宋体" w:hAnsi="宋体"/>
          <w:color w:val="auto"/>
          <w:sz w:val="24"/>
          <w:highlight w:val="none"/>
        </w:rPr>
        <w:t>；</w:t>
      </w:r>
      <w:r>
        <w:rPr>
          <w:rFonts w:ascii="宋体" w:hAnsi="宋体"/>
          <w:color w:val="auto"/>
          <w:sz w:val="24"/>
          <w:highlight w:val="none"/>
        </w:rPr>
        <w:t>防灾系统方案图和相关分析图</w:t>
      </w:r>
      <w:r>
        <w:rPr>
          <w:rFonts w:hint="eastAsia" w:ascii="宋体" w:hAnsi="宋体"/>
          <w:color w:val="auto"/>
          <w:sz w:val="24"/>
          <w:highlight w:val="none"/>
        </w:rPr>
        <w:t>；</w:t>
      </w:r>
      <w:r>
        <w:rPr>
          <w:rFonts w:ascii="宋体" w:hAnsi="宋体"/>
          <w:color w:val="auto"/>
          <w:sz w:val="24"/>
          <w:highlight w:val="none"/>
        </w:rPr>
        <w:t>机电设备系统方案图</w:t>
      </w:r>
      <w:r>
        <w:rPr>
          <w:rFonts w:hint="eastAsia" w:ascii="宋体" w:hAnsi="宋体"/>
          <w:color w:val="auto"/>
          <w:sz w:val="24"/>
          <w:highlight w:val="none"/>
        </w:rPr>
        <w:t>；</w:t>
      </w:r>
      <w:r>
        <w:rPr>
          <w:rFonts w:ascii="宋体" w:hAnsi="宋体"/>
          <w:color w:val="auto"/>
          <w:sz w:val="24"/>
          <w:highlight w:val="none"/>
        </w:rPr>
        <w:t>信息通信网络传输系统图</w:t>
      </w:r>
      <w:r>
        <w:rPr>
          <w:rFonts w:hint="eastAsia" w:ascii="宋体" w:hAnsi="宋体"/>
          <w:color w:val="auto"/>
          <w:sz w:val="24"/>
          <w:highlight w:val="none"/>
        </w:rPr>
        <w:t>；</w:t>
      </w:r>
      <w:r>
        <w:rPr>
          <w:rFonts w:ascii="宋体" w:hAnsi="宋体"/>
          <w:color w:val="auto"/>
          <w:sz w:val="24"/>
          <w:highlight w:val="none"/>
        </w:rPr>
        <w:t>智能交通系统图</w:t>
      </w:r>
      <w:r>
        <w:rPr>
          <w:rFonts w:hint="eastAsia" w:ascii="宋体" w:hAnsi="宋体"/>
          <w:color w:val="auto"/>
          <w:sz w:val="24"/>
          <w:highlight w:val="none"/>
        </w:rPr>
        <w:t>；</w:t>
      </w:r>
      <w:r>
        <w:rPr>
          <w:rFonts w:ascii="宋体" w:hAnsi="宋体"/>
          <w:color w:val="auto"/>
          <w:sz w:val="24"/>
          <w:highlight w:val="none"/>
        </w:rPr>
        <w:t>综合管线系统方案图</w:t>
      </w:r>
      <w:r>
        <w:rPr>
          <w:rFonts w:hint="eastAsia" w:ascii="宋体" w:hAnsi="宋体"/>
          <w:color w:val="auto"/>
          <w:sz w:val="24"/>
          <w:highlight w:val="none"/>
        </w:rPr>
        <w:t>；</w:t>
      </w:r>
      <w:r>
        <w:rPr>
          <w:rFonts w:ascii="宋体" w:hAnsi="宋体"/>
          <w:color w:val="auto"/>
          <w:sz w:val="24"/>
          <w:highlight w:val="none"/>
        </w:rPr>
        <w:t>给排水设计图</w:t>
      </w:r>
      <w:r>
        <w:rPr>
          <w:rFonts w:hint="eastAsia" w:ascii="宋体" w:hAnsi="宋体"/>
          <w:color w:val="auto"/>
          <w:sz w:val="24"/>
          <w:highlight w:val="none"/>
        </w:rPr>
        <w:t>；</w:t>
      </w:r>
      <w:r>
        <w:rPr>
          <w:rFonts w:ascii="宋体" w:hAnsi="宋体"/>
          <w:color w:val="auto"/>
          <w:sz w:val="24"/>
          <w:highlight w:val="none"/>
        </w:rPr>
        <w:t>相关竖向设计图</w:t>
      </w:r>
      <w:r>
        <w:rPr>
          <w:rFonts w:hint="eastAsia" w:ascii="宋体" w:hAnsi="宋体"/>
          <w:color w:val="auto"/>
          <w:sz w:val="24"/>
          <w:highlight w:val="none"/>
        </w:rPr>
        <w:t>；</w:t>
      </w:r>
      <w:r>
        <w:rPr>
          <w:rFonts w:ascii="宋体" w:hAnsi="宋体"/>
          <w:color w:val="auto"/>
          <w:sz w:val="24"/>
          <w:highlight w:val="none"/>
        </w:rPr>
        <w:t>景观设计图</w:t>
      </w:r>
      <w:r>
        <w:rPr>
          <w:rFonts w:hint="eastAsia" w:ascii="宋体" w:hAnsi="宋体"/>
          <w:color w:val="auto"/>
          <w:sz w:val="24"/>
          <w:highlight w:val="none"/>
        </w:rPr>
        <w:t>；</w:t>
      </w:r>
      <w:r>
        <w:rPr>
          <w:rFonts w:ascii="宋体" w:hAnsi="宋体"/>
          <w:color w:val="auto"/>
          <w:sz w:val="24"/>
          <w:highlight w:val="none"/>
        </w:rPr>
        <w:t>相关分析图和鸟瞰图</w:t>
      </w:r>
      <w:r>
        <w:rPr>
          <w:rFonts w:hint="eastAsia" w:ascii="宋体" w:hAnsi="宋体"/>
          <w:color w:val="auto"/>
          <w:sz w:val="24"/>
          <w:highlight w:val="none"/>
        </w:rPr>
        <w:t>；</w:t>
      </w:r>
      <w:r>
        <w:rPr>
          <w:rFonts w:ascii="宋体" w:hAnsi="宋体"/>
          <w:color w:val="auto"/>
          <w:sz w:val="24"/>
          <w:highlight w:val="none"/>
        </w:rPr>
        <w:t>项目估算</w:t>
      </w:r>
      <w:r>
        <w:rPr>
          <w:rFonts w:hint="eastAsia" w:ascii="宋体" w:hAnsi="宋体"/>
          <w:color w:val="auto"/>
          <w:sz w:val="24"/>
          <w:highlight w:val="none"/>
        </w:rPr>
        <w:t>材料；</w:t>
      </w:r>
      <w:r>
        <w:rPr>
          <w:rFonts w:ascii="宋体" w:hAnsi="宋体"/>
          <w:color w:val="auto"/>
          <w:sz w:val="24"/>
          <w:highlight w:val="none"/>
        </w:rPr>
        <w:t>项目其它设计方案图</w:t>
      </w:r>
      <w:r>
        <w:rPr>
          <w:rFonts w:hint="eastAsia" w:ascii="宋体" w:hAnsi="宋体"/>
          <w:color w:val="auto"/>
          <w:sz w:val="24"/>
          <w:highlight w:val="none"/>
        </w:rPr>
        <w:t>；项目关键</w:t>
      </w:r>
      <w:r>
        <w:rPr>
          <w:rFonts w:ascii="宋体" w:hAnsi="宋体"/>
          <w:color w:val="auto"/>
          <w:sz w:val="24"/>
          <w:highlight w:val="none"/>
        </w:rPr>
        <w:t>效果图（不少于10张</w:t>
      </w:r>
      <w:r>
        <w:rPr>
          <w:rFonts w:hint="eastAsia" w:ascii="宋体" w:hAnsi="宋体"/>
          <w:color w:val="auto"/>
          <w:sz w:val="24"/>
          <w:highlight w:val="none"/>
        </w:rPr>
        <w:t>，</w:t>
      </w:r>
      <w:r>
        <w:rPr>
          <w:rFonts w:ascii="宋体" w:hAnsi="宋体"/>
          <w:color w:val="auto"/>
          <w:sz w:val="24"/>
          <w:highlight w:val="none"/>
        </w:rPr>
        <w:t>包括但不限于鸟瞰图、主入口视角效果图、主要沿街面效果图、主要立面效果图、夜景效果图、主要公共空间效果图等）。</w:t>
      </w:r>
    </w:p>
    <w:p w14:paraId="69C08560">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2）修详规方案设计图</w:t>
      </w:r>
    </w:p>
    <w:p w14:paraId="7466A9CA">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承包人按照规划主管部门的规划报建要求</w:t>
      </w:r>
      <w:r>
        <w:rPr>
          <w:rFonts w:ascii="宋体" w:hAnsi="宋体"/>
          <w:color w:val="auto"/>
          <w:sz w:val="24"/>
          <w:highlight w:val="none"/>
        </w:rPr>
        <w:t>,提供规划报建所需相关设计成果文件，并根据相关的审批意见对设计成果文件进行相应修改。相关设计成果文件包括但不限于以下内容:</w:t>
      </w:r>
    </w:p>
    <w:p w14:paraId="25D70BA1">
      <w:pPr>
        <w:spacing w:line="460" w:lineRule="exact"/>
        <w:ind w:firstLine="480" w:firstLineChars="200"/>
        <w:rPr>
          <w:rFonts w:ascii="宋体" w:hAnsi="宋体"/>
          <w:color w:val="auto"/>
          <w:sz w:val="24"/>
          <w:highlight w:val="none"/>
        </w:rPr>
      </w:pPr>
      <w:r>
        <w:rPr>
          <w:rFonts w:ascii="宋体" w:hAnsi="宋体"/>
          <w:color w:val="auto"/>
          <w:sz w:val="24"/>
          <w:highlight w:val="none"/>
        </w:rPr>
        <w:t>总平面规划图(包括各项技术经济指标)</w:t>
      </w:r>
      <w:r>
        <w:rPr>
          <w:rFonts w:hint="eastAsia" w:ascii="宋体" w:hAnsi="宋体"/>
          <w:color w:val="auto"/>
          <w:sz w:val="24"/>
          <w:highlight w:val="none"/>
        </w:rPr>
        <w:t>；</w:t>
      </w:r>
      <w:r>
        <w:rPr>
          <w:rFonts w:ascii="宋体" w:hAnsi="宋体"/>
          <w:color w:val="auto"/>
          <w:sz w:val="24"/>
          <w:highlight w:val="none"/>
        </w:rPr>
        <w:t>绿地规划图</w:t>
      </w:r>
      <w:r>
        <w:rPr>
          <w:rFonts w:hint="eastAsia" w:ascii="宋体" w:hAnsi="宋体"/>
          <w:color w:val="auto"/>
          <w:sz w:val="24"/>
          <w:highlight w:val="none"/>
        </w:rPr>
        <w:t>；</w:t>
      </w:r>
      <w:r>
        <w:rPr>
          <w:rFonts w:ascii="宋体" w:hAnsi="宋体"/>
          <w:color w:val="auto"/>
          <w:sz w:val="24"/>
          <w:highlight w:val="none"/>
        </w:rPr>
        <w:t>道路交通系统规划图</w:t>
      </w:r>
      <w:r>
        <w:rPr>
          <w:rFonts w:hint="eastAsia" w:ascii="宋体" w:hAnsi="宋体"/>
          <w:color w:val="auto"/>
          <w:sz w:val="24"/>
          <w:highlight w:val="none"/>
        </w:rPr>
        <w:t>；</w:t>
      </w:r>
      <w:r>
        <w:rPr>
          <w:rFonts w:ascii="宋体" w:hAnsi="宋体"/>
          <w:color w:val="auto"/>
          <w:sz w:val="24"/>
          <w:highlight w:val="none"/>
        </w:rPr>
        <w:t>用地竖向规划图</w:t>
      </w:r>
      <w:r>
        <w:rPr>
          <w:rFonts w:hint="eastAsia" w:ascii="宋体" w:hAnsi="宋体"/>
          <w:color w:val="auto"/>
          <w:sz w:val="24"/>
          <w:highlight w:val="none"/>
        </w:rPr>
        <w:t>；</w:t>
      </w:r>
      <w:r>
        <w:rPr>
          <w:rFonts w:ascii="宋体" w:hAnsi="宋体"/>
          <w:color w:val="auto"/>
          <w:sz w:val="24"/>
          <w:highlight w:val="none"/>
        </w:rPr>
        <w:t>管线综合规划图</w:t>
      </w:r>
      <w:r>
        <w:rPr>
          <w:rFonts w:hint="eastAsia" w:ascii="宋体" w:hAnsi="宋体"/>
          <w:color w:val="auto"/>
          <w:sz w:val="24"/>
          <w:highlight w:val="none"/>
        </w:rPr>
        <w:t>；</w:t>
      </w:r>
      <w:r>
        <w:rPr>
          <w:rFonts w:ascii="宋体" w:hAnsi="宋体"/>
          <w:color w:val="auto"/>
          <w:sz w:val="24"/>
          <w:highlight w:val="none"/>
        </w:rPr>
        <w:t>规划方案说明书</w:t>
      </w:r>
      <w:r>
        <w:rPr>
          <w:rFonts w:hint="eastAsia" w:ascii="宋体" w:hAnsi="宋体"/>
          <w:color w:val="auto"/>
          <w:sz w:val="24"/>
          <w:highlight w:val="none"/>
        </w:rPr>
        <w:t>；</w:t>
      </w:r>
      <w:r>
        <w:rPr>
          <w:rFonts w:ascii="宋体" w:hAnsi="宋体"/>
          <w:color w:val="auto"/>
          <w:sz w:val="24"/>
          <w:highlight w:val="none"/>
        </w:rPr>
        <w:t>电子报批文件</w:t>
      </w:r>
      <w:r>
        <w:rPr>
          <w:rFonts w:hint="eastAsia" w:ascii="宋体" w:hAnsi="宋体"/>
          <w:color w:val="auto"/>
          <w:sz w:val="24"/>
          <w:highlight w:val="none"/>
        </w:rPr>
        <w:t>等。</w:t>
      </w:r>
    </w:p>
    <w:p w14:paraId="0B3985BE">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3）单体方案设计图</w:t>
      </w:r>
    </w:p>
    <w:p w14:paraId="59E86E36">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承包人按照规划主管部门的报建要求</w:t>
      </w:r>
      <w:r>
        <w:rPr>
          <w:rFonts w:ascii="宋体" w:hAnsi="宋体"/>
          <w:color w:val="auto"/>
          <w:sz w:val="24"/>
          <w:highlight w:val="none"/>
        </w:rPr>
        <w:t>,提供方案设计报建所需相关设计成果文件，并根据相关的审批意见对设计成果文件进行相应修改,相关设计成果文件包括但不限于以下内容:</w:t>
      </w:r>
    </w:p>
    <w:p w14:paraId="70BA42CB">
      <w:pPr>
        <w:spacing w:line="460" w:lineRule="exact"/>
        <w:ind w:firstLine="480" w:firstLineChars="200"/>
        <w:rPr>
          <w:rFonts w:ascii="宋体" w:hAnsi="宋体"/>
          <w:color w:val="auto"/>
          <w:sz w:val="24"/>
          <w:highlight w:val="none"/>
        </w:rPr>
      </w:pPr>
      <w:r>
        <w:rPr>
          <w:rFonts w:ascii="宋体" w:hAnsi="宋体"/>
          <w:color w:val="auto"/>
          <w:sz w:val="24"/>
          <w:highlight w:val="none"/>
        </w:rPr>
        <w:t>总平面图(包括各项技术经济指标)</w:t>
      </w:r>
      <w:r>
        <w:rPr>
          <w:rFonts w:hint="eastAsia" w:ascii="宋体" w:hAnsi="宋体"/>
          <w:color w:val="auto"/>
          <w:sz w:val="24"/>
          <w:highlight w:val="none"/>
        </w:rPr>
        <w:t>；</w:t>
      </w:r>
      <w:r>
        <w:rPr>
          <w:rFonts w:ascii="宋体" w:hAnsi="宋体"/>
          <w:color w:val="auto"/>
          <w:sz w:val="24"/>
          <w:highlight w:val="none"/>
        </w:rPr>
        <w:t>建筑平、立、剖面图</w:t>
      </w:r>
      <w:r>
        <w:rPr>
          <w:rFonts w:hint="eastAsia" w:ascii="宋体" w:hAnsi="宋体"/>
          <w:color w:val="auto"/>
          <w:sz w:val="24"/>
          <w:highlight w:val="none"/>
        </w:rPr>
        <w:t>；</w:t>
      </w:r>
      <w:r>
        <w:rPr>
          <w:rFonts w:ascii="宋体" w:hAnsi="宋体"/>
          <w:color w:val="auto"/>
          <w:sz w:val="24"/>
          <w:highlight w:val="none"/>
        </w:rPr>
        <w:t>设计说明</w:t>
      </w:r>
      <w:r>
        <w:rPr>
          <w:rFonts w:hint="eastAsia" w:ascii="宋体" w:hAnsi="宋体"/>
          <w:color w:val="auto"/>
          <w:sz w:val="24"/>
          <w:highlight w:val="none"/>
        </w:rPr>
        <w:t>；</w:t>
      </w:r>
      <w:r>
        <w:rPr>
          <w:rFonts w:ascii="宋体" w:hAnsi="宋体"/>
          <w:color w:val="auto"/>
          <w:sz w:val="24"/>
          <w:highlight w:val="none"/>
        </w:rPr>
        <w:t>工程投资估算(含非标设备、材料、构配件的报价)</w:t>
      </w:r>
      <w:r>
        <w:rPr>
          <w:rFonts w:hint="eastAsia" w:ascii="宋体" w:hAnsi="宋体"/>
          <w:color w:val="auto"/>
          <w:sz w:val="24"/>
          <w:highlight w:val="none"/>
        </w:rPr>
        <w:t>；</w:t>
      </w:r>
      <w:r>
        <w:rPr>
          <w:rFonts w:ascii="宋体" w:hAnsi="宋体"/>
          <w:color w:val="auto"/>
          <w:sz w:val="24"/>
          <w:highlight w:val="none"/>
        </w:rPr>
        <w:t>电子报批文件</w:t>
      </w:r>
      <w:r>
        <w:rPr>
          <w:rFonts w:hint="eastAsia" w:ascii="宋体" w:hAnsi="宋体"/>
          <w:color w:val="auto"/>
          <w:sz w:val="24"/>
          <w:highlight w:val="none"/>
        </w:rPr>
        <w:t>；</w:t>
      </w:r>
      <w:r>
        <w:rPr>
          <w:rFonts w:ascii="宋体" w:hAnsi="宋体"/>
          <w:color w:val="auto"/>
          <w:sz w:val="24"/>
          <w:highlight w:val="none"/>
        </w:rPr>
        <w:t>效果图</w:t>
      </w:r>
      <w:r>
        <w:rPr>
          <w:rFonts w:hint="eastAsia" w:ascii="宋体" w:hAnsi="宋体"/>
          <w:color w:val="auto"/>
          <w:sz w:val="24"/>
          <w:highlight w:val="none"/>
        </w:rPr>
        <w:t>等。</w:t>
      </w:r>
    </w:p>
    <w:p w14:paraId="2D4240F2">
      <w:pPr>
        <w:spacing w:line="460" w:lineRule="exact"/>
        <w:ind w:firstLine="480" w:firstLineChars="200"/>
        <w:rPr>
          <w:rFonts w:ascii="宋体" w:hAnsi="宋体"/>
          <w:color w:val="auto"/>
          <w:sz w:val="24"/>
          <w:highlight w:val="none"/>
        </w:rPr>
      </w:pPr>
      <w:r>
        <w:rPr>
          <w:rFonts w:ascii="宋体" w:hAnsi="宋体"/>
          <w:color w:val="auto"/>
          <w:sz w:val="24"/>
          <w:highlight w:val="none"/>
        </w:rPr>
        <w:t>7.2.1.2 方案设计阶段的</w:t>
      </w:r>
      <w:r>
        <w:rPr>
          <w:rFonts w:hint="eastAsia" w:ascii="宋体" w:hAnsi="宋体"/>
          <w:color w:val="auto"/>
          <w:sz w:val="24"/>
          <w:highlight w:val="none"/>
        </w:rPr>
        <w:t>承包人</w:t>
      </w:r>
      <w:r>
        <w:rPr>
          <w:rFonts w:ascii="宋体" w:hAnsi="宋体"/>
          <w:color w:val="auto"/>
          <w:sz w:val="24"/>
          <w:highlight w:val="none"/>
        </w:rPr>
        <w:t>工作要求</w:t>
      </w:r>
    </w:p>
    <w:p w14:paraId="347A00D2">
      <w:pPr>
        <w:spacing w:line="46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1</w:t>
      </w:r>
      <w:r>
        <w:rPr>
          <w:rFonts w:ascii="宋体" w:hAnsi="宋体"/>
          <w:color w:val="auto"/>
          <w:sz w:val="24"/>
          <w:highlight w:val="none"/>
        </w:rPr>
        <w:t>）承包人应在发包人选定方案的基础上,按专家意见和发包人要求进行完善,达到报建送审方案要求,并根据规划部门提出的设计条件进行调整。</w:t>
      </w:r>
    </w:p>
    <w:p w14:paraId="4336F896">
      <w:pPr>
        <w:spacing w:line="46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2</w:t>
      </w:r>
      <w:r>
        <w:rPr>
          <w:rFonts w:ascii="宋体" w:hAnsi="宋体"/>
          <w:color w:val="auto"/>
          <w:sz w:val="24"/>
          <w:highlight w:val="none"/>
        </w:rPr>
        <w:t>）方案设计应对建筑、结构、机电系统进行两个以上方案技术经济比较，实施性方案应达到满足进行初步设计的要求。</w:t>
      </w:r>
    </w:p>
    <w:p w14:paraId="03DAB88D">
      <w:pPr>
        <w:spacing w:line="46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）承包人设计方案中应包含节能环保篇、绿色建筑篇,采用节能环保的新技术、新工艺。方案设计应对设计中采用的新技术及节能技术的应用进行三个以上方案技术经济比较,提出比较分析报告和推荐方案。</w:t>
      </w:r>
    </w:p>
    <w:p w14:paraId="404BC5A6">
      <w:pPr>
        <w:spacing w:line="46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）承包人应根据实施方案提交工程投资估算编制说明及投资估算表。</w:t>
      </w:r>
    </w:p>
    <w:p w14:paraId="0019060F">
      <w:pPr>
        <w:spacing w:line="46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w:t>
      </w:r>
      <w:r>
        <w:rPr>
          <w:rFonts w:hint="eastAsia" w:ascii="宋体" w:hAnsi="宋体"/>
          <w:color w:val="auto"/>
          <w:sz w:val="24"/>
          <w:highlight w:val="none"/>
        </w:rPr>
        <w:t>承包人对于</w:t>
      </w:r>
      <w:r>
        <w:rPr>
          <w:rFonts w:ascii="宋体" w:hAnsi="宋体"/>
          <w:color w:val="auto"/>
          <w:sz w:val="24"/>
          <w:highlight w:val="none"/>
        </w:rPr>
        <w:t>结构体系应进行初步的计算,保证结构方案是可行的。</w:t>
      </w:r>
    </w:p>
    <w:p w14:paraId="1D4DC99E">
      <w:pPr>
        <w:spacing w:line="46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6</w:t>
      </w:r>
      <w:r>
        <w:rPr>
          <w:rFonts w:ascii="宋体" w:hAnsi="宋体"/>
          <w:color w:val="auto"/>
          <w:sz w:val="24"/>
          <w:highlight w:val="none"/>
        </w:rPr>
        <w:t>）承包人对各专业采用的新技术应作详细的介绍,以便进行评审和据以进行下一步的设计。</w:t>
      </w:r>
    </w:p>
    <w:p w14:paraId="5F6C829E">
      <w:pPr>
        <w:spacing w:line="46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7</w:t>
      </w:r>
      <w:r>
        <w:rPr>
          <w:rFonts w:ascii="宋体" w:hAnsi="宋体"/>
          <w:color w:val="auto"/>
          <w:sz w:val="24"/>
          <w:highlight w:val="none"/>
        </w:rPr>
        <w:t>）在深化方案设计时, 承包人应以书面形式明确设计中确有需要进行试验的项目,并在初步设计之前提交给发包人审查确认。经发包人确认后, 承包人应及时提供试验方案及相关技术要求。</w:t>
      </w:r>
    </w:p>
    <w:p w14:paraId="178AC890">
      <w:pPr>
        <w:spacing w:line="460" w:lineRule="exact"/>
        <w:ind w:firstLine="480" w:firstLineChars="200"/>
        <w:rPr>
          <w:color w:val="auto"/>
          <w:highlight w:val="none"/>
        </w:rPr>
      </w:pPr>
      <w:r>
        <w:rPr>
          <w:rFonts w:ascii="宋体" w:hAnsi="宋体"/>
          <w:color w:val="auto"/>
          <w:sz w:val="24"/>
          <w:highlight w:val="none"/>
        </w:rPr>
        <w:t>（</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按照联审决策规定及相关要求提供相关</w:t>
      </w:r>
      <w:r>
        <w:rPr>
          <w:rFonts w:ascii="宋体" w:hAnsi="宋体"/>
          <w:color w:val="auto"/>
          <w:sz w:val="24"/>
          <w:highlight w:val="none"/>
        </w:rPr>
        <w:t>材料及电子文档(含CAD图文档)，达到方案设计深度要求，重要节点设计达到初步设计深度</w:t>
      </w:r>
      <w:r>
        <w:rPr>
          <w:rFonts w:hint="eastAsia" w:ascii="宋体" w:hAnsi="宋体"/>
          <w:color w:val="auto"/>
          <w:sz w:val="24"/>
          <w:highlight w:val="none"/>
        </w:rPr>
        <w:t>。</w:t>
      </w:r>
    </w:p>
    <w:p w14:paraId="11437F91">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.2.2 初步设计阶段的成果文件及工作要求</w:t>
      </w:r>
    </w:p>
    <w:p w14:paraId="386F48BF">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.2.2.1 初步设计阶段的成果文件</w:t>
      </w:r>
    </w:p>
    <w:p w14:paraId="01D1DFA0">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初步设计成果文件应按建设部批准的《建筑工程设计文件编制深度规定》</w:t>
      </w:r>
      <w:r>
        <w:rPr>
          <w:rFonts w:ascii="宋体" w:hAnsi="宋体"/>
          <w:color w:val="auto"/>
          <w:sz w:val="24"/>
          <w:highlight w:val="none"/>
        </w:rPr>
        <w:t>初步设计阶段的要求进行编制,由总章和各专业设计文件分章编制而成,应包括但不限于以下设计成果文件:</w:t>
      </w:r>
    </w:p>
    <w:p w14:paraId="297685F0">
      <w:pPr>
        <w:spacing w:line="460" w:lineRule="exact"/>
        <w:ind w:firstLine="480" w:firstLineChars="200"/>
        <w:rPr>
          <w:rFonts w:ascii="宋体" w:hAnsi="宋体"/>
          <w:color w:val="auto"/>
          <w:sz w:val="24"/>
          <w:highlight w:val="none"/>
        </w:rPr>
      </w:pPr>
      <w:r>
        <w:rPr>
          <w:rFonts w:ascii="宋体" w:hAnsi="宋体"/>
          <w:color w:val="auto"/>
          <w:sz w:val="24"/>
          <w:highlight w:val="none"/>
        </w:rPr>
        <w:t>初步设计方案编制</w:t>
      </w:r>
      <w:r>
        <w:rPr>
          <w:rFonts w:hint="eastAsia" w:ascii="宋体" w:hAnsi="宋体"/>
          <w:color w:val="auto"/>
          <w:sz w:val="24"/>
          <w:highlight w:val="none"/>
        </w:rPr>
        <w:t>；</w:t>
      </w:r>
      <w:r>
        <w:rPr>
          <w:rFonts w:ascii="宋体" w:hAnsi="宋体"/>
          <w:color w:val="auto"/>
          <w:sz w:val="24"/>
          <w:highlight w:val="none"/>
        </w:rPr>
        <w:t>设计说明书(含设计总说明、各专业的设计说明书、结构计算书、结构计算模型)</w:t>
      </w:r>
      <w:r>
        <w:rPr>
          <w:rFonts w:hint="eastAsia" w:ascii="宋体" w:hAnsi="宋体"/>
          <w:color w:val="auto"/>
          <w:sz w:val="24"/>
          <w:highlight w:val="none"/>
        </w:rPr>
        <w:t>；</w:t>
      </w:r>
      <w:r>
        <w:rPr>
          <w:rFonts w:ascii="宋体" w:hAnsi="宋体"/>
          <w:color w:val="auto"/>
          <w:sz w:val="24"/>
          <w:highlight w:val="none"/>
        </w:rPr>
        <w:t>设计图纸(由各专业设计图纸组成)</w:t>
      </w:r>
      <w:r>
        <w:rPr>
          <w:rFonts w:hint="eastAsia" w:ascii="宋体" w:hAnsi="宋体"/>
          <w:color w:val="auto"/>
          <w:sz w:val="24"/>
          <w:highlight w:val="none"/>
        </w:rPr>
        <w:t>；</w:t>
      </w:r>
      <w:r>
        <w:rPr>
          <w:rFonts w:ascii="宋体" w:hAnsi="宋体"/>
          <w:color w:val="auto"/>
          <w:sz w:val="24"/>
          <w:highlight w:val="none"/>
        </w:rPr>
        <w:t>工程设计概算</w:t>
      </w:r>
      <w:r>
        <w:rPr>
          <w:rFonts w:hint="eastAsia" w:ascii="宋体" w:hAnsi="宋体"/>
          <w:color w:val="auto"/>
          <w:sz w:val="24"/>
          <w:highlight w:val="none"/>
        </w:rPr>
        <w:t>；</w:t>
      </w:r>
      <w:r>
        <w:rPr>
          <w:rFonts w:ascii="宋体" w:hAnsi="宋体"/>
          <w:color w:val="auto"/>
          <w:sz w:val="24"/>
          <w:highlight w:val="none"/>
        </w:rPr>
        <w:t>效果图及透视图</w:t>
      </w:r>
      <w:r>
        <w:rPr>
          <w:rFonts w:hint="eastAsia" w:ascii="宋体" w:hAnsi="宋体"/>
          <w:color w:val="auto"/>
          <w:sz w:val="24"/>
          <w:highlight w:val="none"/>
        </w:rPr>
        <w:t>；</w:t>
      </w:r>
      <w:r>
        <w:rPr>
          <w:rFonts w:ascii="宋体" w:hAnsi="宋体"/>
          <w:color w:val="auto"/>
          <w:sz w:val="24"/>
          <w:highlight w:val="none"/>
        </w:rPr>
        <w:t>报批模型（如需要）</w:t>
      </w:r>
      <w:r>
        <w:rPr>
          <w:rFonts w:hint="eastAsia" w:ascii="宋体" w:hAnsi="宋体"/>
          <w:color w:val="auto"/>
          <w:sz w:val="24"/>
          <w:highlight w:val="none"/>
        </w:rPr>
        <w:t>；</w:t>
      </w:r>
      <w:r>
        <w:rPr>
          <w:rFonts w:ascii="宋体" w:hAnsi="宋体"/>
          <w:color w:val="auto"/>
          <w:sz w:val="24"/>
          <w:highlight w:val="none"/>
        </w:rPr>
        <w:t>电子报批文件（如需要）</w:t>
      </w:r>
      <w:r>
        <w:rPr>
          <w:rFonts w:hint="eastAsia" w:ascii="宋体" w:hAnsi="宋体"/>
          <w:color w:val="auto"/>
          <w:sz w:val="24"/>
          <w:highlight w:val="none"/>
        </w:rPr>
        <w:t>；</w:t>
      </w:r>
      <w:r>
        <w:rPr>
          <w:rFonts w:ascii="宋体" w:hAnsi="宋体"/>
          <w:color w:val="auto"/>
          <w:sz w:val="24"/>
          <w:highlight w:val="none"/>
        </w:rPr>
        <w:t>主要材料样板（如需要）</w:t>
      </w:r>
      <w:r>
        <w:rPr>
          <w:rFonts w:hint="eastAsia" w:ascii="宋体" w:hAnsi="宋体"/>
          <w:color w:val="auto"/>
          <w:sz w:val="24"/>
          <w:highlight w:val="none"/>
        </w:rPr>
        <w:t>等。</w:t>
      </w:r>
    </w:p>
    <w:p w14:paraId="26410163">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承包人应向发包人提交初步方案设计成果文件图纸及文本文件</w:t>
      </w:r>
      <w:r>
        <w:rPr>
          <w:rFonts w:ascii="宋体" w:hAnsi="宋体"/>
          <w:color w:val="auto"/>
          <w:sz w:val="24"/>
          <w:highlight w:val="none"/>
        </w:rPr>
        <w:t>，文件加盖设计单位出图章、注册建筑师章、注册结构工程师章。</w:t>
      </w:r>
    </w:p>
    <w:p w14:paraId="3E610DD6">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.2.2.2 初步设计阶段的工作要求</w:t>
      </w:r>
    </w:p>
    <w:p w14:paraId="31AEB3C5">
      <w:pPr>
        <w:spacing w:line="460" w:lineRule="exact"/>
        <w:ind w:firstLine="480" w:firstLineChars="200"/>
        <w:rPr>
          <w:rFonts w:ascii="宋体" w:hAnsi="宋体"/>
          <w:color w:val="auto"/>
          <w:sz w:val="24"/>
          <w:highlight w:val="none"/>
        </w:rPr>
      </w:pPr>
      <w:r>
        <w:rPr>
          <w:rFonts w:ascii="宋体" w:hAnsi="宋体"/>
          <w:color w:val="auto"/>
          <w:sz w:val="24"/>
          <w:highlight w:val="none"/>
        </w:rPr>
        <w:t>(l)初步设计文件均以各工程子项为编制单位。</w:t>
      </w:r>
    </w:p>
    <w:p w14:paraId="658E6596">
      <w:pPr>
        <w:spacing w:line="460" w:lineRule="exact"/>
        <w:ind w:firstLine="480" w:firstLineChars="200"/>
        <w:rPr>
          <w:rFonts w:ascii="宋体" w:hAnsi="宋体"/>
          <w:color w:val="auto"/>
          <w:sz w:val="24"/>
          <w:highlight w:val="none"/>
        </w:rPr>
      </w:pPr>
      <w:r>
        <w:rPr>
          <w:rFonts w:ascii="宋体" w:hAnsi="宋体"/>
          <w:color w:val="auto"/>
          <w:sz w:val="24"/>
          <w:highlight w:val="none"/>
        </w:rPr>
        <w:t>(2)初步设计阶段</w:t>
      </w:r>
      <w:r>
        <w:rPr>
          <w:rFonts w:hint="eastAsia" w:ascii="宋体" w:hAnsi="宋体"/>
          <w:color w:val="auto"/>
          <w:sz w:val="24"/>
          <w:highlight w:val="none"/>
        </w:rPr>
        <w:t>承包人</w:t>
      </w:r>
      <w:r>
        <w:rPr>
          <w:rFonts w:ascii="宋体" w:hAnsi="宋体"/>
          <w:color w:val="auto"/>
          <w:sz w:val="24"/>
          <w:highlight w:val="none"/>
        </w:rPr>
        <w:t>须对结构体系(包括幕墙、钢结构等)、机电设备安装(包括空调、电梯主要设备选型)、新技术及节能技术的应用进行两个以上方案的综合技术经济比较(其主要内容含于本专业初步设计说明书中),使设计具备先进性、可靠性和经济合理性,并满足以下要求:</w:t>
      </w:r>
    </w:p>
    <w:p w14:paraId="12C80CBC">
      <w:pPr>
        <w:spacing w:line="460" w:lineRule="exact"/>
        <w:ind w:firstLine="480" w:firstLineChars="200"/>
        <w:rPr>
          <w:rFonts w:ascii="宋体" w:hAnsi="宋体"/>
          <w:color w:val="auto"/>
          <w:sz w:val="24"/>
          <w:highlight w:val="none"/>
        </w:rPr>
      </w:pPr>
      <w:r>
        <w:rPr>
          <w:rFonts w:ascii="宋体" w:hAnsi="宋体"/>
          <w:color w:val="auto"/>
          <w:sz w:val="24"/>
          <w:highlight w:val="none"/>
        </w:rPr>
        <w:t>1)应符合发包人批准的设计方案和实施性方案</w:t>
      </w:r>
      <w:r>
        <w:rPr>
          <w:rFonts w:hint="eastAsia" w:ascii="宋体" w:hAnsi="宋体"/>
          <w:color w:val="auto"/>
          <w:sz w:val="24"/>
          <w:highlight w:val="none"/>
        </w:rPr>
        <w:t>；</w:t>
      </w:r>
    </w:p>
    <w:p w14:paraId="3410A701">
      <w:pPr>
        <w:spacing w:line="460" w:lineRule="exact"/>
        <w:ind w:firstLine="480" w:firstLineChars="200"/>
        <w:rPr>
          <w:rFonts w:ascii="宋体" w:hAnsi="宋体"/>
          <w:color w:val="auto"/>
          <w:sz w:val="24"/>
          <w:highlight w:val="none"/>
        </w:rPr>
      </w:pPr>
      <w:r>
        <w:rPr>
          <w:rFonts w:ascii="宋体" w:hAnsi="宋体"/>
          <w:color w:val="auto"/>
          <w:sz w:val="24"/>
          <w:highlight w:val="none"/>
        </w:rPr>
        <w:t>2)能据以准备各主要设备、材料及饰面材料(送板)</w:t>
      </w:r>
      <w:r>
        <w:rPr>
          <w:rFonts w:hint="eastAsia" w:ascii="宋体" w:hAnsi="宋体"/>
          <w:color w:val="auto"/>
          <w:sz w:val="24"/>
          <w:highlight w:val="none"/>
        </w:rPr>
        <w:t>；</w:t>
      </w:r>
    </w:p>
    <w:p w14:paraId="36C0BB79">
      <w:pPr>
        <w:spacing w:line="460" w:lineRule="exact"/>
        <w:ind w:firstLine="480" w:firstLineChars="200"/>
        <w:rPr>
          <w:rFonts w:ascii="宋体" w:hAnsi="宋体"/>
          <w:color w:val="auto"/>
          <w:sz w:val="24"/>
          <w:highlight w:val="none"/>
        </w:rPr>
      </w:pPr>
      <w:r>
        <w:rPr>
          <w:rFonts w:ascii="宋体" w:hAnsi="宋体"/>
          <w:color w:val="auto"/>
          <w:sz w:val="24"/>
          <w:highlight w:val="none"/>
        </w:rPr>
        <w:t>3)能据以编制、审核工程设计概算</w:t>
      </w:r>
      <w:r>
        <w:rPr>
          <w:rFonts w:hint="eastAsia" w:ascii="宋体" w:hAnsi="宋体"/>
          <w:color w:val="auto"/>
          <w:sz w:val="24"/>
          <w:highlight w:val="none"/>
        </w:rPr>
        <w:t>；</w:t>
      </w:r>
    </w:p>
    <w:p w14:paraId="395E4D18">
      <w:pPr>
        <w:spacing w:line="460" w:lineRule="exact"/>
        <w:ind w:firstLine="480" w:firstLineChars="200"/>
        <w:rPr>
          <w:rFonts w:ascii="宋体" w:hAnsi="宋体"/>
          <w:color w:val="auto"/>
          <w:sz w:val="24"/>
          <w:highlight w:val="none"/>
        </w:rPr>
      </w:pPr>
      <w:r>
        <w:rPr>
          <w:rFonts w:ascii="宋体" w:hAnsi="宋体"/>
          <w:color w:val="auto"/>
          <w:sz w:val="24"/>
          <w:highlight w:val="none"/>
        </w:rPr>
        <w:t>4)能据以进行施工准备</w:t>
      </w:r>
      <w:r>
        <w:rPr>
          <w:rFonts w:hint="eastAsia" w:ascii="宋体" w:hAnsi="宋体"/>
          <w:color w:val="auto"/>
          <w:sz w:val="24"/>
          <w:highlight w:val="none"/>
        </w:rPr>
        <w:t>；</w:t>
      </w:r>
    </w:p>
    <w:p w14:paraId="4445B879">
      <w:pPr>
        <w:spacing w:line="460" w:lineRule="exact"/>
        <w:ind w:firstLine="480" w:firstLineChars="200"/>
        <w:rPr>
          <w:rFonts w:ascii="宋体" w:hAnsi="宋体"/>
          <w:color w:val="auto"/>
          <w:sz w:val="24"/>
          <w:highlight w:val="none"/>
        </w:rPr>
      </w:pPr>
      <w:r>
        <w:rPr>
          <w:rFonts w:ascii="宋体" w:hAnsi="宋体"/>
          <w:color w:val="auto"/>
          <w:sz w:val="24"/>
          <w:highlight w:val="none"/>
        </w:rPr>
        <w:t>5)能作为各专业施工图设计的依据。</w:t>
      </w:r>
    </w:p>
    <w:p w14:paraId="2838370A">
      <w:pPr>
        <w:spacing w:line="460" w:lineRule="exact"/>
        <w:ind w:firstLine="480" w:firstLineChars="200"/>
        <w:rPr>
          <w:rFonts w:ascii="宋体" w:hAnsi="宋体"/>
          <w:color w:val="auto"/>
          <w:sz w:val="24"/>
          <w:highlight w:val="none"/>
        </w:rPr>
      </w:pPr>
      <w:r>
        <w:rPr>
          <w:rFonts w:ascii="宋体" w:hAnsi="宋体"/>
          <w:color w:val="auto"/>
          <w:sz w:val="24"/>
          <w:highlight w:val="none"/>
        </w:rPr>
        <w:t>(3)初步设计中的结构设计文件,应对结构的选型、布置、截面尺寸、材料用量等予以明确。</w:t>
      </w:r>
    </w:p>
    <w:p w14:paraId="4737CF27">
      <w:pPr>
        <w:spacing w:line="460" w:lineRule="exact"/>
        <w:ind w:firstLine="480" w:firstLineChars="200"/>
        <w:rPr>
          <w:rFonts w:ascii="宋体" w:hAnsi="宋体"/>
          <w:color w:val="auto"/>
          <w:sz w:val="24"/>
          <w:highlight w:val="none"/>
        </w:rPr>
      </w:pPr>
      <w:r>
        <w:rPr>
          <w:rFonts w:ascii="宋体" w:hAnsi="宋体"/>
          <w:color w:val="auto"/>
          <w:sz w:val="24"/>
          <w:highlight w:val="none"/>
        </w:rPr>
        <w:t>(4)承包人须根据发包人的相关规定和要求进行工程设计概算的编制,概算文件中的开项必须齐全完整,造价指标必须准确,须满足工程投资控制的要求。</w:t>
      </w:r>
    </w:p>
    <w:p w14:paraId="19887511">
      <w:pPr>
        <w:spacing w:line="460" w:lineRule="exact"/>
        <w:ind w:firstLine="480" w:firstLineChars="200"/>
        <w:rPr>
          <w:rFonts w:ascii="宋体" w:hAnsi="宋体"/>
          <w:color w:val="auto"/>
          <w:sz w:val="24"/>
          <w:highlight w:val="none"/>
        </w:rPr>
      </w:pPr>
      <w:r>
        <w:rPr>
          <w:rFonts w:ascii="宋体" w:hAnsi="宋体"/>
          <w:color w:val="auto"/>
          <w:sz w:val="24"/>
          <w:highlight w:val="none"/>
        </w:rPr>
        <w:t>(5) 承包人应重点对建筑单体室内外给水、排水、电气、采暖通风、空调、动力等管线进行各专业综合分析,协调并解决其中的矛盾,成果包括室内外管线综合平衡图、场外管线综合总图和相关专业图纸及说明书。</w:t>
      </w:r>
    </w:p>
    <w:p w14:paraId="37020D68">
      <w:pPr>
        <w:spacing w:line="460" w:lineRule="exact"/>
        <w:ind w:firstLine="480" w:firstLineChars="200"/>
        <w:rPr>
          <w:rFonts w:ascii="宋体" w:hAnsi="宋体"/>
          <w:color w:val="auto"/>
          <w:sz w:val="24"/>
          <w:highlight w:val="none"/>
        </w:rPr>
      </w:pPr>
      <w:r>
        <w:rPr>
          <w:rFonts w:ascii="宋体" w:hAnsi="宋体"/>
          <w:color w:val="auto"/>
          <w:sz w:val="24"/>
          <w:highlight w:val="none"/>
        </w:rPr>
        <w:t>(6)承包人必须准确计算建筑单体的建筑面积,完善建设规模及经济指标说明。</w:t>
      </w:r>
    </w:p>
    <w:p w14:paraId="7E29D9C3">
      <w:pPr>
        <w:spacing w:line="460" w:lineRule="exact"/>
        <w:ind w:firstLine="480" w:firstLineChars="200"/>
        <w:rPr>
          <w:rFonts w:ascii="宋体" w:hAnsi="宋体"/>
          <w:color w:val="auto"/>
          <w:sz w:val="24"/>
          <w:highlight w:val="none"/>
        </w:rPr>
      </w:pPr>
      <w:r>
        <w:rPr>
          <w:rFonts w:ascii="宋体" w:hAnsi="宋体"/>
          <w:color w:val="auto"/>
          <w:sz w:val="24"/>
          <w:highlight w:val="none"/>
        </w:rPr>
        <w:t>(7)对在承包人提供的初步设计成果文件的基础上由发包人另行发包的单位进行的专项施工图设计(含施工图深化设计), 承包人初步设计成果文件中相关部分中的系统的构成、强制性的系统功能要求、设备技术参数中的强制性条目要求、接口及界面等设计内容须成熟稳定。承包人应确保相关的初步设计成果文件深度能够有效满足专项施工图设计工程投资控制的要求。承包人提供的相关初步设计成果文件应满足以下要求</w:t>
      </w:r>
      <w:r>
        <w:rPr>
          <w:rFonts w:hint="eastAsia" w:ascii="宋体" w:hAnsi="宋体"/>
          <w:color w:val="auto"/>
          <w:sz w:val="24"/>
          <w:highlight w:val="none"/>
        </w:rPr>
        <w:t>：</w:t>
      </w:r>
    </w:p>
    <w:p w14:paraId="3504F0C2">
      <w:pPr>
        <w:spacing w:line="460" w:lineRule="exact"/>
        <w:ind w:firstLine="480" w:firstLineChars="200"/>
        <w:rPr>
          <w:rFonts w:ascii="宋体" w:hAnsi="宋体"/>
          <w:color w:val="auto"/>
          <w:sz w:val="24"/>
          <w:highlight w:val="none"/>
        </w:rPr>
      </w:pPr>
      <w:r>
        <w:rPr>
          <w:rFonts w:ascii="宋体" w:hAnsi="宋体"/>
          <w:color w:val="auto"/>
          <w:sz w:val="24"/>
          <w:highlight w:val="none"/>
        </w:rPr>
        <w:t>l)钢结构工程</w:t>
      </w:r>
    </w:p>
    <w:p w14:paraId="7029B85A">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承包人提供的设计成果文件应满足初步设计文件深度要求的相关规定</w:t>
      </w:r>
      <w:r>
        <w:rPr>
          <w:rFonts w:ascii="宋体" w:hAnsi="宋体"/>
          <w:color w:val="auto"/>
          <w:sz w:val="24"/>
          <w:highlight w:val="none"/>
        </w:rPr>
        <w:t>,结构形式、布置、受力杆件、构件型号、材料种类、节点类型等设计内容须成熟稳定,具体要求如下</w:t>
      </w:r>
      <w:r>
        <w:rPr>
          <w:rFonts w:hint="eastAsia" w:ascii="宋体" w:hAnsi="宋体"/>
          <w:color w:val="auto"/>
          <w:sz w:val="24"/>
          <w:highlight w:val="none"/>
        </w:rPr>
        <w:t>：</w:t>
      </w:r>
    </w:p>
    <w:p w14:paraId="5B18633F">
      <w:pPr>
        <w:spacing w:line="460" w:lineRule="exact"/>
        <w:ind w:firstLine="480" w:firstLineChars="200"/>
        <w:rPr>
          <w:rFonts w:ascii="宋体" w:hAnsi="宋体"/>
          <w:color w:val="auto"/>
          <w:sz w:val="24"/>
          <w:highlight w:val="none"/>
        </w:rPr>
      </w:pPr>
      <w:r>
        <w:rPr>
          <w:rFonts w:ascii="宋体" w:hAnsi="宋体"/>
          <w:color w:val="auto"/>
          <w:sz w:val="24"/>
          <w:highlight w:val="none"/>
        </w:rPr>
        <w:t>a)设计成果文件应提供杆件的控制内力，设计计算应考虑施工工序及稳定应力；</w:t>
      </w:r>
    </w:p>
    <w:p w14:paraId="7923DC8E">
      <w:pPr>
        <w:spacing w:line="460" w:lineRule="exact"/>
        <w:ind w:firstLine="480" w:firstLineChars="200"/>
        <w:rPr>
          <w:rFonts w:ascii="宋体" w:hAnsi="宋体"/>
          <w:color w:val="auto"/>
          <w:sz w:val="24"/>
          <w:highlight w:val="none"/>
        </w:rPr>
      </w:pPr>
      <w:r>
        <w:rPr>
          <w:rFonts w:ascii="宋体" w:hAnsi="宋体"/>
          <w:color w:val="auto"/>
          <w:sz w:val="24"/>
          <w:highlight w:val="none"/>
        </w:rPr>
        <w:t>b)补充钢结构设计总说明：详细材料要求、加工要求、连接要求、焊接质量要求、防腐、防火要求，并对安装条件做出说明；</w:t>
      </w:r>
    </w:p>
    <w:p w14:paraId="78D41957">
      <w:pPr>
        <w:spacing w:line="460" w:lineRule="exact"/>
        <w:ind w:firstLine="480" w:firstLineChars="200"/>
        <w:rPr>
          <w:rFonts w:ascii="宋体" w:hAnsi="宋体"/>
          <w:color w:val="auto"/>
          <w:sz w:val="24"/>
          <w:highlight w:val="none"/>
        </w:rPr>
      </w:pPr>
      <w:r>
        <w:rPr>
          <w:rFonts w:ascii="宋体" w:hAnsi="宋体"/>
          <w:color w:val="auto"/>
          <w:sz w:val="24"/>
          <w:highlight w:val="none"/>
        </w:rPr>
        <w:t>c)主桁架未有桁架剪力墙的连接大样的，典型节点应作有限之分析，关键节点应作有关实验。（试验费不包括在设计费中）</w:t>
      </w:r>
    </w:p>
    <w:p w14:paraId="4903A333">
      <w:pPr>
        <w:spacing w:line="460" w:lineRule="exact"/>
        <w:ind w:firstLine="480" w:firstLineChars="200"/>
        <w:rPr>
          <w:rFonts w:ascii="宋体" w:hAnsi="宋体"/>
          <w:color w:val="auto"/>
          <w:sz w:val="24"/>
          <w:highlight w:val="none"/>
        </w:rPr>
      </w:pPr>
      <w:r>
        <w:rPr>
          <w:rFonts w:ascii="宋体" w:hAnsi="宋体"/>
          <w:color w:val="auto"/>
          <w:sz w:val="24"/>
          <w:highlight w:val="none"/>
        </w:rPr>
        <w:t>d)优化结构体系，取消或减少部分主、次桁架，完善支撑系统，支撑的布置考虑结构的整体稳定。</w:t>
      </w:r>
    </w:p>
    <w:p w14:paraId="3FB30568">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承包人须协作，在其提供的设计成果文件的基础上进行的达至施工图设计程度的专项设计，其总用钢量增加在</w:t>
      </w:r>
      <w:r>
        <w:rPr>
          <w:rFonts w:ascii="宋体" w:hAnsi="宋体"/>
          <w:color w:val="auto"/>
          <w:sz w:val="24"/>
          <w:highlight w:val="none"/>
        </w:rPr>
        <w:t>5%以内。</w:t>
      </w:r>
    </w:p>
    <w:p w14:paraId="09BE471B">
      <w:pPr>
        <w:spacing w:line="460" w:lineRule="exact"/>
        <w:ind w:firstLine="480" w:firstLineChars="200"/>
        <w:rPr>
          <w:rFonts w:ascii="宋体" w:hAnsi="宋体"/>
          <w:color w:val="auto"/>
          <w:sz w:val="24"/>
          <w:highlight w:val="none"/>
        </w:rPr>
      </w:pPr>
      <w:r>
        <w:rPr>
          <w:rFonts w:ascii="宋体" w:hAnsi="宋体"/>
          <w:color w:val="auto"/>
          <w:sz w:val="24"/>
          <w:highlight w:val="none"/>
        </w:rPr>
        <w:t>2)幕墙工程</w:t>
      </w:r>
    </w:p>
    <w:p w14:paraId="0AF53745">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承包人提供的设计成果文件中幕墙外观、幕墙饰线的尺度具体要求、材料品种档次、界面处理等设计内容须成熟稳定。</w:t>
      </w:r>
    </w:p>
    <w:p w14:paraId="40B83316">
      <w:pPr>
        <w:spacing w:line="460" w:lineRule="exact"/>
        <w:ind w:firstLine="480" w:firstLineChars="200"/>
        <w:rPr>
          <w:rFonts w:ascii="宋体" w:hAnsi="宋体"/>
          <w:color w:val="auto"/>
          <w:sz w:val="24"/>
          <w:highlight w:val="none"/>
        </w:rPr>
      </w:pPr>
      <w:r>
        <w:rPr>
          <w:rFonts w:ascii="宋体" w:hAnsi="宋体"/>
          <w:color w:val="auto"/>
          <w:sz w:val="24"/>
          <w:highlight w:val="none"/>
        </w:rPr>
        <w:t>3)机电设备安装工程</w:t>
      </w:r>
    </w:p>
    <w:p w14:paraId="32EF82D8">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承包人提供的设计成果文件中，系统的构成、强制性的系统功能要求（功能要求点表）、设备技术参数中的强制性条目要求等设计内容须成熟稳定。</w:t>
      </w:r>
    </w:p>
    <w:p w14:paraId="18789581">
      <w:pPr>
        <w:spacing w:line="460" w:lineRule="exact"/>
        <w:ind w:firstLine="480" w:firstLineChars="200"/>
        <w:rPr>
          <w:rFonts w:ascii="宋体" w:hAnsi="宋体"/>
          <w:color w:val="auto"/>
          <w:sz w:val="24"/>
          <w:highlight w:val="none"/>
        </w:rPr>
      </w:pPr>
      <w:r>
        <w:rPr>
          <w:rFonts w:ascii="宋体" w:hAnsi="宋体"/>
          <w:color w:val="auto"/>
          <w:sz w:val="24"/>
          <w:highlight w:val="none"/>
        </w:rPr>
        <w:t>4)弱电智能化工程</w:t>
      </w:r>
    </w:p>
    <w:p w14:paraId="696E8D6F">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承包人提供的设计成果文件中，系统的构成、强制性的系统功能要求（系统图及功能要求点表）、主要设备材料技术参数中的强制性条目要求等设计内容须成熟稳定。</w:t>
      </w:r>
    </w:p>
    <w:p w14:paraId="141B3866">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.2.3 施工图设计及优化提升阶段的成果文件及工作要求</w:t>
      </w:r>
    </w:p>
    <w:p w14:paraId="06AFD027">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.2.3.1 施工图设计的成果文件</w:t>
      </w:r>
    </w:p>
    <w:p w14:paraId="56A70AE0">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承包人将施工图设计阶段的成果文件送施工图审查单位及发包人审查，并根据审查意见修改相关设计文件成果。按照规划主管部门的报建要求，承包人提供建筑施工报建所需相关设计成果文件并根据相关的审批意见对设计成果文件进行相应修改。相关设计成果文件包括但不限于以下内容：</w:t>
      </w:r>
    </w:p>
    <w:p w14:paraId="457EC94A">
      <w:pPr>
        <w:spacing w:line="460" w:lineRule="exact"/>
        <w:ind w:firstLine="480" w:firstLineChars="200"/>
        <w:rPr>
          <w:rFonts w:ascii="宋体" w:hAnsi="宋体"/>
          <w:color w:val="auto"/>
          <w:sz w:val="24"/>
          <w:highlight w:val="none"/>
        </w:rPr>
      </w:pPr>
      <w:r>
        <w:rPr>
          <w:rFonts w:ascii="宋体" w:hAnsi="宋体"/>
          <w:color w:val="auto"/>
          <w:sz w:val="24"/>
          <w:highlight w:val="none"/>
        </w:rPr>
        <w:t>建筑专业施工图设计图纸；结构专业施工图设计图纸；给排水专业施工图设计图纸；电气及智能化专业施工图设计图纸；暖通专业施工图设计图纸；景观专业施工图设计图纸；</w:t>
      </w:r>
      <w:r>
        <w:rPr>
          <w:rFonts w:hint="eastAsia" w:ascii="宋体" w:hAnsi="宋体"/>
          <w:color w:val="auto"/>
          <w:sz w:val="24"/>
          <w:highlight w:val="none"/>
        </w:rPr>
        <w:t>绿色建筑</w:t>
      </w:r>
      <w:r>
        <w:rPr>
          <w:rFonts w:ascii="宋体" w:hAnsi="宋体"/>
          <w:color w:val="auto"/>
          <w:sz w:val="24"/>
          <w:highlight w:val="none"/>
        </w:rPr>
        <w:t>专业成果及图纸</w:t>
      </w:r>
      <w:r>
        <w:rPr>
          <w:rFonts w:hint="eastAsia" w:ascii="宋体" w:hAnsi="宋体"/>
          <w:color w:val="auto"/>
          <w:sz w:val="24"/>
          <w:highlight w:val="none"/>
        </w:rPr>
        <w:t>；建筑节能专业成果及图纸；海绵城市专业成果及图纸；室外配套专业施工图设计图纸；配建</w:t>
      </w:r>
      <w:r>
        <w:rPr>
          <w:rFonts w:ascii="宋体" w:hAnsi="宋体"/>
          <w:color w:val="auto"/>
          <w:sz w:val="24"/>
          <w:highlight w:val="none"/>
        </w:rPr>
        <w:t>市政道路</w:t>
      </w:r>
      <w:r>
        <w:rPr>
          <w:rFonts w:hint="eastAsia" w:ascii="宋体" w:hAnsi="宋体"/>
          <w:color w:val="auto"/>
          <w:sz w:val="24"/>
          <w:highlight w:val="none"/>
        </w:rPr>
        <w:t>（含市政管线）</w:t>
      </w:r>
      <w:r>
        <w:rPr>
          <w:rFonts w:ascii="宋体" w:hAnsi="宋体"/>
          <w:color w:val="auto"/>
          <w:sz w:val="24"/>
          <w:highlight w:val="none"/>
        </w:rPr>
        <w:t>专业施工图设计图纸（如有）</w:t>
      </w:r>
      <w:r>
        <w:rPr>
          <w:rFonts w:hint="eastAsia" w:ascii="宋体" w:hAnsi="宋体"/>
          <w:color w:val="auto"/>
          <w:sz w:val="24"/>
          <w:highlight w:val="none"/>
        </w:rPr>
        <w:t>；</w:t>
      </w:r>
      <w:r>
        <w:rPr>
          <w:rFonts w:ascii="宋体" w:hAnsi="宋体"/>
          <w:color w:val="auto"/>
          <w:sz w:val="24"/>
          <w:highlight w:val="none"/>
        </w:rPr>
        <w:t>其它专项设计施工图设计图纸（如有）</w:t>
      </w:r>
      <w:r>
        <w:rPr>
          <w:rFonts w:hint="eastAsia" w:ascii="宋体" w:hAnsi="宋体"/>
          <w:color w:val="auto"/>
          <w:sz w:val="24"/>
          <w:highlight w:val="none"/>
        </w:rPr>
        <w:t>。</w:t>
      </w:r>
    </w:p>
    <w:p w14:paraId="21DEE39C">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.2.3.2 优化提升阶段的成果文件</w:t>
      </w:r>
    </w:p>
    <w:p w14:paraId="276C3DAF">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承包人将优化提升设计阶段的成果文件送发包人审查，并根据审查意见修改相关设计文件成果，并向发包人提交施工图及优化提升设计成果文件图纸及文本文件。相关设计成果文件包括但不限于以下内容：</w:t>
      </w:r>
    </w:p>
    <w:p w14:paraId="603589E0">
      <w:pPr>
        <w:spacing w:line="460" w:lineRule="exact"/>
        <w:ind w:firstLine="480" w:firstLineChars="200"/>
        <w:rPr>
          <w:rFonts w:ascii="宋体" w:hAnsi="宋体"/>
          <w:color w:val="auto"/>
          <w:sz w:val="24"/>
          <w:highlight w:val="none"/>
        </w:rPr>
      </w:pPr>
      <w:r>
        <w:rPr>
          <w:rFonts w:ascii="宋体" w:hAnsi="宋体"/>
          <w:color w:val="auto"/>
          <w:sz w:val="24"/>
          <w:highlight w:val="none"/>
        </w:rPr>
        <w:t>建筑专业优化提升施工图设计图纸；结构专业优化提升施工图设计图纸；给排水专业优化提升施工图设计图纸；电气及智能化专业优化提升施工图设计图纸；暖通专业优化提升施工图设计图纸；1：30单元放大各专业施工图设计图纸；景观专业优化提升施工图设计图纸（如有）；绿建专业优化提升成果及图纸（如有）</w:t>
      </w:r>
      <w:r>
        <w:rPr>
          <w:rFonts w:hint="eastAsia" w:ascii="宋体" w:hAnsi="宋体"/>
          <w:color w:val="auto"/>
          <w:sz w:val="24"/>
          <w:highlight w:val="none"/>
        </w:rPr>
        <w:t>；海绵城市专业</w:t>
      </w:r>
      <w:r>
        <w:rPr>
          <w:rFonts w:ascii="宋体" w:hAnsi="宋体"/>
          <w:color w:val="auto"/>
          <w:sz w:val="24"/>
          <w:highlight w:val="none"/>
        </w:rPr>
        <w:t>优化提升成果及图纸（如有）</w:t>
      </w:r>
      <w:r>
        <w:rPr>
          <w:rFonts w:hint="eastAsia" w:ascii="宋体" w:hAnsi="宋体"/>
          <w:color w:val="auto"/>
          <w:sz w:val="24"/>
          <w:highlight w:val="none"/>
        </w:rPr>
        <w:t>；</w:t>
      </w:r>
      <w:r>
        <w:rPr>
          <w:rFonts w:ascii="宋体" w:hAnsi="宋体"/>
          <w:color w:val="auto"/>
          <w:sz w:val="24"/>
          <w:highlight w:val="none"/>
        </w:rPr>
        <w:t>其它专项设计施工图设计图纸（如有）</w:t>
      </w:r>
      <w:r>
        <w:rPr>
          <w:rFonts w:hint="eastAsia" w:ascii="宋体" w:hAnsi="宋体"/>
          <w:color w:val="auto"/>
          <w:sz w:val="24"/>
          <w:highlight w:val="none"/>
        </w:rPr>
        <w:t>；</w:t>
      </w:r>
      <w:r>
        <w:rPr>
          <w:rFonts w:ascii="宋体" w:hAnsi="宋体"/>
          <w:color w:val="auto"/>
          <w:sz w:val="24"/>
          <w:highlight w:val="none"/>
        </w:rPr>
        <w:t>设备专业根据装修专业图纸调整修改。</w:t>
      </w:r>
    </w:p>
    <w:p w14:paraId="3C4C9C49">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承包人对各专项设计施工图的技术接口进行审核并进行设计联络及完善；对本合同范围内的所有的施工图设计成果文件（包括发包人另行发包的专项设计的成果及承包人自行分包的设计成果文件）进行总体设计协调，提交本合同范围内的全部施工图，包括但不限于下列设计成果文件：</w:t>
      </w:r>
    </w:p>
    <w:p w14:paraId="3BFB91C3">
      <w:pPr>
        <w:spacing w:line="460" w:lineRule="exact"/>
        <w:ind w:firstLine="480" w:firstLineChars="200"/>
        <w:rPr>
          <w:rFonts w:ascii="宋体" w:hAnsi="宋体"/>
          <w:color w:val="auto"/>
          <w:sz w:val="24"/>
          <w:highlight w:val="none"/>
        </w:rPr>
      </w:pPr>
      <w:r>
        <w:rPr>
          <w:rFonts w:ascii="宋体" w:hAnsi="宋体"/>
          <w:color w:val="auto"/>
          <w:sz w:val="24"/>
          <w:highlight w:val="none"/>
        </w:rPr>
        <w:t>1)总平面图；</w:t>
      </w:r>
    </w:p>
    <w:p w14:paraId="60A28BEE">
      <w:pPr>
        <w:spacing w:line="460" w:lineRule="exact"/>
        <w:ind w:firstLine="480" w:firstLineChars="200"/>
        <w:rPr>
          <w:rFonts w:ascii="宋体" w:hAnsi="宋体"/>
          <w:color w:val="auto"/>
          <w:sz w:val="24"/>
          <w:highlight w:val="none"/>
        </w:rPr>
      </w:pPr>
      <w:r>
        <w:rPr>
          <w:rFonts w:ascii="宋体" w:hAnsi="宋体"/>
          <w:color w:val="auto"/>
          <w:sz w:val="24"/>
          <w:highlight w:val="none"/>
        </w:rPr>
        <w:t>2)合同要求所涉及的所有专业（包括建筑、结构、给排水、电气、空调、 园林景观、装饰装修等专业及各专项设计）的设计图纸及设计说明、计算书；</w:t>
      </w:r>
    </w:p>
    <w:p w14:paraId="16EFD915">
      <w:pPr>
        <w:spacing w:line="460" w:lineRule="exact"/>
        <w:ind w:firstLine="480" w:firstLineChars="200"/>
        <w:rPr>
          <w:rFonts w:ascii="宋体" w:hAnsi="宋体"/>
          <w:color w:val="auto"/>
          <w:sz w:val="24"/>
          <w:highlight w:val="none"/>
        </w:rPr>
      </w:pPr>
      <w:r>
        <w:rPr>
          <w:rFonts w:ascii="宋体" w:hAnsi="宋体"/>
          <w:color w:val="auto"/>
          <w:sz w:val="24"/>
          <w:highlight w:val="none"/>
        </w:rPr>
        <w:t>3)设备材料表以及满足招投标要求的技术规格书、技术需求书；</w:t>
      </w:r>
    </w:p>
    <w:p w14:paraId="51B4136C">
      <w:pPr>
        <w:spacing w:line="460" w:lineRule="exact"/>
        <w:ind w:firstLine="480" w:firstLineChars="200"/>
        <w:rPr>
          <w:rFonts w:ascii="宋体" w:hAnsi="宋体"/>
          <w:color w:val="auto"/>
          <w:sz w:val="24"/>
          <w:highlight w:val="none"/>
        </w:rPr>
      </w:pPr>
      <w:r>
        <w:rPr>
          <w:rFonts w:ascii="宋体" w:hAnsi="宋体"/>
          <w:color w:val="auto"/>
          <w:sz w:val="24"/>
          <w:highlight w:val="none"/>
        </w:rPr>
        <w:t>4)管线综合图（室外管线迁移图）；</w:t>
      </w:r>
    </w:p>
    <w:p w14:paraId="345B8152">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.2.3.3 施工图设计及优化提升阶段的工作要求</w:t>
      </w:r>
    </w:p>
    <w:p w14:paraId="7CAE0238">
      <w:pPr>
        <w:spacing w:line="460" w:lineRule="exact"/>
        <w:ind w:firstLine="480" w:firstLineChars="200"/>
        <w:rPr>
          <w:rFonts w:ascii="宋体" w:hAnsi="宋体"/>
          <w:color w:val="auto"/>
          <w:sz w:val="24"/>
          <w:highlight w:val="none"/>
        </w:rPr>
      </w:pPr>
      <w:r>
        <w:rPr>
          <w:rFonts w:ascii="宋体" w:hAnsi="宋体"/>
          <w:color w:val="auto"/>
          <w:sz w:val="24"/>
          <w:highlight w:val="none"/>
        </w:rPr>
        <w:t>(1)施工图及优化提升设计文件均以各工程子项为编制单位。</w:t>
      </w:r>
    </w:p>
    <w:p w14:paraId="667FFF8D">
      <w:pPr>
        <w:spacing w:line="460" w:lineRule="exact"/>
        <w:ind w:firstLine="480" w:firstLineChars="200"/>
        <w:rPr>
          <w:rFonts w:ascii="宋体" w:hAnsi="宋体"/>
          <w:color w:val="auto"/>
          <w:sz w:val="24"/>
          <w:highlight w:val="none"/>
        </w:rPr>
      </w:pPr>
      <w:r>
        <w:rPr>
          <w:rFonts w:ascii="宋体" w:hAnsi="宋体"/>
          <w:color w:val="auto"/>
          <w:sz w:val="24"/>
          <w:highlight w:val="none"/>
        </w:rPr>
        <w:t>(2)施工图及优化提升设计文件的深度要满足以下要求：</w:t>
      </w:r>
    </w:p>
    <w:p w14:paraId="2A4F1CF5">
      <w:pPr>
        <w:spacing w:line="460" w:lineRule="exact"/>
        <w:ind w:firstLine="480" w:firstLineChars="200"/>
        <w:rPr>
          <w:rFonts w:ascii="宋体" w:hAnsi="宋体"/>
          <w:color w:val="auto"/>
          <w:sz w:val="24"/>
          <w:highlight w:val="none"/>
        </w:rPr>
      </w:pPr>
      <w:r>
        <w:rPr>
          <w:rFonts w:ascii="宋体" w:hAnsi="宋体"/>
          <w:color w:val="auto"/>
          <w:sz w:val="24"/>
          <w:highlight w:val="none"/>
        </w:rPr>
        <w:t>1)应根据发包人批准的初步设计进行编制；</w:t>
      </w:r>
    </w:p>
    <w:p w14:paraId="7FA4A44B">
      <w:pPr>
        <w:spacing w:line="460" w:lineRule="exact"/>
        <w:ind w:firstLine="480" w:firstLineChars="200"/>
        <w:rPr>
          <w:rFonts w:ascii="宋体" w:hAnsi="宋体"/>
          <w:color w:val="auto"/>
          <w:sz w:val="24"/>
          <w:highlight w:val="none"/>
        </w:rPr>
      </w:pPr>
      <w:r>
        <w:rPr>
          <w:rFonts w:ascii="宋体" w:hAnsi="宋体"/>
          <w:color w:val="auto"/>
          <w:sz w:val="24"/>
          <w:highlight w:val="none"/>
        </w:rPr>
        <w:t>2)满足建设部批准的《建筑工程设计文件编制深度规定》施工图设计阶段的要求；</w:t>
      </w:r>
    </w:p>
    <w:p w14:paraId="5ACACACA">
      <w:pPr>
        <w:spacing w:line="460" w:lineRule="exact"/>
        <w:ind w:firstLine="480" w:firstLineChars="200"/>
        <w:rPr>
          <w:rFonts w:ascii="宋体" w:hAnsi="宋体"/>
          <w:color w:val="auto"/>
          <w:sz w:val="24"/>
          <w:highlight w:val="none"/>
        </w:rPr>
      </w:pPr>
      <w:r>
        <w:rPr>
          <w:rFonts w:ascii="宋体" w:hAnsi="宋体"/>
          <w:color w:val="auto"/>
          <w:sz w:val="24"/>
          <w:highlight w:val="none"/>
        </w:rPr>
        <w:t>3)能据以编制施工图预算和投标限价；</w:t>
      </w:r>
    </w:p>
    <w:p w14:paraId="5E9FD71B">
      <w:pPr>
        <w:spacing w:line="460" w:lineRule="exact"/>
        <w:ind w:firstLine="480" w:firstLineChars="200"/>
        <w:rPr>
          <w:rFonts w:ascii="宋体" w:hAnsi="宋体"/>
          <w:color w:val="auto"/>
          <w:sz w:val="24"/>
          <w:highlight w:val="none"/>
        </w:rPr>
      </w:pPr>
      <w:r>
        <w:rPr>
          <w:rFonts w:ascii="宋体" w:hAnsi="宋体"/>
          <w:color w:val="auto"/>
          <w:sz w:val="24"/>
          <w:highlight w:val="none"/>
        </w:rPr>
        <w:t>4)能据以编制招标文件；</w:t>
      </w:r>
    </w:p>
    <w:p w14:paraId="1A65473F">
      <w:pPr>
        <w:spacing w:line="460" w:lineRule="exact"/>
        <w:ind w:firstLine="480" w:firstLineChars="200"/>
        <w:rPr>
          <w:rFonts w:ascii="宋体" w:hAnsi="宋体"/>
          <w:color w:val="auto"/>
          <w:sz w:val="24"/>
          <w:highlight w:val="none"/>
        </w:rPr>
      </w:pPr>
      <w:r>
        <w:rPr>
          <w:rFonts w:ascii="宋体" w:hAnsi="宋体"/>
          <w:color w:val="auto"/>
          <w:sz w:val="24"/>
          <w:highlight w:val="none"/>
        </w:rPr>
        <w:t>5)能据以安排材料、设备订货和非标准设备的制作；</w:t>
      </w:r>
    </w:p>
    <w:p w14:paraId="4A4744DA">
      <w:pPr>
        <w:spacing w:line="460" w:lineRule="exact"/>
        <w:ind w:firstLine="480" w:firstLineChars="200"/>
        <w:rPr>
          <w:rFonts w:ascii="宋体" w:hAnsi="宋体"/>
          <w:color w:val="auto"/>
          <w:sz w:val="24"/>
          <w:highlight w:val="none"/>
        </w:rPr>
      </w:pPr>
      <w:r>
        <w:rPr>
          <w:rFonts w:ascii="宋体" w:hAnsi="宋体"/>
          <w:color w:val="auto"/>
          <w:sz w:val="24"/>
          <w:highlight w:val="none"/>
        </w:rPr>
        <w:t>6)能据以进行施工和安装；</w:t>
      </w:r>
    </w:p>
    <w:p w14:paraId="54C8229F">
      <w:pPr>
        <w:spacing w:line="460" w:lineRule="exact"/>
        <w:ind w:firstLine="480" w:firstLineChars="200"/>
        <w:rPr>
          <w:rFonts w:ascii="宋体" w:hAnsi="宋体"/>
          <w:color w:val="auto"/>
          <w:sz w:val="24"/>
          <w:highlight w:val="none"/>
        </w:rPr>
      </w:pPr>
      <w:r>
        <w:rPr>
          <w:rFonts w:ascii="宋体" w:hAnsi="宋体"/>
          <w:color w:val="auto"/>
          <w:sz w:val="24"/>
          <w:highlight w:val="none"/>
        </w:rPr>
        <w:t>7)能据以进行工程竣工验收。</w:t>
      </w:r>
    </w:p>
    <w:p w14:paraId="3AF4633E">
      <w:pPr>
        <w:spacing w:line="460" w:lineRule="exact"/>
        <w:ind w:firstLine="480" w:firstLineChars="200"/>
        <w:rPr>
          <w:rFonts w:ascii="宋体" w:hAnsi="宋体"/>
          <w:color w:val="auto"/>
          <w:sz w:val="24"/>
          <w:highlight w:val="none"/>
        </w:rPr>
      </w:pPr>
      <w:r>
        <w:rPr>
          <w:rFonts w:ascii="宋体" w:hAnsi="宋体"/>
          <w:color w:val="auto"/>
          <w:sz w:val="24"/>
          <w:highlight w:val="none"/>
        </w:rPr>
        <w:t>(3)承包人提交给发包人的施工图及优化提升设计成果文件应不存在错、漏、碰等问题。</w:t>
      </w:r>
    </w:p>
    <w:p w14:paraId="3CD58628">
      <w:pPr>
        <w:spacing w:line="460" w:lineRule="exact"/>
        <w:ind w:firstLine="480" w:firstLineChars="200"/>
        <w:rPr>
          <w:rFonts w:ascii="宋体" w:hAnsi="宋体"/>
          <w:color w:val="auto"/>
          <w:sz w:val="24"/>
          <w:highlight w:val="none"/>
        </w:rPr>
      </w:pPr>
      <w:r>
        <w:rPr>
          <w:rFonts w:ascii="宋体" w:hAnsi="宋体"/>
          <w:color w:val="auto"/>
          <w:sz w:val="24"/>
          <w:highlight w:val="none"/>
        </w:rPr>
        <w:t>(4)应重点对建筑单体室内外给水、排水、电气、采暖通风、空调、动力等管线进行专业综合分析，协调并解决其中的矛盾，并提供相关的成果文件(包括但不限于室内外管线综合平衡图、场外管线综合总图和相关专业图纸及说明书），同时完成土建、机电设备选型意见、技术要求文件，并推荐设备材料品牌。</w:t>
      </w:r>
    </w:p>
    <w:p w14:paraId="0E27D098">
      <w:pPr>
        <w:spacing w:line="460" w:lineRule="exact"/>
        <w:ind w:firstLine="480" w:firstLineChars="200"/>
        <w:rPr>
          <w:rFonts w:ascii="宋体" w:hAnsi="宋体"/>
          <w:color w:val="auto"/>
          <w:sz w:val="24"/>
          <w:highlight w:val="none"/>
        </w:rPr>
      </w:pPr>
      <w:r>
        <w:rPr>
          <w:rFonts w:ascii="宋体" w:hAnsi="宋体"/>
          <w:color w:val="auto"/>
          <w:sz w:val="24"/>
          <w:highlight w:val="none"/>
        </w:rPr>
        <w:t>(5)应对分包单位的各专项设计的方案至施工图设计及优化提升设计进行预审把关，确保专项设计成果的完整性、有效性、正确性、可靠性及经济合理性。</w:t>
      </w:r>
    </w:p>
    <w:p w14:paraId="133A504E">
      <w:pPr>
        <w:spacing w:line="460" w:lineRule="exact"/>
        <w:ind w:firstLine="480" w:firstLineChars="200"/>
        <w:rPr>
          <w:rFonts w:ascii="宋体" w:hAnsi="宋体"/>
          <w:color w:val="auto"/>
          <w:sz w:val="24"/>
          <w:highlight w:val="none"/>
        </w:rPr>
      </w:pPr>
      <w:r>
        <w:rPr>
          <w:rFonts w:ascii="宋体" w:hAnsi="宋体"/>
          <w:color w:val="auto"/>
          <w:sz w:val="24"/>
          <w:highlight w:val="none"/>
        </w:rPr>
        <w:t>(6)如有发包人另行发包的专项施工工程，承包人须提供用于指导该专项施工工程深化设计的设计文件和资料，且须满足施工图深度，并对系统、设备、材料的技术指标及设计范围进行限定；</w:t>
      </w:r>
      <w:r>
        <w:rPr>
          <w:rFonts w:hint="eastAsia" w:ascii="宋体" w:hAnsi="宋体"/>
          <w:color w:val="auto"/>
          <w:sz w:val="24"/>
          <w:highlight w:val="none"/>
        </w:rPr>
        <w:t>承包人负责</w:t>
      </w:r>
      <w:r>
        <w:rPr>
          <w:rFonts w:ascii="宋体" w:hAnsi="宋体"/>
          <w:color w:val="auto"/>
          <w:sz w:val="24"/>
          <w:highlight w:val="none"/>
        </w:rPr>
        <w:t>满足编制工程量清单及开展施工招标采购工作的需要，并对发包人另行发包的专项工程的实施单位的深化设计成果文件进行完整性、有效性、正确性、可靠性及经济合理性审核，承包人对实施单位深化设计成果文件进行审核的具体要求按发包人制定的相关管理办法执行，</w:t>
      </w:r>
      <w:r>
        <w:rPr>
          <w:rFonts w:hint="eastAsia" w:ascii="宋体" w:hAnsi="宋体"/>
          <w:color w:val="auto"/>
          <w:sz w:val="24"/>
          <w:highlight w:val="none"/>
        </w:rPr>
        <w:t>承包人</w:t>
      </w:r>
      <w:r>
        <w:rPr>
          <w:rFonts w:ascii="宋体" w:hAnsi="宋体"/>
          <w:color w:val="auto"/>
          <w:sz w:val="24"/>
          <w:highlight w:val="none"/>
        </w:rPr>
        <w:t>工作职责包括但不限于如下：</w:t>
      </w:r>
    </w:p>
    <w:p w14:paraId="1883BDF2">
      <w:pPr>
        <w:spacing w:line="460" w:lineRule="exact"/>
        <w:ind w:firstLine="480" w:firstLineChars="200"/>
        <w:rPr>
          <w:rFonts w:ascii="宋体" w:hAnsi="宋体"/>
          <w:color w:val="auto"/>
          <w:sz w:val="24"/>
          <w:highlight w:val="none"/>
        </w:rPr>
      </w:pPr>
      <w:r>
        <w:rPr>
          <w:rFonts w:ascii="宋体" w:hAnsi="宋体"/>
          <w:color w:val="auto"/>
          <w:sz w:val="24"/>
          <w:highlight w:val="none"/>
        </w:rPr>
        <w:t>1)审核深化设计文件是否符合原设计文件的要求；</w:t>
      </w:r>
    </w:p>
    <w:p w14:paraId="3A736352">
      <w:pPr>
        <w:spacing w:line="460" w:lineRule="exact"/>
        <w:ind w:firstLine="480" w:firstLineChars="200"/>
        <w:rPr>
          <w:rFonts w:ascii="宋体" w:hAnsi="宋体"/>
          <w:color w:val="auto"/>
          <w:sz w:val="24"/>
          <w:highlight w:val="none"/>
        </w:rPr>
      </w:pPr>
      <w:r>
        <w:rPr>
          <w:rFonts w:ascii="宋体" w:hAnsi="宋体"/>
          <w:color w:val="auto"/>
          <w:sz w:val="24"/>
          <w:highlight w:val="none"/>
        </w:rPr>
        <w:t>2)审核是否符合国家的法律法规、国家规范规程、行业标准、地区标准；</w:t>
      </w:r>
    </w:p>
    <w:p w14:paraId="6A340BE6">
      <w:pPr>
        <w:spacing w:line="460" w:lineRule="exact"/>
        <w:ind w:firstLine="480" w:firstLineChars="200"/>
        <w:rPr>
          <w:rFonts w:ascii="宋体" w:hAnsi="宋体"/>
          <w:color w:val="auto"/>
          <w:sz w:val="24"/>
          <w:highlight w:val="none"/>
        </w:rPr>
      </w:pPr>
      <w:r>
        <w:rPr>
          <w:rFonts w:ascii="宋体" w:hAnsi="宋体"/>
          <w:color w:val="auto"/>
          <w:sz w:val="24"/>
          <w:highlight w:val="none"/>
        </w:rPr>
        <w:t>3)审核是否满足功能要求、使用要求及实施的可行性；</w:t>
      </w:r>
    </w:p>
    <w:p w14:paraId="51C689E0">
      <w:pPr>
        <w:spacing w:line="460" w:lineRule="exact"/>
        <w:ind w:firstLine="480" w:firstLineChars="200"/>
        <w:rPr>
          <w:rFonts w:ascii="宋体" w:hAnsi="宋体"/>
          <w:color w:val="auto"/>
          <w:sz w:val="24"/>
          <w:highlight w:val="none"/>
        </w:rPr>
      </w:pPr>
      <w:r>
        <w:rPr>
          <w:rFonts w:ascii="宋体" w:hAnsi="宋体"/>
          <w:color w:val="auto"/>
          <w:sz w:val="24"/>
          <w:highlight w:val="none"/>
        </w:rPr>
        <w:t>4)审核技术经济性；</w:t>
      </w:r>
    </w:p>
    <w:p w14:paraId="594A30A1">
      <w:pPr>
        <w:spacing w:line="460" w:lineRule="exact"/>
        <w:ind w:firstLine="480" w:firstLineChars="200"/>
        <w:rPr>
          <w:rFonts w:ascii="宋体" w:hAnsi="宋体"/>
          <w:color w:val="auto"/>
          <w:sz w:val="24"/>
          <w:highlight w:val="none"/>
        </w:rPr>
      </w:pPr>
      <w:r>
        <w:rPr>
          <w:rFonts w:ascii="宋体" w:hAnsi="宋体"/>
          <w:color w:val="auto"/>
          <w:sz w:val="24"/>
          <w:highlight w:val="none"/>
        </w:rPr>
        <w:t>5)对相关各专业的协调性进行审核；</w:t>
      </w:r>
    </w:p>
    <w:p w14:paraId="61737A36">
      <w:pPr>
        <w:spacing w:line="460" w:lineRule="exact"/>
        <w:ind w:firstLine="480" w:firstLineChars="200"/>
        <w:rPr>
          <w:rFonts w:ascii="宋体" w:hAnsi="宋体"/>
          <w:color w:val="auto"/>
          <w:sz w:val="24"/>
          <w:highlight w:val="none"/>
        </w:rPr>
      </w:pPr>
      <w:r>
        <w:rPr>
          <w:rFonts w:ascii="宋体" w:hAnsi="宋体"/>
          <w:color w:val="auto"/>
          <w:sz w:val="24"/>
          <w:highlight w:val="none"/>
        </w:rPr>
        <w:t>6)复核及审查深化后的结构安全性及稳定性；</w:t>
      </w:r>
    </w:p>
    <w:p w14:paraId="12D50A1F">
      <w:pPr>
        <w:spacing w:line="460" w:lineRule="exact"/>
        <w:ind w:firstLine="480" w:firstLineChars="200"/>
        <w:rPr>
          <w:rFonts w:ascii="宋体" w:hAnsi="宋体"/>
          <w:color w:val="auto"/>
          <w:sz w:val="24"/>
          <w:highlight w:val="none"/>
        </w:rPr>
      </w:pPr>
      <w:r>
        <w:rPr>
          <w:rFonts w:ascii="宋体" w:hAnsi="宋体"/>
          <w:color w:val="auto"/>
          <w:sz w:val="24"/>
          <w:highlight w:val="none"/>
        </w:rPr>
        <w:t>7)结合施工图审查单位及发包人的审核意见督促专项工程的深化设计单位修 改完善相关的深化设计文件；</w:t>
      </w:r>
    </w:p>
    <w:p w14:paraId="25E0B782">
      <w:pPr>
        <w:spacing w:line="460" w:lineRule="exact"/>
        <w:ind w:firstLine="480" w:firstLineChars="200"/>
        <w:rPr>
          <w:rFonts w:ascii="宋体" w:hAnsi="宋体"/>
          <w:color w:val="auto"/>
          <w:sz w:val="24"/>
          <w:highlight w:val="none"/>
        </w:rPr>
      </w:pPr>
      <w:r>
        <w:rPr>
          <w:rFonts w:ascii="宋体" w:hAnsi="宋体"/>
          <w:color w:val="auto"/>
          <w:sz w:val="24"/>
          <w:highlight w:val="none"/>
        </w:rPr>
        <w:t>8)承包人须根据最终完善的深化设计文件对其设计范围内的相关专业的设计成果文件的接口、界面进行修改完善，并确保最终通过发包人及施工图审查单位的审核。</w:t>
      </w:r>
    </w:p>
    <w:p w14:paraId="5C07B5D8">
      <w:pPr>
        <w:spacing w:line="460" w:lineRule="exact"/>
        <w:ind w:firstLine="480" w:firstLineChars="200"/>
        <w:rPr>
          <w:rFonts w:ascii="宋体" w:hAnsi="宋体"/>
          <w:color w:val="auto"/>
          <w:sz w:val="24"/>
          <w:highlight w:val="none"/>
        </w:rPr>
      </w:pPr>
      <w:r>
        <w:rPr>
          <w:rFonts w:ascii="宋体" w:hAnsi="宋体"/>
          <w:color w:val="auto"/>
          <w:sz w:val="24"/>
          <w:highlight w:val="none"/>
        </w:rPr>
        <w:t>9)对各专项设计施工图的技术接口进行审核并进行设计联络及完善。</w:t>
      </w:r>
    </w:p>
    <w:p w14:paraId="2019CD62">
      <w:pPr>
        <w:spacing w:line="460" w:lineRule="exact"/>
        <w:ind w:firstLine="480" w:firstLineChars="200"/>
        <w:rPr>
          <w:rFonts w:ascii="宋体" w:hAnsi="宋体"/>
          <w:color w:val="auto"/>
          <w:sz w:val="24"/>
          <w:highlight w:val="none"/>
        </w:rPr>
      </w:pPr>
      <w:r>
        <w:rPr>
          <w:rFonts w:ascii="宋体" w:hAnsi="宋体"/>
          <w:color w:val="auto"/>
          <w:sz w:val="24"/>
          <w:highlight w:val="none"/>
        </w:rPr>
        <w:t>10)对通过审核的各专项施工工程深化设计图纸进行签章确认。</w:t>
      </w:r>
    </w:p>
    <w:p w14:paraId="2DC4C470">
      <w:pPr>
        <w:spacing w:line="460" w:lineRule="exact"/>
        <w:ind w:firstLine="480" w:firstLineChars="200"/>
        <w:rPr>
          <w:rFonts w:ascii="宋体" w:hAnsi="宋体"/>
          <w:color w:val="auto"/>
          <w:sz w:val="24"/>
          <w:highlight w:val="none"/>
        </w:rPr>
      </w:pPr>
      <w:r>
        <w:rPr>
          <w:rFonts w:ascii="宋体" w:hAnsi="宋体"/>
          <w:color w:val="auto"/>
          <w:sz w:val="24"/>
          <w:highlight w:val="none"/>
        </w:rPr>
        <w:t>11)幕墙工程</w:t>
      </w:r>
    </w:p>
    <w:p w14:paraId="45761736">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幕墙主要受力体系、预埋件设计、细部节点和幕墙与其他专业的界面处理等设计内容须成熟稳定。</w:t>
      </w:r>
    </w:p>
    <w:p w14:paraId="4F535F3B">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 xml:space="preserve">.2.4 </w:t>
      </w:r>
      <w:r>
        <w:rPr>
          <w:rFonts w:hint="eastAsia" w:ascii="宋体" w:hAnsi="宋体"/>
          <w:color w:val="auto"/>
          <w:sz w:val="24"/>
          <w:highlight w:val="none"/>
        </w:rPr>
        <w:t>承包人向发包人交付的主要勘察设计资料及要求见下表</w:t>
      </w:r>
    </w:p>
    <w:tbl>
      <w:tblPr>
        <w:tblStyle w:val="10"/>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496"/>
        <w:gridCol w:w="2989"/>
        <w:gridCol w:w="1358"/>
        <w:gridCol w:w="3122"/>
      </w:tblGrid>
      <w:tr w14:paraId="43EC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center"/>
          </w:tcPr>
          <w:p w14:paraId="5A187C7C">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类别</w:t>
            </w:r>
          </w:p>
        </w:tc>
        <w:tc>
          <w:tcPr>
            <w:tcW w:w="496" w:type="dxa"/>
            <w:vAlign w:val="center"/>
          </w:tcPr>
          <w:p w14:paraId="7289B941">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序号</w:t>
            </w:r>
          </w:p>
        </w:tc>
        <w:tc>
          <w:tcPr>
            <w:tcW w:w="2989" w:type="dxa"/>
            <w:vAlign w:val="center"/>
          </w:tcPr>
          <w:p w14:paraId="7CB2BAA9">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资料及文件名称</w:t>
            </w:r>
          </w:p>
        </w:tc>
        <w:tc>
          <w:tcPr>
            <w:tcW w:w="1358" w:type="dxa"/>
            <w:vAlign w:val="center"/>
          </w:tcPr>
          <w:p w14:paraId="70033E46">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份数</w:t>
            </w:r>
          </w:p>
        </w:tc>
        <w:tc>
          <w:tcPr>
            <w:tcW w:w="3122" w:type="dxa"/>
            <w:vAlign w:val="center"/>
          </w:tcPr>
          <w:p w14:paraId="6C021130">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工期要求时间</w:t>
            </w:r>
          </w:p>
        </w:tc>
      </w:tr>
      <w:tr w14:paraId="300C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75" w:type="dxa"/>
            <w:vMerge w:val="restart"/>
          </w:tcPr>
          <w:p w14:paraId="61ACDE65">
            <w:pPr>
              <w:snapToGrid w:val="0"/>
              <w:spacing w:line="240" w:lineRule="exact"/>
              <w:rPr>
                <w:rFonts w:ascii="宋体" w:hAnsi="宋体"/>
                <w:color w:val="auto"/>
                <w:szCs w:val="21"/>
                <w:highlight w:val="none"/>
              </w:rPr>
            </w:pPr>
          </w:p>
          <w:p w14:paraId="026B1612">
            <w:pPr>
              <w:snapToGrid w:val="0"/>
              <w:spacing w:line="240" w:lineRule="exact"/>
              <w:rPr>
                <w:rFonts w:ascii="宋体" w:hAnsi="宋体"/>
                <w:color w:val="auto"/>
                <w:szCs w:val="21"/>
                <w:highlight w:val="none"/>
              </w:rPr>
            </w:pPr>
          </w:p>
          <w:p w14:paraId="30BEE5CD">
            <w:pPr>
              <w:snapToGrid w:val="0"/>
              <w:spacing w:line="240" w:lineRule="exact"/>
              <w:rPr>
                <w:rFonts w:ascii="宋体" w:hAnsi="宋体"/>
                <w:color w:val="auto"/>
                <w:szCs w:val="21"/>
                <w:highlight w:val="none"/>
              </w:rPr>
            </w:pPr>
          </w:p>
          <w:p w14:paraId="4A8819F2">
            <w:pPr>
              <w:snapToGrid w:val="0"/>
              <w:spacing w:line="240" w:lineRule="exact"/>
              <w:rPr>
                <w:rFonts w:ascii="宋体" w:hAnsi="宋体"/>
                <w:color w:val="auto"/>
                <w:szCs w:val="21"/>
                <w:highlight w:val="none"/>
              </w:rPr>
            </w:pPr>
          </w:p>
          <w:p w14:paraId="753548B6">
            <w:pPr>
              <w:snapToGrid w:val="0"/>
              <w:spacing w:line="240" w:lineRule="exact"/>
              <w:rPr>
                <w:rFonts w:ascii="宋体" w:hAnsi="宋体"/>
                <w:color w:val="auto"/>
                <w:szCs w:val="21"/>
                <w:highlight w:val="none"/>
              </w:rPr>
            </w:pPr>
          </w:p>
          <w:p w14:paraId="27CF7051">
            <w:pPr>
              <w:snapToGrid w:val="0"/>
              <w:spacing w:line="240" w:lineRule="exact"/>
              <w:rPr>
                <w:rFonts w:ascii="宋体" w:hAnsi="宋体"/>
                <w:color w:val="auto"/>
                <w:szCs w:val="21"/>
                <w:highlight w:val="none"/>
              </w:rPr>
            </w:pPr>
          </w:p>
          <w:p w14:paraId="49CADC82">
            <w:pPr>
              <w:snapToGrid w:val="0"/>
              <w:spacing w:line="240" w:lineRule="exact"/>
              <w:rPr>
                <w:rFonts w:hint="eastAsia" w:ascii="宋体" w:hAnsi="宋体"/>
                <w:color w:val="auto"/>
                <w:szCs w:val="21"/>
                <w:highlight w:val="none"/>
              </w:rPr>
            </w:pPr>
          </w:p>
          <w:p w14:paraId="13453239">
            <w:pPr>
              <w:snapToGrid w:val="0"/>
              <w:spacing w:line="240" w:lineRule="exact"/>
              <w:rPr>
                <w:rFonts w:hint="eastAsia" w:ascii="宋体" w:hAnsi="宋体"/>
                <w:color w:val="auto"/>
                <w:szCs w:val="21"/>
                <w:highlight w:val="none"/>
              </w:rPr>
            </w:pPr>
          </w:p>
          <w:p w14:paraId="0E3AD8C5">
            <w:pPr>
              <w:snapToGrid w:val="0"/>
              <w:spacing w:line="240" w:lineRule="exact"/>
              <w:rPr>
                <w:rFonts w:hint="eastAsia" w:ascii="宋体" w:hAnsi="宋体"/>
                <w:color w:val="auto"/>
                <w:szCs w:val="21"/>
                <w:highlight w:val="none"/>
              </w:rPr>
            </w:pPr>
          </w:p>
          <w:p w14:paraId="55DBBBA3">
            <w:pPr>
              <w:snapToGrid w:val="0"/>
              <w:spacing w:line="240" w:lineRule="exact"/>
              <w:rPr>
                <w:rFonts w:hint="eastAsia" w:ascii="宋体" w:hAnsi="宋体"/>
                <w:color w:val="auto"/>
                <w:szCs w:val="21"/>
                <w:highlight w:val="none"/>
              </w:rPr>
            </w:pPr>
          </w:p>
          <w:p w14:paraId="487E0DC6">
            <w:pPr>
              <w:snapToGrid w:val="0"/>
              <w:spacing w:line="240" w:lineRule="exact"/>
              <w:rPr>
                <w:rFonts w:hint="eastAsia" w:ascii="宋体" w:hAnsi="宋体"/>
                <w:color w:val="auto"/>
                <w:szCs w:val="21"/>
                <w:highlight w:val="none"/>
              </w:rPr>
            </w:pPr>
          </w:p>
          <w:p w14:paraId="421A7760">
            <w:pPr>
              <w:snapToGrid w:val="0"/>
              <w:spacing w:line="240" w:lineRule="exact"/>
              <w:rPr>
                <w:rFonts w:hint="eastAsia" w:ascii="宋体" w:hAnsi="宋体"/>
                <w:color w:val="auto"/>
                <w:szCs w:val="21"/>
                <w:highlight w:val="none"/>
              </w:rPr>
            </w:pPr>
          </w:p>
          <w:p w14:paraId="1491C426">
            <w:pPr>
              <w:snapToGrid w:val="0"/>
              <w:spacing w:line="240" w:lineRule="exact"/>
              <w:rPr>
                <w:rFonts w:hint="eastAsia" w:ascii="宋体" w:hAnsi="宋体"/>
                <w:color w:val="auto"/>
                <w:szCs w:val="21"/>
                <w:highlight w:val="none"/>
              </w:rPr>
            </w:pPr>
          </w:p>
          <w:p w14:paraId="2D53D0CA">
            <w:pPr>
              <w:snapToGrid w:val="0"/>
              <w:spacing w:line="240" w:lineRule="exact"/>
              <w:rPr>
                <w:rFonts w:hint="eastAsia" w:ascii="宋体" w:hAnsi="宋体"/>
                <w:color w:val="auto"/>
                <w:szCs w:val="21"/>
                <w:highlight w:val="none"/>
              </w:rPr>
            </w:pPr>
          </w:p>
          <w:p w14:paraId="60C95A12">
            <w:pPr>
              <w:snapToGrid w:val="0"/>
              <w:spacing w:line="240" w:lineRule="exact"/>
              <w:rPr>
                <w:rFonts w:ascii="宋体" w:hAnsi="宋体"/>
                <w:color w:val="auto"/>
                <w:szCs w:val="21"/>
                <w:highlight w:val="none"/>
              </w:rPr>
            </w:pPr>
            <w:r>
              <w:rPr>
                <w:rFonts w:hint="eastAsia" w:ascii="宋体" w:hAnsi="宋体"/>
                <w:color w:val="auto"/>
                <w:szCs w:val="21"/>
                <w:highlight w:val="none"/>
              </w:rPr>
              <w:t>设计</w:t>
            </w:r>
          </w:p>
          <w:p w14:paraId="000B05D9">
            <w:pPr>
              <w:snapToGrid w:val="0"/>
              <w:spacing w:line="240" w:lineRule="exact"/>
              <w:rPr>
                <w:rFonts w:ascii="宋体" w:hAnsi="宋体"/>
                <w:color w:val="auto"/>
                <w:szCs w:val="21"/>
                <w:highlight w:val="none"/>
              </w:rPr>
            </w:pPr>
            <w:r>
              <w:rPr>
                <w:rFonts w:hint="eastAsia" w:ascii="宋体" w:hAnsi="宋体"/>
                <w:color w:val="auto"/>
                <w:szCs w:val="21"/>
                <w:highlight w:val="none"/>
              </w:rPr>
              <w:t>服务</w:t>
            </w:r>
          </w:p>
          <w:p w14:paraId="2FD3BBCF">
            <w:pPr>
              <w:snapToGrid w:val="0"/>
              <w:spacing w:line="240" w:lineRule="exact"/>
              <w:rPr>
                <w:rFonts w:ascii="宋体" w:hAnsi="宋体"/>
                <w:color w:val="auto"/>
                <w:szCs w:val="21"/>
                <w:highlight w:val="none"/>
              </w:rPr>
            </w:pPr>
          </w:p>
        </w:tc>
        <w:tc>
          <w:tcPr>
            <w:tcW w:w="496" w:type="dxa"/>
            <w:vAlign w:val="center"/>
          </w:tcPr>
          <w:p w14:paraId="3933883B">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1</w:t>
            </w:r>
          </w:p>
        </w:tc>
        <w:tc>
          <w:tcPr>
            <w:tcW w:w="2989" w:type="dxa"/>
            <w:vAlign w:val="center"/>
          </w:tcPr>
          <w:p w14:paraId="72A1B1E6">
            <w:pPr>
              <w:snapToGrid w:val="0"/>
              <w:spacing w:line="240" w:lineRule="exact"/>
              <w:rPr>
                <w:rFonts w:ascii="宋体" w:hAnsi="宋体"/>
                <w:color w:val="auto"/>
                <w:szCs w:val="21"/>
                <w:highlight w:val="none"/>
              </w:rPr>
            </w:pPr>
            <w:r>
              <w:rPr>
                <w:rFonts w:hint="eastAsia" w:ascii="宋体" w:hAnsi="宋体"/>
                <w:color w:val="auto"/>
                <w:szCs w:val="21"/>
                <w:highlight w:val="none"/>
              </w:rPr>
              <w:t>联审决策相关材料及电子文档(含CAD图文档)</w:t>
            </w:r>
          </w:p>
        </w:tc>
        <w:tc>
          <w:tcPr>
            <w:tcW w:w="1358" w:type="dxa"/>
            <w:vAlign w:val="center"/>
          </w:tcPr>
          <w:p w14:paraId="2869A948">
            <w:pPr>
              <w:snapToGrid w:val="0"/>
              <w:spacing w:line="240" w:lineRule="exact"/>
              <w:jc w:val="left"/>
              <w:rPr>
                <w:rFonts w:ascii="宋体" w:hAnsi="宋体"/>
                <w:color w:val="auto"/>
                <w:szCs w:val="21"/>
                <w:highlight w:val="none"/>
              </w:rPr>
            </w:pPr>
            <w:r>
              <w:rPr>
                <w:rFonts w:hint="eastAsia" w:ascii="宋体" w:hAnsi="宋体"/>
                <w:color w:val="auto"/>
                <w:szCs w:val="21"/>
                <w:highlight w:val="none"/>
              </w:rPr>
              <w:t>按照发包人要求</w:t>
            </w:r>
          </w:p>
        </w:tc>
        <w:tc>
          <w:tcPr>
            <w:tcW w:w="3122" w:type="dxa"/>
            <w:vMerge w:val="restart"/>
            <w:vAlign w:val="center"/>
          </w:tcPr>
          <w:p w14:paraId="270CA3BB">
            <w:pPr>
              <w:snapToGrid w:val="0"/>
              <w:spacing w:line="240" w:lineRule="exact"/>
              <w:rPr>
                <w:rFonts w:ascii="宋体" w:hAnsi="宋体"/>
                <w:color w:val="auto"/>
                <w:szCs w:val="21"/>
                <w:highlight w:val="none"/>
              </w:rPr>
            </w:pPr>
          </w:p>
          <w:p w14:paraId="6579FB17">
            <w:pPr>
              <w:pStyle w:val="2"/>
              <w:rPr>
                <w:rFonts w:ascii="宋体" w:hAnsi="宋体"/>
                <w:color w:val="auto"/>
                <w:szCs w:val="21"/>
                <w:highlight w:val="none"/>
              </w:rPr>
            </w:pPr>
          </w:p>
          <w:p w14:paraId="674BFB36">
            <w:pPr>
              <w:snapToGrid w:val="0"/>
              <w:spacing w:line="240" w:lineRule="exact"/>
              <w:jc w:val="left"/>
              <w:rPr>
                <w:rFonts w:ascii="宋体" w:hAnsi="宋体"/>
                <w:color w:val="auto"/>
                <w:szCs w:val="21"/>
                <w:highlight w:val="none"/>
              </w:rPr>
            </w:pPr>
            <w:r>
              <w:rPr>
                <w:rFonts w:hint="eastAsia" w:ascii="宋体" w:hAnsi="宋体"/>
                <w:color w:val="auto"/>
                <w:szCs w:val="21"/>
                <w:highlight w:val="none"/>
              </w:rPr>
              <w:t>1.应在中标通知书发出后5个日历天提交勘察设计大纲（含工期计划），经发包人审核后实施。</w:t>
            </w:r>
          </w:p>
          <w:p w14:paraId="1F1AA189">
            <w:pPr>
              <w:snapToGrid w:val="0"/>
              <w:spacing w:line="240" w:lineRule="exact"/>
              <w:jc w:val="left"/>
              <w:rPr>
                <w:rFonts w:ascii="宋体" w:hAnsi="宋体"/>
                <w:color w:val="auto"/>
                <w:szCs w:val="21"/>
                <w:highlight w:val="none"/>
              </w:rPr>
            </w:pPr>
            <w:r>
              <w:rPr>
                <w:rFonts w:hint="eastAsia" w:ascii="宋体" w:hAnsi="宋体"/>
                <w:color w:val="auto"/>
                <w:szCs w:val="21"/>
                <w:highlight w:val="none"/>
              </w:rPr>
              <w:t>2.设计工期：</w:t>
            </w:r>
          </w:p>
          <w:p w14:paraId="680CCA46">
            <w:pPr>
              <w:snapToGrid w:val="0"/>
              <w:spacing w:line="240" w:lineRule="exact"/>
              <w:jc w:val="left"/>
              <w:rPr>
                <w:rFonts w:ascii="宋体" w:hAnsi="宋体"/>
                <w:color w:val="auto"/>
                <w:szCs w:val="21"/>
                <w:highlight w:val="none"/>
              </w:rPr>
            </w:pPr>
            <w:r>
              <w:rPr>
                <w:rFonts w:hint="eastAsia" w:ascii="宋体" w:hAnsi="宋体"/>
                <w:color w:val="auto"/>
                <w:szCs w:val="21"/>
                <w:highlight w:val="none"/>
              </w:rPr>
              <w:t>（1）应在中标通知书发出后60日历天内完成协同会审方案编制；</w:t>
            </w:r>
          </w:p>
          <w:p w14:paraId="759ECC8B">
            <w:pPr>
              <w:snapToGrid w:val="0"/>
              <w:spacing w:line="240" w:lineRule="exact"/>
              <w:jc w:val="left"/>
              <w:rPr>
                <w:rFonts w:ascii="宋体" w:hAnsi="宋体"/>
                <w:color w:val="auto"/>
                <w:szCs w:val="21"/>
                <w:highlight w:val="none"/>
              </w:rPr>
            </w:pPr>
            <w:r>
              <w:rPr>
                <w:rFonts w:hint="eastAsia" w:ascii="宋体" w:hAnsi="宋体"/>
                <w:color w:val="auto"/>
                <w:szCs w:val="21"/>
                <w:highlight w:val="none"/>
              </w:rPr>
              <w:t>（2）联审决策通过后30个日历天内完成初步设计（含勘察、物探及概算编制等内容）；</w:t>
            </w:r>
          </w:p>
          <w:p w14:paraId="3586AE34">
            <w:pPr>
              <w:snapToGrid w:val="0"/>
              <w:spacing w:line="240" w:lineRule="exact"/>
              <w:jc w:val="left"/>
              <w:rPr>
                <w:rFonts w:ascii="宋体" w:hAnsi="宋体"/>
                <w:color w:val="auto"/>
                <w:szCs w:val="21"/>
                <w:highlight w:val="none"/>
              </w:rPr>
            </w:pPr>
            <w:r>
              <w:rPr>
                <w:rFonts w:hint="eastAsia" w:ascii="宋体" w:hAnsi="宋体"/>
                <w:color w:val="auto"/>
                <w:szCs w:val="21"/>
                <w:highlight w:val="none"/>
              </w:rPr>
              <w:t>（3）初步设计及概算审批后30个日历天内完成施工图设计，施工图设计文件经审查发现问题后 15 日历天内完成补充、修改（具体以审核工期为准）。</w:t>
            </w:r>
          </w:p>
          <w:p w14:paraId="087A10DE">
            <w:pPr>
              <w:snapToGrid w:val="0"/>
              <w:spacing w:line="240" w:lineRule="exact"/>
              <w:jc w:val="left"/>
              <w:rPr>
                <w:rFonts w:ascii="宋体" w:hAnsi="宋体"/>
                <w:color w:val="auto"/>
                <w:szCs w:val="21"/>
                <w:highlight w:val="none"/>
              </w:rPr>
            </w:pPr>
            <w:r>
              <w:rPr>
                <w:rFonts w:hint="eastAsia" w:ascii="宋体" w:hAnsi="宋体"/>
                <w:color w:val="auto"/>
                <w:szCs w:val="21"/>
                <w:highlight w:val="none"/>
              </w:rPr>
              <w:t>3.勘察工期</w:t>
            </w:r>
          </w:p>
          <w:p w14:paraId="2C2A2A4D">
            <w:pPr>
              <w:snapToGrid w:val="0"/>
              <w:spacing w:line="240" w:lineRule="exact"/>
              <w:jc w:val="left"/>
              <w:rPr>
                <w:rFonts w:ascii="宋体" w:hAnsi="宋体"/>
                <w:color w:val="auto"/>
                <w:szCs w:val="21"/>
                <w:highlight w:val="none"/>
              </w:rPr>
            </w:pPr>
            <w:r>
              <w:rPr>
                <w:rFonts w:hint="eastAsia" w:ascii="宋体" w:hAnsi="宋体"/>
                <w:color w:val="auto"/>
                <w:szCs w:val="21"/>
                <w:highlight w:val="none"/>
              </w:rPr>
              <w:t>（1）应在中标通知书发出并具备进场条件之日起计25日历天内完成外业，外业完成后15个日历天提交勘察成果文件（具体以审核工期为准）。</w:t>
            </w:r>
          </w:p>
          <w:p w14:paraId="771BBE5A">
            <w:pPr>
              <w:snapToGrid w:val="0"/>
              <w:spacing w:line="240" w:lineRule="exact"/>
              <w:jc w:val="left"/>
              <w:rPr>
                <w:rFonts w:ascii="宋体" w:hAnsi="宋体"/>
                <w:color w:val="auto"/>
                <w:szCs w:val="21"/>
                <w:highlight w:val="none"/>
              </w:rPr>
            </w:pPr>
            <w:r>
              <w:rPr>
                <w:rFonts w:hint="eastAsia" w:ascii="宋体" w:hAnsi="宋体"/>
                <w:color w:val="auto"/>
                <w:szCs w:val="21"/>
                <w:highlight w:val="none"/>
              </w:rPr>
              <w:t>4.按发包人要求（若因发包人或经发包人同意的原因调整计划，则提交时间作相应调整）。</w:t>
            </w:r>
          </w:p>
          <w:p w14:paraId="606F3766">
            <w:pPr>
              <w:snapToGrid w:val="0"/>
              <w:spacing w:line="240" w:lineRule="exact"/>
              <w:jc w:val="center"/>
              <w:rPr>
                <w:rFonts w:ascii="宋体" w:hAnsi="宋体"/>
                <w:color w:val="auto"/>
                <w:szCs w:val="21"/>
                <w:highlight w:val="none"/>
              </w:rPr>
            </w:pPr>
          </w:p>
          <w:p w14:paraId="2A88A268">
            <w:pPr>
              <w:snapToGrid w:val="0"/>
              <w:spacing w:line="240" w:lineRule="exact"/>
              <w:jc w:val="center"/>
              <w:rPr>
                <w:rFonts w:ascii="宋体" w:hAnsi="宋体"/>
                <w:color w:val="auto"/>
                <w:szCs w:val="21"/>
                <w:highlight w:val="none"/>
              </w:rPr>
            </w:pPr>
          </w:p>
          <w:p w14:paraId="1B25AA7C">
            <w:pPr>
              <w:snapToGrid w:val="0"/>
              <w:spacing w:line="240" w:lineRule="exact"/>
              <w:rPr>
                <w:rFonts w:ascii="宋体" w:hAnsi="宋体"/>
                <w:color w:val="auto"/>
                <w:szCs w:val="21"/>
                <w:highlight w:val="none"/>
              </w:rPr>
            </w:pPr>
          </w:p>
          <w:p w14:paraId="493812C6">
            <w:pPr>
              <w:snapToGrid w:val="0"/>
              <w:spacing w:line="240" w:lineRule="exact"/>
              <w:rPr>
                <w:rFonts w:ascii="宋体" w:hAnsi="宋体"/>
                <w:color w:val="auto"/>
                <w:szCs w:val="21"/>
                <w:highlight w:val="none"/>
              </w:rPr>
            </w:pPr>
          </w:p>
          <w:p w14:paraId="4B8A3725">
            <w:pPr>
              <w:snapToGrid w:val="0"/>
              <w:spacing w:line="240" w:lineRule="exact"/>
              <w:rPr>
                <w:rFonts w:ascii="宋体" w:hAnsi="宋体"/>
                <w:color w:val="auto"/>
                <w:szCs w:val="21"/>
                <w:highlight w:val="none"/>
              </w:rPr>
            </w:pPr>
          </w:p>
          <w:p w14:paraId="564837A2">
            <w:pPr>
              <w:snapToGrid w:val="0"/>
              <w:spacing w:line="240" w:lineRule="exact"/>
              <w:rPr>
                <w:rFonts w:ascii="宋体" w:hAnsi="宋体"/>
                <w:color w:val="auto"/>
                <w:szCs w:val="21"/>
                <w:highlight w:val="none"/>
              </w:rPr>
            </w:pPr>
          </w:p>
          <w:p w14:paraId="1FF8C542">
            <w:pPr>
              <w:snapToGrid w:val="0"/>
              <w:spacing w:line="240" w:lineRule="exact"/>
              <w:rPr>
                <w:rFonts w:ascii="宋体" w:hAnsi="宋体"/>
                <w:color w:val="auto"/>
                <w:szCs w:val="21"/>
                <w:highlight w:val="none"/>
              </w:rPr>
            </w:pPr>
          </w:p>
          <w:p w14:paraId="59246CBF">
            <w:pPr>
              <w:snapToGrid w:val="0"/>
              <w:spacing w:line="240" w:lineRule="exact"/>
              <w:rPr>
                <w:rFonts w:ascii="宋体" w:hAnsi="宋体"/>
                <w:color w:val="auto"/>
                <w:szCs w:val="21"/>
                <w:highlight w:val="none"/>
              </w:rPr>
            </w:pPr>
          </w:p>
          <w:p w14:paraId="1B6D9EAD">
            <w:pPr>
              <w:snapToGrid w:val="0"/>
              <w:spacing w:line="240" w:lineRule="exact"/>
              <w:rPr>
                <w:rFonts w:ascii="宋体" w:hAnsi="宋体"/>
                <w:color w:val="auto"/>
                <w:szCs w:val="21"/>
                <w:highlight w:val="none"/>
              </w:rPr>
            </w:pPr>
          </w:p>
          <w:p w14:paraId="0B844B76">
            <w:pPr>
              <w:snapToGrid w:val="0"/>
              <w:spacing w:line="240" w:lineRule="exact"/>
              <w:rPr>
                <w:rFonts w:ascii="宋体" w:hAnsi="宋体"/>
                <w:color w:val="auto"/>
                <w:szCs w:val="21"/>
                <w:highlight w:val="none"/>
              </w:rPr>
            </w:pPr>
          </w:p>
        </w:tc>
      </w:tr>
      <w:tr w14:paraId="48E7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75" w:type="dxa"/>
            <w:vMerge w:val="continue"/>
          </w:tcPr>
          <w:p w14:paraId="371A5E84">
            <w:pPr>
              <w:snapToGrid w:val="0"/>
              <w:spacing w:line="240" w:lineRule="exact"/>
              <w:rPr>
                <w:rFonts w:ascii="宋体" w:hAnsi="宋体"/>
                <w:color w:val="auto"/>
                <w:szCs w:val="21"/>
                <w:highlight w:val="none"/>
              </w:rPr>
            </w:pPr>
          </w:p>
        </w:tc>
        <w:tc>
          <w:tcPr>
            <w:tcW w:w="496" w:type="dxa"/>
            <w:vAlign w:val="center"/>
          </w:tcPr>
          <w:p w14:paraId="0969504E">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2</w:t>
            </w:r>
          </w:p>
        </w:tc>
        <w:tc>
          <w:tcPr>
            <w:tcW w:w="2989" w:type="dxa"/>
            <w:vAlign w:val="center"/>
          </w:tcPr>
          <w:p w14:paraId="38F90FED">
            <w:pPr>
              <w:snapToGrid w:val="0"/>
              <w:spacing w:line="240" w:lineRule="exact"/>
              <w:rPr>
                <w:rFonts w:ascii="宋体" w:hAnsi="宋体"/>
                <w:color w:val="auto"/>
                <w:szCs w:val="21"/>
                <w:highlight w:val="none"/>
              </w:rPr>
            </w:pPr>
            <w:r>
              <w:rPr>
                <w:rFonts w:hint="eastAsia" w:ascii="宋体" w:hAnsi="宋体"/>
                <w:color w:val="auto"/>
                <w:szCs w:val="21"/>
                <w:highlight w:val="none"/>
              </w:rPr>
              <w:t>方案设计修改报告及电子文档（含CAD图文档）</w:t>
            </w:r>
          </w:p>
        </w:tc>
        <w:tc>
          <w:tcPr>
            <w:tcW w:w="1358" w:type="dxa"/>
            <w:vAlign w:val="center"/>
          </w:tcPr>
          <w:p w14:paraId="3C987D82">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10或按照发包人要求</w:t>
            </w:r>
          </w:p>
        </w:tc>
        <w:tc>
          <w:tcPr>
            <w:tcW w:w="3122" w:type="dxa"/>
            <w:vMerge w:val="continue"/>
            <w:vAlign w:val="center"/>
          </w:tcPr>
          <w:p w14:paraId="3F2F85B6">
            <w:pPr>
              <w:snapToGrid w:val="0"/>
              <w:spacing w:line="240" w:lineRule="exact"/>
              <w:rPr>
                <w:rFonts w:ascii="宋体" w:hAnsi="宋体"/>
                <w:color w:val="auto"/>
                <w:szCs w:val="21"/>
                <w:highlight w:val="none"/>
              </w:rPr>
            </w:pPr>
          </w:p>
        </w:tc>
      </w:tr>
      <w:tr w14:paraId="1C77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75" w:type="dxa"/>
            <w:vMerge w:val="continue"/>
          </w:tcPr>
          <w:p w14:paraId="48967836">
            <w:pPr>
              <w:snapToGrid w:val="0"/>
              <w:spacing w:line="240" w:lineRule="exact"/>
              <w:rPr>
                <w:rFonts w:ascii="宋体" w:hAnsi="宋体"/>
                <w:color w:val="auto"/>
                <w:szCs w:val="21"/>
                <w:highlight w:val="none"/>
              </w:rPr>
            </w:pPr>
          </w:p>
        </w:tc>
        <w:tc>
          <w:tcPr>
            <w:tcW w:w="496" w:type="dxa"/>
            <w:vAlign w:val="center"/>
          </w:tcPr>
          <w:p w14:paraId="2A638B9A">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3</w:t>
            </w:r>
          </w:p>
        </w:tc>
        <w:tc>
          <w:tcPr>
            <w:tcW w:w="2989" w:type="dxa"/>
            <w:vAlign w:val="center"/>
          </w:tcPr>
          <w:p w14:paraId="4785584E">
            <w:pPr>
              <w:snapToGrid w:val="0"/>
              <w:spacing w:line="240" w:lineRule="exact"/>
              <w:rPr>
                <w:rFonts w:ascii="宋体" w:hAnsi="宋体"/>
                <w:color w:val="auto"/>
                <w:szCs w:val="21"/>
                <w:highlight w:val="none"/>
              </w:rPr>
            </w:pPr>
            <w:r>
              <w:rPr>
                <w:rFonts w:hint="eastAsia" w:ascii="宋体" w:hAnsi="宋体"/>
                <w:color w:val="auto"/>
                <w:szCs w:val="21"/>
                <w:highlight w:val="none"/>
              </w:rPr>
              <w:t>初步设计报告、图册、概算及电子文档(含CAD图文档)、初步设计及概算与可行性研究报告对比分析报告</w:t>
            </w:r>
          </w:p>
        </w:tc>
        <w:tc>
          <w:tcPr>
            <w:tcW w:w="1358" w:type="dxa"/>
            <w:vAlign w:val="center"/>
          </w:tcPr>
          <w:p w14:paraId="65F4A494">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按照发包人要求</w:t>
            </w:r>
          </w:p>
        </w:tc>
        <w:tc>
          <w:tcPr>
            <w:tcW w:w="3122" w:type="dxa"/>
            <w:vMerge w:val="continue"/>
            <w:vAlign w:val="center"/>
          </w:tcPr>
          <w:p w14:paraId="547D78EE">
            <w:pPr>
              <w:snapToGrid w:val="0"/>
              <w:spacing w:line="240" w:lineRule="exact"/>
              <w:rPr>
                <w:rFonts w:ascii="宋体" w:hAnsi="宋体"/>
                <w:color w:val="auto"/>
                <w:szCs w:val="21"/>
                <w:highlight w:val="none"/>
              </w:rPr>
            </w:pPr>
          </w:p>
        </w:tc>
      </w:tr>
      <w:tr w14:paraId="5C2F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75" w:type="dxa"/>
            <w:vMerge w:val="continue"/>
          </w:tcPr>
          <w:p w14:paraId="1589ABEF">
            <w:pPr>
              <w:snapToGrid w:val="0"/>
              <w:spacing w:line="240" w:lineRule="exact"/>
              <w:rPr>
                <w:rFonts w:ascii="宋体" w:hAnsi="宋体"/>
                <w:color w:val="auto"/>
                <w:szCs w:val="21"/>
                <w:highlight w:val="none"/>
              </w:rPr>
            </w:pPr>
          </w:p>
        </w:tc>
        <w:tc>
          <w:tcPr>
            <w:tcW w:w="496" w:type="dxa"/>
            <w:vAlign w:val="center"/>
          </w:tcPr>
          <w:p w14:paraId="609E52E7">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4</w:t>
            </w:r>
          </w:p>
        </w:tc>
        <w:tc>
          <w:tcPr>
            <w:tcW w:w="2989" w:type="dxa"/>
            <w:vAlign w:val="center"/>
          </w:tcPr>
          <w:p w14:paraId="7A463A57">
            <w:pPr>
              <w:snapToGrid w:val="0"/>
              <w:spacing w:line="240" w:lineRule="exact"/>
              <w:rPr>
                <w:rFonts w:ascii="宋体" w:hAnsi="宋体"/>
                <w:color w:val="auto"/>
                <w:szCs w:val="21"/>
                <w:highlight w:val="none"/>
              </w:rPr>
            </w:pPr>
            <w:r>
              <w:rPr>
                <w:rFonts w:hint="eastAsia" w:ascii="宋体" w:hAnsi="宋体"/>
                <w:color w:val="auto"/>
                <w:szCs w:val="21"/>
                <w:highlight w:val="none"/>
              </w:rPr>
              <w:t>施工图设计文件及电子文档(含CAD图文档)</w:t>
            </w:r>
          </w:p>
        </w:tc>
        <w:tc>
          <w:tcPr>
            <w:tcW w:w="1358" w:type="dxa"/>
            <w:vAlign w:val="center"/>
          </w:tcPr>
          <w:p w14:paraId="59DC62F2">
            <w:pPr>
              <w:snapToGrid w:val="0"/>
              <w:spacing w:line="240" w:lineRule="exact"/>
              <w:jc w:val="center"/>
              <w:rPr>
                <w:rFonts w:ascii="宋体" w:hAnsi="宋体"/>
                <w:color w:val="auto"/>
                <w:szCs w:val="21"/>
                <w:highlight w:val="none"/>
              </w:rPr>
            </w:pPr>
            <w:r>
              <w:rPr>
                <w:rFonts w:ascii="宋体" w:hAnsi="宋体"/>
                <w:color w:val="auto"/>
                <w:szCs w:val="21"/>
                <w:highlight w:val="none"/>
              </w:rPr>
              <w:t>20</w:t>
            </w:r>
            <w:r>
              <w:rPr>
                <w:rFonts w:hint="eastAsia" w:ascii="宋体" w:hAnsi="宋体"/>
                <w:color w:val="auto"/>
                <w:szCs w:val="21"/>
                <w:highlight w:val="none"/>
              </w:rPr>
              <w:t>或按照发包人要求</w:t>
            </w:r>
          </w:p>
        </w:tc>
        <w:tc>
          <w:tcPr>
            <w:tcW w:w="3122" w:type="dxa"/>
            <w:vMerge w:val="continue"/>
            <w:vAlign w:val="center"/>
          </w:tcPr>
          <w:p w14:paraId="3D7809C4">
            <w:pPr>
              <w:snapToGrid w:val="0"/>
              <w:spacing w:line="240" w:lineRule="exact"/>
              <w:rPr>
                <w:rFonts w:ascii="宋体" w:hAnsi="宋体"/>
                <w:color w:val="auto"/>
                <w:szCs w:val="21"/>
                <w:highlight w:val="none"/>
              </w:rPr>
            </w:pPr>
          </w:p>
        </w:tc>
      </w:tr>
      <w:tr w14:paraId="3FC9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75" w:type="dxa"/>
            <w:vMerge w:val="continue"/>
          </w:tcPr>
          <w:p w14:paraId="29A8D083">
            <w:pPr>
              <w:snapToGrid w:val="0"/>
              <w:spacing w:line="240" w:lineRule="exact"/>
              <w:rPr>
                <w:rFonts w:ascii="宋体" w:hAnsi="宋体"/>
                <w:color w:val="auto"/>
                <w:szCs w:val="21"/>
                <w:highlight w:val="none"/>
              </w:rPr>
            </w:pPr>
          </w:p>
        </w:tc>
        <w:tc>
          <w:tcPr>
            <w:tcW w:w="496" w:type="dxa"/>
            <w:vAlign w:val="center"/>
          </w:tcPr>
          <w:p w14:paraId="3112FD10">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5</w:t>
            </w:r>
          </w:p>
        </w:tc>
        <w:tc>
          <w:tcPr>
            <w:tcW w:w="2989" w:type="dxa"/>
            <w:vAlign w:val="center"/>
          </w:tcPr>
          <w:p w14:paraId="67CA4BD3">
            <w:pPr>
              <w:snapToGrid w:val="0"/>
              <w:spacing w:line="240" w:lineRule="exact"/>
              <w:rPr>
                <w:rFonts w:ascii="宋体" w:hAnsi="宋体"/>
                <w:color w:val="auto"/>
                <w:szCs w:val="21"/>
                <w:highlight w:val="none"/>
              </w:rPr>
            </w:pPr>
            <w:r>
              <w:rPr>
                <w:rFonts w:hint="eastAsia" w:ascii="宋体" w:hAnsi="宋体"/>
                <w:color w:val="auto"/>
                <w:szCs w:val="21"/>
                <w:highlight w:val="none"/>
              </w:rPr>
              <w:t>优化提升设计全套</w:t>
            </w:r>
            <w:r>
              <w:rPr>
                <w:rFonts w:ascii="宋体" w:hAnsi="宋体"/>
                <w:color w:val="auto"/>
                <w:szCs w:val="21"/>
                <w:highlight w:val="none"/>
              </w:rPr>
              <w:t>施工图</w:t>
            </w:r>
            <w:r>
              <w:rPr>
                <w:rFonts w:hint="eastAsia" w:ascii="宋体" w:hAnsi="宋体"/>
                <w:color w:val="auto"/>
                <w:szCs w:val="21"/>
                <w:highlight w:val="none"/>
              </w:rPr>
              <w:t>（满足规范要求），包括工程量清单、技术规范要求及相关设计文件</w:t>
            </w:r>
          </w:p>
        </w:tc>
        <w:tc>
          <w:tcPr>
            <w:tcW w:w="1358" w:type="dxa"/>
            <w:vAlign w:val="center"/>
          </w:tcPr>
          <w:p w14:paraId="63E36793">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20或按照发包人要求</w:t>
            </w:r>
          </w:p>
        </w:tc>
        <w:tc>
          <w:tcPr>
            <w:tcW w:w="3122" w:type="dxa"/>
            <w:vMerge w:val="continue"/>
            <w:vAlign w:val="center"/>
          </w:tcPr>
          <w:p w14:paraId="260DDE12">
            <w:pPr>
              <w:snapToGrid w:val="0"/>
              <w:spacing w:line="240" w:lineRule="exact"/>
              <w:rPr>
                <w:rFonts w:ascii="宋体" w:hAnsi="宋体"/>
                <w:color w:val="auto"/>
                <w:szCs w:val="21"/>
                <w:highlight w:val="none"/>
              </w:rPr>
            </w:pPr>
          </w:p>
        </w:tc>
      </w:tr>
      <w:tr w14:paraId="7D7C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75" w:type="dxa"/>
            <w:vMerge w:val="continue"/>
          </w:tcPr>
          <w:p w14:paraId="12B894D4">
            <w:pPr>
              <w:snapToGrid w:val="0"/>
              <w:spacing w:line="240" w:lineRule="exact"/>
              <w:rPr>
                <w:rFonts w:ascii="宋体" w:hAnsi="宋体"/>
                <w:color w:val="auto"/>
                <w:szCs w:val="21"/>
                <w:highlight w:val="none"/>
              </w:rPr>
            </w:pPr>
          </w:p>
        </w:tc>
        <w:tc>
          <w:tcPr>
            <w:tcW w:w="496" w:type="dxa"/>
            <w:vAlign w:val="center"/>
          </w:tcPr>
          <w:p w14:paraId="2E0A7506">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6</w:t>
            </w:r>
          </w:p>
        </w:tc>
        <w:tc>
          <w:tcPr>
            <w:tcW w:w="2989" w:type="dxa"/>
            <w:vAlign w:val="center"/>
          </w:tcPr>
          <w:p w14:paraId="7B0D4B08">
            <w:pPr>
              <w:snapToGrid w:val="0"/>
              <w:spacing w:line="240" w:lineRule="exact"/>
              <w:rPr>
                <w:rFonts w:ascii="宋体" w:hAnsi="宋体"/>
                <w:color w:val="auto"/>
                <w:szCs w:val="21"/>
                <w:highlight w:val="none"/>
              </w:rPr>
            </w:pPr>
            <w:r>
              <w:rPr>
                <w:rFonts w:hint="eastAsia" w:ascii="宋体" w:hAnsi="宋体"/>
                <w:color w:val="auto"/>
                <w:szCs w:val="21"/>
                <w:highlight w:val="none"/>
              </w:rPr>
              <w:t>编制竣工图</w:t>
            </w:r>
          </w:p>
        </w:tc>
        <w:tc>
          <w:tcPr>
            <w:tcW w:w="1358" w:type="dxa"/>
            <w:vAlign w:val="center"/>
          </w:tcPr>
          <w:p w14:paraId="67844143">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按照发包人要求</w:t>
            </w:r>
          </w:p>
        </w:tc>
        <w:tc>
          <w:tcPr>
            <w:tcW w:w="3122" w:type="dxa"/>
            <w:vMerge w:val="continue"/>
            <w:vAlign w:val="center"/>
          </w:tcPr>
          <w:p w14:paraId="055C6262">
            <w:pPr>
              <w:snapToGrid w:val="0"/>
              <w:spacing w:line="240" w:lineRule="exact"/>
              <w:rPr>
                <w:rFonts w:ascii="宋体" w:hAnsi="宋体"/>
                <w:color w:val="auto"/>
                <w:szCs w:val="21"/>
                <w:highlight w:val="none"/>
              </w:rPr>
            </w:pPr>
          </w:p>
        </w:tc>
      </w:tr>
      <w:tr w14:paraId="182E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75" w:type="dxa"/>
            <w:vMerge w:val="continue"/>
          </w:tcPr>
          <w:p w14:paraId="32D3F693">
            <w:pPr>
              <w:snapToGrid w:val="0"/>
              <w:spacing w:line="240" w:lineRule="exact"/>
              <w:rPr>
                <w:rFonts w:ascii="宋体" w:hAnsi="宋体"/>
                <w:color w:val="auto"/>
                <w:szCs w:val="21"/>
                <w:highlight w:val="none"/>
              </w:rPr>
            </w:pPr>
          </w:p>
        </w:tc>
        <w:tc>
          <w:tcPr>
            <w:tcW w:w="496" w:type="dxa"/>
            <w:vAlign w:val="center"/>
          </w:tcPr>
          <w:p w14:paraId="7298F6DC">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7</w:t>
            </w:r>
          </w:p>
        </w:tc>
        <w:tc>
          <w:tcPr>
            <w:tcW w:w="2989" w:type="dxa"/>
            <w:vAlign w:val="center"/>
          </w:tcPr>
          <w:p w14:paraId="48EB6A66">
            <w:pPr>
              <w:snapToGrid w:val="0"/>
              <w:spacing w:line="240" w:lineRule="exact"/>
              <w:rPr>
                <w:rFonts w:ascii="宋体" w:hAnsi="宋体"/>
                <w:color w:val="auto"/>
                <w:szCs w:val="21"/>
                <w:highlight w:val="none"/>
              </w:rPr>
            </w:pPr>
            <w:r>
              <w:rPr>
                <w:rFonts w:hint="eastAsia" w:ascii="宋体" w:hAnsi="宋体"/>
                <w:color w:val="auto"/>
                <w:szCs w:val="21"/>
                <w:highlight w:val="none"/>
              </w:rPr>
              <w:t>规划报建及其他专业报建需要的报建图纸和必须的设计文件</w:t>
            </w:r>
          </w:p>
        </w:tc>
        <w:tc>
          <w:tcPr>
            <w:tcW w:w="1358" w:type="dxa"/>
            <w:vAlign w:val="center"/>
          </w:tcPr>
          <w:p w14:paraId="74387EAB">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按照发包人要求</w:t>
            </w:r>
          </w:p>
        </w:tc>
        <w:tc>
          <w:tcPr>
            <w:tcW w:w="3122" w:type="dxa"/>
            <w:vMerge w:val="continue"/>
            <w:vAlign w:val="center"/>
          </w:tcPr>
          <w:p w14:paraId="5E300B68">
            <w:pPr>
              <w:snapToGrid w:val="0"/>
              <w:spacing w:line="240" w:lineRule="exact"/>
              <w:rPr>
                <w:rFonts w:ascii="宋体" w:hAnsi="宋体"/>
                <w:color w:val="auto"/>
                <w:szCs w:val="21"/>
                <w:highlight w:val="none"/>
              </w:rPr>
            </w:pPr>
          </w:p>
        </w:tc>
      </w:tr>
      <w:tr w14:paraId="1F0F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75" w:type="dxa"/>
            <w:vMerge w:val="continue"/>
          </w:tcPr>
          <w:p w14:paraId="075B18EE">
            <w:pPr>
              <w:snapToGrid w:val="0"/>
              <w:spacing w:line="240" w:lineRule="exact"/>
              <w:rPr>
                <w:rFonts w:ascii="宋体" w:hAnsi="宋体"/>
                <w:color w:val="auto"/>
                <w:szCs w:val="21"/>
                <w:highlight w:val="none"/>
              </w:rPr>
            </w:pPr>
          </w:p>
        </w:tc>
        <w:tc>
          <w:tcPr>
            <w:tcW w:w="496" w:type="dxa"/>
            <w:vAlign w:val="center"/>
          </w:tcPr>
          <w:p w14:paraId="033EC13C">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8</w:t>
            </w:r>
          </w:p>
        </w:tc>
        <w:tc>
          <w:tcPr>
            <w:tcW w:w="2989" w:type="dxa"/>
            <w:vAlign w:val="center"/>
          </w:tcPr>
          <w:p w14:paraId="22EDA8F5">
            <w:pPr>
              <w:snapToGrid w:val="0"/>
              <w:spacing w:line="240" w:lineRule="exact"/>
              <w:rPr>
                <w:rFonts w:ascii="宋体" w:hAnsi="宋体"/>
                <w:color w:val="auto"/>
                <w:szCs w:val="21"/>
                <w:highlight w:val="none"/>
              </w:rPr>
            </w:pPr>
            <w:r>
              <w:rPr>
                <w:rFonts w:hint="eastAsia" w:ascii="宋体" w:hAnsi="宋体"/>
                <w:color w:val="auto"/>
                <w:szCs w:val="21"/>
                <w:highlight w:val="none"/>
              </w:rPr>
              <w:t>主要设备材料及其技术参数表</w:t>
            </w:r>
          </w:p>
        </w:tc>
        <w:tc>
          <w:tcPr>
            <w:tcW w:w="1358" w:type="dxa"/>
            <w:vAlign w:val="center"/>
          </w:tcPr>
          <w:p w14:paraId="5D7B8F2E">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按发包人书面通知交付</w:t>
            </w:r>
          </w:p>
        </w:tc>
        <w:tc>
          <w:tcPr>
            <w:tcW w:w="3122" w:type="dxa"/>
            <w:vMerge w:val="continue"/>
            <w:vAlign w:val="center"/>
          </w:tcPr>
          <w:p w14:paraId="078BA326">
            <w:pPr>
              <w:snapToGrid w:val="0"/>
              <w:spacing w:line="240" w:lineRule="exact"/>
              <w:rPr>
                <w:rFonts w:ascii="宋体" w:hAnsi="宋体"/>
                <w:color w:val="auto"/>
                <w:szCs w:val="21"/>
                <w:highlight w:val="none"/>
              </w:rPr>
            </w:pPr>
          </w:p>
        </w:tc>
      </w:tr>
      <w:tr w14:paraId="2F08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75" w:type="dxa"/>
            <w:vMerge w:val="continue"/>
          </w:tcPr>
          <w:p w14:paraId="641A4274">
            <w:pPr>
              <w:snapToGrid w:val="0"/>
              <w:spacing w:line="240" w:lineRule="exact"/>
              <w:rPr>
                <w:rFonts w:ascii="宋体" w:hAnsi="宋体"/>
                <w:color w:val="auto"/>
                <w:szCs w:val="21"/>
                <w:highlight w:val="none"/>
              </w:rPr>
            </w:pPr>
          </w:p>
        </w:tc>
        <w:tc>
          <w:tcPr>
            <w:tcW w:w="496" w:type="dxa"/>
            <w:vAlign w:val="center"/>
          </w:tcPr>
          <w:p w14:paraId="3F48AE70">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9</w:t>
            </w:r>
          </w:p>
        </w:tc>
        <w:tc>
          <w:tcPr>
            <w:tcW w:w="2989" w:type="dxa"/>
            <w:vAlign w:val="center"/>
          </w:tcPr>
          <w:p w14:paraId="617BB668">
            <w:pPr>
              <w:snapToGrid w:val="0"/>
              <w:spacing w:line="240" w:lineRule="exact"/>
              <w:rPr>
                <w:rFonts w:ascii="宋体" w:hAnsi="宋体"/>
                <w:color w:val="auto"/>
                <w:szCs w:val="21"/>
                <w:highlight w:val="none"/>
              </w:rPr>
            </w:pPr>
            <w:r>
              <w:rPr>
                <w:rFonts w:hint="eastAsia" w:ascii="宋体" w:hAnsi="宋体"/>
                <w:color w:val="auto"/>
                <w:szCs w:val="21"/>
                <w:highlight w:val="none"/>
              </w:rPr>
              <w:t>现场服务工作（含施工中设计修改或变更）</w:t>
            </w:r>
          </w:p>
        </w:tc>
        <w:tc>
          <w:tcPr>
            <w:tcW w:w="1358" w:type="dxa"/>
            <w:vAlign w:val="center"/>
          </w:tcPr>
          <w:p w14:paraId="65B688B1">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根据现场需要和发包人要求</w:t>
            </w:r>
          </w:p>
        </w:tc>
        <w:tc>
          <w:tcPr>
            <w:tcW w:w="3122" w:type="dxa"/>
            <w:vMerge w:val="continue"/>
            <w:vAlign w:val="center"/>
          </w:tcPr>
          <w:p w14:paraId="0447B403">
            <w:pPr>
              <w:snapToGrid w:val="0"/>
              <w:spacing w:line="240" w:lineRule="exact"/>
              <w:rPr>
                <w:rFonts w:ascii="宋体" w:hAnsi="宋体"/>
                <w:color w:val="auto"/>
                <w:szCs w:val="21"/>
                <w:highlight w:val="none"/>
              </w:rPr>
            </w:pPr>
          </w:p>
        </w:tc>
      </w:tr>
      <w:tr w14:paraId="310E5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75" w:type="dxa"/>
            <w:vMerge w:val="continue"/>
          </w:tcPr>
          <w:p w14:paraId="3291B0E8">
            <w:pPr>
              <w:snapToGrid w:val="0"/>
              <w:spacing w:line="240" w:lineRule="exact"/>
              <w:rPr>
                <w:rFonts w:ascii="宋体" w:hAnsi="宋体"/>
                <w:color w:val="auto"/>
                <w:szCs w:val="21"/>
                <w:highlight w:val="none"/>
              </w:rPr>
            </w:pPr>
          </w:p>
        </w:tc>
        <w:tc>
          <w:tcPr>
            <w:tcW w:w="496" w:type="dxa"/>
            <w:vAlign w:val="center"/>
          </w:tcPr>
          <w:p w14:paraId="1A39C202">
            <w:pPr>
              <w:snapToGrid w:val="0"/>
              <w:spacing w:line="24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2989" w:type="dxa"/>
            <w:vAlign w:val="center"/>
          </w:tcPr>
          <w:p w14:paraId="4C68CF1F">
            <w:pPr>
              <w:snapToGrid w:val="0"/>
              <w:spacing w:line="24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BIM技术应用成果</w:t>
            </w:r>
          </w:p>
        </w:tc>
        <w:tc>
          <w:tcPr>
            <w:tcW w:w="1358" w:type="dxa"/>
            <w:vAlign w:val="center"/>
          </w:tcPr>
          <w:p w14:paraId="7FE71080">
            <w:pPr>
              <w:snapToGrid w:val="0"/>
              <w:spacing w:line="240" w:lineRule="exact"/>
              <w:jc w:val="center"/>
              <w:rPr>
                <w:rFonts w:hint="eastAsia" w:ascii="宋体" w:hAnsi="宋体"/>
                <w:color w:val="auto"/>
                <w:szCs w:val="21"/>
                <w:highlight w:val="none"/>
              </w:rPr>
            </w:pPr>
            <w:r>
              <w:rPr>
                <w:rFonts w:hint="eastAsia" w:ascii="宋体" w:hAnsi="宋体"/>
                <w:color w:val="auto"/>
                <w:szCs w:val="21"/>
                <w:highlight w:val="none"/>
              </w:rPr>
              <w:t>按照发包人要求</w:t>
            </w:r>
          </w:p>
        </w:tc>
        <w:tc>
          <w:tcPr>
            <w:tcW w:w="3122" w:type="dxa"/>
            <w:vMerge w:val="continue"/>
            <w:vAlign w:val="center"/>
          </w:tcPr>
          <w:p w14:paraId="00DD6207">
            <w:pPr>
              <w:snapToGrid w:val="0"/>
              <w:spacing w:line="240" w:lineRule="exact"/>
              <w:rPr>
                <w:rFonts w:ascii="宋体" w:hAnsi="宋体"/>
                <w:color w:val="auto"/>
                <w:szCs w:val="21"/>
                <w:highlight w:val="none"/>
              </w:rPr>
            </w:pPr>
          </w:p>
        </w:tc>
      </w:tr>
      <w:tr w14:paraId="6B99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75" w:type="dxa"/>
          </w:tcPr>
          <w:p w14:paraId="011D1BF9">
            <w:pPr>
              <w:snapToGrid w:val="0"/>
              <w:spacing w:line="240" w:lineRule="exact"/>
              <w:rPr>
                <w:rFonts w:ascii="宋体" w:hAnsi="宋体"/>
                <w:color w:val="auto"/>
                <w:szCs w:val="21"/>
                <w:highlight w:val="none"/>
              </w:rPr>
            </w:pPr>
          </w:p>
          <w:p w14:paraId="01776367">
            <w:pPr>
              <w:snapToGrid w:val="0"/>
              <w:spacing w:line="240" w:lineRule="exact"/>
              <w:rPr>
                <w:rFonts w:ascii="宋体" w:hAnsi="宋体"/>
                <w:color w:val="auto"/>
                <w:szCs w:val="21"/>
                <w:highlight w:val="none"/>
              </w:rPr>
            </w:pPr>
            <w:r>
              <w:rPr>
                <w:rFonts w:hint="eastAsia" w:ascii="宋体" w:hAnsi="宋体"/>
                <w:color w:val="auto"/>
                <w:szCs w:val="21"/>
                <w:highlight w:val="none"/>
              </w:rPr>
              <w:t>勘察</w:t>
            </w:r>
          </w:p>
          <w:p w14:paraId="66CF728C">
            <w:pPr>
              <w:snapToGrid w:val="0"/>
              <w:spacing w:line="240" w:lineRule="exact"/>
              <w:rPr>
                <w:rFonts w:ascii="宋体" w:hAnsi="宋体"/>
                <w:color w:val="auto"/>
                <w:szCs w:val="21"/>
                <w:highlight w:val="none"/>
              </w:rPr>
            </w:pPr>
            <w:r>
              <w:rPr>
                <w:rFonts w:hint="eastAsia" w:ascii="宋体" w:hAnsi="宋体"/>
                <w:color w:val="auto"/>
                <w:szCs w:val="21"/>
                <w:highlight w:val="none"/>
              </w:rPr>
              <w:t>服务</w:t>
            </w:r>
          </w:p>
        </w:tc>
        <w:tc>
          <w:tcPr>
            <w:tcW w:w="496" w:type="dxa"/>
            <w:vAlign w:val="center"/>
          </w:tcPr>
          <w:p w14:paraId="47D2779E">
            <w:pPr>
              <w:snapToGrid w:val="0"/>
              <w:spacing w:line="24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1</w:t>
            </w:r>
          </w:p>
        </w:tc>
        <w:tc>
          <w:tcPr>
            <w:tcW w:w="2989" w:type="dxa"/>
            <w:vAlign w:val="center"/>
          </w:tcPr>
          <w:p w14:paraId="63FA9070">
            <w:pPr>
              <w:snapToGrid w:val="0"/>
              <w:spacing w:line="240" w:lineRule="exact"/>
              <w:rPr>
                <w:rFonts w:ascii="宋体" w:hAnsi="宋体"/>
                <w:color w:val="auto"/>
                <w:szCs w:val="21"/>
                <w:highlight w:val="none"/>
              </w:rPr>
            </w:pPr>
            <w:r>
              <w:rPr>
                <w:rFonts w:hint="eastAsia" w:ascii="宋体" w:hAnsi="宋体"/>
                <w:color w:val="auto"/>
                <w:szCs w:val="21"/>
                <w:highlight w:val="none"/>
              </w:rPr>
              <w:t>工程勘察（工程测量、工程物探&lt;</w:t>
            </w:r>
            <w:r>
              <w:rPr>
                <w:rFonts w:ascii="宋体" w:hAnsi="宋体"/>
                <w:color w:val="auto"/>
                <w:szCs w:val="21"/>
                <w:highlight w:val="none"/>
              </w:rPr>
              <w:t>地下管线探测</w:t>
            </w:r>
            <w:r>
              <w:rPr>
                <w:rFonts w:hint="eastAsia" w:ascii="宋体" w:hAnsi="宋体"/>
                <w:color w:val="auto"/>
                <w:szCs w:val="21"/>
                <w:highlight w:val="none"/>
              </w:rPr>
              <w:t>&gt;、超前钻（若需）等）成果资料</w:t>
            </w:r>
          </w:p>
        </w:tc>
        <w:tc>
          <w:tcPr>
            <w:tcW w:w="1358" w:type="dxa"/>
            <w:vAlign w:val="center"/>
          </w:tcPr>
          <w:p w14:paraId="06AC32DF">
            <w:pPr>
              <w:snapToGrid w:val="0"/>
              <w:spacing w:line="240" w:lineRule="exact"/>
              <w:rPr>
                <w:rFonts w:ascii="宋体" w:hAnsi="宋体"/>
                <w:color w:val="auto"/>
                <w:szCs w:val="21"/>
                <w:highlight w:val="none"/>
              </w:rPr>
            </w:pPr>
            <w:r>
              <w:rPr>
                <w:rFonts w:hint="eastAsia" w:ascii="宋体" w:hAnsi="宋体"/>
                <w:color w:val="auto"/>
                <w:szCs w:val="21"/>
                <w:highlight w:val="none"/>
              </w:rPr>
              <w:t>8或按照发包人要求</w:t>
            </w:r>
          </w:p>
        </w:tc>
        <w:tc>
          <w:tcPr>
            <w:tcW w:w="3122" w:type="dxa"/>
            <w:vMerge w:val="continue"/>
            <w:vAlign w:val="center"/>
          </w:tcPr>
          <w:p w14:paraId="3D3AFEA0">
            <w:pPr>
              <w:snapToGrid w:val="0"/>
              <w:spacing w:line="240" w:lineRule="exact"/>
              <w:rPr>
                <w:rFonts w:ascii="宋体" w:hAnsi="宋体"/>
                <w:color w:val="auto"/>
                <w:szCs w:val="21"/>
                <w:highlight w:val="none"/>
              </w:rPr>
            </w:pPr>
          </w:p>
        </w:tc>
      </w:tr>
      <w:tr w14:paraId="4DD1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75" w:type="dxa"/>
            <w:vMerge w:val="restart"/>
          </w:tcPr>
          <w:p w14:paraId="20191F1F">
            <w:pPr>
              <w:snapToGrid w:val="0"/>
              <w:spacing w:line="240" w:lineRule="exact"/>
              <w:rPr>
                <w:rFonts w:ascii="宋体" w:hAnsi="宋体"/>
                <w:color w:val="auto"/>
                <w:szCs w:val="21"/>
                <w:highlight w:val="none"/>
              </w:rPr>
            </w:pPr>
          </w:p>
          <w:p w14:paraId="167F1A47">
            <w:pPr>
              <w:snapToGrid w:val="0"/>
              <w:spacing w:line="240" w:lineRule="exact"/>
              <w:rPr>
                <w:rFonts w:ascii="宋体" w:hAnsi="宋体"/>
                <w:color w:val="auto"/>
                <w:szCs w:val="21"/>
                <w:highlight w:val="none"/>
              </w:rPr>
            </w:pPr>
          </w:p>
          <w:p w14:paraId="0366133E">
            <w:pPr>
              <w:snapToGrid w:val="0"/>
              <w:spacing w:line="240" w:lineRule="exact"/>
              <w:rPr>
                <w:rFonts w:ascii="宋体" w:hAnsi="宋体"/>
                <w:color w:val="auto"/>
                <w:szCs w:val="21"/>
                <w:highlight w:val="none"/>
              </w:rPr>
            </w:pPr>
            <w:r>
              <w:rPr>
                <w:rFonts w:hint="eastAsia" w:ascii="宋体" w:hAnsi="宋体"/>
                <w:color w:val="auto"/>
                <w:szCs w:val="21"/>
                <w:highlight w:val="none"/>
              </w:rPr>
              <w:t>其他</w:t>
            </w:r>
          </w:p>
        </w:tc>
        <w:tc>
          <w:tcPr>
            <w:tcW w:w="496" w:type="dxa"/>
            <w:vAlign w:val="center"/>
          </w:tcPr>
          <w:p w14:paraId="5D966624">
            <w:pPr>
              <w:snapToGrid w:val="0"/>
              <w:spacing w:line="240" w:lineRule="exact"/>
              <w:jc w:val="center"/>
              <w:rPr>
                <w:rFonts w:hint="eastAsia" w:ascii="宋体" w:hAnsi="宋体" w:eastAsia="宋体"/>
                <w:color w:val="auto"/>
                <w:szCs w:val="21"/>
                <w:highlight w:val="none"/>
                <w:lang w:eastAsia="zh-CN"/>
              </w:rPr>
            </w:pPr>
            <w:r>
              <w:rPr>
                <w:rFonts w:ascii="宋体" w:hAnsi="宋体"/>
                <w:color w:val="auto"/>
                <w:szCs w:val="21"/>
                <w:highlight w:val="none"/>
              </w:rPr>
              <w:t>1</w:t>
            </w:r>
            <w:r>
              <w:rPr>
                <w:rFonts w:hint="eastAsia" w:ascii="宋体" w:hAnsi="宋体"/>
                <w:color w:val="auto"/>
                <w:szCs w:val="21"/>
                <w:highlight w:val="none"/>
                <w:lang w:val="en-US" w:eastAsia="zh-CN"/>
              </w:rPr>
              <w:t>2</w:t>
            </w:r>
          </w:p>
        </w:tc>
        <w:tc>
          <w:tcPr>
            <w:tcW w:w="2989" w:type="dxa"/>
            <w:vAlign w:val="center"/>
          </w:tcPr>
          <w:p w14:paraId="3D3FC89B">
            <w:pPr>
              <w:snapToGrid w:val="0"/>
              <w:spacing w:line="240" w:lineRule="exact"/>
              <w:rPr>
                <w:rFonts w:ascii="宋体" w:hAnsi="宋体"/>
                <w:color w:val="auto"/>
                <w:szCs w:val="21"/>
                <w:highlight w:val="none"/>
              </w:rPr>
            </w:pPr>
            <w:r>
              <w:rPr>
                <w:rFonts w:hint="eastAsia" w:ascii="宋体" w:hAnsi="宋体"/>
                <w:color w:val="auto"/>
                <w:szCs w:val="21"/>
                <w:highlight w:val="none"/>
              </w:rPr>
              <w:t>报建通、验收通等其他工作内容</w:t>
            </w:r>
          </w:p>
        </w:tc>
        <w:tc>
          <w:tcPr>
            <w:tcW w:w="1358" w:type="dxa"/>
            <w:vAlign w:val="center"/>
          </w:tcPr>
          <w:p w14:paraId="5127CCAC">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按照发包人要求</w:t>
            </w:r>
          </w:p>
        </w:tc>
        <w:tc>
          <w:tcPr>
            <w:tcW w:w="3122" w:type="dxa"/>
            <w:vMerge w:val="continue"/>
            <w:vAlign w:val="center"/>
          </w:tcPr>
          <w:p w14:paraId="625A6617">
            <w:pPr>
              <w:snapToGrid w:val="0"/>
              <w:spacing w:line="240" w:lineRule="exact"/>
              <w:rPr>
                <w:rFonts w:ascii="宋体" w:hAnsi="宋体"/>
                <w:color w:val="auto"/>
                <w:szCs w:val="21"/>
                <w:highlight w:val="none"/>
              </w:rPr>
            </w:pPr>
          </w:p>
        </w:tc>
      </w:tr>
      <w:tr w14:paraId="1995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75" w:type="dxa"/>
            <w:vMerge w:val="continue"/>
          </w:tcPr>
          <w:p w14:paraId="68ABCCC9">
            <w:pPr>
              <w:snapToGrid w:val="0"/>
              <w:spacing w:line="240" w:lineRule="exact"/>
              <w:rPr>
                <w:rFonts w:ascii="宋体" w:hAnsi="宋体"/>
                <w:color w:val="auto"/>
                <w:szCs w:val="21"/>
                <w:highlight w:val="none"/>
              </w:rPr>
            </w:pPr>
          </w:p>
        </w:tc>
        <w:tc>
          <w:tcPr>
            <w:tcW w:w="496" w:type="dxa"/>
            <w:vAlign w:val="center"/>
          </w:tcPr>
          <w:p w14:paraId="680ECA67">
            <w:pPr>
              <w:snapToGrid w:val="0"/>
              <w:spacing w:line="240" w:lineRule="exact"/>
              <w:jc w:val="center"/>
              <w:rPr>
                <w:rFonts w:hint="eastAsia" w:ascii="宋体" w:hAnsi="宋体" w:eastAsia="宋体"/>
                <w:color w:val="auto"/>
                <w:szCs w:val="21"/>
                <w:highlight w:val="none"/>
                <w:lang w:eastAsia="zh-CN"/>
              </w:rPr>
            </w:pPr>
            <w:r>
              <w:rPr>
                <w:rFonts w:ascii="宋体" w:hAnsi="宋体"/>
                <w:color w:val="auto"/>
                <w:szCs w:val="21"/>
                <w:highlight w:val="none"/>
              </w:rPr>
              <w:t>1</w:t>
            </w:r>
            <w:r>
              <w:rPr>
                <w:rFonts w:hint="eastAsia" w:ascii="宋体" w:hAnsi="宋体"/>
                <w:color w:val="auto"/>
                <w:szCs w:val="21"/>
                <w:highlight w:val="none"/>
                <w:lang w:val="en-US" w:eastAsia="zh-CN"/>
              </w:rPr>
              <w:t>3</w:t>
            </w:r>
          </w:p>
        </w:tc>
        <w:tc>
          <w:tcPr>
            <w:tcW w:w="2989" w:type="dxa"/>
            <w:vAlign w:val="center"/>
          </w:tcPr>
          <w:p w14:paraId="7BE981D4">
            <w:pPr>
              <w:snapToGrid w:val="0"/>
              <w:spacing w:line="240" w:lineRule="exact"/>
              <w:rPr>
                <w:rFonts w:ascii="宋体" w:hAnsi="宋体"/>
                <w:color w:val="auto"/>
                <w:szCs w:val="21"/>
                <w:highlight w:val="none"/>
              </w:rPr>
            </w:pPr>
            <w:r>
              <w:rPr>
                <w:rFonts w:hint="eastAsia" w:ascii="宋体" w:hAnsi="宋体"/>
                <w:color w:val="auto"/>
                <w:szCs w:val="21"/>
                <w:highlight w:val="none"/>
              </w:rPr>
              <w:t>方案报建及修改（含地形套图及打印）</w:t>
            </w:r>
          </w:p>
        </w:tc>
        <w:tc>
          <w:tcPr>
            <w:tcW w:w="1358" w:type="dxa"/>
            <w:vAlign w:val="center"/>
          </w:tcPr>
          <w:p w14:paraId="7BD88E19">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按照发包人要求</w:t>
            </w:r>
          </w:p>
        </w:tc>
        <w:tc>
          <w:tcPr>
            <w:tcW w:w="3122" w:type="dxa"/>
            <w:vMerge w:val="continue"/>
            <w:vAlign w:val="center"/>
          </w:tcPr>
          <w:p w14:paraId="7B6DA080">
            <w:pPr>
              <w:snapToGrid w:val="0"/>
              <w:spacing w:line="240" w:lineRule="exact"/>
              <w:rPr>
                <w:rFonts w:ascii="宋体" w:hAnsi="宋体"/>
                <w:color w:val="auto"/>
                <w:szCs w:val="21"/>
                <w:highlight w:val="none"/>
              </w:rPr>
            </w:pPr>
          </w:p>
        </w:tc>
      </w:tr>
      <w:tr w14:paraId="66E0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75" w:type="dxa"/>
            <w:vMerge w:val="continue"/>
          </w:tcPr>
          <w:p w14:paraId="70C33158">
            <w:pPr>
              <w:snapToGrid w:val="0"/>
              <w:spacing w:line="240" w:lineRule="exact"/>
              <w:rPr>
                <w:rFonts w:ascii="宋体" w:hAnsi="宋体"/>
                <w:color w:val="auto"/>
                <w:szCs w:val="21"/>
                <w:highlight w:val="none"/>
              </w:rPr>
            </w:pPr>
          </w:p>
        </w:tc>
        <w:tc>
          <w:tcPr>
            <w:tcW w:w="496" w:type="dxa"/>
            <w:vAlign w:val="center"/>
          </w:tcPr>
          <w:p w14:paraId="5A79E14F">
            <w:pPr>
              <w:snapToGrid w:val="0"/>
              <w:spacing w:line="240" w:lineRule="exact"/>
              <w:jc w:val="center"/>
              <w:rPr>
                <w:rFonts w:hint="eastAsia" w:ascii="宋体" w:hAnsi="宋体" w:eastAsia="宋体"/>
                <w:color w:val="auto"/>
                <w:szCs w:val="21"/>
                <w:highlight w:val="none"/>
                <w:lang w:eastAsia="zh-CN"/>
              </w:rPr>
            </w:pPr>
            <w:r>
              <w:rPr>
                <w:rFonts w:ascii="宋体" w:hAnsi="宋体"/>
                <w:color w:val="auto"/>
                <w:szCs w:val="21"/>
                <w:highlight w:val="none"/>
              </w:rPr>
              <w:t>1</w:t>
            </w:r>
            <w:r>
              <w:rPr>
                <w:rFonts w:hint="eastAsia" w:ascii="宋体" w:hAnsi="宋体"/>
                <w:color w:val="auto"/>
                <w:szCs w:val="21"/>
                <w:highlight w:val="none"/>
                <w:lang w:val="en-US" w:eastAsia="zh-CN"/>
              </w:rPr>
              <w:t>4</w:t>
            </w:r>
          </w:p>
        </w:tc>
        <w:tc>
          <w:tcPr>
            <w:tcW w:w="2989" w:type="dxa"/>
            <w:vAlign w:val="center"/>
          </w:tcPr>
          <w:p w14:paraId="0937827B">
            <w:pPr>
              <w:snapToGrid w:val="0"/>
              <w:spacing w:line="240" w:lineRule="exact"/>
              <w:rPr>
                <w:rFonts w:ascii="宋体" w:hAnsi="宋体"/>
                <w:color w:val="auto"/>
                <w:szCs w:val="21"/>
                <w:highlight w:val="none"/>
              </w:rPr>
            </w:pPr>
            <w:r>
              <w:rPr>
                <w:rFonts w:hint="eastAsia" w:ascii="宋体" w:hAnsi="宋体"/>
                <w:color w:val="auto"/>
                <w:szCs w:val="21"/>
                <w:highlight w:val="none"/>
              </w:rPr>
              <w:t>基础资料和数据收集</w:t>
            </w:r>
          </w:p>
        </w:tc>
        <w:tc>
          <w:tcPr>
            <w:tcW w:w="1358" w:type="dxa"/>
            <w:vAlign w:val="center"/>
          </w:tcPr>
          <w:p w14:paraId="2B0F4751">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按照发包人要求</w:t>
            </w:r>
          </w:p>
        </w:tc>
        <w:tc>
          <w:tcPr>
            <w:tcW w:w="3122" w:type="dxa"/>
            <w:vMerge w:val="continue"/>
            <w:vAlign w:val="center"/>
          </w:tcPr>
          <w:p w14:paraId="5D9D8CB4">
            <w:pPr>
              <w:snapToGrid w:val="0"/>
              <w:spacing w:line="240" w:lineRule="exact"/>
              <w:rPr>
                <w:rFonts w:ascii="宋体" w:hAnsi="宋体"/>
                <w:color w:val="auto"/>
                <w:szCs w:val="21"/>
                <w:highlight w:val="none"/>
              </w:rPr>
            </w:pPr>
          </w:p>
        </w:tc>
      </w:tr>
    </w:tbl>
    <w:p w14:paraId="4386AF9D">
      <w:pPr>
        <w:ind w:firstLine="482"/>
        <w:rPr>
          <w:rFonts w:eastAsia="黑体"/>
          <w:b/>
          <w:bCs/>
          <w:color w:val="auto"/>
          <w:sz w:val="24"/>
          <w:highlight w:val="none"/>
        </w:rPr>
      </w:pPr>
      <w:r>
        <w:rPr>
          <w:rFonts w:hint="eastAsia" w:eastAsia="黑体"/>
          <w:b/>
          <w:bCs/>
          <w:color w:val="auto"/>
          <w:sz w:val="24"/>
          <w:highlight w:val="none"/>
        </w:rPr>
        <w:t>第八条  勘察设计要求</w:t>
      </w:r>
    </w:p>
    <w:p w14:paraId="2FEB10D9">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8.1勘察工作严格按照有关法律法规及相关文件规定进行。</w:t>
      </w:r>
    </w:p>
    <w:p w14:paraId="79D51561">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8.1.1勘察工作应充分调研场地及附近的勘察、水文地质、地震及环境地质等资料和建筑经验，搜集场区的地面整平标高，建筑物的性质、规模、荷载、结构特点、基础形式、埋置深度、地基允许变形等资料；</w:t>
      </w:r>
    </w:p>
    <w:p w14:paraId="4874EADD">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8.1.2</w:t>
      </w:r>
      <w:r>
        <w:rPr>
          <w:rFonts w:ascii="宋体" w:hAnsi="宋体"/>
          <w:color w:val="auto"/>
          <w:sz w:val="24"/>
          <w:highlight w:val="none"/>
        </w:rPr>
        <w:t xml:space="preserve"> </w:t>
      </w:r>
      <w:r>
        <w:rPr>
          <w:rFonts w:hint="eastAsia" w:ascii="宋体" w:hAnsi="宋体"/>
          <w:color w:val="auto"/>
          <w:sz w:val="24"/>
          <w:highlight w:val="none"/>
        </w:rPr>
        <w:t>查明有无影响场地稳定性的不良地质现象及其它不利影响。查明不良地质作用的类型、成因、分布范围、发展趋势和危害程度，提出整治方案的建议；</w:t>
      </w:r>
    </w:p>
    <w:p w14:paraId="0877BD5D">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8.1.3 查明荷载影响范围内各岩土的类型、分布、厚度、深度、均匀性及物理力学性质。评价地基的稳定性、均匀性并提供地基土承载力及变形计算参数；</w:t>
      </w:r>
    </w:p>
    <w:p w14:paraId="14407248">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8.1.4</w:t>
      </w:r>
      <w:r>
        <w:rPr>
          <w:rFonts w:ascii="宋体" w:hAnsi="宋体"/>
          <w:color w:val="auto"/>
          <w:sz w:val="24"/>
          <w:highlight w:val="none"/>
        </w:rPr>
        <w:t xml:space="preserve"> </w:t>
      </w:r>
      <w:r>
        <w:rPr>
          <w:rFonts w:hint="eastAsia" w:ascii="宋体" w:hAnsi="宋体"/>
          <w:color w:val="auto"/>
          <w:sz w:val="24"/>
          <w:highlight w:val="none"/>
        </w:rPr>
        <w:t>对需进行沉降计算的建筑物，提供地基变形计算参数，预测建筑物的变形特征；</w:t>
      </w:r>
    </w:p>
    <w:p w14:paraId="5B0469F4">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8.1.5</w:t>
      </w:r>
      <w:r>
        <w:rPr>
          <w:rFonts w:ascii="宋体" w:hAnsi="宋体"/>
          <w:color w:val="auto"/>
          <w:sz w:val="24"/>
          <w:highlight w:val="none"/>
        </w:rPr>
        <w:t xml:space="preserve"> </w:t>
      </w:r>
      <w:r>
        <w:rPr>
          <w:rFonts w:hint="eastAsia" w:ascii="宋体" w:hAnsi="宋体"/>
          <w:color w:val="auto"/>
          <w:sz w:val="24"/>
          <w:highlight w:val="none"/>
        </w:rPr>
        <w:t>场地中如果存在古河道、塘堰、沟、坑、洞、墓穴、各种地下管网、防空洞、孤石、石灰岩等对工程不利的埋藏物或地下障碍物时，尚应查明其分布范围、深度、堆积及回填物；</w:t>
      </w:r>
    </w:p>
    <w:p w14:paraId="3D8DD6C8">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8.1.5.1在工程勘察期间遇到地下文物时，应及时向发包人和文物主管部门报告并妥善保护。</w:t>
      </w:r>
    </w:p>
    <w:p w14:paraId="25E12D41">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8.1.5.2在燃气管道、热力管道动力设备、输水管道、输电线路、输油管道等地下管道；街交通要道和地下通道（地下隧道）；临地铁、城际等城市轨道交通范围等风险性较大的地点；易燃易爆地段及放射、有毒环境中进行工程勘察作业时，应编制安全防护方案并制定应急预案。</w:t>
      </w:r>
    </w:p>
    <w:p w14:paraId="27A9AA80">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8.1.5.3承包人在工程勘察期间应采取有效措施保护地下管线、结构物、文物（如有）等的安全，若因勘察作业导致地下管线、结构物、文物（如有）等损坏的，由承包人自行承担赔偿损失责任。</w:t>
      </w:r>
    </w:p>
    <w:p w14:paraId="220D4A44">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8.1.6</w:t>
      </w:r>
      <w:r>
        <w:rPr>
          <w:rFonts w:ascii="宋体" w:hAnsi="宋体"/>
          <w:color w:val="auto"/>
          <w:sz w:val="24"/>
          <w:highlight w:val="none"/>
        </w:rPr>
        <w:t xml:space="preserve"> </w:t>
      </w:r>
      <w:r>
        <w:rPr>
          <w:rFonts w:hint="eastAsia" w:ascii="宋体" w:hAnsi="宋体"/>
          <w:color w:val="auto"/>
          <w:sz w:val="24"/>
          <w:highlight w:val="none"/>
        </w:rPr>
        <w:t>场地中如果存在可液化地基，应进行地震液化评价，并提出处理措施的建议；</w:t>
      </w:r>
    </w:p>
    <w:p w14:paraId="25DB1917">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8.1.7</w:t>
      </w:r>
      <w:r>
        <w:rPr>
          <w:rFonts w:ascii="宋体" w:hAnsi="宋体"/>
          <w:color w:val="auto"/>
          <w:sz w:val="24"/>
          <w:highlight w:val="none"/>
        </w:rPr>
        <w:t xml:space="preserve"> </w:t>
      </w:r>
      <w:r>
        <w:rPr>
          <w:rFonts w:hint="eastAsia" w:ascii="宋体" w:hAnsi="宋体"/>
          <w:color w:val="auto"/>
          <w:sz w:val="24"/>
          <w:highlight w:val="none"/>
        </w:rPr>
        <w:t>确定岩石的风化等级，并划定其界限；</w:t>
      </w:r>
    </w:p>
    <w:p w14:paraId="441254A9">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8.1.8</w:t>
      </w:r>
      <w:r>
        <w:rPr>
          <w:rFonts w:ascii="宋体" w:hAnsi="宋体"/>
          <w:color w:val="auto"/>
          <w:sz w:val="24"/>
          <w:highlight w:val="none"/>
        </w:rPr>
        <w:t xml:space="preserve"> </w:t>
      </w:r>
      <w:r>
        <w:rPr>
          <w:rFonts w:hint="eastAsia" w:ascii="宋体" w:hAnsi="宋体"/>
          <w:color w:val="auto"/>
          <w:sz w:val="24"/>
          <w:highlight w:val="none"/>
        </w:rPr>
        <w:t>按当地设防烈度和重点设防类建筑标准，对场地与地基的地震效应评价，提供抗震设计相关参数；</w:t>
      </w:r>
    </w:p>
    <w:p w14:paraId="4963592B">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8.1.9</w:t>
      </w:r>
      <w:r>
        <w:rPr>
          <w:rFonts w:ascii="宋体" w:hAnsi="宋体"/>
          <w:color w:val="auto"/>
          <w:sz w:val="24"/>
          <w:highlight w:val="none"/>
        </w:rPr>
        <w:t xml:space="preserve"> </w:t>
      </w:r>
      <w:r>
        <w:rPr>
          <w:rFonts w:hint="eastAsia" w:ascii="宋体" w:hAnsi="宋体"/>
          <w:color w:val="auto"/>
          <w:sz w:val="24"/>
          <w:highlight w:val="none"/>
        </w:rPr>
        <w:t>查明地下水的埋藏条件、类型、水质。提出降低地下水位的方法，并提供含水层的主要水文地质参数;抗浮设计水位绝对标高；</w:t>
      </w:r>
    </w:p>
    <w:p w14:paraId="129A09A6">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8.1.10</w:t>
      </w:r>
      <w:r>
        <w:rPr>
          <w:rFonts w:ascii="宋体" w:hAnsi="宋体"/>
          <w:color w:val="auto"/>
          <w:sz w:val="24"/>
          <w:highlight w:val="none"/>
        </w:rPr>
        <w:t xml:space="preserve"> </w:t>
      </w:r>
      <w:r>
        <w:rPr>
          <w:rFonts w:hint="eastAsia" w:ascii="宋体" w:hAnsi="宋体"/>
          <w:color w:val="auto"/>
          <w:sz w:val="24"/>
          <w:highlight w:val="none"/>
        </w:rPr>
        <w:t>判定水和土对建筑材料的腐蚀性；</w:t>
      </w:r>
    </w:p>
    <w:p w14:paraId="45700B6B">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8.1.11</w:t>
      </w:r>
      <w:r>
        <w:rPr>
          <w:rFonts w:ascii="宋体" w:hAnsi="宋体"/>
          <w:color w:val="auto"/>
          <w:sz w:val="24"/>
          <w:highlight w:val="none"/>
        </w:rPr>
        <w:t xml:space="preserve"> </w:t>
      </w:r>
      <w:r>
        <w:rPr>
          <w:rFonts w:hint="eastAsia" w:ascii="宋体" w:hAnsi="宋体"/>
          <w:color w:val="auto"/>
          <w:sz w:val="24"/>
          <w:highlight w:val="none"/>
        </w:rPr>
        <w:t>当采用桩基时：</w:t>
      </w:r>
    </w:p>
    <w:p w14:paraId="568D53D4">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8.1.11.1基岩作为桩的持力层时，应查明基岩的岩性、构造、岩面变化、风化程度，确定其坚硬程度、完整程度和基本质量等级，判定有无洞穴、临空面、破碎岩体或软弱岩层；</w:t>
      </w:r>
    </w:p>
    <w:p w14:paraId="7146B9E3">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8.1.11.2评价成桩可能性，论证桩的施工条件及其对环境的影响。</w:t>
      </w:r>
    </w:p>
    <w:p w14:paraId="379D8175">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8.1.11.3满足1～11 条要求；</w:t>
      </w:r>
    </w:p>
    <w:p w14:paraId="2AD9DC6A">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8.1.12</w:t>
      </w:r>
      <w:r>
        <w:rPr>
          <w:rFonts w:ascii="宋体" w:hAnsi="宋体"/>
          <w:color w:val="auto"/>
          <w:sz w:val="24"/>
          <w:highlight w:val="none"/>
        </w:rPr>
        <w:t xml:space="preserve"> </w:t>
      </w:r>
      <w:r>
        <w:rPr>
          <w:rFonts w:hint="eastAsia" w:ascii="宋体" w:hAnsi="宋体"/>
          <w:color w:val="auto"/>
          <w:sz w:val="24"/>
          <w:highlight w:val="none"/>
        </w:rPr>
        <w:t>提出地基基础设计方案的建议。</w:t>
      </w:r>
    </w:p>
    <w:p w14:paraId="347BEB53">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8.1.13</w:t>
      </w:r>
      <w:r>
        <w:rPr>
          <w:rFonts w:ascii="宋体" w:hAnsi="宋体"/>
          <w:color w:val="auto"/>
          <w:sz w:val="24"/>
          <w:highlight w:val="none"/>
        </w:rPr>
        <w:t xml:space="preserve"> </w:t>
      </w:r>
      <w:r>
        <w:rPr>
          <w:rFonts w:hint="eastAsia" w:ascii="宋体" w:hAnsi="宋体"/>
          <w:color w:val="auto"/>
          <w:sz w:val="24"/>
          <w:highlight w:val="none"/>
        </w:rPr>
        <w:t>论述地下室开挖对临近建（构）筑物及地下设施和斜坡的影响；</w:t>
      </w:r>
    </w:p>
    <w:p w14:paraId="2A2A3562">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8.1.14</w:t>
      </w:r>
      <w:r>
        <w:rPr>
          <w:rFonts w:ascii="宋体" w:hAnsi="宋体"/>
          <w:color w:val="auto"/>
          <w:sz w:val="24"/>
          <w:highlight w:val="none"/>
        </w:rPr>
        <w:t xml:space="preserve"> </w:t>
      </w:r>
      <w:r>
        <w:rPr>
          <w:rFonts w:hint="eastAsia" w:ascii="宋体" w:hAnsi="宋体"/>
          <w:color w:val="auto"/>
          <w:sz w:val="24"/>
          <w:highlight w:val="none"/>
        </w:rPr>
        <w:t>提供边坡稳定及支护的设计计算参数；</w:t>
      </w:r>
    </w:p>
    <w:p w14:paraId="43841F56">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8.1.15</w:t>
      </w:r>
      <w:r>
        <w:rPr>
          <w:rFonts w:ascii="宋体" w:hAnsi="宋体"/>
          <w:color w:val="auto"/>
          <w:sz w:val="24"/>
          <w:highlight w:val="none"/>
        </w:rPr>
        <w:t xml:space="preserve"> </w:t>
      </w:r>
      <w:r>
        <w:rPr>
          <w:rFonts w:hint="eastAsia" w:ascii="宋体" w:hAnsi="宋体"/>
          <w:color w:val="auto"/>
          <w:sz w:val="24"/>
          <w:highlight w:val="none"/>
        </w:rPr>
        <w:t>勘探点的布置及勘探孔深度应符合有关规范的要求。</w:t>
      </w:r>
    </w:p>
    <w:p w14:paraId="17FDF0C7">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8.2承包人按招标文件、招标答疑和发包人最终出具的方案阶段、初步设计阶段、施工图阶段及优化提升设计阶段及限额设计等有关要求进行设计。</w:t>
      </w:r>
    </w:p>
    <w:p w14:paraId="36FB809D">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每个阶段各专业承包人按发包人要求提供至少两个比选方案，在技术、经济投资、实施性、运营管理、工期上作比较分析，并应提供方案设计图及效果图、计算书、造价文件进行研究。</w:t>
      </w:r>
    </w:p>
    <w:p w14:paraId="0E51ED0D">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.2</w:t>
      </w:r>
      <w:r>
        <w:rPr>
          <w:rFonts w:hint="eastAsia" w:ascii="宋体" w:hAnsi="宋体"/>
          <w:color w:val="auto"/>
          <w:sz w:val="24"/>
          <w:highlight w:val="none"/>
        </w:rPr>
        <w:t>.1</w:t>
      </w:r>
      <w:r>
        <w:rPr>
          <w:rFonts w:ascii="宋体" w:hAnsi="宋体"/>
          <w:color w:val="auto"/>
          <w:sz w:val="24"/>
          <w:highlight w:val="none"/>
        </w:rPr>
        <w:t>方案设计及方案深化设计：</w:t>
      </w:r>
    </w:p>
    <w:p w14:paraId="19F4D823">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承包人</w:t>
      </w:r>
      <w:r>
        <w:rPr>
          <w:rFonts w:ascii="宋体" w:hAnsi="宋体"/>
          <w:color w:val="auto"/>
          <w:sz w:val="24"/>
          <w:highlight w:val="none"/>
        </w:rPr>
        <w:t>须在限额设计范围内</w:t>
      </w:r>
      <w:r>
        <w:rPr>
          <w:rFonts w:hint="eastAsia" w:ascii="宋体" w:hAnsi="宋体"/>
          <w:color w:val="auto"/>
          <w:sz w:val="24"/>
          <w:highlight w:val="none"/>
        </w:rPr>
        <w:t>开</w:t>
      </w:r>
      <w:r>
        <w:rPr>
          <w:rFonts w:ascii="宋体" w:hAnsi="宋体"/>
          <w:color w:val="auto"/>
          <w:sz w:val="24"/>
          <w:highlight w:val="none"/>
        </w:rPr>
        <w:t>展方案设计，同时充分运用性价比分析、技术经济比较等技术手段，并按照发包人要求，对发包人选定的方案进行优化。</w:t>
      </w:r>
    </w:p>
    <w:p w14:paraId="520CB2BF">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承包人对</w:t>
      </w:r>
      <w:r>
        <w:rPr>
          <w:rFonts w:ascii="宋体" w:hAnsi="宋体"/>
          <w:color w:val="auto"/>
          <w:sz w:val="24"/>
          <w:highlight w:val="none"/>
        </w:rPr>
        <w:t>结构体系应进行初步的计算，保证结构方案是可行的。</w:t>
      </w:r>
    </w:p>
    <w:p w14:paraId="08E3EEE8">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w:t>
      </w:r>
      <w:r>
        <w:rPr>
          <w:rFonts w:ascii="宋体" w:hAnsi="宋体"/>
          <w:color w:val="auto"/>
          <w:sz w:val="24"/>
          <w:highlight w:val="none"/>
        </w:rPr>
        <w:t>对各专业采用的新技术应作详细的介绍，以便进行评审和据以进行下一步的设计。</w:t>
      </w:r>
    </w:p>
    <w:p w14:paraId="032965D5">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2.2</w:t>
      </w:r>
      <w:r>
        <w:rPr>
          <w:rFonts w:ascii="宋体" w:hAnsi="宋体"/>
          <w:color w:val="auto"/>
          <w:sz w:val="24"/>
          <w:highlight w:val="none"/>
        </w:rPr>
        <w:t>初步设计：</w:t>
      </w:r>
    </w:p>
    <w:p w14:paraId="6EB14C5D">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初步设计阶段承包人须对结构体系、主要设备选型进行两个以上方案技术经济比较，使设计具备技术先进性、可行性和经济合理性。满足以下要求：</w:t>
      </w:r>
    </w:p>
    <w:p w14:paraId="043551EE">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1）能据以准备各主要设备、材料及饰面材料（送板）；</w:t>
      </w:r>
    </w:p>
    <w:p w14:paraId="5B034245">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2）能据以编制、审核该工程的投资概算；</w:t>
      </w:r>
    </w:p>
    <w:p w14:paraId="10294AC3">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3）能据以进行施工准备；</w:t>
      </w:r>
    </w:p>
    <w:p w14:paraId="1853498E">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4）能作为各专业施工图设计的依据。</w:t>
      </w:r>
    </w:p>
    <w:p w14:paraId="3460575A">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5）能够满足后期产品优化提升设计的平面墙柱分布、结构预埋件及预留荷载、设备系统、设备选型、设备管井及末端接口、预留相关</w:t>
      </w:r>
      <w:r>
        <w:rPr>
          <w:rFonts w:hint="eastAsia" w:ascii="宋体" w:hAnsi="宋体"/>
          <w:color w:val="auto"/>
          <w:sz w:val="24"/>
          <w:highlight w:val="none"/>
        </w:rPr>
        <w:t>孔</w:t>
      </w:r>
      <w:r>
        <w:rPr>
          <w:rFonts w:ascii="宋体" w:hAnsi="宋体"/>
          <w:color w:val="auto"/>
          <w:sz w:val="24"/>
          <w:highlight w:val="none"/>
        </w:rPr>
        <w:t>洞；</w:t>
      </w:r>
    </w:p>
    <w:p w14:paraId="5D4545E1">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2.3</w:t>
      </w:r>
      <w:r>
        <w:rPr>
          <w:rFonts w:ascii="宋体" w:hAnsi="宋体"/>
          <w:color w:val="auto"/>
          <w:sz w:val="24"/>
          <w:highlight w:val="none"/>
        </w:rPr>
        <w:t>施工图设计：</w:t>
      </w:r>
    </w:p>
    <w:p w14:paraId="391B9474">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2.3.1对于</w:t>
      </w:r>
      <w:r>
        <w:rPr>
          <w:rFonts w:ascii="宋体" w:hAnsi="宋体"/>
          <w:color w:val="auto"/>
          <w:sz w:val="24"/>
          <w:highlight w:val="none"/>
        </w:rPr>
        <w:t>施工图设计文件的深度，</w:t>
      </w:r>
      <w:r>
        <w:rPr>
          <w:rFonts w:hint="eastAsia" w:ascii="宋体" w:hAnsi="宋体"/>
          <w:color w:val="auto"/>
          <w:sz w:val="24"/>
          <w:highlight w:val="none"/>
        </w:rPr>
        <w:t>承包人</w:t>
      </w:r>
      <w:r>
        <w:rPr>
          <w:rFonts w:ascii="宋体" w:hAnsi="宋体"/>
          <w:color w:val="auto"/>
          <w:sz w:val="24"/>
          <w:highlight w:val="none"/>
        </w:rPr>
        <w:t>要实现以下要求：</w:t>
      </w:r>
    </w:p>
    <w:p w14:paraId="70B1EF2A">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1）能据以编制施工图预算；</w:t>
      </w:r>
    </w:p>
    <w:p w14:paraId="3185538A">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2）能据以编制招标文件；</w:t>
      </w:r>
    </w:p>
    <w:p w14:paraId="03EC7316">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3）能够满足后期产品优化提升设计的平面墙柱分布、结构预埋件及预留荷载、设备系统、设备选型、设备管井及末端接口、预留相关孔洞；</w:t>
      </w:r>
    </w:p>
    <w:p w14:paraId="266F4C3D">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4）能据以安排材料、设备订货和非标准设备的制作；</w:t>
      </w:r>
    </w:p>
    <w:p w14:paraId="349AB836">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5）能据以进行施工和安装；</w:t>
      </w:r>
    </w:p>
    <w:p w14:paraId="1962AE9B">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6）能据以进行工程竣工验收。</w:t>
      </w:r>
    </w:p>
    <w:p w14:paraId="7FA6B4D6">
      <w:pPr>
        <w:spacing w:line="460" w:lineRule="exact"/>
        <w:ind w:firstLine="480" w:firstLineChars="200"/>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8.2.4</w:t>
      </w:r>
      <w:r>
        <w:rPr>
          <w:rFonts w:ascii="宋体" w:hAnsi="宋体"/>
          <w:color w:val="auto"/>
          <w:sz w:val="24"/>
          <w:highlight w:val="none"/>
        </w:rPr>
        <w:t>在施工图提供初稿审核阶段，对于需要施工单位或设备厂家进行深化设计的系统和工程，</w:t>
      </w:r>
      <w:r>
        <w:rPr>
          <w:rFonts w:hint="eastAsia" w:ascii="宋体" w:hAnsi="宋体"/>
          <w:color w:val="auto"/>
          <w:sz w:val="24"/>
          <w:highlight w:val="none"/>
        </w:rPr>
        <w:t>承包人</w:t>
      </w:r>
      <w:r>
        <w:rPr>
          <w:rFonts w:ascii="宋体" w:hAnsi="宋体"/>
          <w:color w:val="auto"/>
          <w:sz w:val="24"/>
          <w:highlight w:val="none"/>
        </w:rPr>
        <w:t>需列出清单和深化设计具体要求，提交发包人进行审核确认。此部分工程，</w:t>
      </w:r>
      <w:r>
        <w:rPr>
          <w:rFonts w:hint="eastAsia" w:ascii="宋体" w:hAnsi="宋体"/>
          <w:color w:val="auto"/>
          <w:sz w:val="24"/>
          <w:highlight w:val="none"/>
        </w:rPr>
        <w:t>承包人</w:t>
      </w:r>
      <w:r>
        <w:rPr>
          <w:rFonts w:ascii="宋体" w:hAnsi="宋体"/>
          <w:color w:val="auto"/>
          <w:sz w:val="24"/>
          <w:highlight w:val="none"/>
        </w:rPr>
        <w:t>须提供可进行采购的施工图和技术材料说明书。</w:t>
      </w:r>
    </w:p>
    <w:p w14:paraId="3D528D54">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8.2</w:t>
      </w:r>
      <w:r>
        <w:rPr>
          <w:rFonts w:ascii="宋体" w:hAnsi="宋体"/>
          <w:color w:val="auto"/>
          <w:sz w:val="24"/>
          <w:highlight w:val="none"/>
        </w:rPr>
        <w:t>.5优化提升设计：</w:t>
      </w:r>
    </w:p>
    <w:p w14:paraId="247BC02A">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对于优化提升设计，承包人需要无条件满足发包人的产品定位、策划内容和实际需求为前提，设计文件的深度要满足以下要求：</w:t>
      </w:r>
    </w:p>
    <w:p w14:paraId="0802272D">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8.2</w:t>
      </w:r>
      <w:r>
        <w:rPr>
          <w:rFonts w:ascii="宋体" w:hAnsi="宋体"/>
          <w:color w:val="auto"/>
          <w:sz w:val="24"/>
          <w:highlight w:val="none"/>
        </w:rPr>
        <w:t>.5</w:t>
      </w:r>
      <w:r>
        <w:rPr>
          <w:rFonts w:hint="eastAsia" w:ascii="宋体" w:hAnsi="宋体"/>
          <w:color w:val="auto"/>
          <w:sz w:val="24"/>
          <w:highlight w:val="none"/>
        </w:rPr>
        <w:t>.1</w:t>
      </w:r>
      <w:r>
        <w:rPr>
          <w:rFonts w:ascii="宋体" w:hAnsi="宋体"/>
          <w:color w:val="auto"/>
          <w:sz w:val="24"/>
          <w:highlight w:val="none"/>
        </w:rPr>
        <w:t>按要求开展现场踏勘、资料收集及整理、资料分析，提出具体可行性合理建议；</w:t>
      </w:r>
    </w:p>
    <w:p w14:paraId="1C15FD03">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8.2</w:t>
      </w:r>
      <w:r>
        <w:rPr>
          <w:rFonts w:ascii="宋体" w:hAnsi="宋体"/>
          <w:color w:val="auto"/>
          <w:sz w:val="24"/>
          <w:highlight w:val="none"/>
        </w:rPr>
        <w:t>.5</w:t>
      </w:r>
      <w:r>
        <w:rPr>
          <w:rFonts w:hint="eastAsia" w:ascii="宋体" w:hAnsi="宋体"/>
          <w:color w:val="auto"/>
          <w:sz w:val="24"/>
          <w:highlight w:val="none"/>
        </w:rPr>
        <w:t>.2</w:t>
      </w:r>
      <w:r>
        <w:rPr>
          <w:rFonts w:ascii="宋体" w:hAnsi="宋体"/>
          <w:color w:val="auto"/>
          <w:sz w:val="24"/>
          <w:highlight w:val="none"/>
        </w:rPr>
        <w:t>优化提升设计内容各专业符合相关的工程设计技术规范和标准；</w:t>
      </w:r>
    </w:p>
    <w:p w14:paraId="71132D32">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8.2</w:t>
      </w:r>
      <w:r>
        <w:rPr>
          <w:rFonts w:ascii="宋体" w:hAnsi="宋体"/>
          <w:color w:val="auto"/>
          <w:sz w:val="24"/>
          <w:highlight w:val="none"/>
        </w:rPr>
        <w:t>.5</w:t>
      </w:r>
      <w:r>
        <w:rPr>
          <w:rFonts w:hint="eastAsia" w:ascii="宋体" w:hAnsi="宋体"/>
          <w:color w:val="auto"/>
          <w:sz w:val="24"/>
          <w:highlight w:val="none"/>
        </w:rPr>
        <w:t>.3</w:t>
      </w:r>
      <w:r>
        <w:rPr>
          <w:rFonts w:ascii="宋体" w:hAnsi="宋体"/>
          <w:color w:val="auto"/>
          <w:sz w:val="24"/>
          <w:highlight w:val="none"/>
        </w:rPr>
        <w:t>能据以编制优化提升设计预算；</w:t>
      </w:r>
    </w:p>
    <w:p w14:paraId="33F1961F">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8.2</w:t>
      </w:r>
      <w:r>
        <w:rPr>
          <w:rFonts w:ascii="宋体" w:hAnsi="宋体"/>
          <w:color w:val="auto"/>
          <w:sz w:val="24"/>
          <w:highlight w:val="none"/>
        </w:rPr>
        <w:t>.5</w:t>
      </w:r>
      <w:r>
        <w:rPr>
          <w:rFonts w:hint="eastAsia" w:ascii="宋体" w:hAnsi="宋体"/>
          <w:color w:val="auto"/>
          <w:sz w:val="24"/>
          <w:highlight w:val="none"/>
        </w:rPr>
        <w:t>.4</w:t>
      </w:r>
      <w:r>
        <w:rPr>
          <w:rFonts w:ascii="宋体" w:hAnsi="宋体"/>
          <w:color w:val="auto"/>
          <w:sz w:val="24"/>
          <w:highlight w:val="none"/>
        </w:rPr>
        <w:t>能据以编制招标文件；</w:t>
      </w:r>
    </w:p>
    <w:p w14:paraId="0195CDD1">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8.2</w:t>
      </w:r>
      <w:r>
        <w:rPr>
          <w:rFonts w:ascii="宋体" w:hAnsi="宋体"/>
          <w:color w:val="auto"/>
          <w:sz w:val="24"/>
          <w:highlight w:val="none"/>
        </w:rPr>
        <w:t>.5</w:t>
      </w:r>
      <w:r>
        <w:rPr>
          <w:rFonts w:hint="eastAsia" w:ascii="宋体" w:hAnsi="宋体"/>
          <w:color w:val="auto"/>
          <w:sz w:val="24"/>
          <w:highlight w:val="none"/>
        </w:rPr>
        <w:t>.5</w:t>
      </w:r>
      <w:r>
        <w:rPr>
          <w:rFonts w:ascii="宋体" w:hAnsi="宋体"/>
          <w:color w:val="auto"/>
          <w:sz w:val="24"/>
          <w:highlight w:val="none"/>
        </w:rPr>
        <w:t>能据以安排材料、设备订货和非标准设备的制作；</w:t>
      </w:r>
    </w:p>
    <w:p w14:paraId="526B0117">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8.2</w:t>
      </w:r>
      <w:r>
        <w:rPr>
          <w:rFonts w:ascii="宋体" w:hAnsi="宋体"/>
          <w:color w:val="auto"/>
          <w:sz w:val="24"/>
          <w:highlight w:val="none"/>
        </w:rPr>
        <w:t>.5</w:t>
      </w:r>
      <w:r>
        <w:rPr>
          <w:rFonts w:hint="eastAsia" w:ascii="宋体" w:hAnsi="宋体"/>
          <w:color w:val="auto"/>
          <w:sz w:val="24"/>
          <w:highlight w:val="none"/>
        </w:rPr>
        <w:t>.6</w:t>
      </w:r>
      <w:r>
        <w:rPr>
          <w:rFonts w:ascii="宋体" w:hAnsi="宋体"/>
          <w:color w:val="auto"/>
          <w:sz w:val="24"/>
          <w:highlight w:val="none"/>
        </w:rPr>
        <w:t>能据以进行施工和安装；</w:t>
      </w:r>
    </w:p>
    <w:p w14:paraId="303D70F1">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8.2</w:t>
      </w:r>
      <w:r>
        <w:rPr>
          <w:rFonts w:ascii="宋体" w:hAnsi="宋体"/>
          <w:color w:val="auto"/>
          <w:sz w:val="24"/>
          <w:highlight w:val="none"/>
        </w:rPr>
        <w:t>.5</w:t>
      </w:r>
      <w:r>
        <w:rPr>
          <w:rFonts w:hint="eastAsia" w:ascii="宋体" w:hAnsi="宋体"/>
          <w:color w:val="auto"/>
          <w:sz w:val="24"/>
          <w:highlight w:val="none"/>
        </w:rPr>
        <w:t>.7</w:t>
      </w:r>
      <w:r>
        <w:rPr>
          <w:rFonts w:ascii="宋体" w:hAnsi="宋体"/>
          <w:color w:val="auto"/>
          <w:sz w:val="24"/>
          <w:highlight w:val="none"/>
        </w:rPr>
        <w:t>能够满足后期产品优化提升设计的平面墙柱分布、结构预埋件及预留荷载、设备系统、设备选型、设备管井及末端接口、预留相关孔洞；</w:t>
      </w:r>
    </w:p>
    <w:p w14:paraId="6BB6C5D5">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8.2</w:t>
      </w:r>
      <w:r>
        <w:rPr>
          <w:rFonts w:ascii="宋体" w:hAnsi="宋体"/>
          <w:color w:val="auto"/>
          <w:sz w:val="24"/>
          <w:highlight w:val="none"/>
        </w:rPr>
        <w:t>.5</w:t>
      </w:r>
      <w:r>
        <w:rPr>
          <w:rFonts w:hint="eastAsia" w:ascii="宋体" w:hAnsi="宋体"/>
          <w:color w:val="auto"/>
          <w:sz w:val="24"/>
          <w:highlight w:val="none"/>
        </w:rPr>
        <w:t>.8</w:t>
      </w:r>
      <w:r>
        <w:rPr>
          <w:rFonts w:ascii="宋体" w:hAnsi="宋体"/>
          <w:color w:val="auto"/>
          <w:sz w:val="24"/>
          <w:highlight w:val="none"/>
        </w:rPr>
        <w:t>负责红线内室外场地综合管线优化提升设计（电气、给排水、燃气、垃圾收集管道等），注明各管线与建筑物、构筑物、绿化之间的距离和管线间距，管线密集地段适当增加断面图，注明主要交叉点上下管线的标高或间距。</w:t>
      </w:r>
    </w:p>
    <w:p w14:paraId="33A9C8B0">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8.2</w:t>
      </w:r>
      <w:r>
        <w:rPr>
          <w:rFonts w:ascii="宋体" w:hAnsi="宋体"/>
          <w:color w:val="auto"/>
          <w:sz w:val="24"/>
          <w:highlight w:val="none"/>
        </w:rPr>
        <w:t>.5</w:t>
      </w:r>
      <w:r>
        <w:rPr>
          <w:rFonts w:hint="eastAsia" w:ascii="宋体" w:hAnsi="宋体"/>
          <w:color w:val="auto"/>
          <w:sz w:val="24"/>
          <w:highlight w:val="none"/>
        </w:rPr>
        <w:t>.9</w:t>
      </w:r>
      <w:r>
        <w:rPr>
          <w:rFonts w:ascii="宋体" w:hAnsi="宋体"/>
          <w:color w:val="auto"/>
          <w:sz w:val="24"/>
          <w:highlight w:val="none"/>
        </w:rPr>
        <w:t>负责地下室、架空层（或设备/结构转换层）与重要公共空间的综合管线优化提升设计（电气、给排水、燃气、垃圾收集管道等），注明各管线与建筑物、构筑物的距离和管线间距。管线密集地段布置应绘制空间断面图，注明主要交叉点上下管线的标高或间距。</w:t>
      </w:r>
    </w:p>
    <w:p w14:paraId="17E881F1">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 xml:space="preserve">8.2.6 </w:t>
      </w:r>
      <w:r>
        <w:rPr>
          <w:rFonts w:ascii="宋体" w:hAnsi="宋体"/>
          <w:color w:val="auto"/>
          <w:sz w:val="24"/>
          <w:highlight w:val="none"/>
        </w:rPr>
        <w:t>根据</w:t>
      </w:r>
      <w:bookmarkStart w:id="0" w:name="_Hlk92873243"/>
      <w:r>
        <w:rPr>
          <w:rFonts w:ascii="宋体" w:hAnsi="宋体"/>
          <w:color w:val="auto"/>
          <w:sz w:val="24"/>
          <w:highlight w:val="none"/>
        </w:rPr>
        <w:t>《广州市林业和园林局关于印发&lt;广州市城市树木保护管理规定（试行）&gt;的通知》（穗林业园林规字〔2022〕1号）的要求</w:t>
      </w:r>
      <w:bookmarkEnd w:id="0"/>
      <w:r>
        <w:rPr>
          <w:rFonts w:ascii="宋体" w:hAnsi="宋体"/>
          <w:color w:val="auto"/>
          <w:sz w:val="24"/>
          <w:highlight w:val="none"/>
        </w:rPr>
        <w:t>，承包人应在控制性详细规划调整、立项文件、设计方案中编制树木保护专章，并在项目设计、实施、验收全过程落实树木保护专章的要求。</w:t>
      </w:r>
    </w:p>
    <w:p w14:paraId="461A2FDC">
      <w:pPr>
        <w:spacing w:line="460" w:lineRule="exact"/>
        <w:ind w:firstLine="480" w:firstLineChars="200"/>
        <w:rPr>
          <w:rFonts w:ascii="宋体" w:hAnsi="宋体"/>
          <w:color w:val="auto"/>
          <w:sz w:val="24"/>
          <w:highlight w:val="none"/>
        </w:rPr>
      </w:pPr>
      <w:r>
        <w:rPr>
          <w:rFonts w:ascii="宋体" w:hAnsi="宋体"/>
          <w:color w:val="auto"/>
          <w:sz w:val="24"/>
          <w:highlight w:val="none"/>
        </w:rPr>
        <w:t>8.2.7</w:t>
      </w:r>
      <w:r>
        <w:rPr>
          <w:rFonts w:hint="eastAsia" w:ascii="宋体" w:hAnsi="宋体"/>
          <w:color w:val="auto"/>
          <w:sz w:val="24"/>
          <w:highlight w:val="none"/>
        </w:rPr>
        <w:t>根据《广州市工程建设项目审批制度改革试点工作领导小组办公室关于开展房屋建筑工程电子图纸全过程流转应用工作的通知</w:t>
      </w:r>
      <w:r>
        <w:rPr>
          <w:rFonts w:ascii="宋体" w:hAnsi="宋体"/>
          <w:color w:val="auto"/>
          <w:sz w:val="24"/>
          <w:highlight w:val="none"/>
        </w:rPr>
        <w:t>》要求，开展本项目电子图纸全过程流转应用工作。</w:t>
      </w:r>
    </w:p>
    <w:p w14:paraId="0190B699">
      <w:pPr>
        <w:spacing w:line="460" w:lineRule="exact"/>
        <w:ind w:firstLine="480" w:firstLineChars="200"/>
        <w:rPr>
          <w:rFonts w:ascii="宋体" w:hAnsi="宋体"/>
          <w:color w:val="auto"/>
          <w:sz w:val="24"/>
          <w:highlight w:val="none"/>
        </w:rPr>
      </w:pPr>
      <w:r>
        <w:rPr>
          <w:rFonts w:ascii="宋体" w:hAnsi="宋体"/>
          <w:color w:val="auto"/>
          <w:sz w:val="24"/>
          <w:highlight w:val="none"/>
        </w:rPr>
        <w:t>8.2.</w:t>
      </w:r>
      <w:r>
        <w:rPr>
          <w:rFonts w:hint="eastAsia" w:ascii="宋体" w:hAnsi="宋体"/>
          <w:color w:val="auto"/>
          <w:sz w:val="24"/>
          <w:highlight w:val="none"/>
        </w:rPr>
        <w:t>8根据</w:t>
      </w:r>
      <w:r>
        <w:rPr>
          <w:rFonts w:ascii="宋体" w:hAnsi="宋体"/>
          <w:color w:val="auto"/>
          <w:sz w:val="24"/>
          <w:highlight w:val="none"/>
        </w:rPr>
        <w:t>《广州市住房和城乡建设局关于加强房屋建筑工程基坑监测管理的通知（试行）》</w:t>
      </w:r>
      <w:r>
        <w:rPr>
          <w:rFonts w:hint="eastAsia" w:ascii="宋体" w:hAnsi="宋体"/>
          <w:color w:val="auto"/>
          <w:sz w:val="24"/>
          <w:highlight w:val="none"/>
        </w:rPr>
        <w:t>等行政主管部门文件和要求，开展本项目勘察设计相关工作。</w:t>
      </w:r>
    </w:p>
    <w:p w14:paraId="11D48805">
      <w:pPr>
        <w:spacing w:line="460" w:lineRule="exact"/>
        <w:ind w:firstLine="480" w:firstLineChars="200"/>
        <w:rPr>
          <w:rFonts w:ascii="宋体" w:hAnsi="宋体"/>
          <w:color w:val="auto"/>
          <w:sz w:val="24"/>
          <w:highlight w:val="none"/>
        </w:rPr>
      </w:pPr>
      <w:r>
        <w:rPr>
          <w:rFonts w:ascii="宋体" w:hAnsi="宋体"/>
          <w:color w:val="auto"/>
          <w:sz w:val="24"/>
          <w:highlight w:val="none"/>
        </w:rPr>
        <w:t>8.2.9</w:t>
      </w:r>
      <w:r>
        <w:rPr>
          <w:rFonts w:hint="eastAsia" w:ascii="宋体" w:hAnsi="宋体"/>
          <w:color w:val="auto"/>
          <w:sz w:val="24"/>
          <w:highlight w:val="none"/>
        </w:rPr>
        <w:t>根据</w:t>
      </w:r>
      <w:r>
        <w:rPr>
          <w:rFonts w:ascii="宋体" w:hAnsi="宋体"/>
          <w:color w:val="auto"/>
          <w:sz w:val="24"/>
          <w:highlight w:val="none"/>
        </w:rPr>
        <w:t>广州市住房和城乡建设局关于印发《广州市房屋建筑工程施工图设计文件变更指引》《广州市房屋建筑工程施工图设计文件重大变更技术清单》</w:t>
      </w:r>
      <w:r>
        <w:rPr>
          <w:rFonts w:hint="eastAsia" w:ascii="宋体" w:hAnsi="宋体"/>
          <w:color w:val="auto"/>
          <w:sz w:val="24"/>
          <w:highlight w:val="none"/>
        </w:rPr>
        <w:t>等行政主管部门文件和要求，开展勘察设计相关工作。</w:t>
      </w:r>
    </w:p>
    <w:p w14:paraId="7AAEEB2A">
      <w:pPr>
        <w:spacing w:line="460" w:lineRule="exact"/>
        <w:ind w:firstLine="480" w:firstLineChars="200"/>
        <w:rPr>
          <w:rFonts w:ascii="宋体" w:hAnsi="宋体"/>
          <w:color w:val="auto"/>
          <w:sz w:val="24"/>
          <w:highlight w:val="none"/>
        </w:rPr>
      </w:pPr>
      <w:r>
        <w:rPr>
          <w:rFonts w:ascii="宋体" w:hAnsi="宋体"/>
          <w:color w:val="auto"/>
          <w:sz w:val="24"/>
          <w:highlight w:val="none"/>
        </w:rPr>
        <w:t>8.3未尽事项按现行相关规范和要求办理。</w:t>
      </w:r>
    </w:p>
    <w:p w14:paraId="18FC8268">
      <w:pPr>
        <w:spacing w:before="62" w:beforeLines="20" w:after="62" w:afterLines="20" w:line="460" w:lineRule="exact"/>
        <w:ind w:firstLine="482" w:firstLineChars="200"/>
        <w:rPr>
          <w:rFonts w:eastAsia="黑体"/>
          <w:b/>
          <w:bCs/>
          <w:color w:val="auto"/>
          <w:sz w:val="24"/>
          <w:highlight w:val="none"/>
        </w:rPr>
      </w:pPr>
      <w:r>
        <w:rPr>
          <w:rFonts w:hint="eastAsia" w:eastAsia="黑体"/>
          <w:b/>
          <w:bCs/>
          <w:color w:val="auto"/>
          <w:sz w:val="24"/>
          <w:highlight w:val="none"/>
        </w:rPr>
        <w:t xml:space="preserve">第九条  驻场勘察设计及服务  </w:t>
      </w:r>
    </w:p>
    <w:p w14:paraId="0692DF1F">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9.1</w:t>
      </w:r>
      <w:r>
        <w:rPr>
          <w:rFonts w:ascii="宋体" w:hAnsi="宋体"/>
          <w:color w:val="auto"/>
          <w:sz w:val="24"/>
          <w:highlight w:val="none"/>
        </w:rPr>
        <w:t>驻场设计：</w:t>
      </w:r>
    </w:p>
    <w:p w14:paraId="342C5849">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若承包人设计工作不满足工程进度要求，发包人有权要求承包人全部设计人员（包括各专业设计人和项目负责人）在发包人指定地点驻场设计。实施驻场设计所需的场地、办公、交通等均由承包人自行解决并承担相应费用。</w:t>
      </w:r>
    </w:p>
    <w:p w14:paraId="29AC1153">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9.2</w:t>
      </w:r>
      <w:r>
        <w:rPr>
          <w:rFonts w:ascii="宋体" w:hAnsi="宋体"/>
          <w:color w:val="auto"/>
          <w:sz w:val="24"/>
          <w:highlight w:val="none"/>
        </w:rPr>
        <w:t>驻场服务：</w:t>
      </w:r>
    </w:p>
    <w:p w14:paraId="325B9548">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9.2.1</w:t>
      </w:r>
      <w:r>
        <w:rPr>
          <w:rFonts w:ascii="宋体" w:hAnsi="宋体"/>
          <w:color w:val="auto"/>
          <w:sz w:val="24"/>
          <w:highlight w:val="none"/>
        </w:rPr>
        <w:t>为便于发包人与承包人及时沟通及协调，保证报批报建及承包人统筹协调管理等工作的顺利开展，本项目要求承包人派驻</w:t>
      </w:r>
      <w:r>
        <w:rPr>
          <w:rFonts w:hint="eastAsia" w:ascii="宋体" w:hAnsi="宋体"/>
          <w:color w:val="auto"/>
          <w:sz w:val="24"/>
          <w:highlight w:val="none"/>
        </w:rPr>
        <w:t>专业</w:t>
      </w:r>
      <w:r>
        <w:rPr>
          <w:rFonts w:ascii="宋体" w:hAnsi="宋体"/>
          <w:color w:val="auto"/>
          <w:sz w:val="24"/>
          <w:highlight w:val="none"/>
        </w:rPr>
        <w:t>人员提供驻场服务。服务时间从签订设计合同开始到项目验收为止。服务的主要工作内容包括统筹协调、报批报建、资料整理、与设计院对接等工作。另外</w:t>
      </w:r>
      <w:r>
        <w:rPr>
          <w:rFonts w:hint="eastAsia" w:ascii="宋体" w:hAnsi="宋体"/>
          <w:color w:val="auto"/>
          <w:sz w:val="24"/>
          <w:highlight w:val="none"/>
        </w:rPr>
        <w:t>在勘察阶段，要求负责人驻场在勘察现场跟进勘察工作，根据勘察初步结果，及时调整勘察要求，并做好勘察文字记录，与勘察单位勘察报告同步报发包人审核。勘察报告须结构专业负责人签署意见，并由承包人盖确认章后送发包人。</w:t>
      </w:r>
    </w:p>
    <w:p w14:paraId="0D44AC00">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9.2.2承包人</w:t>
      </w:r>
      <w:r>
        <w:rPr>
          <w:rFonts w:ascii="宋体" w:hAnsi="宋体"/>
          <w:color w:val="auto"/>
          <w:sz w:val="24"/>
          <w:highlight w:val="none"/>
        </w:rPr>
        <w:t>驻场服务人员的办公场地和家具由发包人提供</w:t>
      </w:r>
      <w:r>
        <w:rPr>
          <w:rFonts w:hint="eastAsia" w:ascii="宋体" w:hAnsi="宋体"/>
          <w:color w:val="auto"/>
          <w:sz w:val="24"/>
          <w:highlight w:val="none"/>
        </w:rPr>
        <w:t>，</w:t>
      </w:r>
      <w:r>
        <w:rPr>
          <w:rFonts w:ascii="宋体" w:hAnsi="宋体"/>
          <w:color w:val="auto"/>
          <w:sz w:val="24"/>
          <w:highlight w:val="none"/>
        </w:rPr>
        <w:t>办公设备和办公用品（包括电脑、彩色打印机、复印机、扫描仪等）及食宿由承包人自备</w:t>
      </w:r>
      <w:r>
        <w:rPr>
          <w:rFonts w:hint="eastAsia" w:ascii="宋体" w:hAnsi="宋体"/>
          <w:color w:val="auto"/>
          <w:sz w:val="24"/>
          <w:highlight w:val="none"/>
        </w:rPr>
        <w:t>，</w:t>
      </w:r>
      <w:r>
        <w:rPr>
          <w:rFonts w:ascii="宋体" w:hAnsi="宋体"/>
          <w:color w:val="auto"/>
          <w:sz w:val="24"/>
          <w:highlight w:val="none"/>
        </w:rPr>
        <w:t>承包人应为驻场服务工作提供交通便利条件。</w:t>
      </w:r>
    </w:p>
    <w:p w14:paraId="52FB6145">
      <w:pPr>
        <w:spacing w:line="460" w:lineRule="exact"/>
        <w:ind w:firstLine="480" w:firstLineChars="200"/>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9.2.3</w:t>
      </w:r>
      <w:r>
        <w:rPr>
          <w:rFonts w:ascii="宋体" w:hAnsi="宋体"/>
          <w:color w:val="auto"/>
          <w:sz w:val="24"/>
          <w:highlight w:val="none"/>
        </w:rPr>
        <w:t>承包人驻场服务人员应满足招标文件及合同条款的相关要求，并全部统一纳入发包人的统一管理，其出勤、休假等考勤由发包人负责，具体工作由发包人统一安排。</w:t>
      </w:r>
    </w:p>
    <w:p w14:paraId="6526A394">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9.2.4</w:t>
      </w:r>
      <w:r>
        <w:rPr>
          <w:rFonts w:ascii="宋体" w:hAnsi="宋体"/>
          <w:color w:val="auto"/>
          <w:sz w:val="24"/>
          <w:highlight w:val="none"/>
        </w:rPr>
        <w:t>承包人驻场服务人员</w:t>
      </w:r>
      <w:r>
        <w:rPr>
          <w:rFonts w:hint="eastAsia" w:ascii="宋体" w:hAnsi="宋体"/>
          <w:color w:val="auto"/>
          <w:sz w:val="24"/>
          <w:highlight w:val="none"/>
        </w:rPr>
        <w:t>名单</w:t>
      </w:r>
      <w:r>
        <w:rPr>
          <w:rFonts w:ascii="宋体" w:hAnsi="宋体"/>
          <w:color w:val="auto"/>
          <w:sz w:val="24"/>
          <w:highlight w:val="none"/>
        </w:rPr>
        <w:t>须提交发包人</w:t>
      </w:r>
      <w:r>
        <w:rPr>
          <w:rFonts w:hint="eastAsia" w:ascii="宋体" w:hAnsi="宋体"/>
          <w:color w:val="auto"/>
          <w:sz w:val="24"/>
          <w:highlight w:val="none"/>
        </w:rPr>
        <w:t>确认</w:t>
      </w:r>
      <w:r>
        <w:rPr>
          <w:rFonts w:ascii="宋体" w:hAnsi="宋体"/>
          <w:color w:val="auto"/>
          <w:sz w:val="24"/>
          <w:highlight w:val="none"/>
        </w:rPr>
        <w:t>。</w:t>
      </w:r>
    </w:p>
    <w:p w14:paraId="58E6EEDD">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9.3承包人驻场服务相关费用已包含在合同价款内，发包人无须另外支付。</w:t>
      </w:r>
    </w:p>
    <w:p w14:paraId="073C915A">
      <w:pPr>
        <w:spacing w:before="62" w:beforeLines="20" w:after="62" w:afterLines="20" w:line="460" w:lineRule="exact"/>
        <w:ind w:firstLine="482" w:firstLineChars="200"/>
        <w:rPr>
          <w:rFonts w:eastAsia="黑体"/>
          <w:b/>
          <w:bCs/>
          <w:color w:val="auto"/>
          <w:sz w:val="24"/>
          <w:highlight w:val="none"/>
        </w:rPr>
      </w:pPr>
      <w:r>
        <w:rPr>
          <w:rFonts w:hint="eastAsia" w:eastAsia="黑体"/>
          <w:b/>
          <w:bCs/>
          <w:color w:val="auto"/>
          <w:sz w:val="24"/>
          <w:highlight w:val="none"/>
        </w:rPr>
        <w:t xml:space="preserve">第十条  合同金额及结算方式  </w:t>
      </w:r>
    </w:p>
    <w:p w14:paraId="00BAC7E5">
      <w:pPr>
        <w:spacing w:line="460" w:lineRule="exact"/>
        <w:ind w:firstLine="482"/>
        <w:rPr>
          <w:rFonts w:ascii="宋体" w:hAnsi="宋体"/>
          <w:color w:val="auto"/>
          <w:sz w:val="24"/>
          <w:highlight w:val="none"/>
        </w:rPr>
      </w:pPr>
      <w:r>
        <w:rPr>
          <w:rFonts w:hint="eastAsia" w:ascii="宋体" w:hAnsi="宋体"/>
          <w:color w:val="auto"/>
          <w:sz w:val="24"/>
          <w:highlight w:val="none"/>
        </w:rPr>
        <w:t>10.1合同金额</w:t>
      </w:r>
    </w:p>
    <w:p w14:paraId="7500C5CD">
      <w:pPr>
        <w:spacing w:line="460" w:lineRule="exact"/>
        <w:ind w:firstLine="787" w:firstLineChars="328"/>
        <w:rPr>
          <w:rFonts w:ascii="宋体" w:hAnsi="宋体"/>
          <w:color w:val="auto"/>
          <w:sz w:val="24"/>
          <w:highlight w:val="none"/>
        </w:rPr>
      </w:pPr>
      <w:r>
        <w:rPr>
          <w:rFonts w:hint="eastAsia" w:ascii="宋体" w:hAnsi="宋体"/>
          <w:color w:val="auto"/>
          <w:sz w:val="24"/>
          <w:highlight w:val="none"/>
        </w:rPr>
        <w:t>本合同勘察设计费暂定为</w:t>
      </w:r>
      <w:r>
        <w:rPr>
          <w:rFonts w:hint="eastAsia" w:ascii="宋体" w:hAnsi="宋体"/>
          <w:color w:val="auto"/>
          <w:sz w:val="24"/>
          <w:highlight w:val="none"/>
          <w:u w:val="single"/>
        </w:rPr>
        <w:t>￥   元（大写：   ）</w:t>
      </w:r>
      <w:r>
        <w:rPr>
          <w:rFonts w:hint="eastAsia" w:ascii="宋体" w:hAnsi="宋体"/>
          <w:color w:val="auto"/>
          <w:sz w:val="24"/>
          <w:highlight w:val="none"/>
        </w:rPr>
        <w:t>，税金</w:t>
      </w:r>
      <w:r>
        <w:rPr>
          <w:rFonts w:hint="eastAsia" w:ascii="宋体" w:hAnsi="宋体"/>
          <w:color w:val="auto"/>
          <w:sz w:val="24"/>
          <w:highlight w:val="none"/>
          <w:u w:val="single"/>
        </w:rPr>
        <w:t xml:space="preserve">   </w:t>
      </w:r>
      <w:r>
        <w:rPr>
          <w:rFonts w:hint="eastAsia" w:ascii="宋体" w:hAnsi="宋体"/>
          <w:color w:val="auto"/>
          <w:sz w:val="24"/>
          <w:highlight w:val="none"/>
        </w:rPr>
        <w:t>元，税率</w:t>
      </w:r>
      <w:r>
        <w:rPr>
          <w:rFonts w:hint="eastAsia" w:ascii="宋体" w:hAnsi="宋体"/>
          <w:color w:val="auto"/>
          <w:sz w:val="24"/>
          <w:highlight w:val="none"/>
          <w:u w:val="single"/>
        </w:rPr>
        <w:t xml:space="preserve">   </w:t>
      </w:r>
      <w:r>
        <w:rPr>
          <w:rFonts w:hint="eastAsia" w:ascii="宋体" w:hAnsi="宋体"/>
          <w:color w:val="auto"/>
          <w:sz w:val="24"/>
          <w:highlight w:val="none"/>
        </w:rPr>
        <w:t>%，如遇国家税率调整，不含税金额不变，税金按新的税率调整。</w:t>
      </w:r>
    </w:p>
    <w:p w14:paraId="08B8648E">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其中：勘察费为</w:t>
      </w:r>
      <w:r>
        <w:rPr>
          <w:rFonts w:hint="eastAsia" w:ascii="宋体" w:hAnsi="宋体"/>
          <w:color w:val="auto"/>
          <w:sz w:val="24"/>
          <w:highlight w:val="none"/>
          <w:u w:val="single"/>
        </w:rPr>
        <w:t xml:space="preserve">   </w:t>
      </w:r>
      <w:r>
        <w:rPr>
          <w:rFonts w:hint="eastAsia" w:ascii="宋体" w:hAnsi="宋体"/>
          <w:color w:val="auto"/>
          <w:sz w:val="24"/>
          <w:highlight w:val="none"/>
        </w:rPr>
        <w:t>元，设计费为</w:t>
      </w:r>
      <w:r>
        <w:rPr>
          <w:rFonts w:hint="eastAsia" w:ascii="宋体" w:hAnsi="宋体"/>
          <w:color w:val="auto"/>
          <w:sz w:val="24"/>
          <w:highlight w:val="none"/>
          <w:u w:val="single"/>
        </w:rPr>
        <w:t xml:space="preserve">  </w:t>
      </w:r>
      <w:r>
        <w:rPr>
          <w:rFonts w:hint="eastAsia" w:ascii="宋体" w:hAnsi="宋体"/>
          <w:color w:val="auto"/>
          <w:sz w:val="24"/>
          <w:highlight w:val="none"/>
        </w:rPr>
        <w:t>元， BIM技术应用费为</w:t>
      </w:r>
      <w:r>
        <w:rPr>
          <w:rFonts w:hint="eastAsia" w:ascii="宋体" w:hAnsi="宋体"/>
          <w:color w:val="auto"/>
          <w:sz w:val="24"/>
          <w:highlight w:val="none"/>
          <w:u w:val="single"/>
        </w:rPr>
        <w:t xml:space="preserve">  </w:t>
      </w:r>
      <w:r>
        <w:rPr>
          <w:rFonts w:hint="eastAsia" w:ascii="宋体" w:hAnsi="宋体"/>
          <w:color w:val="auto"/>
          <w:sz w:val="24"/>
          <w:highlight w:val="none"/>
        </w:rPr>
        <w:t>元，竣工图编制费为</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77B09DC8">
      <w:pPr>
        <w:spacing w:line="460" w:lineRule="exact"/>
        <w:ind w:firstLine="482"/>
        <w:rPr>
          <w:rFonts w:ascii="宋体" w:hAnsi="宋体"/>
          <w:color w:val="auto"/>
          <w:sz w:val="24"/>
          <w:highlight w:val="none"/>
        </w:rPr>
      </w:pPr>
      <w:r>
        <w:rPr>
          <w:rFonts w:hint="eastAsia" w:ascii="宋体" w:hAnsi="宋体"/>
          <w:color w:val="auto"/>
          <w:sz w:val="24"/>
          <w:highlight w:val="none"/>
        </w:rPr>
        <w:t>本合同金额为含税暂定价，只作为合同签订的依据。</w:t>
      </w:r>
    </w:p>
    <w:p w14:paraId="2F58E9EB">
      <w:pPr>
        <w:spacing w:line="460" w:lineRule="exact"/>
        <w:ind w:firstLine="482"/>
        <w:rPr>
          <w:rFonts w:ascii="宋体" w:hAnsi="宋体"/>
          <w:color w:val="auto"/>
          <w:sz w:val="24"/>
          <w:highlight w:val="none"/>
          <w:u w:val="single"/>
        </w:rPr>
      </w:pPr>
      <w:r>
        <w:rPr>
          <w:rFonts w:hint="eastAsia" w:ascii="宋体" w:hAnsi="宋体"/>
          <w:color w:val="auto"/>
          <w:sz w:val="24"/>
          <w:highlight w:val="none"/>
        </w:rPr>
        <w:t>10.2结算方式</w:t>
      </w:r>
    </w:p>
    <w:p w14:paraId="4B5B602B">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10.2.1设计费</w:t>
      </w:r>
    </w:p>
    <w:p w14:paraId="44B72D03">
      <w:pPr>
        <w:spacing w:line="460" w:lineRule="exact"/>
        <w:ind w:firstLine="480" w:firstLineChars="200"/>
        <w:rPr>
          <w:rFonts w:ascii="宋体" w:hAnsi="宋体"/>
          <w:b/>
          <w:bCs/>
          <w:color w:val="auto"/>
          <w:sz w:val="24"/>
          <w:highlight w:val="none"/>
        </w:rPr>
      </w:pPr>
      <w:r>
        <w:rPr>
          <w:rFonts w:hint="eastAsia" w:ascii="宋体" w:hAnsi="宋体"/>
          <w:color w:val="auto"/>
          <w:sz w:val="24"/>
          <w:highlight w:val="none"/>
        </w:rPr>
        <w:t>参照国家发展计划委员会、建设部发布的《工程勘察设计收费标准》(2002年修订本)</w:t>
      </w:r>
      <w:r>
        <w:rPr>
          <w:rFonts w:hint="eastAsia" w:ascii="宋体" w:hAnsi="宋体"/>
          <w:b/>
          <w:bCs/>
          <w:color w:val="auto"/>
          <w:sz w:val="24"/>
          <w:highlight w:val="none"/>
        </w:rPr>
        <w:t>下浮</w:t>
      </w:r>
      <w:r>
        <w:rPr>
          <w:rFonts w:hint="eastAsia" w:ascii="宋体" w:hAnsi="宋体"/>
          <w:b/>
          <w:bCs/>
          <w:color w:val="auto"/>
          <w:sz w:val="24"/>
          <w:highlight w:val="none"/>
          <w:u w:val="single"/>
        </w:rPr>
        <w:t xml:space="preserve">   %</w:t>
      </w:r>
      <w:r>
        <w:rPr>
          <w:rFonts w:hint="eastAsia" w:ascii="宋体" w:hAnsi="宋体"/>
          <w:b/>
          <w:bCs/>
          <w:color w:val="auto"/>
          <w:sz w:val="24"/>
          <w:highlight w:val="none"/>
          <w:u w:val="none"/>
          <w:lang w:eastAsia="zh-CN"/>
        </w:rPr>
        <w:t>（</w:t>
      </w:r>
      <w:r>
        <w:rPr>
          <w:rFonts w:hint="eastAsia" w:ascii="宋体" w:hAnsi="宋体"/>
          <w:b/>
          <w:bCs/>
          <w:color w:val="auto"/>
          <w:sz w:val="24"/>
          <w:highlight w:val="none"/>
          <w:u w:val="none"/>
        </w:rPr>
        <w:t>投标下浮率</w:t>
      </w:r>
      <w:r>
        <w:rPr>
          <w:rFonts w:hint="eastAsia" w:ascii="宋体" w:hAnsi="宋体"/>
          <w:b/>
          <w:bCs/>
          <w:color w:val="auto"/>
          <w:sz w:val="24"/>
          <w:highlight w:val="none"/>
          <w:u w:val="none"/>
          <w:lang w:eastAsia="zh-CN"/>
        </w:rPr>
        <w:t>）</w:t>
      </w:r>
      <w:r>
        <w:rPr>
          <w:rFonts w:hint="eastAsia" w:ascii="宋体" w:hAnsi="宋体"/>
          <w:b/>
          <w:bCs/>
          <w:color w:val="auto"/>
          <w:sz w:val="24"/>
          <w:highlight w:val="none"/>
        </w:rPr>
        <w:t>计算。</w:t>
      </w:r>
    </w:p>
    <w:p w14:paraId="113D7F65">
      <w:pPr>
        <w:spacing w:line="46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设计费=基本设计收费+其他设计收费</w:t>
      </w:r>
    </w:p>
    <w:p w14:paraId="4251E7E2">
      <w:pPr>
        <w:pStyle w:val="8"/>
        <w:spacing w:line="560" w:lineRule="atLeast"/>
        <w:ind w:left="0" w:leftChars="0" w:firstLine="480" w:firstLineChars="200"/>
        <w:rPr>
          <w:rFonts w:ascii="宋体" w:hAnsi="宋体"/>
          <w:color w:val="auto"/>
          <w:kern w:val="0"/>
          <w:sz w:val="24"/>
          <w:highlight w:val="none"/>
        </w:rPr>
      </w:pPr>
      <w:r>
        <w:rPr>
          <w:rFonts w:hint="eastAsia" w:ascii="宋体" w:hAnsi="宋体"/>
          <w:color w:val="auto"/>
          <w:kern w:val="0"/>
          <w:sz w:val="24"/>
          <w:highlight w:val="none"/>
        </w:rPr>
        <w:t>1.1基本设计收费=工程设计收费基价×专业调整系数（1.0）×工程复杂程</w:t>
      </w:r>
    </w:p>
    <w:p w14:paraId="46FBBADF">
      <w:pPr>
        <w:pStyle w:val="8"/>
        <w:spacing w:line="560" w:lineRule="atLeast"/>
        <w:ind w:left="0" w:leftChars="0"/>
        <w:rPr>
          <w:rFonts w:ascii="宋体" w:hAnsi="宋体"/>
          <w:color w:val="auto"/>
          <w:sz w:val="24"/>
          <w:highlight w:val="none"/>
        </w:rPr>
      </w:pPr>
      <w:r>
        <w:rPr>
          <w:rFonts w:hint="eastAsia" w:ascii="宋体" w:hAnsi="宋体"/>
          <w:color w:val="auto"/>
          <w:kern w:val="2"/>
          <w:sz w:val="24"/>
          <w:highlight w:val="none"/>
        </w:rPr>
        <w:t>度调整系数（</w:t>
      </w:r>
      <w:r>
        <w:rPr>
          <w:rFonts w:ascii="宋体" w:hAnsi="宋体"/>
          <w:color w:val="auto"/>
          <w:kern w:val="2"/>
          <w:sz w:val="24"/>
          <w:highlight w:val="none"/>
        </w:rPr>
        <w:t>1.0）×附加调整系数（1.0）</w:t>
      </w:r>
      <w:r>
        <w:rPr>
          <w:rFonts w:hint="eastAsia" w:ascii="宋体" w:hAnsi="宋体"/>
          <w:color w:val="auto"/>
          <w:sz w:val="24"/>
          <w:highlight w:val="none"/>
        </w:rPr>
        <w:t>×</w:t>
      </w:r>
      <w:r>
        <w:rPr>
          <w:rFonts w:hint="eastAsia" w:ascii="宋体" w:hAnsi="宋体"/>
          <w:color w:val="auto"/>
          <w:sz w:val="24"/>
          <w:highlight w:val="none"/>
          <w:lang w:eastAsia="zh-CN"/>
        </w:rPr>
        <w:t>（</w:t>
      </w:r>
      <w:r>
        <w:rPr>
          <w:rFonts w:hint="eastAsia" w:ascii="宋体" w:hAnsi="宋体"/>
          <w:color w:val="auto"/>
          <w:sz w:val="24"/>
          <w:highlight w:val="none"/>
        </w:rPr>
        <w:t>1-投标下浮率    %</w:t>
      </w:r>
      <w:r>
        <w:rPr>
          <w:rFonts w:hint="eastAsia" w:ascii="宋体" w:hAnsi="宋体"/>
          <w:color w:val="auto"/>
          <w:sz w:val="24"/>
          <w:highlight w:val="none"/>
          <w:lang w:eastAsia="zh-CN"/>
        </w:rPr>
        <w:t>）</w:t>
      </w:r>
      <w:r>
        <w:rPr>
          <w:rFonts w:ascii="宋体" w:hAnsi="宋体"/>
          <w:color w:val="auto"/>
          <w:sz w:val="24"/>
          <w:highlight w:val="none"/>
        </w:rPr>
        <w:t>。</w:t>
      </w:r>
    </w:p>
    <w:p w14:paraId="6A786A4B">
      <w:pPr>
        <w:spacing w:line="460" w:lineRule="exact"/>
        <w:ind w:firstLine="482" w:firstLineChars="200"/>
        <w:rPr>
          <w:rFonts w:ascii="宋体" w:hAnsi="宋体"/>
          <w:b/>
          <w:bCs/>
          <w:color w:val="auto"/>
          <w:sz w:val="24"/>
          <w:highlight w:val="none"/>
        </w:rPr>
      </w:pPr>
      <w:r>
        <w:rPr>
          <w:rFonts w:hint="eastAsia" w:ascii="宋体" w:hAnsi="宋体"/>
          <w:b/>
          <w:bCs/>
          <w:color w:val="auto"/>
          <w:sz w:val="24"/>
          <w:highlight w:val="none"/>
        </w:rPr>
        <w:t>注：若出现重大变更导致概算调整的，设计费计费额按批复的调整概算确定。</w:t>
      </w:r>
    </w:p>
    <w:p w14:paraId="74A1D4F2">
      <w:pPr>
        <w:pStyle w:val="8"/>
        <w:spacing w:line="560" w:lineRule="atLeast"/>
        <w:rPr>
          <w:rFonts w:ascii="宋体" w:hAnsi="宋体"/>
          <w:color w:val="auto"/>
          <w:sz w:val="24"/>
          <w:highlight w:val="none"/>
        </w:rPr>
      </w:pPr>
      <w:r>
        <w:rPr>
          <w:rFonts w:ascii="宋体" w:hAnsi="宋体"/>
          <w:color w:val="auto"/>
          <w:kern w:val="2"/>
          <w:sz w:val="24"/>
          <w:highlight w:val="none"/>
        </w:rPr>
        <w:t>1.2其他设计收费</w:t>
      </w:r>
    </w:p>
    <w:p w14:paraId="76A8F470">
      <w:pPr>
        <w:pStyle w:val="8"/>
        <w:spacing w:line="560" w:lineRule="atLeast"/>
        <w:ind w:left="0" w:leftChars="0" w:firstLine="480" w:firstLineChars="200"/>
        <w:rPr>
          <w:rFonts w:ascii="宋体" w:hAnsi="宋体"/>
          <w:color w:val="auto"/>
          <w:kern w:val="2"/>
          <w:sz w:val="24"/>
          <w:highlight w:val="none"/>
        </w:rPr>
      </w:pPr>
      <w:r>
        <w:rPr>
          <w:rFonts w:ascii="宋体" w:hAnsi="宋体"/>
          <w:color w:val="auto"/>
          <w:sz w:val="24"/>
          <w:highlight w:val="none"/>
        </w:rPr>
        <w:t>1.2.1</w:t>
      </w:r>
      <w:r>
        <w:rPr>
          <w:rFonts w:hint="eastAsia" w:ascii="宋体" w:hAnsi="宋体"/>
          <w:color w:val="auto"/>
          <w:kern w:val="2"/>
          <w:sz w:val="24"/>
          <w:highlight w:val="none"/>
        </w:rPr>
        <w:t>管线迁改设计费（</w:t>
      </w:r>
      <w:r>
        <w:rPr>
          <w:rFonts w:hint="eastAsia" w:ascii="宋体" w:hAnsi="宋体"/>
          <w:b w:val="0"/>
          <w:bCs w:val="0"/>
          <w:color w:val="auto"/>
          <w:sz w:val="24"/>
          <w:highlight w:val="none"/>
        </w:rPr>
        <w:t>计费额按照签订的管线迁改工程施工合同总额确定</w:t>
      </w:r>
      <w:r>
        <w:rPr>
          <w:rFonts w:hint="eastAsia" w:ascii="宋体" w:hAnsi="宋体"/>
          <w:b w:val="0"/>
          <w:bCs w:val="0"/>
          <w:color w:val="auto"/>
          <w:kern w:val="2"/>
          <w:sz w:val="24"/>
          <w:highlight w:val="none"/>
        </w:rPr>
        <w:t>）</w:t>
      </w:r>
      <w:r>
        <w:rPr>
          <w:rFonts w:ascii="宋体" w:hAnsi="宋体"/>
          <w:color w:val="auto"/>
          <w:kern w:val="2"/>
          <w:sz w:val="24"/>
          <w:highlight w:val="none"/>
        </w:rPr>
        <w:t>=管线迁改设计收费基价×专业调整系数（1.0</w:t>
      </w:r>
      <w:r>
        <w:rPr>
          <w:rFonts w:hint="eastAsia" w:ascii="宋体" w:hAnsi="宋体"/>
          <w:color w:val="auto"/>
          <w:kern w:val="2"/>
          <w:sz w:val="24"/>
          <w:highlight w:val="none"/>
        </w:rPr>
        <w:t>）×工程复杂程度调整系数（</w:t>
      </w:r>
      <w:r>
        <w:rPr>
          <w:rFonts w:ascii="宋体" w:hAnsi="宋体"/>
          <w:color w:val="auto"/>
          <w:kern w:val="2"/>
          <w:sz w:val="24"/>
          <w:highlight w:val="none"/>
        </w:rPr>
        <w:t>0.85）×附加调整系数（1.0）</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投标下浮率</w:t>
      </w:r>
      <w:r>
        <w:rPr>
          <w:rFonts w:ascii="宋体" w:hAnsi="宋体"/>
          <w:color w:val="auto"/>
          <w:sz w:val="24"/>
          <w:highlight w:val="none"/>
          <w:u w:val="single"/>
        </w:rPr>
        <w:t xml:space="preserve">    </w:t>
      </w:r>
      <w:r>
        <w:rPr>
          <w:rFonts w:ascii="宋体" w:hAnsi="宋体"/>
          <w:color w:val="auto"/>
          <w:sz w:val="24"/>
          <w:highlight w:val="none"/>
        </w:rPr>
        <w:t>%)</w:t>
      </w:r>
    </w:p>
    <w:p w14:paraId="2EDE2DAC">
      <w:pPr>
        <w:pStyle w:val="8"/>
        <w:spacing w:line="560" w:lineRule="atLeast"/>
        <w:ind w:left="0" w:leftChars="0" w:firstLine="480" w:firstLineChars="200"/>
        <w:rPr>
          <w:rFonts w:ascii="宋体" w:hAnsi="宋体"/>
          <w:color w:val="auto"/>
          <w:sz w:val="24"/>
          <w:highlight w:val="none"/>
        </w:rPr>
      </w:pPr>
      <w:r>
        <w:rPr>
          <w:rFonts w:ascii="宋体" w:hAnsi="宋体"/>
          <w:color w:val="auto"/>
          <w:sz w:val="24"/>
          <w:highlight w:val="none"/>
        </w:rPr>
        <w:t>10.2.2勘察费</w:t>
      </w:r>
    </w:p>
    <w:p w14:paraId="641F17E6">
      <w:pPr>
        <w:pStyle w:val="8"/>
        <w:spacing w:line="560" w:lineRule="atLeast"/>
        <w:ind w:left="0" w:leftChars="0" w:firstLine="480" w:firstLineChars="200"/>
        <w:rPr>
          <w:rFonts w:ascii="宋体" w:hAnsi="宋体"/>
          <w:b/>
          <w:bCs/>
          <w:color w:val="auto"/>
          <w:sz w:val="24"/>
          <w:highlight w:val="none"/>
        </w:rPr>
      </w:pPr>
      <w:r>
        <w:rPr>
          <w:rFonts w:ascii="宋体" w:hAnsi="宋体"/>
          <w:color w:val="auto"/>
          <w:sz w:val="24"/>
          <w:highlight w:val="none"/>
        </w:rPr>
        <w:t>10.2.2.1勘察费（含超</w:t>
      </w:r>
      <w:r>
        <w:rPr>
          <w:rFonts w:hint="eastAsia" w:ascii="宋体" w:hAnsi="宋体"/>
          <w:color w:val="auto"/>
          <w:sz w:val="24"/>
          <w:highlight w:val="none"/>
        </w:rPr>
        <w:t>前钻、测量及物探等）参照国家发展计划委员会、建设部发布的《工程勘察设计收费标准》(2002年修订本)</w:t>
      </w:r>
      <w:r>
        <w:rPr>
          <w:rFonts w:hint="eastAsia" w:ascii="宋体" w:hAnsi="宋体"/>
          <w:b/>
          <w:bCs/>
          <w:color w:val="auto"/>
          <w:sz w:val="24"/>
          <w:highlight w:val="none"/>
        </w:rPr>
        <w:t>下浮</w:t>
      </w:r>
      <w:r>
        <w:rPr>
          <w:rFonts w:hint="eastAsia" w:ascii="宋体" w:hAnsi="宋体"/>
          <w:b/>
          <w:bCs/>
          <w:color w:val="auto"/>
          <w:sz w:val="24"/>
          <w:highlight w:val="none"/>
          <w:u w:val="single"/>
        </w:rPr>
        <w:t xml:space="preserve">   %</w:t>
      </w:r>
      <w:r>
        <w:rPr>
          <w:rFonts w:hint="eastAsia" w:ascii="宋体" w:hAnsi="宋体"/>
          <w:b/>
          <w:bCs/>
          <w:color w:val="auto"/>
          <w:sz w:val="24"/>
          <w:highlight w:val="none"/>
          <w:u w:val="none"/>
          <w:lang w:eastAsia="zh-CN"/>
        </w:rPr>
        <w:t>（</w:t>
      </w:r>
      <w:r>
        <w:rPr>
          <w:rFonts w:hint="eastAsia" w:ascii="宋体" w:hAnsi="宋体"/>
          <w:b/>
          <w:bCs/>
          <w:color w:val="auto"/>
          <w:sz w:val="24"/>
          <w:highlight w:val="none"/>
          <w:u w:val="none"/>
        </w:rPr>
        <w:t>投标下浮率</w:t>
      </w:r>
      <w:r>
        <w:rPr>
          <w:rFonts w:hint="eastAsia" w:ascii="宋体" w:hAnsi="宋体"/>
          <w:b/>
          <w:bCs/>
          <w:color w:val="auto"/>
          <w:sz w:val="24"/>
          <w:highlight w:val="none"/>
          <w:u w:val="none"/>
          <w:lang w:eastAsia="zh-CN"/>
        </w:rPr>
        <w:t>）</w:t>
      </w:r>
      <w:r>
        <w:rPr>
          <w:rFonts w:hint="eastAsia" w:ascii="宋体" w:hAnsi="宋体"/>
          <w:b/>
          <w:bCs/>
          <w:color w:val="auto"/>
          <w:sz w:val="24"/>
          <w:highlight w:val="none"/>
        </w:rPr>
        <w:t>，其中岩土工程勘察费综合单价不超过185元/米，</w:t>
      </w:r>
      <w:r>
        <w:rPr>
          <w:rFonts w:hint="eastAsia" w:ascii="宋体" w:hAnsi="宋体"/>
          <w:color w:val="auto"/>
          <w:sz w:val="24"/>
          <w:highlight w:val="none"/>
        </w:rPr>
        <w:t>根据各方确认的实际完成工程量计算。</w:t>
      </w:r>
      <w:r>
        <w:rPr>
          <w:rFonts w:hint="eastAsia" w:ascii="宋体" w:hAnsi="宋体"/>
          <w:b/>
          <w:bCs/>
          <w:color w:val="auto"/>
          <w:sz w:val="24"/>
          <w:highlight w:val="none"/>
        </w:rPr>
        <w:t>其中超钻部分不予计量。</w:t>
      </w:r>
    </w:p>
    <w:p w14:paraId="198A3566">
      <w:pPr>
        <w:pStyle w:val="8"/>
        <w:spacing w:line="360" w:lineRule="auto"/>
        <w:ind w:left="0" w:leftChars="0" w:firstLine="480" w:firstLineChars="200"/>
        <w:rPr>
          <w:rFonts w:hint="eastAsia" w:ascii="宋体" w:hAnsi="宋体"/>
          <w:color w:val="auto"/>
          <w:sz w:val="24"/>
          <w:highlight w:val="none"/>
          <w:lang w:eastAsia="zh-CN"/>
        </w:rPr>
      </w:pPr>
      <w:r>
        <w:rPr>
          <w:rFonts w:hint="eastAsia" w:ascii="宋体" w:hAnsi="宋体"/>
          <w:color w:val="auto"/>
          <w:sz w:val="24"/>
          <w:highlight w:val="none"/>
        </w:rPr>
        <w:t>10.2.3 BIM技术应用费：</w:t>
      </w:r>
      <w:r>
        <w:rPr>
          <w:rFonts w:hint="eastAsia" w:ascii="宋体" w:hAnsi="宋体"/>
          <w:color w:val="auto"/>
          <w:sz w:val="24"/>
          <w:highlight w:val="none"/>
          <w:lang w:val="en-US" w:eastAsia="zh-CN"/>
        </w:rPr>
        <w:t>按照</w:t>
      </w:r>
      <w:r>
        <w:rPr>
          <w:rFonts w:hint="eastAsia" w:ascii="宋体" w:hAnsi="宋体"/>
          <w:color w:val="auto"/>
          <w:sz w:val="24"/>
          <w:highlight w:val="none"/>
        </w:rPr>
        <w:t>广东省住房和城乡建设厅印发</w:t>
      </w:r>
      <w:r>
        <w:rPr>
          <w:rFonts w:hint="eastAsia" w:ascii="宋体" w:hAnsi="宋体"/>
          <w:color w:val="auto"/>
          <w:sz w:val="24"/>
          <w:highlight w:val="none"/>
          <w:lang w:val="en-US" w:eastAsia="zh-CN"/>
        </w:rPr>
        <w:t>的</w:t>
      </w:r>
      <w:r>
        <w:rPr>
          <w:rFonts w:hint="eastAsia" w:ascii="宋体" w:hAnsi="宋体"/>
          <w:color w:val="auto"/>
          <w:sz w:val="24"/>
          <w:highlight w:val="none"/>
        </w:rPr>
        <w:t>《广东省建筑信息模型(BIM)技术应用费用计价参考依据(2019 年修正版)》</w:t>
      </w:r>
      <w:r>
        <w:rPr>
          <w:rFonts w:hint="eastAsia" w:ascii="宋体" w:hAnsi="宋体"/>
          <w:color w:val="auto"/>
          <w:sz w:val="24"/>
          <w:highlight w:val="none"/>
          <w:lang w:val="en-US" w:eastAsia="zh-CN"/>
        </w:rPr>
        <w:t>中“（一）工业与民用建筑工程费用基价表（表 1）”计算并下浮</w:t>
      </w:r>
      <w:r>
        <w:rPr>
          <w:rFonts w:hint="eastAsia" w:ascii="宋体" w:hAnsi="宋体"/>
          <w:color w:val="auto"/>
          <w:sz w:val="24"/>
          <w:highlight w:val="none"/>
          <w:u w:val="single"/>
          <w:lang w:val="en-US" w:eastAsia="zh-CN"/>
        </w:rPr>
        <w:t>55</w:t>
      </w:r>
      <w:r>
        <w:rPr>
          <w:rFonts w:hint="eastAsia" w:ascii="宋体" w:hAnsi="宋体"/>
          <w:color w:val="auto"/>
          <w:sz w:val="24"/>
          <w:highlight w:val="none"/>
          <w:u w:val="none"/>
          <w:lang w:val="en-US" w:eastAsia="zh-CN"/>
        </w:rPr>
        <w:t>%</w:t>
      </w:r>
      <w:r>
        <w:rPr>
          <w:rFonts w:hint="eastAsia" w:ascii="宋体" w:hAnsi="宋体"/>
          <w:color w:val="auto"/>
          <w:sz w:val="24"/>
          <w:highlight w:val="none"/>
          <w:lang w:eastAsia="zh-CN"/>
        </w:rPr>
        <w:t>。</w:t>
      </w:r>
    </w:p>
    <w:p w14:paraId="554AC83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BIM技术应用费</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设计阶段</w:t>
      </w:r>
      <w:r>
        <w:rPr>
          <w:rFonts w:hint="eastAsia" w:ascii="宋体" w:hAnsi="宋体"/>
          <w:color w:val="auto"/>
          <w:sz w:val="24"/>
          <w:highlight w:val="none"/>
          <w:lang w:eastAsia="zh-CN"/>
        </w:rPr>
        <w:t>）</w:t>
      </w:r>
      <w:r>
        <w:rPr>
          <w:rFonts w:hint="eastAsia" w:ascii="宋体" w:hAnsi="宋体"/>
          <w:color w:val="auto"/>
          <w:sz w:val="24"/>
          <w:highlight w:val="none"/>
        </w:rPr>
        <w:t>=建筑面积×单价×</w:t>
      </w:r>
      <w:r>
        <w:rPr>
          <w:rFonts w:hint="eastAsia" w:ascii="宋体" w:hAnsi="宋体"/>
          <w:color w:val="auto"/>
          <w:sz w:val="24"/>
          <w:highlight w:val="none"/>
          <w:lang w:eastAsia="zh-CN"/>
        </w:rPr>
        <w:t>（1-</w:t>
      </w:r>
      <w:bookmarkStart w:id="1" w:name="_GoBack"/>
      <w:bookmarkEnd w:id="1"/>
      <w:r>
        <w:rPr>
          <w:rFonts w:hint="eastAsia" w:ascii="宋体" w:hAnsi="宋体"/>
          <w:color w:val="auto"/>
          <w:sz w:val="24"/>
          <w:highlight w:val="none"/>
          <w:u w:val="single"/>
          <w:lang w:val="en-US" w:eastAsia="zh-CN"/>
        </w:rPr>
        <w:t>55</w:t>
      </w:r>
      <w:r>
        <w:rPr>
          <w:rFonts w:hint="eastAsia" w:ascii="宋体" w:hAnsi="宋体"/>
          <w:color w:val="auto"/>
          <w:sz w:val="24"/>
          <w:highlight w:val="none"/>
          <w:lang w:eastAsia="zh-CN"/>
        </w:rPr>
        <w:t xml:space="preserve"> %）</w:t>
      </w:r>
      <w:r>
        <w:rPr>
          <w:rFonts w:hint="eastAsia" w:ascii="宋体" w:hAnsi="宋体"/>
          <w:color w:val="auto"/>
          <w:sz w:val="24"/>
          <w:highlight w:val="none"/>
        </w:rPr>
        <w:t>。</w:t>
      </w:r>
    </w:p>
    <w:p w14:paraId="0CB8BD5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注：</w:t>
      </w:r>
      <w:r>
        <w:rPr>
          <w:rFonts w:hint="eastAsia" w:ascii="宋体" w:hAnsi="宋体"/>
          <w:color w:val="auto"/>
          <w:sz w:val="24"/>
          <w:highlight w:val="none"/>
        </w:rPr>
        <w:t>建筑面积</w:t>
      </w:r>
      <w:r>
        <w:rPr>
          <w:rFonts w:hint="eastAsia" w:ascii="宋体" w:hAnsi="宋体"/>
          <w:color w:val="auto"/>
          <w:sz w:val="24"/>
          <w:highlight w:val="none"/>
          <w:lang w:val="en-US" w:eastAsia="zh-CN"/>
        </w:rPr>
        <w:t>以</w:t>
      </w:r>
      <w:r>
        <w:rPr>
          <w:rFonts w:hint="eastAsia" w:ascii="宋体" w:hAnsi="宋体"/>
          <w:color w:val="auto"/>
          <w:sz w:val="24"/>
          <w:highlight w:val="none"/>
        </w:rPr>
        <w:t>批复的建设工程规划许可证上建筑面积为准</w:t>
      </w:r>
      <w:r>
        <w:rPr>
          <w:rFonts w:hint="eastAsia" w:ascii="宋体" w:hAnsi="宋体"/>
          <w:color w:val="auto"/>
          <w:sz w:val="24"/>
          <w:highlight w:val="none"/>
          <w:lang w:eastAsia="zh-CN"/>
        </w:rPr>
        <w:t>。</w:t>
      </w:r>
    </w:p>
    <w:p w14:paraId="68F8A466">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10.2.4竣工图编制费：按结算设计费的8%进行确定。</w:t>
      </w:r>
    </w:p>
    <w:p w14:paraId="7073799D">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10.2.5本工程勘察设计费已包括完成该勘察设计项目的成本、利润、税金、赶工费、图纸资料文印费（含地形图购买及套打）、技术措施费、技术考察调研费、评审和（或）论证时发生的会务费和专家费及交通费、宣传、汇报（含影像、动画、效果图等资料）、风险费、保险、</w:t>
      </w:r>
      <w:r>
        <w:rPr>
          <w:rFonts w:hint="eastAsia" w:ascii="宋体" w:hAnsi="宋体"/>
          <w:b/>
          <w:bCs/>
          <w:color w:val="auto"/>
          <w:sz w:val="24"/>
          <w:highlight w:val="none"/>
          <w:u w:val="single"/>
        </w:rPr>
        <w:t>绿色建筑咨询服务、文物（如有）和树木保护专章编制、本工程进行土石方平整工作所需的土石方平衡设计工程工作及配合工程报批报建所需关联地块的方案设计工作的设计费</w:t>
      </w:r>
      <w:r>
        <w:rPr>
          <w:rFonts w:hint="eastAsia" w:ascii="宋体" w:hAnsi="宋体"/>
          <w:b/>
          <w:bCs/>
          <w:color w:val="auto"/>
          <w:sz w:val="24"/>
          <w:highlight w:val="none"/>
        </w:rPr>
        <w:t>等一切费用</w:t>
      </w:r>
      <w:r>
        <w:rPr>
          <w:rFonts w:hint="eastAsia" w:ascii="宋体" w:hAnsi="宋体"/>
          <w:color w:val="auto"/>
          <w:sz w:val="24"/>
          <w:highlight w:val="none"/>
        </w:rPr>
        <w:t>，发包人不再另行计量支付。</w:t>
      </w:r>
    </w:p>
    <w:p w14:paraId="33B6DDCE">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本合同设计费已包括完成本项目设计范围内所有设计工作所需的全部费用，计取时已综合考虑各种费率变化、物价变动等因素，发包人不另行计量支付。</w:t>
      </w:r>
    </w:p>
    <w:p w14:paraId="0C7A384C">
      <w:pPr>
        <w:spacing w:line="460" w:lineRule="exact"/>
        <w:ind w:firstLine="480" w:firstLineChars="200"/>
        <w:rPr>
          <w:rFonts w:ascii="宋体" w:hAnsi="宋体"/>
          <w:color w:val="auto"/>
          <w:sz w:val="24"/>
          <w:highlight w:val="none"/>
          <w:u w:val="single"/>
        </w:rPr>
      </w:pPr>
      <w:r>
        <w:rPr>
          <w:rFonts w:hint="eastAsia" w:ascii="宋体" w:hAnsi="宋体"/>
          <w:color w:val="auto"/>
          <w:sz w:val="24"/>
          <w:highlight w:val="none"/>
        </w:rPr>
        <w:t>10.2.6在合同实施期间如有涉及增减（或变更）工作量，应经发包方同意后才能实施，最终按发包方确认的实际完成工作量结算。</w:t>
      </w:r>
    </w:p>
    <w:p w14:paraId="15C283A0">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10.2.7</w:t>
      </w:r>
      <w:r>
        <w:rPr>
          <w:rFonts w:ascii="宋体" w:hAnsi="宋体"/>
          <w:b/>
          <w:bCs/>
          <w:color w:val="auto"/>
          <w:sz w:val="24"/>
          <w:highlight w:val="none"/>
        </w:rPr>
        <w:t>本合同结算金额经审核后，按结算费用、</w:t>
      </w:r>
      <w:r>
        <w:rPr>
          <w:rFonts w:hint="eastAsia" w:ascii="宋体" w:hAnsi="宋体"/>
          <w:b/>
          <w:bCs/>
          <w:color w:val="auto"/>
          <w:sz w:val="24"/>
          <w:highlight w:val="none"/>
        </w:rPr>
        <w:t>合同价110%及</w:t>
      </w:r>
      <w:r>
        <w:rPr>
          <w:rFonts w:ascii="宋体" w:hAnsi="宋体"/>
          <w:b/>
          <w:bCs/>
          <w:color w:val="auto"/>
          <w:sz w:val="24"/>
          <w:highlight w:val="none"/>
        </w:rPr>
        <w:t>概算对应开项金额三者</w:t>
      </w:r>
      <w:r>
        <w:rPr>
          <w:rFonts w:hint="eastAsia" w:ascii="宋体" w:hAnsi="宋体"/>
          <w:b/>
          <w:bCs/>
          <w:color w:val="auto"/>
          <w:sz w:val="24"/>
          <w:highlight w:val="none"/>
        </w:rPr>
        <w:t>最</w:t>
      </w:r>
      <w:r>
        <w:rPr>
          <w:rFonts w:ascii="宋体" w:hAnsi="宋体"/>
          <w:b/>
          <w:bCs/>
          <w:color w:val="auto"/>
          <w:sz w:val="24"/>
          <w:highlight w:val="none"/>
        </w:rPr>
        <w:t>低者执行。</w:t>
      </w:r>
    </w:p>
    <w:p w14:paraId="24544A48">
      <w:pPr>
        <w:spacing w:before="62" w:beforeLines="20" w:after="62" w:afterLines="20" w:line="460" w:lineRule="exact"/>
        <w:ind w:firstLine="482" w:firstLineChars="200"/>
        <w:rPr>
          <w:rFonts w:eastAsia="黑体"/>
          <w:b/>
          <w:bCs/>
          <w:color w:val="auto"/>
          <w:sz w:val="24"/>
          <w:highlight w:val="none"/>
        </w:rPr>
      </w:pPr>
      <w:r>
        <w:rPr>
          <w:rFonts w:hint="eastAsia" w:eastAsia="黑体"/>
          <w:b/>
          <w:bCs/>
          <w:color w:val="auto"/>
          <w:sz w:val="24"/>
          <w:highlight w:val="none"/>
        </w:rPr>
        <w:t>第十一条</w:t>
      </w:r>
      <w:r>
        <w:rPr>
          <w:rFonts w:hint="eastAsia" w:eastAsia="黑体"/>
          <w:b/>
          <w:bCs/>
          <w:color w:val="auto"/>
          <w:sz w:val="24"/>
          <w:highlight w:val="none"/>
        </w:rPr>
        <w:tab/>
      </w:r>
      <w:r>
        <w:rPr>
          <w:rFonts w:hint="eastAsia" w:eastAsia="黑体"/>
          <w:b/>
          <w:bCs/>
          <w:color w:val="auto"/>
          <w:sz w:val="24"/>
          <w:highlight w:val="none"/>
        </w:rPr>
        <w:t>支付</w:t>
      </w:r>
    </w:p>
    <w:p w14:paraId="732EEAF7">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11.1设计费支付方式和时间如下：</w:t>
      </w:r>
    </w:p>
    <w:p w14:paraId="304885CD">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（1）本合同生效后，承包人提出预付款支付申请并经发包人、业主审核同意后，向承包人支付本合同设计费的20％预付款；</w:t>
      </w:r>
    </w:p>
    <w:p w14:paraId="297DEC5B">
      <w:pPr>
        <w:spacing w:line="460" w:lineRule="exact"/>
        <w:ind w:firstLine="480" w:firstLineChars="200"/>
        <w:rPr>
          <w:color w:val="auto"/>
          <w:highlight w:val="none"/>
        </w:rPr>
      </w:pPr>
      <w:r>
        <w:rPr>
          <w:rFonts w:hint="eastAsia" w:ascii="宋体" w:hAnsi="宋体"/>
          <w:color w:val="auto"/>
          <w:sz w:val="24"/>
          <w:highlight w:val="none"/>
        </w:rPr>
        <w:t>（2）承包人在本合同项目通过行政主管部门建设方案联审决策审批后，承包人</w:t>
      </w:r>
      <w:r>
        <w:rPr>
          <w:rFonts w:hint="eastAsia"/>
          <w:color w:val="auto"/>
          <w:sz w:val="24"/>
          <w:highlight w:val="none"/>
        </w:rPr>
        <w:t>提出支付申请并经发包人、业主审核同意后，</w:t>
      </w:r>
      <w:r>
        <w:rPr>
          <w:rFonts w:hint="eastAsia" w:ascii="宋体" w:hAnsi="宋体"/>
          <w:color w:val="auto"/>
          <w:sz w:val="24"/>
          <w:highlight w:val="none"/>
        </w:rPr>
        <w:t>可向承包人支付至合同设计费的30％；</w:t>
      </w:r>
    </w:p>
    <w:p w14:paraId="1833351A">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（3）承包人在本合同项目取得初步设计及概算批复后，提交初步设计及概算与可行性研究报告对比分析报告后，承包人</w:t>
      </w:r>
      <w:r>
        <w:rPr>
          <w:rFonts w:hint="eastAsia"/>
          <w:color w:val="auto"/>
          <w:sz w:val="24"/>
          <w:highlight w:val="none"/>
        </w:rPr>
        <w:t>提出支付申请并经发包人、业主审核同意后，</w:t>
      </w:r>
      <w:r>
        <w:rPr>
          <w:rFonts w:hint="eastAsia" w:ascii="宋体" w:hAnsi="宋体"/>
          <w:color w:val="auto"/>
          <w:sz w:val="24"/>
          <w:highlight w:val="none"/>
        </w:rPr>
        <w:t>可向承包人支付至修正合同设计费的40％；</w:t>
      </w:r>
    </w:p>
    <w:p w14:paraId="04B2DC27">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（4）承包人在本合同通过施工图审查合格及修编完善的施工设计图纸后，承包人</w:t>
      </w:r>
      <w:r>
        <w:rPr>
          <w:rFonts w:hint="eastAsia"/>
          <w:color w:val="auto"/>
          <w:sz w:val="24"/>
          <w:highlight w:val="none"/>
        </w:rPr>
        <w:t>提出支付申请并经发包人、业主审核同意后，</w:t>
      </w:r>
      <w:r>
        <w:rPr>
          <w:rFonts w:hint="eastAsia" w:ascii="宋体" w:hAnsi="宋体"/>
          <w:color w:val="auto"/>
          <w:sz w:val="24"/>
          <w:highlight w:val="none"/>
        </w:rPr>
        <w:t>可向承包人支付至修正合同设计费的80%；</w:t>
      </w:r>
    </w:p>
    <w:p w14:paraId="26B16907">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（5）本工程竣工验收后，并完成了所承担设计的建设项目工作范围内的内容，经审核后支付至结算价的100%。</w:t>
      </w:r>
    </w:p>
    <w:p w14:paraId="7C57D51B">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11.2勘察费支付方式和时间如下：</w:t>
      </w:r>
    </w:p>
    <w:p w14:paraId="4D530849">
      <w:pPr>
        <w:spacing w:line="460" w:lineRule="exact"/>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（1）本合同生效后，承包人提出预付款支付申请并经发包人、业主审核同意后，向承包人支付本合同勘察费的20％作为预付款；</w:t>
      </w:r>
    </w:p>
    <w:p w14:paraId="4FF156E5">
      <w:pPr>
        <w:spacing w:line="460" w:lineRule="exact"/>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（2）承包人完成本合同外业后，承包人提出支付申请并经发包人、业主审核同意后，可向承包人支付至合同勘察费的40%；</w:t>
      </w:r>
    </w:p>
    <w:p w14:paraId="66E2B259">
      <w:pPr>
        <w:spacing w:line="460" w:lineRule="exact"/>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（3）发包人初步确认实际完成勘察工作量和勘察费用，承包人提出支付申请并经发包人、业主审核同意后，可向承包人支付至已完成工程量费用金额的60%，且不超过合同勘察费的60％；</w:t>
      </w:r>
    </w:p>
    <w:p w14:paraId="23C23AEB">
      <w:pPr>
        <w:spacing w:line="4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（4）在配合施工现场服务过程中，发包人视工程进度的情况，分期支付勘察费用，可向承包人累计支付至已完成工程量费用金额的80%且不超过合同勘察费的80％；</w:t>
      </w:r>
    </w:p>
    <w:p w14:paraId="5B9CD20D">
      <w:pPr>
        <w:spacing w:line="460" w:lineRule="exact"/>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（5）本工程竣工验收后，经审核后发包人可向承包人支付至结算价的100％。</w:t>
      </w:r>
    </w:p>
    <w:p w14:paraId="2979A459">
      <w:pPr>
        <w:spacing w:line="460" w:lineRule="exact"/>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（6）发包人有权根据现场情况要求承包人进行补钻（机械的进退场费不额外增加）。</w:t>
      </w:r>
    </w:p>
    <w:p w14:paraId="722EBB81">
      <w:pPr>
        <w:spacing w:line="4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（7）项目的测量控制点由承包人负责，控制点精度应满足相关规范和规划使用要求。因纠正坐标资料中的错误，造成费用增加和（或）工期延误，由承包人承担。</w:t>
      </w:r>
    </w:p>
    <w:p w14:paraId="14E622A0">
      <w:pPr>
        <w:spacing w:line="460" w:lineRule="exact"/>
        <w:ind w:firstLine="480" w:firstLineChars="200"/>
        <w:jc w:val="left"/>
        <w:outlineLvl w:val="0"/>
        <w:rPr>
          <w:rFonts w:ascii="宋体" w:hAnsi="宋体" w:cs="宋体"/>
          <w:color w:val="auto"/>
          <w:sz w:val="24"/>
          <w:highlight w:val="none"/>
        </w:rPr>
      </w:pPr>
      <w:r>
        <w:rPr>
          <w:rFonts w:ascii="宋体" w:hAnsi="宋体" w:cs="宋体"/>
          <w:color w:val="auto"/>
          <w:sz w:val="24"/>
          <w:highlight w:val="none"/>
        </w:rPr>
        <w:t>11.3  BIM技术应用费</w:t>
      </w:r>
    </w:p>
    <w:p w14:paraId="3D92E68E">
      <w:pPr>
        <w:spacing w:line="460" w:lineRule="exact"/>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1）本合同生效后，承包人提出预付款支付申请并经发包人、业主审核同意后，向承包人支付本合同BIM技术应用费</w:t>
      </w:r>
      <w:r>
        <w:rPr>
          <w:rFonts w:hint="eastAsia" w:ascii="宋体" w:hAnsi="宋体" w:cs="宋体"/>
          <w:color w:val="auto"/>
          <w:sz w:val="24"/>
          <w:highlight w:val="none"/>
        </w:rPr>
        <w:t>的</w:t>
      </w:r>
      <w:r>
        <w:rPr>
          <w:rFonts w:ascii="宋体" w:hAnsi="宋体" w:cs="宋体"/>
          <w:color w:val="auto"/>
          <w:sz w:val="24"/>
          <w:highlight w:val="none"/>
        </w:rPr>
        <w:t>20％作为预付款；</w:t>
      </w:r>
    </w:p>
    <w:p w14:paraId="5DDFF50C">
      <w:pPr>
        <w:spacing w:line="460" w:lineRule="exact"/>
        <w:ind w:firstLine="480" w:firstLineChars="200"/>
        <w:outlineLvl w:val="0"/>
        <w:rPr>
          <w:rFonts w:ascii="宋体" w:hAnsi="宋体" w:cs="宋体"/>
          <w:color w:val="auto"/>
          <w:sz w:val="24"/>
          <w:highlight w:val="none"/>
        </w:rPr>
      </w:pPr>
      <w:r>
        <w:rPr>
          <w:rFonts w:hint="eastAsia" w:ascii="宋体" w:hAnsi="宋体" w:cs="宋体"/>
          <w:b w:val="0"/>
          <w:bCs w:val="0"/>
          <w:color w:val="auto"/>
          <w:sz w:val="24"/>
          <w:highlight w:val="none"/>
        </w:rPr>
        <w:t>（</w:t>
      </w:r>
      <w:r>
        <w:rPr>
          <w:rFonts w:ascii="宋体" w:hAnsi="宋体" w:cs="宋体"/>
          <w:b w:val="0"/>
          <w:bCs w:val="0"/>
          <w:color w:val="auto"/>
          <w:sz w:val="24"/>
          <w:highlight w:val="none"/>
        </w:rPr>
        <w:t>2</w:t>
      </w:r>
      <w:r>
        <w:rPr>
          <w:rFonts w:hint="eastAsia" w:ascii="宋体" w:hAnsi="宋体" w:cs="宋体"/>
          <w:b w:val="0"/>
          <w:bCs w:val="0"/>
          <w:color w:val="auto"/>
          <w:sz w:val="24"/>
          <w:highlight w:val="none"/>
        </w:rPr>
        <w:t>）提交</w:t>
      </w:r>
      <w:r>
        <w:rPr>
          <w:rFonts w:ascii="宋体" w:hAnsi="宋体" w:cs="宋体"/>
          <w:b w:val="0"/>
          <w:bCs w:val="0"/>
          <w:color w:val="auto"/>
          <w:sz w:val="24"/>
          <w:highlight w:val="none"/>
        </w:rPr>
        <w:t>BIM</w:t>
      </w:r>
      <w:r>
        <w:rPr>
          <w:rFonts w:hint="eastAsia" w:ascii="宋体" w:hAnsi="宋体" w:cs="宋体"/>
          <w:color w:val="auto"/>
          <w:sz w:val="24"/>
          <w:highlight w:val="none"/>
        </w:rPr>
        <w:t>技术应用成果且施工图审查合格后，可向承包人支付至本合同修正</w:t>
      </w:r>
      <w:r>
        <w:rPr>
          <w:rFonts w:ascii="宋体" w:hAnsi="宋体" w:cs="宋体"/>
          <w:color w:val="auto"/>
          <w:sz w:val="24"/>
          <w:highlight w:val="none"/>
        </w:rPr>
        <w:t>BIM技术应用费</w:t>
      </w:r>
      <w:r>
        <w:rPr>
          <w:rFonts w:hint="eastAsia" w:ascii="宋体" w:hAnsi="宋体" w:cs="宋体"/>
          <w:color w:val="auto"/>
          <w:sz w:val="24"/>
          <w:highlight w:val="none"/>
        </w:rPr>
        <w:t>的</w:t>
      </w:r>
      <w:r>
        <w:rPr>
          <w:rFonts w:ascii="宋体" w:hAnsi="宋体" w:cs="宋体"/>
          <w:color w:val="auto"/>
          <w:sz w:val="24"/>
          <w:highlight w:val="none"/>
        </w:rPr>
        <w:t>80％；</w:t>
      </w:r>
    </w:p>
    <w:p w14:paraId="48035499">
      <w:pPr>
        <w:spacing w:line="460" w:lineRule="exact"/>
        <w:ind w:firstLine="480" w:firstLineChars="200"/>
        <w:outlineLvl w:val="0"/>
        <w:rPr>
          <w:rFonts w:ascii="宋体" w:hAnsi="宋体" w:eastAsia="宋体" w:cs="宋体"/>
          <w:b/>
          <w:bCs/>
          <w:color w:val="auto"/>
          <w:sz w:val="24"/>
          <w:szCs w:val="24"/>
          <w:highlight w:val="none"/>
        </w:rPr>
      </w:pPr>
      <w:r>
        <w:rPr>
          <w:rFonts w:hint="eastAsia" w:ascii="宋体" w:hAnsi="宋体" w:cs="宋体"/>
          <w:b w:val="0"/>
          <w:bCs w:val="0"/>
          <w:color w:val="auto"/>
          <w:sz w:val="24"/>
          <w:highlight w:val="none"/>
        </w:rPr>
        <w:t>（</w:t>
      </w:r>
      <w:r>
        <w:rPr>
          <w:rFonts w:ascii="宋体" w:hAnsi="宋体" w:cs="宋体"/>
          <w:b w:val="0"/>
          <w:bCs w:val="0"/>
          <w:color w:val="auto"/>
          <w:sz w:val="24"/>
          <w:highlight w:val="none"/>
        </w:rPr>
        <w:t>3</w:t>
      </w:r>
      <w:r>
        <w:rPr>
          <w:rFonts w:hint="eastAsia" w:ascii="宋体" w:hAnsi="宋体" w:cs="宋体"/>
          <w:b w:val="0"/>
          <w:bCs w:val="0"/>
          <w:color w:val="auto"/>
          <w:sz w:val="24"/>
          <w:highlight w:val="none"/>
        </w:rPr>
        <w:t>）</w:t>
      </w:r>
      <w:r>
        <w:rPr>
          <w:rFonts w:hint="eastAsia" w:ascii="宋体" w:hAnsi="宋体" w:cs="宋体"/>
          <w:color w:val="auto"/>
          <w:sz w:val="24"/>
          <w:highlight w:val="none"/>
        </w:rPr>
        <w:t>工程竣工验收后发包人可向承包人支付至结算价的</w:t>
      </w:r>
      <w:r>
        <w:rPr>
          <w:rFonts w:ascii="宋体" w:hAnsi="宋体" w:cs="宋体"/>
          <w:color w:val="auto"/>
          <w:sz w:val="24"/>
          <w:highlight w:val="none"/>
        </w:rPr>
        <w:t>100％。</w:t>
      </w:r>
    </w:p>
    <w:p w14:paraId="58DDB59A">
      <w:pPr>
        <w:spacing w:line="460" w:lineRule="exact"/>
        <w:ind w:firstLine="480" w:firstLineChars="200"/>
        <w:outlineLvl w:val="0"/>
        <w:rPr>
          <w:rFonts w:ascii="宋体" w:hAnsi="宋体" w:cs="宋体"/>
          <w:color w:val="auto"/>
          <w:sz w:val="24"/>
          <w:highlight w:val="none"/>
        </w:rPr>
      </w:pPr>
      <w:r>
        <w:rPr>
          <w:rFonts w:ascii="宋体" w:hAnsi="宋体" w:cs="宋体"/>
          <w:color w:val="auto"/>
          <w:sz w:val="24"/>
          <w:highlight w:val="none"/>
        </w:rPr>
        <w:t>11.4</w:t>
      </w:r>
      <w:r>
        <w:rPr>
          <w:rFonts w:hint="eastAsia" w:ascii="宋体" w:hAnsi="宋体" w:cs="宋体"/>
          <w:color w:val="auto"/>
          <w:sz w:val="24"/>
          <w:highlight w:val="none"/>
        </w:rPr>
        <w:t>完成竣工图编制后，支付至审定的竣工图编制费结算价的</w:t>
      </w:r>
      <w:r>
        <w:rPr>
          <w:rFonts w:ascii="宋体" w:hAnsi="宋体" w:cs="宋体"/>
          <w:color w:val="auto"/>
          <w:sz w:val="24"/>
          <w:highlight w:val="none"/>
        </w:rPr>
        <w:t>100%。</w:t>
      </w:r>
    </w:p>
    <w:p w14:paraId="13C8FA72">
      <w:pPr>
        <w:spacing w:line="460" w:lineRule="exact"/>
        <w:ind w:firstLine="480" w:firstLineChars="200"/>
        <w:jc w:val="left"/>
        <w:outlineLvl w:val="0"/>
        <w:rPr>
          <w:color w:val="auto"/>
          <w:sz w:val="24"/>
          <w:highlight w:val="none"/>
        </w:rPr>
      </w:pPr>
      <w:r>
        <w:rPr>
          <w:rFonts w:ascii="宋体" w:hAnsi="宋体" w:cs="宋体"/>
          <w:color w:val="auto"/>
          <w:sz w:val="24"/>
          <w:highlight w:val="none"/>
        </w:rPr>
        <w:t>11.5</w:t>
      </w:r>
      <w:r>
        <w:rPr>
          <w:rFonts w:hint="eastAsia" w:ascii="宋体" w:hAnsi="宋体" w:cs="宋体"/>
          <w:bCs w:val="0"/>
          <w:color w:val="auto"/>
          <w:sz w:val="24"/>
          <w:highlight w:val="none"/>
        </w:rPr>
        <w:t>本项目项目业主为广州空港经济区管理委员会，</w:t>
      </w:r>
      <w:r>
        <w:rPr>
          <w:rFonts w:hint="eastAsia" w:ascii="宋体" w:hAnsi="宋体" w:cs="宋体"/>
          <w:color w:val="auto"/>
          <w:kern w:val="0"/>
          <w:sz w:val="24"/>
          <w:highlight w:val="none"/>
        </w:rPr>
        <w:t>承包人向发包人书面报送请款资料及提供相应的等额增值税发票，经发包人审核并提交</w:t>
      </w:r>
      <w:r>
        <w:rPr>
          <w:rFonts w:hint="eastAsia" w:ascii="宋体" w:hAnsi="宋体" w:cs="宋体"/>
          <w:b/>
          <w:bCs/>
          <w:color w:val="auto"/>
          <w:kern w:val="0"/>
          <w:sz w:val="24"/>
          <w:highlight w:val="none"/>
        </w:rPr>
        <w:t>广州空港经济区管理委员会</w:t>
      </w:r>
      <w:r>
        <w:rPr>
          <w:rFonts w:hint="eastAsia" w:ascii="宋体" w:hAnsi="宋体" w:cs="宋体"/>
          <w:color w:val="auto"/>
          <w:kern w:val="0"/>
          <w:sz w:val="24"/>
          <w:highlight w:val="none"/>
        </w:rPr>
        <w:t>审核通过后方可支付，支付款项前需签订补充合同。</w:t>
      </w:r>
      <w:r>
        <w:rPr>
          <w:rFonts w:hint="eastAsia" w:ascii="宋体" w:hAnsi="宋体" w:cs="宋体"/>
          <w:b/>
          <w:bCs/>
          <w:color w:val="auto"/>
          <w:kern w:val="0"/>
          <w:sz w:val="24"/>
          <w:highlight w:val="none"/>
        </w:rPr>
        <w:t>本协议约定全部款项由广州空港经济区管理委员会审核通过后向承包人支付。</w:t>
      </w:r>
      <w:r>
        <w:rPr>
          <w:rFonts w:hint="eastAsia" w:ascii="宋体" w:hAnsi="宋体" w:cs="宋体"/>
          <w:color w:val="auto"/>
          <w:kern w:val="0"/>
          <w:sz w:val="24"/>
          <w:highlight w:val="none"/>
        </w:rPr>
        <w:t>因承包人未及时提供发票等原因致</w:t>
      </w:r>
      <w:r>
        <w:rPr>
          <w:rFonts w:hint="eastAsia"/>
          <w:color w:val="auto"/>
          <w:sz w:val="24"/>
          <w:highlight w:val="none"/>
        </w:rPr>
        <w:t>使发包人逾期付款的，责任由承包人承担。</w:t>
      </w:r>
    </w:p>
    <w:p w14:paraId="646F4609">
      <w:pPr>
        <w:spacing w:line="460" w:lineRule="exact"/>
        <w:ind w:firstLine="480" w:firstLineChars="200"/>
        <w:outlineLvl w:val="0"/>
        <w:rPr>
          <w:color w:val="auto"/>
          <w:sz w:val="24"/>
          <w:highlight w:val="none"/>
        </w:rPr>
      </w:pPr>
      <w:r>
        <w:rPr>
          <w:rFonts w:hint="eastAsia"/>
          <w:color w:val="auto"/>
          <w:sz w:val="24"/>
          <w:highlight w:val="none"/>
        </w:rPr>
        <w:t>11.6项目资金支付按广州空港经济区相关规定执行。因建设业主使用的是财政资金，建设业主向相关财政部门提出支付申请之日，即视为履行了支付义务。因财政拨付手续导致延迟付款的，建设业主不承担任何违约责任。</w:t>
      </w:r>
    </w:p>
    <w:p w14:paraId="3086C944">
      <w:pPr>
        <w:spacing w:before="62" w:beforeLines="20" w:after="62" w:afterLines="20" w:line="460" w:lineRule="exact"/>
        <w:ind w:firstLine="482" w:firstLineChars="200"/>
        <w:rPr>
          <w:rFonts w:eastAsia="黑体"/>
          <w:b/>
          <w:bCs/>
          <w:color w:val="auto"/>
          <w:sz w:val="24"/>
          <w:highlight w:val="none"/>
        </w:rPr>
      </w:pPr>
      <w:r>
        <w:rPr>
          <w:rFonts w:hint="eastAsia" w:eastAsia="黑体"/>
          <w:b/>
          <w:bCs/>
          <w:color w:val="auto"/>
          <w:sz w:val="24"/>
          <w:highlight w:val="none"/>
        </w:rPr>
        <w:t>第十二条</w:t>
      </w:r>
      <w:r>
        <w:rPr>
          <w:rFonts w:hint="eastAsia" w:eastAsia="黑体"/>
          <w:b/>
          <w:bCs/>
          <w:color w:val="auto"/>
          <w:sz w:val="24"/>
          <w:highlight w:val="none"/>
        </w:rPr>
        <w:tab/>
      </w:r>
      <w:r>
        <w:rPr>
          <w:rFonts w:hint="eastAsia" w:eastAsia="黑体"/>
          <w:b/>
          <w:bCs/>
          <w:color w:val="auto"/>
          <w:sz w:val="24"/>
          <w:highlight w:val="none"/>
        </w:rPr>
        <w:t>双方责任</w:t>
      </w:r>
    </w:p>
    <w:p w14:paraId="71891544">
      <w:pPr>
        <w:spacing w:line="460" w:lineRule="exact"/>
        <w:outlineLvl w:val="0"/>
        <w:rPr>
          <w:rFonts w:ascii="宋体" w:hAnsi="宋体"/>
          <w:color w:val="auto"/>
          <w:sz w:val="24"/>
          <w:highlight w:val="none"/>
        </w:rPr>
      </w:pPr>
      <w:r>
        <w:rPr>
          <w:rFonts w:hint="eastAsia"/>
          <w:color w:val="auto"/>
          <w:sz w:val="24"/>
          <w:highlight w:val="none"/>
        </w:rPr>
        <w:t xml:space="preserve">   </w:t>
      </w:r>
      <w:r>
        <w:rPr>
          <w:rFonts w:hint="eastAsia" w:ascii="宋体" w:hAnsi="宋体"/>
          <w:color w:val="auto"/>
          <w:sz w:val="24"/>
          <w:highlight w:val="none"/>
        </w:rPr>
        <w:t xml:space="preserve"> 12.1发包人责任</w:t>
      </w:r>
    </w:p>
    <w:p w14:paraId="5D535210">
      <w:pPr>
        <w:spacing w:line="460" w:lineRule="exact"/>
        <w:rPr>
          <w:rFonts w:ascii="宋体" w:hAnsi="宋体"/>
          <w:color w:val="auto"/>
          <w:sz w:val="24"/>
          <w:highlight w:val="none"/>
        </w:rPr>
      </w:pPr>
      <w:r>
        <w:rPr>
          <w:rFonts w:hint="eastAsia" w:ascii="宋体" w:hAnsi="宋体"/>
          <w:color w:val="auto"/>
          <w:sz w:val="24"/>
          <w:highlight w:val="none"/>
        </w:rPr>
        <w:t xml:space="preserve">    12.1.1发包人按本合同第六条规定的内容，在规定的时间内向</w:t>
      </w:r>
      <w:r>
        <w:rPr>
          <w:rFonts w:hint="eastAsia"/>
          <w:color w:val="auto"/>
          <w:sz w:val="24"/>
          <w:highlight w:val="none"/>
        </w:rPr>
        <w:t>承包</w:t>
      </w:r>
      <w:r>
        <w:rPr>
          <w:rFonts w:hint="eastAsia" w:ascii="宋体" w:hAnsi="宋体"/>
          <w:color w:val="auto"/>
          <w:sz w:val="24"/>
          <w:highlight w:val="none"/>
        </w:rPr>
        <w:t>人提交基础资料及文件，并对其完整性、正确性及时限负责。发包人不得要求</w:t>
      </w:r>
      <w:r>
        <w:rPr>
          <w:rFonts w:hint="eastAsia"/>
          <w:color w:val="auto"/>
          <w:sz w:val="24"/>
          <w:highlight w:val="none"/>
        </w:rPr>
        <w:t>承包</w:t>
      </w:r>
      <w:r>
        <w:rPr>
          <w:rFonts w:hint="eastAsia" w:ascii="宋体" w:hAnsi="宋体"/>
          <w:color w:val="auto"/>
          <w:sz w:val="24"/>
          <w:highlight w:val="none"/>
        </w:rPr>
        <w:t>人违反国家有关标准进行设计。</w:t>
      </w:r>
    </w:p>
    <w:p w14:paraId="47A28205">
      <w:pPr>
        <w:spacing w:line="460" w:lineRule="exact"/>
        <w:rPr>
          <w:rFonts w:ascii="宋体" w:hAnsi="宋体"/>
          <w:color w:val="auto"/>
          <w:sz w:val="24"/>
          <w:highlight w:val="none"/>
        </w:rPr>
      </w:pPr>
      <w:r>
        <w:rPr>
          <w:rFonts w:hint="eastAsia" w:ascii="宋体" w:hAnsi="宋体"/>
          <w:color w:val="auto"/>
          <w:sz w:val="24"/>
          <w:highlight w:val="none"/>
        </w:rPr>
        <w:t xml:space="preserve">    发包人提交上述资料及文件超过规定期限，承包人按本合同第七条规定的交付设计文件时间顺延。</w:t>
      </w:r>
    </w:p>
    <w:p w14:paraId="58134BB9">
      <w:pPr>
        <w:spacing w:line="460" w:lineRule="exact"/>
        <w:rPr>
          <w:color w:val="auto"/>
          <w:sz w:val="24"/>
          <w:highlight w:val="none"/>
        </w:rPr>
      </w:pPr>
      <w:r>
        <w:rPr>
          <w:rFonts w:hint="eastAsia" w:ascii="宋体" w:hAnsi="宋体"/>
          <w:color w:val="auto"/>
          <w:sz w:val="24"/>
          <w:highlight w:val="none"/>
        </w:rPr>
        <w:t xml:space="preserve">    12.1.2签订合同后，发包人变更委托设计项目、规模、条件或因提交的资料错误，</w:t>
      </w:r>
      <w:r>
        <w:rPr>
          <w:rFonts w:hint="eastAsia"/>
          <w:color w:val="auto"/>
          <w:sz w:val="24"/>
          <w:highlight w:val="none"/>
        </w:rPr>
        <w:t>或所提交资料作较大修改，以致造成承包人设计返工时，双方可另行协商签订补充协议（或另订合同）。</w:t>
      </w:r>
    </w:p>
    <w:p w14:paraId="3399F085">
      <w:pPr>
        <w:spacing w:line="460" w:lineRule="exact"/>
        <w:rPr>
          <w:rFonts w:ascii="宋体" w:hAnsi="宋体"/>
          <w:color w:val="auto"/>
          <w:sz w:val="24"/>
          <w:highlight w:val="none"/>
        </w:rPr>
      </w:pPr>
      <w:r>
        <w:rPr>
          <w:rFonts w:hint="eastAsia"/>
          <w:color w:val="auto"/>
          <w:sz w:val="24"/>
          <w:highlight w:val="none"/>
        </w:rPr>
        <w:t xml:space="preserve">   </w:t>
      </w:r>
      <w:r>
        <w:rPr>
          <w:rFonts w:hint="eastAsia" w:ascii="宋体" w:hAnsi="宋体"/>
          <w:color w:val="auto"/>
          <w:sz w:val="24"/>
          <w:highlight w:val="none"/>
        </w:rPr>
        <w:t xml:space="preserve"> 12.1.3在合同履行期间，发包人要求终止或解除合同，</w:t>
      </w:r>
      <w:r>
        <w:rPr>
          <w:rFonts w:hint="eastAsia"/>
          <w:color w:val="auto"/>
          <w:sz w:val="24"/>
          <w:highlight w:val="none"/>
        </w:rPr>
        <w:t>承包</w:t>
      </w:r>
      <w:r>
        <w:rPr>
          <w:rFonts w:hint="eastAsia" w:ascii="宋体" w:hAnsi="宋体"/>
          <w:color w:val="auto"/>
          <w:sz w:val="24"/>
          <w:highlight w:val="none"/>
        </w:rPr>
        <w:t>人未开始设计工作的，承包人应退还发包人已付的预付款；已开始设计工作的，发包人应根据</w:t>
      </w:r>
      <w:r>
        <w:rPr>
          <w:rFonts w:hint="eastAsia"/>
          <w:color w:val="auto"/>
          <w:sz w:val="24"/>
          <w:highlight w:val="none"/>
        </w:rPr>
        <w:t>承包</w:t>
      </w:r>
      <w:r>
        <w:rPr>
          <w:rFonts w:hint="eastAsia" w:ascii="宋体" w:hAnsi="宋体"/>
          <w:color w:val="auto"/>
          <w:sz w:val="24"/>
          <w:highlight w:val="none"/>
        </w:rPr>
        <w:t>人已进行的实际工作量支付设计费。</w:t>
      </w:r>
    </w:p>
    <w:p w14:paraId="30DBA1B1">
      <w:pPr>
        <w:spacing w:line="460" w:lineRule="exact"/>
        <w:rPr>
          <w:rFonts w:ascii="宋体" w:hAnsi="宋体"/>
          <w:color w:val="auto"/>
          <w:sz w:val="24"/>
          <w:highlight w:val="none"/>
        </w:rPr>
      </w:pPr>
      <w:r>
        <w:rPr>
          <w:rFonts w:hint="eastAsia" w:ascii="宋体" w:hAnsi="宋体"/>
          <w:color w:val="auto"/>
          <w:sz w:val="24"/>
          <w:highlight w:val="none"/>
        </w:rPr>
        <w:t xml:space="preserve">    12.1.4发包人要求</w:t>
      </w:r>
      <w:r>
        <w:rPr>
          <w:rFonts w:hint="eastAsia"/>
          <w:color w:val="auto"/>
          <w:sz w:val="24"/>
          <w:highlight w:val="none"/>
        </w:rPr>
        <w:t>承包</w:t>
      </w:r>
      <w:r>
        <w:rPr>
          <w:rFonts w:hint="eastAsia" w:ascii="宋体" w:hAnsi="宋体"/>
          <w:color w:val="auto"/>
          <w:sz w:val="24"/>
          <w:highlight w:val="none"/>
        </w:rPr>
        <w:t>人比合同规定时间提前交付设计文件时，须征得</w:t>
      </w:r>
      <w:r>
        <w:rPr>
          <w:rFonts w:hint="eastAsia"/>
          <w:color w:val="auto"/>
          <w:sz w:val="24"/>
          <w:highlight w:val="none"/>
        </w:rPr>
        <w:t>承包</w:t>
      </w:r>
      <w:r>
        <w:rPr>
          <w:rFonts w:hint="eastAsia" w:ascii="宋体" w:hAnsi="宋体"/>
          <w:color w:val="auto"/>
          <w:sz w:val="24"/>
          <w:highlight w:val="none"/>
        </w:rPr>
        <w:t>人同意，不得严重背离合理设计周期。</w:t>
      </w:r>
    </w:p>
    <w:p w14:paraId="7C491E10">
      <w:pPr>
        <w:spacing w:line="460" w:lineRule="exact"/>
        <w:outlineLvl w:val="0"/>
        <w:rPr>
          <w:rFonts w:ascii="宋体" w:hAnsi="宋体"/>
          <w:color w:val="auto"/>
          <w:sz w:val="24"/>
          <w:highlight w:val="none"/>
        </w:rPr>
      </w:pPr>
      <w:r>
        <w:rPr>
          <w:rFonts w:hint="eastAsia" w:ascii="宋体" w:hAnsi="宋体"/>
          <w:color w:val="auto"/>
          <w:sz w:val="24"/>
          <w:highlight w:val="none"/>
        </w:rPr>
        <w:t xml:space="preserve">  </w:t>
      </w:r>
      <w:r>
        <w:rPr>
          <w:rFonts w:hint="eastAsia"/>
          <w:color w:val="auto"/>
          <w:sz w:val="24"/>
          <w:highlight w:val="none"/>
        </w:rPr>
        <w:t xml:space="preserve">  </w:t>
      </w:r>
      <w:r>
        <w:rPr>
          <w:rFonts w:hint="eastAsia" w:ascii="宋体" w:hAnsi="宋体"/>
          <w:color w:val="auto"/>
          <w:sz w:val="24"/>
          <w:highlight w:val="none"/>
        </w:rPr>
        <w:t>12.2</w:t>
      </w:r>
      <w:r>
        <w:rPr>
          <w:rFonts w:hint="eastAsia"/>
          <w:color w:val="auto"/>
          <w:sz w:val="24"/>
          <w:highlight w:val="none"/>
        </w:rPr>
        <w:t>承包</w:t>
      </w:r>
      <w:r>
        <w:rPr>
          <w:rFonts w:hint="eastAsia" w:ascii="宋体" w:hAnsi="宋体"/>
          <w:color w:val="auto"/>
          <w:sz w:val="24"/>
          <w:highlight w:val="none"/>
        </w:rPr>
        <w:t>人责任</w:t>
      </w:r>
    </w:p>
    <w:p w14:paraId="3DF1EE54">
      <w:pPr>
        <w:spacing w:line="460" w:lineRule="exact"/>
        <w:ind w:firstLine="482"/>
        <w:rPr>
          <w:rFonts w:ascii="宋体" w:hAnsi="宋体"/>
          <w:color w:val="auto"/>
          <w:sz w:val="24"/>
          <w:highlight w:val="none"/>
        </w:rPr>
      </w:pPr>
      <w:r>
        <w:rPr>
          <w:rFonts w:hint="eastAsia" w:ascii="宋体" w:hAnsi="宋体"/>
          <w:color w:val="auto"/>
          <w:sz w:val="24"/>
          <w:highlight w:val="none"/>
        </w:rPr>
        <w:t>12.2.1勘察设计组织和服务管理方面的责任</w:t>
      </w:r>
    </w:p>
    <w:p w14:paraId="1FE6FEEE">
      <w:pPr>
        <w:spacing w:line="460" w:lineRule="exact"/>
        <w:ind w:firstLine="482"/>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承包人须严格按本合同约定建立组织架构、确保人力投入。</w:t>
      </w:r>
      <w:r>
        <w:rPr>
          <w:rFonts w:hint="eastAsia" w:ascii="宋体" w:hAnsi="宋体"/>
          <w:color w:val="auto"/>
          <w:sz w:val="24"/>
          <w:highlight w:val="none"/>
        </w:rPr>
        <w:t>未经发包人或业主批准，承包人不得无故更换设计参与人员。承包人未能按投标时的约定投入人员或投入人员没有按时到位的(含分包单位人员及驻场设计人员)， 其中：为一般勘察、设计人员的，每出现1人次承包人应向发包人支付1万元违约金；为勘察、设计专业负责人员的，每出现1人次承包人应向发包人支付2万元违约金；为勘察、设计总负责人，勘察、设计总承包管理负责人的，每出现1人次承包人应向发包人支付5万元违约金。</w:t>
      </w:r>
    </w:p>
    <w:p w14:paraId="69503D9D">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承包人未按发包人规定程序私自更换人员的，其中：更换一般勘察、设计人员的，每出现1人次承包人应向发包人支付3万元违约金；更换专业勘察、设计负责人的，每出现1人次承包人应向发包人支付6万元违约金；更换项目勘察、设计总负责人，勘察、设计总承包管理负责人或者驻场勘察、设计代表总负责人的，每出现1人次承包人应向发包人支付9万元违约金。</w:t>
      </w:r>
      <w:r>
        <w:rPr>
          <w:rFonts w:ascii="宋体" w:hAnsi="宋体"/>
          <w:color w:val="auto"/>
          <w:sz w:val="24"/>
          <w:highlight w:val="none"/>
        </w:rPr>
        <w:t>且承包人须立</w:t>
      </w:r>
      <w:r>
        <w:rPr>
          <w:rFonts w:hint="eastAsia" w:ascii="宋体" w:hAnsi="宋体"/>
          <w:color w:val="auto"/>
          <w:sz w:val="24"/>
          <w:highlight w:val="none"/>
        </w:rPr>
        <w:t>即将本合同附件所列明的对应人员恢复到位，其擅自离岗期间，承包人须向发包人支付每人次每天</w:t>
      </w:r>
      <w:r>
        <w:rPr>
          <w:rFonts w:ascii="宋体" w:hAnsi="宋体"/>
          <w:color w:val="auto"/>
          <w:sz w:val="24"/>
          <w:highlight w:val="none"/>
        </w:rPr>
        <w:t>5000元的违约金。</w:t>
      </w:r>
    </w:p>
    <w:p w14:paraId="576CF03A">
      <w:pPr>
        <w:spacing w:line="460" w:lineRule="exact"/>
        <w:ind w:firstLine="482"/>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承包人</w:t>
      </w:r>
      <w:r>
        <w:rPr>
          <w:rFonts w:hint="eastAsia" w:ascii="宋体" w:hAnsi="宋体"/>
          <w:color w:val="auto"/>
          <w:sz w:val="24"/>
          <w:highlight w:val="none"/>
        </w:rPr>
        <w:t>应按发包人要求及时更换</w:t>
      </w:r>
      <w:r>
        <w:rPr>
          <w:rFonts w:ascii="宋体" w:hAnsi="宋体"/>
          <w:color w:val="auto"/>
          <w:sz w:val="24"/>
          <w:highlight w:val="none"/>
        </w:rPr>
        <w:t>不称职的设计人员</w:t>
      </w:r>
      <w:r>
        <w:rPr>
          <w:rFonts w:hint="eastAsia" w:ascii="宋体" w:hAnsi="宋体"/>
          <w:color w:val="auto"/>
          <w:sz w:val="24"/>
          <w:highlight w:val="none"/>
        </w:rPr>
        <w:t>，并按合同约定</w:t>
      </w:r>
      <w:r>
        <w:rPr>
          <w:rFonts w:ascii="宋体" w:hAnsi="宋体"/>
          <w:color w:val="auto"/>
          <w:sz w:val="24"/>
          <w:highlight w:val="none"/>
        </w:rPr>
        <w:t>派出合适人员参与按有关规定须有承包人参加的</w:t>
      </w:r>
      <w:r>
        <w:rPr>
          <w:rFonts w:hint="eastAsia" w:ascii="宋体" w:hAnsi="宋体"/>
          <w:color w:val="auto"/>
          <w:sz w:val="24"/>
          <w:highlight w:val="none"/>
        </w:rPr>
        <w:t>会议，包括设计阶段的各项目方案评审、评估会以及施工阶段</w:t>
      </w:r>
      <w:r>
        <w:rPr>
          <w:rFonts w:ascii="宋体" w:hAnsi="宋体"/>
          <w:color w:val="auto"/>
          <w:sz w:val="24"/>
          <w:highlight w:val="none"/>
        </w:rPr>
        <w:t>各部位的验收</w:t>
      </w:r>
      <w:r>
        <w:rPr>
          <w:rFonts w:hint="eastAsia" w:ascii="宋体" w:hAnsi="宋体"/>
          <w:color w:val="auto"/>
          <w:sz w:val="24"/>
          <w:highlight w:val="none"/>
        </w:rPr>
        <w:t>等。若</w:t>
      </w:r>
      <w:r>
        <w:rPr>
          <w:rFonts w:ascii="宋体" w:hAnsi="宋体"/>
          <w:color w:val="auto"/>
          <w:sz w:val="24"/>
          <w:highlight w:val="none"/>
        </w:rPr>
        <w:t>承包人</w:t>
      </w:r>
      <w:r>
        <w:rPr>
          <w:rFonts w:hint="eastAsia" w:ascii="宋体" w:hAnsi="宋体"/>
          <w:color w:val="auto"/>
          <w:sz w:val="24"/>
          <w:highlight w:val="none"/>
        </w:rPr>
        <w:t>未按承包人要求及时更换</w:t>
      </w:r>
      <w:r>
        <w:rPr>
          <w:rFonts w:ascii="宋体" w:hAnsi="宋体"/>
          <w:color w:val="auto"/>
          <w:sz w:val="24"/>
          <w:highlight w:val="none"/>
        </w:rPr>
        <w:t>不称职的设计人员</w:t>
      </w:r>
      <w:r>
        <w:rPr>
          <w:rFonts w:hint="eastAsia" w:ascii="宋体" w:hAnsi="宋体"/>
          <w:color w:val="auto"/>
          <w:sz w:val="24"/>
          <w:highlight w:val="none"/>
        </w:rPr>
        <w:t>，每出现1人次应向发包人支付3万元违约金；若</w:t>
      </w:r>
      <w:r>
        <w:rPr>
          <w:rFonts w:ascii="宋体" w:hAnsi="宋体"/>
          <w:color w:val="auto"/>
          <w:sz w:val="24"/>
          <w:highlight w:val="none"/>
        </w:rPr>
        <w:t>承包人</w:t>
      </w:r>
      <w:r>
        <w:rPr>
          <w:rFonts w:hint="eastAsia" w:ascii="宋体" w:hAnsi="宋体"/>
          <w:color w:val="auto"/>
          <w:sz w:val="24"/>
          <w:highlight w:val="none"/>
        </w:rPr>
        <w:t>未派合适人员出席，</w:t>
      </w:r>
      <w:r>
        <w:rPr>
          <w:rFonts w:ascii="宋体" w:hAnsi="宋体"/>
          <w:color w:val="auto"/>
          <w:sz w:val="24"/>
          <w:highlight w:val="none"/>
        </w:rPr>
        <w:t>每次</w:t>
      </w:r>
      <w:r>
        <w:rPr>
          <w:rFonts w:hint="eastAsia" w:ascii="宋体" w:hAnsi="宋体"/>
          <w:color w:val="auto"/>
          <w:sz w:val="24"/>
          <w:highlight w:val="none"/>
        </w:rPr>
        <w:t>缺席承包人应向发包人支付1万元违约金。</w:t>
      </w:r>
    </w:p>
    <w:p w14:paraId="3871A68E">
      <w:pPr>
        <w:spacing w:line="460" w:lineRule="exact"/>
        <w:ind w:firstLine="482"/>
        <w:rPr>
          <w:rFonts w:ascii="宋体" w:hAnsi="宋体"/>
          <w:color w:val="auto"/>
          <w:sz w:val="24"/>
          <w:highlight w:val="none"/>
        </w:rPr>
      </w:pPr>
      <w:r>
        <w:rPr>
          <w:rFonts w:hint="eastAsia" w:ascii="宋体" w:hAnsi="宋体"/>
          <w:color w:val="auto"/>
          <w:sz w:val="24"/>
          <w:highlight w:val="none"/>
        </w:rPr>
        <w:t>（4）报批报建（含概算评审）过程中，由承包人不配合、报建图纸质量、概算编制质量、设计错误、不符合报批报建提交要求、未按规定时间完善设计等原因导致报批报建超办理2次、或2次退案的，发包人有权按照勘察设计成果逾期情况要求承包人须向发包人支付3 万元/次的违约金。</w:t>
      </w:r>
    </w:p>
    <w:p w14:paraId="6282705F">
      <w:pPr>
        <w:spacing w:line="460" w:lineRule="exact"/>
        <w:ind w:firstLine="482"/>
        <w:rPr>
          <w:rFonts w:ascii="宋体" w:hAnsi="宋体"/>
          <w:color w:val="auto"/>
          <w:sz w:val="24"/>
          <w:highlight w:val="none"/>
        </w:rPr>
      </w:pPr>
      <w:r>
        <w:rPr>
          <w:rFonts w:hint="eastAsia" w:ascii="宋体" w:hAnsi="宋体"/>
          <w:color w:val="auto"/>
          <w:sz w:val="24"/>
          <w:highlight w:val="none"/>
        </w:rPr>
        <w:t>（5）承包人未能有效履行合同约定或发包人要求的工作及安排，应限期整改。未在期限内完成改正或整改后再次出现类似情况的，视情节严重程度，承包人应向发包人支付1万元/次-5万元/次的违约金。</w:t>
      </w:r>
    </w:p>
    <w:p w14:paraId="71E9C1BA">
      <w:pPr>
        <w:spacing w:line="460" w:lineRule="exact"/>
        <w:ind w:firstLine="482"/>
        <w:rPr>
          <w:rFonts w:ascii="宋体" w:hAnsi="宋体"/>
          <w:color w:val="auto"/>
          <w:sz w:val="24"/>
          <w:highlight w:val="none"/>
        </w:rPr>
      </w:pPr>
      <w:r>
        <w:rPr>
          <w:rFonts w:hint="eastAsia" w:ascii="宋体" w:hAnsi="宋体"/>
          <w:color w:val="auto"/>
          <w:sz w:val="24"/>
          <w:highlight w:val="none"/>
        </w:rPr>
        <w:t>（6）合同履行过程中，发包人可约谈承包人法定代表人的，要求法定代表人加强工作组织或驻场协调，确保工程保质、保量顺利推进。承包人的法定代表人无正当理由拒绝约谈的，每出现一次，承包人应向发包人支付勘察设计费合同价款10%且不超过5万元的违约金；承包人的法定代表人无正当理由拒绝约谈累计3次及以上的，发包人有权解除合同并将本工程另行发包。</w:t>
      </w:r>
    </w:p>
    <w:p w14:paraId="411007F5">
      <w:pPr>
        <w:spacing w:line="460" w:lineRule="exact"/>
        <w:ind w:firstLine="482"/>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无论是在工作现场之内或之外</w:t>
      </w:r>
      <w:r>
        <w:rPr>
          <w:rFonts w:hint="eastAsia" w:ascii="宋体" w:hAnsi="宋体"/>
          <w:color w:val="auto"/>
          <w:sz w:val="24"/>
          <w:highlight w:val="none"/>
        </w:rPr>
        <w:t>，</w:t>
      </w:r>
      <w:r>
        <w:rPr>
          <w:rFonts w:ascii="宋体" w:hAnsi="宋体"/>
          <w:color w:val="auto"/>
          <w:sz w:val="24"/>
          <w:highlight w:val="none"/>
        </w:rPr>
        <w:t>承包人都必须严格遵守国家</w:t>
      </w:r>
      <w:r>
        <w:rPr>
          <w:rFonts w:hint="eastAsia" w:ascii="宋体" w:hAnsi="宋体"/>
          <w:color w:val="auto"/>
          <w:sz w:val="24"/>
          <w:highlight w:val="none"/>
        </w:rPr>
        <w:t>、</w:t>
      </w:r>
      <w:r>
        <w:rPr>
          <w:rFonts w:ascii="宋体" w:hAnsi="宋体"/>
          <w:color w:val="auto"/>
          <w:sz w:val="24"/>
          <w:highlight w:val="none"/>
        </w:rPr>
        <w:t>各级政府及工作所在地有关部门制定的有关环境保护</w:t>
      </w:r>
      <w:r>
        <w:rPr>
          <w:rFonts w:hint="eastAsia" w:ascii="宋体" w:hAnsi="宋体"/>
          <w:color w:val="auto"/>
          <w:sz w:val="24"/>
          <w:highlight w:val="none"/>
        </w:rPr>
        <w:t>、</w:t>
      </w:r>
      <w:r>
        <w:rPr>
          <w:rFonts w:ascii="宋体" w:hAnsi="宋体"/>
          <w:color w:val="auto"/>
          <w:sz w:val="24"/>
          <w:highlight w:val="none"/>
        </w:rPr>
        <w:t>安全</w:t>
      </w:r>
      <w:r>
        <w:rPr>
          <w:rFonts w:hint="eastAsia" w:ascii="宋体" w:hAnsi="宋体"/>
          <w:color w:val="auto"/>
          <w:sz w:val="24"/>
          <w:highlight w:val="none"/>
        </w:rPr>
        <w:t>、</w:t>
      </w:r>
      <w:r>
        <w:rPr>
          <w:rFonts w:ascii="宋体" w:hAnsi="宋体"/>
          <w:color w:val="auto"/>
          <w:sz w:val="24"/>
          <w:highlight w:val="none"/>
        </w:rPr>
        <w:t>保卫工作等方面的</w:t>
      </w:r>
      <w:r>
        <w:rPr>
          <w:rFonts w:hint="eastAsia" w:ascii="宋体" w:hAnsi="宋体"/>
          <w:color w:val="auto"/>
          <w:sz w:val="24"/>
          <w:highlight w:val="none"/>
        </w:rPr>
        <w:t>规定，</w:t>
      </w:r>
      <w:r>
        <w:rPr>
          <w:rFonts w:ascii="宋体" w:hAnsi="宋体"/>
          <w:color w:val="auto"/>
          <w:sz w:val="24"/>
          <w:highlight w:val="none"/>
        </w:rPr>
        <w:t>并承担由此而引起的一切财务损失</w:t>
      </w:r>
      <w:r>
        <w:rPr>
          <w:rFonts w:hint="eastAsia" w:ascii="宋体" w:hAnsi="宋体"/>
          <w:color w:val="auto"/>
          <w:sz w:val="24"/>
          <w:highlight w:val="none"/>
        </w:rPr>
        <w:t>、</w:t>
      </w:r>
      <w:r>
        <w:rPr>
          <w:rFonts w:ascii="宋体" w:hAnsi="宋体"/>
          <w:color w:val="auto"/>
          <w:sz w:val="24"/>
          <w:highlight w:val="none"/>
        </w:rPr>
        <w:t>人身伤害的经济和法律责任</w:t>
      </w:r>
      <w:r>
        <w:rPr>
          <w:rFonts w:hint="eastAsia" w:ascii="宋体" w:hAnsi="宋体"/>
          <w:color w:val="auto"/>
          <w:sz w:val="24"/>
          <w:highlight w:val="none"/>
        </w:rPr>
        <w:t>。</w:t>
      </w:r>
    </w:p>
    <w:p w14:paraId="78C437A8">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（8）承包人应派专人长期驻施工现场进行配合与解决有关问题，并为其进出工作现场的人员提供必要的劳动保护装备及交通便利（相关费用已包括在合同价中，不另行计量支付）。</w:t>
      </w:r>
    </w:p>
    <w:p w14:paraId="271649C8">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（9）承包人需根据工程规模和各设计阶段要求，按照发包人要求提供相关效果图、展板成果等展示资料。</w:t>
      </w:r>
    </w:p>
    <w:p w14:paraId="7F54F730">
      <w:pPr>
        <w:spacing w:line="460" w:lineRule="exact"/>
        <w:ind w:firstLine="482"/>
        <w:rPr>
          <w:rFonts w:ascii="宋体" w:hAnsi="宋体"/>
          <w:color w:val="auto"/>
          <w:sz w:val="24"/>
          <w:highlight w:val="none"/>
        </w:rPr>
      </w:pPr>
      <w:r>
        <w:rPr>
          <w:rFonts w:hint="eastAsia" w:ascii="宋体" w:hAnsi="宋体"/>
          <w:color w:val="auto"/>
          <w:sz w:val="24"/>
          <w:highlight w:val="none"/>
        </w:rPr>
        <w:t>12.2.2勘察设计成果质量控制方面的责任</w:t>
      </w:r>
    </w:p>
    <w:p w14:paraId="137DE107">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承包人应按国家规定和合同约定的技术规范、标准进行设计，按本合同第七条规定的内容、时间及份数向发包人交付设计文件（出现12.1.1、12.1.2、12.1.3规定有关交付设计文件顺延的情况除外）。并对提交的设计文件的质量负责。</w:t>
      </w:r>
    </w:p>
    <w:p w14:paraId="7334C81E">
      <w:pPr>
        <w:spacing w:line="460" w:lineRule="exact"/>
        <w:ind w:firstLine="482"/>
        <w:rPr>
          <w:rFonts w:ascii="宋体" w:hAnsi="宋体"/>
          <w:color w:val="auto"/>
          <w:sz w:val="24"/>
          <w:highlight w:val="none"/>
        </w:rPr>
      </w:pPr>
      <w:r>
        <w:rPr>
          <w:rFonts w:hint="eastAsia" w:ascii="宋体" w:hAnsi="宋体"/>
          <w:color w:val="auto"/>
          <w:sz w:val="24"/>
          <w:highlight w:val="none"/>
        </w:rPr>
        <w:t>（2）设计合理使用年限按国家有关规定执行。</w:t>
      </w:r>
    </w:p>
    <w:p w14:paraId="274A5B2F">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由于承包人提供的勘察或设计文件质量不合格，承包人应无偿补充完善，以达到合格，工期不予顺延。如需另行委托其他单位的，承包人应承担全部费用。由于承包人过错造成工程质量事故损失，承包人除负责采取补救措施外，应免收受损失部分的勘察设计费，并对事故造成的损失按照责任比例向发包人支付赔偿金。由于承包人过错造成工程损失达到结算价的20%以上时，承包人除退还对应勘察设计费并赔偿全部损失外，还应向发包人支付本合同总价款30%的违约金。</w:t>
      </w:r>
    </w:p>
    <w:p w14:paraId="12753859">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（4）承包人提交的勘察设计成果文件如有违反国家相关强制性规定的，经政府有关部门确认，每发生1例，承包人除按《建设工程质量管理条例》等管理规定接受处罚外，还须向发包人支付10 万元/次的违约金。</w:t>
      </w:r>
    </w:p>
    <w:p w14:paraId="60E77501">
      <w:pPr>
        <w:spacing w:line="460" w:lineRule="exact"/>
        <w:ind w:firstLine="482"/>
        <w:rPr>
          <w:rFonts w:ascii="宋体" w:hAnsi="宋体"/>
          <w:color w:val="auto"/>
          <w:sz w:val="24"/>
          <w:highlight w:val="none"/>
        </w:rPr>
      </w:pPr>
      <w:r>
        <w:rPr>
          <w:rFonts w:hint="eastAsia" w:ascii="宋体" w:hAnsi="宋体"/>
          <w:color w:val="auto"/>
          <w:sz w:val="24"/>
          <w:highlight w:val="none"/>
        </w:rPr>
        <w:t>（5）</w:t>
      </w:r>
      <w:r>
        <w:rPr>
          <w:rFonts w:hint="eastAsia"/>
          <w:color w:val="auto"/>
          <w:sz w:val="24"/>
          <w:highlight w:val="none"/>
        </w:rPr>
        <w:t>承包</w:t>
      </w:r>
      <w:r>
        <w:rPr>
          <w:rFonts w:hint="eastAsia" w:ascii="宋体" w:hAnsi="宋体"/>
          <w:color w:val="auto"/>
          <w:sz w:val="24"/>
          <w:highlight w:val="none"/>
        </w:rPr>
        <w:t>人交付设计文件后，按规定参加设计审查，并根据审查结论，在</w:t>
      </w:r>
      <w:r>
        <w:rPr>
          <w:rFonts w:hint="eastAsia" w:ascii="宋体" w:hAnsi="宋体"/>
          <w:color w:val="auto"/>
          <w:sz w:val="24"/>
          <w:highlight w:val="none"/>
          <w:u w:val="single"/>
        </w:rPr>
        <w:t>5</w:t>
      </w:r>
      <w:r>
        <w:rPr>
          <w:rFonts w:hint="eastAsia" w:ascii="宋体" w:hAnsi="宋体"/>
          <w:color w:val="auto"/>
          <w:sz w:val="24"/>
          <w:highlight w:val="none"/>
        </w:rPr>
        <w:t>个自然日之内负责完成必要的调整补充或重新设计，直至通过审查。</w:t>
      </w:r>
    </w:p>
    <w:p w14:paraId="281562B4">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对于工程设计变更相关事宜</w:t>
      </w:r>
      <w:r>
        <w:rPr>
          <w:rFonts w:hint="eastAsia" w:ascii="宋体" w:hAnsi="宋体"/>
          <w:color w:val="auto"/>
          <w:sz w:val="24"/>
          <w:highlight w:val="none"/>
        </w:rPr>
        <w:t>，承包</w:t>
      </w:r>
      <w:r>
        <w:rPr>
          <w:rFonts w:ascii="宋体" w:hAnsi="宋体"/>
          <w:color w:val="auto"/>
          <w:sz w:val="24"/>
          <w:highlight w:val="none"/>
        </w:rPr>
        <w:t>人应严格按照合同以及发包人有关设计变更管理办法的规定执行</w:t>
      </w:r>
      <w:r>
        <w:rPr>
          <w:rFonts w:hint="eastAsia" w:ascii="宋体" w:hAnsi="宋体"/>
          <w:color w:val="auto"/>
          <w:sz w:val="24"/>
          <w:highlight w:val="none"/>
        </w:rPr>
        <w:t>。</w:t>
      </w:r>
      <w:r>
        <w:rPr>
          <w:rFonts w:ascii="宋体" w:hAnsi="宋体"/>
          <w:color w:val="auto"/>
          <w:sz w:val="24"/>
          <w:highlight w:val="none"/>
        </w:rPr>
        <w:t>承包人未经发包人同意擅自变更设计的，承包人除须向发包人支付5万元/次的违约金外，由此造成一切损失及责任均由承包人承担。</w:t>
      </w:r>
    </w:p>
    <w:p w14:paraId="170044DA">
      <w:pPr>
        <w:spacing w:line="460" w:lineRule="exact"/>
        <w:ind w:firstLine="482"/>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承包人必须对施工过程中涉及到的设计或设计变更问题及时予以解决</w:t>
      </w:r>
      <w:r>
        <w:rPr>
          <w:rFonts w:hint="eastAsia" w:ascii="宋体" w:hAnsi="宋体"/>
          <w:color w:val="auto"/>
          <w:sz w:val="24"/>
          <w:highlight w:val="none"/>
        </w:rPr>
        <w:t>；</w:t>
      </w:r>
      <w:r>
        <w:rPr>
          <w:rFonts w:ascii="宋体" w:hAnsi="宋体"/>
          <w:color w:val="auto"/>
          <w:sz w:val="24"/>
          <w:highlight w:val="none"/>
        </w:rPr>
        <w:t>一般情况下</w:t>
      </w:r>
      <w:r>
        <w:rPr>
          <w:rFonts w:hint="eastAsia" w:ascii="宋体" w:hAnsi="宋体"/>
          <w:color w:val="auto"/>
          <w:sz w:val="24"/>
          <w:highlight w:val="none"/>
        </w:rPr>
        <w:t>，</w:t>
      </w:r>
      <w:r>
        <w:rPr>
          <w:rFonts w:ascii="宋体" w:hAnsi="宋体"/>
          <w:color w:val="auto"/>
          <w:sz w:val="24"/>
          <w:highlight w:val="none"/>
        </w:rPr>
        <w:t>承包人在接到通知后</w:t>
      </w:r>
      <w:r>
        <w:rPr>
          <w:rFonts w:hint="eastAsia" w:ascii="宋体" w:hAnsi="宋体"/>
          <w:color w:val="auto"/>
          <w:sz w:val="24"/>
          <w:highlight w:val="none"/>
        </w:rPr>
        <w:t>24小时内须抵达工作现场，48小时内须对设计或设计变更问题</w:t>
      </w:r>
      <w:r>
        <w:rPr>
          <w:rFonts w:hint="eastAsia" w:ascii="宋体" w:hAnsi="宋体"/>
          <w:color w:val="auto"/>
          <w:sz w:val="24"/>
          <w:highlight w:val="none"/>
          <w:lang w:val="en-US" w:eastAsia="zh-CN"/>
        </w:rPr>
        <w:t>做</w:t>
      </w:r>
      <w:r>
        <w:rPr>
          <w:rFonts w:hint="eastAsia" w:ascii="宋体" w:hAnsi="宋体"/>
          <w:color w:val="auto"/>
          <w:sz w:val="24"/>
          <w:highlight w:val="none"/>
        </w:rPr>
        <w:t>出初步方案并知会发包人，72小时内须向发包人提交正式书面变更设计。若因承包人原因而拖延，每次延期，承包人应向发包人支付违约金1万元。特殊情况下并经发包人同意，可予以顺延。</w:t>
      </w:r>
    </w:p>
    <w:p w14:paraId="005E1CF1">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因承包人设计文件错漏造成施工过程变更设计，由承包人根据承包人设计超过投资限额的金额或与变更设计相对应的施工图预算金额（均以发包人审定为准，下同），按以下规定承担违约责任：</w:t>
      </w:r>
    </w:p>
    <w:p w14:paraId="3588F071">
      <w:pPr>
        <w:spacing w:line="460" w:lineRule="exact"/>
        <w:ind w:firstLine="480" w:firstLineChars="200"/>
        <w:rPr>
          <w:rFonts w:ascii="宋体" w:hAnsi="宋体"/>
          <w:color w:val="auto"/>
          <w:sz w:val="24"/>
          <w:highlight w:val="none"/>
        </w:rPr>
      </w:pPr>
      <w:r>
        <w:rPr>
          <w:rFonts w:ascii="宋体" w:hAnsi="宋体"/>
          <w:color w:val="auto"/>
          <w:sz w:val="24"/>
          <w:highlight w:val="none"/>
        </w:rPr>
        <w:t xml:space="preserve">承包人设计超过投资限额的金额或与变更设计相对应的施工图预算金额≤人民币50万元，则承包人须向发包人支付1万元违约金并按发包人要求在3天内免费完成修改；    </w:t>
      </w:r>
    </w:p>
    <w:p w14:paraId="617CDCF1">
      <w:pPr>
        <w:spacing w:line="460" w:lineRule="exact"/>
        <w:ind w:firstLine="480" w:firstLineChars="200"/>
        <w:rPr>
          <w:rFonts w:ascii="宋体" w:hAnsi="宋体"/>
          <w:color w:val="auto"/>
          <w:sz w:val="24"/>
          <w:highlight w:val="none"/>
        </w:rPr>
      </w:pPr>
      <w:r>
        <w:rPr>
          <w:rFonts w:ascii="宋体" w:hAnsi="宋体"/>
          <w:color w:val="auto"/>
          <w:sz w:val="24"/>
          <w:highlight w:val="none"/>
        </w:rPr>
        <w:t>人民币50万元＜承包人设计超过投资限额的金额或与变更设计相对应的施工图预算金额≤人民币150万元，则承包人须向发包人支付3万元违约金并按发包人要求在5天内免费完成修改；</w:t>
      </w:r>
    </w:p>
    <w:p w14:paraId="0E34F321">
      <w:pPr>
        <w:spacing w:line="460" w:lineRule="exact"/>
        <w:ind w:firstLine="480" w:firstLineChars="200"/>
        <w:rPr>
          <w:rFonts w:ascii="宋体" w:hAnsi="宋体"/>
          <w:color w:val="auto"/>
          <w:sz w:val="24"/>
          <w:highlight w:val="none"/>
        </w:rPr>
      </w:pPr>
      <w:r>
        <w:rPr>
          <w:rFonts w:ascii="宋体" w:hAnsi="宋体"/>
          <w:color w:val="auto"/>
          <w:sz w:val="24"/>
          <w:highlight w:val="none"/>
        </w:rPr>
        <w:t>人民币150万元＜承包人设计超过投资限额的金额或与变更设计相对应的施工图预算金额≤人民币300万元，则承包人须向发包人支付8万元违约金并免费按发包人要求在8天内完成修改；</w:t>
      </w:r>
    </w:p>
    <w:p w14:paraId="205FE9D8">
      <w:pPr>
        <w:spacing w:line="460" w:lineRule="exact"/>
        <w:ind w:firstLine="480" w:firstLineChars="200"/>
        <w:rPr>
          <w:rFonts w:ascii="宋体" w:hAnsi="宋体"/>
          <w:color w:val="auto"/>
          <w:sz w:val="24"/>
          <w:highlight w:val="none"/>
        </w:rPr>
      </w:pPr>
      <w:r>
        <w:rPr>
          <w:rFonts w:ascii="宋体" w:hAnsi="宋体"/>
          <w:color w:val="auto"/>
          <w:sz w:val="24"/>
          <w:highlight w:val="none"/>
        </w:rPr>
        <w:t>承包人设计超过投资限额的金额或与变更设计相对应的施工图预算金额＞人民币300万元，则承包人须向发包人支付15万元违约金并免费按发包人要求在10天内完成修改。若由此造成整体设计或报建完成时间后延的，视为承包人未按本合同约定时限提交设计成果或报建报批成果，承包人同时应承担</w:t>
      </w:r>
      <w:r>
        <w:rPr>
          <w:rFonts w:hint="eastAsia" w:ascii="宋体" w:hAnsi="宋体"/>
          <w:color w:val="auto"/>
          <w:sz w:val="24"/>
          <w:highlight w:val="none"/>
        </w:rPr>
        <w:t>相应</w:t>
      </w:r>
      <w:r>
        <w:rPr>
          <w:rFonts w:ascii="宋体" w:hAnsi="宋体"/>
          <w:color w:val="auto"/>
          <w:sz w:val="24"/>
          <w:highlight w:val="none"/>
        </w:rPr>
        <w:t>违约责任。若超过本条规定时限仍未完成修改的，则发包人有权单方解除合同。</w:t>
      </w:r>
    </w:p>
    <w:p w14:paraId="0A565D8D">
      <w:pPr>
        <w:spacing w:line="460" w:lineRule="exact"/>
        <w:ind w:firstLine="482"/>
        <w:rPr>
          <w:rFonts w:ascii="宋体" w:hAnsi="宋体"/>
          <w:color w:val="auto"/>
          <w:sz w:val="24"/>
          <w:highlight w:val="none"/>
        </w:rPr>
      </w:pPr>
      <w:r>
        <w:rPr>
          <w:rFonts w:hint="eastAsia" w:ascii="宋体" w:hAnsi="宋体"/>
          <w:color w:val="auto"/>
          <w:sz w:val="24"/>
          <w:highlight w:val="none"/>
        </w:rPr>
        <w:t>（9）</w:t>
      </w:r>
      <w:r>
        <w:rPr>
          <w:rFonts w:hint="eastAsia"/>
          <w:color w:val="auto"/>
          <w:sz w:val="24"/>
          <w:highlight w:val="none"/>
        </w:rPr>
        <w:t>发包人对设计变更进行审核，发现承包人违反规定对设计变更随意进行合并、分拆的，</w:t>
      </w:r>
      <w:r>
        <w:rPr>
          <w:rFonts w:ascii="宋体" w:hAnsi="宋体"/>
          <w:color w:val="auto"/>
          <w:sz w:val="24"/>
          <w:highlight w:val="none"/>
        </w:rPr>
        <w:t>承包人须向发包人支付</w:t>
      </w:r>
      <w:r>
        <w:rPr>
          <w:rFonts w:hint="eastAsia" w:ascii="宋体" w:hAnsi="宋体"/>
          <w:color w:val="auto"/>
          <w:sz w:val="24"/>
          <w:highlight w:val="none"/>
        </w:rPr>
        <w:t>1</w:t>
      </w:r>
      <w:r>
        <w:rPr>
          <w:rFonts w:ascii="宋体" w:hAnsi="宋体"/>
          <w:color w:val="auto"/>
          <w:sz w:val="24"/>
          <w:highlight w:val="none"/>
        </w:rPr>
        <w:t>万元违约金</w:t>
      </w:r>
      <w:r>
        <w:rPr>
          <w:rFonts w:hint="eastAsia" w:ascii="宋体" w:hAnsi="宋体"/>
          <w:color w:val="auto"/>
          <w:sz w:val="24"/>
          <w:highlight w:val="none"/>
        </w:rPr>
        <w:t>/次</w:t>
      </w:r>
      <w:r>
        <w:rPr>
          <w:rFonts w:hint="eastAsia"/>
          <w:color w:val="auto"/>
          <w:sz w:val="24"/>
          <w:highlight w:val="none"/>
        </w:rPr>
        <w:t>；此种情况出现第 2 次及以上的，</w:t>
      </w:r>
      <w:r>
        <w:rPr>
          <w:rFonts w:ascii="宋体" w:hAnsi="宋体"/>
          <w:color w:val="auto"/>
          <w:sz w:val="24"/>
          <w:highlight w:val="none"/>
        </w:rPr>
        <w:t>承包人须向发包人支付</w:t>
      </w:r>
      <w:r>
        <w:rPr>
          <w:rFonts w:hint="eastAsia" w:ascii="宋体" w:hAnsi="宋体"/>
          <w:color w:val="auto"/>
          <w:sz w:val="24"/>
          <w:highlight w:val="none"/>
        </w:rPr>
        <w:t>3</w:t>
      </w:r>
      <w:r>
        <w:rPr>
          <w:rFonts w:ascii="宋体" w:hAnsi="宋体"/>
          <w:color w:val="auto"/>
          <w:sz w:val="24"/>
          <w:highlight w:val="none"/>
        </w:rPr>
        <w:t>万元违约金</w:t>
      </w:r>
      <w:r>
        <w:rPr>
          <w:rFonts w:hint="eastAsia" w:ascii="宋体" w:hAnsi="宋体"/>
          <w:color w:val="auto"/>
          <w:sz w:val="24"/>
          <w:highlight w:val="none"/>
        </w:rPr>
        <w:t>/次</w:t>
      </w:r>
      <w:r>
        <w:rPr>
          <w:rFonts w:hint="eastAsia"/>
          <w:color w:val="auto"/>
          <w:sz w:val="24"/>
          <w:highlight w:val="none"/>
        </w:rPr>
        <w:t>。</w:t>
      </w:r>
    </w:p>
    <w:p w14:paraId="45D91011">
      <w:pPr>
        <w:spacing w:line="460" w:lineRule="exact"/>
        <w:ind w:firstLine="482"/>
        <w:rPr>
          <w:rFonts w:ascii="宋体" w:hAnsi="宋体"/>
          <w:color w:val="auto"/>
          <w:sz w:val="24"/>
          <w:highlight w:val="none"/>
        </w:rPr>
      </w:pPr>
      <w:r>
        <w:rPr>
          <w:rFonts w:hint="eastAsia" w:ascii="宋体" w:hAnsi="宋体"/>
          <w:color w:val="auto"/>
          <w:sz w:val="24"/>
          <w:highlight w:val="none"/>
        </w:rPr>
        <w:t>12.2.3勘察设计投资控制方面的责任</w:t>
      </w:r>
    </w:p>
    <w:p w14:paraId="6A13517B">
      <w:pPr>
        <w:spacing w:line="460" w:lineRule="exact"/>
        <w:ind w:firstLine="482"/>
        <w:rPr>
          <w:rFonts w:ascii="宋体" w:hAnsi="宋体"/>
          <w:color w:val="auto"/>
          <w:sz w:val="24"/>
          <w:highlight w:val="none"/>
        </w:rPr>
      </w:pPr>
      <w:r>
        <w:rPr>
          <w:rFonts w:hint="eastAsia" w:ascii="宋体" w:hAnsi="宋体"/>
          <w:color w:val="auto"/>
          <w:sz w:val="24"/>
          <w:highlight w:val="none"/>
        </w:rPr>
        <w:t>（1）承包人的勘察工作必须以保证质量、节约投资为原则开展，勘察工程量经发包人审核批准后实施，未经批准实施的勘察工程量，不予支付勘察费 。</w:t>
      </w:r>
    </w:p>
    <w:p w14:paraId="3D9150CA">
      <w:pPr>
        <w:spacing w:line="460" w:lineRule="exact"/>
        <w:ind w:firstLine="482"/>
        <w:rPr>
          <w:rFonts w:hint="eastAsia" w:ascii="宋体" w:hAnsi="宋体" w:eastAsia="宋体"/>
          <w:color w:val="auto"/>
          <w:sz w:val="24"/>
          <w:highlight w:val="none"/>
          <w:lang w:val="en-US" w:eastAsia="zh-CN"/>
        </w:rPr>
      </w:pPr>
      <w:r>
        <w:rPr>
          <w:rFonts w:hint="eastAsia" w:ascii="宋体" w:hAnsi="宋体"/>
          <w:color w:val="auto"/>
          <w:sz w:val="24"/>
          <w:highlight w:val="none"/>
        </w:rPr>
        <w:t>（2）承包人</w:t>
      </w:r>
      <w:r>
        <w:rPr>
          <w:rFonts w:ascii="宋体" w:hAnsi="宋体"/>
          <w:color w:val="auto"/>
          <w:sz w:val="24"/>
          <w:highlight w:val="none"/>
        </w:rPr>
        <w:t>应对勘察设计项目所出具有关数据的计算、技术经济资料等的科学性</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完整性</w:t>
      </w:r>
      <w:r>
        <w:rPr>
          <w:rFonts w:ascii="宋体" w:hAnsi="宋体"/>
          <w:color w:val="auto"/>
          <w:sz w:val="24"/>
          <w:highlight w:val="none"/>
        </w:rPr>
        <w:t>和准确性负责</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并按照概算批复进行限额设计。</w:t>
      </w:r>
    </w:p>
    <w:p w14:paraId="040FDAB5">
      <w:pPr>
        <w:spacing w:line="460" w:lineRule="exact"/>
        <w:ind w:firstLine="482"/>
        <w:rPr>
          <w:rFonts w:ascii="宋体" w:hAnsi="宋体"/>
          <w:color w:val="auto"/>
          <w:sz w:val="24"/>
          <w:highlight w:val="none"/>
        </w:rPr>
      </w:pPr>
      <w:r>
        <w:rPr>
          <w:rFonts w:hint="eastAsia" w:ascii="宋体" w:hAnsi="宋体"/>
          <w:color w:val="auto"/>
          <w:sz w:val="24"/>
          <w:highlight w:val="none"/>
          <w:lang w:val="en-US" w:eastAsia="zh-CN"/>
        </w:rPr>
        <w:t>因承包人原因发生概算送审建安费与审定建安费的偏差率超过10%（含10%）的，发包人有权按中标设计费的1%予以扣减。</w:t>
      </w:r>
    </w:p>
    <w:p w14:paraId="3D8E7CB3">
      <w:pPr>
        <w:spacing w:line="460" w:lineRule="exact"/>
        <w:ind w:firstLine="482"/>
        <w:rPr>
          <w:rFonts w:hint="eastAsia" w:ascii="宋体" w:hAnsi="宋体"/>
          <w:color w:val="auto"/>
          <w:sz w:val="24"/>
          <w:highlight w:val="none"/>
          <w:lang w:val="en-US" w:eastAsia="zh-CN"/>
        </w:rPr>
      </w:pPr>
      <w:r>
        <w:rPr>
          <w:rFonts w:ascii="宋体" w:hAnsi="宋体"/>
          <w:color w:val="auto"/>
          <w:sz w:val="24"/>
          <w:highlight w:val="none"/>
        </w:rPr>
        <w:t>概算</w:t>
      </w:r>
      <w:r>
        <w:rPr>
          <w:rFonts w:hint="eastAsia" w:ascii="宋体" w:hAnsi="宋体"/>
          <w:color w:val="auto"/>
          <w:sz w:val="24"/>
          <w:highlight w:val="none"/>
          <w:lang w:val="en-US" w:eastAsia="zh-CN"/>
        </w:rPr>
        <w:t>送审二类费开项</w:t>
      </w:r>
      <w:r>
        <w:rPr>
          <w:rFonts w:ascii="宋体" w:hAnsi="宋体"/>
          <w:color w:val="auto"/>
          <w:sz w:val="24"/>
          <w:highlight w:val="none"/>
        </w:rPr>
        <w:t>出现</w:t>
      </w:r>
      <w:r>
        <w:rPr>
          <w:rFonts w:hint="eastAsia" w:ascii="宋体" w:hAnsi="宋体"/>
          <w:color w:val="auto"/>
          <w:sz w:val="24"/>
          <w:highlight w:val="none"/>
          <w:lang w:val="en-US" w:eastAsia="zh-CN"/>
        </w:rPr>
        <w:t>少报、漏报的</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每错漏一项，</w:t>
      </w:r>
      <w:r>
        <w:rPr>
          <w:rFonts w:hint="eastAsia" w:ascii="宋体" w:hAnsi="宋体"/>
          <w:color w:val="auto"/>
          <w:sz w:val="24"/>
          <w:highlight w:val="none"/>
        </w:rPr>
        <w:t>发包人</w:t>
      </w:r>
      <w:r>
        <w:rPr>
          <w:rFonts w:ascii="宋体" w:hAnsi="宋体"/>
          <w:color w:val="auto"/>
          <w:sz w:val="24"/>
          <w:highlight w:val="none"/>
        </w:rPr>
        <w:t>有权</w:t>
      </w:r>
      <w:r>
        <w:rPr>
          <w:rFonts w:hint="eastAsia" w:ascii="宋体" w:hAnsi="宋体"/>
          <w:color w:val="auto"/>
          <w:sz w:val="24"/>
          <w:highlight w:val="none"/>
        </w:rPr>
        <w:t>按</w:t>
      </w:r>
      <w:r>
        <w:rPr>
          <w:rFonts w:hint="eastAsia" w:ascii="宋体" w:hAnsi="宋体"/>
          <w:color w:val="auto"/>
          <w:sz w:val="24"/>
          <w:highlight w:val="none"/>
          <w:lang w:val="en-US" w:eastAsia="zh-CN"/>
        </w:rPr>
        <w:t>中标设计费的1%予以</w:t>
      </w:r>
      <w:r>
        <w:rPr>
          <w:rFonts w:hint="eastAsia" w:ascii="宋体" w:hAnsi="宋体"/>
          <w:color w:val="auto"/>
          <w:sz w:val="24"/>
          <w:highlight w:val="none"/>
        </w:rPr>
        <w:t>扣减</w:t>
      </w:r>
      <w:r>
        <w:rPr>
          <w:rFonts w:hint="eastAsia" w:ascii="宋体" w:hAnsi="宋体"/>
          <w:color w:val="auto"/>
          <w:sz w:val="24"/>
          <w:highlight w:val="none"/>
          <w:lang w:eastAsia="zh-CN"/>
        </w:rPr>
        <w:t>。</w:t>
      </w:r>
    </w:p>
    <w:p w14:paraId="292F2E36">
      <w:pPr>
        <w:spacing w:line="460" w:lineRule="exact"/>
        <w:ind w:firstLine="482"/>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概算报审后，因承包人原因发生</w:t>
      </w:r>
      <w:r>
        <w:rPr>
          <w:rFonts w:hint="eastAsia" w:ascii="宋体" w:hAnsi="宋体"/>
          <w:color w:val="auto"/>
          <w:sz w:val="24"/>
          <w:highlight w:val="none"/>
        </w:rPr>
        <w:t>概算</w:t>
      </w:r>
      <w:r>
        <w:rPr>
          <w:rFonts w:hint="eastAsia" w:ascii="宋体" w:hAnsi="宋体"/>
          <w:color w:val="auto"/>
          <w:sz w:val="24"/>
          <w:highlight w:val="none"/>
          <w:lang w:val="en-US" w:eastAsia="zh-CN"/>
        </w:rPr>
        <w:t>送审</w:t>
      </w:r>
      <w:r>
        <w:rPr>
          <w:rFonts w:hint="eastAsia" w:ascii="宋体" w:hAnsi="宋体"/>
          <w:color w:val="auto"/>
          <w:sz w:val="24"/>
          <w:highlight w:val="none"/>
        </w:rPr>
        <w:t>调整的，发包人</w:t>
      </w:r>
      <w:r>
        <w:rPr>
          <w:rFonts w:ascii="宋体" w:hAnsi="宋体"/>
          <w:color w:val="auto"/>
          <w:sz w:val="24"/>
          <w:highlight w:val="none"/>
        </w:rPr>
        <w:t>有权</w:t>
      </w:r>
      <w:r>
        <w:rPr>
          <w:rFonts w:hint="eastAsia" w:ascii="宋体" w:hAnsi="宋体"/>
          <w:color w:val="auto"/>
          <w:sz w:val="24"/>
          <w:highlight w:val="none"/>
        </w:rPr>
        <w:t>按概算调整差额的1%扣</w:t>
      </w:r>
      <w:r>
        <w:rPr>
          <w:rFonts w:hint="eastAsia" w:ascii="宋体" w:hAnsi="宋体"/>
          <w:color w:val="auto"/>
          <w:sz w:val="24"/>
          <w:highlight w:val="none"/>
          <w:lang w:val="en-US" w:eastAsia="zh-CN"/>
        </w:rPr>
        <w:t>减</w:t>
      </w:r>
      <w:r>
        <w:rPr>
          <w:rFonts w:hint="eastAsia" w:ascii="宋体" w:hAnsi="宋体"/>
          <w:color w:val="auto"/>
          <w:sz w:val="24"/>
          <w:highlight w:val="none"/>
        </w:rPr>
        <w:t>设计费</w:t>
      </w:r>
      <w:r>
        <w:rPr>
          <w:rFonts w:hint="eastAsia" w:ascii="宋体" w:hAnsi="宋体"/>
          <w:color w:val="auto"/>
          <w:sz w:val="24"/>
          <w:highlight w:val="none"/>
          <w:lang w:eastAsia="zh-CN"/>
        </w:rPr>
        <w:t>。</w:t>
      </w:r>
    </w:p>
    <w:p w14:paraId="6806895C">
      <w:pPr>
        <w:spacing w:line="460" w:lineRule="exact"/>
        <w:ind w:firstLine="482"/>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承包人编制概算审定稿与送审稿的对比分析报告并向发包人汇报评审情况后，方可开展概算评审结果确认工作，否则发包人有权按中标设计费的1%予以扣减。</w:t>
      </w:r>
    </w:p>
    <w:p w14:paraId="124AE34E">
      <w:pPr>
        <w:spacing w:line="460" w:lineRule="exact"/>
        <w:ind w:firstLine="482"/>
        <w:rPr>
          <w:rFonts w:hint="eastAsia" w:ascii="宋体" w:hAnsi="宋体"/>
          <w:color w:val="auto"/>
          <w:sz w:val="24"/>
          <w:highlight w:val="none"/>
        </w:rPr>
      </w:pPr>
      <w:r>
        <w:rPr>
          <w:rFonts w:hint="eastAsia" w:ascii="宋体" w:hAnsi="宋体"/>
          <w:color w:val="auto"/>
          <w:sz w:val="24"/>
          <w:highlight w:val="none"/>
        </w:rPr>
        <w:t>如</w:t>
      </w:r>
      <w:r>
        <w:rPr>
          <w:rFonts w:ascii="宋体" w:hAnsi="宋体"/>
          <w:color w:val="auto"/>
          <w:sz w:val="24"/>
          <w:highlight w:val="none"/>
        </w:rPr>
        <w:t>造成</w:t>
      </w:r>
      <w:r>
        <w:rPr>
          <w:rFonts w:hint="eastAsia" w:ascii="宋体" w:hAnsi="宋体"/>
          <w:color w:val="auto"/>
          <w:sz w:val="24"/>
          <w:highlight w:val="none"/>
        </w:rPr>
        <w:t>发包人</w:t>
      </w:r>
      <w:r>
        <w:rPr>
          <w:rFonts w:ascii="宋体" w:hAnsi="宋体"/>
          <w:color w:val="auto"/>
          <w:sz w:val="24"/>
          <w:highlight w:val="none"/>
        </w:rPr>
        <w:t>经济损失的，</w:t>
      </w:r>
      <w:r>
        <w:rPr>
          <w:rFonts w:hint="eastAsia" w:ascii="宋体" w:hAnsi="宋体"/>
          <w:color w:val="auto"/>
          <w:sz w:val="24"/>
          <w:highlight w:val="none"/>
        </w:rPr>
        <w:t>发包人</w:t>
      </w:r>
      <w:r>
        <w:rPr>
          <w:rFonts w:ascii="宋体" w:hAnsi="宋体"/>
          <w:color w:val="auto"/>
          <w:sz w:val="24"/>
          <w:highlight w:val="none"/>
        </w:rPr>
        <w:t>有权追究相应的经济责任</w:t>
      </w:r>
      <w:r>
        <w:rPr>
          <w:rFonts w:hint="eastAsia" w:ascii="宋体" w:hAnsi="宋体"/>
          <w:color w:val="auto"/>
          <w:sz w:val="24"/>
          <w:highlight w:val="none"/>
        </w:rPr>
        <w:t>。</w:t>
      </w:r>
    </w:p>
    <w:p w14:paraId="2EBD7B6C">
      <w:pPr>
        <w:spacing w:line="460" w:lineRule="exact"/>
        <w:ind w:firstLine="482"/>
        <w:rPr>
          <w:rFonts w:ascii="宋体" w:hAnsi="宋体"/>
          <w:color w:val="auto"/>
          <w:sz w:val="24"/>
          <w:highlight w:val="none"/>
        </w:rPr>
      </w:pPr>
      <w:r>
        <w:rPr>
          <w:rFonts w:hint="eastAsia" w:ascii="宋体" w:hAnsi="宋体"/>
          <w:color w:val="auto"/>
          <w:sz w:val="24"/>
          <w:highlight w:val="none"/>
        </w:rPr>
        <w:t>12.2.4勘察设计工期控制方面的责任</w:t>
      </w:r>
    </w:p>
    <w:p w14:paraId="0566CA4C">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若承包人未按本合同约定时限提交</w:t>
      </w:r>
      <w:r>
        <w:rPr>
          <w:rFonts w:hint="eastAsia" w:ascii="宋体" w:hAnsi="宋体"/>
          <w:color w:val="auto"/>
          <w:sz w:val="24"/>
          <w:highlight w:val="none"/>
        </w:rPr>
        <w:t>勘察</w:t>
      </w:r>
      <w:r>
        <w:rPr>
          <w:rFonts w:ascii="宋体" w:hAnsi="宋体"/>
          <w:color w:val="auto"/>
          <w:sz w:val="24"/>
          <w:highlight w:val="none"/>
        </w:rPr>
        <w:t xml:space="preserve">设计成果（含设计变更，包括但不限于设计文件、图纸、技术参数、计算书等）及报建报批成果（包括但不限于行政主管部门批复意见及图纸等），每逾期一天，承包人须向发包人支付5000元作为违约金；逾期超过15天，承包人除须向发包人支付违约金外，发包人有权单方解除合同。在非承包人设计质量问题或非承包人违约情况下，若因发包人自身资料不齐备或发包人审批确认延迟或建设行政主管部门审批时限超出法定周期造成报建报批进度后延的，工期顺延。 </w:t>
      </w:r>
    </w:p>
    <w:p w14:paraId="7320273C">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若承包人设计文件错漏造成工程返工并由此导致施工工期延误，每逾期1个日历天，承包人须向发包人交纳1万元违约金；因此造成工期延误累计超过15天，则承包人除须支付违约金外，发包人有权单方解除合同。</w:t>
      </w:r>
    </w:p>
    <w:p w14:paraId="0D48E7B0">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若承包人设计成果质量不合格或不能满足技术要求引起返工，工期不予顺延，且其返工所增加的一切相关费用及责任均由承包人承担。</w:t>
      </w:r>
    </w:p>
    <w:p w14:paraId="094ECFA5">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（4）最高误期损害赔偿费=给发包人造成的全部经济损失。</w:t>
      </w:r>
    </w:p>
    <w:p w14:paraId="4C9F999B">
      <w:pPr>
        <w:spacing w:line="460" w:lineRule="exact"/>
        <w:ind w:firstLine="482"/>
        <w:rPr>
          <w:rFonts w:ascii="宋体" w:hAnsi="宋体"/>
          <w:color w:val="auto"/>
          <w:sz w:val="24"/>
          <w:highlight w:val="none"/>
        </w:rPr>
      </w:pPr>
      <w:r>
        <w:rPr>
          <w:rFonts w:hint="eastAsia" w:ascii="宋体" w:hAnsi="宋体"/>
          <w:color w:val="auto"/>
          <w:sz w:val="24"/>
          <w:highlight w:val="none"/>
        </w:rPr>
        <w:t>12.2.5勘察设计其他方面的责任</w:t>
      </w:r>
    </w:p>
    <w:p w14:paraId="3E0AD6F6">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（1）合同生效后，承包人要求终止或解除合同，承包人应返还发包人已支付的预付款，并返还发包人已支付的所有款项，同时赔偿给发包人勘察设计费总额10%的违约金。</w:t>
      </w:r>
    </w:p>
    <w:p w14:paraId="11D714B6">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承包人不得将本单位勘察设计资质范围内勘察设计任务转包和私自分包，否则发包人有权单方解除合同。同时，发包人有权扣除转包分包部分的全额勘察设计费用，并要求承包人赔偿由此造成的损失。</w:t>
      </w:r>
    </w:p>
    <w:p w14:paraId="45FCB9C5">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承包人的设计不得有侵犯本合同以外第三方任何合法权益，违反约定产生的法律责任由责任方自行承担，并应赔偿因此给发包人造成的损失，赔偿范围包括但不限于向第三方的赔偿费用、支出的律师费、诉讼费、保全费、执行费、公告费、鉴定费、公证费、翻译费等一切损失。</w:t>
      </w:r>
    </w:p>
    <w:p w14:paraId="2891061D">
      <w:pPr>
        <w:spacing w:line="460" w:lineRule="exact"/>
        <w:ind w:firstLine="57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设计文件中选用的国家标准图、部标准图及地方标准图由</w:t>
      </w:r>
      <w:r>
        <w:rPr>
          <w:rFonts w:hint="eastAsia" w:ascii="宋体" w:hAnsi="宋体"/>
          <w:color w:val="auto"/>
          <w:sz w:val="24"/>
          <w:highlight w:val="none"/>
        </w:rPr>
        <w:t>承包</w:t>
      </w:r>
      <w:r>
        <w:rPr>
          <w:rFonts w:ascii="宋体" w:hAnsi="宋体"/>
          <w:color w:val="auto"/>
          <w:sz w:val="24"/>
          <w:highlight w:val="none"/>
        </w:rPr>
        <w:t>人负责解决。</w:t>
      </w:r>
    </w:p>
    <w:p w14:paraId="5C403C43">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（6）承包人需全力配合发包人完成涉及本工程的审计工作。</w:t>
      </w:r>
    </w:p>
    <w:p w14:paraId="16A9980C">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12</w:t>
      </w:r>
      <w:r>
        <w:rPr>
          <w:rFonts w:ascii="宋体" w:hAnsi="宋体"/>
          <w:color w:val="auto"/>
          <w:sz w:val="24"/>
          <w:highlight w:val="none"/>
        </w:rPr>
        <w:t>.2.</w:t>
      </w:r>
      <w:r>
        <w:rPr>
          <w:rFonts w:hint="eastAsia" w:ascii="宋体" w:hAnsi="宋体"/>
          <w:color w:val="auto"/>
          <w:sz w:val="24"/>
          <w:highlight w:val="none"/>
        </w:rPr>
        <w:t>6</w:t>
      </w:r>
      <w:r>
        <w:rPr>
          <w:rFonts w:ascii="宋体" w:hAnsi="宋体"/>
          <w:color w:val="auto"/>
          <w:sz w:val="24"/>
          <w:highlight w:val="none"/>
        </w:rPr>
        <w:t>上述违约金，发包人有权从应支付承包人的勘察设计进度款或结算价款</w:t>
      </w:r>
      <w:r>
        <w:rPr>
          <w:rFonts w:hint="eastAsia" w:ascii="宋体" w:hAnsi="宋体"/>
          <w:color w:val="auto"/>
          <w:sz w:val="24"/>
          <w:highlight w:val="none"/>
        </w:rPr>
        <w:t>中直接抵扣，承包人不得有异议。</w:t>
      </w:r>
    </w:p>
    <w:p w14:paraId="5F271248">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12.2.7承包人应严格按照发包人相关管理制度开展工作。</w:t>
      </w:r>
    </w:p>
    <w:p w14:paraId="55830D8C">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12.2.8法律法规规定应由承包人应负责的其他事项。</w:t>
      </w:r>
    </w:p>
    <w:p w14:paraId="240A07D5">
      <w:pPr>
        <w:spacing w:before="62" w:beforeLines="20" w:after="62" w:afterLines="20" w:line="460" w:lineRule="exact"/>
        <w:ind w:firstLine="482" w:firstLineChars="200"/>
        <w:rPr>
          <w:rFonts w:eastAsia="黑体"/>
          <w:b/>
          <w:bCs/>
          <w:color w:val="auto"/>
          <w:sz w:val="24"/>
          <w:highlight w:val="none"/>
        </w:rPr>
      </w:pPr>
      <w:r>
        <w:rPr>
          <w:rFonts w:hint="eastAsia" w:eastAsia="黑体"/>
          <w:b/>
          <w:bCs/>
          <w:color w:val="auto"/>
          <w:sz w:val="24"/>
          <w:highlight w:val="none"/>
        </w:rPr>
        <w:t>第十三条</w:t>
      </w:r>
      <w:r>
        <w:rPr>
          <w:rFonts w:hint="eastAsia" w:eastAsia="黑体"/>
          <w:b/>
          <w:bCs/>
          <w:color w:val="auto"/>
          <w:sz w:val="24"/>
          <w:highlight w:val="none"/>
        </w:rPr>
        <w:tab/>
      </w:r>
      <w:r>
        <w:rPr>
          <w:rFonts w:hint="eastAsia" w:eastAsia="黑体"/>
          <w:b/>
          <w:bCs/>
          <w:color w:val="auto"/>
          <w:sz w:val="24"/>
          <w:highlight w:val="none"/>
        </w:rPr>
        <w:t>保密</w:t>
      </w:r>
    </w:p>
    <w:p w14:paraId="282FBC88">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双方均应保护对方的知识产权，未经对方同意，任何一方均不得对对方的资料及文件擅自修改、复制或向第三人转让或用于本合同项目外的项目。如发生以上情况，泄密方承担一切由此引起的后果并承担全部经济责任和法律责任。</w:t>
      </w:r>
    </w:p>
    <w:p w14:paraId="4D00C90F">
      <w:pPr>
        <w:spacing w:before="62" w:beforeLines="20" w:after="62" w:afterLines="20" w:line="460" w:lineRule="exact"/>
        <w:ind w:firstLine="482" w:firstLineChars="200"/>
        <w:rPr>
          <w:rFonts w:eastAsia="黑体"/>
          <w:b/>
          <w:bCs/>
          <w:color w:val="auto"/>
          <w:sz w:val="24"/>
          <w:highlight w:val="none"/>
        </w:rPr>
      </w:pPr>
      <w:r>
        <w:rPr>
          <w:rFonts w:hint="eastAsia" w:eastAsia="黑体"/>
          <w:b/>
          <w:bCs/>
          <w:color w:val="auto"/>
          <w:sz w:val="24"/>
          <w:highlight w:val="none"/>
        </w:rPr>
        <w:t>第十四条</w:t>
      </w:r>
      <w:r>
        <w:rPr>
          <w:rFonts w:hint="eastAsia" w:eastAsia="黑体"/>
          <w:b/>
          <w:bCs/>
          <w:color w:val="auto"/>
          <w:sz w:val="24"/>
          <w:highlight w:val="none"/>
        </w:rPr>
        <w:tab/>
      </w:r>
      <w:r>
        <w:rPr>
          <w:rFonts w:hint="eastAsia" w:eastAsia="黑体"/>
          <w:b/>
          <w:bCs/>
          <w:color w:val="auto"/>
          <w:sz w:val="24"/>
          <w:highlight w:val="none"/>
        </w:rPr>
        <w:t>仲裁、起诉</w:t>
      </w:r>
    </w:p>
    <w:p w14:paraId="66D3F2BF">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本合同履行过程中发生争议，由双方当事人协商解决。协商不成的提交中国广州仲裁委员会仲裁。</w:t>
      </w:r>
    </w:p>
    <w:p w14:paraId="7D0369B0">
      <w:pPr>
        <w:spacing w:before="62" w:beforeLines="20" w:after="62" w:afterLines="20" w:line="460" w:lineRule="exact"/>
        <w:ind w:firstLine="482" w:firstLineChars="200"/>
        <w:rPr>
          <w:rFonts w:eastAsia="黑体"/>
          <w:b/>
          <w:bCs/>
          <w:color w:val="auto"/>
          <w:sz w:val="24"/>
          <w:highlight w:val="none"/>
        </w:rPr>
      </w:pPr>
      <w:r>
        <w:rPr>
          <w:rFonts w:hint="eastAsia" w:eastAsia="黑体"/>
          <w:b/>
          <w:bCs/>
          <w:color w:val="auto"/>
          <w:sz w:val="24"/>
          <w:highlight w:val="none"/>
        </w:rPr>
        <w:t>第十五条</w:t>
      </w:r>
      <w:r>
        <w:rPr>
          <w:rFonts w:hint="eastAsia" w:eastAsia="黑体"/>
          <w:b/>
          <w:bCs/>
          <w:color w:val="auto"/>
          <w:sz w:val="24"/>
          <w:highlight w:val="none"/>
        </w:rPr>
        <w:tab/>
      </w:r>
      <w:r>
        <w:rPr>
          <w:rFonts w:hint="eastAsia" w:eastAsia="黑体"/>
          <w:b/>
          <w:bCs/>
          <w:color w:val="auto"/>
          <w:sz w:val="24"/>
          <w:highlight w:val="none"/>
        </w:rPr>
        <w:t>合同生效及其他</w:t>
      </w:r>
    </w:p>
    <w:p w14:paraId="1417E505">
      <w:pPr>
        <w:spacing w:line="360" w:lineRule="auto"/>
        <w:ind w:firstLine="482"/>
        <w:rPr>
          <w:rFonts w:ascii="宋体" w:hAnsi="宋体"/>
          <w:color w:val="auto"/>
          <w:sz w:val="24"/>
          <w:highlight w:val="none"/>
        </w:rPr>
      </w:pPr>
      <w:r>
        <w:rPr>
          <w:rFonts w:hint="eastAsia" w:ascii="宋体" w:hAnsi="宋体"/>
          <w:color w:val="auto"/>
          <w:sz w:val="24"/>
          <w:highlight w:val="none"/>
        </w:rPr>
        <w:t>15.1承包人为本合同项目的服务至竣工验收备案结束为止。</w:t>
      </w:r>
    </w:p>
    <w:p w14:paraId="6CCB235D">
      <w:pPr>
        <w:spacing w:line="360" w:lineRule="auto"/>
        <w:ind w:firstLine="482"/>
        <w:rPr>
          <w:rFonts w:ascii="宋体" w:hAnsi="宋体"/>
          <w:color w:val="auto"/>
          <w:sz w:val="24"/>
          <w:highlight w:val="none"/>
        </w:rPr>
      </w:pPr>
      <w:r>
        <w:rPr>
          <w:rFonts w:hint="eastAsia" w:ascii="宋体" w:hAnsi="宋体"/>
          <w:color w:val="auto"/>
          <w:sz w:val="24"/>
          <w:highlight w:val="none"/>
        </w:rPr>
        <w:t>15.</w:t>
      </w:r>
      <w:r>
        <w:rPr>
          <w:rFonts w:ascii="宋体" w:hAnsi="宋体"/>
          <w:color w:val="auto"/>
          <w:sz w:val="24"/>
          <w:highlight w:val="none"/>
        </w:rPr>
        <w:t>2</w:t>
      </w:r>
      <w:r>
        <w:rPr>
          <w:rFonts w:hint="eastAsia" w:ascii="宋体" w:hAnsi="宋体"/>
          <w:color w:val="auto"/>
          <w:sz w:val="24"/>
          <w:highlight w:val="none"/>
        </w:rPr>
        <w:t>本工程项目中，</w:t>
      </w:r>
      <w:r>
        <w:rPr>
          <w:rFonts w:hint="eastAsia"/>
          <w:color w:val="auto"/>
          <w:sz w:val="24"/>
          <w:highlight w:val="none"/>
        </w:rPr>
        <w:t>承包</w:t>
      </w:r>
      <w:r>
        <w:rPr>
          <w:rFonts w:hint="eastAsia" w:ascii="宋体" w:hAnsi="宋体"/>
          <w:color w:val="auto"/>
          <w:sz w:val="24"/>
          <w:highlight w:val="none"/>
        </w:rPr>
        <w:t>人不得指定建筑材料、设备的生产厂或供货商。发包人需要</w:t>
      </w:r>
      <w:r>
        <w:rPr>
          <w:rFonts w:hint="eastAsia"/>
          <w:color w:val="auto"/>
          <w:sz w:val="24"/>
          <w:highlight w:val="none"/>
        </w:rPr>
        <w:t>承包</w:t>
      </w:r>
      <w:r>
        <w:rPr>
          <w:rFonts w:hint="eastAsia" w:ascii="宋体" w:hAnsi="宋体"/>
          <w:color w:val="auto"/>
          <w:sz w:val="24"/>
          <w:highlight w:val="none"/>
        </w:rPr>
        <w:t>人配合建筑材料、设备的加工订货时，所需费用由发包人承担。</w:t>
      </w:r>
    </w:p>
    <w:p w14:paraId="6DDCFFD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15.3发包人委托</w:t>
      </w:r>
      <w:r>
        <w:rPr>
          <w:rFonts w:hint="eastAsia"/>
          <w:color w:val="auto"/>
          <w:sz w:val="24"/>
          <w:highlight w:val="none"/>
        </w:rPr>
        <w:t>承包</w:t>
      </w:r>
      <w:r>
        <w:rPr>
          <w:rFonts w:hint="eastAsia" w:ascii="宋体" w:hAnsi="宋体"/>
          <w:color w:val="auto"/>
          <w:sz w:val="24"/>
          <w:highlight w:val="none"/>
        </w:rPr>
        <w:t>人承担本合同内容以外的工作服务，另行签订协议并支付费用。</w:t>
      </w:r>
    </w:p>
    <w:p w14:paraId="63762FF0">
      <w:pPr>
        <w:spacing w:line="360" w:lineRule="auto"/>
        <w:ind w:firstLine="482"/>
        <w:rPr>
          <w:rFonts w:ascii="宋体" w:hAnsi="宋体"/>
          <w:color w:val="auto"/>
          <w:sz w:val="24"/>
          <w:highlight w:val="none"/>
        </w:rPr>
      </w:pPr>
      <w:r>
        <w:rPr>
          <w:rFonts w:hint="eastAsia" w:ascii="宋体" w:hAnsi="宋体"/>
          <w:color w:val="auto"/>
          <w:sz w:val="24"/>
          <w:highlight w:val="none"/>
        </w:rPr>
        <w:t>15.4由于不可抗力因素致使合同无法履行时，双方应及时协商解决。</w:t>
      </w:r>
    </w:p>
    <w:p w14:paraId="34B6E96A">
      <w:pPr>
        <w:spacing w:line="360" w:lineRule="auto"/>
        <w:rPr>
          <w:rFonts w:ascii="宋体" w:hAnsi="宋体"/>
          <w:color w:val="auto"/>
          <w:sz w:val="24"/>
          <w:highlight w:val="none"/>
        </w:rPr>
      </w:pPr>
      <w:r>
        <w:rPr>
          <w:rFonts w:hint="eastAsia" w:ascii="宋体" w:hAnsi="宋体"/>
          <w:color w:val="auto"/>
          <w:sz w:val="24"/>
          <w:highlight w:val="none"/>
        </w:rPr>
        <w:t xml:space="preserve">    15.5本合同双方法定代表人或授权代理人签字并盖公章即生效，共捌份，发包人肆份，承包人肆份。</w:t>
      </w:r>
    </w:p>
    <w:p w14:paraId="15635221">
      <w:pPr>
        <w:spacing w:line="360" w:lineRule="auto"/>
        <w:rPr>
          <w:rFonts w:ascii="宋体" w:hAnsi="宋体"/>
          <w:color w:val="auto"/>
          <w:sz w:val="24"/>
          <w:highlight w:val="none"/>
        </w:rPr>
      </w:pPr>
      <w:r>
        <w:rPr>
          <w:rFonts w:hint="eastAsia" w:ascii="宋体" w:hAnsi="宋体"/>
          <w:color w:val="auto"/>
          <w:sz w:val="24"/>
          <w:highlight w:val="none"/>
        </w:rPr>
        <w:t xml:space="preserve">    15.6双方认可的来往电报、传真、会议纪要等，均为合同的组成部分，与本合同具有同等法律效力。</w:t>
      </w:r>
    </w:p>
    <w:p w14:paraId="1C4927D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15.7未尽事宜，经双方协商一致，签订补充协议，补充协议与本合同具有同等效力。</w:t>
      </w:r>
    </w:p>
    <w:p w14:paraId="00466AAD">
      <w:pPr>
        <w:spacing w:line="460" w:lineRule="exact"/>
        <w:ind w:firstLine="480" w:firstLineChars="200"/>
        <w:rPr>
          <w:color w:val="auto"/>
          <w:sz w:val="24"/>
          <w:highlight w:val="none"/>
        </w:rPr>
      </w:pPr>
      <w:r>
        <w:rPr>
          <w:rFonts w:hint="eastAsia" w:ascii="宋体" w:hAnsi="宋体"/>
          <w:color w:val="auto"/>
          <w:sz w:val="24"/>
          <w:highlight w:val="none"/>
        </w:rPr>
        <w:t>（以下无正文）</w:t>
      </w:r>
    </w:p>
    <w:tbl>
      <w:tblPr>
        <w:tblStyle w:val="10"/>
        <w:tblW w:w="9108" w:type="dxa"/>
        <w:tblInd w:w="0" w:type="dxa"/>
        <w:tblLayout w:type="fixed"/>
        <w:tblCellMar>
          <w:top w:w="0" w:type="dxa"/>
          <w:left w:w="108" w:type="dxa"/>
          <w:bottom w:w="0" w:type="dxa"/>
          <w:right w:w="108" w:type="dxa"/>
        </w:tblCellMar>
      </w:tblPr>
      <w:tblGrid>
        <w:gridCol w:w="4644"/>
        <w:gridCol w:w="4464"/>
      </w:tblGrid>
      <w:tr w14:paraId="7B0C9EB8">
        <w:tblPrEx>
          <w:tblCellMar>
            <w:top w:w="0" w:type="dxa"/>
            <w:left w:w="108" w:type="dxa"/>
            <w:bottom w:w="0" w:type="dxa"/>
            <w:right w:w="108" w:type="dxa"/>
          </w:tblCellMar>
        </w:tblPrEx>
        <w:trPr>
          <w:trHeight w:val="1440" w:hRule="atLeast"/>
        </w:trPr>
        <w:tc>
          <w:tcPr>
            <w:tcW w:w="4644" w:type="dxa"/>
          </w:tcPr>
          <w:p w14:paraId="3307F7D8">
            <w:pPr>
              <w:spacing w:line="360" w:lineRule="auto"/>
              <w:ind w:left="1320" w:hanging="1320" w:hangingChars="550"/>
              <w:rPr>
                <w:color w:val="auto"/>
                <w:sz w:val="24"/>
                <w:highlight w:val="none"/>
              </w:rPr>
            </w:pPr>
            <w:r>
              <w:rPr>
                <w:rFonts w:hint="eastAsia"/>
                <w:color w:val="auto"/>
                <w:sz w:val="24"/>
                <w:highlight w:val="none"/>
              </w:rPr>
              <w:t>发包人：广州空港建设运营集团有限公司</w:t>
            </w:r>
          </w:p>
          <w:p w14:paraId="73282290">
            <w:pPr>
              <w:spacing w:line="360" w:lineRule="auto"/>
              <w:ind w:firstLine="960" w:firstLineChars="400"/>
              <w:rPr>
                <w:color w:val="auto"/>
                <w:sz w:val="24"/>
                <w:highlight w:val="none"/>
              </w:rPr>
            </w:pPr>
            <w:r>
              <w:rPr>
                <w:color w:val="auto"/>
                <w:sz w:val="24"/>
                <w:highlight w:val="none"/>
              </w:rPr>
              <w:t>（盖章）</w:t>
            </w:r>
          </w:p>
        </w:tc>
        <w:tc>
          <w:tcPr>
            <w:tcW w:w="4464" w:type="dxa"/>
          </w:tcPr>
          <w:p w14:paraId="04467EA3">
            <w:pPr>
              <w:spacing w:line="360" w:lineRule="auto"/>
              <w:ind w:left="1080" w:hanging="1080" w:hangingChars="450"/>
              <w:rPr>
                <w:color w:val="auto"/>
                <w:sz w:val="24"/>
                <w:highlight w:val="none"/>
              </w:rPr>
            </w:pPr>
            <w:r>
              <w:rPr>
                <w:rFonts w:hint="eastAsia"/>
                <w:color w:val="auto"/>
                <w:sz w:val="24"/>
                <w:highlight w:val="none"/>
              </w:rPr>
              <w:t>承包人：XXX公司</w:t>
            </w:r>
          </w:p>
          <w:p w14:paraId="626174E4">
            <w:pPr>
              <w:spacing w:line="360" w:lineRule="auto"/>
              <w:ind w:firstLine="720" w:firstLineChars="300"/>
              <w:rPr>
                <w:color w:val="auto"/>
                <w:sz w:val="24"/>
                <w:highlight w:val="none"/>
              </w:rPr>
            </w:pPr>
            <w:r>
              <w:rPr>
                <w:color w:val="auto"/>
                <w:sz w:val="24"/>
                <w:highlight w:val="none"/>
              </w:rPr>
              <w:t>（盖章）</w:t>
            </w:r>
          </w:p>
        </w:tc>
      </w:tr>
      <w:tr w14:paraId="3E846C65">
        <w:tblPrEx>
          <w:tblCellMar>
            <w:top w:w="0" w:type="dxa"/>
            <w:left w:w="108" w:type="dxa"/>
            <w:bottom w:w="0" w:type="dxa"/>
            <w:right w:w="108" w:type="dxa"/>
          </w:tblCellMar>
        </w:tblPrEx>
        <w:trPr>
          <w:trHeight w:val="1037" w:hRule="atLeast"/>
        </w:trPr>
        <w:tc>
          <w:tcPr>
            <w:tcW w:w="4644" w:type="dxa"/>
          </w:tcPr>
          <w:p w14:paraId="5BF64842">
            <w:pPr>
              <w:spacing w:line="360" w:lineRule="auto"/>
              <w:rPr>
                <w:color w:val="auto"/>
                <w:sz w:val="24"/>
                <w:highlight w:val="none"/>
              </w:rPr>
            </w:pPr>
            <w:r>
              <w:rPr>
                <w:color w:val="auto"/>
                <w:sz w:val="24"/>
                <w:highlight w:val="none"/>
              </w:rPr>
              <w:t>法定代表人</w:t>
            </w:r>
            <w:r>
              <w:rPr>
                <w:rFonts w:hint="eastAsia"/>
                <w:color w:val="auto"/>
                <w:sz w:val="24"/>
                <w:highlight w:val="none"/>
              </w:rPr>
              <w:t>（授权代理人）</w:t>
            </w:r>
            <w:r>
              <w:rPr>
                <w:color w:val="auto"/>
                <w:sz w:val="24"/>
                <w:highlight w:val="none"/>
              </w:rPr>
              <w:t xml:space="preserve">： </w:t>
            </w:r>
          </w:p>
        </w:tc>
        <w:tc>
          <w:tcPr>
            <w:tcW w:w="4464" w:type="dxa"/>
          </w:tcPr>
          <w:p w14:paraId="11A00D62">
            <w:pPr>
              <w:spacing w:line="360" w:lineRule="auto"/>
              <w:rPr>
                <w:color w:val="auto"/>
                <w:sz w:val="24"/>
                <w:highlight w:val="none"/>
              </w:rPr>
            </w:pPr>
            <w:r>
              <w:rPr>
                <w:color w:val="auto"/>
                <w:sz w:val="24"/>
                <w:highlight w:val="none"/>
              </w:rPr>
              <w:t>法定代表人</w:t>
            </w:r>
            <w:r>
              <w:rPr>
                <w:rFonts w:hint="eastAsia"/>
                <w:color w:val="auto"/>
                <w:sz w:val="24"/>
                <w:highlight w:val="none"/>
              </w:rPr>
              <w:t>（授权代理人）</w:t>
            </w:r>
            <w:r>
              <w:rPr>
                <w:color w:val="auto"/>
                <w:sz w:val="24"/>
                <w:highlight w:val="none"/>
              </w:rPr>
              <w:t>：</w:t>
            </w:r>
          </w:p>
        </w:tc>
      </w:tr>
      <w:tr w14:paraId="261EF889">
        <w:tblPrEx>
          <w:tblCellMar>
            <w:top w:w="0" w:type="dxa"/>
            <w:left w:w="108" w:type="dxa"/>
            <w:bottom w:w="0" w:type="dxa"/>
            <w:right w:w="108" w:type="dxa"/>
          </w:tblCellMar>
        </w:tblPrEx>
        <w:tc>
          <w:tcPr>
            <w:tcW w:w="4644" w:type="dxa"/>
          </w:tcPr>
          <w:p w14:paraId="0CAD53D3">
            <w:pPr>
              <w:spacing w:line="360" w:lineRule="auto"/>
              <w:ind w:left="960" w:hanging="960" w:hangingChars="400"/>
              <w:rPr>
                <w:rFonts w:ascii="宋体" w:hAnsi="宋体" w:cs="宋体"/>
                <w:color w:val="auto"/>
                <w:sz w:val="24"/>
                <w:highlight w:val="none"/>
              </w:rPr>
            </w:pPr>
            <w:r>
              <w:rPr>
                <w:rFonts w:hint="eastAsia"/>
                <w:color w:val="auto"/>
                <w:sz w:val="24"/>
                <w:highlight w:val="none"/>
              </w:rPr>
              <w:t>地</w:t>
            </w:r>
            <w:r>
              <w:rPr>
                <w:color w:val="auto"/>
                <w:sz w:val="24"/>
                <w:highlight w:val="none"/>
              </w:rPr>
              <w:t xml:space="preserve">  </w:t>
            </w:r>
            <w:r>
              <w:rPr>
                <w:rFonts w:hint="eastAsia"/>
                <w:color w:val="auto"/>
                <w:sz w:val="24"/>
                <w:highlight w:val="none"/>
              </w:rPr>
              <w:t>址</w:t>
            </w:r>
            <w:r>
              <w:rPr>
                <w:color w:val="auto"/>
                <w:sz w:val="24"/>
                <w:highlight w:val="none"/>
              </w:rPr>
              <w:t>：</w:t>
            </w:r>
            <w:r>
              <w:rPr>
                <w:rFonts w:hint="eastAsia" w:ascii="宋体" w:hAnsi="宋体"/>
                <w:color w:val="auto"/>
                <w:sz w:val="24"/>
                <w:highlight w:val="none"/>
              </w:rPr>
              <w:t>广州市清塘路9号广州空港中心</w:t>
            </w:r>
          </w:p>
        </w:tc>
        <w:tc>
          <w:tcPr>
            <w:tcW w:w="4464" w:type="dxa"/>
          </w:tcPr>
          <w:p w14:paraId="0B869F3F">
            <w:pPr>
              <w:spacing w:line="360" w:lineRule="auto"/>
              <w:ind w:left="840" w:hanging="840" w:hangingChars="350"/>
              <w:rPr>
                <w:rFonts w:ascii="宋体" w:hAnsi="宋体" w:cs="宋体"/>
                <w:color w:val="auto"/>
                <w:sz w:val="24"/>
                <w:highlight w:val="none"/>
              </w:rPr>
            </w:pPr>
            <w:r>
              <w:rPr>
                <w:rFonts w:hint="eastAsia"/>
                <w:color w:val="auto"/>
                <w:sz w:val="24"/>
                <w:highlight w:val="none"/>
              </w:rPr>
              <w:t>地</w:t>
            </w:r>
            <w:r>
              <w:rPr>
                <w:color w:val="auto"/>
                <w:sz w:val="24"/>
                <w:highlight w:val="none"/>
              </w:rPr>
              <w:t xml:space="preserve">  </w:t>
            </w:r>
            <w:r>
              <w:rPr>
                <w:rFonts w:hint="eastAsia"/>
                <w:color w:val="auto"/>
                <w:sz w:val="24"/>
                <w:highlight w:val="none"/>
              </w:rPr>
              <w:t>址</w:t>
            </w:r>
            <w:r>
              <w:rPr>
                <w:color w:val="auto"/>
                <w:sz w:val="24"/>
                <w:highlight w:val="none"/>
              </w:rPr>
              <w:t>：</w:t>
            </w:r>
            <w:r>
              <w:rPr>
                <w:rFonts w:hint="eastAsia"/>
                <w:color w:val="auto"/>
                <w:sz w:val="24"/>
                <w:highlight w:val="none"/>
              </w:rPr>
              <w:t xml:space="preserve">  </w:t>
            </w:r>
          </w:p>
        </w:tc>
      </w:tr>
      <w:tr w14:paraId="34F1779B">
        <w:tblPrEx>
          <w:tblCellMar>
            <w:top w:w="0" w:type="dxa"/>
            <w:left w:w="108" w:type="dxa"/>
            <w:bottom w:w="0" w:type="dxa"/>
            <w:right w:w="108" w:type="dxa"/>
          </w:tblCellMar>
        </w:tblPrEx>
        <w:tc>
          <w:tcPr>
            <w:tcW w:w="4644" w:type="dxa"/>
          </w:tcPr>
          <w:p w14:paraId="6E5FF159">
            <w:pPr>
              <w:spacing w:line="360" w:lineRule="auto"/>
              <w:rPr>
                <w:rFonts w:ascii="宋体" w:hAnsi="宋体" w:cs="宋体"/>
                <w:color w:val="auto"/>
                <w:sz w:val="24"/>
                <w:highlight w:val="none"/>
              </w:rPr>
            </w:pPr>
            <w:r>
              <w:rPr>
                <w:color w:val="auto"/>
                <w:sz w:val="24"/>
                <w:highlight w:val="none"/>
              </w:rPr>
              <w:t>电  话：</w:t>
            </w:r>
          </w:p>
        </w:tc>
        <w:tc>
          <w:tcPr>
            <w:tcW w:w="4464" w:type="dxa"/>
          </w:tcPr>
          <w:p w14:paraId="7ADC79F0">
            <w:pPr>
              <w:spacing w:line="360" w:lineRule="auto"/>
              <w:rPr>
                <w:rFonts w:ascii="宋体" w:hAnsi="宋体" w:cs="宋体"/>
                <w:color w:val="auto"/>
                <w:sz w:val="24"/>
                <w:highlight w:val="none"/>
              </w:rPr>
            </w:pPr>
            <w:r>
              <w:rPr>
                <w:color w:val="auto"/>
                <w:sz w:val="24"/>
                <w:highlight w:val="none"/>
              </w:rPr>
              <w:t>电  话：</w:t>
            </w:r>
            <w:r>
              <w:rPr>
                <w:rFonts w:hint="eastAsia"/>
                <w:color w:val="auto"/>
                <w:sz w:val="24"/>
                <w:highlight w:val="none"/>
              </w:rPr>
              <w:t xml:space="preserve"> </w:t>
            </w:r>
          </w:p>
        </w:tc>
      </w:tr>
      <w:tr w14:paraId="6F3D1BD1">
        <w:tblPrEx>
          <w:tblCellMar>
            <w:top w:w="0" w:type="dxa"/>
            <w:left w:w="108" w:type="dxa"/>
            <w:bottom w:w="0" w:type="dxa"/>
            <w:right w:w="108" w:type="dxa"/>
          </w:tblCellMar>
        </w:tblPrEx>
        <w:tc>
          <w:tcPr>
            <w:tcW w:w="4644" w:type="dxa"/>
          </w:tcPr>
          <w:p w14:paraId="238B4555">
            <w:pPr>
              <w:spacing w:line="360" w:lineRule="auto"/>
              <w:rPr>
                <w:rFonts w:ascii="宋体" w:hAnsi="宋体" w:cs="宋体"/>
                <w:color w:val="auto"/>
                <w:sz w:val="24"/>
                <w:highlight w:val="none"/>
              </w:rPr>
            </w:pPr>
            <w:r>
              <w:rPr>
                <w:color w:val="auto"/>
                <w:sz w:val="24"/>
                <w:highlight w:val="none"/>
              </w:rPr>
              <w:t>传  真：</w:t>
            </w:r>
          </w:p>
        </w:tc>
        <w:tc>
          <w:tcPr>
            <w:tcW w:w="4464" w:type="dxa"/>
          </w:tcPr>
          <w:p w14:paraId="14A09982">
            <w:pPr>
              <w:spacing w:line="360" w:lineRule="auto"/>
              <w:rPr>
                <w:rFonts w:ascii="宋体" w:hAnsi="宋体" w:cs="宋体"/>
                <w:color w:val="auto"/>
                <w:sz w:val="24"/>
                <w:highlight w:val="none"/>
              </w:rPr>
            </w:pPr>
            <w:r>
              <w:rPr>
                <w:color w:val="auto"/>
                <w:sz w:val="24"/>
                <w:highlight w:val="none"/>
              </w:rPr>
              <w:t>传  真：</w:t>
            </w:r>
            <w:r>
              <w:rPr>
                <w:rFonts w:hint="eastAsia"/>
                <w:color w:val="auto"/>
                <w:sz w:val="24"/>
                <w:highlight w:val="none"/>
              </w:rPr>
              <w:t xml:space="preserve"> </w:t>
            </w:r>
          </w:p>
        </w:tc>
      </w:tr>
      <w:tr w14:paraId="12B4817B">
        <w:tblPrEx>
          <w:tblCellMar>
            <w:top w:w="0" w:type="dxa"/>
            <w:left w:w="108" w:type="dxa"/>
            <w:bottom w:w="0" w:type="dxa"/>
            <w:right w:w="108" w:type="dxa"/>
          </w:tblCellMar>
        </w:tblPrEx>
        <w:tc>
          <w:tcPr>
            <w:tcW w:w="4644" w:type="dxa"/>
          </w:tcPr>
          <w:p w14:paraId="2A4246BE">
            <w:pPr>
              <w:spacing w:line="360" w:lineRule="auto"/>
              <w:rPr>
                <w:rFonts w:ascii="宋体" w:hAnsi="宋体" w:cs="宋体"/>
                <w:color w:val="auto"/>
                <w:sz w:val="24"/>
                <w:highlight w:val="none"/>
              </w:rPr>
            </w:pPr>
            <w:r>
              <w:rPr>
                <w:rFonts w:hint="eastAsia"/>
                <w:color w:val="auto"/>
                <w:sz w:val="24"/>
                <w:highlight w:val="none"/>
              </w:rPr>
              <w:t xml:space="preserve"> </w:t>
            </w:r>
            <w:r>
              <w:rPr>
                <w:rFonts w:ascii="宋体" w:hAnsi="宋体" w:cs="宋体"/>
                <w:color w:val="auto"/>
                <w:sz w:val="24"/>
                <w:highlight w:val="none"/>
              </w:rPr>
              <w:t xml:space="preserve"> </w:t>
            </w:r>
          </w:p>
        </w:tc>
        <w:tc>
          <w:tcPr>
            <w:tcW w:w="4464" w:type="dxa"/>
          </w:tcPr>
          <w:p w14:paraId="1CD346A1">
            <w:pPr>
              <w:spacing w:line="360" w:lineRule="auto"/>
              <w:rPr>
                <w:rFonts w:ascii="宋体" w:hAnsi="宋体" w:cs="宋体"/>
                <w:color w:val="auto"/>
                <w:sz w:val="24"/>
                <w:highlight w:val="none"/>
              </w:rPr>
            </w:pPr>
            <w:r>
              <w:rPr>
                <w:color w:val="auto"/>
                <w:sz w:val="24"/>
                <w:highlight w:val="none"/>
              </w:rPr>
              <w:t>开户银行：</w:t>
            </w:r>
            <w:r>
              <w:rPr>
                <w:rFonts w:hint="eastAsia"/>
                <w:color w:val="auto"/>
                <w:sz w:val="24"/>
                <w:highlight w:val="none"/>
              </w:rPr>
              <w:t xml:space="preserve"> </w:t>
            </w:r>
          </w:p>
        </w:tc>
      </w:tr>
      <w:tr w14:paraId="0FC83B3B">
        <w:tblPrEx>
          <w:tblCellMar>
            <w:top w:w="0" w:type="dxa"/>
            <w:left w:w="108" w:type="dxa"/>
            <w:bottom w:w="0" w:type="dxa"/>
            <w:right w:w="108" w:type="dxa"/>
          </w:tblCellMar>
        </w:tblPrEx>
        <w:tc>
          <w:tcPr>
            <w:tcW w:w="4644" w:type="dxa"/>
          </w:tcPr>
          <w:p w14:paraId="6C613152">
            <w:pPr>
              <w:spacing w:line="360" w:lineRule="auto"/>
              <w:rPr>
                <w:rFonts w:ascii="宋体" w:hAnsi="宋体" w:cs="宋体"/>
                <w:color w:val="auto"/>
                <w:sz w:val="24"/>
                <w:highlight w:val="none"/>
              </w:rPr>
            </w:pPr>
            <w:r>
              <w:rPr>
                <w:rFonts w:hint="eastAsia" w:ascii="宋体" w:hAnsi="宋体"/>
                <w:color w:val="auto"/>
                <w:sz w:val="24"/>
                <w:highlight w:val="none"/>
              </w:rPr>
              <w:t xml:space="preserve"> </w:t>
            </w:r>
          </w:p>
        </w:tc>
        <w:tc>
          <w:tcPr>
            <w:tcW w:w="4464" w:type="dxa"/>
          </w:tcPr>
          <w:p w14:paraId="2664EC45">
            <w:pPr>
              <w:spacing w:line="360" w:lineRule="auto"/>
              <w:rPr>
                <w:rFonts w:ascii="宋体" w:hAnsi="宋体" w:cs="宋体"/>
                <w:color w:val="auto"/>
                <w:sz w:val="24"/>
                <w:highlight w:val="none"/>
              </w:rPr>
            </w:pPr>
            <w:r>
              <w:rPr>
                <w:rFonts w:hint="eastAsia" w:ascii="宋体" w:hAnsi="宋体"/>
                <w:color w:val="auto"/>
                <w:sz w:val="24"/>
                <w:highlight w:val="none"/>
              </w:rPr>
              <w:t>银行帐号</w:t>
            </w:r>
            <w:r>
              <w:rPr>
                <w:color w:val="auto"/>
                <w:sz w:val="24"/>
                <w:highlight w:val="none"/>
              </w:rPr>
              <w:t>：</w:t>
            </w:r>
            <w:r>
              <w:rPr>
                <w:rFonts w:hint="eastAsia"/>
                <w:color w:val="auto"/>
                <w:sz w:val="24"/>
                <w:highlight w:val="none"/>
              </w:rPr>
              <w:t xml:space="preserve"> </w:t>
            </w:r>
          </w:p>
        </w:tc>
      </w:tr>
    </w:tbl>
    <w:p w14:paraId="7A78226E">
      <w:pPr>
        <w:widowControl/>
        <w:jc w:val="left"/>
        <w:rPr>
          <w:color w:val="auto"/>
          <w:sz w:val="24"/>
          <w:highlight w:val="none"/>
        </w:rPr>
      </w:pPr>
      <w:r>
        <w:rPr>
          <w:color w:val="auto"/>
          <w:sz w:val="24"/>
          <w:highlight w:val="none"/>
        </w:rPr>
        <w:br w:type="page"/>
      </w:r>
    </w:p>
    <w:p w14:paraId="2E9304A8">
      <w:pPr>
        <w:ind w:firstLine="560" w:firstLineChars="200"/>
        <w:jc w:val="center"/>
        <w:rPr>
          <w:color w:val="auto"/>
          <w:sz w:val="28"/>
          <w:highlight w:val="none"/>
        </w:rPr>
        <w:sectPr>
          <w:headerReference r:id="rId3" w:type="default"/>
          <w:footerReference r:id="rId4" w:type="default"/>
          <w:footerReference r:id="rId5" w:type="even"/>
          <w:pgSz w:w="11906" w:h="16838"/>
          <w:pgMar w:top="1304" w:right="1418" w:bottom="1304" w:left="1701" w:header="851" w:footer="992" w:gutter="0"/>
          <w:pgNumType w:start="0"/>
          <w:cols w:space="720" w:num="1"/>
          <w:titlePg/>
          <w:docGrid w:type="lines" w:linePitch="312" w:charSpace="0"/>
        </w:sectPr>
      </w:pPr>
    </w:p>
    <w:p w14:paraId="20130443">
      <w:pPr>
        <w:spacing w:line="500" w:lineRule="exact"/>
        <w:rPr>
          <w:b/>
          <w:color w:val="auto"/>
          <w:sz w:val="28"/>
          <w:szCs w:val="28"/>
          <w:highlight w:val="none"/>
        </w:rPr>
      </w:pPr>
      <w:r>
        <w:rPr>
          <w:b/>
          <w:color w:val="auto"/>
          <w:sz w:val="28"/>
          <w:szCs w:val="28"/>
          <w:highlight w:val="none"/>
        </w:rPr>
        <w:t>附件1：中标通知书</w:t>
      </w:r>
      <w:r>
        <w:rPr>
          <w:rFonts w:hint="eastAsia"/>
          <w:b/>
          <w:color w:val="auto"/>
          <w:sz w:val="28"/>
          <w:szCs w:val="28"/>
          <w:highlight w:val="none"/>
        </w:rPr>
        <w:t xml:space="preserve">   </w:t>
      </w:r>
    </w:p>
    <w:p w14:paraId="6DF4C680">
      <w:pPr>
        <w:spacing w:line="500" w:lineRule="exact"/>
        <w:ind w:firstLine="562"/>
        <w:rPr>
          <w:b/>
          <w:color w:val="auto"/>
          <w:sz w:val="28"/>
          <w:szCs w:val="28"/>
          <w:highlight w:val="none"/>
        </w:rPr>
      </w:pPr>
      <w:r>
        <w:rPr>
          <w:rFonts w:hint="eastAsia"/>
          <w:b/>
          <w:color w:val="auto"/>
          <w:sz w:val="28"/>
          <w:szCs w:val="28"/>
          <w:highlight w:val="none"/>
        </w:rPr>
        <w:t xml:space="preserve">      </w:t>
      </w:r>
    </w:p>
    <w:p w14:paraId="32098CDA">
      <w:pPr>
        <w:ind w:firstLine="562"/>
        <w:rPr>
          <w:b/>
          <w:color w:val="auto"/>
          <w:sz w:val="28"/>
          <w:szCs w:val="28"/>
          <w:highlight w:val="none"/>
        </w:rPr>
      </w:pPr>
      <w:r>
        <w:rPr>
          <w:rFonts w:hint="eastAsia"/>
          <w:b/>
          <w:color w:val="auto"/>
          <w:sz w:val="28"/>
          <w:szCs w:val="28"/>
          <w:highlight w:val="none"/>
        </w:rPr>
        <w:br w:type="page"/>
      </w:r>
    </w:p>
    <w:p w14:paraId="3747D643">
      <w:pPr>
        <w:spacing w:line="500" w:lineRule="exact"/>
        <w:rPr>
          <w:color w:val="auto"/>
          <w:highlight w:val="none"/>
        </w:rPr>
      </w:pPr>
      <w:r>
        <w:rPr>
          <w:rFonts w:hint="eastAsia"/>
          <w:b/>
          <w:color w:val="auto"/>
          <w:sz w:val="28"/>
          <w:szCs w:val="28"/>
          <w:highlight w:val="none"/>
        </w:rPr>
        <w:t>附件2：投标文件中的投标报价汇总表</w:t>
      </w:r>
    </w:p>
    <w:p w14:paraId="7EF9E9B2">
      <w:pPr>
        <w:ind w:firstLine="482"/>
        <w:rPr>
          <w:color w:val="auto"/>
          <w:highlight w:val="none"/>
        </w:rPr>
      </w:pPr>
    </w:p>
    <w:p w14:paraId="51AA4ECD">
      <w:pPr>
        <w:ind w:firstLine="562"/>
        <w:rPr>
          <w:b/>
          <w:color w:val="auto"/>
          <w:sz w:val="28"/>
          <w:szCs w:val="28"/>
          <w:highlight w:val="none"/>
        </w:rPr>
      </w:pPr>
      <w:r>
        <w:rPr>
          <w:rFonts w:hint="eastAsia"/>
          <w:b/>
          <w:color w:val="auto"/>
          <w:sz w:val="28"/>
          <w:szCs w:val="28"/>
          <w:highlight w:val="none"/>
        </w:rPr>
        <w:br w:type="page"/>
      </w:r>
    </w:p>
    <w:p w14:paraId="6B252BC2">
      <w:pPr>
        <w:spacing w:line="500" w:lineRule="exact"/>
        <w:rPr>
          <w:color w:val="auto"/>
          <w:highlight w:val="none"/>
        </w:rPr>
      </w:pPr>
      <w:r>
        <w:rPr>
          <w:rFonts w:hint="eastAsia"/>
          <w:b/>
          <w:color w:val="auto"/>
          <w:sz w:val="28"/>
          <w:szCs w:val="28"/>
          <w:highlight w:val="none"/>
        </w:rPr>
        <w:t>附件3：投标文件中的勘察设计费用计算表</w:t>
      </w:r>
    </w:p>
    <w:p w14:paraId="5987678E">
      <w:pPr>
        <w:ind w:firstLine="482"/>
        <w:rPr>
          <w:color w:val="auto"/>
          <w:highlight w:val="none"/>
        </w:rPr>
      </w:pPr>
    </w:p>
    <w:p w14:paraId="2DA00F24">
      <w:pPr>
        <w:ind w:firstLine="562"/>
        <w:rPr>
          <w:b/>
          <w:color w:val="auto"/>
          <w:sz w:val="28"/>
          <w:szCs w:val="28"/>
          <w:highlight w:val="none"/>
        </w:rPr>
      </w:pPr>
      <w:r>
        <w:rPr>
          <w:rFonts w:hint="eastAsia"/>
          <w:b/>
          <w:color w:val="auto"/>
          <w:sz w:val="28"/>
          <w:szCs w:val="28"/>
          <w:highlight w:val="none"/>
        </w:rPr>
        <w:br w:type="page"/>
      </w:r>
    </w:p>
    <w:p w14:paraId="43EFCC64">
      <w:pPr>
        <w:spacing w:line="500" w:lineRule="exact"/>
        <w:rPr>
          <w:b/>
          <w:color w:val="auto"/>
          <w:sz w:val="28"/>
          <w:szCs w:val="28"/>
          <w:highlight w:val="none"/>
        </w:rPr>
      </w:pPr>
      <w:r>
        <w:rPr>
          <w:rFonts w:hint="eastAsia"/>
          <w:b/>
          <w:color w:val="auto"/>
          <w:sz w:val="28"/>
          <w:szCs w:val="28"/>
          <w:highlight w:val="none"/>
        </w:rPr>
        <w:t>附件4：投标文件中的人员架构</w:t>
      </w:r>
    </w:p>
    <w:p w14:paraId="3B705E0C">
      <w:pPr>
        <w:ind w:firstLine="482"/>
        <w:rPr>
          <w:color w:val="auto"/>
          <w:highlight w:val="none"/>
        </w:rPr>
      </w:pPr>
    </w:p>
    <w:p w14:paraId="57DE4B4B">
      <w:pPr>
        <w:spacing w:line="500" w:lineRule="exact"/>
        <w:ind w:firstLine="560"/>
        <w:rPr>
          <w:b/>
          <w:color w:val="auto"/>
          <w:sz w:val="28"/>
          <w:szCs w:val="28"/>
          <w:highlight w:val="none"/>
        </w:rPr>
      </w:pPr>
    </w:p>
    <w:p w14:paraId="37F83DC5">
      <w:pPr>
        <w:spacing w:line="500" w:lineRule="exact"/>
        <w:ind w:firstLine="560"/>
        <w:rPr>
          <w:b/>
          <w:color w:val="auto"/>
          <w:sz w:val="28"/>
          <w:szCs w:val="28"/>
          <w:highlight w:val="none"/>
        </w:rPr>
      </w:pPr>
    </w:p>
    <w:p w14:paraId="3BF86125">
      <w:pPr>
        <w:pStyle w:val="2"/>
        <w:ind w:firstLine="560"/>
        <w:rPr>
          <w:color w:val="auto"/>
          <w:sz w:val="28"/>
          <w:szCs w:val="28"/>
          <w:highlight w:val="none"/>
        </w:rPr>
      </w:pPr>
    </w:p>
    <w:p w14:paraId="2D8F3C3B">
      <w:pPr>
        <w:ind w:firstLine="560"/>
        <w:rPr>
          <w:b/>
          <w:color w:val="auto"/>
          <w:sz w:val="28"/>
          <w:szCs w:val="28"/>
          <w:highlight w:val="none"/>
        </w:rPr>
      </w:pPr>
    </w:p>
    <w:p w14:paraId="35453564">
      <w:pPr>
        <w:pStyle w:val="2"/>
        <w:ind w:firstLine="560"/>
        <w:rPr>
          <w:color w:val="auto"/>
          <w:sz w:val="28"/>
          <w:szCs w:val="28"/>
          <w:highlight w:val="none"/>
        </w:rPr>
      </w:pPr>
    </w:p>
    <w:p w14:paraId="502B6157">
      <w:pPr>
        <w:ind w:firstLine="560"/>
        <w:rPr>
          <w:b/>
          <w:color w:val="auto"/>
          <w:sz w:val="28"/>
          <w:szCs w:val="28"/>
          <w:highlight w:val="none"/>
        </w:rPr>
      </w:pPr>
    </w:p>
    <w:p w14:paraId="5645C651">
      <w:pPr>
        <w:pStyle w:val="2"/>
        <w:ind w:firstLine="560"/>
        <w:rPr>
          <w:color w:val="auto"/>
          <w:sz w:val="28"/>
          <w:szCs w:val="28"/>
          <w:highlight w:val="none"/>
        </w:rPr>
      </w:pPr>
    </w:p>
    <w:p w14:paraId="1483189C">
      <w:pPr>
        <w:ind w:firstLine="560"/>
        <w:rPr>
          <w:b/>
          <w:color w:val="auto"/>
          <w:sz w:val="28"/>
          <w:szCs w:val="28"/>
          <w:highlight w:val="none"/>
        </w:rPr>
      </w:pPr>
    </w:p>
    <w:p w14:paraId="6A75FE6F">
      <w:pPr>
        <w:pStyle w:val="2"/>
        <w:ind w:firstLine="560"/>
        <w:rPr>
          <w:color w:val="auto"/>
          <w:sz w:val="28"/>
          <w:szCs w:val="28"/>
          <w:highlight w:val="none"/>
        </w:rPr>
      </w:pPr>
    </w:p>
    <w:p w14:paraId="2099970E">
      <w:pPr>
        <w:ind w:firstLine="560"/>
        <w:rPr>
          <w:b/>
          <w:color w:val="auto"/>
          <w:sz w:val="28"/>
          <w:szCs w:val="28"/>
          <w:highlight w:val="none"/>
        </w:rPr>
      </w:pPr>
    </w:p>
    <w:p w14:paraId="6B82A444">
      <w:pPr>
        <w:pStyle w:val="2"/>
        <w:ind w:firstLine="560"/>
        <w:rPr>
          <w:color w:val="auto"/>
          <w:sz w:val="28"/>
          <w:szCs w:val="28"/>
          <w:highlight w:val="none"/>
        </w:rPr>
      </w:pPr>
    </w:p>
    <w:p w14:paraId="19EEBE5F">
      <w:pPr>
        <w:ind w:firstLine="560"/>
        <w:rPr>
          <w:b/>
          <w:color w:val="auto"/>
          <w:sz w:val="28"/>
          <w:szCs w:val="28"/>
          <w:highlight w:val="none"/>
        </w:rPr>
      </w:pPr>
    </w:p>
    <w:p w14:paraId="663A8598">
      <w:pPr>
        <w:pStyle w:val="2"/>
        <w:ind w:firstLine="560"/>
        <w:rPr>
          <w:color w:val="auto"/>
          <w:sz w:val="28"/>
          <w:szCs w:val="28"/>
          <w:highlight w:val="none"/>
        </w:rPr>
      </w:pPr>
    </w:p>
    <w:p w14:paraId="32031612">
      <w:pPr>
        <w:ind w:firstLine="560"/>
        <w:rPr>
          <w:b/>
          <w:color w:val="auto"/>
          <w:sz w:val="28"/>
          <w:szCs w:val="28"/>
          <w:highlight w:val="none"/>
        </w:rPr>
      </w:pPr>
    </w:p>
    <w:p w14:paraId="2F5F9E34">
      <w:pPr>
        <w:pStyle w:val="2"/>
        <w:ind w:firstLine="640"/>
        <w:rPr>
          <w:color w:val="auto"/>
          <w:highlight w:val="none"/>
        </w:rPr>
      </w:pPr>
    </w:p>
    <w:p w14:paraId="4448B6E7">
      <w:pPr>
        <w:spacing w:line="500" w:lineRule="exact"/>
        <w:ind w:firstLine="560"/>
        <w:rPr>
          <w:b/>
          <w:color w:val="auto"/>
          <w:sz w:val="28"/>
          <w:szCs w:val="28"/>
          <w:highlight w:val="none"/>
        </w:rPr>
      </w:pPr>
    </w:p>
    <w:p w14:paraId="255A64C7">
      <w:pPr>
        <w:spacing w:line="500" w:lineRule="exact"/>
        <w:rPr>
          <w:b/>
          <w:color w:val="auto"/>
          <w:sz w:val="28"/>
          <w:szCs w:val="28"/>
          <w:highlight w:val="none"/>
        </w:rPr>
      </w:pPr>
      <w:r>
        <w:rPr>
          <w:rFonts w:hint="eastAsia"/>
          <w:b/>
          <w:color w:val="auto"/>
          <w:sz w:val="28"/>
          <w:szCs w:val="28"/>
          <w:highlight w:val="none"/>
        </w:rPr>
        <w:t>附件5：廉政协议书</w:t>
      </w:r>
    </w:p>
    <w:p w14:paraId="76F4DFC4">
      <w:pPr>
        <w:snapToGrid w:val="0"/>
        <w:spacing w:line="360" w:lineRule="auto"/>
        <w:ind w:firstLine="562"/>
        <w:jc w:val="center"/>
        <w:rPr>
          <w:b/>
          <w:color w:val="auto"/>
          <w:sz w:val="28"/>
          <w:szCs w:val="28"/>
          <w:highlight w:val="none"/>
        </w:rPr>
      </w:pPr>
      <w:r>
        <w:rPr>
          <w:rFonts w:hint="eastAsia"/>
          <w:b/>
          <w:color w:val="auto"/>
          <w:sz w:val="28"/>
          <w:szCs w:val="28"/>
          <w:highlight w:val="none"/>
        </w:rPr>
        <w:t>廉政协议书</w:t>
      </w:r>
    </w:p>
    <w:p w14:paraId="5133F4BB">
      <w:pPr>
        <w:spacing w:line="440" w:lineRule="exact"/>
        <w:ind w:firstLine="496" w:firstLineChars="200"/>
        <w:rPr>
          <w:rFonts w:ascii="宋体" w:hAnsi="宋体"/>
          <w:b/>
          <w:bCs/>
          <w:color w:val="auto"/>
          <w:kern w:val="0"/>
          <w:sz w:val="24"/>
          <w:highlight w:val="none"/>
        </w:rPr>
      </w:pPr>
      <w:r>
        <w:rPr>
          <w:rFonts w:hint="eastAsia" w:ascii="宋体" w:hAnsi="宋体"/>
          <w:color w:val="auto"/>
          <w:spacing w:val="4"/>
          <w:kern w:val="0"/>
          <w:sz w:val="24"/>
          <w:highlight w:val="none"/>
        </w:rPr>
        <w:t>根据有关工程建设、廉政建设的条规，为做好工程建设中的党风廉政建设，保证工程建设高效优质，保证建设资金的安全和有效使用以及投资效益，建设工程的项目管理单位</w:t>
      </w:r>
      <w:r>
        <w:rPr>
          <w:rFonts w:hint="eastAsia" w:ascii="宋体" w:hAnsi="宋体"/>
          <w:color w:val="auto"/>
          <w:sz w:val="24"/>
          <w:highlight w:val="none"/>
          <w:u w:val="single"/>
        </w:rPr>
        <w:t>广州空港建设运营集团有限公司</w:t>
      </w:r>
      <w:r>
        <w:rPr>
          <w:rFonts w:hint="eastAsia" w:ascii="宋体" w:hAnsi="宋体"/>
          <w:color w:val="auto"/>
          <w:spacing w:val="4"/>
          <w:kern w:val="0"/>
          <w:sz w:val="24"/>
          <w:highlight w:val="none"/>
        </w:rPr>
        <w:t>（以下简称“委托单位”）与服务单位</w:t>
      </w:r>
      <w:r>
        <w:rPr>
          <w:rFonts w:hint="eastAsia" w:ascii="宋体" w:hAnsi="宋体"/>
          <w:color w:val="auto"/>
          <w:sz w:val="24"/>
          <w:highlight w:val="none"/>
          <w:u w:val="single"/>
        </w:rPr>
        <w:t>XXX公司</w:t>
      </w:r>
      <w:r>
        <w:rPr>
          <w:rFonts w:hint="eastAsia" w:ascii="宋体" w:hAnsi="宋体"/>
          <w:color w:val="auto"/>
          <w:sz w:val="24"/>
          <w:highlight w:val="none"/>
        </w:rPr>
        <w:t>（</w:t>
      </w:r>
      <w:r>
        <w:rPr>
          <w:rFonts w:hint="eastAsia" w:ascii="宋体" w:hAnsi="宋体"/>
          <w:color w:val="auto"/>
          <w:spacing w:val="4"/>
          <w:kern w:val="0"/>
          <w:sz w:val="24"/>
          <w:highlight w:val="none"/>
        </w:rPr>
        <w:t>以下称“受托单位”）就</w:t>
      </w:r>
      <w:r>
        <w:rPr>
          <w:rFonts w:hint="eastAsia" w:ascii="宋体" w:hAnsi="宋体"/>
          <w:color w:val="auto"/>
          <w:sz w:val="24"/>
          <w:highlight w:val="none"/>
          <w:u w:val="single"/>
        </w:rPr>
        <w:t>XXX工程</w:t>
      </w:r>
      <w:r>
        <w:rPr>
          <w:rFonts w:hint="eastAsia" w:ascii="宋体" w:hAnsi="宋体"/>
          <w:color w:val="auto"/>
          <w:sz w:val="24"/>
          <w:highlight w:val="none"/>
        </w:rPr>
        <w:t>勘察设计</w:t>
      </w:r>
      <w:r>
        <w:rPr>
          <w:rFonts w:hint="eastAsia" w:ascii="宋体" w:hAnsi="宋体"/>
          <w:color w:val="auto"/>
          <w:spacing w:val="4"/>
          <w:kern w:val="0"/>
          <w:sz w:val="24"/>
          <w:highlight w:val="none"/>
        </w:rPr>
        <w:t>特订立如下廉政协议书：</w:t>
      </w:r>
    </w:p>
    <w:p w14:paraId="4124B634">
      <w:pPr>
        <w:tabs>
          <w:tab w:val="left" w:pos="3465"/>
        </w:tabs>
        <w:spacing w:line="440" w:lineRule="exact"/>
        <w:ind w:left="-90" w:firstLine="581" w:firstLineChars="241"/>
        <w:outlineLvl w:val="0"/>
        <w:rPr>
          <w:rFonts w:ascii="宋体" w:hAnsi="宋体"/>
          <w:color w:val="auto"/>
          <w:kern w:val="0"/>
          <w:sz w:val="24"/>
          <w:highlight w:val="none"/>
        </w:rPr>
      </w:pPr>
      <w:r>
        <w:rPr>
          <w:rFonts w:hint="eastAsia" w:ascii="宋体" w:hAnsi="宋体"/>
          <w:b/>
          <w:bCs/>
          <w:color w:val="auto"/>
          <w:kern w:val="0"/>
          <w:sz w:val="24"/>
          <w:highlight w:val="none"/>
        </w:rPr>
        <w:t>一、双方的权利和义务</w:t>
      </w:r>
      <w:r>
        <w:rPr>
          <w:rFonts w:hint="eastAsia" w:ascii="宋体" w:hAnsi="宋体"/>
          <w:b/>
          <w:bCs/>
          <w:color w:val="auto"/>
          <w:kern w:val="0"/>
          <w:sz w:val="24"/>
          <w:highlight w:val="none"/>
        </w:rPr>
        <w:tab/>
      </w:r>
    </w:p>
    <w:p w14:paraId="61CB4300">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（一）严格遵守党的政策规定和国家有关法律法规的有关规定。</w:t>
      </w:r>
    </w:p>
    <w:p w14:paraId="1B818F5F">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（二）严格执行本项目的合同文件，自觉按合同办事。</w:t>
      </w:r>
    </w:p>
    <w:p w14:paraId="08162E1A">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（三）双方的业务活动坚持公开、公正、诚信、透明的原则（法律认定的商业秘密和合同文件另有规定除外），不得损害国家和集体利益，违反勘察设计工作管理规章制度。</w:t>
      </w:r>
    </w:p>
    <w:p w14:paraId="1C78D74B">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（四）建立健全廉政制度，开展廉政教育，设立廉政告示牌，公布举报电话，监督并认真查处违法违纪行为。</w:t>
      </w:r>
    </w:p>
    <w:p w14:paraId="4BE2AAB4">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（五）发现对方在业务活动中有违反廉政规定的行为，有及时提醒对方纠正的权利和义务。</w:t>
      </w:r>
    </w:p>
    <w:p w14:paraId="40463E21">
      <w:pPr>
        <w:spacing w:line="440" w:lineRule="exact"/>
        <w:ind w:left="-90" w:firstLine="580" w:firstLineChars="242"/>
        <w:rPr>
          <w:rFonts w:ascii="宋体" w:hAnsi="宋体"/>
          <w:bCs/>
          <w:color w:val="auto"/>
          <w:kern w:val="0"/>
          <w:sz w:val="24"/>
          <w:highlight w:val="none"/>
        </w:rPr>
      </w:pPr>
      <w:r>
        <w:rPr>
          <w:rFonts w:hint="eastAsia" w:ascii="宋体" w:hAnsi="宋体"/>
          <w:color w:val="auto"/>
          <w:kern w:val="0"/>
          <w:sz w:val="24"/>
          <w:highlight w:val="none"/>
        </w:rPr>
        <w:t>（六）发现对方严重违反本合同义务条款的行为，有向其上级有关部门举报、建议给予处理并要求告知处理结果的权利。</w:t>
      </w:r>
    </w:p>
    <w:p w14:paraId="395DF166">
      <w:pPr>
        <w:spacing w:line="440" w:lineRule="exact"/>
        <w:ind w:left="-90" w:firstLine="583" w:firstLineChars="242"/>
        <w:outlineLvl w:val="0"/>
        <w:rPr>
          <w:rFonts w:ascii="宋体" w:hAnsi="宋体"/>
          <w:color w:val="auto"/>
          <w:kern w:val="0"/>
          <w:sz w:val="24"/>
          <w:highlight w:val="none"/>
        </w:rPr>
      </w:pPr>
      <w:r>
        <w:rPr>
          <w:rFonts w:hint="eastAsia" w:ascii="宋体" w:hAnsi="宋体"/>
          <w:b/>
          <w:bCs/>
          <w:color w:val="auto"/>
          <w:kern w:val="0"/>
          <w:sz w:val="24"/>
          <w:highlight w:val="none"/>
        </w:rPr>
        <w:t>二、委托单位的义务</w:t>
      </w:r>
    </w:p>
    <w:p w14:paraId="2D1068A3">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（一）委托单位及其工作人员不得索要或接受代理单位的礼金、有价证券和贵重等。</w:t>
      </w:r>
    </w:p>
    <w:p w14:paraId="0B7FC7FC">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（二）委托单位工作人员不得参加服务单位安排的超标准宴请和娱乐活动；不得接受服务单位提供的通讯工具、交通工具和高档办公用品等。</w:t>
      </w:r>
    </w:p>
    <w:p w14:paraId="04CEBF5F">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（三）委托单位及其工作人员不得要求或者接受服务单位为其住房装修、婚丧嫁娶活动、配偶子女的工作安排以及出国出境、旅游等提供方便等。</w:t>
      </w:r>
    </w:p>
    <w:p w14:paraId="2DC2869E">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（四）委托单位工作人员的配偶、子女不得从事与委托单位工程有关的材料设备供应、工程分包、劳务等经济活动。</w:t>
      </w:r>
    </w:p>
    <w:p w14:paraId="482AEF1E">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（五）委托单位及其工作人员不得以任何理由向服务单位推荐分包单位或推销材料，不得要求服务单位购买合同规定外的材料和设备。</w:t>
      </w:r>
    </w:p>
    <w:p w14:paraId="1F02F014">
      <w:pPr>
        <w:spacing w:line="440" w:lineRule="exact"/>
        <w:ind w:left="-90" w:firstLine="580" w:firstLineChars="242"/>
        <w:rPr>
          <w:rFonts w:ascii="宋体" w:hAnsi="宋体"/>
          <w:bCs/>
          <w:color w:val="auto"/>
          <w:kern w:val="0"/>
          <w:sz w:val="24"/>
          <w:highlight w:val="none"/>
        </w:rPr>
      </w:pPr>
      <w:r>
        <w:rPr>
          <w:rFonts w:hint="eastAsia" w:ascii="宋体" w:hAnsi="宋体"/>
          <w:color w:val="auto"/>
          <w:kern w:val="0"/>
          <w:sz w:val="24"/>
          <w:highlight w:val="none"/>
        </w:rPr>
        <w:t>（六）委托单位工作人员要秉公办事，不准徇私舞弊，不准利用职权从事各种个人有偿中介活动和安排个人施工队伍。</w:t>
      </w:r>
    </w:p>
    <w:p w14:paraId="4A59F427">
      <w:pPr>
        <w:spacing w:line="440" w:lineRule="exact"/>
        <w:ind w:left="-90" w:firstLine="583" w:firstLineChars="242"/>
        <w:outlineLvl w:val="0"/>
        <w:rPr>
          <w:rFonts w:ascii="宋体" w:hAnsi="宋体"/>
          <w:color w:val="auto"/>
          <w:kern w:val="0"/>
          <w:sz w:val="24"/>
          <w:highlight w:val="none"/>
        </w:rPr>
      </w:pPr>
      <w:r>
        <w:rPr>
          <w:rFonts w:hint="eastAsia" w:ascii="宋体" w:hAnsi="宋体"/>
          <w:b/>
          <w:bCs/>
          <w:color w:val="auto"/>
          <w:kern w:val="0"/>
          <w:sz w:val="24"/>
          <w:highlight w:val="none"/>
        </w:rPr>
        <w:t>三、受托单位义务</w:t>
      </w:r>
    </w:p>
    <w:p w14:paraId="70A3687A">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（一）受托单位不得以任何理由向委托单位及其工作人员行贿或馈赠礼金、有价证券、贵重物品。</w:t>
      </w:r>
    </w:p>
    <w:p w14:paraId="702CDF30">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（二）受托单位不得以任何名义为委托单位及其工作人员报销应由委托单位单位或个人支付的任何费用。</w:t>
      </w:r>
    </w:p>
    <w:p w14:paraId="2D413D78">
      <w:pPr>
        <w:spacing w:line="440" w:lineRule="exact"/>
        <w:ind w:left="-90" w:firstLine="580" w:firstLineChars="242"/>
        <w:rPr>
          <w:rFonts w:ascii="宋体" w:hAnsi="宋体"/>
          <w:bCs/>
          <w:color w:val="auto"/>
          <w:kern w:val="0"/>
          <w:sz w:val="24"/>
          <w:highlight w:val="none"/>
        </w:rPr>
      </w:pPr>
      <w:r>
        <w:rPr>
          <w:rFonts w:hint="eastAsia" w:ascii="宋体" w:hAnsi="宋体"/>
          <w:color w:val="auto"/>
          <w:kern w:val="0"/>
          <w:sz w:val="24"/>
          <w:highlight w:val="none"/>
        </w:rPr>
        <w:t>（三）受托单位不得以任何理由安排委托单位工作人员参加超标准宴请及娱乐活动。</w:t>
      </w:r>
    </w:p>
    <w:p w14:paraId="623724D4">
      <w:pPr>
        <w:spacing w:line="440" w:lineRule="exact"/>
        <w:ind w:left="-90" w:firstLine="580" w:firstLineChars="242"/>
        <w:rPr>
          <w:rFonts w:ascii="宋体" w:hAnsi="宋体"/>
          <w:bCs/>
          <w:color w:val="auto"/>
          <w:kern w:val="0"/>
          <w:sz w:val="24"/>
          <w:highlight w:val="none"/>
        </w:rPr>
      </w:pPr>
      <w:r>
        <w:rPr>
          <w:rFonts w:hint="eastAsia" w:ascii="宋体" w:hAnsi="宋体"/>
          <w:bCs/>
          <w:color w:val="auto"/>
          <w:kern w:val="0"/>
          <w:sz w:val="24"/>
          <w:highlight w:val="none"/>
        </w:rPr>
        <w:t>（四）</w:t>
      </w:r>
      <w:r>
        <w:rPr>
          <w:rFonts w:hint="eastAsia" w:ascii="宋体" w:hAnsi="宋体"/>
          <w:color w:val="auto"/>
          <w:kern w:val="0"/>
          <w:sz w:val="24"/>
          <w:highlight w:val="none"/>
        </w:rPr>
        <w:t>受托单位</w:t>
      </w:r>
      <w:r>
        <w:rPr>
          <w:rFonts w:hint="eastAsia" w:ascii="宋体" w:hAnsi="宋体"/>
          <w:bCs/>
          <w:color w:val="auto"/>
          <w:kern w:val="0"/>
          <w:sz w:val="24"/>
          <w:highlight w:val="none"/>
        </w:rPr>
        <w:t>不得为委托单位和个人购置或提供通讯工具、交通工具和高档办公用品等。</w:t>
      </w:r>
    </w:p>
    <w:p w14:paraId="14738939">
      <w:pPr>
        <w:spacing w:line="440" w:lineRule="exact"/>
        <w:ind w:left="-90" w:firstLine="583" w:firstLineChars="242"/>
        <w:outlineLvl w:val="0"/>
        <w:rPr>
          <w:rFonts w:ascii="宋体" w:hAnsi="宋体"/>
          <w:color w:val="auto"/>
          <w:kern w:val="0"/>
          <w:sz w:val="24"/>
          <w:highlight w:val="none"/>
        </w:rPr>
      </w:pPr>
      <w:r>
        <w:rPr>
          <w:rFonts w:hint="eastAsia" w:ascii="宋体" w:hAnsi="宋体"/>
          <w:b/>
          <w:bCs/>
          <w:color w:val="auto"/>
          <w:kern w:val="0"/>
          <w:sz w:val="24"/>
          <w:highlight w:val="none"/>
        </w:rPr>
        <w:t>四、违约责任</w:t>
      </w:r>
    </w:p>
    <w:p w14:paraId="21B3A2D3">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（一）委托单位及其工作人员违反本合同第一、二条，按管理权限，依据有关规定给予党纪、政纪或组织处理；涉嫌犯罪的，移交司法机关追究刑事责任；给代理单位单位造成经济损失的，应予以赔偿。</w:t>
      </w:r>
    </w:p>
    <w:p w14:paraId="3ED930A5">
      <w:pPr>
        <w:spacing w:line="440" w:lineRule="exact"/>
        <w:ind w:left="-90" w:firstLine="580" w:firstLineChars="242"/>
        <w:rPr>
          <w:rFonts w:ascii="宋体" w:hAnsi="宋体"/>
          <w:color w:val="auto"/>
          <w:kern w:val="10"/>
          <w:sz w:val="24"/>
          <w:highlight w:val="none"/>
        </w:rPr>
      </w:pPr>
      <w:r>
        <w:rPr>
          <w:rFonts w:hint="eastAsia" w:ascii="宋体" w:hAnsi="宋体"/>
          <w:color w:val="auto"/>
          <w:kern w:val="0"/>
          <w:sz w:val="24"/>
          <w:highlight w:val="none"/>
        </w:rPr>
        <w:t>（二）受托单位及其工作人员违反本合同第一、三条，按管理权限，依据有关规定给予党纪、政纪或组织处理；给委托单位单位造成经济损失的，应予以赔偿；情节严重的，委托单位建议工程建设主管部门给予代理单位一至三年内不得进入其主管的工程建设市场的处罚。</w:t>
      </w:r>
    </w:p>
    <w:p w14:paraId="190542E1">
      <w:pPr>
        <w:spacing w:line="440" w:lineRule="exact"/>
        <w:ind w:left="-90" w:firstLine="583" w:firstLineChars="242"/>
        <w:outlineLvl w:val="0"/>
        <w:rPr>
          <w:rFonts w:ascii="宋体" w:hAnsi="宋体"/>
          <w:b/>
          <w:color w:val="auto"/>
          <w:kern w:val="10"/>
          <w:sz w:val="24"/>
          <w:highlight w:val="none"/>
        </w:rPr>
      </w:pPr>
      <w:r>
        <w:rPr>
          <w:rFonts w:hint="eastAsia" w:ascii="宋体" w:hAnsi="宋体"/>
          <w:b/>
          <w:color w:val="auto"/>
          <w:kern w:val="10"/>
          <w:sz w:val="24"/>
          <w:highlight w:val="none"/>
        </w:rPr>
        <w:t>五、双方约定：</w:t>
      </w:r>
    </w:p>
    <w:p w14:paraId="7154F736">
      <w:pPr>
        <w:spacing w:line="440" w:lineRule="exact"/>
        <w:ind w:firstLine="480" w:firstLineChars="200"/>
        <w:rPr>
          <w:rFonts w:ascii="宋体" w:hAnsi="宋体"/>
          <w:color w:val="auto"/>
          <w:kern w:val="10"/>
          <w:sz w:val="24"/>
          <w:highlight w:val="none"/>
        </w:rPr>
      </w:pPr>
      <w:r>
        <w:rPr>
          <w:rFonts w:hint="eastAsia" w:ascii="宋体" w:hAnsi="宋体"/>
          <w:color w:val="auto"/>
          <w:kern w:val="0"/>
          <w:sz w:val="24"/>
          <w:highlight w:val="none"/>
        </w:rPr>
        <w:t>本合同由双方或双方上级单位的纪检监察机关负责监督执行。由委托单位或委托单位上级单位的纪检监察机关约请受托单位或受托单位上级单位纪检监察机关对本合同执行情况进行检查，提出在本合同规定范围内的裁定意见。</w:t>
      </w:r>
    </w:p>
    <w:p w14:paraId="67C500F2">
      <w:pPr>
        <w:spacing w:line="440" w:lineRule="exact"/>
        <w:ind w:firstLine="482" w:firstLineChars="200"/>
        <w:outlineLvl w:val="0"/>
        <w:rPr>
          <w:rFonts w:ascii="宋体" w:hAnsi="宋体"/>
          <w:color w:val="auto"/>
          <w:kern w:val="10"/>
          <w:sz w:val="24"/>
          <w:highlight w:val="none"/>
        </w:rPr>
      </w:pPr>
      <w:r>
        <w:rPr>
          <w:rFonts w:hint="eastAsia" w:ascii="宋体" w:hAnsi="宋体"/>
          <w:b/>
          <w:color w:val="auto"/>
          <w:kern w:val="10"/>
          <w:sz w:val="24"/>
          <w:highlight w:val="none"/>
        </w:rPr>
        <w:t>六、</w:t>
      </w:r>
      <w:r>
        <w:rPr>
          <w:rFonts w:hint="eastAsia" w:ascii="宋体" w:hAnsi="宋体"/>
          <w:color w:val="auto"/>
          <w:kern w:val="10"/>
          <w:sz w:val="24"/>
          <w:highlight w:val="none"/>
        </w:rPr>
        <w:t>本合同有效期为双方签署之日起至该工程项目竣工验收后止。</w:t>
      </w:r>
    </w:p>
    <w:p w14:paraId="7C065419">
      <w:pPr>
        <w:spacing w:line="440" w:lineRule="exact"/>
        <w:ind w:firstLine="482" w:firstLineChars="200"/>
        <w:outlineLvl w:val="0"/>
        <w:rPr>
          <w:rFonts w:ascii="宋体" w:hAnsi="宋体"/>
          <w:color w:val="auto"/>
          <w:kern w:val="10"/>
          <w:sz w:val="24"/>
          <w:highlight w:val="none"/>
        </w:rPr>
      </w:pPr>
      <w:r>
        <w:rPr>
          <w:rFonts w:hint="eastAsia" w:ascii="宋体" w:hAnsi="宋体"/>
          <w:b/>
          <w:color w:val="auto"/>
          <w:kern w:val="10"/>
          <w:sz w:val="24"/>
          <w:highlight w:val="none"/>
        </w:rPr>
        <w:t>七、</w:t>
      </w:r>
      <w:r>
        <w:rPr>
          <w:rFonts w:hint="eastAsia" w:ascii="宋体" w:hAnsi="宋体"/>
          <w:color w:val="auto"/>
          <w:kern w:val="10"/>
          <w:sz w:val="24"/>
          <w:highlight w:val="none"/>
        </w:rPr>
        <w:t>本合同作为本项目招标</w:t>
      </w:r>
      <w:r>
        <w:rPr>
          <w:rFonts w:hint="eastAsia" w:ascii="宋体" w:hAnsi="宋体"/>
          <w:color w:val="auto"/>
          <w:kern w:val="0"/>
          <w:sz w:val="24"/>
          <w:highlight w:val="none"/>
        </w:rPr>
        <w:t>服务</w:t>
      </w:r>
      <w:r>
        <w:rPr>
          <w:rFonts w:hint="eastAsia" w:ascii="宋体" w:hAnsi="宋体"/>
          <w:color w:val="auto"/>
          <w:kern w:val="10"/>
          <w:sz w:val="24"/>
          <w:highlight w:val="none"/>
        </w:rPr>
        <w:t>合同的附件，与主合同具有同等的法律效力，经合同双方签署立即生效。</w:t>
      </w:r>
    </w:p>
    <w:p w14:paraId="1AE4506A">
      <w:pPr>
        <w:spacing w:line="440" w:lineRule="exact"/>
        <w:ind w:firstLine="482" w:firstLineChars="200"/>
        <w:outlineLvl w:val="0"/>
        <w:rPr>
          <w:rFonts w:ascii="宋体" w:hAnsi="宋体"/>
          <w:color w:val="auto"/>
          <w:kern w:val="10"/>
          <w:sz w:val="24"/>
          <w:highlight w:val="none"/>
        </w:rPr>
      </w:pPr>
      <w:r>
        <w:rPr>
          <w:rFonts w:hint="eastAsia" w:ascii="宋体" w:hAnsi="宋体"/>
          <w:b/>
          <w:color w:val="auto"/>
          <w:kern w:val="10"/>
          <w:sz w:val="24"/>
          <w:highlight w:val="none"/>
        </w:rPr>
        <w:t>八、</w:t>
      </w:r>
      <w:r>
        <w:rPr>
          <w:rFonts w:hint="eastAsia" w:ascii="宋体" w:hAnsi="宋体"/>
          <w:color w:val="auto"/>
          <w:kern w:val="10"/>
          <w:sz w:val="24"/>
          <w:highlight w:val="none"/>
        </w:rPr>
        <w:t>由双方法定代表人或其授权的代理人签署与加盖公章后生效，全部工程竣工验收后失效。</w:t>
      </w:r>
    </w:p>
    <w:p w14:paraId="58F055B6">
      <w:pPr>
        <w:ind w:firstLine="482"/>
        <w:rPr>
          <w:color w:val="auto"/>
          <w:highlight w:val="none"/>
        </w:rPr>
      </w:pPr>
    </w:p>
    <w:p w14:paraId="0F3980BE">
      <w:pPr>
        <w:widowControl/>
        <w:spacing w:line="360" w:lineRule="auto"/>
        <w:jc w:val="left"/>
        <w:rPr>
          <w:color w:val="auto"/>
          <w:sz w:val="24"/>
          <w:highlight w:val="none"/>
        </w:rPr>
      </w:pPr>
      <w:r>
        <w:rPr>
          <w:rFonts w:hint="eastAsia" w:ascii="宋体" w:hAnsi="宋体"/>
          <w:color w:val="auto"/>
          <w:sz w:val="24"/>
          <w:highlight w:val="none"/>
        </w:rPr>
        <w:t xml:space="preserve">委托单位：广州空港建设运营集团有限公司  </w:t>
      </w:r>
      <w:r>
        <w:rPr>
          <w:rFonts w:hint="eastAsia"/>
          <w:color w:val="auto"/>
          <w:sz w:val="24"/>
          <w:highlight w:val="none"/>
        </w:rPr>
        <w:t>受托单位：XXX公司</w:t>
      </w:r>
    </w:p>
    <w:p w14:paraId="1107056B">
      <w:pPr>
        <w:widowControl/>
        <w:spacing w:line="360" w:lineRule="auto"/>
        <w:ind w:firstLine="960" w:firstLineChars="400"/>
        <w:jc w:val="left"/>
        <w:rPr>
          <w:rFonts w:ascii="宋体" w:hAnsi="宋体"/>
          <w:color w:val="auto"/>
          <w:sz w:val="24"/>
          <w:highlight w:val="none"/>
        </w:rPr>
      </w:pPr>
      <w:r>
        <w:rPr>
          <w:rFonts w:hint="eastAsia" w:ascii="宋体" w:hAnsi="宋体"/>
          <w:color w:val="auto"/>
          <w:sz w:val="24"/>
          <w:highlight w:val="none"/>
        </w:rPr>
        <w:t xml:space="preserve">（盖章）                                   </w:t>
      </w:r>
      <w:r>
        <w:rPr>
          <w:rFonts w:hint="eastAsia"/>
          <w:color w:val="auto"/>
          <w:sz w:val="24"/>
          <w:highlight w:val="none"/>
        </w:rPr>
        <w:t xml:space="preserve">   </w:t>
      </w:r>
      <w:r>
        <w:rPr>
          <w:rFonts w:hint="eastAsia" w:ascii="宋体" w:hAnsi="宋体"/>
          <w:color w:val="auto"/>
          <w:sz w:val="24"/>
          <w:highlight w:val="none"/>
        </w:rPr>
        <w:t xml:space="preserve">（盖章）                                 </w:t>
      </w:r>
    </w:p>
    <w:p w14:paraId="46773336">
      <w:pPr>
        <w:pStyle w:val="9"/>
        <w:spacing w:before="0" w:beforeAutospacing="0" w:after="0" w:afterAutospacing="0" w:line="360" w:lineRule="auto"/>
        <w:rPr>
          <w:color w:val="auto"/>
          <w:highlight w:val="none"/>
        </w:rPr>
      </w:pPr>
      <w:r>
        <w:rPr>
          <w:rFonts w:hint="eastAsia"/>
          <w:color w:val="auto"/>
          <w:highlight w:val="none"/>
        </w:rPr>
        <w:t>法定代表人（签字或签章）：              法定代表人（签字或签章）：</w:t>
      </w:r>
    </w:p>
    <w:p w14:paraId="719F19AE">
      <w:pPr>
        <w:pStyle w:val="9"/>
        <w:spacing w:before="0" w:beforeAutospacing="0" w:after="0" w:afterAutospacing="0" w:line="360" w:lineRule="auto"/>
        <w:rPr>
          <w:color w:val="auto"/>
          <w:highlight w:val="none"/>
        </w:rPr>
      </w:pPr>
      <w:r>
        <w:rPr>
          <w:rFonts w:hint="eastAsia"/>
          <w:color w:val="auto"/>
          <w:highlight w:val="none"/>
        </w:rPr>
        <w:t>或授权代理人（签字或签章）：            或授权代理人（签字或签章）：</w:t>
      </w:r>
    </w:p>
    <w:sectPr>
      <w:pgSz w:w="11906" w:h="16838"/>
      <w:pgMar w:top="1304" w:right="1418"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46299">
    <w:pPr>
      <w:pStyle w:val="6"/>
      <w:jc w:val="center"/>
    </w:pPr>
    <w:r>
      <w:fldChar w:fldCharType="begin"/>
    </w:r>
    <w:r>
      <w:instrText xml:space="preserve">PAGE   \* MERGEFORMAT</w:instrText>
    </w:r>
    <w:r>
      <w:fldChar w:fldCharType="separate"/>
    </w:r>
    <w:r>
      <w:rPr>
        <w:lang w:val="zh-CN"/>
      </w:rPr>
      <w:t>27</w:t>
    </w:r>
    <w:r>
      <w:fldChar w:fldCharType="end"/>
    </w:r>
  </w:p>
  <w:p w14:paraId="3383C151">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19EED">
    <w:pPr>
      <w:pStyle w:val="6"/>
      <w:framePr w:wrap="around" w:vAnchor="text" w:hAnchor="margin" w:xAlign="center" w:y="1"/>
      <w:rPr>
        <w:rStyle w:val="13"/>
      </w:rPr>
    </w:pPr>
    <w:r>
      <w:fldChar w:fldCharType="begin"/>
    </w:r>
    <w:r>
      <w:rPr>
        <w:rStyle w:val="13"/>
      </w:rPr>
      <w:instrText xml:space="preserve">PAGE  </w:instrText>
    </w:r>
    <w:r>
      <w:fldChar w:fldCharType="end"/>
    </w:r>
  </w:p>
  <w:p w14:paraId="1D8CB443">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827FB">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ZDQ5ZmI5MWM5MDllMDkzODFkNmVkNDU3NjQwZjEifQ=="/>
  </w:docVars>
  <w:rsids>
    <w:rsidRoot w:val="00D54798"/>
    <w:rsid w:val="000363B8"/>
    <w:rsid w:val="00052053"/>
    <w:rsid w:val="00091298"/>
    <w:rsid w:val="000A196D"/>
    <w:rsid w:val="000B2963"/>
    <w:rsid w:val="00117D79"/>
    <w:rsid w:val="001A0A8D"/>
    <w:rsid w:val="001E6415"/>
    <w:rsid w:val="00215A6F"/>
    <w:rsid w:val="002B2628"/>
    <w:rsid w:val="002D0AF3"/>
    <w:rsid w:val="003D78BC"/>
    <w:rsid w:val="003F6362"/>
    <w:rsid w:val="004036A2"/>
    <w:rsid w:val="004147D9"/>
    <w:rsid w:val="004361D8"/>
    <w:rsid w:val="00463DC3"/>
    <w:rsid w:val="004762FF"/>
    <w:rsid w:val="00482EF8"/>
    <w:rsid w:val="0049201B"/>
    <w:rsid w:val="004A55EA"/>
    <w:rsid w:val="004D53D9"/>
    <w:rsid w:val="004D6F48"/>
    <w:rsid w:val="004E79BD"/>
    <w:rsid w:val="00504D29"/>
    <w:rsid w:val="00557B41"/>
    <w:rsid w:val="00595029"/>
    <w:rsid w:val="0059768F"/>
    <w:rsid w:val="005D2AFC"/>
    <w:rsid w:val="005E013C"/>
    <w:rsid w:val="005F375C"/>
    <w:rsid w:val="00606081"/>
    <w:rsid w:val="00626484"/>
    <w:rsid w:val="0064797E"/>
    <w:rsid w:val="006B3AD4"/>
    <w:rsid w:val="006D6722"/>
    <w:rsid w:val="007129C1"/>
    <w:rsid w:val="0077316E"/>
    <w:rsid w:val="00782AC8"/>
    <w:rsid w:val="0079310E"/>
    <w:rsid w:val="007C5EF0"/>
    <w:rsid w:val="007D37DF"/>
    <w:rsid w:val="007E67FB"/>
    <w:rsid w:val="008A2B40"/>
    <w:rsid w:val="008C005C"/>
    <w:rsid w:val="008C066B"/>
    <w:rsid w:val="008C706A"/>
    <w:rsid w:val="008C7D93"/>
    <w:rsid w:val="0099192A"/>
    <w:rsid w:val="00A01A35"/>
    <w:rsid w:val="00A036BF"/>
    <w:rsid w:val="00A57462"/>
    <w:rsid w:val="00A643E8"/>
    <w:rsid w:val="00A6728E"/>
    <w:rsid w:val="00AA4AAD"/>
    <w:rsid w:val="00AC33C1"/>
    <w:rsid w:val="00AF46A3"/>
    <w:rsid w:val="00AF76C9"/>
    <w:rsid w:val="00B2309F"/>
    <w:rsid w:val="00B27B02"/>
    <w:rsid w:val="00B34706"/>
    <w:rsid w:val="00B96B5A"/>
    <w:rsid w:val="00C631E6"/>
    <w:rsid w:val="00CA3D2C"/>
    <w:rsid w:val="00CE62D5"/>
    <w:rsid w:val="00CE650C"/>
    <w:rsid w:val="00D06880"/>
    <w:rsid w:val="00D10D50"/>
    <w:rsid w:val="00D35F73"/>
    <w:rsid w:val="00D54798"/>
    <w:rsid w:val="00D560FC"/>
    <w:rsid w:val="00D86B65"/>
    <w:rsid w:val="00DC0861"/>
    <w:rsid w:val="00DE0FA1"/>
    <w:rsid w:val="00E0292C"/>
    <w:rsid w:val="00E347D2"/>
    <w:rsid w:val="00E54EE9"/>
    <w:rsid w:val="00E64C0E"/>
    <w:rsid w:val="00EB5E59"/>
    <w:rsid w:val="00EC35FB"/>
    <w:rsid w:val="00F3737F"/>
    <w:rsid w:val="00F447C8"/>
    <w:rsid w:val="00FA7991"/>
    <w:rsid w:val="00FE007B"/>
    <w:rsid w:val="07EA36C5"/>
    <w:rsid w:val="08C22611"/>
    <w:rsid w:val="0BB12065"/>
    <w:rsid w:val="0D14608B"/>
    <w:rsid w:val="0DEA5A2D"/>
    <w:rsid w:val="0E6218DA"/>
    <w:rsid w:val="11722245"/>
    <w:rsid w:val="11BF511D"/>
    <w:rsid w:val="12900A7D"/>
    <w:rsid w:val="12E77316"/>
    <w:rsid w:val="134C478E"/>
    <w:rsid w:val="137015AE"/>
    <w:rsid w:val="14403B8E"/>
    <w:rsid w:val="145F3625"/>
    <w:rsid w:val="177C4E26"/>
    <w:rsid w:val="17F062CD"/>
    <w:rsid w:val="1873243D"/>
    <w:rsid w:val="1DBE44DB"/>
    <w:rsid w:val="1F0E3FA6"/>
    <w:rsid w:val="20141139"/>
    <w:rsid w:val="213A3596"/>
    <w:rsid w:val="22D54782"/>
    <w:rsid w:val="23383418"/>
    <w:rsid w:val="25EE4A89"/>
    <w:rsid w:val="26902DF9"/>
    <w:rsid w:val="274970BF"/>
    <w:rsid w:val="276D6EB5"/>
    <w:rsid w:val="28F825FF"/>
    <w:rsid w:val="29A644EA"/>
    <w:rsid w:val="2A404A76"/>
    <w:rsid w:val="2BEC6A86"/>
    <w:rsid w:val="2CD062EC"/>
    <w:rsid w:val="2DCC5A73"/>
    <w:rsid w:val="345C0147"/>
    <w:rsid w:val="3562018D"/>
    <w:rsid w:val="359A53D6"/>
    <w:rsid w:val="35AF7995"/>
    <w:rsid w:val="35EC1D44"/>
    <w:rsid w:val="35F17DF2"/>
    <w:rsid w:val="36D30893"/>
    <w:rsid w:val="3AB749A0"/>
    <w:rsid w:val="3B1D37BE"/>
    <w:rsid w:val="3F8B1D6E"/>
    <w:rsid w:val="45085FC0"/>
    <w:rsid w:val="459071AF"/>
    <w:rsid w:val="463849BA"/>
    <w:rsid w:val="4B86496A"/>
    <w:rsid w:val="4C5B3287"/>
    <w:rsid w:val="4DAD471C"/>
    <w:rsid w:val="514E0F04"/>
    <w:rsid w:val="52242E2F"/>
    <w:rsid w:val="52DE096C"/>
    <w:rsid w:val="542E42E3"/>
    <w:rsid w:val="58A849E6"/>
    <w:rsid w:val="5B962D1F"/>
    <w:rsid w:val="5CAD6E6A"/>
    <w:rsid w:val="5F1A32B1"/>
    <w:rsid w:val="6318171A"/>
    <w:rsid w:val="631924D2"/>
    <w:rsid w:val="63914315"/>
    <w:rsid w:val="661105E5"/>
    <w:rsid w:val="6710750F"/>
    <w:rsid w:val="674546CF"/>
    <w:rsid w:val="68BB6CA2"/>
    <w:rsid w:val="68C50D63"/>
    <w:rsid w:val="69947E3B"/>
    <w:rsid w:val="6CBD5C3C"/>
    <w:rsid w:val="6CC12C6C"/>
    <w:rsid w:val="6D796314"/>
    <w:rsid w:val="6F9349D7"/>
    <w:rsid w:val="72676E0E"/>
    <w:rsid w:val="73D3277F"/>
    <w:rsid w:val="740D0B38"/>
    <w:rsid w:val="77A967D7"/>
    <w:rsid w:val="78B64F90"/>
    <w:rsid w:val="79286884"/>
    <w:rsid w:val="7A150B39"/>
    <w:rsid w:val="7E993FC6"/>
    <w:rsid w:val="7EC55CA1"/>
    <w:rsid w:val="7F827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7"/>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4"/>
    <w:autoRedefine/>
    <w:qFormat/>
    <w:uiPriority w:val="0"/>
    <w:rPr>
      <w:rFonts w:ascii="宋体" w:hAnsi="Courier New"/>
      <w:szCs w:val="20"/>
    </w:rPr>
  </w:style>
  <w:style w:type="paragraph" w:styleId="4">
    <w:name w:val="Date"/>
    <w:basedOn w:val="1"/>
    <w:next w:val="1"/>
    <w:link w:val="21"/>
    <w:semiHidden/>
    <w:unhideWhenUsed/>
    <w:qFormat/>
    <w:uiPriority w:val="99"/>
    <w:pPr>
      <w:ind w:left="100" w:leftChars="2500"/>
    </w:pPr>
  </w:style>
  <w:style w:type="paragraph" w:styleId="5">
    <w:name w:val="Balloon Text"/>
    <w:basedOn w:val="1"/>
    <w:link w:val="18"/>
    <w:autoRedefine/>
    <w:semiHidden/>
    <w:unhideWhenUsed/>
    <w:qFormat/>
    <w:uiPriority w:val="99"/>
    <w:rPr>
      <w:sz w:val="18"/>
      <w:szCs w:val="18"/>
    </w:rPr>
  </w:style>
  <w:style w:type="paragraph" w:styleId="6">
    <w:name w:val="footer"/>
    <w:basedOn w:val="1"/>
    <w:link w:val="15"/>
    <w:autoRedefine/>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autoRedefine/>
    <w:unhideWhenUsed/>
    <w:qFormat/>
    <w:uiPriority w:val="39"/>
    <w:pPr>
      <w:ind w:left="420" w:leftChars="200"/>
    </w:p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autoRedefine/>
    <w:qFormat/>
    <w:uiPriority w:val="0"/>
  </w:style>
  <w:style w:type="character" w:customStyle="1" w:styleId="14">
    <w:name w:val="纯文本 Char"/>
    <w:basedOn w:val="12"/>
    <w:link w:val="3"/>
    <w:autoRedefine/>
    <w:qFormat/>
    <w:uiPriority w:val="0"/>
    <w:rPr>
      <w:rFonts w:ascii="宋体" w:hAnsi="Courier New" w:eastAsia="宋体" w:cs="Times New Roman"/>
      <w:szCs w:val="20"/>
    </w:rPr>
  </w:style>
  <w:style w:type="character" w:customStyle="1" w:styleId="15">
    <w:name w:val="页脚 Char"/>
    <w:basedOn w:val="12"/>
    <w:link w:val="6"/>
    <w:autoRedefine/>
    <w:qFormat/>
    <w:uiPriority w:val="99"/>
    <w:rPr>
      <w:rFonts w:ascii="Times New Roman" w:hAnsi="Times New Roman" w:eastAsia="宋体" w:cs="Times New Roman"/>
      <w:sz w:val="18"/>
      <w:szCs w:val="18"/>
    </w:rPr>
  </w:style>
  <w:style w:type="character" w:customStyle="1" w:styleId="16">
    <w:name w:val="页眉 Char"/>
    <w:basedOn w:val="12"/>
    <w:link w:val="7"/>
    <w:autoRedefine/>
    <w:qFormat/>
    <w:uiPriority w:val="0"/>
    <w:rPr>
      <w:rFonts w:ascii="Times New Roman" w:hAnsi="Times New Roman" w:eastAsia="宋体" w:cs="Times New Roman"/>
      <w:sz w:val="18"/>
      <w:szCs w:val="18"/>
    </w:rPr>
  </w:style>
  <w:style w:type="character" w:customStyle="1" w:styleId="17">
    <w:name w:val="标题 2 Char"/>
    <w:basedOn w:val="12"/>
    <w:link w:val="2"/>
    <w:autoRedefine/>
    <w:semiHidden/>
    <w:qFormat/>
    <w:uiPriority w:val="9"/>
    <w:rPr>
      <w:rFonts w:asciiTheme="majorHAnsi" w:hAnsiTheme="majorHAnsi" w:eastAsiaTheme="majorEastAsia" w:cstheme="majorBidi"/>
      <w:b/>
      <w:bCs/>
      <w:sz w:val="32"/>
      <w:szCs w:val="32"/>
    </w:rPr>
  </w:style>
  <w:style w:type="character" w:customStyle="1" w:styleId="18">
    <w:name w:val="批注框文本 Char"/>
    <w:basedOn w:val="12"/>
    <w:link w:val="5"/>
    <w:semiHidden/>
    <w:qFormat/>
    <w:uiPriority w:val="99"/>
    <w:rPr>
      <w:rFonts w:ascii="Times New Roman" w:hAnsi="Times New Roman" w:eastAsia="宋体" w:cs="Times New Roman"/>
      <w:kern w:val="2"/>
      <w:sz w:val="18"/>
      <w:szCs w:val="18"/>
    </w:rPr>
  </w:style>
  <w:style w:type="paragraph" w:customStyle="1" w:styleId="19">
    <w:name w:val="修订1"/>
    <w:hidden/>
    <w:unhideWhenUsed/>
    <w:qFormat/>
    <w:uiPriority w:val="99"/>
    <w:rPr>
      <w:rFonts w:ascii="Times New Roman" w:hAnsi="Times New Roman" w:eastAsia="宋体" w:cs="Times New Roman"/>
      <w:kern w:val="2"/>
      <w:sz w:val="21"/>
      <w:szCs w:val="24"/>
      <w:lang w:val="en-US" w:eastAsia="zh-CN" w:bidi="ar-SA"/>
    </w:rPr>
  </w:style>
  <w:style w:type="paragraph" w:styleId="20">
    <w:name w:val="List Paragraph"/>
    <w:basedOn w:val="1"/>
    <w:unhideWhenUsed/>
    <w:qFormat/>
    <w:uiPriority w:val="99"/>
    <w:pPr>
      <w:ind w:firstLine="420" w:firstLineChars="200"/>
    </w:pPr>
  </w:style>
  <w:style w:type="character" w:customStyle="1" w:styleId="21">
    <w:name w:val="日期 Char"/>
    <w:basedOn w:val="12"/>
    <w:link w:val="4"/>
    <w:semiHidden/>
    <w:qFormat/>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34</Pages>
  <Words>21555</Words>
  <Characters>22599</Characters>
  <Lines>175</Lines>
  <Paragraphs>49</Paragraphs>
  <TotalTime>21</TotalTime>
  <ScaleCrop>false</ScaleCrop>
  <LinksUpToDate>false</LinksUpToDate>
  <CharactersWithSpaces>22897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2023-07-25T09:18:00Z</dcterms:created>
  <dc:creator>Admin</dc:creator>
  <cp:lastModifiedBy>lx</cp:lastModifiedBy>
  <cp:lastPrinted>2025-04-03T01:36:00Z</cp:lastPrinted>
  <dcterms:modified xsi:type="dcterms:W3CDTF">2025-04-09T03:17:55Z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D2015E5C9C3C4BD6908BA782A004362A_13</vt:lpwstr>
  </property>
  <property fmtid="{D5CDD505-2E9C-101B-9397-08002B2CF9AE}" pid="4" name="KSOTemplateDocerSaveRecord">
    <vt:lpwstr>eyJoZGlkIjoiM2Y4ZDQ5ZmI5MWM5MDllMDkzODFkNmVkNDU3NjQwZjEiLCJ1c2VySWQiOiI1MzI5NDMzMjIifQ==</vt:lpwstr>
  </property>
</Properties>
</file>