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spacing w:line="360" w:lineRule="auto"/>
        <w:jc w:val="center"/>
        <w:rPr>
          <w:rFonts w:ascii="仿宋" w:hAnsi="仿宋" w:eastAsia="仿宋"/>
          <w:b/>
          <w:color w:val="auto"/>
          <w:sz w:val="44"/>
          <w:szCs w:val="44"/>
          <w:highlight w:val="none"/>
          <w:u w:val="none"/>
        </w:rPr>
      </w:pPr>
    </w:p>
    <w:p>
      <w:pPr>
        <w:pStyle w:val="15"/>
        <w:spacing w:line="360" w:lineRule="auto"/>
        <w:jc w:val="center"/>
        <w:rPr>
          <w:rFonts w:hint="eastAsia" w:ascii="仿宋" w:hAnsi="仿宋" w:eastAsia="仿宋"/>
          <w:b/>
          <w:color w:val="auto"/>
          <w:sz w:val="44"/>
          <w:szCs w:val="44"/>
          <w:highlight w:val="none"/>
          <w:lang w:val="en-US" w:eastAsia="zh-CN"/>
        </w:rPr>
      </w:pPr>
      <w:bookmarkStart w:id="0" w:name="OLE_LINK2"/>
      <w:r>
        <w:rPr>
          <w:rFonts w:hint="eastAsia" w:ascii="仿宋" w:hAnsi="仿宋" w:eastAsia="仿宋"/>
          <w:b/>
          <w:color w:val="auto"/>
          <w:sz w:val="44"/>
          <w:szCs w:val="44"/>
          <w:highlight w:val="none"/>
          <w:lang w:val="en-US" w:eastAsia="zh-CN"/>
        </w:rPr>
        <w:t>南洲水厂排泥水处理系统建设工程等2项</w:t>
      </w:r>
    </w:p>
    <w:p>
      <w:pPr>
        <w:pStyle w:val="15"/>
        <w:spacing w:line="360" w:lineRule="auto"/>
        <w:jc w:val="center"/>
        <w:rPr>
          <w:rFonts w:ascii="仿宋" w:hAnsi="仿宋" w:eastAsia="仿宋"/>
          <w:b/>
          <w:color w:val="auto"/>
          <w:sz w:val="44"/>
          <w:szCs w:val="44"/>
          <w:highlight w:val="none"/>
        </w:rPr>
      </w:pPr>
      <w:r>
        <w:rPr>
          <w:rFonts w:hint="eastAsia" w:ascii="仿宋" w:hAnsi="仿宋" w:eastAsia="仿宋"/>
          <w:b/>
          <w:color w:val="auto"/>
          <w:sz w:val="44"/>
          <w:szCs w:val="44"/>
          <w:highlight w:val="none"/>
          <w:lang w:val="en-US" w:eastAsia="zh-CN"/>
        </w:rPr>
        <w:t>工程自控与安防工程施工</w:t>
      </w:r>
      <w:bookmarkEnd w:id="0"/>
    </w:p>
    <w:p>
      <w:pPr>
        <w:pStyle w:val="15"/>
        <w:spacing w:line="360" w:lineRule="auto"/>
        <w:jc w:val="center"/>
        <w:rPr>
          <w:rFonts w:ascii="仿宋" w:hAnsi="仿宋" w:eastAsia="仿宋"/>
          <w:b/>
          <w:color w:val="auto"/>
          <w:sz w:val="44"/>
          <w:szCs w:val="44"/>
          <w:highlight w:val="none"/>
        </w:rPr>
      </w:pPr>
    </w:p>
    <w:p>
      <w:pPr>
        <w:spacing w:line="360" w:lineRule="auto"/>
        <w:jc w:val="center"/>
        <w:rPr>
          <w:rFonts w:ascii="仿宋_GB2312" w:hAnsi="宋体" w:eastAsia="仿宋_GB2312"/>
          <w:b/>
          <w:bCs/>
          <w:color w:val="auto"/>
          <w:spacing w:val="26"/>
          <w:sz w:val="110"/>
          <w:szCs w:val="110"/>
          <w:highlight w:val="none"/>
        </w:rPr>
      </w:pPr>
      <w:r>
        <w:rPr>
          <w:rFonts w:hint="eastAsia" w:ascii="仿宋_GB2312" w:hAnsi="宋体" w:eastAsia="仿宋_GB2312"/>
          <w:b/>
          <w:bCs/>
          <w:color w:val="auto"/>
          <w:spacing w:val="26"/>
          <w:sz w:val="110"/>
          <w:szCs w:val="110"/>
          <w:highlight w:val="none"/>
        </w:rPr>
        <w:t>招标文件</w:t>
      </w:r>
    </w:p>
    <w:p>
      <w:pPr>
        <w:pStyle w:val="15"/>
        <w:spacing w:line="360" w:lineRule="auto"/>
        <w:jc w:val="center"/>
        <w:rPr>
          <w:rFonts w:ascii="仿宋" w:hAnsi="仿宋" w:eastAsia="仿宋"/>
          <w:b/>
          <w:color w:val="auto"/>
          <w:sz w:val="44"/>
          <w:szCs w:val="44"/>
          <w:highlight w:val="none"/>
        </w:rPr>
      </w:pPr>
    </w:p>
    <w:p>
      <w:pPr>
        <w:pStyle w:val="15"/>
        <w:spacing w:line="360" w:lineRule="auto"/>
        <w:jc w:val="center"/>
        <w:rPr>
          <w:rFonts w:ascii="仿宋" w:hAnsi="仿宋" w:eastAsia="仿宋"/>
          <w:b/>
          <w:color w:val="auto"/>
          <w:sz w:val="44"/>
          <w:szCs w:val="44"/>
          <w:highlight w:val="none"/>
        </w:rPr>
      </w:pPr>
    </w:p>
    <w:p>
      <w:pPr>
        <w:pStyle w:val="15"/>
        <w:spacing w:line="360" w:lineRule="auto"/>
        <w:jc w:val="center"/>
        <w:rPr>
          <w:rFonts w:hint="eastAsia" w:ascii="仿宋" w:hAnsi="仿宋" w:eastAsia="仿宋"/>
          <w:b/>
          <w:color w:val="auto"/>
          <w:sz w:val="44"/>
          <w:szCs w:val="44"/>
          <w:highlight w:val="none"/>
        </w:rPr>
      </w:pPr>
    </w:p>
    <w:p>
      <w:pPr>
        <w:pStyle w:val="15"/>
        <w:spacing w:line="360" w:lineRule="auto"/>
        <w:jc w:val="center"/>
        <w:rPr>
          <w:rFonts w:hint="eastAsia" w:ascii="仿宋" w:hAnsi="仿宋" w:eastAsia="仿宋"/>
          <w:b/>
          <w:color w:val="auto"/>
          <w:sz w:val="44"/>
          <w:szCs w:val="44"/>
          <w:highlight w:val="none"/>
        </w:rPr>
      </w:pPr>
    </w:p>
    <w:p>
      <w:pPr>
        <w:pStyle w:val="15"/>
        <w:spacing w:line="360" w:lineRule="auto"/>
        <w:jc w:val="center"/>
        <w:rPr>
          <w:rFonts w:hint="eastAsia" w:ascii="仿宋" w:hAnsi="仿宋" w:eastAsia="仿宋"/>
          <w:b/>
          <w:color w:val="auto"/>
          <w:sz w:val="44"/>
          <w:szCs w:val="44"/>
          <w:highlight w:val="none"/>
        </w:rPr>
      </w:pPr>
    </w:p>
    <w:p>
      <w:pPr>
        <w:widowControl/>
        <w:spacing w:line="360" w:lineRule="auto"/>
        <w:ind w:firstLine="600" w:firstLineChars="200"/>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招标人：</w:t>
      </w:r>
      <w:r>
        <w:rPr>
          <w:rFonts w:hint="eastAsia" w:ascii="宋体" w:hAnsi="宋体" w:eastAsia="宋体" w:cs="宋体"/>
          <w:color w:val="auto"/>
          <w:sz w:val="30"/>
          <w:szCs w:val="30"/>
          <w:highlight w:val="none"/>
          <w:u w:val="single"/>
        </w:rPr>
        <w:t>广州市自来水有限公司</w:t>
      </w:r>
      <w:r>
        <w:rPr>
          <w:rFonts w:hint="eastAsia" w:ascii="宋体" w:hAnsi="宋体" w:eastAsia="宋体" w:cs="宋体"/>
          <w:color w:val="auto"/>
          <w:sz w:val="30"/>
          <w:szCs w:val="30"/>
          <w:highlight w:val="none"/>
        </w:rPr>
        <w:t>（盖单位章）</w:t>
      </w:r>
    </w:p>
    <w:p>
      <w:pPr>
        <w:widowControl/>
        <w:spacing w:line="360" w:lineRule="auto"/>
        <w:jc w:val="center"/>
        <w:rPr>
          <w:rFonts w:ascii="宋体" w:hAnsi="宋体"/>
          <w:color w:val="auto"/>
          <w:sz w:val="30"/>
          <w:szCs w:val="30"/>
          <w:highlight w:val="none"/>
        </w:rPr>
      </w:pPr>
      <w:r>
        <w:rPr>
          <w:rFonts w:hint="eastAsia" w:ascii="宋体" w:hAnsi="宋体" w:eastAsia="宋体" w:cs="宋体"/>
          <w:color w:val="auto"/>
          <w:sz w:val="30"/>
          <w:szCs w:val="30"/>
          <w:highlight w:val="none"/>
        </w:rPr>
        <w:t>招标代理机构：</w:t>
      </w:r>
      <w:r>
        <w:rPr>
          <w:rFonts w:hint="eastAsia" w:ascii="宋体" w:hAnsi="宋体" w:cs="宋体"/>
          <w:color w:val="auto"/>
          <w:sz w:val="30"/>
          <w:szCs w:val="30"/>
          <w:highlight w:val="none"/>
          <w:u w:val="single"/>
          <w:lang w:val="en-US" w:eastAsia="zh-CN"/>
        </w:rPr>
        <w:t>广东省国际工程咨询有限公司</w:t>
      </w:r>
      <w:r>
        <w:rPr>
          <w:rFonts w:hint="eastAsia" w:ascii="宋体" w:hAnsi="宋体" w:eastAsia="宋体" w:cs="宋体"/>
          <w:color w:val="auto"/>
          <w:sz w:val="30"/>
          <w:szCs w:val="30"/>
          <w:highlight w:val="none"/>
        </w:rPr>
        <w:t>（盖单位章）</w:t>
      </w:r>
    </w:p>
    <w:p>
      <w:pPr>
        <w:spacing w:line="360" w:lineRule="auto"/>
        <w:ind w:firstLine="0" w:firstLineChars="0"/>
        <w:jc w:val="center"/>
        <w:rPr>
          <w:rFonts w:ascii="仿宋_GB2312" w:hAnsi="宋体" w:eastAsia="仿宋_GB2312"/>
          <w:b/>
          <w:color w:val="auto"/>
          <w:sz w:val="30"/>
          <w:szCs w:val="30"/>
          <w:highlight w:val="none"/>
        </w:rPr>
      </w:pPr>
      <w:r>
        <w:rPr>
          <w:rFonts w:hint="eastAsia" w:ascii="宋体" w:hAnsi="宋体"/>
          <w:color w:val="auto"/>
          <w:sz w:val="30"/>
          <w:szCs w:val="30"/>
          <w:highlight w:val="none"/>
          <w:u w:val="single"/>
          <w:lang w:val="en-US" w:eastAsia="zh-CN"/>
        </w:rPr>
        <w:t>2025</w:t>
      </w:r>
      <w:r>
        <w:rPr>
          <w:rFonts w:hint="eastAsia" w:ascii="宋体" w:hAnsi="宋体"/>
          <w:color w:val="auto"/>
          <w:sz w:val="30"/>
          <w:szCs w:val="30"/>
          <w:highlight w:val="none"/>
        </w:rPr>
        <w:t>年</w:t>
      </w:r>
      <w:r>
        <w:rPr>
          <w:rFonts w:hint="eastAsia" w:ascii="宋体" w:hAnsi="宋体"/>
          <w:color w:val="auto"/>
          <w:sz w:val="30"/>
          <w:szCs w:val="30"/>
          <w:highlight w:val="none"/>
          <w:u w:val="single"/>
          <w:lang w:val="en-US" w:eastAsia="zh-CN"/>
        </w:rPr>
        <w:t xml:space="preserve"> 4 </w:t>
      </w:r>
      <w:r>
        <w:rPr>
          <w:rFonts w:hint="eastAsia" w:ascii="宋体" w:hAnsi="宋体"/>
          <w:color w:val="auto"/>
          <w:sz w:val="30"/>
          <w:szCs w:val="30"/>
          <w:highlight w:val="none"/>
        </w:rPr>
        <w:t>月</w:t>
      </w:r>
      <w:r>
        <w:rPr>
          <w:rFonts w:hint="eastAsia" w:ascii="宋体" w:hAnsi="宋体"/>
          <w:color w:val="auto"/>
          <w:sz w:val="30"/>
          <w:szCs w:val="30"/>
          <w:highlight w:val="none"/>
          <w:u w:val="single"/>
          <w:lang w:val="en-US" w:eastAsia="zh-CN"/>
        </w:rPr>
        <w:t xml:space="preserve"> 3 </w:t>
      </w:r>
      <w:r>
        <w:rPr>
          <w:rFonts w:hint="eastAsia" w:ascii="宋体" w:hAnsi="宋体"/>
          <w:color w:val="auto"/>
          <w:sz w:val="30"/>
          <w:szCs w:val="30"/>
          <w:highlight w:val="none"/>
        </w:rPr>
        <w:t>日</w:t>
      </w:r>
    </w:p>
    <w:p>
      <w:pPr>
        <w:pStyle w:val="23"/>
        <w:pageBreakBefore/>
        <w:jc w:val="center"/>
        <w:rPr>
          <w:color w:val="auto"/>
          <w:highlight w:val="none"/>
        </w:rPr>
      </w:pPr>
      <w:bookmarkStart w:id="1" w:name="_Toc27966"/>
      <w:r>
        <w:rPr>
          <w:color w:val="auto"/>
          <w:highlight w:val="none"/>
          <w:lang w:val="zh-CN"/>
        </w:rPr>
        <w:t>目录</w:t>
      </w:r>
      <w:bookmarkEnd w:id="1"/>
    </w:p>
    <w:p>
      <w:pPr>
        <w:pStyle w:val="13"/>
        <w:keepNext w:val="0"/>
        <w:keepLines w:val="0"/>
        <w:pageBreakBefore w:val="0"/>
        <w:widowControl w:val="0"/>
        <w:tabs>
          <w:tab w:val="right" w:leader="dot" w:pos="8312"/>
          <w:tab w:val="clear" w:pos="9060"/>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TOC \o "1-3" \h \z \u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_Toc9433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第一章 招标公告</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_Toc9433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4"/>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_Toc2870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 xml:space="preserve">第二章 </w:t>
      </w:r>
      <w:r>
        <w:rPr>
          <w:rFonts w:hint="eastAsia" w:ascii="宋体" w:hAnsi="宋体" w:cs="宋体"/>
          <w:b w:val="0"/>
          <w:bCs w:val="0"/>
          <w:color w:val="auto"/>
          <w:sz w:val="24"/>
          <w:szCs w:val="24"/>
          <w:highlight w:val="none"/>
          <w:lang w:eastAsia="zh-CN"/>
        </w:rPr>
        <w:t>投标人须知</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_Toc2870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14</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4"/>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_Toc124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第三章 评标及定标办法</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_Toc124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46</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4"/>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_Toc25028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第四章 合同条款</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_Toc25028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4"/>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_Toc23322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第五章 工程量清单</w:t>
      </w:r>
      <w:r>
        <w:rPr>
          <w:rFonts w:hint="eastAsia" w:ascii="宋体" w:hAnsi="宋体" w:eastAsia="宋体" w:cs="宋体"/>
          <w:b w:val="0"/>
          <w:bCs w:val="0"/>
          <w:color w:val="auto"/>
          <w:sz w:val="24"/>
          <w:szCs w:val="24"/>
          <w:highlight w:val="none"/>
        </w:rPr>
        <w:tab/>
      </w: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fldChar w:fldCharType="end"/>
      </w:r>
      <w:r>
        <w:rPr>
          <w:rFonts w:hint="eastAsia" w:ascii="宋体" w:hAnsi="宋体" w:cs="宋体"/>
          <w:b w:val="0"/>
          <w:bCs w:val="0"/>
          <w:color w:val="auto"/>
          <w:sz w:val="24"/>
          <w:szCs w:val="24"/>
          <w:highlight w:val="none"/>
          <w:lang w:val="en-US" w:eastAsia="zh-CN"/>
        </w:rPr>
        <w:t>36</w:t>
      </w:r>
    </w:p>
    <w:p>
      <w:pPr>
        <w:pStyle w:val="14"/>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_Toc22625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第六章 图纸（招标图纸）</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_Toc22625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267</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4"/>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_Toc18239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第七章 技术标准和要求（合同技术条款）</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_Toc18239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268</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4"/>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_Toc15066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第八章 投标文件格式</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_Toc15066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269</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4"/>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_Toc10968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第九章 否决性条款汇总</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_Toc10968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302</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4"/>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_Toc31743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第十章</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最高投标限价（招标控制价）</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_Toc31743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305</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end"/>
      </w:r>
    </w:p>
    <w:p>
      <w:pPr>
        <w:rPr>
          <w:color w:val="auto"/>
          <w:highlight w:val="none"/>
        </w:rPr>
      </w:pPr>
    </w:p>
    <w:p>
      <w:pPr>
        <w:pStyle w:val="4"/>
        <w:rPr>
          <w:rFonts w:hint="eastAsia"/>
          <w:color w:val="auto"/>
          <w:highlight w:val="none"/>
        </w:rPr>
        <w:sectPr>
          <w:pgSz w:w="11906" w:h="16838"/>
          <w:pgMar w:top="1440" w:right="1797" w:bottom="1440" w:left="1797" w:header="851" w:footer="992" w:gutter="0"/>
          <w:pgNumType w:fmt="decimal"/>
          <w:cols w:space="720" w:num="1"/>
          <w:docGrid w:linePitch="312" w:charSpace="0"/>
        </w:sectPr>
      </w:pPr>
      <w:bookmarkStart w:id="2" w:name="_Toc17556865"/>
      <w:bookmarkEnd w:id="2"/>
      <w:bookmarkStart w:id="3" w:name="_Toc17450712"/>
      <w:bookmarkEnd w:id="3"/>
      <w:bookmarkStart w:id="4" w:name="_Toc17451095"/>
      <w:bookmarkEnd w:id="4"/>
      <w:bookmarkStart w:id="5" w:name="_Toc17451201"/>
      <w:bookmarkEnd w:id="5"/>
      <w:bookmarkStart w:id="6" w:name="_Toc17451094"/>
      <w:bookmarkEnd w:id="6"/>
      <w:bookmarkStart w:id="7" w:name="_Toc17451097"/>
      <w:bookmarkEnd w:id="7"/>
      <w:bookmarkStart w:id="8" w:name="_Toc17450710"/>
      <w:bookmarkEnd w:id="8"/>
      <w:bookmarkStart w:id="9" w:name="_Toc17450795"/>
      <w:bookmarkEnd w:id="9"/>
      <w:bookmarkStart w:id="10" w:name="_Toc17556872"/>
      <w:bookmarkEnd w:id="10"/>
      <w:bookmarkStart w:id="11" w:name="_Toc17556870"/>
      <w:bookmarkEnd w:id="11"/>
      <w:bookmarkStart w:id="12" w:name="_Toc17451198"/>
      <w:bookmarkEnd w:id="12"/>
      <w:bookmarkStart w:id="13" w:name="_Toc17450797"/>
      <w:bookmarkEnd w:id="13"/>
      <w:bookmarkStart w:id="14" w:name="_Toc17556774"/>
      <w:bookmarkEnd w:id="14"/>
      <w:bookmarkStart w:id="15" w:name="_Toc17451093"/>
      <w:bookmarkEnd w:id="15"/>
      <w:bookmarkStart w:id="16" w:name="_Toc17451195"/>
      <w:bookmarkEnd w:id="16"/>
      <w:bookmarkStart w:id="17" w:name="_Toc17556868"/>
      <w:bookmarkEnd w:id="17"/>
      <w:bookmarkStart w:id="18" w:name="_Toc17450717"/>
      <w:bookmarkEnd w:id="18"/>
      <w:bookmarkStart w:id="19" w:name="_Toc17450713"/>
      <w:bookmarkEnd w:id="19"/>
      <w:bookmarkStart w:id="20" w:name="_Toc17451090"/>
      <w:bookmarkEnd w:id="20"/>
      <w:bookmarkStart w:id="21" w:name="_Toc17556871"/>
      <w:bookmarkEnd w:id="21"/>
      <w:bookmarkStart w:id="22" w:name="_Toc17450711"/>
      <w:bookmarkEnd w:id="22"/>
      <w:bookmarkStart w:id="23" w:name="_Toc17556869"/>
      <w:bookmarkEnd w:id="23"/>
      <w:bookmarkStart w:id="24" w:name="_Toc17451092"/>
      <w:bookmarkEnd w:id="24"/>
      <w:bookmarkStart w:id="25" w:name="_Toc17450794"/>
      <w:bookmarkEnd w:id="25"/>
      <w:bookmarkStart w:id="26" w:name="_Toc17451199"/>
      <w:bookmarkEnd w:id="26"/>
      <w:bookmarkStart w:id="27" w:name="_Toc17451196"/>
      <w:bookmarkEnd w:id="27"/>
      <w:bookmarkStart w:id="28" w:name="_Toc17450792"/>
      <w:bookmarkEnd w:id="28"/>
      <w:bookmarkStart w:id="29" w:name="_Toc17556866"/>
      <w:bookmarkEnd w:id="29"/>
      <w:bookmarkStart w:id="30" w:name="_Toc17450796"/>
      <w:bookmarkEnd w:id="30"/>
      <w:bookmarkStart w:id="31" w:name="_Toc17450716"/>
      <w:bookmarkEnd w:id="31"/>
      <w:bookmarkStart w:id="32" w:name="_Toc17450714"/>
      <w:bookmarkEnd w:id="32"/>
      <w:bookmarkStart w:id="33" w:name="_Toc17451096"/>
      <w:bookmarkEnd w:id="33"/>
      <w:bookmarkStart w:id="34" w:name="_Toc17451197"/>
      <w:bookmarkEnd w:id="34"/>
      <w:bookmarkStart w:id="35" w:name="_Toc17450793"/>
      <w:bookmarkEnd w:id="35"/>
      <w:bookmarkStart w:id="36" w:name="_Toc17450790"/>
      <w:bookmarkEnd w:id="36"/>
      <w:bookmarkStart w:id="37" w:name="_Toc17450715"/>
      <w:bookmarkEnd w:id="37"/>
      <w:bookmarkStart w:id="38" w:name="_Toc17451200"/>
      <w:bookmarkEnd w:id="38"/>
      <w:bookmarkStart w:id="39" w:name="_Toc17451194"/>
      <w:bookmarkEnd w:id="39"/>
      <w:bookmarkStart w:id="40" w:name="_Toc17451091"/>
      <w:bookmarkEnd w:id="40"/>
      <w:bookmarkStart w:id="41" w:name="_Toc17450791"/>
      <w:bookmarkEnd w:id="41"/>
      <w:bookmarkStart w:id="42" w:name="_Toc17556867"/>
      <w:bookmarkEnd w:id="42"/>
      <w:bookmarkStart w:id="43" w:name="_Toc17556873"/>
      <w:bookmarkStart w:id="44" w:name="_Toc17451098"/>
      <w:bookmarkStart w:id="45" w:name="_Toc17452661"/>
      <w:bookmarkStart w:id="46" w:name="_Toc17454919"/>
      <w:bookmarkStart w:id="47" w:name="_Toc9433"/>
      <w:bookmarkStart w:id="48" w:name="_Toc17454868"/>
      <w:bookmarkStart w:id="49" w:name="_Toc17451620"/>
      <w:bookmarkStart w:id="50" w:name="_Toc17451575"/>
    </w:p>
    <w:p>
      <w:pPr>
        <w:pStyle w:val="4"/>
        <w:rPr>
          <w:color w:val="auto"/>
          <w:highlight w:val="none"/>
        </w:rPr>
      </w:pPr>
      <w:r>
        <w:rPr>
          <w:rFonts w:hint="eastAsia"/>
          <w:color w:val="auto"/>
          <w:highlight w:val="none"/>
        </w:rPr>
        <w:t>第一章 招标公告</w:t>
      </w:r>
      <w:bookmarkEnd w:id="43"/>
      <w:bookmarkEnd w:id="44"/>
      <w:bookmarkEnd w:id="45"/>
      <w:bookmarkEnd w:id="46"/>
      <w:bookmarkEnd w:id="47"/>
      <w:bookmarkEnd w:id="48"/>
      <w:bookmarkEnd w:id="49"/>
      <w:bookmarkEnd w:id="50"/>
    </w:p>
    <w:p>
      <w:pPr>
        <w:pStyle w:val="15"/>
        <w:spacing w:line="360" w:lineRule="auto"/>
        <w:jc w:val="center"/>
        <w:rPr>
          <w:rFonts w:hint="eastAsia" w:eastAsia="宋体"/>
          <w:b/>
          <w:color w:val="auto"/>
          <w:sz w:val="32"/>
          <w:szCs w:val="32"/>
          <w:highlight w:val="none"/>
          <w:u w:val="none"/>
          <w:lang w:val="en-US" w:eastAsia="zh-CN"/>
        </w:rPr>
      </w:pPr>
      <w:r>
        <w:rPr>
          <w:rFonts w:hint="eastAsia" w:eastAsia="宋体"/>
          <w:b/>
          <w:color w:val="auto"/>
          <w:sz w:val="32"/>
          <w:szCs w:val="32"/>
          <w:highlight w:val="none"/>
          <w:u w:val="none"/>
          <w:lang w:val="en-US" w:eastAsia="zh-CN"/>
        </w:rPr>
        <w:t>南洲水厂排泥水处理系统建</w:t>
      </w:r>
      <w:bookmarkStart w:id="1296" w:name="_GoBack"/>
      <w:bookmarkEnd w:id="1296"/>
      <w:r>
        <w:rPr>
          <w:rFonts w:hint="eastAsia" w:eastAsia="宋体"/>
          <w:b/>
          <w:color w:val="auto"/>
          <w:sz w:val="32"/>
          <w:szCs w:val="32"/>
          <w:highlight w:val="none"/>
          <w:u w:val="none"/>
          <w:lang w:val="en-US" w:eastAsia="zh-CN"/>
        </w:rPr>
        <w:t>设工程等2项工程自控与安防</w:t>
      </w:r>
    </w:p>
    <w:p>
      <w:pPr>
        <w:pStyle w:val="15"/>
        <w:spacing w:line="360" w:lineRule="auto"/>
        <w:jc w:val="center"/>
        <w:rPr>
          <w:rFonts w:eastAsia="宋体"/>
          <w:b/>
          <w:color w:val="auto"/>
          <w:sz w:val="32"/>
          <w:szCs w:val="32"/>
          <w:highlight w:val="none"/>
          <w:u w:val="none"/>
        </w:rPr>
      </w:pPr>
      <w:r>
        <w:rPr>
          <w:rFonts w:hint="eastAsia" w:eastAsia="宋体"/>
          <w:b/>
          <w:color w:val="auto"/>
          <w:sz w:val="32"/>
          <w:szCs w:val="32"/>
          <w:highlight w:val="none"/>
          <w:u w:val="none"/>
          <w:lang w:val="en-US" w:eastAsia="zh-CN"/>
        </w:rPr>
        <w:t>工程施工</w:t>
      </w:r>
      <w:r>
        <w:rPr>
          <w:rFonts w:hint="eastAsia" w:eastAsia="宋体"/>
          <w:b/>
          <w:color w:val="auto"/>
          <w:sz w:val="32"/>
          <w:szCs w:val="32"/>
          <w:highlight w:val="none"/>
          <w:u w:val="none"/>
        </w:rPr>
        <w:t>招标公告</w:t>
      </w:r>
    </w:p>
    <w:p>
      <w:pPr>
        <w:spacing w:line="360" w:lineRule="auto"/>
        <w:ind w:firstLine="542" w:firstLineChars="225"/>
        <w:rPr>
          <w:rFonts w:ascii="宋体" w:hAnsi="宋体"/>
          <w:b/>
          <w:color w:val="auto"/>
          <w:sz w:val="24"/>
          <w:szCs w:val="24"/>
          <w:highlight w:val="none"/>
        </w:rPr>
      </w:pPr>
      <w:bookmarkStart w:id="51" w:name="_Toc221949923"/>
      <w:r>
        <w:rPr>
          <w:rFonts w:hint="eastAsia" w:ascii="宋体" w:hAnsi="宋体"/>
          <w:b/>
          <w:color w:val="auto"/>
          <w:sz w:val="24"/>
          <w:szCs w:val="24"/>
          <w:highlight w:val="none"/>
        </w:rPr>
        <w:t>1</w:t>
      </w:r>
      <w:r>
        <w:rPr>
          <w:rFonts w:ascii="宋体" w:hAnsi="宋体"/>
          <w:b/>
          <w:color w:val="auto"/>
          <w:sz w:val="24"/>
          <w:szCs w:val="24"/>
          <w:highlight w:val="none"/>
        </w:rPr>
        <w:t>.招标</w:t>
      </w:r>
      <w:r>
        <w:rPr>
          <w:rFonts w:hint="eastAsia" w:ascii="宋体" w:hAnsi="宋体"/>
          <w:b/>
          <w:color w:val="auto"/>
          <w:sz w:val="24"/>
          <w:szCs w:val="24"/>
          <w:highlight w:val="none"/>
        </w:rPr>
        <w:t>条件</w:t>
      </w:r>
    </w:p>
    <w:p>
      <w:pPr>
        <w:wordWrap w:val="0"/>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本招标项目</w:t>
      </w:r>
      <w:r>
        <w:rPr>
          <w:rFonts w:hint="eastAsia" w:ascii="宋体" w:hAnsi="宋体"/>
          <w:color w:val="auto"/>
          <w:sz w:val="24"/>
          <w:szCs w:val="24"/>
          <w:highlight w:val="none"/>
          <w:u w:val="single"/>
          <w:lang w:val="en-US" w:eastAsia="zh-CN"/>
        </w:rPr>
        <w:t>南洲水厂排泥水处理系统建设工程等2项工程自控与安防工程施工</w:t>
      </w:r>
      <w:r>
        <w:rPr>
          <w:rFonts w:ascii="宋体" w:hAnsi="宋体"/>
          <w:color w:val="auto"/>
          <w:sz w:val="24"/>
          <w:szCs w:val="24"/>
          <w:highlight w:val="none"/>
        </w:rPr>
        <w:t>已由</w:t>
      </w:r>
      <w:r>
        <w:rPr>
          <w:rFonts w:hint="eastAsia" w:ascii="宋体" w:hAnsi="宋体"/>
          <w:color w:val="auto"/>
          <w:sz w:val="24"/>
          <w:szCs w:val="24"/>
          <w:highlight w:val="none"/>
          <w:u w:val="single"/>
          <w:lang w:eastAsia="zh-CN"/>
        </w:rPr>
        <w:t>广东省投资项目在线审批监管平台</w:t>
      </w:r>
      <w:r>
        <w:rPr>
          <w:rFonts w:ascii="宋体" w:hAnsi="宋体"/>
          <w:color w:val="auto"/>
          <w:sz w:val="24"/>
          <w:szCs w:val="24"/>
          <w:highlight w:val="none"/>
        </w:rPr>
        <w:t>以</w:t>
      </w:r>
      <w:r>
        <w:rPr>
          <w:rFonts w:hint="eastAsia" w:ascii="宋体" w:hAnsi="宋体"/>
          <w:color w:val="auto"/>
          <w:sz w:val="24"/>
          <w:szCs w:val="24"/>
          <w:highlight w:val="none"/>
          <w:u w:val="single"/>
        </w:rPr>
        <w:t>广东省</w:t>
      </w:r>
      <w:r>
        <w:rPr>
          <w:rFonts w:hint="eastAsia" w:ascii="宋体" w:hAnsi="宋体"/>
          <w:color w:val="auto"/>
          <w:sz w:val="24"/>
          <w:szCs w:val="24"/>
          <w:highlight w:val="none"/>
          <w:u w:val="single"/>
          <w:lang w:val="en-US" w:eastAsia="zh-CN"/>
        </w:rPr>
        <w:t>发改委核准批复投资代码</w:t>
      </w:r>
      <w:r>
        <w:rPr>
          <w:rFonts w:hint="eastAsia" w:ascii="宋体" w:hAnsi="宋体"/>
          <w:color w:val="auto"/>
          <w:sz w:val="24"/>
          <w:szCs w:val="24"/>
          <w:highlight w:val="none"/>
          <w:u w:val="single"/>
        </w:rPr>
        <w:t>：2210-440100-19-01-734087</w:t>
      </w:r>
      <w:r>
        <w:rPr>
          <w:rFonts w:hint="eastAsia" w:ascii="宋体" w:hAnsi="宋体"/>
          <w:color w:val="auto"/>
          <w:sz w:val="24"/>
          <w:szCs w:val="24"/>
          <w:highlight w:val="none"/>
          <w:u w:val="single"/>
          <w:lang w:val="en-US" w:eastAsia="zh-CN"/>
        </w:rPr>
        <w:t>及海珠区发展和改革局</w:t>
      </w:r>
      <w:r>
        <w:rPr>
          <w:rFonts w:ascii="宋体" w:hAnsi="宋体"/>
          <w:color w:val="auto"/>
          <w:sz w:val="24"/>
          <w:szCs w:val="24"/>
          <w:highlight w:val="none"/>
        </w:rPr>
        <w:t>以</w:t>
      </w:r>
      <w:r>
        <w:rPr>
          <w:rFonts w:hint="eastAsia" w:ascii="宋体" w:hAnsi="宋体"/>
          <w:color w:val="auto"/>
          <w:sz w:val="24"/>
          <w:szCs w:val="24"/>
          <w:highlight w:val="none"/>
          <w:u w:val="single"/>
        </w:rPr>
        <w:t>广东省</w:t>
      </w:r>
      <w:r>
        <w:rPr>
          <w:rFonts w:hint="eastAsia" w:ascii="宋体" w:hAnsi="宋体"/>
          <w:color w:val="auto"/>
          <w:sz w:val="24"/>
          <w:szCs w:val="24"/>
          <w:highlight w:val="none"/>
          <w:u w:val="single"/>
          <w:lang w:val="en-US" w:eastAsia="zh-CN"/>
        </w:rPr>
        <w:t>企业</w:t>
      </w:r>
      <w:r>
        <w:rPr>
          <w:rFonts w:hint="eastAsia" w:ascii="宋体" w:hAnsi="宋体"/>
          <w:color w:val="auto"/>
          <w:sz w:val="24"/>
          <w:szCs w:val="24"/>
          <w:highlight w:val="none"/>
          <w:u w:val="single"/>
        </w:rPr>
        <w:t>投资项目</w:t>
      </w:r>
      <w:r>
        <w:rPr>
          <w:rFonts w:hint="eastAsia" w:ascii="宋体" w:hAnsi="宋体"/>
          <w:color w:val="auto"/>
          <w:sz w:val="24"/>
          <w:szCs w:val="24"/>
          <w:highlight w:val="none"/>
          <w:u w:val="single"/>
          <w:lang w:val="en-US" w:eastAsia="zh-CN"/>
        </w:rPr>
        <w:t>备案证</w:t>
      </w:r>
      <w:r>
        <w:rPr>
          <w:rFonts w:hint="eastAsia" w:ascii="宋体" w:hAnsi="宋体"/>
          <w:color w:val="auto"/>
          <w:sz w:val="24"/>
          <w:szCs w:val="24"/>
          <w:highlight w:val="none"/>
          <w:u w:val="single"/>
        </w:rPr>
        <w:t>：2303-440105-04-01-115880</w:t>
      </w:r>
      <w:r>
        <w:rPr>
          <w:rFonts w:ascii="宋体" w:hAnsi="宋体"/>
          <w:color w:val="auto"/>
          <w:sz w:val="24"/>
          <w:szCs w:val="24"/>
          <w:highlight w:val="none"/>
        </w:rPr>
        <w:t>批准建设</w:t>
      </w:r>
      <w:r>
        <w:rPr>
          <w:rFonts w:hint="eastAsia" w:ascii="宋体" w:hAnsi="宋体"/>
          <w:color w:val="auto"/>
          <w:sz w:val="24"/>
          <w:szCs w:val="24"/>
          <w:highlight w:val="none"/>
        </w:rPr>
        <w:t>，</w:t>
      </w:r>
      <w:r>
        <w:rPr>
          <w:color w:val="auto"/>
          <w:sz w:val="24"/>
          <w:szCs w:val="24"/>
          <w:highlight w:val="none"/>
        </w:rPr>
        <w:t>项目业主为</w:t>
      </w:r>
      <w:r>
        <w:rPr>
          <w:rFonts w:hint="eastAsia"/>
          <w:color w:val="auto"/>
          <w:sz w:val="24"/>
          <w:szCs w:val="24"/>
          <w:highlight w:val="none"/>
          <w:u w:val="single"/>
        </w:rPr>
        <w:t>广州市自来水有限公司</w:t>
      </w:r>
      <w:r>
        <w:rPr>
          <w:color w:val="auto"/>
          <w:sz w:val="24"/>
          <w:szCs w:val="24"/>
          <w:highlight w:val="none"/>
        </w:rPr>
        <w:t>，</w:t>
      </w:r>
      <w:r>
        <w:rPr>
          <w:rFonts w:ascii="宋体" w:hAnsi="宋体"/>
          <w:color w:val="auto"/>
          <w:sz w:val="24"/>
          <w:szCs w:val="24"/>
          <w:highlight w:val="none"/>
        </w:rPr>
        <w:t>建设资金来自</w:t>
      </w:r>
      <w:r>
        <w:rPr>
          <w:rFonts w:hint="eastAsia" w:ascii="宋体" w:hAnsi="宋体"/>
          <w:color w:val="auto"/>
          <w:sz w:val="24"/>
          <w:szCs w:val="24"/>
          <w:highlight w:val="none"/>
          <w:u w:val="single"/>
        </w:rPr>
        <w:t>自筹资金</w:t>
      </w:r>
      <w:r>
        <w:rPr>
          <w:rFonts w:ascii="宋体" w:hAnsi="宋体"/>
          <w:color w:val="auto"/>
          <w:sz w:val="24"/>
          <w:szCs w:val="24"/>
          <w:highlight w:val="none"/>
        </w:rPr>
        <w:t>，</w:t>
      </w:r>
      <w:r>
        <w:rPr>
          <w:rFonts w:hint="eastAsia" w:ascii="宋体" w:hAnsi="宋体"/>
          <w:color w:val="auto"/>
          <w:sz w:val="24"/>
          <w:szCs w:val="24"/>
          <w:highlight w:val="none"/>
          <w:lang w:eastAsia="zh-CN"/>
        </w:rPr>
        <w:t>资金来源已落实，</w:t>
      </w:r>
      <w:r>
        <w:rPr>
          <w:rFonts w:ascii="宋体" w:hAnsi="宋体"/>
          <w:color w:val="auto"/>
          <w:sz w:val="24"/>
          <w:szCs w:val="24"/>
          <w:highlight w:val="none"/>
        </w:rPr>
        <w:t>项目出资比例为</w:t>
      </w:r>
      <w:r>
        <w:rPr>
          <w:rFonts w:hint="eastAsia" w:ascii="宋体" w:hAnsi="宋体"/>
          <w:color w:val="auto"/>
          <w:sz w:val="24"/>
          <w:szCs w:val="24"/>
          <w:highlight w:val="none"/>
          <w:u w:val="single"/>
        </w:rPr>
        <w:t>100%</w:t>
      </w:r>
      <w:r>
        <w:rPr>
          <w:rFonts w:ascii="宋体" w:hAnsi="宋体"/>
          <w:color w:val="auto"/>
          <w:sz w:val="24"/>
          <w:szCs w:val="24"/>
          <w:highlight w:val="none"/>
        </w:rPr>
        <w:t>,</w:t>
      </w:r>
      <w:r>
        <w:rPr>
          <w:color w:val="auto"/>
          <w:sz w:val="24"/>
          <w:szCs w:val="24"/>
          <w:highlight w:val="none"/>
        </w:rPr>
        <w:t xml:space="preserve"> 招标人为</w:t>
      </w:r>
      <w:r>
        <w:rPr>
          <w:rFonts w:hint="eastAsia"/>
          <w:color w:val="auto"/>
          <w:sz w:val="24"/>
          <w:szCs w:val="24"/>
          <w:highlight w:val="none"/>
          <w:u w:val="single"/>
        </w:rPr>
        <w:t>广州市自来水有限公司</w:t>
      </w:r>
      <w:r>
        <w:rPr>
          <w:rFonts w:ascii="宋体" w:hAnsi="宋体"/>
          <w:color w:val="auto"/>
          <w:sz w:val="24"/>
          <w:szCs w:val="24"/>
          <w:highlight w:val="none"/>
        </w:rPr>
        <w:t>。项目已具备招标条件，现对该项目施工进行公开招标。</w:t>
      </w:r>
      <w:bookmarkEnd w:id="51"/>
    </w:p>
    <w:p>
      <w:pPr>
        <w:spacing w:line="360" w:lineRule="auto"/>
        <w:ind w:firstLine="542" w:firstLineChars="225"/>
        <w:rPr>
          <w:rFonts w:ascii="宋体" w:hAnsi="宋体"/>
          <w:b/>
          <w:color w:val="auto"/>
          <w:sz w:val="24"/>
          <w:szCs w:val="24"/>
          <w:highlight w:val="none"/>
        </w:rPr>
      </w:pPr>
      <w:bookmarkStart w:id="52" w:name="_Toc229305324"/>
      <w:bookmarkStart w:id="53" w:name="_Toc222030966"/>
      <w:bookmarkStart w:id="54" w:name="_Toc259524297"/>
      <w:bookmarkStart w:id="55" w:name="_Toc221949924"/>
      <w:bookmarkStart w:id="56" w:name="_Toc222033815"/>
      <w:bookmarkStart w:id="57" w:name="_Toc168476030"/>
      <w:bookmarkStart w:id="58" w:name="_Toc144974481"/>
      <w:bookmarkStart w:id="59" w:name="_Toc222032633"/>
      <w:bookmarkStart w:id="60" w:name="_Toc168475627"/>
      <w:bookmarkStart w:id="61" w:name="_Toc222029464"/>
      <w:r>
        <w:rPr>
          <w:rFonts w:hint="eastAsia" w:ascii="宋体" w:hAnsi="宋体"/>
          <w:b/>
          <w:color w:val="auto"/>
          <w:sz w:val="24"/>
          <w:szCs w:val="24"/>
          <w:highlight w:val="none"/>
        </w:rPr>
        <w:t>2</w:t>
      </w:r>
      <w:r>
        <w:rPr>
          <w:rFonts w:ascii="宋体" w:hAnsi="宋体"/>
          <w:b/>
          <w:color w:val="auto"/>
          <w:sz w:val="24"/>
          <w:szCs w:val="24"/>
          <w:highlight w:val="none"/>
        </w:rPr>
        <w:t>. 项目概况与招标范围</w:t>
      </w:r>
      <w:bookmarkEnd w:id="52"/>
      <w:bookmarkEnd w:id="53"/>
      <w:bookmarkEnd w:id="54"/>
      <w:bookmarkEnd w:id="55"/>
      <w:bookmarkEnd w:id="56"/>
      <w:bookmarkEnd w:id="57"/>
      <w:bookmarkEnd w:id="58"/>
      <w:bookmarkEnd w:id="59"/>
      <w:bookmarkEnd w:id="60"/>
      <w:bookmarkEnd w:id="61"/>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2.1建设地点：</w:t>
      </w:r>
      <w:r>
        <w:rPr>
          <w:rFonts w:hint="eastAsia" w:ascii="宋体" w:hAnsi="宋体"/>
          <w:color w:val="auto"/>
          <w:sz w:val="24"/>
          <w:szCs w:val="24"/>
          <w:highlight w:val="none"/>
          <w:u w:val="single"/>
          <w:lang w:val="en-US" w:eastAsia="zh-CN"/>
        </w:rPr>
        <w:t>广州市海珠区南洲水厂内及佛山市顺德区西海泵站内</w:t>
      </w:r>
      <w:r>
        <w:rPr>
          <w:rFonts w:hint="eastAsia" w:ascii="宋体" w:hAnsi="宋体"/>
          <w:color w:val="auto"/>
          <w:sz w:val="24"/>
          <w:szCs w:val="24"/>
          <w:highlight w:val="none"/>
        </w:rPr>
        <w:t>。</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2.2项目规模：</w:t>
      </w:r>
    </w:p>
    <w:p>
      <w:pPr>
        <w:wordWrap w:val="0"/>
        <w:spacing w:line="360" w:lineRule="auto"/>
        <w:ind w:firstLine="480" w:firstLineChars="200"/>
        <w:rPr>
          <w:rFonts w:hint="default" w:ascii="宋体" w:hAnsi="宋体" w:eastAsia="宋体" w:cs="Times New Roman"/>
          <w:color w:val="auto"/>
          <w:sz w:val="24"/>
          <w:szCs w:val="24"/>
          <w:highlight w:val="none"/>
        </w:rPr>
      </w:pPr>
      <w:r>
        <w:rPr>
          <w:rFonts w:hint="default" w:ascii="宋体" w:hAnsi="宋体" w:cs="Times New Roman"/>
          <w:color w:val="auto"/>
          <w:sz w:val="24"/>
          <w:szCs w:val="24"/>
          <w:highlight w:val="none"/>
          <w:u w:val="none"/>
          <w:lang w:val="en-US" w:eastAsia="zh-CN"/>
        </w:rPr>
        <w:t>①</w:t>
      </w:r>
      <w:r>
        <w:rPr>
          <w:rFonts w:hint="default" w:ascii="宋体" w:hAnsi="宋体" w:eastAsia="宋体" w:cs="Times New Roman"/>
          <w:color w:val="auto"/>
          <w:spacing w:val="0"/>
          <w:sz w:val="24"/>
          <w:szCs w:val="24"/>
          <w:highlight w:val="none"/>
          <w:lang w:val="en-US" w:eastAsia="zh-CN"/>
        </w:rPr>
        <w:t>南洲水厂排泥水处理系统建设工程主要建设内容为：新建排水池、排泥池、浓缩池、储泥池、板框脱水机房、滤液收集池等的土建；机电安装、自动化控制，以及系统内部连通管、道路、消防、给排水等。</w:t>
      </w:r>
    </w:p>
    <w:p>
      <w:pPr>
        <w:wordWrap w:val="0"/>
        <w:spacing w:line="360" w:lineRule="auto"/>
        <w:ind w:firstLine="480" w:firstLineChars="200"/>
        <w:rPr>
          <w:rFonts w:hint="eastAsia" w:ascii="宋体" w:hAnsi="宋体" w:cs="Times New Roman"/>
          <w:color w:val="auto"/>
          <w:spacing w:val="0"/>
          <w:sz w:val="24"/>
          <w:szCs w:val="24"/>
          <w:highlight w:val="none"/>
          <w:lang w:val="en-US" w:eastAsia="zh-CN"/>
        </w:rPr>
      </w:pPr>
      <w:r>
        <w:rPr>
          <w:rFonts w:hint="eastAsia" w:ascii="宋体" w:hAnsi="宋体"/>
          <w:color w:val="auto"/>
          <w:sz w:val="24"/>
          <w:szCs w:val="24"/>
          <w:highlight w:val="none"/>
          <w:u w:val="none"/>
          <w:lang w:val="en-US" w:eastAsia="zh-CN"/>
        </w:rPr>
        <w:t>②南洲水厂新增20万m³/d产能（常规工艺）建设工程主要建设内容为</w:t>
      </w:r>
      <w:r>
        <w:rPr>
          <w:rFonts w:hint="default" w:ascii="宋体" w:hAnsi="宋体" w:eastAsia="宋体" w:cs="Times New Roman"/>
          <w:color w:val="auto"/>
          <w:spacing w:val="0"/>
          <w:sz w:val="24"/>
          <w:szCs w:val="24"/>
          <w:highlight w:val="none"/>
          <w:lang w:val="en-US" w:eastAsia="zh-CN"/>
        </w:rPr>
        <w:t>：西海泵站新建蓄水池、粉末活性炭投加间，改造现状维修间作为配电房，改造现状泵房;厂区新建沉清叠合池、砂滤池、全地埋清水池三座单体，改造现状加药系统，改造现状送水泵房，同时新建一座高压变频器室。</w:t>
      </w:r>
      <w:r>
        <w:rPr>
          <w:rFonts w:hint="eastAsia" w:ascii="宋体" w:hAnsi="宋体" w:cs="Times New Roman"/>
          <w:color w:val="auto"/>
          <w:spacing w:val="0"/>
          <w:sz w:val="24"/>
          <w:szCs w:val="24"/>
          <w:highlight w:val="none"/>
          <w:lang w:val="en-US" w:eastAsia="zh-CN"/>
        </w:rPr>
        <w:t>（</w:t>
      </w:r>
      <w:r>
        <w:rPr>
          <w:rFonts w:hint="default" w:ascii="宋体" w:hAnsi="宋体" w:eastAsia="宋体" w:cs="Times New Roman"/>
          <w:color w:val="auto"/>
          <w:spacing w:val="0"/>
          <w:sz w:val="24"/>
          <w:szCs w:val="24"/>
          <w:highlight w:val="none"/>
          <w:lang w:val="en-US" w:eastAsia="zh-CN"/>
        </w:rPr>
        <w:t>新增常规处理工艺规模为20万m³/d，扩容后实现南洲水厂常规处理系统处理总规模达120万m³/d</w:t>
      </w:r>
      <w:r>
        <w:rPr>
          <w:rFonts w:hint="eastAsia" w:ascii="宋体" w:hAnsi="宋体" w:cs="Times New Roman"/>
          <w:color w:val="auto"/>
          <w:spacing w:val="0"/>
          <w:sz w:val="24"/>
          <w:szCs w:val="24"/>
          <w:highlight w:val="none"/>
          <w:lang w:val="en-US" w:eastAsia="zh-CN"/>
        </w:rPr>
        <w:t>）</w:t>
      </w:r>
    </w:p>
    <w:p>
      <w:pPr>
        <w:wordWrap w:val="0"/>
        <w:spacing w:line="360" w:lineRule="auto"/>
        <w:ind w:firstLine="482" w:firstLineChars="200"/>
        <w:rPr>
          <w:rFonts w:hint="eastAsia" w:ascii="宋体" w:hAnsi="宋体" w:eastAsia="宋体" w:cs="Times New Roman"/>
          <w:b/>
          <w:bCs/>
          <w:color w:val="auto"/>
          <w:spacing w:val="0"/>
          <w:sz w:val="24"/>
          <w:szCs w:val="24"/>
          <w:highlight w:val="none"/>
          <w:u w:val="single"/>
          <w:lang w:val="en-US" w:eastAsia="zh-CN"/>
        </w:rPr>
      </w:pPr>
      <w:r>
        <w:rPr>
          <w:rFonts w:hint="eastAsia" w:ascii="宋体" w:hAnsi="宋体" w:eastAsia="宋体" w:cs="Times New Roman"/>
          <w:b/>
          <w:bCs/>
          <w:color w:val="auto"/>
          <w:sz w:val="24"/>
          <w:szCs w:val="24"/>
          <w:highlight w:val="none"/>
          <w:u w:val="single"/>
          <w:lang w:val="en-US" w:eastAsia="zh-CN"/>
        </w:rPr>
        <w:t>本项目招标内容为</w:t>
      </w:r>
      <w:r>
        <w:rPr>
          <w:rFonts w:hint="eastAsia" w:ascii="宋体" w:hAnsi="宋体" w:eastAsia="宋体" w:cs="Times New Roman"/>
          <w:b/>
          <w:bCs/>
          <w:color w:val="auto"/>
          <w:spacing w:val="0"/>
          <w:sz w:val="24"/>
          <w:szCs w:val="24"/>
          <w:highlight w:val="none"/>
          <w:u w:val="single"/>
          <w:lang w:val="en-US" w:eastAsia="zh-CN"/>
        </w:rPr>
        <w:t>南洲水厂排泥水处理系统建设工程和南洲水厂新增20万m3/d产能(常规工艺)建设工程的自控专业图纸分册内容。</w:t>
      </w:r>
    </w:p>
    <w:p>
      <w:pPr>
        <w:wordWrap w:val="0"/>
        <w:spacing w:line="360" w:lineRule="auto"/>
        <w:ind w:firstLine="482" w:firstLineChars="200"/>
        <w:rPr>
          <w:rFonts w:hint="eastAsia" w:ascii="宋体" w:hAnsi="宋体" w:eastAsia="宋体" w:cs="Times New Roman"/>
          <w:b/>
          <w:bCs/>
          <w:color w:val="auto"/>
          <w:sz w:val="24"/>
          <w:szCs w:val="24"/>
          <w:highlight w:val="none"/>
          <w:u w:val="single"/>
          <w:lang w:val="en-US" w:eastAsia="zh-CN"/>
        </w:rPr>
      </w:pP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2.3本次最高投标限价（招标控制价）：</w:t>
      </w:r>
      <w:r>
        <w:rPr>
          <w:rFonts w:hint="eastAsia" w:ascii="宋体" w:hAnsi="宋体"/>
          <w:color w:val="auto"/>
          <w:sz w:val="24"/>
          <w:szCs w:val="24"/>
          <w:highlight w:val="none"/>
          <w:lang w:val="en-US" w:eastAsia="zh-CN"/>
        </w:rPr>
        <w:t>15409571.40</w:t>
      </w:r>
      <w:r>
        <w:rPr>
          <w:rFonts w:hint="eastAsia" w:ascii="宋体" w:hAnsi="宋体"/>
          <w:color w:val="auto"/>
          <w:sz w:val="24"/>
          <w:szCs w:val="24"/>
          <w:highlight w:val="none"/>
          <w:u w:val="single"/>
        </w:rPr>
        <w:t>元，其中：</w:t>
      </w:r>
      <w:r>
        <w:rPr>
          <w:rFonts w:hint="eastAsia" w:ascii="宋体" w:hAnsi="宋体"/>
          <w:color w:val="auto"/>
          <w:sz w:val="24"/>
          <w:szCs w:val="24"/>
          <w:highlight w:val="none"/>
          <w:u w:val="single"/>
          <w:lang w:val="en-US" w:eastAsia="zh-CN"/>
        </w:rPr>
        <w:t>①</w:t>
      </w:r>
      <w:r>
        <w:rPr>
          <w:rFonts w:hint="eastAsia" w:ascii="宋体" w:hAnsi="宋体"/>
          <w:color w:val="auto"/>
          <w:sz w:val="24"/>
          <w:szCs w:val="24"/>
          <w:highlight w:val="none"/>
          <w:u w:val="single"/>
        </w:rPr>
        <w:t>南洲水厂排泥水处理系统建设工程自控与安防工程</w:t>
      </w:r>
      <w:r>
        <w:rPr>
          <w:rFonts w:hint="eastAsia" w:ascii="宋体" w:hAnsi="宋体"/>
          <w:color w:val="auto"/>
          <w:sz w:val="24"/>
          <w:szCs w:val="24"/>
          <w:highlight w:val="none"/>
          <w:u w:val="single"/>
          <w:lang w:eastAsia="zh-CN"/>
        </w:rPr>
        <w:t>：</w:t>
      </w:r>
      <w:r>
        <w:rPr>
          <w:rFonts w:hint="eastAsia" w:ascii="宋体" w:hAnsi="宋体"/>
          <w:color w:val="auto"/>
          <w:sz w:val="24"/>
          <w:szCs w:val="24"/>
          <w:highlight w:val="none"/>
          <w:u w:val="single"/>
          <w:lang w:val="en-US" w:eastAsia="zh-CN"/>
        </w:rPr>
        <w:t>5375860.40</w:t>
      </w:r>
      <w:r>
        <w:rPr>
          <w:rFonts w:hint="eastAsia" w:ascii="宋体" w:hAnsi="宋体"/>
          <w:color w:val="auto"/>
          <w:sz w:val="24"/>
          <w:szCs w:val="24"/>
          <w:highlight w:val="none"/>
          <w:u w:val="single"/>
        </w:rPr>
        <w:t>元；</w:t>
      </w:r>
      <w:r>
        <w:rPr>
          <w:rFonts w:hint="eastAsia" w:ascii="宋体" w:hAnsi="宋体"/>
          <w:color w:val="auto"/>
          <w:sz w:val="24"/>
          <w:szCs w:val="24"/>
          <w:highlight w:val="none"/>
          <w:u w:val="single"/>
          <w:lang w:val="en-US" w:eastAsia="zh-CN"/>
        </w:rPr>
        <w:t>②</w:t>
      </w:r>
      <w:r>
        <w:rPr>
          <w:rFonts w:hint="eastAsia" w:ascii="宋体" w:hAnsi="宋体"/>
          <w:color w:val="auto"/>
          <w:sz w:val="24"/>
          <w:szCs w:val="24"/>
          <w:highlight w:val="none"/>
          <w:u w:val="single"/>
        </w:rPr>
        <w:t>南洲水厂新增20万m³/d产能(常规工艺)建设工程自控与安防工程</w:t>
      </w:r>
      <w:r>
        <w:rPr>
          <w:rFonts w:hint="eastAsia" w:ascii="宋体" w:hAnsi="宋体"/>
          <w:color w:val="auto"/>
          <w:sz w:val="24"/>
          <w:szCs w:val="24"/>
          <w:highlight w:val="none"/>
          <w:u w:val="single"/>
          <w:lang w:eastAsia="zh-CN"/>
        </w:rPr>
        <w:t>：</w:t>
      </w:r>
      <w:r>
        <w:rPr>
          <w:rFonts w:hint="eastAsia" w:ascii="宋体" w:hAnsi="宋体"/>
          <w:color w:val="auto"/>
          <w:sz w:val="24"/>
          <w:szCs w:val="24"/>
          <w:highlight w:val="none"/>
          <w:u w:val="single"/>
          <w:lang w:val="en-US" w:eastAsia="zh-CN"/>
        </w:rPr>
        <w:t>10033711.00</w:t>
      </w:r>
      <w:r>
        <w:rPr>
          <w:rFonts w:hint="eastAsia" w:ascii="宋体" w:hAnsi="宋体"/>
          <w:color w:val="auto"/>
          <w:sz w:val="24"/>
          <w:szCs w:val="24"/>
          <w:highlight w:val="none"/>
          <w:u w:val="single"/>
        </w:rPr>
        <w:t>元。</w:t>
      </w:r>
    </w:p>
    <w:p>
      <w:pPr>
        <w:spacing w:line="360" w:lineRule="auto"/>
        <w:ind w:firstLine="480" w:firstLineChars="200"/>
        <w:rPr>
          <w:rFonts w:hint="eastAsia" w:ascii="宋体" w:hAnsi="宋体"/>
          <w:color w:val="auto"/>
          <w:sz w:val="24"/>
          <w:szCs w:val="24"/>
          <w:highlight w:val="none"/>
          <w:u w:val="single"/>
          <w:lang w:val="en-US" w:eastAsia="zh-CN"/>
        </w:rPr>
      </w:pPr>
      <w:r>
        <w:rPr>
          <w:rFonts w:hint="eastAsia" w:ascii="宋体" w:hAnsi="宋体"/>
          <w:color w:val="auto"/>
          <w:sz w:val="24"/>
          <w:szCs w:val="24"/>
          <w:highlight w:val="none"/>
        </w:rPr>
        <w:t>2.4计划工期：</w:t>
      </w:r>
      <w:r>
        <w:rPr>
          <w:rFonts w:hint="eastAsia" w:ascii="宋体" w:hAnsi="宋体"/>
          <w:color w:val="auto"/>
          <w:sz w:val="24"/>
          <w:szCs w:val="24"/>
          <w:highlight w:val="none"/>
          <w:u w:val="single"/>
          <w:lang w:val="en-US" w:eastAsia="zh-CN"/>
        </w:rPr>
        <w:t>本项目总工期201日历天，其中施工工期171日历天，其中：</w:t>
      </w:r>
    </w:p>
    <w:p>
      <w:pPr>
        <w:spacing w:line="360" w:lineRule="auto"/>
        <w:ind w:firstLine="480" w:firstLineChars="200"/>
        <w:rPr>
          <w:rFonts w:hint="eastAsia" w:ascii="宋体" w:hAnsi="宋体"/>
          <w:color w:val="auto"/>
          <w:sz w:val="24"/>
          <w:szCs w:val="24"/>
          <w:highlight w:val="none"/>
          <w:u w:val="single"/>
          <w:lang w:val="en-US" w:eastAsia="zh-CN"/>
        </w:rPr>
      </w:pPr>
      <w:bookmarkStart w:id="62" w:name="OLE_LINK8"/>
      <w:r>
        <w:rPr>
          <w:rFonts w:hint="eastAsia" w:ascii="宋体" w:hAnsi="宋体"/>
          <w:color w:val="auto"/>
          <w:sz w:val="24"/>
          <w:szCs w:val="24"/>
          <w:highlight w:val="none"/>
          <w:u w:val="single"/>
          <w:lang w:val="en-US" w:eastAsia="zh-CN"/>
        </w:rPr>
        <w:t>①南洲水厂排泥水处理系统建设工程自控与安防工程开工工期暂定为2025年5月11日，施工工期60日历天，项目工期90日历天（实际开工日期以监理发出的开工报告/通知为准）。</w:t>
      </w:r>
    </w:p>
    <w:p>
      <w:pPr>
        <w:spacing w:line="360" w:lineRule="auto"/>
        <w:ind w:firstLine="480" w:firstLineChars="200"/>
        <w:rPr>
          <w:rFonts w:hint="eastAsia" w:ascii="宋体" w:hAnsi="宋体"/>
          <w:color w:val="auto"/>
          <w:sz w:val="24"/>
          <w:szCs w:val="24"/>
          <w:highlight w:val="none"/>
          <w:u w:val="single"/>
          <w:lang w:val="en-US" w:eastAsia="zh-CN"/>
        </w:rPr>
      </w:pPr>
      <w:r>
        <w:rPr>
          <w:rFonts w:hint="eastAsia" w:ascii="宋体" w:hAnsi="宋体"/>
          <w:color w:val="auto"/>
          <w:sz w:val="24"/>
          <w:szCs w:val="24"/>
          <w:highlight w:val="none"/>
          <w:u w:val="single"/>
          <w:lang w:val="en-US" w:eastAsia="zh-CN"/>
        </w:rPr>
        <w:t>②南洲水厂新增20万m³/d产能（常规工艺）建设工程自控与安防工程</w:t>
      </w:r>
      <w:r>
        <w:rPr>
          <w:rFonts w:hint="eastAsia" w:ascii="宋体" w:hAnsi="宋体"/>
          <w:b/>
          <w:bCs/>
          <w:color w:val="auto"/>
          <w:sz w:val="24"/>
          <w:szCs w:val="24"/>
          <w:highlight w:val="none"/>
          <w:u w:val="single"/>
          <w:lang w:val="en-US" w:eastAsia="zh-CN"/>
        </w:rPr>
        <w:t>南洲水厂厂区</w:t>
      </w:r>
      <w:r>
        <w:rPr>
          <w:rFonts w:hint="eastAsia" w:ascii="宋体" w:hAnsi="宋体"/>
          <w:color w:val="auto"/>
          <w:sz w:val="24"/>
          <w:szCs w:val="24"/>
          <w:highlight w:val="none"/>
          <w:u w:val="single"/>
          <w:lang w:val="en-US" w:eastAsia="zh-CN"/>
        </w:rPr>
        <w:t>部分开工日期暂定为2025年4月21日，施工工期60日历天，项目工期90日历天；南洲水厂新增20万m³/d产能（常规工艺）建设工程自控与安防工程</w:t>
      </w:r>
      <w:r>
        <w:rPr>
          <w:rFonts w:hint="eastAsia" w:ascii="宋体" w:hAnsi="宋体"/>
          <w:b/>
          <w:bCs/>
          <w:color w:val="auto"/>
          <w:sz w:val="24"/>
          <w:szCs w:val="24"/>
          <w:highlight w:val="none"/>
          <w:u w:val="single"/>
          <w:lang w:val="en-US" w:eastAsia="zh-CN"/>
        </w:rPr>
        <w:t>西海泵站部分</w:t>
      </w:r>
      <w:r>
        <w:rPr>
          <w:rFonts w:hint="eastAsia" w:ascii="宋体" w:hAnsi="宋体"/>
          <w:color w:val="auto"/>
          <w:sz w:val="24"/>
          <w:szCs w:val="24"/>
          <w:highlight w:val="none"/>
          <w:u w:val="single"/>
          <w:lang w:val="en-US" w:eastAsia="zh-CN"/>
        </w:rPr>
        <w:t>开工日期暂定为2025年7月11日，施工工期60日历天，项目工期90日历天（实际开工日期以监理发出的开工报告/通知为准）。</w:t>
      </w:r>
    </w:p>
    <w:bookmarkEnd w:id="62"/>
    <w:p>
      <w:pPr>
        <w:spacing w:line="360" w:lineRule="auto"/>
        <w:ind w:firstLine="480" w:firstLineChars="200"/>
        <w:rPr>
          <w:rFonts w:hint="eastAsia" w:ascii="宋体" w:hAnsi="宋体"/>
          <w:color w:val="auto"/>
          <w:sz w:val="24"/>
          <w:szCs w:val="24"/>
          <w:highlight w:val="none"/>
          <w:u w:val="single"/>
        </w:rPr>
      </w:pPr>
      <w:r>
        <w:rPr>
          <w:rFonts w:hint="eastAsia" w:ascii="宋体" w:hAnsi="宋体"/>
          <w:color w:val="auto"/>
          <w:sz w:val="24"/>
          <w:szCs w:val="24"/>
          <w:highlight w:val="none"/>
          <w:u w:val="single"/>
          <w:lang w:val="en-US" w:eastAsia="zh-CN"/>
        </w:rPr>
        <w:t>各单体项目要求合同签订之日起30天内完成所有货物的供货，60天内完成安装及调试，并按合同约定完成初步验收。初步验收后，须配合主体工程完成整体竣工验收。</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u w:val="single"/>
        </w:rPr>
        <w:t>质量保修服务期：</w:t>
      </w:r>
      <w:r>
        <w:rPr>
          <w:rFonts w:hint="eastAsia" w:ascii="宋体" w:hAnsi="宋体"/>
          <w:color w:val="auto"/>
          <w:sz w:val="24"/>
          <w:szCs w:val="24"/>
          <w:highlight w:val="none"/>
          <w:u w:val="single"/>
          <w:lang w:val="en-US" w:eastAsia="zh-CN"/>
        </w:rPr>
        <w:t>自工程竣工验收合格之日起两年</w:t>
      </w:r>
      <w:r>
        <w:rPr>
          <w:rFonts w:hint="eastAsia" w:ascii="宋体" w:hAnsi="宋体"/>
          <w:color w:val="auto"/>
          <w:sz w:val="24"/>
          <w:szCs w:val="24"/>
          <w:highlight w:val="none"/>
          <w:u w:val="single"/>
        </w:rPr>
        <w:t>。</w:t>
      </w:r>
    </w:p>
    <w:p>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2.5招标内容：</w:t>
      </w:r>
    </w:p>
    <w:p>
      <w:pPr>
        <w:spacing w:line="360" w:lineRule="auto"/>
        <w:ind w:firstLine="482" w:firstLineChars="200"/>
        <w:rPr>
          <w:rFonts w:hint="eastAsia" w:ascii="宋体" w:hAnsi="宋体" w:eastAsia="宋体" w:cs="Times New Roman"/>
          <w:color w:val="auto"/>
          <w:spacing w:val="0"/>
          <w:sz w:val="24"/>
          <w:szCs w:val="24"/>
          <w:highlight w:val="none"/>
          <w:u w:val="single"/>
          <w:lang w:val="en-US" w:eastAsia="zh-CN"/>
        </w:rPr>
      </w:pPr>
      <w:r>
        <w:rPr>
          <w:rFonts w:hint="eastAsia" w:ascii="宋体" w:hAnsi="宋体" w:eastAsia="宋体" w:cs="Times New Roman"/>
          <w:b/>
          <w:bCs/>
          <w:color w:val="auto"/>
          <w:sz w:val="24"/>
          <w:szCs w:val="24"/>
          <w:highlight w:val="none"/>
          <w:u w:val="single"/>
          <w:lang w:val="en-US" w:eastAsia="zh-CN"/>
        </w:rPr>
        <w:t>本项目招标内容为</w:t>
      </w:r>
      <w:r>
        <w:rPr>
          <w:rFonts w:hint="eastAsia" w:ascii="宋体" w:hAnsi="宋体" w:eastAsia="宋体" w:cs="Times New Roman"/>
          <w:b/>
          <w:bCs/>
          <w:color w:val="auto"/>
          <w:spacing w:val="0"/>
          <w:sz w:val="24"/>
          <w:szCs w:val="24"/>
          <w:highlight w:val="none"/>
          <w:u w:val="single"/>
          <w:lang w:val="en-US" w:eastAsia="zh-CN"/>
        </w:rPr>
        <w:t>南洲水厂排泥水处理系统建设工程和南洲水厂新增20万m3/d产能(常规工艺)建设工程的自控专业图纸分册内容，</w:t>
      </w:r>
      <w:r>
        <w:rPr>
          <w:rFonts w:hint="eastAsia" w:ascii="宋体" w:hAnsi="宋体" w:eastAsia="宋体" w:cs="Times New Roman"/>
          <w:color w:val="auto"/>
          <w:spacing w:val="0"/>
          <w:sz w:val="24"/>
          <w:szCs w:val="24"/>
          <w:highlight w:val="none"/>
          <w:u w:val="single"/>
          <w:lang w:val="en-US" w:eastAsia="zh-CN"/>
        </w:rPr>
        <w:t>包括但不限于自动控制系统与安防系统（视频监控系统和门禁系统），工作内容包括各系统的设备采购(包括设备与土建联接的附件及紧固件、地脚螺栓等)、场地准备及搭建临时设施、布线施工、电气及通信接线等、安装和程序开发、PLC测控站二次深化设计、制作安装、系统调试、验收、培训、保修，档案资料移交等施工过程管理，编制系统竣工图及竣工资料，技术培训和系统正式移交后的技术服务与支持，所有为使本智能化系统工程能够正常运行所必须完成的相关工程均在本项目招标范围。</w:t>
      </w:r>
    </w:p>
    <w:p>
      <w:pPr>
        <w:wordWrap/>
        <w:spacing w:line="360" w:lineRule="auto"/>
        <w:ind w:firstLine="480" w:firstLineChars="200"/>
        <w:rPr>
          <w:rFonts w:hint="eastAsia" w:ascii="宋体" w:hAnsi="宋体" w:eastAsia="宋体" w:cs="Times New Roman"/>
          <w:b w:val="0"/>
          <w:bCs w:val="0"/>
          <w:color w:val="auto"/>
          <w:sz w:val="24"/>
          <w:szCs w:val="24"/>
          <w:highlight w:val="none"/>
          <w:u w:val="single"/>
          <w:lang w:val="en-US" w:eastAsia="zh-CN"/>
        </w:rPr>
      </w:pPr>
      <w:r>
        <w:rPr>
          <w:rFonts w:hint="eastAsia" w:ascii="宋体" w:hAnsi="宋体" w:eastAsia="宋体" w:cs="Times New Roman"/>
          <w:color w:val="auto"/>
          <w:spacing w:val="0"/>
          <w:sz w:val="24"/>
          <w:szCs w:val="24"/>
          <w:highlight w:val="none"/>
          <w:u w:val="single"/>
          <w:lang w:val="en-US" w:eastAsia="zh-CN"/>
        </w:rPr>
        <w:t>注：</w:t>
      </w:r>
      <w:r>
        <w:rPr>
          <w:rFonts w:hint="eastAsia" w:ascii="宋体" w:hAnsi="宋体" w:eastAsia="宋体" w:cs="Times New Roman"/>
          <w:b w:val="0"/>
          <w:bCs w:val="0"/>
          <w:color w:val="auto"/>
          <w:sz w:val="24"/>
          <w:szCs w:val="24"/>
          <w:highlight w:val="none"/>
          <w:u w:val="single"/>
          <w:lang w:val="en-US" w:eastAsia="zh-CN"/>
        </w:rPr>
        <w:t>界限划分为①自控分册图纸现场仪表设备供货由发包人提供，仪表的安装、信号线接入PLC控制柜由承包人实施（电磁流量计的安装除外，电磁流量计安装以及供电电源线已由总承包施工单位施工时一并实施）。</w:t>
      </w:r>
    </w:p>
    <w:p>
      <w:pPr>
        <w:wordWrap/>
        <w:spacing w:line="360" w:lineRule="auto"/>
        <w:ind w:firstLine="480" w:firstLineChars="200"/>
        <w:rPr>
          <w:rFonts w:hint="eastAsia" w:ascii="宋体" w:hAnsi="宋体" w:eastAsia="宋体" w:cs="Times New Roman"/>
          <w:b w:val="0"/>
          <w:bCs w:val="0"/>
          <w:color w:val="auto"/>
          <w:sz w:val="24"/>
          <w:szCs w:val="24"/>
          <w:highlight w:val="none"/>
          <w:u w:val="single"/>
          <w:lang w:val="en-US" w:eastAsia="zh-CN"/>
        </w:rPr>
      </w:pPr>
      <w:r>
        <w:rPr>
          <w:rFonts w:hint="eastAsia" w:ascii="宋体" w:hAnsi="宋体" w:eastAsia="宋体" w:cs="Times New Roman"/>
          <w:b w:val="0"/>
          <w:bCs w:val="0"/>
          <w:color w:val="auto"/>
          <w:sz w:val="24"/>
          <w:szCs w:val="24"/>
          <w:highlight w:val="none"/>
          <w:u w:val="single"/>
          <w:lang w:val="en-US" w:eastAsia="zh-CN"/>
        </w:rPr>
        <w:t>②生产过程监控设备（包括PLC控制柜、振动监测设备及配套的软件包括软件开发）、视频监控系统、门禁系统、安防系统、广播系统的设备供货及安装、电源线、信号线布线由承包人负责。</w:t>
      </w:r>
    </w:p>
    <w:p>
      <w:pPr>
        <w:wordWrap/>
        <w:spacing w:line="360" w:lineRule="auto"/>
        <w:ind w:firstLine="480" w:firstLineChars="200"/>
        <w:rPr>
          <w:rFonts w:hint="eastAsia" w:ascii="宋体" w:hAnsi="宋体" w:eastAsia="宋体" w:cs="Times New Roman"/>
          <w:b w:val="0"/>
          <w:bCs w:val="0"/>
          <w:color w:val="auto"/>
          <w:sz w:val="24"/>
          <w:szCs w:val="24"/>
          <w:highlight w:val="none"/>
          <w:u w:val="single"/>
          <w:lang w:val="en-US" w:eastAsia="zh-CN"/>
        </w:rPr>
      </w:pPr>
      <w:r>
        <w:rPr>
          <w:rFonts w:hint="eastAsia" w:ascii="宋体" w:hAnsi="宋体" w:eastAsia="宋体" w:cs="Times New Roman"/>
          <w:b w:val="0"/>
          <w:bCs w:val="0"/>
          <w:color w:val="auto"/>
          <w:sz w:val="24"/>
          <w:szCs w:val="24"/>
          <w:highlight w:val="none"/>
          <w:u w:val="single"/>
          <w:lang w:val="en-US" w:eastAsia="zh-CN"/>
        </w:rPr>
        <w:t>③建构筑物内、厂区平面的线缆预埋套管、电缆接线井由施工总承包单位提供材料并负责施工。如因二次设计原因导致现场设备及管道等需进行改动的，由承包人负责调整设备、供货、安装。</w:t>
      </w:r>
    </w:p>
    <w:p>
      <w:pPr>
        <w:wordWrap/>
        <w:spacing w:line="360" w:lineRule="auto"/>
        <w:ind w:firstLine="480" w:firstLineChars="200"/>
        <w:rPr>
          <w:rFonts w:hint="eastAsia" w:ascii="宋体" w:hAnsi="宋体" w:eastAsia="宋体" w:cs="Times New Roman"/>
          <w:b w:val="0"/>
          <w:bCs w:val="0"/>
          <w:color w:val="auto"/>
          <w:sz w:val="24"/>
          <w:szCs w:val="24"/>
          <w:highlight w:val="none"/>
          <w:u w:val="single"/>
          <w:lang w:val="en-US" w:eastAsia="zh-CN"/>
        </w:rPr>
      </w:pPr>
      <w:r>
        <w:rPr>
          <w:rFonts w:hint="eastAsia" w:ascii="宋体" w:hAnsi="宋体" w:eastAsia="宋体" w:cs="Times New Roman"/>
          <w:b w:val="0"/>
          <w:bCs w:val="0"/>
          <w:color w:val="auto"/>
          <w:sz w:val="24"/>
          <w:szCs w:val="24"/>
          <w:highlight w:val="none"/>
          <w:u w:val="single"/>
          <w:lang w:val="en-US" w:eastAsia="zh-CN"/>
        </w:rPr>
        <w:t>④自控设备与电气设备、工艺仪表设备等其它通讯设备的通讯由承包人实施，其他厂家负责配合施工及调试。</w:t>
      </w:r>
    </w:p>
    <w:p>
      <w:pPr>
        <w:spacing w:line="360" w:lineRule="auto"/>
        <w:ind w:firstLine="480" w:firstLineChars="200"/>
        <w:rPr>
          <w:rFonts w:hint="default"/>
          <w:color w:val="auto"/>
          <w:highlight w:val="none"/>
          <w:lang w:val="en-US" w:eastAsia="zh-CN"/>
        </w:rPr>
      </w:pPr>
      <w:r>
        <w:rPr>
          <w:rFonts w:hint="eastAsia" w:ascii="宋体" w:hAnsi="宋体" w:eastAsia="宋体" w:cs="Times New Roman"/>
          <w:b w:val="0"/>
          <w:bCs w:val="0"/>
          <w:color w:val="auto"/>
          <w:sz w:val="24"/>
          <w:szCs w:val="24"/>
          <w:highlight w:val="none"/>
          <w:u w:val="single"/>
          <w:lang w:val="en-US" w:eastAsia="zh-CN"/>
        </w:rPr>
        <w:t>⑤南洲水厂排泥水处理系统建设工程板框脱水机系统配套低压柜、控制柜以下与板框脱水机系统配套设备的所有线缆，包括动力线缆、控制线缆、光纤、桥架、程序及调试由发包人招标产生的工艺包供货商供货及安装。承包人负责整合进本工程自控系统中，使系统调试验收合格正常运行。</w:t>
      </w:r>
    </w:p>
    <w:p>
      <w:pPr>
        <w:spacing w:line="360" w:lineRule="auto"/>
        <w:ind w:firstLine="480" w:firstLineChars="200"/>
        <w:rPr>
          <w:rFonts w:hint="eastAsia"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u w:val="single"/>
        </w:rPr>
        <w:t>承包单位应做好本项目施工图纸内的所有工程内容的施工（包工、包料（除甲供材料外）、包安装、包工期、包质量、采取有效措施不发生安全事故、包文明施工、包劳保、包验收、包保修。包承包范围内工程验收通过、包移交、包结算、包资料整理、包施工承包管理和现场整体组织、包专业协调及配合等）。</w:t>
      </w:r>
    </w:p>
    <w:p>
      <w:pPr>
        <w:spacing w:line="360" w:lineRule="auto"/>
        <w:ind w:firstLine="480"/>
        <w:rPr>
          <w:rFonts w:hint="eastAsia" w:ascii="宋体" w:hAnsi="宋体" w:eastAsia="宋体" w:cs="Times New Roman"/>
          <w:color w:val="auto"/>
          <w:sz w:val="24"/>
          <w:szCs w:val="24"/>
          <w:highlight w:val="none"/>
          <w:u w:val="single"/>
          <w:lang w:val="en-US" w:eastAsia="zh-CN"/>
        </w:rPr>
      </w:pPr>
      <w:r>
        <w:rPr>
          <w:rFonts w:hint="eastAsia" w:ascii="宋体" w:hAnsi="宋体" w:eastAsia="宋体" w:cs="Times New Roman"/>
          <w:color w:val="auto"/>
          <w:sz w:val="24"/>
          <w:szCs w:val="24"/>
          <w:highlight w:val="none"/>
          <w:u w:val="single"/>
          <w:lang w:val="en-US" w:eastAsia="zh-CN"/>
        </w:rPr>
        <w:t>本项目承包方应利用信息化设备加强施工安全质量进度管控，借助信息化手段强化工程资料收集，不断提升工程项目管理效能，并积极配合建设单位借助信息化手续收集工程资料、审批、支付等各环节电子化。</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2.6标段划分：</w:t>
      </w:r>
      <w:r>
        <w:rPr>
          <w:rFonts w:hint="eastAsia" w:ascii="宋体" w:hAnsi="宋体"/>
          <w:color w:val="auto"/>
          <w:sz w:val="24"/>
          <w:szCs w:val="24"/>
          <w:highlight w:val="none"/>
          <w:u w:val="single"/>
          <w:lang w:val="en-US" w:eastAsia="zh-CN"/>
        </w:rPr>
        <w:t>不划分</w:t>
      </w:r>
      <w:r>
        <w:rPr>
          <w:rFonts w:hint="eastAsia" w:ascii="宋体" w:hAnsi="宋体"/>
          <w:color w:val="auto"/>
          <w:sz w:val="24"/>
          <w:szCs w:val="24"/>
          <w:highlight w:val="none"/>
        </w:rPr>
        <w:t>标段。</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2.7承包方式：</w:t>
      </w:r>
      <w:r>
        <w:rPr>
          <w:rFonts w:hint="eastAsia" w:ascii="宋体" w:hAnsi="宋体" w:eastAsia="宋体" w:cs="Times New Roman"/>
          <w:color w:val="auto"/>
          <w:sz w:val="24"/>
          <w:szCs w:val="24"/>
          <w:highlight w:val="none"/>
          <w:u w:val="single"/>
          <w:lang w:val="en-US" w:eastAsia="zh-CN"/>
        </w:rPr>
        <w:t>包工、包料（除甲供材料外）、包安装、包工期、包质量、采取有效措施不发生安全事故、包文明施工、包劳保、包验收、包保修。包承包范围内工程验收通过、包移交、包结算、包资料整理、包施工承包管理和现场整体组织、包专业协调及配合等）</w:t>
      </w:r>
    </w:p>
    <w:p>
      <w:pPr>
        <w:pStyle w:val="24"/>
        <w:spacing w:before="0" w:after="0" w:line="360" w:lineRule="auto"/>
        <w:ind w:firstLine="540"/>
        <w:rPr>
          <w:rFonts w:hint="eastAsia"/>
          <w:color w:val="auto"/>
          <w:sz w:val="21"/>
          <w:szCs w:val="21"/>
          <w:highlight w:val="none"/>
        </w:rPr>
      </w:pPr>
      <w:bookmarkStart w:id="63" w:name="_Toc222029465"/>
      <w:bookmarkStart w:id="64" w:name="_Toc229305325"/>
      <w:bookmarkStart w:id="65" w:name="_Toc222032634"/>
      <w:bookmarkStart w:id="66" w:name="_Toc168476031"/>
      <w:bookmarkStart w:id="67" w:name="_Toc222030967"/>
      <w:bookmarkStart w:id="68" w:name="_Toc168475628"/>
      <w:bookmarkStart w:id="69" w:name="_Toc222033816"/>
      <w:bookmarkStart w:id="70" w:name="_Toc259524298"/>
      <w:bookmarkStart w:id="71" w:name="_Toc221949926"/>
      <w:bookmarkStart w:id="72" w:name="_Toc144974482"/>
      <w:r>
        <w:rPr>
          <w:rFonts w:hint="eastAsia"/>
          <w:b/>
          <w:color w:val="auto"/>
          <w:highlight w:val="none"/>
        </w:rPr>
        <w:t>3</w:t>
      </w:r>
      <w:r>
        <w:rPr>
          <w:b/>
          <w:color w:val="auto"/>
          <w:highlight w:val="none"/>
        </w:rPr>
        <w:t>. 投标人资格要求</w:t>
      </w:r>
      <w:bookmarkEnd w:id="63"/>
      <w:bookmarkEnd w:id="64"/>
      <w:bookmarkEnd w:id="65"/>
      <w:bookmarkEnd w:id="66"/>
      <w:bookmarkEnd w:id="67"/>
      <w:bookmarkEnd w:id="68"/>
      <w:bookmarkEnd w:id="69"/>
      <w:bookmarkEnd w:id="70"/>
      <w:bookmarkEnd w:id="71"/>
      <w:bookmarkEnd w:id="72"/>
    </w:p>
    <w:p>
      <w:pPr>
        <w:spacing w:line="360" w:lineRule="auto"/>
        <w:ind w:firstLine="480" w:firstLineChars="200"/>
        <w:rPr>
          <w:rFonts w:ascii="宋体" w:hAnsi="宋体"/>
          <w:bCs/>
          <w:color w:val="auto"/>
          <w:sz w:val="24"/>
          <w:highlight w:val="none"/>
        </w:rPr>
      </w:pPr>
      <w:r>
        <w:rPr>
          <w:rFonts w:hint="eastAsia" w:ascii="宋体" w:hAnsi="宋体"/>
          <w:color w:val="auto"/>
          <w:sz w:val="24"/>
          <w:szCs w:val="24"/>
          <w:highlight w:val="none"/>
        </w:rPr>
        <w:t>3.1</w:t>
      </w:r>
      <w:r>
        <w:rPr>
          <w:rFonts w:hint="eastAsia" w:ascii="宋体" w:hAnsi="宋体"/>
          <w:bCs/>
          <w:color w:val="auto"/>
          <w:sz w:val="24"/>
          <w:highlight w:val="none"/>
        </w:rPr>
        <w:t>投标人应具备承担本项目施工的资质条件、能力和信誉。</w:t>
      </w:r>
    </w:p>
    <w:p>
      <w:pPr>
        <w:pStyle w:val="24"/>
        <w:spacing w:before="0" w:after="0" w:line="360" w:lineRule="auto"/>
        <w:ind w:firstLine="480" w:firstLineChars="200"/>
        <w:rPr>
          <w:rFonts w:hint="eastAsia"/>
          <w:color w:val="auto"/>
          <w:highlight w:val="none"/>
        </w:rPr>
      </w:pPr>
      <w:r>
        <w:rPr>
          <w:rFonts w:hint="eastAsia"/>
          <w:color w:val="auto"/>
          <w:highlight w:val="none"/>
        </w:rPr>
        <w:t>3.1.1</w:t>
      </w:r>
      <w:r>
        <w:rPr>
          <w:rFonts w:ascii="宋体" w:hAnsi="宋体" w:eastAsia="宋体" w:cs="宋体"/>
          <w:color w:val="auto"/>
          <w:sz w:val="24"/>
          <w:szCs w:val="24"/>
          <w:highlight w:val="none"/>
        </w:rPr>
        <w:t>投标人是法人或其他组织，按国家法律经营</w:t>
      </w:r>
      <w:r>
        <w:rPr>
          <w:rFonts w:hint="eastAsia"/>
          <w:color w:val="auto"/>
          <w:highlight w:val="none"/>
        </w:rPr>
        <w:t>，投标人具有承接本工程所需的</w:t>
      </w:r>
      <w:r>
        <w:rPr>
          <w:rFonts w:hint="eastAsia"/>
          <w:color w:val="auto"/>
          <w:highlight w:val="none"/>
          <w:u w:val="single"/>
        </w:rPr>
        <w:t>电子与智能化工程二级</w:t>
      </w:r>
      <w:r>
        <w:rPr>
          <w:rFonts w:hint="eastAsia"/>
          <w:color w:val="auto"/>
          <w:highlight w:val="none"/>
        </w:rPr>
        <w:t>或以上级别</w:t>
      </w:r>
      <w:r>
        <w:rPr>
          <w:rFonts w:hint="eastAsia"/>
          <w:color w:val="auto"/>
          <w:highlight w:val="none"/>
          <w:u w:val="single"/>
        </w:rPr>
        <w:t>专业承包</w:t>
      </w:r>
      <w:r>
        <w:rPr>
          <w:rFonts w:hint="eastAsia"/>
          <w:color w:val="auto"/>
          <w:highlight w:val="none"/>
          <w:lang w:val="en-US" w:eastAsia="zh-CN"/>
        </w:rPr>
        <w:t>资质</w:t>
      </w:r>
      <w:r>
        <w:rPr>
          <w:rFonts w:hint="eastAsia"/>
          <w:color w:val="auto"/>
          <w:highlight w:val="none"/>
        </w:rPr>
        <w:t>。</w:t>
      </w:r>
    </w:p>
    <w:p>
      <w:pPr>
        <w:pStyle w:val="2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（注：资质内容按照建市〔2014〕159号文颁布的新版《建筑业企业资质标准》中对应的资质类别及等级的承包工程范围和《住房城乡建设部关于建筑业企业资质管理有关问题的通知》（建市〔201</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〕154号）、《住房城乡建设部关于简化建筑业企业资质标准部分指标的通知》(建市〔201</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〕226号)、</w:t>
      </w:r>
      <w:r>
        <w:rPr>
          <w:rFonts w:hint="eastAsia" w:ascii="宋体" w:hAnsi="宋体" w:eastAsia="宋体" w:cs="宋体"/>
          <w:color w:val="auto"/>
          <w:highlight w:val="none"/>
          <w:lang w:val="en-US" w:eastAsia="zh-CN"/>
        </w:rPr>
        <w:t>《住房和城乡建设部关于印发建设工程企业资质管理制度改革方案的通知》（</w:t>
      </w:r>
      <w:r>
        <w:rPr>
          <w:rFonts w:hint="eastAsia" w:ascii="宋体" w:hAnsi="宋体" w:eastAsia="宋体" w:cs="宋体"/>
          <w:color w:val="auto"/>
          <w:highlight w:val="none"/>
        </w:rPr>
        <w:t>建市〔2020〕94号</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住房和城乡建设部办公厅关于做好建筑业“证照分离”改革衔接有关工作的通知》（建办市〔2021〕30号）、《住房和城乡建设部办公厅关于建设工程企业资质有关事宜的通知》（建办市函〔2022〕361号）、《广东省住房和城乡建设厅关于建设工程企业资质有关事宜的通知》（粤建许函〔2022〕846号）</w:t>
      </w:r>
      <w:r>
        <w:rPr>
          <w:rFonts w:hint="eastAsia" w:ascii="宋体" w:hAnsi="宋体" w:eastAsia="宋体" w:cs="宋体"/>
          <w:color w:val="auto"/>
          <w:highlight w:val="none"/>
          <w:lang w:eastAsia="zh-CN"/>
        </w:rPr>
        <w:t>、《住房城乡建设部建筑市场监管司关于建设工程企业资质延续有关事项的通知》（建司局函市〔2023〕116号）、</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广东省住房和城乡建设厅关于建设工程企业资质延续有关事项的通知</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（粤建许函〔2023〕820号）、广东省住房和城乡建设厅关于做好有关建设工程企业资质证书换领工作的通知（粤建许函〔2024〕124号）</w:t>
      </w:r>
      <w:r>
        <w:rPr>
          <w:rFonts w:hint="eastAsia" w:ascii="宋体" w:hAnsi="宋体" w:eastAsia="宋体" w:cs="宋体"/>
          <w:color w:val="auto"/>
          <w:highlight w:val="none"/>
        </w:rPr>
        <w:t>的要求设置。</w:t>
      </w:r>
    </w:p>
    <w:p>
      <w:pPr>
        <w:pStyle w:val="24"/>
        <w:spacing w:before="0" w:after="0" w:line="360" w:lineRule="auto"/>
        <w:ind w:firstLine="480" w:firstLineChars="200"/>
        <w:rPr>
          <w:rFonts w:hint="eastAsia"/>
          <w:color w:val="auto"/>
          <w:sz w:val="24"/>
          <w:szCs w:val="24"/>
          <w:highlight w:val="none"/>
        </w:rPr>
      </w:pPr>
      <w:r>
        <w:rPr>
          <w:rFonts w:hint="eastAsia"/>
          <w:color w:val="auto"/>
          <w:sz w:val="24"/>
          <w:szCs w:val="24"/>
          <w:highlight w:val="none"/>
        </w:rPr>
        <w:t>3.1.2安全生产许可证：投标人需具有有效的建设行政主管部门颁发的安全生产许可证。</w:t>
      </w:r>
    </w:p>
    <w:p>
      <w:pPr>
        <w:pStyle w:val="24"/>
        <w:spacing w:before="0"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3.1.3</w:t>
      </w:r>
      <w:r>
        <w:rPr>
          <w:rFonts w:hint="eastAsia" w:cs="宋体"/>
          <w:color w:val="auto"/>
          <w:sz w:val="24"/>
          <w:szCs w:val="24"/>
          <w:highlight w:val="none"/>
          <w:lang w:val="en-US" w:eastAsia="zh-CN"/>
        </w:rPr>
        <w:t>项目负责人资格要求：</w:t>
      </w:r>
      <w:r>
        <w:rPr>
          <w:rFonts w:hint="eastAsia" w:cs="宋体"/>
          <w:color w:val="auto"/>
          <w:spacing w:val="0"/>
          <w:sz w:val="24"/>
          <w:szCs w:val="24"/>
          <w:highlight w:val="none"/>
          <w:lang w:val="en-US" w:eastAsia="zh-CN"/>
        </w:rPr>
        <w:t>2人，其中拟担任</w:t>
      </w:r>
      <w:r>
        <w:rPr>
          <w:rFonts w:hint="eastAsia" w:ascii="宋体" w:hAnsi="宋体" w:eastAsia="宋体" w:cs="宋体"/>
          <w:color w:val="auto"/>
          <w:sz w:val="24"/>
          <w:szCs w:val="24"/>
          <w:highlight w:val="none"/>
        </w:rPr>
        <w:t>①南洲水厂排泥水处理系统建设工程自控与安防工程项目负责人须具有</w:t>
      </w:r>
      <w:r>
        <w:rPr>
          <w:rFonts w:hint="eastAsia" w:ascii="宋体" w:hAnsi="宋体" w:eastAsia="宋体" w:cs="宋体"/>
          <w:bCs w:val="0"/>
          <w:color w:val="auto"/>
          <w:sz w:val="24"/>
          <w:szCs w:val="24"/>
          <w:highlight w:val="none"/>
        </w:rPr>
        <w:t>机电工程</w:t>
      </w:r>
      <w:r>
        <w:rPr>
          <w:rFonts w:hint="eastAsia" w:ascii="宋体" w:hAnsi="宋体" w:eastAsia="宋体" w:cs="宋体"/>
          <w:color w:val="auto"/>
          <w:sz w:val="24"/>
          <w:szCs w:val="24"/>
          <w:highlight w:val="none"/>
        </w:rPr>
        <w:t>专业</w:t>
      </w:r>
      <w:r>
        <w:rPr>
          <w:rFonts w:hint="eastAsia" w:cs="宋体"/>
          <w:color w:val="auto"/>
          <w:sz w:val="24"/>
          <w:szCs w:val="24"/>
          <w:highlight w:val="none"/>
          <w:lang w:val="en-US" w:eastAsia="zh-CN"/>
        </w:rPr>
        <w:t>二</w:t>
      </w:r>
      <w:r>
        <w:rPr>
          <w:rFonts w:hint="eastAsia" w:ascii="宋体" w:hAnsi="宋体" w:eastAsia="宋体" w:cs="宋体"/>
          <w:color w:val="auto"/>
          <w:sz w:val="24"/>
          <w:szCs w:val="24"/>
          <w:highlight w:val="none"/>
        </w:rPr>
        <w:t>级</w:t>
      </w:r>
      <w:r>
        <w:rPr>
          <w:rFonts w:hint="eastAsia" w:cs="宋体"/>
          <w:color w:val="auto"/>
          <w:sz w:val="24"/>
          <w:szCs w:val="24"/>
          <w:highlight w:val="none"/>
          <w:lang w:val="en-US" w:eastAsia="zh-CN"/>
        </w:rPr>
        <w:t>或以上</w:t>
      </w:r>
      <w:r>
        <w:rPr>
          <w:rFonts w:hint="eastAsia" w:ascii="宋体" w:hAnsi="宋体" w:eastAsia="宋体" w:cs="宋体"/>
          <w:color w:val="auto"/>
          <w:sz w:val="24"/>
          <w:szCs w:val="24"/>
          <w:highlight w:val="none"/>
        </w:rPr>
        <w:t>级别的注册建造师。②南洲水厂新增20万m³/d产能(常规工艺)建设工程自控与安防工程项目负责人须具有</w:t>
      </w:r>
      <w:r>
        <w:rPr>
          <w:rFonts w:hint="eastAsia" w:ascii="宋体" w:hAnsi="宋体" w:eastAsia="宋体" w:cs="宋体"/>
          <w:bCs w:val="0"/>
          <w:color w:val="auto"/>
          <w:sz w:val="24"/>
          <w:szCs w:val="24"/>
          <w:highlight w:val="none"/>
        </w:rPr>
        <w:t>机电工程</w:t>
      </w:r>
      <w:r>
        <w:rPr>
          <w:rFonts w:hint="eastAsia" w:ascii="宋体" w:hAnsi="宋体" w:eastAsia="宋体" w:cs="宋体"/>
          <w:color w:val="auto"/>
          <w:sz w:val="24"/>
          <w:szCs w:val="24"/>
          <w:highlight w:val="none"/>
        </w:rPr>
        <w:t>专业</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级级别的注册建造师。</w:t>
      </w:r>
    </w:p>
    <w:p>
      <w:pPr>
        <w:pStyle w:val="24"/>
        <w:spacing w:before="0"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w:t>
      </w:r>
      <w:r>
        <w:rPr>
          <w:rFonts w:hint="eastAsia" w:cs="宋体"/>
          <w:color w:val="auto"/>
          <w:sz w:val="24"/>
          <w:szCs w:val="24"/>
          <w:highlight w:val="none"/>
          <w:lang w:val="en-US" w:eastAsia="zh-CN"/>
        </w:rPr>
        <w:t>均</w:t>
      </w:r>
      <w:r>
        <w:rPr>
          <w:rFonts w:hint="eastAsia" w:ascii="宋体" w:hAnsi="宋体" w:eastAsia="宋体" w:cs="宋体"/>
          <w:color w:val="auto"/>
          <w:sz w:val="24"/>
          <w:szCs w:val="24"/>
          <w:highlight w:val="none"/>
        </w:rPr>
        <w:t>持有</w:t>
      </w:r>
      <w:r>
        <w:rPr>
          <w:rFonts w:hint="eastAsia" w:ascii="宋体" w:hAnsi="宋体" w:eastAsia="宋体" w:cs="宋体"/>
          <w:color w:val="auto"/>
          <w:sz w:val="24"/>
          <w:szCs w:val="24"/>
          <w:highlight w:val="none"/>
          <w:lang w:eastAsia="zh-CN"/>
        </w:rPr>
        <w:t>安全生产考核合格证</w:t>
      </w:r>
      <w:r>
        <w:rPr>
          <w:rFonts w:hint="eastAsia" w:ascii="宋体" w:hAnsi="宋体" w:eastAsia="宋体" w:cs="宋体"/>
          <w:color w:val="auto"/>
          <w:sz w:val="24"/>
          <w:szCs w:val="24"/>
          <w:highlight w:val="none"/>
        </w:rPr>
        <w:t xml:space="preserve">（B 类）或建筑施工企业项目负责人安全生产考核合格证书。 </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宋体" w:hAnsi="宋体" w:eastAsia="宋体" w:cs="宋体"/>
          <w:color w:val="auto"/>
          <w:spacing w:val="0"/>
          <w:kern w:val="0"/>
          <w:sz w:val="24"/>
          <w:szCs w:val="24"/>
          <w:highlight w:val="none"/>
        </w:rPr>
        <w:t>注：</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根据广东省住建厅《关于明确二级建造师注册执业有关问题的通知》（粤建市函〔2023〕469号），二级建造师应在考试取得执业资格的省、自治区、直辖市申请注册，二级注册建造师可随注册企业在全国范围内执业。项目负责人在任职期间不得担任专职安全员，项目专职安全员在任职期间也不得担任项目负责人，项目负责人和专职安全员不为同一人。</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根据《住房和城乡建设部办公厅关于全面实行一级建造师电子注册证书的通知》（建办市〔2021〕40号），自2022年1月1日起，一级建造师统一使用电子证书，纸质证书作废。广东、北京、福建、四川等地二级建造师已实行电子证书，电子证书下载、签字等具体操作流程可查阅相关文件。根据规定二级建造师纸质证书未作废的，资格审查时不得以投标人未提供电子证书为由，认定投标人资格审查不通过。</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若投标人提供的注册建造师电子证书超过使用有效期、未在个人签名处手写签名或手写签名与签名图像笔迹存在差异的，资格审查时应通过“全国建筑市场监管公共服务平台”或各省规定的查询渠道查询持证人注册建造师注册信息，注册信息与投标文件所附电子证书一致的，上述情形不影响投标人通过资格审查。评标结束后，若该投标人为中标候选人的，投标人应在招标人规定的时限内提交符合要求的电子证书打印件和持证人出具的知情承诺。投标人未按时提交或提交资料不符合上述要求的，视为放弃中标资格。</w:t>
      </w:r>
    </w:p>
    <w:p>
      <w:pPr>
        <w:pStyle w:val="24"/>
        <w:numPr>
          <w:ilvl w:val="0"/>
          <w:numId w:val="2"/>
        </w:numPr>
        <w:spacing w:before="0" w:after="0" w:line="360" w:lineRule="auto"/>
        <w:ind w:firstLine="480" w:firstLineChars="200"/>
        <w:rPr>
          <w:rFonts w:hint="eastAsia" w:ascii="宋体" w:hAnsi="宋体" w:eastAsia="宋体" w:cs="宋体"/>
          <w:b w:val="0"/>
          <w:bCs/>
          <w:color w:val="auto"/>
          <w:kern w:val="0"/>
          <w:sz w:val="24"/>
          <w:szCs w:val="24"/>
          <w:highlight w:val="none"/>
          <w:lang w:val="en-US" w:eastAsia="zh-CN"/>
        </w:rPr>
      </w:pPr>
      <w:r>
        <w:rPr>
          <w:rFonts w:hint="eastAsia"/>
          <w:bCs/>
          <w:color w:val="auto"/>
          <w:highlight w:val="none"/>
        </w:rPr>
        <w:t>办理网上投标登记时，项目负责人一栏只需填写“②南洲水厂新增20万m³/d产能(常规工艺)建设工程自控与安防工程项目”项目负责人的信息，投标人拟派的</w:t>
      </w:r>
      <w:r>
        <w:rPr>
          <w:rFonts w:hint="eastAsia"/>
          <w:bCs/>
          <w:color w:val="auto"/>
          <w:highlight w:val="none"/>
          <w:lang w:val="en-US" w:eastAsia="zh-CN"/>
        </w:rPr>
        <w:t>2名</w:t>
      </w:r>
      <w:r>
        <w:rPr>
          <w:rFonts w:hint="eastAsia"/>
          <w:bCs/>
          <w:color w:val="auto"/>
          <w:highlight w:val="none"/>
        </w:rPr>
        <w:t>项目负责人</w:t>
      </w:r>
      <w:r>
        <w:rPr>
          <w:rFonts w:hint="eastAsia"/>
          <w:bCs/>
          <w:color w:val="auto"/>
          <w:highlight w:val="none"/>
          <w:lang w:val="en-US" w:eastAsia="zh-CN"/>
        </w:rPr>
        <w:t>均</w:t>
      </w:r>
      <w:r>
        <w:rPr>
          <w:rFonts w:hint="eastAsia"/>
          <w:bCs/>
          <w:color w:val="auto"/>
          <w:highlight w:val="none"/>
        </w:rPr>
        <w:t>应未被广州交易集团有限公司（广州公共资源交易中心）锁定，</w:t>
      </w:r>
      <w:r>
        <w:rPr>
          <w:rFonts w:hint="eastAsia"/>
          <w:bCs/>
          <w:color w:val="auto"/>
          <w:highlight w:val="none"/>
          <w:lang w:val="en-US" w:eastAsia="zh-CN"/>
        </w:rPr>
        <w:t>届时</w:t>
      </w:r>
      <w:r>
        <w:rPr>
          <w:rFonts w:hint="eastAsia"/>
          <w:bCs/>
          <w:color w:val="auto"/>
          <w:highlight w:val="none"/>
        </w:rPr>
        <w:t>拟派</w:t>
      </w:r>
      <w:r>
        <w:rPr>
          <w:rFonts w:hint="eastAsia"/>
          <w:bCs/>
          <w:color w:val="auto"/>
          <w:highlight w:val="none"/>
          <w:lang w:val="en-US" w:eastAsia="zh-CN"/>
        </w:rPr>
        <w:t>2名</w:t>
      </w:r>
      <w:r>
        <w:rPr>
          <w:rFonts w:hint="eastAsia"/>
          <w:bCs/>
          <w:color w:val="auto"/>
          <w:highlight w:val="none"/>
        </w:rPr>
        <w:t>项目负责人将被锁定。若在评标时发现项目负责人已被其他项目锁定，则投标人将不可被推荐为中标候选人。</w:t>
      </w:r>
    </w:p>
    <w:p>
      <w:pPr>
        <w:pStyle w:val="24"/>
        <w:spacing w:before="0" w:after="0" w:line="360" w:lineRule="auto"/>
        <w:ind w:firstLine="480" w:firstLineChars="200"/>
        <w:rPr>
          <w:rFonts w:hint="eastAsia"/>
          <w:i/>
          <w:color w:val="auto"/>
          <w:sz w:val="21"/>
          <w:szCs w:val="21"/>
          <w:highlight w:val="none"/>
        </w:rPr>
      </w:pPr>
      <w:r>
        <w:rPr>
          <w:rFonts w:hint="eastAsia"/>
          <w:color w:val="auto"/>
          <w:highlight w:val="none"/>
        </w:rPr>
        <w:t>3.1.4专职安全员资格要求：</w:t>
      </w:r>
      <w:r>
        <w:rPr>
          <w:rFonts w:hint="eastAsia" w:ascii="宋体" w:hAnsi="宋体" w:eastAsia="宋体" w:cs="宋体"/>
          <w:color w:val="auto"/>
          <w:spacing w:val="0"/>
          <w:sz w:val="24"/>
          <w:szCs w:val="24"/>
          <w:highlight w:val="none"/>
        </w:rPr>
        <w:t>要求专职安全员不少于</w:t>
      </w:r>
      <w:r>
        <w:rPr>
          <w:rFonts w:hint="eastAsia"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rPr>
        <w:t>人</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highlight w:val="none"/>
          <w:lang w:val="en-US" w:eastAsia="zh-CN"/>
        </w:rPr>
        <w:t>分别担任</w:t>
      </w:r>
      <w:r>
        <w:rPr>
          <w:rFonts w:hint="eastAsia" w:ascii="宋体" w:hAnsi="宋体" w:eastAsia="宋体" w:cs="宋体"/>
          <w:color w:val="auto"/>
          <w:highlight w:val="none"/>
        </w:rPr>
        <w:t>南洲水厂排泥水处理系统建设工程自控与安防工程</w:t>
      </w:r>
      <w:r>
        <w:rPr>
          <w:rFonts w:hint="eastAsia" w:ascii="宋体" w:hAnsi="宋体" w:eastAsia="宋体" w:cs="宋体"/>
          <w:color w:val="auto"/>
          <w:highlight w:val="none"/>
          <w:lang w:val="en-US" w:eastAsia="zh-CN"/>
        </w:rPr>
        <w:t>和</w:t>
      </w:r>
      <w:r>
        <w:rPr>
          <w:rFonts w:hint="eastAsia" w:ascii="宋体" w:hAnsi="宋体" w:eastAsia="宋体" w:cs="宋体"/>
          <w:color w:val="auto"/>
          <w:position w:val="0"/>
          <w:sz w:val="24"/>
          <w:szCs w:val="24"/>
          <w:highlight w:val="none"/>
          <w:lang w:val="en-US" w:eastAsia="zh-CN"/>
        </w:rPr>
        <w:t>南洲水厂新增20万m³/d产能（常规工艺）建设工程自控与安防工程的</w:t>
      </w:r>
      <w:r>
        <w:rPr>
          <w:rFonts w:hint="eastAsia" w:ascii="宋体" w:hAnsi="宋体" w:eastAsia="宋体" w:cs="宋体"/>
          <w:color w:val="auto"/>
          <w:highlight w:val="none"/>
        </w:rPr>
        <w:t>专职安全员</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。专职安全员</w:t>
      </w:r>
      <w:r>
        <w:rPr>
          <w:rFonts w:hint="eastAsia" w:cs="宋体"/>
          <w:color w:val="auto"/>
          <w:spacing w:val="0"/>
          <w:sz w:val="24"/>
          <w:szCs w:val="24"/>
          <w:highlight w:val="none"/>
          <w:lang w:val="en-US" w:eastAsia="zh-CN"/>
        </w:rPr>
        <w:t>均</w:t>
      </w:r>
      <w:r>
        <w:rPr>
          <w:rFonts w:hint="eastAsia" w:ascii="宋体" w:hAnsi="宋体" w:eastAsia="宋体" w:cs="宋体"/>
          <w:color w:val="auto"/>
          <w:spacing w:val="0"/>
          <w:sz w:val="24"/>
          <w:szCs w:val="24"/>
          <w:highlight w:val="none"/>
        </w:rPr>
        <w:t>须具有安全生产考核合格证（C类）或建筑施工企业专职安全生产管理人员安全生产考核合格证书（C3类）。</w:t>
      </w:r>
    </w:p>
    <w:p>
      <w:pPr>
        <w:pStyle w:val="24"/>
        <w:snapToGrid w:val="0"/>
        <w:spacing w:before="0" w:after="0" w:line="360" w:lineRule="auto"/>
        <w:ind w:firstLine="480" w:firstLineChars="200"/>
        <w:rPr>
          <w:rFonts w:hint="eastAsia"/>
          <w:color w:val="auto"/>
          <w:highlight w:val="none"/>
        </w:rPr>
      </w:pPr>
      <w:r>
        <w:rPr>
          <w:rFonts w:hint="eastAsia"/>
          <w:color w:val="auto"/>
          <w:highlight w:val="none"/>
        </w:rPr>
        <w:t>3.1.5类似项目业绩要求</w:t>
      </w:r>
      <w:r>
        <w:rPr>
          <w:rFonts w:hint="eastAsia"/>
          <w:color w:val="auto"/>
          <w:highlight w:val="none"/>
          <w:lang w:eastAsia="zh-CN"/>
        </w:rPr>
        <w:t>：</w:t>
      </w:r>
      <w:r>
        <w:rPr>
          <w:rFonts w:hint="eastAsia"/>
          <w:color w:val="auto"/>
          <w:highlight w:val="none"/>
        </w:rPr>
        <w:t>投标人具有自20</w:t>
      </w:r>
      <w:r>
        <w:rPr>
          <w:rFonts w:hint="eastAsia"/>
          <w:color w:val="auto"/>
          <w:highlight w:val="none"/>
          <w:lang w:val="en-US" w:eastAsia="zh-CN"/>
        </w:rPr>
        <w:t>22</w:t>
      </w:r>
      <w:r>
        <w:rPr>
          <w:rFonts w:hint="eastAsia"/>
          <w:color w:val="auto"/>
          <w:highlight w:val="none"/>
        </w:rPr>
        <w:t>年1月1日至今完成过质量合格的类似工程业绩。</w:t>
      </w:r>
    </w:p>
    <w:p>
      <w:pPr>
        <w:pStyle w:val="24"/>
        <w:snapToGrid w:val="0"/>
        <w:spacing w:before="0" w:after="0" w:line="360" w:lineRule="auto"/>
        <w:ind w:firstLine="480" w:firstLineChars="200"/>
        <w:rPr>
          <w:rFonts w:hint="eastAsia"/>
          <w:color w:val="auto"/>
          <w:highlight w:val="none"/>
        </w:rPr>
      </w:pPr>
      <w:r>
        <w:rPr>
          <w:rFonts w:hint="eastAsia"/>
          <w:color w:val="auto"/>
          <w:highlight w:val="none"/>
        </w:rPr>
        <w:t>注：1）项目完成时间以竣工验收时间为准。</w:t>
      </w:r>
    </w:p>
    <w:p>
      <w:pPr>
        <w:pStyle w:val="24"/>
        <w:snapToGrid w:val="0"/>
        <w:spacing w:before="0" w:after="0" w:line="360" w:lineRule="auto"/>
        <w:ind w:firstLine="480" w:firstLineChars="200"/>
        <w:rPr>
          <w:rFonts w:hint="eastAsia"/>
          <w:color w:val="auto"/>
          <w:highlight w:val="none"/>
        </w:rPr>
      </w:pPr>
      <w:r>
        <w:rPr>
          <w:rFonts w:hint="eastAsia"/>
          <w:color w:val="auto"/>
          <w:highlight w:val="none"/>
        </w:rPr>
        <w:t>2）类似工程业绩是指采用的资质类别与本招标项目采用的资质类别相同的，自来水厂或（污）净水厂自动化控制系统施工业绩。</w:t>
      </w:r>
    </w:p>
    <w:p>
      <w:pPr>
        <w:pStyle w:val="24"/>
        <w:snapToGrid w:val="0"/>
        <w:spacing w:before="0" w:after="0" w:line="360" w:lineRule="auto"/>
        <w:ind w:firstLine="480" w:firstLineChars="200"/>
        <w:rPr>
          <w:rFonts w:hint="eastAsia"/>
          <w:color w:val="auto"/>
          <w:highlight w:val="none"/>
        </w:rPr>
      </w:pPr>
      <w:r>
        <w:rPr>
          <w:rFonts w:hint="eastAsia"/>
          <w:color w:val="auto"/>
          <w:highlight w:val="none"/>
        </w:rPr>
        <w:t>3）需同时提供中标通知书或免招标的相关证明、施工合同、竣工验收报告或竣工验收证明。类似业绩证明的信息须明确显示该业绩项目名称、中标价、规模等信息。如以上资料不能证明业绩规模的技术指标的，须另提供可证明业绩技术指标的其他资料。由总承包单位依法分包的专业工程业绩，需同时提供总承包单位的中标通知书（扫描件）、经业主和总承包单位确认的分包合同、竣工验收报告或竣工验收证明。</w:t>
      </w:r>
    </w:p>
    <w:p>
      <w:pPr>
        <w:pStyle w:val="24"/>
        <w:snapToGrid w:val="0"/>
        <w:spacing w:before="0" w:after="0" w:line="360" w:lineRule="auto"/>
        <w:ind w:firstLine="480" w:firstLineChars="200"/>
        <w:rPr>
          <w:rFonts w:hint="eastAsia" w:ascii="宋体" w:hAnsi="宋体" w:eastAsia="宋体" w:cs="宋体"/>
          <w:color w:val="auto"/>
          <w:highlight w:val="none"/>
        </w:rPr>
      </w:pPr>
      <w:r>
        <w:rPr>
          <w:rFonts w:hint="eastAsia"/>
          <w:color w:val="auto"/>
          <w:highlight w:val="none"/>
        </w:rPr>
        <w:t>4）类似业绩在中标候选人公示期间一并进行公示。</w:t>
      </w:r>
    </w:p>
    <w:p>
      <w:pPr>
        <w:pStyle w:val="24"/>
        <w:spacing w:before="0" w:after="0" w:line="360" w:lineRule="auto"/>
        <w:ind w:firstLine="480" w:firstLineChars="200"/>
        <w:rPr>
          <w:rFonts w:hint="eastAsia"/>
          <w:color w:val="auto"/>
          <w:highlight w:val="none"/>
        </w:rPr>
      </w:pPr>
      <w:r>
        <w:rPr>
          <w:rFonts w:hint="eastAsia"/>
          <w:color w:val="auto"/>
          <w:highlight w:val="none"/>
        </w:rPr>
        <w:t>3.1.6提交社保文件的要求：</w:t>
      </w:r>
      <w:r>
        <w:rPr>
          <w:rFonts w:hint="eastAsia"/>
          <w:color w:val="auto"/>
          <w:highlight w:val="none"/>
          <w:lang w:eastAsia="zh-CN"/>
        </w:rPr>
        <w:t>投标人</w:t>
      </w:r>
      <w:r>
        <w:rPr>
          <w:rFonts w:hint="eastAsia"/>
          <w:color w:val="auto"/>
          <w:highlight w:val="none"/>
        </w:rPr>
        <w:t>须保证授权的委托代理人及项目部主要组成人员（项目负责人、专职安全员）均为本单位的正式职工，必须具有离投标截止时间最近</w:t>
      </w:r>
      <w:r>
        <w:rPr>
          <w:rFonts w:hint="eastAsia"/>
          <w:color w:val="auto"/>
          <w:highlight w:val="none"/>
          <w:lang w:val="en-US" w:eastAsia="zh-CN"/>
        </w:rPr>
        <w:t>的至少1</w:t>
      </w:r>
      <w:r>
        <w:rPr>
          <w:rFonts w:hint="eastAsia"/>
          <w:color w:val="auto"/>
          <w:highlight w:val="none"/>
        </w:rPr>
        <w:t>个月</w:t>
      </w:r>
      <w:r>
        <w:rPr>
          <w:rFonts w:hint="eastAsia" w:ascii="宋体" w:hAnsi="宋体" w:eastAsia="宋体" w:cs="宋体"/>
          <w:color w:val="auto"/>
          <w:spacing w:val="0"/>
          <w:sz w:val="24"/>
          <w:szCs w:val="24"/>
          <w:highlight w:val="none"/>
        </w:rPr>
        <w:t>(时间为：</w:t>
      </w:r>
      <w:r>
        <w:rPr>
          <w:rFonts w:hint="eastAsia" w:cs="宋体"/>
          <w:color w:val="auto"/>
          <w:spacing w:val="0"/>
          <w:sz w:val="24"/>
          <w:szCs w:val="24"/>
          <w:highlight w:val="none"/>
          <w:lang w:val="en-US" w:eastAsia="zh-CN"/>
        </w:rPr>
        <w:t>2025年    月</w:t>
      </w:r>
      <w:r>
        <w:rPr>
          <w:rFonts w:hint="eastAsia" w:ascii="宋体" w:hAnsi="宋体" w:eastAsia="宋体" w:cs="宋体"/>
          <w:color w:val="auto"/>
          <w:spacing w:val="0"/>
          <w:sz w:val="24"/>
          <w:szCs w:val="24"/>
          <w:highlight w:val="none"/>
        </w:rPr>
        <w:t>)</w:t>
      </w:r>
      <w:r>
        <w:rPr>
          <w:rFonts w:hint="eastAsia"/>
          <w:color w:val="auto"/>
          <w:highlight w:val="none"/>
        </w:rPr>
        <w:t>在本单位缴纳的社保证明文件</w:t>
      </w:r>
      <w:r>
        <w:rPr>
          <w:rFonts w:hint="eastAsia" w:ascii="宋体" w:hAnsi="宋体" w:eastAsia="宋体" w:cs="宋体"/>
          <w:color w:val="auto"/>
          <w:spacing w:val="0"/>
          <w:sz w:val="24"/>
          <w:szCs w:val="24"/>
          <w:highlight w:val="none"/>
        </w:rPr>
        <w:t>(以加盖社会保险基金管理中心印章的《投保单》或《社会保险参保人员证明》资料为准)</w:t>
      </w:r>
      <w:r>
        <w:rPr>
          <w:rFonts w:hint="eastAsia"/>
          <w:color w:val="auto"/>
          <w:highlight w:val="none"/>
        </w:rPr>
        <w:t>。</w:t>
      </w:r>
    </w:p>
    <w:p>
      <w:pPr>
        <w:pStyle w:val="24"/>
        <w:spacing w:before="0" w:after="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3.1.</w:t>
      </w:r>
      <w:r>
        <w:rPr>
          <w:rFonts w:hint="eastAsia" w:ascii="宋体" w:hAnsi="宋体" w:eastAsia="宋体" w:cs="宋体"/>
          <w:color w:val="auto"/>
          <w:highlight w:val="none"/>
          <w:lang w:val="en-US" w:eastAsia="zh-CN"/>
        </w:rPr>
        <w:t>7</w:t>
      </w:r>
      <w:r>
        <w:rPr>
          <w:rFonts w:hint="eastAsia" w:ascii="宋体" w:hAnsi="宋体" w:eastAsia="宋体" w:cs="宋体"/>
          <w:color w:val="auto"/>
          <w:kern w:val="0"/>
          <w:sz w:val="24"/>
          <w:szCs w:val="24"/>
          <w:highlight w:val="none"/>
          <w:lang w:val="en-US" w:eastAsia="zh-CN" w:bidi="ar-SA"/>
        </w:rPr>
        <w:t>投标人提交的《投标人声明》（格式见本公告附件一）内容及签署盖章与招标文件要求一致，</w:t>
      </w:r>
      <w:r>
        <w:rPr>
          <w:rFonts w:hint="eastAsia" w:ascii="宋体" w:hAnsi="宋体" w:eastAsia="宋体" w:cs="宋体"/>
          <w:b w:val="0"/>
          <w:bCs w:val="0"/>
          <w:color w:val="auto"/>
          <w:kern w:val="0"/>
          <w:sz w:val="24"/>
          <w:szCs w:val="24"/>
          <w:highlight w:val="none"/>
          <w:lang w:val="en-US" w:eastAsia="zh-CN" w:bidi="ar-SA"/>
        </w:rPr>
        <w:t>法定代表人、项目负责人、技术负责人</w:t>
      </w:r>
      <w:r>
        <w:rPr>
          <w:rFonts w:hint="eastAsia" w:ascii="宋体" w:hAnsi="宋体" w:eastAsia="宋体" w:cs="宋体"/>
          <w:color w:val="auto"/>
          <w:kern w:val="0"/>
          <w:sz w:val="24"/>
          <w:szCs w:val="24"/>
          <w:highlight w:val="none"/>
          <w:lang w:val="en-US" w:eastAsia="zh-CN" w:bidi="ar-SA"/>
        </w:rPr>
        <w:t>均必须签字，没有签字不予通过资格审查。</w:t>
      </w:r>
    </w:p>
    <w:p>
      <w:pPr>
        <w:snapToGrid w:val="0"/>
        <w:spacing w:line="360" w:lineRule="auto"/>
        <w:ind w:firstLine="480" w:firstLineChars="200"/>
        <w:rPr>
          <w:rFonts w:hint="default" w:ascii="宋体" w:hAnsi="宋体" w:eastAsia="宋体" w:cs="Times New Roman"/>
          <w:color w:val="auto"/>
          <w:sz w:val="24"/>
          <w:szCs w:val="24"/>
          <w:highlight w:val="none"/>
          <w:u w:val="none"/>
        </w:rPr>
      </w:pPr>
      <w:r>
        <w:rPr>
          <w:rFonts w:hint="default" w:ascii="宋体" w:hAnsi="宋体" w:eastAsia="宋体" w:cs="Times New Roman"/>
          <w:color w:val="auto"/>
          <w:sz w:val="24"/>
          <w:szCs w:val="24"/>
          <w:highlight w:val="none"/>
          <w:u w:val="none"/>
          <w:lang w:val="en-US" w:eastAsia="zh-CN"/>
        </w:rPr>
        <w:t>3.</w:t>
      </w:r>
      <w:r>
        <w:rPr>
          <w:rFonts w:hint="eastAsia" w:ascii="宋体" w:hAnsi="宋体" w:eastAsia="宋体" w:cs="Times New Roman"/>
          <w:color w:val="auto"/>
          <w:sz w:val="24"/>
          <w:szCs w:val="24"/>
          <w:highlight w:val="none"/>
          <w:u w:val="none"/>
          <w:lang w:val="en-US" w:eastAsia="zh-CN"/>
        </w:rPr>
        <w:t>1.8</w:t>
      </w:r>
      <w:r>
        <w:rPr>
          <w:rFonts w:hint="default" w:ascii="宋体" w:hAnsi="宋体" w:eastAsia="宋体" w:cs="Times New Roman"/>
          <w:color w:val="auto"/>
          <w:sz w:val="24"/>
          <w:szCs w:val="24"/>
          <w:highlight w:val="none"/>
          <w:u w:val="none"/>
        </w:rPr>
        <w:t>投标人未被列入“在一定期限内依法取消参加依法必须进行招标的项目的投标资格”，具体名单以递交投标文件截止时间“信用广州”公布的“黑名单”为准（投标人无需提供资料，按交易系统比对的结果进行评审）。</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olor w:val="auto"/>
          <w:sz w:val="24"/>
          <w:szCs w:val="24"/>
          <w:highlight w:val="none"/>
        </w:rPr>
        <w:t>3.2本次招标不接受联合体投标。</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3.3本次招标要求投标人已在广州交易集团有限公司（广州公共资源交易中心）办理信息登记等相关投标登记手续。</w:t>
      </w:r>
    </w:p>
    <w:p>
      <w:pPr>
        <w:spacing w:line="360" w:lineRule="auto"/>
        <w:ind w:firstLine="480" w:firstLineChars="200"/>
        <w:rPr>
          <w:rFonts w:hint="eastAsia" w:ascii="宋体" w:hAnsi="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投标人须在投标文件中按招标文件要求提交签署盖章的《投标人廉洁承诺书》。</w:t>
      </w:r>
    </w:p>
    <w:p>
      <w:pPr>
        <w:spacing w:line="360" w:lineRule="auto"/>
        <w:ind w:firstLine="480" w:firstLineChars="200"/>
        <w:rPr>
          <w:rFonts w:hint="eastAsia" w:ascii="宋体" w:hAnsi="宋体" w:eastAsia="宋体" w:cs="Times New Roman"/>
          <w:color w:val="auto"/>
          <w:kern w:val="2"/>
          <w:sz w:val="24"/>
          <w:szCs w:val="24"/>
          <w:highlight w:val="none"/>
        </w:rPr>
      </w:pPr>
      <w:r>
        <w:rPr>
          <w:rFonts w:hint="eastAsia" w:ascii="宋体" w:hAnsi="宋体"/>
          <w:color w:val="auto"/>
          <w:sz w:val="24"/>
          <w:szCs w:val="24"/>
          <w:highlight w:val="none"/>
        </w:rPr>
        <w:t>3.</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本次招标实行资格后审,资格审查不合格的投标人投标文件将按无效投标处理被否决。</w:t>
      </w:r>
    </w:p>
    <w:p>
      <w:pPr>
        <w:spacing w:line="360" w:lineRule="auto"/>
        <w:ind w:firstLine="480" w:firstLineChars="200"/>
        <w:rPr>
          <w:rFonts w:hint="eastAsia" w:ascii="宋体" w:hAnsi="宋体"/>
          <w:color w:val="auto"/>
          <w:sz w:val="24"/>
          <w:szCs w:val="24"/>
          <w:highlight w:val="none"/>
        </w:rPr>
      </w:pPr>
      <w:r>
        <w:rPr>
          <w:rFonts w:hint="eastAsia" w:ascii="宋体" w:hAnsi="宋体" w:eastAsia="宋体" w:cs="Times New Roman"/>
          <w:color w:val="auto"/>
          <w:kern w:val="2"/>
          <w:sz w:val="24"/>
          <w:szCs w:val="24"/>
          <w:highlight w:val="none"/>
        </w:rPr>
        <w:t>3.</w:t>
      </w:r>
      <w:r>
        <w:rPr>
          <w:rFonts w:hint="eastAsia" w:ascii="宋体" w:hAnsi="宋体" w:eastAsia="宋体" w:cs="Times New Roman"/>
          <w:color w:val="auto"/>
          <w:kern w:val="2"/>
          <w:sz w:val="24"/>
          <w:szCs w:val="24"/>
          <w:highlight w:val="none"/>
          <w:lang w:val="en-US" w:eastAsia="zh-CN"/>
        </w:rPr>
        <w:t>6</w:t>
      </w:r>
      <w:r>
        <w:rPr>
          <w:rFonts w:hint="eastAsia" w:ascii="宋体" w:hAnsi="宋体" w:eastAsia="宋体" w:cs="Times New Roman"/>
          <w:color w:val="auto"/>
          <w:kern w:val="2"/>
          <w:sz w:val="24"/>
          <w:szCs w:val="24"/>
          <w:highlight w:val="none"/>
        </w:rPr>
        <w:t>投标文件中的投标人应与企业库信息库中的信息一致，项目负责人、安全员应与投标登记时的信息一致。</w:t>
      </w:r>
    </w:p>
    <w:p>
      <w:pPr>
        <w:spacing w:line="360" w:lineRule="auto"/>
        <w:ind w:firstLine="542" w:firstLineChars="225"/>
        <w:rPr>
          <w:rFonts w:ascii="宋体" w:hAnsi="宋体"/>
          <w:b/>
          <w:color w:val="auto"/>
          <w:sz w:val="24"/>
          <w:szCs w:val="24"/>
          <w:highlight w:val="none"/>
        </w:rPr>
      </w:pPr>
      <w:bookmarkStart w:id="73" w:name="_Toc229305326"/>
      <w:bookmarkStart w:id="74" w:name="_Toc222032635"/>
      <w:bookmarkStart w:id="75" w:name="_Toc144974483"/>
      <w:bookmarkStart w:id="76" w:name="_Toc168476032"/>
      <w:bookmarkStart w:id="77" w:name="_Toc222033817"/>
      <w:bookmarkStart w:id="78" w:name="_Toc222030968"/>
      <w:bookmarkStart w:id="79" w:name="_Toc221949930"/>
      <w:bookmarkStart w:id="80" w:name="_Toc222029466"/>
      <w:bookmarkStart w:id="81" w:name="_Toc168475629"/>
      <w:bookmarkStart w:id="82" w:name="_Toc259524299"/>
      <w:r>
        <w:rPr>
          <w:rFonts w:hint="eastAsia" w:ascii="宋体" w:hAnsi="宋体"/>
          <w:b/>
          <w:color w:val="auto"/>
          <w:sz w:val="24"/>
          <w:szCs w:val="24"/>
          <w:highlight w:val="none"/>
        </w:rPr>
        <w:t>4</w:t>
      </w:r>
      <w:r>
        <w:rPr>
          <w:rFonts w:ascii="宋体" w:hAnsi="宋体"/>
          <w:b/>
          <w:color w:val="auto"/>
          <w:sz w:val="24"/>
          <w:szCs w:val="24"/>
          <w:highlight w:val="none"/>
        </w:rPr>
        <w:t xml:space="preserve">. </w:t>
      </w:r>
      <w:r>
        <w:rPr>
          <w:rFonts w:hint="eastAsia" w:ascii="宋体" w:hAnsi="宋体"/>
          <w:b/>
          <w:color w:val="auto"/>
          <w:sz w:val="24"/>
          <w:szCs w:val="24"/>
          <w:highlight w:val="none"/>
          <w:lang w:eastAsia="zh-CN"/>
        </w:rPr>
        <w:t>招标公告发布和</w:t>
      </w:r>
      <w:r>
        <w:rPr>
          <w:rFonts w:ascii="宋体" w:hAnsi="宋体"/>
          <w:b/>
          <w:color w:val="auto"/>
          <w:sz w:val="24"/>
          <w:szCs w:val="24"/>
          <w:highlight w:val="none"/>
        </w:rPr>
        <w:t>招标文件的获取</w:t>
      </w:r>
      <w:bookmarkEnd w:id="73"/>
      <w:bookmarkEnd w:id="74"/>
      <w:bookmarkEnd w:id="75"/>
      <w:bookmarkEnd w:id="76"/>
      <w:bookmarkEnd w:id="77"/>
      <w:bookmarkEnd w:id="78"/>
      <w:bookmarkEnd w:id="79"/>
      <w:bookmarkEnd w:id="80"/>
      <w:bookmarkEnd w:id="81"/>
      <w:bookmarkEnd w:id="82"/>
    </w:p>
    <w:p>
      <w:pPr>
        <w:widowControl/>
        <w:numPr>
          <w:ilvl w:val="0"/>
          <w:numId w:val="0"/>
        </w:numPr>
        <w:shd w:val="clear" w:color="auto" w:fill="FFFFFF"/>
        <w:snapToGrid w:val="0"/>
        <w:spacing w:line="360" w:lineRule="auto"/>
        <w:ind w:left="0" w:firstLine="480" w:firstLineChars="200"/>
        <w:rPr>
          <w:rFonts w:ascii="宋体" w:hAnsi="宋体"/>
          <w:bCs/>
          <w:color w:val="auto"/>
          <w:sz w:val="24"/>
          <w:highlight w:val="none"/>
        </w:rPr>
      </w:pPr>
      <w:bookmarkStart w:id="83" w:name="_Toc221949931"/>
      <w:r>
        <w:rPr>
          <w:rFonts w:hint="eastAsia" w:ascii="宋体" w:hAnsi="宋体"/>
          <w:color w:val="auto"/>
          <w:sz w:val="24"/>
          <w:szCs w:val="24"/>
          <w:highlight w:val="none"/>
        </w:rPr>
        <w:t>4</w:t>
      </w:r>
      <w:r>
        <w:rPr>
          <w:rFonts w:ascii="宋体" w:hAnsi="宋体"/>
          <w:color w:val="auto"/>
          <w:sz w:val="24"/>
          <w:szCs w:val="24"/>
          <w:highlight w:val="none"/>
        </w:rPr>
        <w:t>.1</w:t>
      </w:r>
      <w:r>
        <w:rPr>
          <w:rFonts w:hint="eastAsia" w:ascii="宋体" w:hAnsi="宋体"/>
          <w:bCs/>
          <w:color w:val="auto"/>
          <w:sz w:val="24"/>
          <w:highlight w:val="none"/>
        </w:rPr>
        <w:t>招标公告发布时间</w:t>
      </w:r>
    </w:p>
    <w:p>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从</w:t>
      </w:r>
      <w:r>
        <w:rPr>
          <w:rFonts w:hint="eastAsia" w:ascii="宋体" w:hAnsi="宋体"/>
          <w:bCs/>
          <w:color w:val="auto"/>
          <w:sz w:val="24"/>
          <w:highlight w:val="none"/>
          <w:lang w:val="en-US" w:eastAsia="zh-CN"/>
        </w:rPr>
        <w:t>2025年</w:t>
      </w:r>
      <w:r>
        <w:rPr>
          <w:rFonts w:hint="eastAsia" w:ascii="宋体" w:hAnsi="宋体"/>
          <w:bCs/>
          <w:color w:val="auto"/>
          <w:sz w:val="24"/>
          <w:highlight w:val="none"/>
        </w:rPr>
        <w:t>____月____日至</w:t>
      </w:r>
      <w:r>
        <w:rPr>
          <w:rFonts w:hint="eastAsia" w:ascii="宋体" w:hAnsi="宋体"/>
          <w:bCs/>
          <w:color w:val="auto"/>
          <w:sz w:val="24"/>
          <w:highlight w:val="none"/>
          <w:lang w:val="en-US" w:eastAsia="zh-CN"/>
        </w:rPr>
        <w:t>2025年</w:t>
      </w:r>
      <w:r>
        <w:rPr>
          <w:rFonts w:hint="eastAsia" w:ascii="宋体" w:hAnsi="宋体"/>
          <w:bCs/>
          <w:color w:val="auto"/>
          <w:sz w:val="24"/>
          <w:highlight w:val="none"/>
        </w:rPr>
        <w:t>____月____日___时____分</w:t>
      </w:r>
      <w:r>
        <w:rPr>
          <w:rFonts w:hint="eastAsia" w:ascii="宋体" w:hAnsi="宋体"/>
          <w:bCs/>
          <w:color w:val="auto"/>
          <w:sz w:val="24"/>
          <w:highlight w:val="none"/>
          <w:lang w:eastAsia="zh-CN"/>
        </w:rPr>
        <w:t>，凡有意参加投标者，请登录</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bCs/>
          <w:color w:val="auto"/>
          <w:sz w:val="24"/>
          <w:highlight w:val="none"/>
          <w:lang w:eastAsia="zh-CN"/>
        </w:rPr>
        <w:t>下载电子招标文件。</w:t>
      </w:r>
      <w:r>
        <w:rPr>
          <w:rFonts w:hint="eastAsia" w:ascii="宋体" w:hAnsi="宋体"/>
          <w:bCs/>
          <w:color w:val="auto"/>
          <w:sz w:val="24"/>
          <w:highlight w:val="none"/>
        </w:rPr>
        <w:t>（注：发布招标公告的时间为招标公告发出之日起至投标截止时间止）。</w:t>
      </w:r>
    </w:p>
    <w:p>
      <w:pPr>
        <w:widowControl/>
        <w:numPr>
          <w:ilvl w:val="0"/>
          <w:numId w:val="0"/>
        </w:numPr>
        <w:shd w:val="clear" w:color="auto" w:fill="FFFFFF"/>
        <w:snapToGrid w:val="0"/>
        <w:spacing w:line="360" w:lineRule="auto"/>
        <w:ind w:left="0" w:firstLine="480" w:firstLineChars="200"/>
        <w:rPr>
          <w:rFonts w:ascii="宋体" w:hAnsi="宋体"/>
          <w:bCs/>
          <w:color w:val="auto"/>
          <w:sz w:val="24"/>
          <w:highlight w:val="none"/>
        </w:rPr>
      </w:pPr>
      <w:r>
        <w:rPr>
          <w:rFonts w:hint="eastAsia" w:ascii="宋体" w:hAnsi="宋体"/>
          <w:bCs/>
          <w:color w:val="auto"/>
          <w:sz w:val="24"/>
          <w:highlight w:val="none"/>
          <w:lang w:val="en-US" w:eastAsia="zh-CN"/>
        </w:rPr>
        <w:t>4.2</w:t>
      </w:r>
      <w:r>
        <w:rPr>
          <w:rFonts w:hint="eastAsia" w:ascii="宋体" w:hAnsi="宋体"/>
          <w:bCs/>
          <w:color w:val="auto"/>
          <w:sz w:val="24"/>
          <w:highlight w:val="none"/>
        </w:rPr>
        <w:t>招标文件获取方式</w:t>
      </w:r>
    </w:p>
    <w:p>
      <w:pPr>
        <w:spacing w:line="360" w:lineRule="auto"/>
        <w:ind w:firstLine="480" w:firstLineChars="200"/>
        <w:rPr>
          <w:rFonts w:hint="eastAsia" w:ascii="宋体" w:hAnsi="宋体"/>
          <w:color w:val="auto"/>
          <w:sz w:val="24"/>
          <w:szCs w:val="24"/>
          <w:highlight w:val="none"/>
        </w:rPr>
      </w:pPr>
      <w:r>
        <w:rPr>
          <w:rFonts w:hint="eastAsia" w:ascii="宋体" w:hAnsi="宋体" w:cs="宋体"/>
          <w:color w:val="auto"/>
          <w:kern w:val="0"/>
          <w:sz w:val="24"/>
          <w:szCs w:val="24"/>
          <w:highlight w:val="none"/>
        </w:rPr>
        <w:t>本项</w:t>
      </w:r>
      <w:r>
        <w:rPr>
          <w:rFonts w:hint="eastAsia" w:ascii="宋体" w:hAnsi="宋体" w:eastAsia="宋体" w:cs="Times New Roman"/>
          <w:color w:val="auto"/>
          <w:kern w:val="2"/>
          <w:sz w:val="24"/>
          <w:szCs w:val="24"/>
          <w:highlight w:val="none"/>
        </w:rPr>
        <w:t>目招标文件随招标公告一并在</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eastAsia="宋体"/>
          <w:color w:val="auto"/>
          <w:sz w:val="24"/>
          <w:szCs w:val="24"/>
          <w:highlight w:val="none"/>
        </w:rPr>
        <w:t>发布</w:t>
      </w:r>
      <w:r>
        <w:rPr>
          <w:rFonts w:hint="eastAsia" w:ascii="宋体" w:hAnsi="宋体" w:eastAsia="宋体" w:cs="Times New Roman"/>
          <w:color w:val="auto"/>
          <w:kern w:val="2"/>
          <w:sz w:val="24"/>
          <w:szCs w:val="24"/>
          <w:highlight w:val="none"/>
        </w:rPr>
        <w:t>，由投标人自行下载。</w:t>
      </w:r>
    </w:p>
    <w:bookmarkEnd w:id="83"/>
    <w:p>
      <w:pPr>
        <w:spacing w:line="360" w:lineRule="auto"/>
        <w:ind w:firstLine="480" w:firstLineChars="200"/>
        <w:rPr>
          <w:rFonts w:ascii="宋体" w:hAnsi="宋体"/>
          <w:color w:val="auto"/>
          <w:sz w:val="24"/>
          <w:szCs w:val="24"/>
          <w:highlight w:val="none"/>
        </w:rPr>
      </w:pPr>
      <w:bookmarkStart w:id="84" w:name="_Toc221949933"/>
      <w:r>
        <w:rPr>
          <w:rFonts w:hint="eastAsia" w:ascii="宋体" w:hAnsi="宋体"/>
          <w:color w:val="auto"/>
          <w:sz w:val="24"/>
          <w:szCs w:val="24"/>
          <w:highlight w:val="none"/>
          <w:lang w:val="en-US" w:eastAsia="zh-CN"/>
        </w:rPr>
        <w:t>4.3</w:t>
      </w:r>
      <w:r>
        <w:rPr>
          <w:rFonts w:hint="eastAsia" w:ascii="宋体" w:hAnsi="宋体"/>
          <w:color w:val="auto"/>
          <w:sz w:val="24"/>
          <w:szCs w:val="24"/>
          <w:highlight w:val="none"/>
        </w:rPr>
        <w:t>招标公告网上发布时，</w:t>
      </w:r>
      <w:r>
        <w:rPr>
          <w:rFonts w:hint="eastAsia" w:ascii="宋体" w:hAnsi="宋体"/>
          <w:bCs/>
          <w:color w:val="auto"/>
          <w:sz w:val="24"/>
          <w:highlight w:val="none"/>
        </w:rPr>
        <w:t>同时</w:t>
      </w:r>
      <w:r>
        <w:rPr>
          <w:rFonts w:hint="eastAsia" w:ascii="宋体" w:hAnsi="宋体" w:eastAsia="宋体" w:cs="Times New Roman"/>
          <w:color w:val="auto"/>
          <w:kern w:val="2"/>
          <w:sz w:val="24"/>
          <w:szCs w:val="24"/>
          <w:highlight w:val="none"/>
        </w:rPr>
        <w:t>在</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bCs/>
          <w:color w:val="auto"/>
          <w:sz w:val="24"/>
          <w:highlight w:val="none"/>
        </w:rPr>
        <w:t>发布招标文件、施工图纸、</w:t>
      </w:r>
      <w:r>
        <w:rPr>
          <w:rFonts w:hint="eastAsia" w:ascii="宋体" w:hAnsi="宋体"/>
          <w:bCs/>
          <w:color w:val="auto"/>
          <w:sz w:val="24"/>
          <w:highlight w:val="none"/>
          <w:lang w:eastAsia="zh-CN"/>
        </w:rPr>
        <w:t>最高投标限价</w:t>
      </w:r>
      <w:r>
        <w:rPr>
          <w:rFonts w:hint="eastAsia" w:ascii="宋体" w:hAnsi="宋体"/>
          <w:color w:val="auto"/>
          <w:sz w:val="24"/>
          <w:szCs w:val="24"/>
          <w:highlight w:val="none"/>
        </w:rPr>
        <w:t>。</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如招标人需发布补充公告的，以最后发布的补充公告的时间起计算编制投标文件时间，并需在招标答疑中明确说明。</w:t>
      </w:r>
      <w:bookmarkEnd w:id="84"/>
    </w:p>
    <w:p>
      <w:pPr>
        <w:spacing w:line="360" w:lineRule="auto"/>
        <w:ind w:firstLine="542" w:firstLineChars="225"/>
        <w:rPr>
          <w:rFonts w:ascii="宋体" w:hAnsi="宋体"/>
          <w:b/>
          <w:color w:val="auto"/>
          <w:sz w:val="24"/>
          <w:szCs w:val="24"/>
          <w:highlight w:val="none"/>
        </w:rPr>
      </w:pPr>
      <w:bookmarkStart w:id="85" w:name="_Toc259524300"/>
      <w:bookmarkStart w:id="86" w:name="_Toc229305327"/>
      <w:bookmarkStart w:id="87" w:name="_Toc144974484"/>
      <w:bookmarkStart w:id="88" w:name="_Toc222029467"/>
      <w:bookmarkStart w:id="89" w:name="_Toc168475630"/>
      <w:bookmarkStart w:id="90" w:name="_Toc222030969"/>
      <w:bookmarkStart w:id="91" w:name="_Toc168476033"/>
      <w:bookmarkStart w:id="92" w:name="_Toc222032636"/>
      <w:bookmarkStart w:id="93" w:name="_Toc222033818"/>
      <w:bookmarkStart w:id="94" w:name="_Toc221949934"/>
      <w:r>
        <w:rPr>
          <w:rFonts w:hint="eastAsia" w:ascii="宋体" w:hAnsi="宋体"/>
          <w:b/>
          <w:color w:val="auto"/>
          <w:sz w:val="24"/>
          <w:szCs w:val="24"/>
          <w:highlight w:val="none"/>
        </w:rPr>
        <w:t>5</w:t>
      </w:r>
      <w:r>
        <w:rPr>
          <w:rFonts w:ascii="宋体" w:hAnsi="宋体"/>
          <w:b/>
          <w:color w:val="auto"/>
          <w:sz w:val="24"/>
          <w:szCs w:val="24"/>
          <w:highlight w:val="none"/>
        </w:rPr>
        <w:t>. 投标文件的递交</w:t>
      </w:r>
      <w:bookmarkEnd w:id="85"/>
      <w:bookmarkEnd w:id="86"/>
      <w:bookmarkEnd w:id="87"/>
      <w:bookmarkEnd w:id="88"/>
      <w:bookmarkEnd w:id="89"/>
      <w:bookmarkEnd w:id="90"/>
      <w:bookmarkEnd w:id="91"/>
      <w:bookmarkEnd w:id="92"/>
      <w:bookmarkEnd w:id="93"/>
      <w:bookmarkEnd w:id="94"/>
    </w:p>
    <w:p>
      <w:pPr>
        <w:numPr>
          <w:ilvl w:val="0"/>
          <w:numId w:val="0"/>
        </w:numPr>
        <w:spacing w:line="360" w:lineRule="auto"/>
        <w:ind w:left="0" w:firstLine="480" w:firstLineChars="200"/>
        <w:jc w:val="left"/>
        <w:rPr>
          <w:rFonts w:ascii="宋体" w:hAnsi="宋体"/>
          <w:color w:val="auto"/>
          <w:sz w:val="24"/>
          <w:szCs w:val="24"/>
          <w:highlight w:val="none"/>
        </w:rPr>
      </w:pPr>
      <w:r>
        <w:rPr>
          <w:rFonts w:hint="eastAsia" w:ascii="宋体" w:hAnsi="宋体"/>
          <w:color w:val="auto"/>
          <w:kern w:val="2"/>
          <w:sz w:val="24"/>
          <w:szCs w:val="24"/>
          <w:highlight w:val="none"/>
          <w:lang w:val="en-US" w:eastAsia="zh-CN" w:bidi="ar-SA"/>
        </w:rPr>
        <w:t>5.1</w:t>
      </w:r>
      <w:r>
        <w:rPr>
          <w:rFonts w:hint="eastAsia" w:ascii="宋体" w:hAnsi="宋体"/>
          <w:color w:val="auto"/>
          <w:sz w:val="24"/>
          <w:szCs w:val="24"/>
          <w:highlight w:val="none"/>
        </w:rPr>
        <w:t>递交投标文件</w:t>
      </w:r>
      <w:r>
        <w:rPr>
          <w:rFonts w:hint="eastAsia" w:ascii="宋体" w:hAnsi="宋体"/>
          <w:color w:val="auto"/>
          <w:sz w:val="24"/>
          <w:szCs w:val="24"/>
          <w:highlight w:val="none"/>
          <w:lang w:eastAsia="zh-CN"/>
        </w:rPr>
        <w:t>起始时间：</w:t>
      </w:r>
      <w:r>
        <w:rPr>
          <w:rFonts w:hint="eastAsia" w:ascii="宋体" w:hAnsi="宋体"/>
          <w:color w:val="auto"/>
          <w:sz w:val="24"/>
          <w:szCs w:val="24"/>
          <w:highlight w:val="none"/>
          <w:u w:val="single"/>
          <w:lang w:val="en-US" w:eastAsia="zh-CN"/>
        </w:rPr>
        <w:t>2025年</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u w:val="single"/>
        </w:rPr>
        <w:t xml:space="preserve">  </w:t>
      </w:r>
      <w:r>
        <w:rPr>
          <w:rFonts w:hint="eastAsia" w:ascii="宋体" w:hAnsi="宋体"/>
          <w:color w:val="auto"/>
          <w:sz w:val="24"/>
          <w:szCs w:val="24"/>
          <w:highlight w:val="none"/>
        </w:rPr>
        <w:t>时</w:t>
      </w:r>
      <w:r>
        <w:rPr>
          <w:rFonts w:ascii="宋体" w:hAnsi="宋体"/>
          <w:color w:val="auto"/>
          <w:sz w:val="24"/>
          <w:szCs w:val="24"/>
          <w:highlight w:val="none"/>
          <w:u w:val="single"/>
        </w:rPr>
        <w:t xml:space="preserve">  </w:t>
      </w:r>
      <w:r>
        <w:rPr>
          <w:rFonts w:hint="eastAsia" w:ascii="宋体" w:hAnsi="宋体"/>
          <w:color w:val="auto"/>
          <w:sz w:val="24"/>
          <w:szCs w:val="24"/>
          <w:highlight w:val="none"/>
        </w:rPr>
        <w:t>分</w:t>
      </w:r>
    </w:p>
    <w:p>
      <w:pPr>
        <w:numPr>
          <w:ilvl w:val="0"/>
          <w:numId w:val="0"/>
        </w:numPr>
        <w:spacing w:line="360" w:lineRule="auto"/>
        <w:ind w:left="0" w:firstLine="480" w:firstLineChars="200"/>
        <w:jc w:val="left"/>
        <w:rPr>
          <w:rFonts w:ascii="宋体" w:hAnsi="宋体"/>
          <w:color w:val="auto"/>
          <w:sz w:val="24"/>
          <w:szCs w:val="24"/>
          <w:highlight w:val="none"/>
        </w:rPr>
      </w:pPr>
      <w:r>
        <w:rPr>
          <w:rFonts w:hint="eastAsia" w:ascii="宋体" w:hAnsi="宋体"/>
          <w:color w:val="auto"/>
          <w:sz w:val="24"/>
          <w:szCs w:val="24"/>
          <w:highlight w:val="none"/>
        </w:rPr>
        <w:t>截止时间</w:t>
      </w:r>
      <w:r>
        <w:rPr>
          <w:rFonts w:hint="eastAsia" w:ascii="宋体" w:hAnsi="宋体"/>
          <w:color w:val="auto"/>
          <w:sz w:val="24"/>
          <w:szCs w:val="24"/>
          <w:highlight w:val="none"/>
          <w:lang w:eastAsia="zh-CN"/>
        </w:rPr>
        <w:t>：</w:t>
      </w:r>
      <w:r>
        <w:rPr>
          <w:rFonts w:hint="eastAsia" w:ascii="宋体" w:hAnsi="宋体"/>
          <w:color w:val="auto"/>
          <w:sz w:val="24"/>
          <w:szCs w:val="24"/>
          <w:highlight w:val="none"/>
          <w:u w:val="single"/>
          <w:lang w:val="en-US" w:eastAsia="zh-CN"/>
        </w:rPr>
        <w:t>2025年</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u w:val="single"/>
        </w:rPr>
        <w:t xml:space="preserve">  </w:t>
      </w:r>
      <w:r>
        <w:rPr>
          <w:rFonts w:hint="eastAsia" w:ascii="宋体" w:hAnsi="宋体"/>
          <w:color w:val="auto"/>
          <w:sz w:val="24"/>
          <w:szCs w:val="24"/>
          <w:highlight w:val="none"/>
        </w:rPr>
        <w:t>时</w:t>
      </w:r>
      <w:r>
        <w:rPr>
          <w:rFonts w:ascii="宋体" w:hAnsi="宋体"/>
          <w:color w:val="auto"/>
          <w:sz w:val="24"/>
          <w:szCs w:val="24"/>
          <w:highlight w:val="none"/>
          <w:u w:val="single"/>
        </w:rPr>
        <w:t xml:space="preserve">  </w:t>
      </w:r>
      <w:r>
        <w:rPr>
          <w:rFonts w:hint="eastAsia" w:ascii="宋体" w:hAnsi="宋体"/>
          <w:color w:val="auto"/>
          <w:sz w:val="24"/>
          <w:szCs w:val="24"/>
          <w:highlight w:val="none"/>
        </w:rPr>
        <w:t>分</w:t>
      </w:r>
    </w:p>
    <w:p>
      <w:pPr>
        <w:spacing w:line="360" w:lineRule="auto"/>
        <w:ind w:firstLine="480" w:firstLineChars="200"/>
        <w:rPr>
          <w:rFonts w:ascii="宋体" w:hAnsi="宋体"/>
          <w:color w:val="auto"/>
          <w:sz w:val="24"/>
          <w:szCs w:val="24"/>
          <w:highlight w:val="none"/>
        </w:rPr>
      </w:pPr>
      <w:r>
        <w:rPr>
          <w:rFonts w:hint="eastAsia" w:ascii="宋体" w:hAnsi="宋体" w:cs="宋体"/>
          <w:color w:val="auto"/>
          <w:sz w:val="24"/>
          <w:szCs w:val="24"/>
          <w:highlight w:val="none"/>
        </w:rPr>
        <w:t>在投标截止时间后半小时内，投标人通过</w:t>
      </w:r>
      <w:r>
        <w:rPr>
          <w:rFonts w:hint="eastAsia" w:ascii="宋体" w:hAnsi="宋体" w:cs="宋体"/>
          <w:color w:val="auto"/>
          <w:sz w:val="24"/>
          <w:szCs w:val="24"/>
          <w:highlight w:val="none"/>
          <w:u w:val="single"/>
          <w:lang w:eastAsia="zh-CN"/>
        </w:rPr>
        <w:t>广州交易集团有限公司（广州公共资源交易中心）</w:t>
      </w:r>
      <w:r>
        <w:rPr>
          <w:rFonts w:hint="eastAsia" w:ascii="宋体" w:hAnsi="宋体" w:cs="宋体"/>
          <w:color w:val="auto"/>
          <w:sz w:val="24"/>
          <w:szCs w:val="24"/>
          <w:highlight w:val="none"/>
          <w:lang w:eastAsia="zh-CN"/>
        </w:rPr>
        <w:t>网站</w:t>
      </w:r>
      <w:r>
        <w:rPr>
          <w:rFonts w:hint="eastAsia" w:ascii="宋体" w:hAnsi="宋体" w:cs="宋体"/>
          <w:color w:val="auto"/>
          <w:sz w:val="24"/>
          <w:szCs w:val="24"/>
          <w:highlight w:val="none"/>
        </w:rPr>
        <w:t>对已递交的电子投标文件进行解密。</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5.2开标</w:t>
      </w:r>
      <w:r>
        <w:rPr>
          <w:rFonts w:hint="eastAsia" w:ascii="宋体" w:hAnsi="宋体"/>
          <w:color w:val="auto"/>
          <w:sz w:val="24"/>
          <w:szCs w:val="24"/>
          <w:highlight w:val="none"/>
          <w:lang w:eastAsia="zh-CN"/>
        </w:rPr>
        <w:t>开始</w:t>
      </w:r>
      <w:r>
        <w:rPr>
          <w:rFonts w:hint="eastAsia" w:ascii="宋体" w:hAnsi="宋体"/>
          <w:color w:val="auto"/>
          <w:sz w:val="24"/>
          <w:szCs w:val="24"/>
          <w:highlight w:val="none"/>
        </w:rPr>
        <w:t>时间：</w:t>
      </w:r>
      <w:r>
        <w:rPr>
          <w:rFonts w:hint="eastAsia" w:ascii="宋体" w:hAnsi="宋体"/>
          <w:color w:val="auto"/>
          <w:sz w:val="24"/>
          <w:szCs w:val="24"/>
          <w:highlight w:val="none"/>
          <w:lang w:val="en-US" w:eastAsia="zh-CN"/>
        </w:rPr>
        <w:t>2025年</w:t>
      </w:r>
      <w:r>
        <w:rPr>
          <w:rFonts w:hint="eastAsia" w:ascii="宋体" w:hAnsi="宋体"/>
          <w:color w:val="auto"/>
          <w:sz w:val="24"/>
          <w:szCs w:val="24"/>
          <w:highlight w:val="none"/>
        </w:rPr>
        <w:t>_</w:t>
      </w:r>
      <w:r>
        <w:rPr>
          <w:rFonts w:ascii="宋体" w:hAnsi="宋体"/>
          <w:color w:val="auto"/>
          <w:sz w:val="24"/>
          <w:szCs w:val="24"/>
          <w:highlight w:val="none"/>
        </w:rPr>
        <w:t>_</w:t>
      </w:r>
      <w:r>
        <w:rPr>
          <w:rFonts w:hint="eastAsia" w:ascii="宋体" w:hAnsi="宋体"/>
          <w:color w:val="auto"/>
          <w:sz w:val="24"/>
          <w:szCs w:val="24"/>
          <w:highlight w:val="none"/>
        </w:rPr>
        <w:t>_月_</w:t>
      </w:r>
      <w:r>
        <w:rPr>
          <w:rFonts w:ascii="宋体" w:hAnsi="宋体"/>
          <w:color w:val="auto"/>
          <w:sz w:val="24"/>
          <w:szCs w:val="24"/>
          <w:highlight w:val="none"/>
        </w:rPr>
        <w:t>_</w:t>
      </w:r>
      <w:r>
        <w:rPr>
          <w:rFonts w:hint="eastAsia" w:ascii="宋体" w:hAnsi="宋体"/>
          <w:color w:val="auto"/>
          <w:sz w:val="24"/>
          <w:szCs w:val="24"/>
          <w:highlight w:val="none"/>
        </w:rPr>
        <w:t>_日_</w:t>
      </w:r>
      <w:r>
        <w:rPr>
          <w:rFonts w:ascii="宋体" w:hAnsi="宋体"/>
          <w:color w:val="auto"/>
          <w:sz w:val="24"/>
          <w:szCs w:val="24"/>
          <w:highlight w:val="none"/>
        </w:rPr>
        <w:t>_</w:t>
      </w:r>
      <w:r>
        <w:rPr>
          <w:rFonts w:hint="eastAsia" w:ascii="宋体" w:hAnsi="宋体"/>
          <w:color w:val="auto"/>
          <w:sz w:val="24"/>
          <w:szCs w:val="24"/>
          <w:highlight w:val="none"/>
        </w:rPr>
        <w:t>_时_</w:t>
      </w:r>
      <w:r>
        <w:rPr>
          <w:rFonts w:ascii="宋体" w:hAnsi="宋体"/>
          <w:color w:val="auto"/>
          <w:sz w:val="24"/>
          <w:szCs w:val="24"/>
          <w:highlight w:val="none"/>
        </w:rPr>
        <w:t>_</w:t>
      </w:r>
      <w:r>
        <w:rPr>
          <w:rFonts w:hint="eastAsia" w:ascii="宋体" w:hAnsi="宋体"/>
          <w:color w:val="auto"/>
          <w:sz w:val="24"/>
          <w:szCs w:val="24"/>
          <w:highlight w:val="none"/>
        </w:rPr>
        <w:t>_分</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5.3递交投标文件截止时间与开标开始时间是否有变化，请密切留意招标答疑中的相关信息。递交投标文件截止时间后，开标开始时间因故推迟的，相关评标信息仍以原递交投标文件截止时间的信息为准。</w:t>
      </w:r>
    </w:p>
    <w:p>
      <w:pPr>
        <w:widowControl/>
        <w:spacing w:line="360" w:lineRule="auto"/>
        <w:ind w:firstLine="480" w:firstLineChars="200"/>
        <w:jc w:val="left"/>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5.4</w:t>
      </w:r>
      <w:r>
        <w:rPr>
          <w:rFonts w:hint="eastAsia" w:ascii="宋体" w:hAnsi="宋体"/>
          <w:color w:val="auto"/>
          <w:sz w:val="24"/>
          <w:szCs w:val="24"/>
          <w:highlight w:val="none"/>
        </w:rPr>
        <w:t>投标人通过</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color w:val="auto"/>
          <w:sz w:val="24"/>
          <w:szCs w:val="24"/>
          <w:highlight w:val="none"/>
        </w:rPr>
        <w:t>递交电子投标文件。投标人应在递交投标文件截止时间前，登录</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color w:val="auto"/>
          <w:sz w:val="24"/>
          <w:szCs w:val="24"/>
          <w:highlight w:val="none"/>
        </w:rPr>
        <w:t>办理网上投标登记手续</w:t>
      </w:r>
      <w:r>
        <w:rPr>
          <w:rFonts w:hint="eastAsia" w:ascii="宋体" w:hAnsi="宋体"/>
          <w:color w:val="auto"/>
          <w:sz w:val="24"/>
          <w:szCs w:val="24"/>
          <w:highlight w:val="none"/>
          <w:lang w:eastAsia="zh-CN"/>
        </w:rPr>
        <w:t>。按照</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color w:val="auto"/>
          <w:sz w:val="24"/>
          <w:szCs w:val="24"/>
          <w:highlight w:val="none"/>
          <w:lang w:eastAsia="zh-CN"/>
        </w:rPr>
        <w:t>关于全流程电子化项目的相关指南进行操作</w:t>
      </w:r>
      <w:r>
        <w:rPr>
          <w:rFonts w:hint="eastAsia" w:ascii="宋体" w:hAnsi="宋体"/>
          <w:color w:val="auto"/>
          <w:sz w:val="24"/>
          <w:szCs w:val="24"/>
          <w:highlight w:val="none"/>
        </w:rPr>
        <w:t>。</w:t>
      </w:r>
    </w:p>
    <w:p>
      <w:pPr>
        <w:widowControl/>
        <w:spacing w:line="360" w:lineRule="auto"/>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5.</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投标人应自行检查</w:t>
      </w:r>
      <w:r>
        <w:rPr>
          <w:rFonts w:hint="eastAsia" w:ascii="宋体" w:hAnsi="宋体"/>
          <w:color w:val="auto"/>
          <w:sz w:val="24"/>
          <w:szCs w:val="24"/>
          <w:highlight w:val="none"/>
          <w:lang w:eastAsia="zh-CN"/>
        </w:rPr>
        <w:t>广州交易集团有限公司（广州公共资源交易中心）</w:t>
      </w:r>
      <w:r>
        <w:rPr>
          <w:rFonts w:hint="eastAsia" w:ascii="宋体" w:hAnsi="宋体"/>
          <w:color w:val="auto"/>
          <w:sz w:val="24"/>
          <w:szCs w:val="24"/>
          <w:highlight w:val="none"/>
        </w:rPr>
        <w:t>信息登记中的企业基础信息扫描件（包括企业资质证书、企业营业执照、企业安全生产许可证、项目负责人相关证书、</w:t>
      </w:r>
      <w:r>
        <w:rPr>
          <w:rFonts w:hint="eastAsia" w:ascii="宋体" w:hAnsi="宋体"/>
          <w:color w:val="auto"/>
          <w:sz w:val="24"/>
          <w:szCs w:val="24"/>
          <w:highlight w:val="none"/>
          <w:lang w:val="en-US" w:eastAsia="zh-CN"/>
        </w:rPr>
        <w:t>专职</w:t>
      </w:r>
      <w:r>
        <w:rPr>
          <w:rFonts w:hint="eastAsia" w:ascii="宋体" w:hAnsi="宋体"/>
          <w:color w:val="auto"/>
          <w:sz w:val="24"/>
          <w:szCs w:val="24"/>
          <w:highlight w:val="none"/>
        </w:rPr>
        <w:t>安全员</w:t>
      </w:r>
      <w:r>
        <w:rPr>
          <w:rFonts w:hint="eastAsia" w:ascii="宋体" w:hAnsi="宋体"/>
          <w:color w:val="auto"/>
          <w:sz w:val="24"/>
          <w:szCs w:val="24"/>
          <w:highlight w:val="none"/>
          <w:lang w:eastAsia="zh-CN"/>
        </w:rPr>
        <w:t>安全生产考核合格证</w:t>
      </w:r>
      <w:r>
        <w:rPr>
          <w:rFonts w:hint="eastAsia" w:ascii="宋体" w:hAnsi="宋体"/>
          <w:color w:val="auto"/>
          <w:sz w:val="24"/>
          <w:szCs w:val="24"/>
          <w:highlight w:val="none"/>
        </w:rPr>
        <w:t>等），评标委员会对上述资料的审查将以递交投标文件截止时间在</w:t>
      </w:r>
      <w:r>
        <w:rPr>
          <w:rFonts w:hint="eastAsia" w:ascii="宋体" w:hAnsi="宋体"/>
          <w:color w:val="auto"/>
          <w:sz w:val="24"/>
          <w:szCs w:val="24"/>
          <w:highlight w:val="none"/>
          <w:lang w:eastAsia="zh-CN"/>
        </w:rPr>
        <w:t>广州交易集团有限公司（广州公共资源交易中心）</w:t>
      </w:r>
      <w:r>
        <w:rPr>
          <w:rFonts w:hint="eastAsia" w:ascii="宋体" w:hAnsi="宋体"/>
          <w:color w:val="auto"/>
          <w:sz w:val="24"/>
          <w:szCs w:val="24"/>
          <w:highlight w:val="none"/>
        </w:rPr>
        <w:t>信息登记的信息为依据。投标人应及时维护其在</w:t>
      </w:r>
      <w:r>
        <w:rPr>
          <w:rFonts w:hint="eastAsia" w:ascii="宋体" w:hAnsi="宋体"/>
          <w:color w:val="auto"/>
          <w:sz w:val="24"/>
          <w:szCs w:val="24"/>
          <w:highlight w:val="none"/>
          <w:lang w:eastAsia="zh-CN"/>
        </w:rPr>
        <w:t>广州交易集团有限公司（广州公共资源交易中心）</w:t>
      </w:r>
      <w:r>
        <w:rPr>
          <w:rFonts w:hint="eastAsia" w:ascii="宋体" w:hAnsi="宋体"/>
          <w:color w:val="auto"/>
          <w:sz w:val="24"/>
          <w:szCs w:val="24"/>
          <w:highlight w:val="none"/>
        </w:rPr>
        <w:t>信息登记的信息，确保各项信息在有效期内。如因投标单位资料缺失导致资格审查不通过，责任由投标单位自行承担。</w:t>
      </w:r>
    </w:p>
    <w:p>
      <w:pPr>
        <w:spacing w:line="360" w:lineRule="auto"/>
        <w:ind w:firstLine="542" w:firstLineChars="225"/>
        <w:rPr>
          <w:rFonts w:hint="eastAsia" w:ascii="宋体" w:hAnsi="宋体" w:eastAsia="宋体"/>
          <w:b/>
          <w:color w:val="auto"/>
          <w:sz w:val="24"/>
          <w:szCs w:val="24"/>
          <w:highlight w:val="none"/>
          <w:lang w:eastAsia="zh-CN"/>
        </w:rPr>
      </w:pPr>
      <w:bookmarkStart w:id="95" w:name="_Toc229305328"/>
      <w:bookmarkStart w:id="96" w:name="_Toc221949937"/>
      <w:bookmarkStart w:id="97" w:name="_Toc259524301"/>
      <w:bookmarkStart w:id="98" w:name="_Toc222033819"/>
      <w:bookmarkStart w:id="99" w:name="_Toc222029468"/>
      <w:bookmarkStart w:id="100" w:name="_Toc222030970"/>
      <w:bookmarkStart w:id="101" w:name="_Toc222032637"/>
      <w:r>
        <w:rPr>
          <w:rFonts w:hint="eastAsia" w:ascii="宋体" w:hAnsi="宋体"/>
          <w:b/>
          <w:color w:val="auto"/>
          <w:sz w:val="24"/>
          <w:szCs w:val="24"/>
          <w:highlight w:val="none"/>
        </w:rPr>
        <w:t>6、办理</w:t>
      </w:r>
      <w:r>
        <w:rPr>
          <w:rFonts w:hint="eastAsia" w:ascii="宋体" w:hAnsi="宋体"/>
          <w:b/>
          <w:color w:val="auto"/>
          <w:sz w:val="24"/>
          <w:szCs w:val="24"/>
          <w:highlight w:val="none"/>
          <w:lang w:eastAsia="zh-CN"/>
        </w:rPr>
        <w:t>企业信息登记</w:t>
      </w:r>
    </w:p>
    <w:p>
      <w:pPr>
        <w:spacing w:line="360" w:lineRule="auto"/>
        <w:ind w:firstLine="480" w:firstLineChars="200"/>
        <w:rPr>
          <w:rFonts w:hint="eastAsia" w:ascii="宋体" w:hAnsi="宋体"/>
          <w:color w:val="auto"/>
          <w:sz w:val="24"/>
          <w:szCs w:val="24"/>
          <w:highlight w:val="none"/>
        </w:rPr>
      </w:pPr>
      <w:r>
        <w:rPr>
          <w:rFonts w:hint="eastAsia"/>
          <w:color w:val="auto"/>
          <w:sz w:val="24"/>
          <w:highlight w:val="none"/>
        </w:rPr>
        <w:t>本次招标要求投标人办理网上投标登记前，须在</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color w:val="auto"/>
          <w:sz w:val="24"/>
          <w:highlight w:val="none"/>
        </w:rPr>
        <w:t>完成企业信息登记，及拟担任本工程项目负责人、专职安全员须是本企业信息登记中的在册人员。</w:t>
      </w:r>
      <w:r>
        <w:rPr>
          <w:rFonts w:hint="eastAsia" w:ascii="宋体" w:hAnsi="宋体" w:cs="宋体"/>
          <w:color w:val="auto"/>
          <w:kern w:val="0"/>
          <w:sz w:val="24"/>
          <w:szCs w:val="24"/>
          <w:highlight w:val="none"/>
        </w:rPr>
        <w:t>企业信息登记应按照</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cs="宋体"/>
          <w:color w:val="auto"/>
          <w:kern w:val="0"/>
          <w:sz w:val="24"/>
          <w:szCs w:val="24"/>
          <w:highlight w:val="none"/>
        </w:rPr>
        <w:t>关于企业信息登记的相关指南进行操作。</w:t>
      </w:r>
    </w:p>
    <w:p>
      <w:pPr>
        <w:ind w:firstLine="482" w:firstLineChars="200"/>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lang w:val="en-US" w:eastAsia="zh-CN"/>
        </w:rPr>
        <w:t>7</w:t>
      </w:r>
      <w:r>
        <w:rPr>
          <w:rFonts w:hint="eastAsia" w:ascii="宋体" w:hAnsi="宋体" w:cs="宋体"/>
          <w:b/>
          <w:color w:val="auto"/>
          <w:kern w:val="0"/>
          <w:sz w:val="24"/>
          <w:szCs w:val="24"/>
          <w:highlight w:val="none"/>
        </w:rPr>
        <w:t>. 疑问、异议和投诉处理</w:t>
      </w:r>
    </w:p>
    <w:p>
      <w:pPr>
        <w:widowControl/>
        <w:spacing w:before="94" w:after="94"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7</w:t>
      </w:r>
      <w:r>
        <w:rPr>
          <w:rFonts w:hint="eastAsia" w:ascii="宋体" w:hAnsi="宋体" w:cs="宋体"/>
          <w:color w:val="auto"/>
          <w:kern w:val="0"/>
          <w:sz w:val="24"/>
          <w:szCs w:val="24"/>
          <w:highlight w:val="none"/>
        </w:rPr>
        <w:t>.1</w:t>
      </w:r>
      <w:r>
        <w:rPr>
          <w:rFonts w:hint="eastAsia"/>
          <w:color w:val="auto"/>
          <w:sz w:val="24"/>
          <w:highlight w:val="none"/>
        </w:rPr>
        <w:t>关于疑问、异议、投诉的基本概念和处理程序详见</w:t>
      </w:r>
      <w:r>
        <w:rPr>
          <w:rFonts w:hint="eastAsia"/>
          <w:color w:val="auto"/>
          <w:sz w:val="24"/>
          <w:highlight w:val="none"/>
          <w:lang w:eastAsia="zh-CN"/>
        </w:rPr>
        <w:t>《中华人民共和国招标投标法》、《中华人民共和国招标投标法实施条例》、《工程建设项目招标投标活动投诉处理办法》</w:t>
      </w:r>
      <w:r>
        <w:rPr>
          <w:rFonts w:hint="eastAsia"/>
          <w:color w:val="auto"/>
          <w:sz w:val="24"/>
          <w:szCs w:val="24"/>
          <w:highlight w:val="none"/>
          <w:lang w:eastAsia="zh-CN"/>
        </w:rPr>
        <w:t>和</w:t>
      </w:r>
      <w:r>
        <w:rPr>
          <w:rFonts w:hint="eastAsia" w:ascii="宋体" w:hAnsi="宋体" w:eastAsia="宋体" w:cs="宋体"/>
          <w:color w:val="auto"/>
          <w:sz w:val="24"/>
          <w:szCs w:val="24"/>
          <w:highlight w:val="none"/>
        </w:rPr>
        <w:t>《广州市水务局关于进一步加强水务工程项目招标投标活动监督管理工作的通知》（穗水建管〔2023〕78号）</w:t>
      </w:r>
      <w:r>
        <w:rPr>
          <w:rFonts w:hint="eastAsia"/>
          <w:color w:val="auto"/>
          <w:sz w:val="24"/>
          <w:highlight w:val="none"/>
        </w:rPr>
        <w:t>。</w:t>
      </w:r>
    </w:p>
    <w:p>
      <w:pPr>
        <w:widowControl/>
        <w:spacing w:before="94" w:after="94"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7</w:t>
      </w:r>
      <w:r>
        <w:rPr>
          <w:rFonts w:hint="eastAsia" w:ascii="宋体" w:hAnsi="宋体" w:cs="宋体"/>
          <w:color w:val="auto"/>
          <w:kern w:val="0"/>
          <w:sz w:val="24"/>
          <w:szCs w:val="24"/>
          <w:highlight w:val="none"/>
        </w:rPr>
        <w:t>.2依据《中华人民共和国招标投标法实施条例》第五十五条，对于中标公示期间的投诉处理的原则为：除第一中标候选人或中标人以外的其他投标人存在串通投标、弄虚作假、行贿情形且在评标过程中未被发现的，视为对中标结果没有造成实质性影响，可依法继续开展招标活动。投标人的违法行为由招标监管部门依法处理。</w:t>
      </w:r>
    </w:p>
    <w:p>
      <w:pPr>
        <w:widowControl/>
        <w:spacing w:before="94" w:after="94"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7</w:t>
      </w:r>
      <w:r>
        <w:rPr>
          <w:rFonts w:hint="eastAsia" w:ascii="宋体" w:hAnsi="宋体" w:cs="宋体"/>
          <w:color w:val="auto"/>
          <w:kern w:val="0"/>
          <w:sz w:val="24"/>
          <w:szCs w:val="24"/>
          <w:highlight w:val="none"/>
        </w:rPr>
        <w:t>.3在招投标过程中，投标人（含中标候选人）被投诉且经查实存在招标投标活动中列明被禁止行为的，招标人将提请行政主管部门，并按《中华人民共和国招标投标法实施条例》、《工程建设项目招标投标活动投诉处理办法》等进行处理，同时将记录到市水务工程企业信息库及诚信评价管理系统。</w:t>
      </w:r>
    </w:p>
    <w:p>
      <w:pPr>
        <w:widowControl/>
        <w:spacing w:before="94" w:after="94"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在招投标过程中，投诉人投诉事项经查实不属实的恶意投诉，招标人将提请行政主管部门，并按《中华人民共和国招标投标法实施条例》、《工程建设项目招标投标活动投诉处理办法》等进行处理，同时将记录到市水务工程企业信息库及诚信评价管理系统。</w:t>
      </w:r>
    </w:p>
    <w:p>
      <w:pPr>
        <w:widowControl/>
        <w:spacing w:before="94" w:after="94"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注：潜在投标人或利害关系人可以通过线下或线上的形式提出异议。线上提出异议的，应通过交易平台提交，招标人也应通过交易平台答复线上提出的异议。具体按照交易平台相关指南进行操作。作出答复前，应当暂停招标投标活动。</w:t>
      </w:r>
    </w:p>
    <w:bookmarkEnd w:id="95"/>
    <w:bookmarkEnd w:id="96"/>
    <w:bookmarkEnd w:id="97"/>
    <w:bookmarkEnd w:id="98"/>
    <w:bookmarkEnd w:id="99"/>
    <w:bookmarkEnd w:id="100"/>
    <w:bookmarkEnd w:id="101"/>
    <w:p>
      <w:pPr>
        <w:spacing w:line="360" w:lineRule="auto"/>
        <w:ind w:firstLine="542" w:firstLineChars="225"/>
        <w:rPr>
          <w:rFonts w:ascii="宋体" w:hAnsi="宋体"/>
          <w:b/>
          <w:color w:val="auto"/>
          <w:sz w:val="24"/>
          <w:szCs w:val="24"/>
          <w:highlight w:val="none"/>
        </w:rPr>
      </w:pPr>
      <w:bookmarkStart w:id="102" w:name="_Toc259524302"/>
      <w:bookmarkStart w:id="103" w:name="_Toc168476034"/>
      <w:bookmarkStart w:id="104" w:name="_Toc222029469"/>
      <w:bookmarkStart w:id="105" w:name="_Toc222032638"/>
      <w:bookmarkStart w:id="106" w:name="_Toc222030971"/>
      <w:bookmarkStart w:id="107" w:name="_Toc221949939"/>
      <w:bookmarkStart w:id="108" w:name="_Toc168475631"/>
      <w:bookmarkStart w:id="109" w:name="_Toc222033820"/>
      <w:bookmarkStart w:id="110" w:name="_Toc229305329"/>
      <w:r>
        <w:rPr>
          <w:rFonts w:hint="eastAsia" w:ascii="宋体" w:hAnsi="宋体"/>
          <w:b/>
          <w:color w:val="auto"/>
          <w:sz w:val="24"/>
          <w:szCs w:val="24"/>
          <w:highlight w:val="none"/>
          <w:lang w:val="en-US" w:eastAsia="zh-CN"/>
        </w:rPr>
        <w:t>8</w:t>
      </w:r>
      <w:r>
        <w:rPr>
          <w:rFonts w:ascii="宋体" w:hAnsi="宋体"/>
          <w:b/>
          <w:color w:val="auto"/>
          <w:sz w:val="24"/>
          <w:szCs w:val="24"/>
          <w:highlight w:val="none"/>
        </w:rPr>
        <w:t xml:space="preserve">. </w:t>
      </w:r>
      <w:r>
        <w:rPr>
          <w:rFonts w:hint="eastAsia" w:ascii="宋体" w:hAnsi="宋体"/>
          <w:b/>
          <w:color w:val="auto"/>
          <w:sz w:val="24"/>
          <w:szCs w:val="24"/>
          <w:highlight w:val="none"/>
        </w:rPr>
        <w:t>发布公告的媒介</w:t>
      </w:r>
      <w:bookmarkEnd w:id="102"/>
      <w:bookmarkEnd w:id="103"/>
      <w:bookmarkEnd w:id="104"/>
      <w:bookmarkEnd w:id="105"/>
      <w:bookmarkEnd w:id="106"/>
      <w:bookmarkEnd w:id="107"/>
      <w:bookmarkEnd w:id="108"/>
      <w:bookmarkEnd w:id="109"/>
      <w:bookmarkEnd w:id="110"/>
    </w:p>
    <w:p>
      <w:pPr>
        <w:spacing w:line="360" w:lineRule="auto"/>
        <w:ind w:firstLine="480" w:firstLineChars="200"/>
        <w:rPr>
          <w:rFonts w:ascii="宋体" w:hAnsi="宋体"/>
          <w:color w:val="auto"/>
          <w:sz w:val="24"/>
          <w:szCs w:val="24"/>
          <w:highlight w:val="none"/>
        </w:rPr>
      </w:pPr>
      <w:bookmarkStart w:id="111" w:name="_Toc221949940"/>
      <w:r>
        <w:rPr>
          <w:rFonts w:hint="eastAsia" w:ascii="宋体" w:hAnsi="宋体"/>
          <w:bCs/>
          <w:color w:val="auto"/>
          <w:sz w:val="24"/>
          <w:highlight w:val="none"/>
        </w:rPr>
        <w:t>本公告在</w:t>
      </w:r>
      <w:r>
        <w:rPr>
          <w:rFonts w:hint="eastAsia" w:ascii="宋体" w:hAnsi="宋体"/>
          <w:bCs/>
          <w:color w:val="auto"/>
          <w:sz w:val="24"/>
          <w:highlight w:val="none"/>
          <w:lang w:eastAsia="zh-CN"/>
        </w:rPr>
        <w:t>广州交易集团有限公司（广州公共资源交易中心）</w:t>
      </w:r>
      <w:r>
        <w:rPr>
          <w:rFonts w:hint="eastAsia" w:ascii="宋体" w:hAnsi="宋体"/>
          <w:bCs/>
          <w:color w:val="auto"/>
          <w:sz w:val="24"/>
          <w:highlight w:val="none"/>
        </w:rPr>
        <w:t>网（网址：http://www.gzggzy.cn）、广东省招标投标监管网（网址：</w:t>
      </w:r>
      <w:r>
        <w:rPr>
          <w:rFonts w:ascii="宋体" w:hAnsi="宋体"/>
          <w:bCs/>
          <w:color w:val="auto"/>
          <w:sz w:val="24"/>
          <w:highlight w:val="none"/>
        </w:rPr>
        <w:t xml:space="preserve"> http://zbtb.gd.gov.cn/login</w:t>
      </w:r>
      <w:r>
        <w:rPr>
          <w:rFonts w:hint="eastAsia" w:ascii="宋体" w:hAnsi="宋体"/>
          <w:bCs/>
          <w:color w:val="auto"/>
          <w:sz w:val="24"/>
          <w:highlight w:val="none"/>
        </w:rPr>
        <w:t>）和中国招标投标公共服务平台（网址：http://www.cebpubservice.com/）发布，本公告的修改、补充，在</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bCs/>
          <w:color w:val="auto"/>
          <w:sz w:val="24"/>
          <w:highlight w:val="none"/>
        </w:rPr>
        <w:t>发布</w:t>
      </w:r>
      <w:r>
        <w:rPr>
          <w:rFonts w:hint="eastAsia" w:ascii="宋体" w:hAnsi="宋体"/>
          <w:color w:val="auto"/>
          <w:sz w:val="24"/>
          <w:szCs w:val="24"/>
          <w:highlight w:val="none"/>
        </w:rPr>
        <w:t>。</w:t>
      </w:r>
      <w:bookmarkEnd w:id="111"/>
    </w:p>
    <w:p>
      <w:pPr>
        <w:spacing w:line="360" w:lineRule="auto"/>
        <w:ind w:firstLine="542" w:firstLineChars="225"/>
        <w:rPr>
          <w:rFonts w:hint="eastAsia" w:ascii="宋体" w:hAnsi="宋体" w:eastAsia="宋体" w:cs="宋体"/>
          <w:b w:val="0"/>
          <w:bCs w:val="0"/>
          <w:color w:val="auto"/>
          <w:sz w:val="24"/>
          <w:szCs w:val="24"/>
          <w:highlight w:val="none"/>
          <w:lang w:val="en-US" w:eastAsia="zh-CN"/>
        </w:rPr>
      </w:pPr>
      <w:bookmarkStart w:id="112" w:name="_Toc168476035"/>
      <w:bookmarkStart w:id="113" w:name="_Toc259524303"/>
      <w:bookmarkStart w:id="114" w:name="_Toc222033821"/>
      <w:bookmarkStart w:id="115" w:name="_Toc222030972"/>
      <w:bookmarkStart w:id="116" w:name="_Toc222032639"/>
      <w:bookmarkStart w:id="117" w:name="_Toc222029470"/>
      <w:bookmarkStart w:id="118" w:name="_Toc221949941"/>
      <w:bookmarkStart w:id="119" w:name="_Toc144974485"/>
      <w:bookmarkStart w:id="120" w:name="_Toc168475632"/>
      <w:bookmarkStart w:id="121" w:name="_Toc229305330"/>
      <w:r>
        <w:rPr>
          <w:rFonts w:hint="eastAsia" w:ascii="宋体" w:hAnsi="宋体"/>
          <w:b/>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eastAsia="zh-CN"/>
        </w:rPr>
        <w:t>投标人和中标候选人的重大变化告知义务：投标人发生可能影响其资格条件或者招标公正性的重大变化、中标候选人的经营、财务状况发生较大变化或者存在违法行为的（包括但不限于：合并、分立、破产、重大财务变化、项目负责人等主要人员变化、被责令关闭、被吊销营业执照、被暂扣安全生产许可证、一定期限内被禁止参加依法必须招标项目的投标等情形），应当及时书面告知招标人。</w:t>
      </w:r>
    </w:p>
    <w:p>
      <w:pPr>
        <w:spacing w:line="360" w:lineRule="auto"/>
        <w:ind w:firstLine="542" w:firstLineChars="225"/>
        <w:rPr>
          <w:rFonts w:ascii="宋体" w:hAnsi="宋体"/>
          <w:b/>
          <w:color w:val="auto"/>
          <w:sz w:val="24"/>
          <w:szCs w:val="24"/>
          <w:highlight w:val="none"/>
        </w:rPr>
      </w:pPr>
      <w:r>
        <w:rPr>
          <w:rFonts w:hint="eastAsia" w:ascii="宋体" w:hAnsi="宋体"/>
          <w:b/>
          <w:color w:val="auto"/>
          <w:sz w:val="24"/>
          <w:szCs w:val="24"/>
          <w:highlight w:val="none"/>
          <w:lang w:val="en-US" w:eastAsia="zh-CN"/>
        </w:rPr>
        <w:t>10</w:t>
      </w:r>
      <w:r>
        <w:rPr>
          <w:rFonts w:ascii="宋体" w:hAnsi="宋体"/>
          <w:b/>
          <w:color w:val="auto"/>
          <w:sz w:val="24"/>
          <w:szCs w:val="24"/>
          <w:highlight w:val="none"/>
        </w:rPr>
        <w:t>. 联系方式</w:t>
      </w:r>
      <w:bookmarkEnd w:id="112"/>
      <w:bookmarkEnd w:id="113"/>
      <w:bookmarkEnd w:id="114"/>
      <w:bookmarkEnd w:id="115"/>
      <w:bookmarkEnd w:id="116"/>
      <w:bookmarkEnd w:id="117"/>
      <w:bookmarkEnd w:id="118"/>
      <w:bookmarkEnd w:id="119"/>
      <w:bookmarkEnd w:id="120"/>
      <w:bookmarkEnd w:id="121"/>
    </w:p>
    <w:p>
      <w:pPr>
        <w:snapToGrid w:val="0"/>
        <w:spacing w:line="440" w:lineRule="exact"/>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招标人：广州市自来水有限公司</w:t>
      </w:r>
    </w:p>
    <w:p>
      <w:pPr>
        <w:snapToGrid w:val="0"/>
        <w:spacing w:line="440" w:lineRule="exact"/>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联系人：广州市越秀区中山一路12号</w:t>
      </w:r>
    </w:p>
    <w:p>
      <w:pPr>
        <w:snapToGrid w:val="0"/>
        <w:spacing w:line="440" w:lineRule="exact"/>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联系电话：王工</w:t>
      </w:r>
    </w:p>
    <w:p>
      <w:pPr>
        <w:snapToGrid w:val="0"/>
        <w:spacing w:line="440" w:lineRule="exact"/>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联系地址：020-87159014</w:t>
      </w:r>
    </w:p>
    <w:p>
      <w:pPr>
        <w:snapToGrid w:val="0"/>
        <w:spacing w:line="440" w:lineRule="exact"/>
        <w:rPr>
          <w:rFonts w:hint="eastAsia" w:ascii="宋体" w:hAnsi="宋体" w:eastAsia="宋体" w:cs="宋体"/>
          <w:color w:val="auto"/>
          <w:kern w:val="0"/>
          <w:sz w:val="24"/>
          <w:szCs w:val="24"/>
          <w:highlight w:val="none"/>
          <w:lang w:val="en-US" w:eastAsia="zh-CN"/>
        </w:rPr>
      </w:pPr>
    </w:p>
    <w:p>
      <w:pPr>
        <w:snapToGrid w:val="0"/>
        <w:spacing w:line="440" w:lineRule="exact"/>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招标代理：</w:t>
      </w:r>
      <w:r>
        <w:rPr>
          <w:rFonts w:hint="eastAsia" w:ascii="宋体" w:hAnsi="宋体" w:cs="宋体"/>
          <w:color w:val="auto"/>
          <w:sz w:val="24"/>
          <w:szCs w:val="24"/>
          <w:highlight w:val="none"/>
          <w:u w:val="single"/>
          <w:lang w:val="en-US" w:eastAsia="zh-CN"/>
        </w:rPr>
        <w:t>广东省国际工程咨询有限公司</w:t>
      </w:r>
      <w:r>
        <w:rPr>
          <w:rFonts w:hint="eastAsia" w:ascii="宋体" w:hAnsi="宋体" w:eastAsia="宋体" w:cs="宋体"/>
          <w:color w:val="auto"/>
          <w:kern w:val="0"/>
          <w:sz w:val="24"/>
          <w:szCs w:val="24"/>
          <w:highlight w:val="none"/>
          <w:lang w:val="en-US" w:eastAsia="zh-CN"/>
        </w:rPr>
        <w:t xml:space="preserve"> </w:t>
      </w:r>
    </w:p>
    <w:p>
      <w:pPr>
        <w:snapToGrid w:val="0"/>
        <w:spacing w:line="440" w:lineRule="exact"/>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联系人：</w:t>
      </w:r>
      <w:r>
        <w:rPr>
          <w:rFonts w:hint="eastAsia" w:ascii="宋体" w:hAnsi="宋体" w:cs="宋体"/>
          <w:color w:val="auto"/>
          <w:sz w:val="24"/>
          <w:szCs w:val="24"/>
          <w:highlight w:val="none"/>
          <w:u w:val="single"/>
          <w:lang w:val="en-US" w:eastAsia="zh-CN"/>
        </w:rPr>
        <w:t>方工、杨工</w:t>
      </w:r>
      <w:r>
        <w:rPr>
          <w:rFonts w:hint="eastAsia" w:ascii="宋体" w:hAnsi="宋体" w:eastAsia="宋体" w:cs="宋体"/>
          <w:color w:val="auto"/>
          <w:kern w:val="0"/>
          <w:sz w:val="24"/>
          <w:szCs w:val="24"/>
          <w:highlight w:val="none"/>
          <w:lang w:val="en-US" w:eastAsia="zh-CN"/>
        </w:rPr>
        <w:t xml:space="preserve"> </w:t>
      </w:r>
    </w:p>
    <w:p>
      <w:pPr>
        <w:snapToGrid w:val="0"/>
        <w:spacing w:line="440" w:lineRule="exact"/>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联系电话：</w:t>
      </w:r>
      <w:r>
        <w:rPr>
          <w:rFonts w:hint="eastAsia" w:ascii="宋体" w:hAnsi="宋体" w:cs="宋体"/>
          <w:color w:val="auto"/>
          <w:sz w:val="24"/>
          <w:szCs w:val="24"/>
          <w:highlight w:val="none"/>
          <w:u w:val="single"/>
          <w:lang w:eastAsia="zh-CN"/>
        </w:rPr>
        <w:t>020-83542040、020-83546213</w:t>
      </w:r>
      <w:r>
        <w:rPr>
          <w:rFonts w:hint="eastAsia" w:ascii="宋体" w:hAnsi="宋体" w:eastAsia="宋体" w:cs="宋体"/>
          <w:color w:val="auto"/>
          <w:kern w:val="0"/>
          <w:sz w:val="24"/>
          <w:szCs w:val="24"/>
          <w:highlight w:val="none"/>
          <w:lang w:val="en-US" w:eastAsia="zh-CN"/>
        </w:rPr>
        <w:t xml:space="preserve"> </w:t>
      </w:r>
    </w:p>
    <w:p>
      <w:pPr>
        <w:snapToGrid w:val="0"/>
        <w:spacing w:line="440" w:lineRule="exact"/>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联系地址：</w:t>
      </w:r>
      <w:r>
        <w:rPr>
          <w:rFonts w:hint="eastAsia" w:ascii="宋体" w:hAnsi="宋体" w:cs="宋体"/>
          <w:color w:val="auto"/>
          <w:sz w:val="24"/>
          <w:szCs w:val="24"/>
          <w:highlight w:val="none"/>
          <w:u w:val="single"/>
          <w:lang w:val="en-US" w:eastAsia="zh-CN"/>
        </w:rPr>
        <w:t>广州市环市中路316号金鹰大厦10楼</w:t>
      </w:r>
      <w:r>
        <w:rPr>
          <w:rFonts w:hint="eastAsia" w:ascii="宋体" w:hAnsi="宋体" w:eastAsia="宋体" w:cs="宋体"/>
          <w:color w:val="auto"/>
          <w:kern w:val="0"/>
          <w:sz w:val="24"/>
          <w:szCs w:val="24"/>
          <w:highlight w:val="none"/>
          <w:lang w:val="en-US" w:eastAsia="zh-CN"/>
        </w:rPr>
        <w:t xml:space="preserve"> </w:t>
      </w:r>
    </w:p>
    <w:p>
      <w:pPr>
        <w:snapToGrid w:val="0"/>
        <w:spacing w:line="440" w:lineRule="exact"/>
        <w:rPr>
          <w:rFonts w:hint="eastAsia" w:ascii="宋体" w:hAnsi="宋体" w:eastAsia="宋体" w:cs="宋体"/>
          <w:color w:val="auto"/>
          <w:kern w:val="0"/>
          <w:sz w:val="24"/>
          <w:szCs w:val="24"/>
          <w:highlight w:val="none"/>
        </w:rPr>
      </w:pPr>
    </w:p>
    <w:p>
      <w:pPr>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kern w:val="0"/>
          <w:sz w:val="24"/>
          <w:szCs w:val="24"/>
          <w:highlight w:val="none"/>
        </w:rPr>
        <w:t>招标监管部门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1"/>
          <w:highlight w:val="none"/>
          <w:u w:val="single"/>
        </w:rPr>
        <w:t>广州市水务工程招标投标管理中心</w:t>
      </w:r>
    </w:p>
    <w:p>
      <w:pPr>
        <w:snapToGrid w:val="0"/>
        <w:spacing w:line="440" w:lineRule="exact"/>
        <w:rPr>
          <w:rFonts w:hint="eastAsia" w:ascii="宋体" w:hAnsi="宋体" w:eastAsia="宋体" w:cs="宋体"/>
          <w:color w:val="auto"/>
          <w:sz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1"/>
          <w:highlight w:val="none"/>
          <w:u w:val="single"/>
        </w:rPr>
        <w:t>020-</w:t>
      </w:r>
      <w:r>
        <w:rPr>
          <w:rFonts w:hint="eastAsia" w:ascii="宋体" w:hAnsi="宋体" w:eastAsia="宋体" w:cs="宋体"/>
          <w:color w:val="auto"/>
          <w:sz w:val="24"/>
          <w:highlight w:val="none"/>
          <w:u w:val="single"/>
        </w:rPr>
        <w:t>88521061</w:t>
      </w:r>
    </w:p>
    <w:p>
      <w:pPr>
        <w:snapToGrid w:val="0"/>
        <w:spacing w:line="440" w:lineRule="exact"/>
        <w:rPr>
          <w:rFonts w:hint="default" w:ascii="宋体" w:hAnsi="宋体" w:eastAsia="宋体" w:cs="宋体"/>
          <w:color w:val="auto"/>
          <w:sz w:val="24"/>
          <w:highlight w:val="none"/>
          <w:lang w:val="en-US"/>
        </w:rPr>
      </w:pPr>
      <w:r>
        <w:rPr>
          <w:rFonts w:hint="eastAsia" w:ascii="宋体" w:hAnsi="宋体" w:eastAsia="宋体" w:cs="宋体"/>
          <w:color w:val="auto"/>
          <w:sz w:val="24"/>
          <w:szCs w:val="24"/>
          <w:highlight w:val="none"/>
          <w:u w:val="single"/>
        </w:rPr>
        <w:t>地址：</w:t>
      </w:r>
      <w:r>
        <w:rPr>
          <w:rFonts w:hint="eastAsia" w:ascii="宋体" w:hAnsi="宋体" w:eastAsia="宋体" w:cs="宋体"/>
          <w:color w:val="auto"/>
          <w:sz w:val="24"/>
          <w:szCs w:val="21"/>
          <w:highlight w:val="none"/>
          <w:u w:val="single"/>
        </w:rPr>
        <w:t>广州市天河区瘦狗岭路555号</w:t>
      </w:r>
      <w:r>
        <w:rPr>
          <w:rFonts w:hint="eastAsia" w:ascii="宋体" w:hAnsi="宋体" w:eastAsia="宋体" w:cs="宋体"/>
          <w:color w:val="auto"/>
          <w:sz w:val="24"/>
          <w:szCs w:val="21"/>
          <w:highlight w:val="none"/>
          <w:u w:val="single"/>
          <w:lang w:val="en-US" w:eastAsia="zh-CN"/>
        </w:rPr>
        <w:t>9楼</w:t>
      </w:r>
    </w:p>
    <w:p>
      <w:pPr>
        <w:spacing w:line="360" w:lineRule="auto"/>
        <w:rPr>
          <w:rFonts w:ascii="宋体" w:hAnsi="宋体"/>
          <w:color w:val="auto"/>
          <w:sz w:val="24"/>
          <w:szCs w:val="24"/>
          <w:highlight w:val="none"/>
        </w:rPr>
      </w:pPr>
    </w:p>
    <w:p>
      <w:pPr>
        <w:spacing w:line="480" w:lineRule="auto"/>
        <w:jc w:val="right"/>
        <w:rPr>
          <w:rFonts w:hint="eastAsia" w:ascii="宋体" w:hAnsi="宋体"/>
          <w:color w:val="auto"/>
          <w:sz w:val="24"/>
          <w:highlight w:val="none"/>
        </w:rPr>
      </w:pPr>
      <w:r>
        <w:rPr>
          <w:rFonts w:hint="eastAsia" w:ascii="宋体" w:hAnsi="宋体"/>
          <w:color w:val="auto"/>
          <w:sz w:val="24"/>
          <w:highlight w:val="none"/>
          <w:lang w:val="en-US" w:eastAsia="zh-CN"/>
        </w:rPr>
        <w:t>2025年</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月</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日</w:t>
      </w:r>
    </w:p>
    <w:p>
      <w:pPr>
        <w:spacing w:line="480" w:lineRule="auto"/>
        <w:jc w:val="right"/>
        <w:rPr>
          <w:rFonts w:hint="eastAsia" w:ascii="宋体" w:hAnsi="宋体"/>
          <w:color w:val="auto"/>
          <w:sz w:val="24"/>
          <w:highlight w:val="none"/>
        </w:rPr>
      </w:pPr>
    </w:p>
    <w:p>
      <w:pPr>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rPr>
        <w:t>附件一：</w:t>
      </w:r>
    </w:p>
    <w:p>
      <w:pPr>
        <w:spacing w:line="360" w:lineRule="auto"/>
        <w:jc w:val="center"/>
        <w:rPr>
          <w:rFonts w:hint="eastAsia" w:ascii="宋体" w:hAnsi="宋体" w:eastAsia="宋体" w:cs="宋体"/>
          <w:b w:val="0"/>
          <w:bCs/>
          <w:color w:val="auto"/>
          <w:sz w:val="24"/>
          <w:szCs w:val="24"/>
          <w:highlight w:val="none"/>
        </w:rPr>
      </w:pPr>
      <w:bookmarkStart w:id="122" w:name="OLE_LINK3"/>
      <w:r>
        <w:rPr>
          <w:rFonts w:hint="eastAsia" w:ascii="宋体" w:hAnsi="宋体" w:eastAsia="宋体" w:cs="宋体"/>
          <w:b/>
          <w:color w:val="auto"/>
          <w:kern w:val="0"/>
          <w:sz w:val="44"/>
          <w:szCs w:val="44"/>
          <w:highlight w:val="none"/>
        </w:rPr>
        <w:t>投标人</w:t>
      </w:r>
      <w:r>
        <w:rPr>
          <w:rFonts w:hint="eastAsia" w:ascii="宋体" w:hAnsi="宋体" w:eastAsia="宋体" w:cs="宋体"/>
          <w:b/>
          <w:color w:val="auto"/>
          <w:sz w:val="44"/>
          <w:szCs w:val="44"/>
          <w:highlight w:val="none"/>
        </w:rPr>
        <w:t>声明</w:t>
      </w:r>
    </w:p>
    <w:bookmarkEnd w:id="122"/>
    <w:p>
      <w:pPr>
        <w:pStyle w:val="27"/>
        <w:ind w:firstLine="0"/>
        <w:rPr>
          <w:rFonts w:hint="eastAsia" w:ascii="宋体" w:hAnsi="宋体" w:eastAsia="宋体" w:cs="宋体"/>
          <w:color w:val="auto"/>
          <w:sz w:val="24"/>
          <w:szCs w:val="24"/>
          <w:highlight w:val="none"/>
          <w:lang w:eastAsia="zh-CN"/>
        </w:rPr>
      </w:pPr>
    </w:p>
    <w:p>
      <w:pPr>
        <w:pStyle w:val="27"/>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广州市水务局</w:t>
      </w:r>
      <w:r>
        <w:rPr>
          <w:rFonts w:hint="eastAsia" w:ascii="宋体" w:hAnsi="宋体" w:eastAsia="宋体" w:cs="宋体"/>
          <w:color w:val="auto"/>
          <w:sz w:val="24"/>
          <w:szCs w:val="24"/>
          <w:highlight w:val="none"/>
        </w:rPr>
        <w:t>、本招标项目招标人及招标监管机构：</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投标工作，作出郑重声明：</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一、本公司保证投标文件及其后提供的一切材料都是真实的。如我司成为本项目中标候选人，我司同意并授权招标人将我司投标文件商务部分的人员、业绩、奖项等资料进行公开。</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三、本公司不存在下列情形之一：</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（1）为招标人不具有独立法人资格的附属机构（单位）；</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（2）为本标段前期准备提供设计或咨询服务或者与本项目设计人或提供咨询服务的机构存在附属关系的；</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（3）为本项目监理人或者与本项目监理人存在隶属关系或者其他利害关系；</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（4）为本标段的代建人；</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（5）为本标段提供招标代理服务的；</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（6）与本标段的监理人或代建人或招标代理机构同为一个法定代表人的；</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（7）与本标段的监理人或代建人或招标代理机构互相控股或参股的；</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（8）与本标段的监理人或代建人或招标代理机构相互任职或工作的；</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（9）与本</w:t>
      </w:r>
      <w:r>
        <w:rPr>
          <w:rFonts w:hint="eastAsia" w:ascii="宋体" w:hAnsi="宋体" w:eastAsia="宋体"/>
          <w:color w:val="auto"/>
          <w:sz w:val="24"/>
          <w:szCs w:val="24"/>
          <w:highlight w:val="none"/>
          <w:lang w:eastAsia="zh-CN"/>
        </w:rPr>
        <w:t>标段</w:t>
      </w:r>
      <w:r>
        <w:rPr>
          <w:rFonts w:hint="eastAsia" w:ascii="宋体" w:hAnsi="宋体" w:eastAsia="宋体"/>
          <w:color w:val="auto"/>
          <w:sz w:val="24"/>
          <w:szCs w:val="24"/>
          <w:highlight w:val="none"/>
        </w:rPr>
        <w:t>的检测机构、建设、监理单位以及建筑材料、建筑构配件和设备供应商有隶属关系或者其他利害关系有隶属关系或者其他利害关系；</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（10）与招标人存在利害关系且可能影响招标公正性；</w:t>
      </w:r>
    </w:p>
    <w:p>
      <w:pPr>
        <w:pStyle w:val="27"/>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11）被依法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w:t>
      </w:r>
    </w:p>
    <w:p>
      <w:pPr>
        <w:pStyle w:val="27"/>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（12）被责令停产停业、暂扣或者吊销许可证、暂扣或者吊销执照的（本项事实应当以根据《中华人民共和国行政处罚法》依法作出并已经生效的行政处罚决定为认定依据。）；</w:t>
      </w:r>
    </w:p>
    <w:p>
      <w:pPr>
        <w:pStyle w:val="27"/>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（13）进入清算程序，或被宣布破产，或其他丧失履约能力的情形；</w:t>
      </w:r>
    </w:p>
    <w:p>
      <w:pPr>
        <w:pStyle w:val="27"/>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14）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pPr>
        <w:pStyle w:val="27"/>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olor w:val="auto"/>
          <w:sz w:val="24"/>
          <w:szCs w:val="24"/>
          <w:highlight w:val="none"/>
        </w:rPr>
        <w:t>（15）法律法规规定的其他情形</w:t>
      </w:r>
      <w:r>
        <w:rPr>
          <w:rFonts w:hint="eastAsia" w:ascii="宋体" w:hAnsi="宋体" w:eastAsia="宋体" w:cs="Times New Roman"/>
          <w:color w:val="auto"/>
          <w:sz w:val="24"/>
          <w:szCs w:val="24"/>
          <w:highlight w:val="none"/>
        </w:rPr>
        <w:t>。</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四、本公司保证：本项目拟派的项目负责人没有在其他在建项目中任施工单位项目负责人，本项目拟派的专职安全员没有在其他在建项目中任职。</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五、本公司已经对投标时拟投入本项目的管理团队和专业技术人员进行了自查，保证拟投入的所有人员都是本单位正式人员，都在本单位缴纳社保，不存在持证人注册单位与实际工作单位不符、买卖租借（专业）资格（注册）证书等“挂证”违法违规行为。</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六、本公司承诺，中标后不转包或违法分包，在施工过程中，严格执行安全生产相关管理规定；依法按照国家、省、市的有关规定发包劳务或使用自有劳务队伍，依法按时足额支付工程款给分包单位（如有）和支付工资给劳务工人，不以工程款未到位为由克扣或拖欠工人工资。</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七、本公司承诺，切实落实</w:t>
      </w:r>
      <w:r>
        <w:rPr>
          <w:rFonts w:hint="eastAsia" w:ascii="宋体" w:hAnsi="宋体" w:eastAsia="宋体" w:cs="Times New Roman"/>
          <w:color w:val="auto"/>
          <w:sz w:val="24"/>
          <w:szCs w:val="24"/>
          <w:highlight w:val="none"/>
          <w:lang w:eastAsia="zh-CN"/>
        </w:rPr>
        <w:t>《住房和城乡建设部人力资源社会保障部关于修改&lt;建筑工人实名制管理办法（试行）&gt;的通知》（建市〔2022〕59号）、《住房城乡建设部 人力资源社会保障部关于印发建筑工人实名管理办法（试行）的通知》（建市〔2019〕18号）、《工程建设领域农民工工资专用账户管理暂行办法）（人社部发〔2021〕53号）、《广州市住房和城乡建设局关于印发广州市建筑施工实名制管理办法的通知》（穗建规字〔2020〕18号）、《关于印发广州市建设领域工人工资支付分账管理实施细则的通知》（穗建规字〔2020〕37号）、《广州市住房和城乡建设局关于公布第五批广州市建设领域工人工资支付分账管理业务银行名录的通知》（穗建筑〔2022〕1号）、《广州市住房和城乡建设局关于进一步征集广州市建设领域工人工资支付分账业务银行的通知》（穗建筑〔2021〕673号）、《广州市水务局转发广州市根治拖欠农民工工资工作领导小组办公室关于广州市建设领域工程项目全面实施农民工工资总包代发制度的通知》（穗水投收字〔2020〕5031号）、《保障农民工工资支付条例》、《广州市水务投资集团有限公司农民工工资纠纷突发事件应急处置工作指引（试行）》</w:t>
      </w:r>
      <w:r>
        <w:rPr>
          <w:rFonts w:hint="eastAsia" w:ascii="宋体" w:hAnsi="宋体" w:eastAsia="宋体"/>
          <w:color w:val="auto"/>
          <w:sz w:val="24"/>
          <w:szCs w:val="24"/>
          <w:highlight w:val="none"/>
        </w:rPr>
        <w:t>等关于用工实名制和工人工资支付分账管理的各项规定。中标后将利用信息技术手段，采用人脸、指纹、虹膜等生物识别技术进行电子打卡，实施考勤管理，对施工现场人员建立基本信息档案、实行实名制管理的制度并按照工程进度将建筑工人工资通过本企业在银行开设的工资专用账户按时足额支付。我公司对实名制管理负总责。若本项目在经招标人认可后，部分专业工程依法分包或实行劳务分包的，我公司对专业分包企业和劳务分包企业实施统一管理，监督其用工企业按时足额支付作业工人工资，督促落实实名制管理制度。本公司接受招标人及</w:t>
      </w:r>
      <w:r>
        <w:rPr>
          <w:rFonts w:hint="eastAsia" w:ascii="宋体" w:hAnsi="宋体" w:eastAsia="宋体"/>
          <w:color w:val="auto"/>
          <w:sz w:val="24"/>
          <w:szCs w:val="24"/>
          <w:highlight w:val="none"/>
          <w:lang w:eastAsia="zh-CN"/>
        </w:rPr>
        <w:t>水</w:t>
      </w:r>
      <w:r>
        <w:rPr>
          <w:rFonts w:hint="eastAsia" w:ascii="宋体" w:hAnsi="宋体" w:eastAsia="宋体"/>
          <w:color w:val="auto"/>
          <w:sz w:val="24"/>
          <w:szCs w:val="24"/>
          <w:highlight w:val="none"/>
        </w:rPr>
        <w:t>行政主管部门的监督、检查。</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八、与本公司单位负责人为同一人或者与本公司存在控股、管理关系的其他单位包括：</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。（注：本条由投标人如实填写，如有，应列出全部满足招标公告资质要求的相关单位的名称；如无，则填写“无”。）</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九、本公司拟委派专职安全员兼任本工程的工地余泥渣土运输与排放管理员，严格遵守建设工程余泥渣土运输与排放管理制度，执行“一不准进、三不准出”规定，选择合法的余泥渣土运输单位及排放点。</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十、如果本公司使用采用告知承诺制方式取得的资质参与本项目投标，该资质经资质审批部门核查被依法注销的，本公司承诺自动放弃投标及中标资格。如经查实该资质为以欺骗等不正当手段取得的，将依法接受监督部门的行政处罚。</w:t>
      </w:r>
    </w:p>
    <w:p>
      <w:pPr>
        <w:pStyle w:val="27"/>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olor w:val="auto"/>
          <w:sz w:val="24"/>
          <w:szCs w:val="24"/>
          <w:highlight w:val="none"/>
        </w:rPr>
        <w:t>十一、本公司违反上述保证，或本声明陈述与事实不符，一经查实将按相关规定进行信用记录。本公司对失信行为产生的一切后果已知悉。其中，本声明陈述与事实不符的，属于弄虚作假骗取中标，将依法接受监管部门的处罚。</w:t>
      </w:r>
    </w:p>
    <w:p>
      <w:pPr>
        <w:pStyle w:val="27"/>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十二</w:t>
      </w:r>
      <w:r>
        <w:rPr>
          <w:rFonts w:hint="eastAsia" w:ascii="宋体" w:hAnsi="宋体" w:eastAsia="宋体"/>
          <w:color w:val="auto"/>
          <w:sz w:val="24"/>
          <w:szCs w:val="24"/>
          <w:highlight w:val="none"/>
          <w:lang w:val="en-US" w:eastAsia="zh-CN"/>
        </w:rPr>
        <w:t>、本公司积极响应广州市关于投身“百千万工程”的号召，主动参与政府投资类建设工程施工项目的建筑业结对帮扶等活动（市属国有企业投资项目参照执行）。</w:t>
      </w:r>
    </w:p>
    <w:p>
      <w:pPr>
        <w:spacing w:line="360" w:lineRule="auto"/>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pPr>
        <w:spacing w:line="360" w:lineRule="auto"/>
        <w:ind w:firstLine="240" w:firstLineChars="100"/>
        <w:jc w:val="left"/>
        <w:rPr>
          <w:rFonts w:hint="eastAsia" w:ascii="宋体" w:hAnsi="宋体" w:eastAsia="宋体" w:cs="宋体"/>
          <w:color w:val="auto"/>
          <w:sz w:val="24"/>
          <w:szCs w:val="24"/>
          <w:highlight w:val="none"/>
        </w:rPr>
      </w:pPr>
    </w:p>
    <w:p>
      <w:pPr>
        <w:pStyle w:val="28"/>
        <w:ind w:left="629" w:right="144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声明企业：</w:t>
      </w:r>
    </w:p>
    <w:p>
      <w:pPr>
        <w:pStyle w:val="27"/>
        <w:ind w:right="1179"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法定代表人签字：</w:t>
      </w:r>
    </w:p>
    <w:p>
      <w:pPr>
        <w:pStyle w:val="27"/>
        <w:ind w:right="1179"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项目负责人签字:</w:t>
      </w:r>
    </w:p>
    <w:p>
      <w:pPr>
        <w:pStyle w:val="27"/>
        <w:ind w:right="879" w:firstLine="2160" w:firstLineChars="9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技术负责人签字：</w:t>
      </w:r>
    </w:p>
    <w:p>
      <w:pPr>
        <w:pStyle w:val="27"/>
        <w:ind w:right="879" w:firstLine="2160" w:firstLineChars="9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0"/>
          <w:sz w:val="24"/>
          <w:szCs w:val="24"/>
          <w:highlight w:val="none"/>
        </w:rPr>
        <w:t>（企业公章）</w:t>
      </w:r>
    </w:p>
    <w:p>
      <w:pPr>
        <w:widowControl/>
        <w:spacing w:line="360" w:lineRule="auto"/>
        <w:jc w:val="left"/>
        <w:rPr>
          <w:rFonts w:ascii="宋体" w:hAnsi="宋体"/>
          <w:b/>
          <w:color w:val="auto"/>
          <w:sz w:val="24"/>
          <w:szCs w:val="24"/>
          <w:highlight w:val="none"/>
          <w:u w:val="single"/>
        </w:rPr>
      </w:pPr>
      <w:r>
        <w:rPr>
          <w:rFonts w:hint="eastAsia" w:ascii="宋体" w:hAnsi="宋体" w:eastAsia="宋体" w:cs="宋体"/>
          <w:color w:val="auto"/>
          <w:sz w:val="24"/>
          <w:szCs w:val="24"/>
          <w:highlight w:val="none"/>
        </w:rPr>
        <w:t>注：招标人应当要求投标人的项目负责人和技术负责人签字。</w:t>
      </w:r>
      <w:r>
        <w:rPr>
          <w:rFonts w:ascii="宋体" w:hAnsi="宋体"/>
          <w:b/>
          <w:color w:val="auto"/>
          <w:sz w:val="24"/>
          <w:highlight w:val="none"/>
        </w:rPr>
        <w:br w:type="page"/>
      </w:r>
    </w:p>
    <w:p>
      <w:pPr>
        <w:spacing w:line="360" w:lineRule="auto"/>
        <w:jc w:val="center"/>
        <w:outlineLvl w:val="1"/>
        <w:rPr>
          <w:rFonts w:ascii="黑体" w:hAnsi="黑体" w:eastAsia="黑体"/>
          <w:color w:val="auto"/>
          <w:sz w:val="32"/>
          <w:szCs w:val="27"/>
          <w:highlight w:val="none"/>
        </w:rPr>
      </w:pPr>
      <w:bookmarkStart w:id="123" w:name="_Toc17451621"/>
      <w:bookmarkStart w:id="124" w:name="_Toc17451099"/>
      <w:bookmarkStart w:id="125" w:name="_Toc17454869"/>
      <w:bookmarkStart w:id="126" w:name="_Toc17454920"/>
      <w:bookmarkStart w:id="127" w:name="_Toc17452662"/>
      <w:bookmarkStart w:id="128" w:name="_Toc2870"/>
      <w:bookmarkStart w:id="129" w:name="_Toc17451576"/>
      <w:bookmarkStart w:id="130" w:name="_Toc17556874"/>
      <w:bookmarkStart w:id="131" w:name="_Toc221950008"/>
      <w:r>
        <w:rPr>
          <w:rFonts w:hint="eastAsia" w:ascii="黑体" w:hAnsi="黑体" w:eastAsia="黑体"/>
          <w:color w:val="auto"/>
          <w:sz w:val="32"/>
          <w:szCs w:val="27"/>
          <w:highlight w:val="none"/>
        </w:rPr>
        <w:t>第二章 投标</w:t>
      </w:r>
      <w:r>
        <w:rPr>
          <w:rFonts w:hint="eastAsia" w:ascii="黑体" w:hAnsi="黑体" w:eastAsia="黑体"/>
          <w:color w:val="auto"/>
          <w:sz w:val="32"/>
          <w:szCs w:val="27"/>
          <w:highlight w:val="none"/>
          <w:lang w:val="en-US" w:eastAsia="zh-CN"/>
        </w:rPr>
        <w:t>人</w:t>
      </w:r>
      <w:r>
        <w:rPr>
          <w:rFonts w:hint="eastAsia" w:ascii="黑体" w:hAnsi="黑体" w:eastAsia="黑体"/>
          <w:color w:val="auto"/>
          <w:sz w:val="32"/>
          <w:szCs w:val="27"/>
          <w:highlight w:val="none"/>
        </w:rPr>
        <w:t>须知</w:t>
      </w:r>
      <w:bookmarkEnd w:id="123"/>
      <w:bookmarkEnd w:id="124"/>
      <w:bookmarkEnd w:id="125"/>
      <w:bookmarkEnd w:id="126"/>
      <w:bookmarkEnd w:id="127"/>
      <w:bookmarkEnd w:id="128"/>
      <w:bookmarkEnd w:id="129"/>
      <w:bookmarkEnd w:id="130"/>
    </w:p>
    <w:p>
      <w:pPr>
        <w:spacing w:line="360" w:lineRule="auto"/>
        <w:jc w:val="center"/>
        <w:outlineLvl w:val="2"/>
        <w:rPr>
          <w:rFonts w:ascii="黑体" w:hAnsi="黑体" w:eastAsia="黑体"/>
          <w:color w:val="auto"/>
          <w:sz w:val="28"/>
          <w:szCs w:val="27"/>
          <w:highlight w:val="none"/>
        </w:rPr>
      </w:pPr>
      <w:bookmarkStart w:id="132" w:name="_Toc17451622"/>
      <w:bookmarkStart w:id="133" w:name="_Toc17454921"/>
      <w:bookmarkStart w:id="134" w:name="_Toc17454870"/>
      <w:bookmarkStart w:id="135" w:name="_Toc22785"/>
      <w:bookmarkStart w:id="136" w:name="_Toc17451100"/>
      <w:bookmarkStart w:id="137" w:name="_Toc17451577"/>
      <w:bookmarkStart w:id="138" w:name="_Toc17452663"/>
      <w:bookmarkStart w:id="139" w:name="_Toc17556875"/>
      <w:r>
        <w:rPr>
          <w:rFonts w:hint="eastAsia" w:ascii="黑体" w:hAnsi="黑体" w:eastAsia="黑体"/>
          <w:color w:val="auto"/>
          <w:sz w:val="28"/>
          <w:szCs w:val="27"/>
          <w:highlight w:val="none"/>
        </w:rPr>
        <w:t>一、投标人须知前附表</w:t>
      </w:r>
      <w:bookmarkEnd w:id="131"/>
      <w:bookmarkEnd w:id="132"/>
      <w:bookmarkEnd w:id="133"/>
      <w:bookmarkEnd w:id="134"/>
      <w:bookmarkEnd w:id="135"/>
      <w:bookmarkEnd w:id="136"/>
      <w:bookmarkEnd w:id="137"/>
      <w:bookmarkEnd w:id="138"/>
      <w:bookmarkEnd w:id="139"/>
    </w:p>
    <w:tbl>
      <w:tblPr>
        <w:tblStyle w:val="19"/>
        <w:tblW w:w="0" w:type="auto"/>
        <w:tblInd w:w="0" w:type="dxa"/>
        <w:tblLayout w:type="fixed"/>
        <w:tblCellMar>
          <w:top w:w="0" w:type="dxa"/>
          <w:left w:w="108" w:type="dxa"/>
          <w:bottom w:w="0" w:type="dxa"/>
          <w:right w:w="108" w:type="dxa"/>
        </w:tblCellMar>
      </w:tblPr>
      <w:tblGrid>
        <w:gridCol w:w="1298"/>
        <w:gridCol w:w="2192"/>
        <w:gridCol w:w="5038"/>
      </w:tblGrid>
      <w:tr>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b/>
                <w:color w:val="auto"/>
                <w:szCs w:val="21"/>
                <w:highlight w:val="none"/>
              </w:rPr>
            </w:pPr>
            <w:bookmarkStart w:id="140" w:name="_Toc221950009"/>
            <w:r>
              <w:rPr>
                <w:b/>
                <w:color w:val="auto"/>
                <w:szCs w:val="21"/>
                <w:highlight w:val="none"/>
              </w:rPr>
              <w:t>条款号</w:t>
            </w:r>
            <w:bookmarkEnd w:id="140"/>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b/>
                <w:color w:val="auto"/>
                <w:szCs w:val="21"/>
                <w:highlight w:val="none"/>
              </w:rPr>
            </w:pPr>
            <w:bookmarkStart w:id="141" w:name="_Toc221950010"/>
            <w:r>
              <w:rPr>
                <w:b/>
                <w:color w:val="auto"/>
                <w:szCs w:val="21"/>
                <w:highlight w:val="none"/>
              </w:rPr>
              <w:t>条款名称</w:t>
            </w:r>
            <w:bookmarkEnd w:id="141"/>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b/>
                <w:color w:val="auto"/>
                <w:szCs w:val="21"/>
                <w:highlight w:val="none"/>
              </w:rPr>
            </w:pPr>
            <w:bookmarkStart w:id="142" w:name="_Toc221950011"/>
            <w:r>
              <w:rPr>
                <w:b/>
                <w:color w:val="auto"/>
                <w:szCs w:val="21"/>
                <w:highlight w:val="none"/>
              </w:rPr>
              <w:t>编列内容</w:t>
            </w:r>
            <w:bookmarkEnd w:id="142"/>
          </w:p>
        </w:tc>
      </w:tr>
      <w:tr>
        <w:tblPrEx>
          <w:tblCellMar>
            <w:top w:w="0" w:type="dxa"/>
            <w:left w:w="108" w:type="dxa"/>
            <w:bottom w:w="0" w:type="dxa"/>
            <w:right w:w="108" w:type="dxa"/>
          </w:tblCellMar>
        </w:tblPrEx>
        <w:trPr>
          <w:trHeight w:val="315"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43" w:name="_Toc221950012"/>
            <w:r>
              <w:rPr>
                <w:color w:val="auto"/>
                <w:szCs w:val="21"/>
                <w:highlight w:val="none"/>
              </w:rPr>
              <w:t>1.1.2</w:t>
            </w:r>
            <w:bookmarkEnd w:id="143"/>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44" w:name="_Toc221950013"/>
            <w:r>
              <w:rPr>
                <w:color w:val="auto"/>
                <w:szCs w:val="21"/>
                <w:highlight w:val="none"/>
              </w:rPr>
              <w:t>招标人</w:t>
            </w:r>
            <w:bookmarkEnd w:id="144"/>
            <w:r>
              <w:rPr>
                <w:rFonts w:hint="eastAsia"/>
                <w:color w:val="auto"/>
                <w:szCs w:val="21"/>
                <w:highlight w:val="none"/>
              </w:rPr>
              <w:t xml:space="preserve"> </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before="0" w:beforeLines="0" w:line="400" w:lineRule="exact"/>
              <w:ind w:firstLine="0" w:firstLineChars="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u w:val="single"/>
              </w:rPr>
              <w:t>广州市自来水有限公司</w:t>
            </w:r>
          </w:p>
          <w:p>
            <w:pPr>
              <w:adjustRightInd/>
              <w:snapToGrid/>
              <w:spacing w:before="0" w:beforeLines="0" w:line="400" w:lineRule="exact"/>
              <w:ind w:firstLine="0" w:firstLineChars="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rPr>
              <w:t>广州市越秀区中山一路12号</w:t>
            </w:r>
          </w:p>
          <w:p>
            <w:pPr>
              <w:adjustRightInd/>
              <w:snapToGrid/>
              <w:spacing w:before="0" w:beforeLines="0" w:line="400" w:lineRule="exact"/>
              <w:ind w:firstLine="0" w:firstLineChars="0"/>
              <w:contextualSpacing/>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rPr>
              <w:t>联系人：</w:t>
            </w:r>
            <w:r>
              <w:rPr>
                <w:rFonts w:hint="eastAsia" w:ascii="宋体" w:hAnsi="宋体" w:eastAsia="宋体" w:cs="宋体"/>
                <w:color w:val="auto"/>
                <w:szCs w:val="21"/>
                <w:highlight w:val="none"/>
                <w:u w:val="single"/>
                <w:lang w:val="en-US" w:eastAsia="zh-CN"/>
              </w:rPr>
              <w:t>王工</w:t>
            </w:r>
          </w:p>
          <w:p>
            <w:pPr>
              <w:spacing w:before="0" w:beforeLines="0" w:line="400" w:lineRule="exact"/>
              <w:contextualSpacing/>
              <w:rPr>
                <w:color w:val="auto"/>
                <w:szCs w:val="21"/>
                <w:highlight w:val="none"/>
              </w:rPr>
            </w:pP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u w:val="single"/>
              </w:rPr>
              <w:t>020-871590</w:t>
            </w:r>
            <w:r>
              <w:rPr>
                <w:rFonts w:hint="eastAsia" w:ascii="宋体" w:hAnsi="宋体" w:eastAsia="宋体" w:cs="宋体"/>
                <w:color w:val="auto"/>
                <w:szCs w:val="21"/>
                <w:highlight w:val="none"/>
                <w:u w:val="single"/>
                <w:lang w:val="en-US" w:eastAsia="zh-CN"/>
              </w:rPr>
              <w:t>14</w:t>
            </w:r>
          </w:p>
        </w:tc>
      </w:tr>
      <w:tr>
        <w:tblPrEx>
          <w:tblCellMar>
            <w:top w:w="0" w:type="dxa"/>
            <w:left w:w="108" w:type="dxa"/>
            <w:bottom w:w="0" w:type="dxa"/>
            <w:right w:w="108" w:type="dxa"/>
          </w:tblCellMar>
        </w:tblPrEx>
        <w:trPr>
          <w:trHeight w:val="495"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45" w:name="_Toc221950014"/>
            <w:r>
              <w:rPr>
                <w:color w:val="auto"/>
                <w:szCs w:val="21"/>
                <w:highlight w:val="none"/>
              </w:rPr>
              <w:t>1.1.3</w:t>
            </w:r>
            <w:bookmarkEnd w:id="145"/>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46" w:name="_Toc221950015"/>
            <w:r>
              <w:rPr>
                <w:color w:val="auto"/>
                <w:szCs w:val="21"/>
                <w:highlight w:val="none"/>
              </w:rPr>
              <w:t>招标代理机构</w:t>
            </w:r>
            <w:bookmarkEnd w:id="146"/>
            <w:r>
              <w:rPr>
                <w:rFonts w:hint="eastAsia"/>
                <w:color w:val="auto"/>
                <w:szCs w:val="21"/>
                <w:highlight w:val="none"/>
              </w:rPr>
              <w:t xml:space="preserve"> </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0" w:beforeLines="0" w:line="400" w:lineRule="exact"/>
              <w:contextualSpacing/>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名称：</w:t>
            </w:r>
            <w:r>
              <w:rPr>
                <w:rFonts w:hint="eastAsia" w:ascii="宋体" w:hAnsi="宋体" w:cs="宋体"/>
                <w:color w:val="auto"/>
                <w:szCs w:val="21"/>
                <w:highlight w:val="none"/>
                <w:lang w:val="en-US" w:eastAsia="zh-CN"/>
              </w:rPr>
              <w:t>广东省国际工程咨询有限公司</w:t>
            </w:r>
            <w:r>
              <w:rPr>
                <w:rFonts w:hint="eastAsia" w:ascii="宋体" w:hAnsi="宋体" w:eastAsia="宋体" w:cs="宋体"/>
                <w:color w:val="auto"/>
                <w:szCs w:val="21"/>
                <w:highlight w:val="none"/>
                <w:lang w:val="en-US" w:eastAsia="zh-CN"/>
              </w:rPr>
              <w:t xml:space="preserve"> </w:t>
            </w:r>
          </w:p>
          <w:p>
            <w:pPr>
              <w:spacing w:before="0" w:beforeLines="0" w:line="400" w:lineRule="exact"/>
              <w:contextualSpacing/>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地址：</w:t>
            </w:r>
            <w:r>
              <w:rPr>
                <w:rFonts w:hint="eastAsia" w:ascii="宋体" w:hAnsi="宋体" w:cs="宋体"/>
                <w:color w:val="auto"/>
                <w:szCs w:val="21"/>
                <w:highlight w:val="none"/>
                <w:lang w:val="en-US" w:eastAsia="zh-CN"/>
              </w:rPr>
              <w:t>广州市环市中路316号金鹰大厦10楼</w:t>
            </w:r>
            <w:r>
              <w:rPr>
                <w:rFonts w:hint="eastAsia" w:ascii="宋体" w:hAnsi="宋体" w:eastAsia="宋体" w:cs="宋体"/>
                <w:color w:val="auto"/>
                <w:szCs w:val="21"/>
                <w:highlight w:val="none"/>
                <w:lang w:val="en-US" w:eastAsia="zh-CN"/>
              </w:rPr>
              <w:t xml:space="preserve"> </w:t>
            </w:r>
          </w:p>
          <w:p>
            <w:pPr>
              <w:spacing w:before="0" w:beforeLines="0" w:line="400" w:lineRule="exact"/>
              <w:contextualSpacing/>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联系人：</w:t>
            </w:r>
            <w:r>
              <w:rPr>
                <w:rFonts w:hint="eastAsia" w:ascii="宋体" w:hAnsi="宋体" w:cs="宋体"/>
                <w:color w:val="auto"/>
                <w:szCs w:val="21"/>
                <w:highlight w:val="none"/>
                <w:lang w:val="en-US" w:eastAsia="zh-CN"/>
              </w:rPr>
              <w:t>方工、杨工</w:t>
            </w:r>
            <w:r>
              <w:rPr>
                <w:rFonts w:hint="eastAsia" w:ascii="宋体" w:hAnsi="宋体" w:eastAsia="宋体" w:cs="宋体"/>
                <w:color w:val="auto"/>
                <w:szCs w:val="21"/>
                <w:highlight w:val="none"/>
                <w:lang w:val="en-US" w:eastAsia="zh-CN"/>
              </w:rPr>
              <w:t xml:space="preserve"> </w:t>
            </w:r>
          </w:p>
          <w:p>
            <w:pPr>
              <w:spacing w:before="0" w:beforeLines="0" w:line="400" w:lineRule="exact"/>
              <w:contextualSpacing/>
              <w:rPr>
                <w:color w:val="auto"/>
                <w:szCs w:val="21"/>
                <w:highlight w:val="none"/>
              </w:rPr>
            </w:pPr>
            <w:r>
              <w:rPr>
                <w:rFonts w:hint="eastAsia" w:ascii="宋体" w:hAnsi="宋体" w:eastAsia="宋体" w:cs="宋体"/>
                <w:color w:val="auto"/>
                <w:szCs w:val="21"/>
                <w:highlight w:val="none"/>
                <w:lang w:val="en-US" w:eastAsia="zh-CN"/>
              </w:rPr>
              <w:t>电话：</w:t>
            </w:r>
            <w:r>
              <w:rPr>
                <w:rFonts w:hint="eastAsia" w:ascii="宋体" w:hAnsi="宋体" w:cs="宋体"/>
                <w:color w:val="auto"/>
                <w:szCs w:val="21"/>
                <w:highlight w:val="none"/>
                <w:lang w:val="en-US" w:eastAsia="zh-CN"/>
              </w:rPr>
              <w:t>020-83542040、020-83546213</w:t>
            </w:r>
            <w:r>
              <w:rPr>
                <w:rFonts w:hint="eastAsia" w:ascii="宋体" w:hAnsi="宋体" w:eastAsia="宋体" w:cs="宋体"/>
                <w:color w:val="auto"/>
                <w:szCs w:val="21"/>
                <w:highlight w:val="none"/>
                <w:lang w:val="en-US" w:eastAsia="zh-CN"/>
              </w:rPr>
              <w:t xml:space="preserve"> </w:t>
            </w:r>
          </w:p>
        </w:tc>
      </w:tr>
      <w:tr>
        <w:tblPrEx>
          <w:tblCellMar>
            <w:top w:w="0" w:type="dxa"/>
            <w:left w:w="108" w:type="dxa"/>
            <w:bottom w:w="0" w:type="dxa"/>
            <w:right w:w="108" w:type="dxa"/>
          </w:tblCellMar>
        </w:tblPrEx>
        <w:trPr>
          <w:trHeight w:val="450"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47" w:name="_Toc221950016"/>
            <w:r>
              <w:rPr>
                <w:color w:val="auto"/>
                <w:szCs w:val="21"/>
                <w:highlight w:val="none"/>
              </w:rPr>
              <w:t>1.1.4</w:t>
            </w:r>
            <w:bookmarkEnd w:id="147"/>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48" w:name="_Toc221950017"/>
            <w:r>
              <w:rPr>
                <w:color w:val="auto"/>
                <w:szCs w:val="21"/>
                <w:highlight w:val="none"/>
              </w:rPr>
              <w:t>项目名称</w:t>
            </w:r>
            <w:bookmarkEnd w:id="148"/>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color w:val="auto"/>
                <w:szCs w:val="21"/>
                <w:highlight w:val="none"/>
              </w:rPr>
            </w:pPr>
            <w:r>
              <w:rPr>
                <w:rFonts w:hint="eastAsia"/>
                <w:color w:val="auto"/>
                <w:szCs w:val="21"/>
                <w:highlight w:val="none"/>
                <w:lang w:val="en-US" w:eastAsia="zh-CN"/>
              </w:rPr>
              <w:t>南洲水厂排泥水处理系统建设工程等2项工程自控与安防工程施工</w:t>
            </w:r>
          </w:p>
        </w:tc>
      </w:tr>
      <w:tr>
        <w:tblPrEx>
          <w:tblCellMar>
            <w:top w:w="0" w:type="dxa"/>
            <w:left w:w="108" w:type="dxa"/>
            <w:bottom w:w="0" w:type="dxa"/>
            <w:right w:w="108" w:type="dxa"/>
          </w:tblCellMar>
        </w:tblPrEx>
        <w:trPr>
          <w:trHeight w:val="465"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49" w:name="_Toc221950018"/>
            <w:r>
              <w:rPr>
                <w:color w:val="auto"/>
                <w:szCs w:val="21"/>
                <w:highlight w:val="none"/>
              </w:rPr>
              <w:t>1.1.5</w:t>
            </w:r>
            <w:bookmarkEnd w:id="149"/>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50" w:name="_Toc221950019"/>
            <w:r>
              <w:rPr>
                <w:color w:val="auto"/>
                <w:szCs w:val="21"/>
                <w:highlight w:val="none"/>
              </w:rPr>
              <w:t>建设地点</w:t>
            </w:r>
            <w:bookmarkEnd w:id="150"/>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color w:val="auto"/>
                <w:szCs w:val="21"/>
                <w:highlight w:val="none"/>
              </w:rPr>
            </w:pPr>
            <w:r>
              <w:rPr>
                <w:rFonts w:hint="eastAsia" w:ascii="宋体" w:hAnsi="宋体" w:eastAsia="宋体" w:cs="宋体"/>
                <w:color w:val="auto"/>
                <w:highlight w:val="none"/>
              </w:rPr>
              <w:t>详见本项目招标公告</w:t>
            </w:r>
          </w:p>
        </w:tc>
      </w:tr>
      <w:tr>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51" w:name="_Toc221950030"/>
            <w:r>
              <w:rPr>
                <w:color w:val="auto"/>
                <w:szCs w:val="21"/>
                <w:highlight w:val="none"/>
              </w:rPr>
              <w:t>1.2.1</w:t>
            </w:r>
            <w:bookmarkEnd w:id="151"/>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52" w:name="_Toc221950031"/>
            <w:r>
              <w:rPr>
                <w:color w:val="auto"/>
                <w:szCs w:val="21"/>
                <w:highlight w:val="none"/>
              </w:rPr>
              <w:t>资金来源</w:t>
            </w:r>
            <w:bookmarkEnd w:id="152"/>
            <w:r>
              <w:rPr>
                <w:rFonts w:hint="eastAsia"/>
                <w:color w:val="auto"/>
                <w:szCs w:val="21"/>
                <w:highlight w:val="none"/>
              </w:rPr>
              <w:t>及比例</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color w:val="auto"/>
                <w:szCs w:val="21"/>
                <w:highlight w:val="none"/>
              </w:rPr>
            </w:pPr>
            <w:r>
              <w:rPr>
                <w:rFonts w:hint="eastAsia" w:ascii="宋体" w:hAnsi="宋体" w:eastAsia="宋体" w:cs="宋体"/>
                <w:color w:val="auto"/>
                <w:szCs w:val="21"/>
                <w:highlight w:val="none"/>
                <w:u w:val="single"/>
              </w:rPr>
              <w:t>自筹资金100%</w:t>
            </w:r>
          </w:p>
        </w:tc>
      </w:tr>
      <w:tr>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56" w:beforeLines="50" w:line="360" w:lineRule="auto"/>
              <w:contextualSpacing/>
              <w:jc w:val="center"/>
              <w:rPr>
                <w:color w:val="auto"/>
                <w:kern w:val="2"/>
                <w:sz w:val="21"/>
                <w:szCs w:val="21"/>
                <w:highlight w:val="none"/>
                <w:lang w:val="en-US" w:eastAsia="zh-CN" w:bidi="ar-SA"/>
              </w:rPr>
            </w:pPr>
            <w:bookmarkStart w:id="153" w:name="_Toc221950036"/>
            <w:r>
              <w:rPr>
                <w:rFonts w:hint="eastAsia"/>
                <w:color w:val="auto"/>
                <w:szCs w:val="21"/>
                <w:highlight w:val="none"/>
              </w:rPr>
              <w:t>1.2.2</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56" w:beforeLines="50" w:line="360" w:lineRule="auto"/>
              <w:contextualSpacing/>
              <w:jc w:val="left"/>
              <w:rPr>
                <w:rFonts w:ascii="Times New Roman" w:hAnsi="Times New Roman"/>
                <w:color w:val="auto"/>
                <w:kern w:val="2"/>
                <w:sz w:val="21"/>
                <w:szCs w:val="21"/>
                <w:highlight w:val="none"/>
                <w:lang w:val="en-US" w:eastAsia="zh-CN" w:bidi="ar-SA"/>
              </w:rPr>
            </w:pPr>
            <w:r>
              <w:rPr>
                <w:rFonts w:hint="eastAsia"/>
                <w:color w:val="auto"/>
                <w:szCs w:val="21"/>
                <w:highlight w:val="none"/>
              </w:rPr>
              <w:t>资金落实情况</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56" w:beforeLines="50" w:line="360" w:lineRule="auto"/>
              <w:contextualSpacing/>
              <w:rPr>
                <w:rFonts w:hint="default" w:eastAsia="宋体"/>
                <w:color w:val="auto"/>
                <w:kern w:val="2"/>
                <w:sz w:val="21"/>
                <w:szCs w:val="21"/>
                <w:highlight w:val="none"/>
                <w:lang w:val="en-US" w:eastAsia="zh-CN" w:bidi="ar-SA"/>
              </w:rPr>
            </w:pPr>
            <w:r>
              <w:rPr>
                <w:rFonts w:hint="eastAsia"/>
                <w:color w:val="auto"/>
                <w:szCs w:val="21"/>
                <w:highlight w:val="none"/>
                <w:lang w:eastAsia="zh-CN"/>
              </w:rPr>
              <w:t>资金来源已落实</w:t>
            </w:r>
          </w:p>
        </w:tc>
      </w:tr>
      <w:tr>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r>
              <w:rPr>
                <w:color w:val="auto"/>
                <w:szCs w:val="21"/>
                <w:highlight w:val="none"/>
              </w:rPr>
              <w:t>1.</w:t>
            </w:r>
            <w:r>
              <w:rPr>
                <w:rFonts w:hint="eastAsia"/>
                <w:color w:val="auto"/>
                <w:szCs w:val="21"/>
                <w:highlight w:val="none"/>
              </w:rPr>
              <w:t>3</w:t>
            </w:r>
            <w:r>
              <w:rPr>
                <w:color w:val="auto"/>
                <w:szCs w:val="21"/>
                <w:highlight w:val="none"/>
              </w:rPr>
              <w:t>.1</w:t>
            </w:r>
            <w:bookmarkEnd w:id="153"/>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54" w:name="_Toc221950037"/>
            <w:r>
              <w:rPr>
                <w:color w:val="auto"/>
                <w:szCs w:val="21"/>
                <w:highlight w:val="none"/>
              </w:rPr>
              <w:t>招标范围</w:t>
            </w:r>
            <w:bookmarkEnd w:id="154"/>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rFonts w:hint="eastAsia" w:eastAsia="宋体"/>
                <w:color w:val="auto"/>
                <w:szCs w:val="21"/>
                <w:highlight w:val="none"/>
                <w:lang w:eastAsia="zh-CN"/>
              </w:rPr>
            </w:pPr>
            <w:r>
              <w:rPr>
                <w:rFonts w:hint="eastAsia" w:ascii="宋体" w:hAnsi="宋体" w:eastAsia="宋体" w:cs="宋体"/>
                <w:color w:val="auto"/>
                <w:highlight w:val="none"/>
              </w:rPr>
              <w:t>详见本项目招标公告</w:t>
            </w:r>
          </w:p>
        </w:tc>
      </w:tr>
      <w:tr>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55" w:name="_Toc221950038"/>
            <w:r>
              <w:rPr>
                <w:color w:val="auto"/>
                <w:szCs w:val="21"/>
                <w:highlight w:val="none"/>
              </w:rPr>
              <w:t>1.3.2</w:t>
            </w:r>
            <w:bookmarkEnd w:id="155"/>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56" w:name="_Toc221950039"/>
            <w:r>
              <w:rPr>
                <w:color w:val="auto"/>
                <w:szCs w:val="21"/>
                <w:highlight w:val="none"/>
              </w:rPr>
              <w:t>计划工期</w:t>
            </w:r>
            <w:bookmarkEnd w:id="156"/>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color w:val="auto"/>
                <w:szCs w:val="21"/>
                <w:highlight w:val="none"/>
              </w:rPr>
            </w:pPr>
            <w:bookmarkStart w:id="157" w:name="_Toc221950040"/>
            <w:r>
              <w:rPr>
                <w:rFonts w:hint="eastAsia" w:ascii="宋体" w:hAnsi="宋体" w:eastAsia="宋体" w:cs="宋体"/>
                <w:color w:val="auto"/>
                <w:highlight w:val="none"/>
              </w:rPr>
              <w:t>详见本项目招标公告</w:t>
            </w:r>
            <w:bookmarkEnd w:id="157"/>
          </w:p>
        </w:tc>
      </w:tr>
      <w:tr>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58" w:name="_Toc221950043"/>
            <w:r>
              <w:rPr>
                <w:color w:val="auto"/>
                <w:szCs w:val="21"/>
                <w:highlight w:val="none"/>
              </w:rPr>
              <w:t>1.3.3</w:t>
            </w:r>
            <w:bookmarkEnd w:id="158"/>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59" w:name="_Toc221950044"/>
            <w:r>
              <w:rPr>
                <w:color w:val="auto"/>
                <w:szCs w:val="21"/>
                <w:highlight w:val="none"/>
              </w:rPr>
              <w:t>质量要求</w:t>
            </w:r>
            <w:bookmarkEnd w:id="159"/>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color w:val="auto"/>
                <w:szCs w:val="21"/>
                <w:highlight w:val="none"/>
              </w:rPr>
            </w:pPr>
            <w:r>
              <w:rPr>
                <w:rFonts w:hint="eastAsia" w:ascii="宋体" w:hAnsi="宋体"/>
                <w:color w:val="auto"/>
                <w:szCs w:val="21"/>
                <w:highlight w:val="none"/>
              </w:rPr>
              <w:sym w:font="Wingdings 2" w:char="0052"/>
            </w:r>
            <w:r>
              <w:rPr>
                <w:rFonts w:hint="eastAsia"/>
                <w:color w:val="auto"/>
                <w:szCs w:val="21"/>
                <w:highlight w:val="none"/>
              </w:rPr>
              <w:t>合格</w:t>
            </w:r>
            <w:r>
              <w:rPr>
                <w:rFonts w:hint="eastAsia" w:ascii="宋体" w:hAnsi="宋体"/>
                <w:strike w:val="0"/>
                <w:color w:val="auto"/>
                <w:szCs w:val="21"/>
                <w:highlight w:val="none"/>
              </w:rPr>
              <w:sym w:font="Wingdings 2" w:char="0051"/>
            </w:r>
            <w:r>
              <w:rPr>
                <w:rFonts w:hint="eastAsia"/>
                <w:color w:val="auto"/>
                <w:szCs w:val="21"/>
                <w:highlight w:val="none"/>
              </w:rPr>
              <w:t>优良</w:t>
            </w:r>
          </w:p>
        </w:tc>
      </w:tr>
      <w:tr>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r>
              <w:rPr>
                <w:rFonts w:hint="eastAsia"/>
                <w:color w:val="auto"/>
                <w:szCs w:val="21"/>
                <w:highlight w:val="none"/>
              </w:rPr>
              <w:t>1.3.4</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color w:val="auto"/>
                <w:szCs w:val="21"/>
                <w:highlight w:val="none"/>
              </w:rPr>
            </w:pPr>
            <w:r>
              <w:rPr>
                <w:rFonts w:hint="eastAsia"/>
                <w:color w:val="auto"/>
                <w:szCs w:val="21"/>
                <w:highlight w:val="none"/>
              </w:rPr>
              <w:t>承包方式</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pStyle w:val="8"/>
              <w:topLinePunct/>
              <w:spacing w:line="400" w:lineRule="exact"/>
              <w:rPr>
                <w:color w:val="auto"/>
                <w:kern w:val="2"/>
                <w:sz w:val="21"/>
                <w:szCs w:val="21"/>
                <w:highlight w:val="none"/>
                <w:lang w:val="en-US" w:eastAsia="zh-CN"/>
              </w:rPr>
            </w:pPr>
            <w:r>
              <w:rPr>
                <w:rFonts w:hint="eastAsia" w:ascii="宋体" w:hAnsi="宋体"/>
                <w:strike w:val="0"/>
                <w:color w:val="auto"/>
                <w:szCs w:val="21"/>
                <w:highlight w:val="none"/>
              </w:rPr>
              <w:sym w:font="Wingdings 2" w:char="0051"/>
            </w:r>
            <w:r>
              <w:rPr>
                <w:rFonts w:hint="eastAsia"/>
                <w:color w:val="auto"/>
                <w:kern w:val="2"/>
                <w:sz w:val="21"/>
                <w:szCs w:val="21"/>
                <w:highlight w:val="none"/>
                <w:lang w:val="en-US" w:eastAsia="zh-CN"/>
              </w:rPr>
              <w:t>固定总价</w:t>
            </w:r>
          </w:p>
          <w:p>
            <w:pPr>
              <w:pStyle w:val="8"/>
              <w:topLinePunct/>
              <w:spacing w:line="400" w:lineRule="exact"/>
              <w:rPr>
                <w:color w:val="auto"/>
                <w:kern w:val="2"/>
                <w:sz w:val="21"/>
                <w:szCs w:val="21"/>
                <w:highlight w:val="none"/>
                <w:lang w:val="en-US" w:eastAsia="zh-CN"/>
              </w:rPr>
            </w:pPr>
            <w:r>
              <w:rPr>
                <w:rFonts w:hint="eastAsia" w:ascii="宋体" w:hAnsi="宋体"/>
                <w:strike w:val="0"/>
                <w:color w:val="auto"/>
                <w:szCs w:val="21"/>
                <w:highlight w:val="none"/>
              </w:rPr>
              <w:sym w:font="Wingdings 2" w:char="0051"/>
            </w:r>
            <w:r>
              <w:rPr>
                <w:rFonts w:hint="eastAsia"/>
                <w:color w:val="auto"/>
                <w:kern w:val="2"/>
                <w:sz w:val="21"/>
                <w:szCs w:val="21"/>
                <w:highlight w:val="none"/>
                <w:lang w:val="en-US" w:eastAsia="zh-CN"/>
              </w:rPr>
              <w:t>综合单价</w:t>
            </w:r>
          </w:p>
          <w:p>
            <w:pPr>
              <w:spacing w:before="120" w:beforeLines="50" w:line="360" w:lineRule="auto"/>
              <w:contextualSpacing/>
              <w:rPr>
                <w:rFonts w:hint="eastAsia"/>
                <w:color w:val="auto"/>
                <w:szCs w:val="21"/>
                <w:highlight w:val="none"/>
                <w:u w:val="single"/>
              </w:rPr>
            </w:pPr>
            <w:r>
              <w:rPr>
                <w:rFonts w:hint="eastAsia" w:ascii="宋体" w:hAnsi="宋体"/>
                <w:color w:val="auto"/>
                <w:szCs w:val="21"/>
                <w:highlight w:val="none"/>
              </w:rPr>
              <w:sym w:font="Wingdings 2" w:char="0052"/>
            </w:r>
            <w:r>
              <w:rPr>
                <w:rFonts w:hint="eastAsia"/>
                <w:color w:val="auto"/>
                <w:szCs w:val="21"/>
                <w:highlight w:val="none"/>
              </w:rPr>
              <w:t>其他：</w:t>
            </w:r>
            <w:r>
              <w:rPr>
                <w:rFonts w:hint="eastAsia"/>
                <w:color w:val="auto"/>
                <w:szCs w:val="21"/>
                <w:highlight w:val="none"/>
                <w:u w:val="single"/>
              </w:rPr>
              <w:t>包工、包料（除甲供材料外）、包安装、包工期、包质量、采取有效措施不发生安全事故、包文明施工、包劳保、包验收、包保修。包进场施工前的场地交接；包承包范围内工程验收通过、包移交、包结算、包资料整理、包施工承包管理和现场整体组织、包专业协调及配合等。</w:t>
            </w:r>
          </w:p>
          <w:p>
            <w:pPr>
              <w:spacing w:before="120" w:beforeLines="50" w:line="360" w:lineRule="auto"/>
              <w:contextualSpacing/>
              <w:rPr>
                <w:color w:val="auto"/>
                <w:szCs w:val="21"/>
                <w:highlight w:val="none"/>
              </w:rPr>
            </w:pPr>
            <w:r>
              <w:rPr>
                <w:rFonts w:hint="eastAsia"/>
                <w:color w:val="auto"/>
                <w:szCs w:val="21"/>
                <w:highlight w:val="none"/>
                <w:u w:val="single"/>
              </w:rPr>
              <w:t>本工程采用的计税方式为：</w:t>
            </w:r>
            <w:r>
              <w:rPr>
                <w:rFonts w:hint="eastAsia"/>
                <w:color w:val="auto"/>
                <w:szCs w:val="21"/>
                <w:highlight w:val="none"/>
                <w:u w:val="single"/>
                <w:lang w:val="en-US" w:eastAsia="zh-CN"/>
              </w:rPr>
              <w:t>简易</w:t>
            </w:r>
            <w:r>
              <w:rPr>
                <w:rFonts w:hint="eastAsia"/>
                <w:color w:val="auto"/>
                <w:szCs w:val="21"/>
                <w:highlight w:val="none"/>
                <w:u w:val="single"/>
              </w:rPr>
              <w:t>计税。</w:t>
            </w:r>
          </w:p>
        </w:tc>
      </w:tr>
      <w:tr>
        <w:tblPrEx>
          <w:tblCellMar>
            <w:top w:w="0" w:type="dxa"/>
            <w:left w:w="108" w:type="dxa"/>
            <w:bottom w:w="0" w:type="dxa"/>
            <w:right w:w="108" w:type="dxa"/>
          </w:tblCellMar>
        </w:tblPrEx>
        <w:trPr>
          <w:trHeight w:val="1692" w:hRule="atLeast"/>
        </w:trPr>
        <w:tc>
          <w:tcPr>
            <w:tcW w:w="129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60" w:name="_Toc221950045"/>
            <w:r>
              <w:rPr>
                <w:rFonts w:hint="eastAsia"/>
                <w:color w:val="auto"/>
                <w:szCs w:val="21"/>
                <w:highlight w:val="none"/>
              </w:rPr>
              <w:t>1.4.1</w:t>
            </w:r>
            <w:bookmarkEnd w:id="160"/>
          </w:p>
        </w:tc>
        <w:tc>
          <w:tcPr>
            <w:tcW w:w="2192"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left"/>
              <w:rPr>
                <w:rFonts w:ascii="宋体" w:hAnsi="宋体"/>
                <w:color w:val="auto"/>
                <w:szCs w:val="21"/>
                <w:highlight w:val="none"/>
              </w:rPr>
            </w:pPr>
            <w:bookmarkStart w:id="161" w:name="_Toc221950046"/>
            <w:r>
              <w:rPr>
                <w:rFonts w:hint="eastAsia" w:ascii="宋体" w:hAnsi="宋体"/>
                <w:color w:val="auto"/>
                <w:szCs w:val="21"/>
                <w:highlight w:val="none"/>
              </w:rPr>
              <w:t>投标人资质条件、能力、信誉</w:t>
            </w:r>
            <w:bookmarkEnd w:id="161"/>
            <w:r>
              <w:rPr>
                <w:rFonts w:hint="eastAsia" w:ascii="宋体" w:hAnsi="宋体"/>
                <w:color w:val="auto"/>
                <w:szCs w:val="21"/>
                <w:highlight w:val="none"/>
              </w:rPr>
              <w:t>（须同招标公告一致）</w:t>
            </w:r>
          </w:p>
        </w:tc>
        <w:tc>
          <w:tcPr>
            <w:tcW w:w="5038" w:type="dxa"/>
            <w:tcBorders>
              <w:top w:val="single" w:color="auto" w:sz="4" w:space="0"/>
              <w:left w:val="single" w:color="auto" w:sz="4" w:space="0"/>
              <w:right w:val="single" w:color="auto" w:sz="4" w:space="0"/>
            </w:tcBorders>
            <w:noWrap w:val="0"/>
            <w:vAlign w:val="center"/>
          </w:tcPr>
          <w:p>
            <w:pPr>
              <w:pStyle w:val="5"/>
              <w:ind w:firstLine="420"/>
              <w:rPr>
                <w:b w:val="0"/>
                <w:bCs/>
                <w:color w:val="auto"/>
                <w:sz w:val="21"/>
                <w:szCs w:val="21"/>
                <w:highlight w:val="none"/>
              </w:rPr>
            </w:pPr>
            <w:r>
              <w:rPr>
                <w:rFonts w:hint="eastAsia"/>
                <w:color w:val="auto"/>
                <w:sz w:val="21"/>
                <w:szCs w:val="21"/>
                <w:highlight w:val="none"/>
              </w:rPr>
              <w:t>详见</w:t>
            </w:r>
            <w:r>
              <w:rPr>
                <w:rFonts w:hint="eastAsia"/>
                <w:color w:val="auto"/>
                <w:sz w:val="21"/>
                <w:szCs w:val="21"/>
                <w:highlight w:val="none"/>
                <w:lang w:eastAsia="zh-CN"/>
              </w:rPr>
              <w:t>本项目</w:t>
            </w:r>
            <w:r>
              <w:rPr>
                <w:rFonts w:hint="eastAsia"/>
                <w:color w:val="auto"/>
                <w:sz w:val="21"/>
                <w:szCs w:val="21"/>
                <w:highlight w:val="none"/>
              </w:rPr>
              <w:t>招标公告</w:t>
            </w:r>
          </w:p>
        </w:tc>
      </w:tr>
      <w:tr>
        <w:tblPrEx>
          <w:tblCellMar>
            <w:top w:w="0" w:type="dxa"/>
            <w:left w:w="108" w:type="dxa"/>
            <w:bottom w:w="0" w:type="dxa"/>
            <w:right w:w="108" w:type="dxa"/>
          </w:tblCellMar>
        </w:tblPrEx>
        <w:trPr>
          <w:trHeight w:val="450"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r>
              <w:rPr>
                <w:rFonts w:hint="eastAsia"/>
                <w:color w:val="auto"/>
                <w:szCs w:val="21"/>
                <w:highlight w:val="none"/>
              </w:rPr>
              <w:t>1.4.2</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是否接受联合体投标</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color w:val="auto"/>
                <w:szCs w:val="21"/>
                <w:highlight w:val="none"/>
              </w:rPr>
            </w:pPr>
            <w:r>
              <w:rPr>
                <w:rFonts w:hint="eastAsia" w:ascii="宋体" w:hAnsi="宋体"/>
                <w:color w:val="auto"/>
                <w:szCs w:val="21"/>
                <w:highlight w:val="none"/>
              </w:rPr>
              <w:sym w:font="Wingdings 2" w:char="0052"/>
            </w:r>
            <w:r>
              <w:rPr>
                <w:rFonts w:hint="eastAsia" w:ascii="宋体" w:hAnsi="宋体"/>
                <w:color w:val="auto"/>
                <w:szCs w:val="21"/>
                <w:highlight w:val="none"/>
              </w:rPr>
              <w:t>不接受</w:t>
            </w:r>
          </w:p>
          <w:p>
            <w:pPr>
              <w:spacing w:before="120" w:beforeLines="50" w:line="360" w:lineRule="auto"/>
              <w:contextualSpacing/>
              <w:rPr>
                <w:color w:val="auto"/>
                <w:szCs w:val="21"/>
                <w:highlight w:val="none"/>
              </w:rPr>
            </w:pPr>
            <w:r>
              <w:rPr>
                <w:rFonts w:hint="eastAsia" w:ascii="宋体" w:hAnsi="宋体"/>
                <w:strike w:val="0"/>
                <w:color w:val="auto"/>
                <w:szCs w:val="21"/>
                <w:highlight w:val="none"/>
              </w:rPr>
              <w:sym w:font="Wingdings 2" w:char="0051"/>
            </w:r>
            <w:r>
              <w:rPr>
                <w:rFonts w:hint="eastAsia" w:ascii="宋体" w:hAnsi="宋体"/>
                <w:color w:val="auto"/>
                <w:szCs w:val="21"/>
                <w:highlight w:val="none"/>
              </w:rPr>
              <w:t>接受，应满足下列要求：_________________</w:t>
            </w:r>
          </w:p>
        </w:tc>
      </w:tr>
      <w:tr>
        <w:tblPrEx>
          <w:tblCellMar>
            <w:top w:w="0" w:type="dxa"/>
            <w:left w:w="108" w:type="dxa"/>
            <w:bottom w:w="0" w:type="dxa"/>
            <w:right w:w="108" w:type="dxa"/>
          </w:tblCellMar>
        </w:tblPrEx>
        <w:trPr>
          <w:trHeight w:val="70" w:hRule="atLeast"/>
        </w:trPr>
        <w:tc>
          <w:tcPr>
            <w:tcW w:w="129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p>
        </w:tc>
        <w:tc>
          <w:tcPr>
            <w:tcW w:w="2192"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资格审查方式</w:t>
            </w:r>
          </w:p>
        </w:tc>
        <w:tc>
          <w:tcPr>
            <w:tcW w:w="5038" w:type="dxa"/>
            <w:tcBorders>
              <w:top w:val="single" w:color="auto" w:sz="4" w:space="0"/>
              <w:left w:val="single" w:color="auto" w:sz="4" w:space="0"/>
              <w:right w:val="single" w:color="auto" w:sz="4" w:space="0"/>
            </w:tcBorders>
            <w:noWrap w:val="0"/>
            <w:vAlign w:val="center"/>
          </w:tcPr>
          <w:p>
            <w:pPr>
              <w:pStyle w:val="8"/>
              <w:topLinePunct/>
              <w:spacing w:before="120" w:beforeLines="50" w:after="0" w:line="360" w:lineRule="auto"/>
              <w:contextualSpacing/>
              <w:rPr>
                <w:color w:val="auto"/>
                <w:kern w:val="2"/>
                <w:sz w:val="21"/>
                <w:szCs w:val="21"/>
                <w:highlight w:val="none"/>
                <w:lang w:val="en-US" w:eastAsia="zh-CN"/>
              </w:rPr>
            </w:pPr>
            <w:r>
              <w:rPr>
                <w:rFonts w:hint="eastAsia"/>
                <w:color w:val="auto"/>
                <w:kern w:val="2"/>
                <w:sz w:val="21"/>
                <w:szCs w:val="21"/>
                <w:highlight w:val="none"/>
                <w:lang w:val="en-US" w:eastAsia="zh-CN"/>
              </w:rPr>
              <w:t>资格后审</w:t>
            </w:r>
          </w:p>
        </w:tc>
      </w:tr>
      <w:tr>
        <w:tblPrEx>
          <w:tblCellMar>
            <w:top w:w="0" w:type="dxa"/>
            <w:left w:w="108" w:type="dxa"/>
            <w:bottom w:w="0" w:type="dxa"/>
            <w:right w:w="108" w:type="dxa"/>
          </w:tblCellMar>
        </w:tblPrEx>
        <w:trPr>
          <w:trHeight w:val="70" w:hRule="atLeast"/>
        </w:trPr>
        <w:tc>
          <w:tcPr>
            <w:tcW w:w="1298" w:type="dxa"/>
            <w:tcBorders>
              <w:top w:val="single" w:color="auto" w:sz="4" w:space="0"/>
              <w:left w:val="single" w:color="auto" w:sz="4" w:space="0"/>
              <w:right w:val="single" w:color="auto" w:sz="4" w:space="0"/>
            </w:tcBorders>
            <w:noWrap w:val="0"/>
            <w:vAlign w:val="center"/>
          </w:tcPr>
          <w:p>
            <w:pPr>
              <w:spacing w:line="440" w:lineRule="exact"/>
              <w:jc w:val="center"/>
              <w:rPr>
                <w:color w:val="auto"/>
                <w:szCs w:val="21"/>
                <w:highlight w:val="none"/>
              </w:rPr>
            </w:pPr>
            <w:r>
              <w:rPr>
                <w:color w:val="auto"/>
                <w:szCs w:val="21"/>
                <w:highlight w:val="none"/>
              </w:rPr>
              <w:t>1.</w:t>
            </w:r>
            <w:r>
              <w:rPr>
                <w:rFonts w:hint="eastAsia"/>
                <w:color w:val="auto"/>
                <w:szCs w:val="21"/>
                <w:highlight w:val="none"/>
              </w:rPr>
              <w:t>9</w:t>
            </w:r>
            <w:r>
              <w:rPr>
                <w:color w:val="auto"/>
                <w:szCs w:val="21"/>
                <w:highlight w:val="none"/>
              </w:rPr>
              <w:t>.1</w:t>
            </w:r>
          </w:p>
        </w:tc>
        <w:tc>
          <w:tcPr>
            <w:tcW w:w="2192" w:type="dxa"/>
            <w:tcBorders>
              <w:top w:val="single" w:color="auto" w:sz="4" w:space="0"/>
              <w:left w:val="single" w:color="auto" w:sz="4" w:space="0"/>
              <w:right w:val="single" w:color="auto" w:sz="4" w:space="0"/>
            </w:tcBorders>
            <w:noWrap w:val="0"/>
            <w:vAlign w:val="center"/>
          </w:tcPr>
          <w:p>
            <w:pPr>
              <w:spacing w:line="440" w:lineRule="exact"/>
              <w:rPr>
                <w:color w:val="auto"/>
                <w:szCs w:val="21"/>
                <w:highlight w:val="none"/>
              </w:rPr>
            </w:pPr>
            <w:r>
              <w:rPr>
                <w:rFonts w:hint="eastAsia"/>
                <w:color w:val="auto"/>
                <w:szCs w:val="21"/>
                <w:highlight w:val="none"/>
              </w:rPr>
              <w:t>踏勘现场</w:t>
            </w:r>
          </w:p>
        </w:tc>
        <w:tc>
          <w:tcPr>
            <w:tcW w:w="5038" w:type="dxa"/>
            <w:tcBorders>
              <w:top w:val="single" w:color="auto" w:sz="4" w:space="0"/>
              <w:left w:val="single" w:color="auto" w:sz="4" w:space="0"/>
              <w:right w:val="single" w:color="auto" w:sz="4" w:space="0"/>
            </w:tcBorders>
            <w:noWrap w:val="0"/>
            <w:vAlign w:val="center"/>
          </w:tcPr>
          <w:p>
            <w:pPr>
              <w:spacing w:line="440" w:lineRule="exact"/>
              <w:rPr>
                <w:color w:val="auto"/>
                <w:szCs w:val="21"/>
                <w:highlight w:val="none"/>
              </w:rPr>
            </w:pPr>
            <w:r>
              <w:rPr>
                <w:rFonts w:hint="eastAsia"/>
                <w:color w:val="auto"/>
                <w:szCs w:val="21"/>
                <w:highlight w:val="none"/>
              </w:rPr>
              <w:t>招标人不集中组织，由投标人自行踏勘；</w:t>
            </w:r>
          </w:p>
          <w:p>
            <w:pPr>
              <w:spacing w:line="440" w:lineRule="exact"/>
              <w:rPr>
                <w:color w:val="auto"/>
                <w:szCs w:val="21"/>
                <w:highlight w:val="none"/>
              </w:rPr>
            </w:pPr>
            <w:r>
              <w:rPr>
                <w:rFonts w:hint="eastAsia"/>
                <w:color w:val="auto"/>
                <w:szCs w:val="21"/>
                <w:highlight w:val="none"/>
              </w:rPr>
              <w:t>时间：自</w:t>
            </w:r>
            <w:r>
              <w:rPr>
                <w:rFonts w:hint="eastAsia" w:ascii="宋体" w:hAnsi="宋体" w:eastAsia="宋体" w:cs="宋体"/>
                <w:color w:val="auto"/>
                <w:szCs w:val="21"/>
                <w:highlight w:val="none"/>
                <w:u w:val="single"/>
              </w:rPr>
              <w:t>公告发布之</w:t>
            </w:r>
            <w:r>
              <w:rPr>
                <w:rFonts w:hint="eastAsia" w:ascii="宋体" w:hAnsi="宋体" w:eastAsia="宋体" w:cs="宋体"/>
                <w:color w:val="auto"/>
                <w:szCs w:val="21"/>
                <w:highlight w:val="none"/>
              </w:rPr>
              <w:t>日</w:t>
            </w:r>
            <w:r>
              <w:rPr>
                <w:rFonts w:hint="eastAsia"/>
                <w:color w:val="auto"/>
                <w:szCs w:val="21"/>
                <w:highlight w:val="none"/>
              </w:rPr>
              <w:t>起具备现场踏勘条件；</w:t>
            </w:r>
          </w:p>
          <w:p>
            <w:pPr>
              <w:spacing w:line="440" w:lineRule="exact"/>
              <w:rPr>
                <w:color w:val="auto"/>
                <w:szCs w:val="21"/>
                <w:highlight w:val="none"/>
              </w:rPr>
            </w:pPr>
            <w:r>
              <w:rPr>
                <w:rFonts w:hint="eastAsia"/>
                <w:color w:val="auto"/>
                <w:szCs w:val="21"/>
                <w:highlight w:val="none"/>
              </w:rPr>
              <w:t>现场详细地点：</w:t>
            </w:r>
            <w:r>
              <w:rPr>
                <w:rFonts w:hint="eastAsia"/>
                <w:color w:val="auto"/>
                <w:szCs w:val="21"/>
                <w:highlight w:val="none"/>
                <w:lang w:val="en-US" w:eastAsia="zh-CN"/>
              </w:rPr>
              <w:t>广州市</w:t>
            </w:r>
            <w:r>
              <w:rPr>
                <w:rFonts w:hint="eastAsia"/>
                <w:color w:val="auto"/>
                <w:szCs w:val="21"/>
                <w:highlight w:val="none"/>
              </w:rPr>
              <w:t>；</w:t>
            </w:r>
          </w:p>
        </w:tc>
      </w:tr>
      <w:tr>
        <w:tblPrEx>
          <w:tblCellMar>
            <w:top w:w="0" w:type="dxa"/>
            <w:left w:w="108" w:type="dxa"/>
            <w:bottom w:w="0" w:type="dxa"/>
            <w:right w:w="108" w:type="dxa"/>
          </w:tblCellMar>
        </w:tblPrEx>
        <w:trPr>
          <w:trHeight w:val="465"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r>
              <w:rPr>
                <w:rFonts w:hint="eastAsia"/>
                <w:color w:val="auto"/>
                <w:szCs w:val="21"/>
                <w:highlight w:val="none"/>
              </w:rPr>
              <w:t>1.11</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偏离</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color w:val="auto"/>
                <w:szCs w:val="21"/>
                <w:highlight w:val="none"/>
              </w:rPr>
            </w:pPr>
            <w:r>
              <w:rPr>
                <w:rFonts w:hint="eastAsia"/>
                <w:color w:val="auto"/>
                <w:szCs w:val="21"/>
                <w:highlight w:val="none"/>
              </w:rPr>
              <w:t>偏离允许幅度及其处理方法：不允许偏离。</w:t>
            </w:r>
          </w:p>
        </w:tc>
      </w:tr>
      <w:tr>
        <w:tblPrEx>
          <w:tblCellMar>
            <w:top w:w="0" w:type="dxa"/>
            <w:left w:w="108" w:type="dxa"/>
            <w:bottom w:w="0" w:type="dxa"/>
            <w:right w:w="108" w:type="dxa"/>
          </w:tblCellMar>
        </w:tblPrEx>
        <w:trPr>
          <w:trHeight w:val="450"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r>
              <w:rPr>
                <w:rFonts w:hint="eastAsia"/>
                <w:color w:val="auto"/>
                <w:szCs w:val="21"/>
                <w:highlight w:val="none"/>
              </w:rPr>
              <w:t>2.2</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招标答疑</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56" w:beforeLines="50" w:line="360" w:lineRule="auto"/>
              <w:contextualSpacing/>
              <w:rPr>
                <w:rFonts w:ascii="宋体" w:hAnsi="宋体"/>
                <w:color w:val="auto"/>
                <w:szCs w:val="21"/>
                <w:highlight w:val="none"/>
              </w:rPr>
            </w:pPr>
            <w:r>
              <w:rPr>
                <w:rFonts w:hint="eastAsia" w:ascii="宋体" w:hAnsi="宋体"/>
                <w:color w:val="auto"/>
                <w:szCs w:val="21"/>
                <w:highlight w:val="none"/>
              </w:rPr>
              <w:t>疑问提交时间：在投标截止</w:t>
            </w:r>
            <w:r>
              <w:rPr>
                <w:rFonts w:hint="eastAsia" w:ascii="宋体" w:hAnsi="宋体"/>
                <w:color w:val="auto"/>
                <w:szCs w:val="21"/>
                <w:highlight w:val="none"/>
                <w:lang w:val="en-US" w:eastAsia="zh-CN"/>
              </w:rPr>
              <w:t>时间</w:t>
            </w:r>
            <w:r>
              <w:rPr>
                <w:rFonts w:hint="eastAsia" w:ascii="宋体" w:hAnsi="宋体"/>
                <w:color w:val="auto"/>
                <w:szCs w:val="21"/>
                <w:highlight w:val="none"/>
              </w:rPr>
              <w:t>15日前；</w:t>
            </w:r>
          </w:p>
          <w:p>
            <w:pPr>
              <w:spacing w:before="156" w:beforeLines="50" w:line="360" w:lineRule="auto"/>
              <w:contextualSpacing/>
              <w:rPr>
                <w:rFonts w:ascii="宋体" w:hAnsi="宋体"/>
                <w:color w:val="auto"/>
                <w:szCs w:val="21"/>
                <w:highlight w:val="none"/>
              </w:rPr>
            </w:pPr>
            <w:r>
              <w:rPr>
                <w:rFonts w:hint="eastAsia" w:ascii="宋体" w:hAnsi="宋体"/>
                <w:color w:val="auto"/>
                <w:szCs w:val="21"/>
                <w:highlight w:val="none"/>
              </w:rPr>
              <w:t>形式：投标人的疑问通过</w:t>
            </w:r>
            <w:r>
              <w:rPr>
                <w:rFonts w:hint="eastAsia" w:ascii="宋体" w:hAnsi="宋体"/>
                <w:color w:val="auto"/>
                <w:szCs w:val="21"/>
                <w:highlight w:val="none"/>
                <w:lang w:eastAsia="zh-CN"/>
              </w:rPr>
              <w:t>广州交易集团有限公司（广州公共资源交易中心）网站</w:t>
            </w:r>
            <w:r>
              <w:rPr>
                <w:rFonts w:hint="eastAsia" w:ascii="宋体" w:hAnsi="宋体"/>
                <w:color w:val="auto"/>
                <w:szCs w:val="21"/>
                <w:highlight w:val="none"/>
              </w:rPr>
              <w:t>提交。</w:t>
            </w:r>
          </w:p>
          <w:p>
            <w:pPr>
              <w:spacing w:before="120" w:beforeLines="50" w:line="360" w:lineRule="auto"/>
              <w:contextualSpacing/>
              <w:rPr>
                <w:color w:val="auto"/>
                <w:szCs w:val="21"/>
                <w:highlight w:val="none"/>
              </w:rPr>
            </w:pPr>
            <w:r>
              <w:rPr>
                <w:rFonts w:hint="eastAsia" w:ascii="宋体" w:hAnsi="宋体"/>
                <w:color w:val="auto"/>
                <w:szCs w:val="21"/>
                <w:highlight w:val="none"/>
              </w:rPr>
              <w:t>具体要求：按照</w:t>
            </w:r>
            <w:r>
              <w:rPr>
                <w:rFonts w:hint="eastAsia" w:ascii="宋体" w:hAnsi="宋体"/>
                <w:color w:val="auto"/>
                <w:szCs w:val="21"/>
                <w:highlight w:val="none"/>
                <w:lang w:eastAsia="zh-CN"/>
              </w:rPr>
              <w:t>广州交易集团有限公司（广州公共资源交易中心）网站</w:t>
            </w:r>
            <w:r>
              <w:rPr>
                <w:rFonts w:hint="eastAsia" w:ascii="宋体" w:hAnsi="宋体"/>
                <w:color w:val="auto"/>
                <w:szCs w:val="21"/>
                <w:highlight w:val="none"/>
              </w:rPr>
              <w:t>关于全流程电子化项目的相关指南进行操作，提问一律不得署名。</w:t>
            </w:r>
          </w:p>
        </w:tc>
      </w:tr>
      <w:tr>
        <w:tblPrEx>
          <w:tblCellMar>
            <w:top w:w="0" w:type="dxa"/>
            <w:left w:w="108" w:type="dxa"/>
            <w:bottom w:w="0" w:type="dxa"/>
            <w:right w:w="108" w:type="dxa"/>
          </w:tblCellMar>
        </w:tblPrEx>
        <w:trPr>
          <w:trHeight w:val="450"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rFonts w:hint="eastAsia"/>
                <w:color w:val="auto"/>
                <w:szCs w:val="21"/>
                <w:highlight w:val="none"/>
              </w:rPr>
            </w:pPr>
            <w:r>
              <w:rPr>
                <w:rFonts w:hint="eastAsia"/>
                <w:color w:val="auto"/>
                <w:szCs w:val="21"/>
                <w:highlight w:val="none"/>
              </w:rPr>
              <w:t>2.3</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rFonts w:hint="eastAsia"/>
                <w:color w:val="auto"/>
                <w:szCs w:val="21"/>
                <w:highlight w:val="none"/>
              </w:rPr>
            </w:pPr>
            <w:r>
              <w:rPr>
                <w:rFonts w:hint="eastAsia"/>
                <w:color w:val="auto"/>
                <w:szCs w:val="21"/>
                <w:highlight w:val="none"/>
              </w:rPr>
              <w:t>招标文件</w:t>
            </w:r>
            <w:r>
              <w:rPr>
                <w:rFonts w:hint="eastAsia"/>
                <w:color w:val="auto"/>
                <w:szCs w:val="21"/>
                <w:highlight w:val="none"/>
                <w:lang w:eastAsia="zh-CN"/>
              </w:rPr>
              <w:t>的</w:t>
            </w:r>
            <w:r>
              <w:rPr>
                <w:rFonts w:hint="eastAsia"/>
                <w:color w:val="auto"/>
                <w:szCs w:val="21"/>
                <w:highlight w:val="none"/>
              </w:rPr>
              <w:t>澄清和修改</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rFonts w:hint="eastAsia" w:ascii="宋体" w:hAnsi="宋体"/>
                <w:color w:val="auto"/>
                <w:szCs w:val="21"/>
                <w:highlight w:val="none"/>
              </w:rPr>
            </w:pPr>
            <w:r>
              <w:rPr>
                <w:rFonts w:hint="eastAsia" w:ascii="宋体" w:hAnsi="宋体"/>
                <w:color w:val="auto"/>
                <w:szCs w:val="21"/>
                <w:highlight w:val="none"/>
              </w:rPr>
              <w:t>招标文件的修改期限：在投标截止时间</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15</w:t>
            </w:r>
            <w:r>
              <w:rPr>
                <w:rFonts w:hint="eastAsia" w:ascii="宋体" w:hAnsi="宋体"/>
                <w:color w:val="auto"/>
                <w:szCs w:val="21"/>
                <w:highlight w:val="none"/>
                <w:u w:val="single"/>
              </w:rPr>
              <w:t xml:space="preserve"> </w:t>
            </w:r>
            <w:r>
              <w:rPr>
                <w:rFonts w:hint="eastAsia" w:ascii="宋体" w:hAnsi="宋体"/>
                <w:color w:val="auto"/>
                <w:szCs w:val="21"/>
                <w:highlight w:val="none"/>
              </w:rPr>
              <w:t>天前</w:t>
            </w:r>
          </w:p>
        </w:tc>
      </w:tr>
      <w:tr>
        <w:tblPrEx>
          <w:tblCellMar>
            <w:top w:w="0" w:type="dxa"/>
            <w:left w:w="108" w:type="dxa"/>
            <w:bottom w:w="0" w:type="dxa"/>
            <w:right w:w="108" w:type="dxa"/>
          </w:tblCellMar>
        </w:tblPrEx>
        <w:trPr>
          <w:trHeight w:val="465"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r>
              <w:rPr>
                <w:rFonts w:hint="eastAsia"/>
                <w:color w:val="auto"/>
                <w:szCs w:val="21"/>
                <w:highlight w:val="none"/>
              </w:rPr>
              <w:t>3.1</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投标文件的组成</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rFonts w:hint="eastAsia"/>
                <w:color w:val="auto"/>
                <w:szCs w:val="21"/>
                <w:highlight w:val="none"/>
              </w:rPr>
            </w:pPr>
            <w:r>
              <w:rPr>
                <w:rFonts w:hint="eastAsia"/>
                <w:color w:val="auto"/>
                <w:szCs w:val="21"/>
                <w:highlight w:val="none"/>
              </w:rPr>
              <w:t>采用综合评估法一：投标文件由资格审查文件、商务文件和技术文件组成。</w:t>
            </w:r>
          </w:p>
        </w:tc>
      </w:tr>
      <w:tr>
        <w:tblPrEx>
          <w:tblCellMar>
            <w:top w:w="0" w:type="dxa"/>
            <w:left w:w="108" w:type="dxa"/>
            <w:bottom w:w="0" w:type="dxa"/>
            <w:right w:w="108" w:type="dxa"/>
          </w:tblCellMar>
        </w:tblPrEx>
        <w:trPr>
          <w:trHeight w:val="429"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r>
              <w:rPr>
                <w:rFonts w:hint="eastAsia"/>
                <w:color w:val="auto"/>
                <w:szCs w:val="21"/>
                <w:highlight w:val="none"/>
              </w:rPr>
              <w:t>3.2.3</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最高投标限价</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0" w:firstLineChars="0"/>
              <w:contextualSpacing/>
              <w:jc w:val="left"/>
              <w:rPr>
                <w:rFonts w:hint="eastAsia"/>
                <w:color w:val="auto"/>
                <w:highlight w:val="none"/>
              </w:rPr>
            </w:pPr>
            <w:r>
              <w:rPr>
                <w:rFonts w:hint="eastAsia"/>
                <w:color w:val="auto"/>
                <w:highlight w:val="none"/>
              </w:rPr>
              <w:t>本工程最高投标限价为人民</w:t>
            </w:r>
            <w:r>
              <w:rPr>
                <w:rFonts w:hint="eastAsia"/>
                <w:color w:val="auto"/>
                <w:highlight w:val="none"/>
                <w:lang w:eastAsia="zh-CN"/>
              </w:rPr>
              <w:t>币</w:t>
            </w:r>
            <w:r>
              <w:rPr>
                <w:rFonts w:hint="eastAsia"/>
                <w:color w:val="auto"/>
                <w:highlight w:val="none"/>
                <w:lang w:val="en-US" w:eastAsia="zh-CN"/>
              </w:rPr>
              <w:t>15409571.40</w:t>
            </w:r>
            <w:r>
              <w:rPr>
                <w:rFonts w:hint="default" w:ascii="Times New Roman" w:hAnsi="Times New Roman"/>
                <w:color w:val="auto"/>
                <w:szCs w:val="22"/>
                <w:highlight w:val="none"/>
              </w:rPr>
              <w:t>元</w:t>
            </w:r>
            <w:r>
              <w:rPr>
                <w:rFonts w:hint="eastAsia"/>
                <w:color w:val="auto"/>
                <w:highlight w:val="none"/>
                <w:lang w:eastAsia="zh-CN"/>
              </w:rPr>
              <w:t>。</w:t>
            </w:r>
            <w:r>
              <w:rPr>
                <w:rFonts w:hint="eastAsia"/>
                <w:color w:val="auto"/>
                <w:highlight w:val="none"/>
              </w:rPr>
              <w:t>其中：①南洲水厂排泥水处理系统建设工程自控与安防工程：绿色施工安全防护措施费为</w:t>
            </w:r>
            <w:r>
              <w:rPr>
                <w:rFonts w:hint="eastAsia" w:ascii="Times New Roman" w:hAnsi="Times New Roman" w:cs="Times New Roman"/>
                <w:color w:val="auto"/>
                <w:highlight w:val="none"/>
                <w:lang w:val="en-US" w:eastAsia="zh-CN"/>
              </w:rPr>
              <w:t>165,372.88</w:t>
            </w:r>
            <w:r>
              <w:rPr>
                <w:rFonts w:hint="eastAsia"/>
                <w:color w:val="auto"/>
                <w:highlight w:val="none"/>
              </w:rPr>
              <w:t>元，暂列金额为</w:t>
            </w:r>
            <w:r>
              <w:rPr>
                <w:rFonts w:hint="eastAsia" w:ascii="Times New Roman" w:hAnsi="Times New Roman" w:cs="Times New Roman"/>
                <w:color w:val="auto"/>
                <w:highlight w:val="none"/>
                <w:lang w:val="en-US" w:eastAsia="zh-CN"/>
              </w:rPr>
              <w:t>455243.34</w:t>
            </w:r>
            <w:r>
              <w:rPr>
                <w:rFonts w:hint="eastAsia" w:ascii="Times New Roman" w:hAnsi="Times New Roman" w:cs="Times New Roman"/>
                <w:color w:val="auto"/>
                <w:highlight w:val="none"/>
              </w:rPr>
              <w:t>元</w:t>
            </w:r>
            <w:r>
              <w:rPr>
                <w:rFonts w:hint="eastAsia"/>
                <w:color w:val="auto"/>
                <w:highlight w:val="none"/>
              </w:rPr>
              <w:t>，暂估价为</w:t>
            </w:r>
            <w:r>
              <w:rPr>
                <w:rFonts w:hint="eastAsia"/>
                <w:color w:val="auto"/>
                <w:highlight w:val="none"/>
                <w:lang w:val="en-US" w:eastAsia="zh-CN"/>
              </w:rPr>
              <w:t>/</w:t>
            </w:r>
            <w:r>
              <w:rPr>
                <w:rFonts w:hint="eastAsia"/>
                <w:color w:val="auto"/>
                <w:highlight w:val="none"/>
              </w:rPr>
              <w:t>元；</w:t>
            </w:r>
          </w:p>
          <w:p>
            <w:pPr>
              <w:spacing w:before="0" w:beforeLines="-2147483648" w:line="360" w:lineRule="auto"/>
              <w:ind w:firstLine="0" w:firstLineChars="0"/>
              <w:contextualSpacing/>
              <w:jc w:val="left"/>
              <w:rPr>
                <w:rFonts w:hint="eastAsia"/>
                <w:color w:val="auto"/>
                <w:highlight w:val="none"/>
              </w:rPr>
            </w:pPr>
            <w:r>
              <w:rPr>
                <w:rFonts w:hint="eastAsia"/>
                <w:color w:val="auto"/>
                <w:highlight w:val="none"/>
              </w:rPr>
              <w:t>②南洲水厂新增20万m³/d产能(常规工艺)建设工程自控与安防</w:t>
            </w:r>
            <w:r>
              <w:rPr>
                <w:rFonts w:hint="eastAsia" w:ascii="Times New Roman" w:hAnsi="Times New Roman" w:cs="Times New Roman"/>
                <w:color w:val="auto"/>
                <w:highlight w:val="none"/>
              </w:rPr>
              <w:t>工程：绿色施工安全防护措施费为</w:t>
            </w:r>
            <w:r>
              <w:rPr>
                <w:rFonts w:hint="eastAsia" w:ascii="Times New Roman" w:hAnsi="Times New Roman" w:cs="Times New Roman"/>
                <w:color w:val="auto"/>
                <w:highlight w:val="none"/>
                <w:lang w:val="en-US" w:eastAsia="zh-CN"/>
              </w:rPr>
              <w:t>284,159.72</w:t>
            </w:r>
            <w:r>
              <w:rPr>
                <w:rFonts w:hint="eastAsia" w:ascii="Times New Roman" w:hAnsi="Times New Roman" w:cs="Times New Roman"/>
                <w:color w:val="auto"/>
                <w:highlight w:val="none"/>
              </w:rPr>
              <w:t>元，暂列金额为</w:t>
            </w:r>
            <w:r>
              <w:rPr>
                <w:rFonts w:hint="eastAsia" w:ascii="Times New Roman" w:hAnsi="Times New Roman" w:cs="Times New Roman"/>
                <w:color w:val="auto"/>
                <w:highlight w:val="none"/>
                <w:lang w:val="en-US" w:eastAsia="zh-CN"/>
              </w:rPr>
              <w:t>852,533.32</w:t>
            </w:r>
            <w:r>
              <w:rPr>
                <w:rFonts w:hint="eastAsia" w:ascii="Times New Roman" w:hAnsi="Times New Roman" w:cs="Times New Roman"/>
                <w:color w:val="auto"/>
                <w:highlight w:val="none"/>
              </w:rPr>
              <w:t>元，</w:t>
            </w:r>
            <w:r>
              <w:rPr>
                <w:rFonts w:hint="eastAsia"/>
                <w:color w:val="auto"/>
                <w:highlight w:val="none"/>
              </w:rPr>
              <w:t>暂估价为</w:t>
            </w:r>
            <w:r>
              <w:rPr>
                <w:rFonts w:hint="eastAsia"/>
                <w:color w:val="auto"/>
                <w:highlight w:val="none"/>
                <w:lang w:val="en-US" w:eastAsia="zh-CN"/>
              </w:rPr>
              <w:t>/</w:t>
            </w:r>
            <w:r>
              <w:rPr>
                <w:rFonts w:hint="eastAsia"/>
                <w:color w:val="auto"/>
                <w:highlight w:val="none"/>
              </w:rPr>
              <w:t>元。</w:t>
            </w:r>
          </w:p>
          <w:p>
            <w:pPr>
              <w:spacing w:before="0" w:beforeLines="0" w:line="360" w:lineRule="auto"/>
              <w:ind w:firstLine="0" w:firstLineChars="0"/>
              <w:contextualSpacing/>
              <w:rPr>
                <w:rFonts w:hint="default" w:eastAsia="宋体"/>
                <w:color w:val="auto"/>
                <w:highlight w:val="none"/>
                <w:lang w:val="en-US" w:eastAsia="zh-CN"/>
              </w:rPr>
            </w:pPr>
            <w:r>
              <w:rPr>
                <w:rFonts w:hint="eastAsia"/>
                <w:color w:val="auto"/>
                <w:highlight w:val="none"/>
                <w:lang w:val="en-US" w:eastAsia="zh-CN"/>
              </w:rPr>
              <w:t>其他详见招标控制价公布函，投标报价清单</w:t>
            </w:r>
            <w:r>
              <w:rPr>
                <w:rFonts w:hint="eastAsia"/>
                <w:color w:val="auto"/>
                <w:highlight w:val="none"/>
              </w:rPr>
              <w:t>非竞争费用不按招标人给定金额填报的，投标报价无效。</w:t>
            </w:r>
          </w:p>
          <w:p>
            <w:pPr>
              <w:spacing w:before="0" w:beforeLines="0" w:line="360" w:lineRule="auto"/>
              <w:ind w:firstLine="0" w:firstLineChars="0"/>
              <w:contextualSpacing/>
              <w:rPr>
                <w:rFonts w:hint="eastAsia"/>
                <w:color w:val="auto"/>
                <w:highlight w:val="none"/>
              </w:rPr>
            </w:pPr>
            <w:r>
              <w:rPr>
                <w:rFonts w:hint="eastAsia"/>
                <w:color w:val="auto"/>
                <w:highlight w:val="none"/>
              </w:rPr>
              <w:t>投标报价不得高于招标控制价</w:t>
            </w:r>
          </w:p>
          <w:p>
            <w:pPr>
              <w:spacing w:before="0" w:beforeLines="0" w:line="360" w:lineRule="auto"/>
              <w:ind w:firstLine="0" w:firstLineChars="0"/>
              <w:contextualSpacing/>
              <w:rPr>
                <w:rFonts w:hint="eastAsia"/>
                <w:color w:val="auto"/>
                <w:highlight w:val="none"/>
              </w:rPr>
            </w:pPr>
            <w:r>
              <w:rPr>
                <w:rFonts w:hint="eastAsia"/>
                <w:color w:val="auto"/>
                <w:highlight w:val="none"/>
              </w:rPr>
              <w:t>各单项工程中相同的清单子目，中标的投标单价必须一致，若不一致，发包人有权在结算阶段按就低不就高的原则调整，调整方式为：结算综合单价＝最高投标限价对应清单子目综合单价×（1-投标下浮率）与中标的综合单价对比低值，并按调整后的综合单价作为结算综合单价。</w:t>
            </w:r>
          </w:p>
          <w:p>
            <w:pPr>
              <w:spacing w:before="0" w:beforeLines="0" w:line="360" w:lineRule="auto"/>
              <w:ind w:firstLine="0" w:firstLineChars="0"/>
              <w:contextualSpacing/>
              <w:rPr>
                <w:rFonts w:hint="eastAsia"/>
                <w:color w:val="auto"/>
                <w:highlight w:val="none"/>
              </w:rPr>
            </w:pPr>
            <w:r>
              <w:rPr>
                <w:rFonts w:hint="eastAsia"/>
                <w:color w:val="auto"/>
                <w:highlight w:val="none"/>
              </w:rPr>
              <w:t>若中标的综合单价高于最高投标限价报告中对应清单子目的综合单价，发包人有权在结算阶段调整该中标综合单价，调整方式为：结算综合单价＝最高投标限价对应清单子目的综合单价×（1-投标下浮率），并按调整后的综合单价作为结算综合单价。</w:t>
            </w:r>
          </w:p>
          <w:p>
            <w:pPr>
              <w:pStyle w:val="6"/>
              <w:ind w:firstLine="0" w:firstLineChars="0"/>
              <w:rPr>
                <w:rFonts w:hint="eastAsia"/>
                <w:color w:val="auto"/>
                <w:highlight w:val="none"/>
              </w:rPr>
            </w:pPr>
          </w:p>
        </w:tc>
      </w:tr>
      <w:tr>
        <w:tblPrEx>
          <w:tblCellMar>
            <w:top w:w="0" w:type="dxa"/>
            <w:left w:w="108" w:type="dxa"/>
            <w:bottom w:w="0" w:type="dxa"/>
            <w:right w:w="108" w:type="dxa"/>
          </w:tblCellMar>
        </w:tblPrEx>
        <w:trPr>
          <w:trHeight w:val="429"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rFonts w:hint="eastAsia"/>
                <w:color w:val="auto"/>
                <w:szCs w:val="21"/>
                <w:highlight w:val="none"/>
              </w:rPr>
            </w:pPr>
            <w:r>
              <w:rPr>
                <w:rFonts w:hint="eastAsia"/>
                <w:color w:val="auto"/>
                <w:szCs w:val="21"/>
                <w:highlight w:val="none"/>
              </w:rPr>
              <w:t>3.2.4</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rFonts w:hint="eastAsia"/>
                <w:color w:val="auto"/>
                <w:szCs w:val="21"/>
                <w:highlight w:val="none"/>
              </w:rPr>
            </w:pPr>
            <w:r>
              <w:rPr>
                <w:rFonts w:hint="eastAsia" w:ascii="宋体" w:hAnsi="宋体"/>
                <w:color w:val="auto"/>
                <w:szCs w:val="21"/>
                <w:highlight w:val="none"/>
              </w:rPr>
              <w:t>成本警示价</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0" w:firstLineChars="0"/>
              <w:contextualSpacing/>
              <w:rPr>
                <w:rFonts w:hint="eastAsia"/>
                <w:color w:val="auto"/>
                <w:highlight w:val="none"/>
                <w:u w:val="none"/>
                <w:lang w:eastAsia="zh-CN"/>
              </w:rPr>
            </w:pPr>
            <w:r>
              <w:rPr>
                <w:rFonts w:hint="eastAsia" w:ascii="宋体" w:hAnsi="宋体"/>
                <w:strike w:val="0"/>
                <w:color w:val="auto"/>
                <w:szCs w:val="21"/>
                <w:highlight w:val="none"/>
              </w:rPr>
              <w:sym w:font="Wingdings 2" w:char="0051"/>
            </w:r>
            <w:r>
              <w:rPr>
                <w:rFonts w:hint="eastAsia"/>
                <w:color w:val="auto"/>
                <w:highlight w:val="none"/>
                <w:u w:val="none"/>
                <w:lang w:eastAsia="zh-CN"/>
              </w:rPr>
              <w:t>无</w:t>
            </w:r>
          </w:p>
          <w:p>
            <w:pPr>
              <w:spacing w:line="360" w:lineRule="auto"/>
              <w:ind w:firstLine="0" w:firstLineChars="0"/>
              <w:contextualSpacing/>
              <w:rPr>
                <w:rFonts w:hint="eastAsia" w:ascii="宋体" w:hAnsi="宋体" w:eastAsia="宋体"/>
                <w:color w:val="auto"/>
                <w:szCs w:val="21"/>
                <w:highlight w:val="none"/>
                <w:lang w:eastAsia="zh-CN"/>
              </w:rPr>
            </w:pPr>
            <w:r>
              <w:rPr>
                <w:rFonts w:hint="eastAsia"/>
                <w:color w:val="auto"/>
                <w:highlight w:val="none"/>
                <w:u w:val="none"/>
              </w:rPr>
              <w:sym w:font="Wingdings 2" w:char="0052"/>
            </w:r>
            <w:r>
              <w:rPr>
                <w:rFonts w:hint="eastAsia"/>
                <w:color w:val="auto"/>
                <w:highlight w:val="none"/>
                <w:u w:val="none"/>
                <w:lang w:eastAsia="zh-CN"/>
              </w:rPr>
              <w:t>有，</w:t>
            </w:r>
            <w:r>
              <w:rPr>
                <w:rFonts w:hint="eastAsia" w:ascii="宋体" w:hAnsi="宋体" w:cs="宋体"/>
                <w:color w:val="auto"/>
                <w:szCs w:val="21"/>
                <w:highlight w:val="none"/>
                <w:u w:val="none"/>
              </w:rPr>
              <w:t>成本警示价为</w:t>
            </w:r>
            <w:r>
              <w:rPr>
                <w:rFonts w:hint="eastAsia" w:ascii="宋体" w:hAnsi="宋体" w:cs="宋体"/>
                <w:color w:val="auto"/>
                <w:szCs w:val="21"/>
                <w:highlight w:val="none"/>
                <w:lang w:val="en-US" w:eastAsia="zh-CN"/>
              </w:rPr>
              <w:t>13252231.4</w:t>
            </w:r>
            <w:r>
              <w:rPr>
                <w:rFonts w:hint="eastAsia" w:ascii="宋体" w:hAnsi="宋体" w:cs="宋体"/>
                <w:color w:val="auto"/>
                <w:szCs w:val="21"/>
                <w:highlight w:val="none"/>
                <w:u w:val="none"/>
              </w:rPr>
              <w:t>元。</w:t>
            </w:r>
            <w:r>
              <w:rPr>
                <w:rFonts w:hint="eastAsia" w:ascii="宋体" w:hAnsi="宋体" w:eastAsia="宋体" w:cs="宋体"/>
                <w:color w:val="auto"/>
                <w:szCs w:val="21"/>
                <w:highlight w:val="none"/>
                <w:u w:val="single"/>
              </w:rPr>
              <w:t>（最高投标限价的</w:t>
            </w:r>
            <w:r>
              <w:rPr>
                <w:rFonts w:hint="eastAsia" w:ascii="宋体" w:hAnsi="宋体" w:cs="宋体"/>
                <w:color w:val="auto"/>
                <w:szCs w:val="21"/>
                <w:highlight w:val="none"/>
                <w:u w:val="single"/>
                <w:lang w:val="en-US" w:eastAsia="zh-CN"/>
              </w:rPr>
              <w:t>86</w:t>
            </w:r>
            <w:r>
              <w:rPr>
                <w:rFonts w:hint="eastAsia" w:ascii="宋体" w:hAnsi="宋体" w:eastAsia="宋体" w:cs="宋体"/>
                <w:color w:val="auto"/>
                <w:szCs w:val="21"/>
                <w:highlight w:val="none"/>
                <w:u w:val="single"/>
                <w:lang w:val="en-US" w:eastAsia="zh-CN"/>
              </w:rPr>
              <w:t>%</w:t>
            </w:r>
            <w:r>
              <w:rPr>
                <w:rFonts w:hint="eastAsia" w:ascii="宋体" w:hAnsi="宋体" w:eastAsia="宋体" w:cs="宋体"/>
                <w:color w:val="auto"/>
                <w:szCs w:val="21"/>
                <w:highlight w:val="none"/>
                <w:u w:val="single"/>
              </w:rPr>
              <w:t>设置为成本警示价）</w:t>
            </w:r>
          </w:p>
        </w:tc>
      </w:tr>
      <w:tr>
        <w:tblPrEx>
          <w:tblCellMar>
            <w:top w:w="0" w:type="dxa"/>
            <w:left w:w="108" w:type="dxa"/>
            <w:bottom w:w="0" w:type="dxa"/>
            <w:right w:w="108" w:type="dxa"/>
          </w:tblCellMar>
        </w:tblPrEx>
        <w:trPr>
          <w:trHeight w:val="70" w:hRule="atLeast"/>
        </w:trPr>
        <w:tc>
          <w:tcPr>
            <w:tcW w:w="129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62" w:name="_Toc221950062"/>
            <w:r>
              <w:rPr>
                <w:color w:val="auto"/>
                <w:szCs w:val="21"/>
                <w:highlight w:val="none"/>
              </w:rPr>
              <w:t>3.3</w:t>
            </w:r>
            <w:r>
              <w:rPr>
                <w:rFonts w:hint="eastAsia"/>
                <w:color w:val="auto"/>
                <w:szCs w:val="21"/>
                <w:highlight w:val="none"/>
              </w:rPr>
              <w:t>.1</w:t>
            </w:r>
            <w:bookmarkEnd w:id="162"/>
          </w:p>
        </w:tc>
        <w:tc>
          <w:tcPr>
            <w:tcW w:w="2192"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投标有效期</w:t>
            </w:r>
          </w:p>
        </w:tc>
        <w:tc>
          <w:tcPr>
            <w:tcW w:w="5038" w:type="dxa"/>
            <w:tcBorders>
              <w:top w:val="single" w:color="auto" w:sz="4" w:space="0"/>
              <w:left w:val="single" w:color="auto" w:sz="4" w:space="0"/>
              <w:right w:val="single" w:color="auto" w:sz="4" w:space="0"/>
            </w:tcBorders>
            <w:noWrap w:val="0"/>
            <w:vAlign w:val="center"/>
          </w:tcPr>
          <w:p>
            <w:pPr>
              <w:pStyle w:val="8"/>
              <w:topLinePunct/>
              <w:spacing w:before="120" w:beforeLines="50" w:after="0" w:line="360" w:lineRule="auto"/>
              <w:contextualSpacing/>
              <w:rPr>
                <w:color w:val="auto"/>
                <w:kern w:val="2"/>
                <w:sz w:val="21"/>
                <w:szCs w:val="21"/>
                <w:highlight w:val="none"/>
                <w:lang w:val="en-US" w:eastAsia="zh-CN"/>
              </w:rPr>
            </w:pPr>
            <w:r>
              <w:rPr>
                <w:rFonts w:hint="eastAsia"/>
                <w:color w:val="auto"/>
                <w:kern w:val="2"/>
                <w:sz w:val="21"/>
                <w:szCs w:val="21"/>
                <w:highlight w:val="none"/>
                <w:lang w:val="en-US" w:eastAsia="zh-CN"/>
              </w:rPr>
              <w:t>90日历天（从投标截止之日计起）</w:t>
            </w:r>
          </w:p>
        </w:tc>
      </w:tr>
      <w:tr>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rFonts w:hint="default" w:eastAsia="宋体"/>
                <w:color w:val="auto"/>
                <w:szCs w:val="21"/>
                <w:highlight w:val="none"/>
                <w:lang w:val="en-US" w:eastAsia="zh-CN"/>
              </w:rPr>
            </w:pPr>
            <w:bookmarkStart w:id="163" w:name="_Toc221950064"/>
            <w:r>
              <w:rPr>
                <w:color w:val="auto"/>
                <w:szCs w:val="21"/>
                <w:highlight w:val="none"/>
              </w:rPr>
              <w:t>3.4</w:t>
            </w:r>
            <w:bookmarkEnd w:id="163"/>
            <w:r>
              <w:rPr>
                <w:rFonts w:hint="eastAsia"/>
                <w:color w:val="auto"/>
                <w:szCs w:val="21"/>
                <w:highlight w:val="none"/>
                <w:lang w:val="en-US" w:eastAsia="zh-CN"/>
              </w:rPr>
              <w:t>.1</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64" w:name="_Toc221950065"/>
            <w:r>
              <w:rPr>
                <w:color w:val="auto"/>
                <w:szCs w:val="21"/>
                <w:highlight w:val="none"/>
              </w:rPr>
              <w:t>投标保证金</w:t>
            </w:r>
            <w:bookmarkEnd w:id="164"/>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rFonts w:hint="eastAsia" w:ascii="宋体" w:hAnsi="宋体"/>
                <w:color w:val="auto"/>
                <w:szCs w:val="21"/>
                <w:highlight w:val="none"/>
              </w:rPr>
            </w:pPr>
            <w:r>
              <w:rPr>
                <w:rFonts w:hint="eastAsia" w:ascii="宋体" w:hAnsi="宋体"/>
                <w:color w:val="auto"/>
                <w:szCs w:val="21"/>
                <w:highlight w:val="none"/>
              </w:rPr>
              <w:t>是否要求投标人递交投标保证金：</w:t>
            </w:r>
          </w:p>
          <w:p>
            <w:pPr>
              <w:spacing w:before="120" w:beforeLines="50" w:line="360" w:lineRule="auto"/>
              <w:contextualSpacing/>
              <w:rPr>
                <w:rFonts w:hint="eastAsia" w:ascii="宋体" w:hAnsi="宋体" w:eastAsia="宋体"/>
                <w:color w:val="auto"/>
                <w:szCs w:val="21"/>
                <w:highlight w:val="none"/>
                <w:lang w:eastAsia="zh-CN"/>
              </w:rPr>
            </w:pPr>
            <w:r>
              <w:rPr>
                <w:rFonts w:hint="eastAsia" w:ascii="宋体" w:hAnsi="宋体"/>
                <w:color w:val="auto"/>
                <w:szCs w:val="21"/>
                <w:highlight w:val="none"/>
              </w:rPr>
              <w:sym w:font="Wingdings 2" w:char="0052"/>
            </w:r>
            <w:r>
              <w:rPr>
                <w:rFonts w:hint="eastAsia" w:ascii="宋体" w:hAnsi="宋体"/>
                <w:color w:val="auto"/>
                <w:szCs w:val="21"/>
                <w:highlight w:val="none"/>
              </w:rPr>
              <w:t>要求，</w:t>
            </w:r>
            <w:r>
              <w:rPr>
                <w:rFonts w:hint="eastAsia" w:ascii="宋体" w:hAnsi="宋体" w:cs="宋体"/>
                <w:b/>
                <w:bCs/>
                <w:color w:val="auto"/>
                <w:highlight w:val="none"/>
                <w:u w:val="single"/>
                <w:lang w:val="en-US" w:eastAsia="zh-CN" w:bidi="ar"/>
              </w:rPr>
              <w:t>8</w:t>
            </w:r>
            <w:r>
              <w:rPr>
                <w:rFonts w:hint="eastAsia" w:ascii="宋体" w:hAnsi="宋体" w:cs="宋体"/>
                <w:b/>
                <w:bCs/>
                <w:color w:val="auto"/>
                <w:highlight w:val="none"/>
                <w:lang w:bidi="ar"/>
              </w:rPr>
              <w:t>万元人民币</w:t>
            </w:r>
            <w:r>
              <w:rPr>
                <w:rFonts w:hint="eastAsia" w:ascii="宋体" w:hAnsi="宋体" w:cs="宋体"/>
                <w:color w:val="auto"/>
                <w:highlight w:val="none"/>
                <w:lang w:bidi="ar"/>
              </w:rPr>
              <w:t>，</w:t>
            </w:r>
            <w:r>
              <w:rPr>
                <w:rFonts w:hint="eastAsia" w:ascii="宋体" w:hAnsi="宋体" w:cs="宋体"/>
                <w:color w:val="auto"/>
                <w:szCs w:val="21"/>
                <w:highlight w:val="none"/>
                <w:u w:val="none"/>
                <w:lang w:bidi="ar"/>
              </w:rPr>
              <w:t>缴纳时间在递交投标文件截止时间前</w:t>
            </w:r>
            <w:r>
              <w:rPr>
                <w:rFonts w:hint="eastAsia" w:ascii="宋体" w:hAnsi="宋体" w:cs="宋体"/>
                <w:color w:val="auto"/>
                <w:szCs w:val="21"/>
                <w:highlight w:val="none"/>
                <w:u w:val="none"/>
                <w:lang w:eastAsia="zh-CN" w:bidi="ar"/>
              </w:rPr>
              <w:t>。</w:t>
            </w:r>
          </w:p>
          <w:p>
            <w:pPr>
              <w:spacing w:before="120" w:beforeLines="50" w:line="360" w:lineRule="auto"/>
              <w:contextualSpacing/>
              <w:rPr>
                <w:rFonts w:hint="eastAsia" w:hAnsi="宋体"/>
                <w:color w:val="auto"/>
                <w:szCs w:val="21"/>
                <w:highlight w:val="none"/>
              </w:rPr>
            </w:pPr>
            <w:r>
              <w:rPr>
                <w:rFonts w:hint="eastAsia" w:ascii="宋体" w:hAnsi="宋体" w:cs="宋体"/>
                <w:color w:val="auto"/>
                <w:szCs w:val="21"/>
                <w:highlight w:val="none"/>
                <w:u w:val="none"/>
                <w:lang w:bidi="ar"/>
              </w:rPr>
              <w:t>缴纳方式：投标保证金可采用现金、支票、投标保证保险、投标保函（银行或专业担保公司出具）</w:t>
            </w:r>
            <w:r>
              <w:rPr>
                <w:rFonts w:hint="eastAsia" w:ascii="宋体" w:hAnsi="宋体" w:cs="宋体"/>
                <w:color w:val="auto"/>
                <w:szCs w:val="21"/>
                <w:highlight w:val="none"/>
                <w:u w:val="none"/>
                <w:lang w:val="en-US" w:eastAsia="zh-CN" w:bidi="ar"/>
              </w:rPr>
              <w:t>等</w:t>
            </w:r>
            <w:r>
              <w:rPr>
                <w:rFonts w:hint="eastAsia" w:ascii="宋体" w:hAnsi="宋体" w:cs="宋体"/>
                <w:color w:val="auto"/>
                <w:szCs w:val="21"/>
                <w:highlight w:val="none"/>
                <w:u w:val="none"/>
                <w:lang w:bidi="ar"/>
              </w:rPr>
              <w:t>的形式，须在递交投标文件截止时间前完成缴纳。</w:t>
            </w:r>
          </w:p>
          <w:p>
            <w:pPr>
              <w:numPr>
                <w:ilvl w:val="0"/>
                <w:numId w:val="0"/>
              </w:numPr>
              <w:spacing w:before="120" w:beforeLines="50" w:line="360" w:lineRule="auto"/>
              <w:contextualSpacing/>
              <w:rPr>
                <w:rFonts w:hint="eastAsia" w:ascii="宋体" w:hAnsi="宋体" w:cs="宋体"/>
                <w:color w:val="auto"/>
                <w:szCs w:val="21"/>
                <w:highlight w:val="none"/>
                <w:u w:val="none"/>
                <w:lang w:bidi="ar"/>
              </w:rPr>
            </w:pPr>
            <w:r>
              <w:rPr>
                <w:rFonts w:hint="eastAsia" w:ascii="宋体" w:hAnsi="宋体" w:cs="宋体"/>
                <w:color w:val="auto"/>
                <w:szCs w:val="21"/>
                <w:highlight w:val="none"/>
                <w:u w:val="none"/>
                <w:lang w:eastAsia="zh-CN" w:bidi="ar"/>
              </w:rPr>
              <w:t>（</w:t>
            </w:r>
            <w:r>
              <w:rPr>
                <w:rFonts w:hint="eastAsia" w:ascii="宋体" w:hAnsi="宋体" w:cs="宋体"/>
                <w:color w:val="auto"/>
                <w:szCs w:val="21"/>
                <w:highlight w:val="none"/>
                <w:u w:val="none"/>
                <w:lang w:val="en-US" w:eastAsia="zh-CN" w:bidi="ar"/>
              </w:rPr>
              <w:t>1</w:t>
            </w:r>
            <w:r>
              <w:rPr>
                <w:rFonts w:hint="eastAsia" w:ascii="宋体" w:hAnsi="宋体" w:cs="宋体"/>
                <w:color w:val="auto"/>
                <w:szCs w:val="21"/>
                <w:highlight w:val="none"/>
                <w:u w:val="none"/>
                <w:lang w:eastAsia="zh-CN" w:bidi="ar"/>
              </w:rPr>
              <w:t>）</w:t>
            </w:r>
            <w:r>
              <w:rPr>
                <w:rFonts w:hint="eastAsia" w:ascii="宋体" w:hAnsi="宋体" w:cs="宋体"/>
                <w:color w:val="auto"/>
                <w:szCs w:val="21"/>
                <w:highlight w:val="none"/>
                <w:u w:val="none"/>
                <w:lang w:bidi="ar"/>
              </w:rPr>
              <w:t>如采用现金、支票形式提交的，投标保证金从投标人基本账户递交，由</w:t>
            </w:r>
            <w:r>
              <w:rPr>
                <w:rFonts w:hint="eastAsia" w:ascii="宋体" w:hAnsi="宋体" w:cs="宋体"/>
                <w:color w:val="auto"/>
                <w:szCs w:val="21"/>
                <w:highlight w:val="none"/>
                <w:u w:val="none"/>
                <w:lang w:eastAsia="zh-CN" w:bidi="ar"/>
              </w:rPr>
              <w:t>广州交易集团有限公司（广州公共资源交易中心）</w:t>
            </w:r>
            <w:r>
              <w:rPr>
                <w:rFonts w:hint="eastAsia" w:ascii="宋体" w:hAnsi="宋体" w:cs="宋体"/>
                <w:color w:val="auto"/>
                <w:szCs w:val="21"/>
                <w:highlight w:val="none"/>
                <w:u w:val="none"/>
                <w:lang w:bidi="ar"/>
              </w:rPr>
              <w:t>代收。具体操作要求详见</w:t>
            </w:r>
            <w:r>
              <w:rPr>
                <w:rFonts w:hint="eastAsia" w:ascii="宋体" w:hAnsi="宋体" w:cs="宋体"/>
                <w:color w:val="auto"/>
                <w:szCs w:val="21"/>
                <w:highlight w:val="none"/>
                <w:u w:val="none"/>
                <w:lang w:eastAsia="zh-CN" w:bidi="ar"/>
              </w:rPr>
              <w:t>广州交易集团有限公司（广州公共资源交易中心）</w:t>
            </w:r>
            <w:r>
              <w:rPr>
                <w:rFonts w:hint="eastAsia" w:ascii="宋体" w:hAnsi="宋体" w:cs="宋体"/>
                <w:color w:val="auto"/>
                <w:szCs w:val="21"/>
                <w:highlight w:val="none"/>
                <w:u w:val="none"/>
                <w:lang w:bidi="ar"/>
              </w:rPr>
              <w:t>有关指引，递交事宜请自行咨询交易中心；请各投标人在投标文件递交截止时间前按上述金额递交至</w:t>
            </w:r>
            <w:r>
              <w:rPr>
                <w:rFonts w:hint="eastAsia" w:ascii="宋体" w:hAnsi="宋体" w:cs="宋体"/>
                <w:color w:val="auto"/>
                <w:szCs w:val="21"/>
                <w:highlight w:val="none"/>
                <w:u w:val="none"/>
                <w:lang w:eastAsia="zh-CN" w:bidi="ar"/>
              </w:rPr>
              <w:t>广州交易集团有限公司（广州公共资源交易中心）</w:t>
            </w:r>
            <w:r>
              <w:rPr>
                <w:rFonts w:hint="eastAsia" w:ascii="宋体" w:hAnsi="宋体" w:cs="宋体"/>
                <w:color w:val="auto"/>
                <w:szCs w:val="21"/>
                <w:highlight w:val="none"/>
                <w:u w:val="none"/>
                <w:lang w:bidi="ar"/>
              </w:rPr>
              <w:t>，到账情况以开标时</w:t>
            </w:r>
            <w:r>
              <w:rPr>
                <w:rFonts w:hint="eastAsia" w:ascii="宋体" w:hAnsi="宋体" w:cs="宋体"/>
                <w:color w:val="auto"/>
                <w:szCs w:val="21"/>
                <w:highlight w:val="none"/>
                <w:u w:val="none"/>
                <w:lang w:eastAsia="zh-CN" w:bidi="ar"/>
              </w:rPr>
              <w:t>广州交易集团有限公司（广州公共资源交易中心）</w:t>
            </w:r>
            <w:r>
              <w:rPr>
                <w:rFonts w:hint="eastAsia" w:ascii="宋体" w:hAnsi="宋体" w:cs="宋体"/>
                <w:color w:val="auto"/>
                <w:szCs w:val="21"/>
                <w:highlight w:val="none"/>
                <w:u w:val="none"/>
                <w:lang w:bidi="ar"/>
              </w:rPr>
              <w:t>数据库查询的信息为准。</w:t>
            </w:r>
          </w:p>
          <w:p>
            <w:pPr>
              <w:spacing w:before="120" w:beforeLines="50" w:line="360" w:lineRule="auto"/>
              <w:contextualSpacing/>
              <w:rPr>
                <w:rFonts w:hint="eastAsia" w:ascii="宋体" w:hAnsi="宋体" w:cs="宋体"/>
                <w:color w:val="auto"/>
                <w:szCs w:val="21"/>
                <w:highlight w:val="none"/>
                <w:u w:val="none"/>
                <w:lang w:bidi="ar"/>
              </w:rPr>
            </w:pP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val="en-US" w:eastAsia="zh-CN" w:bidi="ar"/>
              </w:rPr>
              <w:t>2</w:t>
            </w:r>
            <w:r>
              <w:rPr>
                <w:rFonts w:hint="eastAsia" w:ascii="宋体" w:hAnsi="宋体" w:cs="宋体"/>
                <w:color w:val="auto"/>
                <w:szCs w:val="21"/>
                <w:highlight w:val="none"/>
                <w:lang w:eastAsia="zh-CN" w:bidi="ar"/>
              </w:rPr>
              <w:t>）</w:t>
            </w:r>
            <w:r>
              <w:rPr>
                <w:rFonts w:hint="eastAsia" w:ascii="宋体" w:hAnsi="宋体" w:cs="宋体"/>
                <w:color w:val="auto"/>
                <w:szCs w:val="21"/>
                <w:highlight w:val="none"/>
                <w:u w:val="none"/>
                <w:lang w:bidi="ar"/>
              </w:rPr>
              <w:t>如采用投标保函、投标保证保险形式提交投标保证金的，投标保函或投标保证保险须开具给招标人（保险受益人须为招标人）。须在投标截止前单独密封递交至开标室。(通过广州交易集团有限公司(广州公共资源交易中心)交易服务系统代收或办理电子保函的，不需要提交证明材料，以开标时广州交易集团有限公司（广州公共资源交易中心）数据库查询信息为准。)</w:t>
            </w:r>
          </w:p>
          <w:p>
            <w:pPr>
              <w:spacing w:before="120" w:beforeLines="50" w:line="360" w:lineRule="auto"/>
              <w:contextualSpacing/>
              <w:rPr>
                <w:color w:val="auto"/>
                <w:szCs w:val="21"/>
                <w:highlight w:val="none"/>
              </w:rPr>
            </w:pPr>
            <w:r>
              <w:rPr>
                <w:rFonts w:hint="eastAsia" w:ascii="宋体" w:hAnsi="宋体" w:cs="宋体"/>
                <w:color w:val="auto"/>
                <w:szCs w:val="21"/>
                <w:highlight w:val="none"/>
                <w:u w:val="none"/>
                <w:lang w:eastAsia="zh-CN" w:bidi="ar"/>
              </w:rPr>
              <w:t>（</w:t>
            </w:r>
            <w:r>
              <w:rPr>
                <w:rFonts w:hint="eastAsia" w:ascii="宋体" w:hAnsi="宋体" w:cs="宋体"/>
                <w:color w:val="auto"/>
                <w:szCs w:val="21"/>
                <w:highlight w:val="none"/>
                <w:u w:val="none"/>
                <w:lang w:val="en-US" w:eastAsia="zh-CN" w:bidi="ar"/>
              </w:rPr>
              <w:t>3</w:t>
            </w:r>
            <w:r>
              <w:rPr>
                <w:rFonts w:hint="eastAsia" w:ascii="宋体" w:hAnsi="宋体" w:cs="宋体"/>
                <w:color w:val="auto"/>
                <w:szCs w:val="21"/>
                <w:highlight w:val="none"/>
                <w:u w:val="none"/>
                <w:lang w:eastAsia="zh-CN" w:bidi="ar"/>
              </w:rPr>
              <w:t>）</w:t>
            </w:r>
            <w:r>
              <w:rPr>
                <w:rFonts w:hint="eastAsia" w:ascii="宋体" w:hAnsi="宋体" w:cs="宋体"/>
                <w:color w:val="auto"/>
                <w:szCs w:val="21"/>
                <w:highlight w:val="none"/>
                <w:u w:val="none"/>
                <w:lang w:val="en-US" w:eastAsia="zh-CN" w:bidi="ar"/>
              </w:rPr>
              <w:t>如</w:t>
            </w:r>
            <w:r>
              <w:rPr>
                <w:rFonts w:hint="eastAsia" w:ascii="宋体" w:hAnsi="宋体" w:cs="宋体"/>
                <w:color w:val="auto"/>
                <w:szCs w:val="21"/>
                <w:highlight w:val="none"/>
                <w:u w:val="none"/>
                <w:lang w:bidi="ar"/>
              </w:rPr>
              <w:t>以交易系统支持的电子保函或电子投标保证保险递交的，到账情况以开标时</w:t>
            </w:r>
            <w:r>
              <w:rPr>
                <w:rFonts w:hint="eastAsia" w:ascii="宋体" w:hAnsi="宋体" w:cs="宋体"/>
                <w:color w:val="auto"/>
                <w:szCs w:val="21"/>
                <w:highlight w:val="none"/>
                <w:u w:val="none"/>
                <w:lang w:eastAsia="zh-CN" w:bidi="ar"/>
              </w:rPr>
              <w:t>广州交易集团有限公司（广州公共资源交易中心）</w:t>
            </w:r>
            <w:r>
              <w:rPr>
                <w:rFonts w:hint="eastAsia" w:ascii="宋体" w:hAnsi="宋体" w:cs="宋体"/>
                <w:color w:val="auto"/>
                <w:szCs w:val="21"/>
                <w:highlight w:val="none"/>
                <w:u w:val="none"/>
                <w:lang w:bidi="ar"/>
              </w:rPr>
              <w:t>数据库查询信息为准。</w:t>
            </w:r>
          </w:p>
        </w:tc>
      </w:tr>
      <w:tr>
        <w:tblPrEx>
          <w:tblCellMar>
            <w:top w:w="0" w:type="dxa"/>
            <w:left w:w="108" w:type="dxa"/>
            <w:bottom w:w="0" w:type="dxa"/>
            <w:right w:w="108" w:type="dxa"/>
          </w:tblCellMar>
        </w:tblPrEx>
        <w:trPr>
          <w:trHeight w:val="70" w:hRule="atLeast"/>
        </w:trPr>
        <w:tc>
          <w:tcPr>
            <w:tcW w:w="129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center"/>
              <w:rPr>
                <w:rFonts w:hint="eastAsia" w:eastAsia="宋体"/>
                <w:color w:val="auto"/>
                <w:szCs w:val="21"/>
                <w:highlight w:val="none"/>
                <w:lang w:eastAsia="zh-CN"/>
              </w:rPr>
            </w:pPr>
            <w:r>
              <w:rPr>
                <w:color w:val="auto"/>
                <w:szCs w:val="21"/>
                <w:highlight w:val="none"/>
              </w:rPr>
              <w:t>3.</w:t>
            </w:r>
            <w:r>
              <w:rPr>
                <w:rFonts w:hint="eastAsia"/>
                <w:color w:val="auto"/>
                <w:szCs w:val="21"/>
                <w:highlight w:val="none"/>
              </w:rPr>
              <w:t>6</w:t>
            </w:r>
            <w:r>
              <w:rPr>
                <w:color w:val="auto"/>
                <w:szCs w:val="21"/>
                <w:highlight w:val="none"/>
              </w:rPr>
              <w:t>.</w:t>
            </w:r>
            <w:r>
              <w:rPr>
                <w:rFonts w:hint="eastAsia"/>
                <w:color w:val="auto"/>
                <w:szCs w:val="21"/>
                <w:highlight w:val="none"/>
                <w:lang w:val="en-US" w:eastAsia="zh-CN"/>
              </w:rPr>
              <w:t>1</w:t>
            </w:r>
          </w:p>
        </w:tc>
        <w:tc>
          <w:tcPr>
            <w:tcW w:w="2192"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color w:val="auto"/>
                <w:szCs w:val="21"/>
                <w:highlight w:val="none"/>
              </w:rPr>
              <w:t>签字或盖章要求</w:t>
            </w:r>
          </w:p>
        </w:tc>
        <w:tc>
          <w:tcPr>
            <w:tcW w:w="5038" w:type="dxa"/>
            <w:tcBorders>
              <w:top w:val="single" w:color="auto" w:sz="4" w:space="0"/>
              <w:left w:val="single" w:color="auto" w:sz="4" w:space="0"/>
              <w:right w:val="single" w:color="auto" w:sz="4" w:space="0"/>
            </w:tcBorders>
            <w:noWrap w:val="0"/>
            <w:vAlign w:val="center"/>
          </w:tcPr>
          <w:p>
            <w:pPr>
              <w:pStyle w:val="8"/>
              <w:topLinePunct/>
              <w:spacing w:before="120" w:beforeLines="50" w:after="0" w:line="360" w:lineRule="auto"/>
              <w:contextualSpacing/>
              <w:jc w:val="left"/>
              <w:rPr>
                <w:color w:val="auto"/>
                <w:kern w:val="2"/>
                <w:sz w:val="21"/>
                <w:szCs w:val="21"/>
                <w:highlight w:val="none"/>
                <w:lang w:val="en-US" w:eastAsia="zh-CN"/>
              </w:rPr>
            </w:pPr>
            <w:r>
              <w:rPr>
                <w:rFonts w:hint="eastAsia"/>
                <w:color w:val="auto"/>
                <w:kern w:val="2"/>
                <w:sz w:val="21"/>
                <w:szCs w:val="21"/>
                <w:highlight w:val="none"/>
                <w:lang w:val="en-US" w:eastAsia="zh-CN"/>
              </w:rPr>
              <w:t>投标文件格式规定盖单位章的页面必须盖单位章，规定法定代表人或授权委托人、项目负责人和技术负责人签字的页面必须签字。签字必须由本人在规定页面手写签名</w:t>
            </w:r>
            <w:r>
              <w:rPr>
                <w:rFonts w:hint="eastAsia"/>
                <w:color w:val="auto"/>
                <w:sz w:val="21"/>
                <w:szCs w:val="21"/>
                <w:highlight w:val="none"/>
              </w:rPr>
              <w:t>或签章</w:t>
            </w:r>
            <w:r>
              <w:rPr>
                <w:rFonts w:hint="eastAsia"/>
                <w:color w:val="auto"/>
                <w:kern w:val="2"/>
                <w:sz w:val="21"/>
                <w:szCs w:val="21"/>
                <w:highlight w:val="none"/>
                <w:lang w:val="en-US" w:eastAsia="zh-CN"/>
              </w:rPr>
              <w:t>后扫描上传（</w:t>
            </w:r>
            <w:r>
              <w:rPr>
                <w:rFonts w:hint="default" w:ascii="Calibri" w:hAnsi="Calibri" w:eastAsia="宋体" w:cs="Times New Roman"/>
                <w:color w:val="auto"/>
                <w:kern w:val="2"/>
                <w:sz w:val="21"/>
                <w:szCs w:val="24"/>
                <w:highlight w:val="none"/>
                <w:lang w:val="en-US" w:eastAsia="zh-CN" w:bidi="ar-SA"/>
              </w:rPr>
              <w:t>可靠的电子签名与手写签名或者盖章具有同等的法律效力</w:t>
            </w:r>
            <w:r>
              <w:rPr>
                <w:rFonts w:hint="eastAsia"/>
                <w:color w:val="auto"/>
                <w:kern w:val="2"/>
                <w:sz w:val="21"/>
                <w:szCs w:val="21"/>
                <w:highlight w:val="none"/>
                <w:lang w:val="en-US" w:eastAsia="zh-CN"/>
              </w:rPr>
              <w:t>）。</w:t>
            </w:r>
          </w:p>
        </w:tc>
      </w:tr>
      <w:tr>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r>
              <w:rPr>
                <w:rFonts w:hint="eastAsia"/>
                <w:color w:val="auto"/>
                <w:szCs w:val="21"/>
                <w:highlight w:val="none"/>
              </w:rPr>
              <w:t>4.1.1</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投标文件份数</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color w:val="auto"/>
                <w:szCs w:val="21"/>
                <w:highlight w:val="none"/>
              </w:rPr>
            </w:pPr>
            <w:r>
              <w:rPr>
                <w:rFonts w:hint="eastAsia"/>
                <w:color w:val="auto"/>
                <w:szCs w:val="21"/>
                <w:highlight w:val="none"/>
              </w:rPr>
              <w:t>投标文件为含电子签章的加密电子投标文件</w:t>
            </w:r>
            <w:r>
              <w:rPr>
                <w:color w:val="auto"/>
                <w:szCs w:val="21"/>
                <w:highlight w:val="none"/>
              </w:rPr>
              <w:t>1</w:t>
            </w:r>
            <w:r>
              <w:rPr>
                <w:rFonts w:hint="eastAsia"/>
                <w:color w:val="auto"/>
                <w:szCs w:val="21"/>
                <w:highlight w:val="none"/>
              </w:rPr>
              <w:t>套。</w:t>
            </w:r>
          </w:p>
        </w:tc>
      </w:tr>
      <w:tr>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65" w:name="_Toc221950069"/>
            <w:r>
              <w:rPr>
                <w:color w:val="auto"/>
                <w:szCs w:val="21"/>
                <w:highlight w:val="none"/>
              </w:rPr>
              <w:t>4.2.</w:t>
            </w:r>
            <w:bookmarkEnd w:id="165"/>
            <w:r>
              <w:rPr>
                <w:rFonts w:hint="eastAsia"/>
                <w:color w:val="auto"/>
                <w:szCs w:val="21"/>
                <w:highlight w:val="none"/>
              </w:rPr>
              <w:t>1</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投标文件的递交时间和地点</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color w:val="auto"/>
                <w:szCs w:val="21"/>
                <w:highlight w:val="none"/>
              </w:rPr>
            </w:pPr>
            <w:r>
              <w:rPr>
                <w:rFonts w:hint="eastAsia"/>
                <w:color w:val="auto"/>
                <w:szCs w:val="21"/>
                <w:highlight w:val="none"/>
              </w:rPr>
              <w:t>1、递交方式：网上递交投标文件</w:t>
            </w:r>
          </w:p>
          <w:p>
            <w:pPr>
              <w:spacing w:before="120" w:beforeLines="50" w:line="360" w:lineRule="auto"/>
              <w:contextualSpacing/>
              <w:rPr>
                <w:color w:val="auto"/>
                <w:szCs w:val="21"/>
                <w:highlight w:val="none"/>
              </w:rPr>
            </w:pPr>
            <w:r>
              <w:rPr>
                <w:rFonts w:hint="eastAsia"/>
                <w:color w:val="auto"/>
                <w:szCs w:val="21"/>
                <w:highlight w:val="none"/>
              </w:rPr>
              <w:t>2、文件的递交截止时间：____年</w:t>
            </w:r>
            <w:r>
              <w:rPr>
                <w:color w:val="auto"/>
                <w:szCs w:val="21"/>
                <w:highlight w:val="none"/>
              </w:rPr>
              <w:t>__</w:t>
            </w:r>
            <w:r>
              <w:rPr>
                <w:rFonts w:hint="eastAsia"/>
                <w:color w:val="auto"/>
                <w:szCs w:val="21"/>
                <w:highlight w:val="none"/>
              </w:rPr>
              <w:t>月</w:t>
            </w:r>
            <w:r>
              <w:rPr>
                <w:color w:val="auto"/>
                <w:szCs w:val="21"/>
                <w:highlight w:val="none"/>
              </w:rPr>
              <w:t>__</w:t>
            </w:r>
            <w:r>
              <w:rPr>
                <w:rFonts w:hint="eastAsia"/>
                <w:color w:val="auto"/>
                <w:szCs w:val="21"/>
                <w:highlight w:val="none"/>
              </w:rPr>
              <w:t xml:space="preserve">日 </w:t>
            </w:r>
            <w:r>
              <w:rPr>
                <w:color w:val="auto"/>
                <w:szCs w:val="21"/>
                <w:highlight w:val="none"/>
              </w:rPr>
              <w:t>__</w:t>
            </w:r>
            <w:r>
              <w:rPr>
                <w:rFonts w:hint="eastAsia"/>
                <w:color w:val="auto"/>
                <w:szCs w:val="21"/>
                <w:highlight w:val="none"/>
              </w:rPr>
              <w:t>时</w:t>
            </w:r>
            <w:r>
              <w:rPr>
                <w:color w:val="auto"/>
                <w:szCs w:val="21"/>
                <w:highlight w:val="none"/>
              </w:rPr>
              <w:t>__</w:t>
            </w:r>
            <w:r>
              <w:rPr>
                <w:rFonts w:hint="eastAsia"/>
                <w:color w:val="auto"/>
                <w:szCs w:val="21"/>
                <w:highlight w:val="none"/>
              </w:rPr>
              <w:t>分。</w:t>
            </w:r>
          </w:p>
          <w:p>
            <w:pPr>
              <w:spacing w:before="120" w:beforeLines="50" w:line="360" w:lineRule="auto"/>
              <w:contextualSpacing/>
              <w:rPr>
                <w:color w:val="auto"/>
                <w:szCs w:val="21"/>
                <w:highlight w:val="none"/>
              </w:rPr>
            </w:pPr>
            <w:r>
              <w:rPr>
                <w:rFonts w:hint="eastAsia"/>
                <w:color w:val="auto"/>
                <w:szCs w:val="21"/>
                <w:highlight w:val="none"/>
                <w:lang w:val="en-US" w:eastAsia="zh-CN"/>
              </w:rPr>
              <w:t>3</w:t>
            </w:r>
            <w:r>
              <w:rPr>
                <w:rFonts w:hint="eastAsia"/>
                <w:color w:val="auto"/>
                <w:szCs w:val="21"/>
                <w:highlight w:val="none"/>
              </w:rPr>
              <w:t>、上述时间是否有改变，请密切留意招标答疑纪要的相关信息。</w:t>
            </w:r>
          </w:p>
        </w:tc>
      </w:tr>
      <w:tr>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r>
              <w:rPr>
                <w:rFonts w:hint="eastAsia"/>
                <w:color w:val="auto"/>
                <w:szCs w:val="21"/>
                <w:highlight w:val="none"/>
              </w:rPr>
              <w:t>4.7</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rFonts w:hint="eastAsia"/>
                <w:color w:val="auto"/>
                <w:szCs w:val="21"/>
                <w:highlight w:val="none"/>
              </w:rPr>
            </w:pPr>
            <w:r>
              <w:rPr>
                <w:rFonts w:hint="eastAsia"/>
                <w:color w:val="auto"/>
                <w:szCs w:val="21"/>
                <w:highlight w:val="none"/>
              </w:rPr>
              <w:t>投标文件的解密</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在投标截止时间后半小时内，投标人通过</w:t>
            </w:r>
            <w:r>
              <w:rPr>
                <w:rFonts w:hint="eastAsia" w:ascii="宋体" w:hAnsi="宋体" w:cs="宋体"/>
                <w:color w:val="auto"/>
                <w:sz w:val="21"/>
                <w:szCs w:val="21"/>
                <w:highlight w:val="none"/>
                <w:u w:val="single"/>
                <w:lang w:eastAsia="zh-CN"/>
              </w:rPr>
              <w:t>广州交易集团有限公司（广州公共资源交易中心）</w:t>
            </w:r>
            <w:r>
              <w:rPr>
                <w:rFonts w:hint="eastAsia" w:ascii="宋体" w:hAnsi="宋体" w:cs="宋体"/>
                <w:color w:val="auto"/>
                <w:sz w:val="21"/>
                <w:szCs w:val="21"/>
                <w:highlight w:val="none"/>
                <w:lang w:eastAsia="zh-CN"/>
              </w:rPr>
              <w:t>网站</w:t>
            </w:r>
            <w:r>
              <w:rPr>
                <w:rFonts w:hint="eastAsia" w:ascii="宋体" w:hAnsi="宋体" w:cs="宋体"/>
                <w:color w:val="auto"/>
                <w:sz w:val="21"/>
                <w:szCs w:val="21"/>
                <w:highlight w:val="none"/>
              </w:rPr>
              <w:t>对已递交的电子投标文件进行解密。</w:t>
            </w:r>
          </w:p>
        </w:tc>
      </w:tr>
      <w:tr>
        <w:tblPrEx>
          <w:tblCellMar>
            <w:top w:w="0" w:type="dxa"/>
            <w:left w:w="108" w:type="dxa"/>
            <w:bottom w:w="0" w:type="dxa"/>
            <w:right w:w="108" w:type="dxa"/>
          </w:tblCellMar>
        </w:tblPrEx>
        <w:trPr>
          <w:trHeight w:val="280" w:hRule="atLeast"/>
        </w:trPr>
        <w:tc>
          <w:tcPr>
            <w:tcW w:w="129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66" w:name="_Toc221950071"/>
            <w:r>
              <w:rPr>
                <w:color w:val="auto"/>
                <w:szCs w:val="21"/>
                <w:highlight w:val="none"/>
              </w:rPr>
              <w:t>5.1</w:t>
            </w:r>
            <w:bookmarkEnd w:id="166"/>
          </w:p>
        </w:tc>
        <w:tc>
          <w:tcPr>
            <w:tcW w:w="2192"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67" w:name="_Toc221950072"/>
            <w:r>
              <w:rPr>
                <w:rFonts w:hint="eastAsia"/>
                <w:color w:val="auto"/>
                <w:szCs w:val="21"/>
                <w:highlight w:val="none"/>
              </w:rPr>
              <w:t>开标时间和地点</w:t>
            </w:r>
            <w:bookmarkEnd w:id="167"/>
          </w:p>
        </w:tc>
        <w:tc>
          <w:tcPr>
            <w:tcW w:w="503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rPr>
                <w:color w:val="auto"/>
                <w:szCs w:val="21"/>
                <w:highlight w:val="none"/>
              </w:rPr>
            </w:pPr>
            <w:r>
              <w:rPr>
                <w:rFonts w:hint="eastAsia"/>
                <w:color w:val="auto"/>
                <w:szCs w:val="21"/>
                <w:highlight w:val="none"/>
              </w:rPr>
              <w:t>1、开标开始时间：____年__月</w:t>
            </w:r>
            <w:r>
              <w:rPr>
                <w:color w:val="auto"/>
                <w:szCs w:val="21"/>
                <w:highlight w:val="none"/>
              </w:rPr>
              <w:t>__</w:t>
            </w:r>
            <w:r>
              <w:rPr>
                <w:rFonts w:hint="eastAsia"/>
                <w:color w:val="auto"/>
                <w:szCs w:val="21"/>
                <w:highlight w:val="none"/>
              </w:rPr>
              <w:t xml:space="preserve">日 </w:t>
            </w:r>
            <w:r>
              <w:rPr>
                <w:color w:val="auto"/>
                <w:szCs w:val="21"/>
                <w:highlight w:val="none"/>
              </w:rPr>
              <w:t>__</w:t>
            </w:r>
            <w:r>
              <w:rPr>
                <w:rFonts w:hint="eastAsia"/>
                <w:color w:val="auto"/>
                <w:szCs w:val="21"/>
                <w:highlight w:val="none"/>
              </w:rPr>
              <w:t>时</w:t>
            </w:r>
            <w:r>
              <w:rPr>
                <w:color w:val="auto"/>
                <w:szCs w:val="21"/>
                <w:highlight w:val="none"/>
              </w:rPr>
              <w:t>__</w:t>
            </w:r>
            <w:r>
              <w:rPr>
                <w:rFonts w:hint="eastAsia"/>
                <w:color w:val="auto"/>
                <w:szCs w:val="21"/>
                <w:highlight w:val="none"/>
              </w:rPr>
              <w:t>分</w:t>
            </w:r>
          </w:p>
          <w:p>
            <w:pPr>
              <w:spacing w:before="120" w:beforeLines="50" w:line="360" w:lineRule="auto"/>
              <w:contextualSpacing/>
              <w:rPr>
                <w:rFonts w:hint="eastAsia"/>
                <w:color w:val="auto"/>
                <w:szCs w:val="21"/>
                <w:highlight w:val="none"/>
              </w:rPr>
            </w:pPr>
            <w:r>
              <w:rPr>
                <w:rFonts w:hint="eastAsia"/>
                <w:color w:val="auto"/>
                <w:szCs w:val="21"/>
                <w:highlight w:val="none"/>
              </w:rPr>
              <w:t>2、地点：</w:t>
            </w:r>
            <w:r>
              <w:rPr>
                <w:rFonts w:hint="eastAsia"/>
                <w:color w:val="auto"/>
                <w:szCs w:val="21"/>
                <w:highlight w:val="none"/>
                <w:lang w:eastAsia="zh-CN"/>
              </w:rPr>
              <w:t>广州交易集团有限公司（广州公共资源交易中心）</w:t>
            </w:r>
            <w:r>
              <w:rPr>
                <w:rFonts w:hint="eastAsia"/>
                <w:color w:val="auto"/>
                <w:szCs w:val="21"/>
                <w:highlight w:val="none"/>
              </w:rPr>
              <w:t>开标室。</w:t>
            </w:r>
          </w:p>
          <w:p>
            <w:pPr>
              <w:spacing w:before="120" w:beforeLines="50" w:line="360" w:lineRule="auto"/>
              <w:contextualSpacing/>
              <w:rPr>
                <w:color w:val="auto"/>
                <w:highlight w:val="none"/>
              </w:rPr>
            </w:pPr>
            <w:r>
              <w:rPr>
                <w:rFonts w:hint="eastAsia" w:ascii="Calibri" w:hAnsi="Calibri" w:eastAsia="宋体" w:cs="Times New Roman"/>
                <w:bCs w:val="0"/>
                <w:color w:val="auto"/>
                <w:kern w:val="2"/>
                <w:sz w:val="21"/>
                <w:szCs w:val="21"/>
                <w:highlight w:val="none"/>
              </w:rPr>
              <w:t>开标时，投标人代表有权参加现场开标或</w:t>
            </w:r>
            <w:r>
              <w:rPr>
                <w:rFonts w:hint="eastAsia" w:ascii="Calibri" w:hAnsi="Calibri" w:eastAsia="宋体" w:cs="Times New Roman"/>
                <w:b w:val="0"/>
                <w:bCs w:val="0"/>
                <w:color w:val="auto"/>
                <w:kern w:val="2"/>
                <w:sz w:val="21"/>
                <w:szCs w:val="21"/>
                <w:highlight w:val="none"/>
              </w:rPr>
              <w:t>在线开标</w:t>
            </w:r>
            <w:r>
              <w:rPr>
                <w:rFonts w:hint="eastAsia" w:ascii="Calibri" w:hAnsi="Calibri" w:eastAsia="宋体" w:cs="Times New Roman"/>
                <w:bCs w:val="0"/>
                <w:color w:val="auto"/>
                <w:kern w:val="2"/>
                <w:sz w:val="21"/>
                <w:szCs w:val="21"/>
                <w:highlight w:val="none"/>
              </w:rPr>
              <w:t>，也可以自主决定不参加开标</w:t>
            </w:r>
            <w:r>
              <w:rPr>
                <w:rFonts w:hint="eastAsia" w:eastAsia="宋体" w:cs="Times New Roman"/>
                <w:bCs w:val="0"/>
                <w:color w:val="auto"/>
                <w:kern w:val="2"/>
                <w:sz w:val="21"/>
                <w:szCs w:val="21"/>
                <w:highlight w:val="none"/>
                <w:lang w:eastAsia="zh-CN"/>
              </w:rPr>
              <w:t>，</w:t>
            </w:r>
            <w:r>
              <w:rPr>
                <w:rFonts w:hint="eastAsia" w:eastAsia="宋体" w:cs="Times New Roman"/>
                <w:color w:val="auto"/>
                <w:sz w:val="21"/>
                <w:szCs w:val="21"/>
                <w:highlight w:val="none"/>
                <w:lang w:eastAsia="zh-CN"/>
              </w:rPr>
              <w:t>投标人选择参加在线开标的，具</w:t>
            </w:r>
            <w:r>
              <w:rPr>
                <w:rFonts w:hint="eastAsia"/>
                <w:color w:val="auto"/>
                <w:sz w:val="21"/>
                <w:szCs w:val="21"/>
                <w:highlight w:val="none"/>
                <w:lang w:eastAsia="zh-CN"/>
              </w:rPr>
              <w:t>体按照交易平台相关指南进行操作。</w:t>
            </w:r>
          </w:p>
          <w:p>
            <w:pPr>
              <w:spacing w:before="120" w:beforeLines="50" w:line="360" w:lineRule="auto"/>
              <w:contextualSpacing/>
              <w:rPr>
                <w:color w:val="auto"/>
                <w:szCs w:val="21"/>
                <w:highlight w:val="none"/>
              </w:rPr>
            </w:pPr>
            <w:r>
              <w:rPr>
                <w:rFonts w:hint="eastAsia"/>
                <w:color w:val="auto"/>
                <w:szCs w:val="21"/>
                <w:highlight w:val="none"/>
              </w:rPr>
              <w:t>3、上述时间及地点是否有改变，请密切留意</w:t>
            </w:r>
            <w:r>
              <w:rPr>
                <w:rFonts w:hint="eastAsia"/>
                <w:color w:val="auto"/>
                <w:szCs w:val="21"/>
                <w:highlight w:val="none"/>
                <w:lang w:eastAsia="zh-CN"/>
              </w:rPr>
              <w:t>补充公告或</w:t>
            </w:r>
            <w:r>
              <w:rPr>
                <w:rFonts w:hint="eastAsia"/>
                <w:color w:val="auto"/>
                <w:szCs w:val="21"/>
                <w:highlight w:val="none"/>
              </w:rPr>
              <w:t>招标答疑纪要的相关信息。</w:t>
            </w:r>
          </w:p>
        </w:tc>
      </w:tr>
      <w:tr>
        <w:tblPrEx>
          <w:tblCellMar>
            <w:top w:w="0" w:type="dxa"/>
            <w:left w:w="108" w:type="dxa"/>
            <w:bottom w:w="0" w:type="dxa"/>
            <w:right w:w="108" w:type="dxa"/>
          </w:tblCellMar>
        </w:tblPrEx>
        <w:trPr>
          <w:trHeight w:val="634" w:hRule="atLeast"/>
        </w:trPr>
        <w:tc>
          <w:tcPr>
            <w:tcW w:w="129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center"/>
              <w:rPr>
                <w:rFonts w:hint="default"/>
                <w:color w:val="auto"/>
                <w:szCs w:val="21"/>
                <w:highlight w:val="none"/>
                <w:lang w:val="en-US"/>
              </w:rPr>
            </w:pPr>
            <w:r>
              <w:rPr>
                <w:rFonts w:hint="eastAsia"/>
                <w:color w:val="auto"/>
                <w:szCs w:val="21"/>
                <w:highlight w:val="none"/>
                <w:lang w:val="en-US" w:eastAsia="zh-CN"/>
              </w:rPr>
              <w:t>6.3</w:t>
            </w:r>
          </w:p>
        </w:tc>
        <w:tc>
          <w:tcPr>
            <w:tcW w:w="2192"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开标评标办法</w:t>
            </w:r>
          </w:p>
        </w:tc>
        <w:tc>
          <w:tcPr>
            <w:tcW w:w="503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rPr>
                <w:rFonts w:hint="eastAsia" w:ascii="宋体" w:hAnsi="宋体"/>
                <w:color w:val="auto"/>
                <w:szCs w:val="21"/>
                <w:highlight w:val="none"/>
              </w:rPr>
            </w:pPr>
            <w:r>
              <w:rPr>
                <w:rFonts w:hint="eastAsia" w:ascii="宋体" w:hAnsi="宋体"/>
                <w:color w:val="auto"/>
                <w:szCs w:val="21"/>
                <w:highlight w:val="none"/>
              </w:rPr>
              <w:sym w:font="Wingdings 2" w:char="0052"/>
            </w:r>
            <w:r>
              <w:rPr>
                <w:rFonts w:hint="eastAsia"/>
                <w:color w:val="auto"/>
                <w:szCs w:val="21"/>
                <w:highlight w:val="none"/>
              </w:rPr>
              <w:t>综合评估法一</w:t>
            </w:r>
          </w:p>
        </w:tc>
      </w:tr>
      <w:tr>
        <w:tblPrEx>
          <w:tblCellMar>
            <w:top w:w="0" w:type="dxa"/>
            <w:left w:w="108" w:type="dxa"/>
            <w:bottom w:w="0" w:type="dxa"/>
            <w:right w:w="108" w:type="dxa"/>
          </w:tblCellMar>
        </w:tblPrEx>
        <w:trPr>
          <w:trHeight w:val="505" w:hRule="atLeast"/>
        </w:trPr>
        <w:tc>
          <w:tcPr>
            <w:tcW w:w="129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68" w:name="_Toc221950075"/>
            <w:r>
              <w:rPr>
                <w:color w:val="auto"/>
                <w:szCs w:val="21"/>
                <w:highlight w:val="none"/>
              </w:rPr>
              <w:t>6.1.1</w:t>
            </w:r>
            <w:bookmarkEnd w:id="168"/>
          </w:p>
        </w:tc>
        <w:tc>
          <w:tcPr>
            <w:tcW w:w="2192"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69" w:name="_Toc221950076"/>
            <w:r>
              <w:rPr>
                <w:rFonts w:hint="eastAsia"/>
                <w:color w:val="auto"/>
                <w:szCs w:val="21"/>
                <w:highlight w:val="none"/>
              </w:rPr>
              <w:t>评标委员会的组建</w:t>
            </w:r>
            <w:bookmarkEnd w:id="169"/>
          </w:p>
        </w:tc>
        <w:tc>
          <w:tcPr>
            <w:tcW w:w="503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rPr>
                <w:rFonts w:hint="eastAsia"/>
                <w:color w:val="auto"/>
                <w:szCs w:val="21"/>
                <w:highlight w:val="none"/>
              </w:rPr>
            </w:pPr>
            <w:r>
              <w:rPr>
                <w:rFonts w:hint="eastAsia"/>
                <w:color w:val="auto"/>
                <w:szCs w:val="21"/>
                <w:highlight w:val="none"/>
              </w:rPr>
              <w:t>评标委员会构成：</w:t>
            </w:r>
            <w:r>
              <w:rPr>
                <w:rFonts w:hint="eastAsia"/>
                <w:color w:val="auto"/>
                <w:szCs w:val="21"/>
                <w:highlight w:val="none"/>
                <w:lang w:val="en-US" w:eastAsia="zh-CN"/>
              </w:rPr>
              <w:t>由</w:t>
            </w:r>
            <w:r>
              <w:rPr>
                <w:rFonts w:hint="eastAsia"/>
                <w:color w:val="auto"/>
                <w:szCs w:val="21"/>
                <w:highlight w:val="none"/>
                <w:u w:val="single"/>
                <w:lang w:val="en-US" w:eastAsia="zh-CN"/>
              </w:rPr>
              <w:t>招标人依法组建</w:t>
            </w:r>
            <w:r>
              <w:rPr>
                <w:rFonts w:hint="eastAsia"/>
                <w:color w:val="auto"/>
                <w:szCs w:val="21"/>
                <w:highlight w:val="none"/>
              </w:rPr>
              <w:t>；</w:t>
            </w:r>
          </w:p>
          <w:p>
            <w:pPr>
              <w:spacing w:before="120" w:beforeLines="50" w:line="360" w:lineRule="auto"/>
              <w:contextualSpacing/>
              <w:rPr>
                <w:rFonts w:hint="default" w:eastAsia="宋体"/>
                <w:color w:val="auto"/>
                <w:szCs w:val="21"/>
                <w:highlight w:val="none"/>
                <w:lang w:val="en-US" w:eastAsia="zh-CN"/>
              </w:rPr>
            </w:pPr>
            <w:r>
              <w:rPr>
                <w:rFonts w:hint="eastAsia"/>
                <w:color w:val="auto"/>
                <w:szCs w:val="21"/>
                <w:highlight w:val="none"/>
              </w:rPr>
              <w:t>评标专家确定方式：除招标人代表外，其余专家均从在广东省综合评标评审专家库中随机抽取</w:t>
            </w:r>
            <w:r>
              <w:rPr>
                <w:rFonts w:hint="eastAsia"/>
                <w:color w:val="auto"/>
                <w:szCs w:val="21"/>
                <w:highlight w:val="none"/>
                <w:lang w:val="en-US" w:eastAsia="zh-CN"/>
              </w:rPr>
              <w:t>。</w:t>
            </w:r>
          </w:p>
        </w:tc>
      </w:tr>
      <w:tr>
        <w:tblPrEx>
          <w:tblCellMar>
            <w:top w:w="0" w:type="dxa"/>
            <w:left w:w="108" w:type="dxa"/>
            <w:bottom w:w="0" w:type="dxa"/>
            <w:right w:w="108" w:type="dxa"/>
          </w:tblCellMar>
        </w:tblPrEx>
        <w:trPr>
          <w:trHeight w:val="90" w:hRule="atLeast"/>
        </w:trPr>
        <w:tc>
          <w:tcPr>
            <w:tcW w:w="129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r>
              <w:rPr>
                <w:rFonts w:hint="eastAsia"/>
                <w:color w:val="auto"/>
                <w:szCs w:val="21"/>
                <w:highlight w:val="none"/>
              </w:rPr>
              <w:t>7.2.1</w:t>
            </w:r>
          </w:p>
        </w:tc>
        <w:tc>
          <w:tcPr>
            <w:tcW w:w="2192"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jc w:val="left"/>
              <w:rPr>
                <w:rFonts w:hint="eastAsia"/>
                <w:color w:val="auto"/>
                <w:szCs w:val="21"/>
                <w:highlight w:val="none"/>
              </w:rPr>
            </w:pPr>
            <w:r>
              <w:rPr>
                <w:rFonts w:hint="eastAsia"/>
                <w:color w:val="auto"/>
                <w:szCs w:val="21"/>
                <w:highlight w:val="none"/>
              </w:rPr>
              <w:t>中标候选人公示媒介</w:t>
            </w:r>
          </w:p>
        </w:tc>
        <w:tc>
          <w:tcPr>
            <w:tcW w:w="5038" w:type="dxa"/>
            <w:tcBorders>
              <w:top w:val="single" w:color="auto" w:sz="4" w:space="0"/>
              <w:left w:val="single" w:color="auto" w:sz="4" w:space="0"/>
              <w:right w:val="single" w:color="auto" w:sz="4" w:space="0"/>
            </w:tcBorders>
            <w:noWrap w:val="0"/>
            <w:vAlign w:val="center"/>
          </w:tcPr>
          <w:p>
            <w:pPr>
              <w:spacing w:before="120" w:beforeLines="50" w:line="360" w:lineRule="auto"/>
              <w:contextualSpacing/>
              <w:rPr>
                <w:rFonts w:hint="eastAsia" w:eastAsia="宋体"/>
                <w:color w:val="auto"/>
                <w:szCs w:val="21"/>
                <w:highlight w:val="none"/>
                <w:lang w:eastAsia="zh-CN"/>
              </w:rPr>
            </w:pPr>
            <w:r>
              <w:rPr>
                <w:rFonts w:hint="eastAsia" w:ascii="宋体" w:hAnsi="宋体"/>
                <w:color w:val="auto"/>
                <w:szCs w:val="21"/>
                <w:highlight w:val="none"/>
                <w:shd w:val="clear" w:color="auto" w:fill="FFFFFF"/>
              </w:rPr>
              <w:t>广东省招标投标监管网、</w:t>
            </w:r>
            <w:r>
              <w:rPr>
                <w:rFonts w:hint="eastAsia" w:ascii="宋体" w:hAnsi="宋体"/>
                <w:color w:val="auto"/>
                <w:szCs w:val="21"/>
                <w:highlight w:val="none"/>
                <w:shd w:val="clear" w:color="auto" w:fill="FFFFFF"/>
                <w:lang w:eastAsia="zh-CN"/>
              </w:rPr>
              <w:t>广州交易集团有限公司（广州公共资源交易中心）</w:t>
            </w:r>
            <w:r>
              <w:rPr>
                <w:rFonts w:hint="eastAsia" w:ascii="宋体" w:hAnsi="宋体"/>
                <w:color w:val="auto"/>
                <w:szCs w:val="21"/>
                <w:highlight w:val="none"/>
                <w:shd w:val="clear" w:color="auto" w:fill="FFFFFF"/>
              </w:rPr>
              <w:t>网站</w:t>
            </w:r>
            <w:r>
              <w:rPr>
                <w:rFonts w:hint="eastAsia" w:ascii="宋体" w:hAnsi="宋体"/>
                <w:color w:val="auto"/>
                <w:szCs w:val="21"/>
                <w:highlight w:val="none"/>
                <w:shd w:val="clear" w:color="auto" w:fill="FFFFFF"/>
                <w:lang w:eastAsia="zh-CN"/>
              </w:rPr>
              <w:t>、</w:t>
            </w:r>
            <w:r>
              <w:rPr>
                <w:rFonts w:hint="eastAsia" w:ascii="宋体" w:hAnsi="宋体"/>
                <w:color w:val="auto"/>
                <w:szCs w:val="21"/>
                <w:highlight w:val="none"/>
                <w:shd w:val="clear" w:color="auto" w:fill="FFFFFF"/>
              </w:rPr>
              <w:t>中国招标投标公共服务平台</w:t>
            </w:r>
          </w:p>
        </w:tc>
      </w:tr>
      <w:tr>
        <w:tblPrEx>
          <w:tblCellMar>
            <w:top w:w="0" w:type="dxa"/>
            <w:left w:w="108" w:type="dxa"/>
            <w:bottom w:w="0" w:type="dxa"/>
            <w:right w:w="108" w:type="dxa"/>
          </w:tblCellMar>
        </w:tblPrEx>
        <w:trPr>
          <w:trHeight w:val="417"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bookmarkStart w:id="170" w:name="_Toc221950079"/>
            <w:r>
              <w:rPr>
                <w:color w:val="auto"/>
                <w:szCs w:val="21"/>
                <w:highlight w:val="none"/>
              </w:rPr>
              <w:t>7.</w:t>
            </w:r>
            <w:r>
              <w:rPr>
                <w:rFonts w:hint="eastAsia"/>
                <w:color w:val="auto"/>
                <w:szCs w:val="21"/>
                <w:highlight w:val="none"/>
              </w:rPr>
              <w:t>4</w:t>
            </w:r>
            <w:r>
              <w:rPr>
                <w:color w:val="auto"/>
                <w:szCs w:val="21"/>
                <w:highlight w:val="none"/>
              </w:rPr>
              <w:t>.1</w:t>
            </w:r>
            <w:bookmarkEnd w:id="170"/>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bookmarkStart w:id="171" w:name="_Toc221950080"/>
            <w:r>
              <w:rPr>
                <w:color w:val="auto"/>
                <w:szCs w:val="21"/>
                <w:highlight w:val="none"/>
              </w:rPr>
              <w:t>履约担保</w:t>
            </w:r>
            <w:bookmarkEnd w:id="171"/>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rPr>
                <w:rFonts w:hint="eastAsia"/>
                <w:color w:val="auto"/>
                <w:szCs w:val="21"/>
                <w:highlight w:val="none"/>
                <w:lang w:eastAsia="zh-CN"/>
              </w:rPr>
            </w:pPr>
            <w:r>
              <w:rPr>
                <w:rFonts w:hint="eastAsia"/>
                <w:color w:val="auto"/>
                <w:szCs w:val="21"/>
                <w:highlight w:val="none"/>
              </w:rPr>
              <w:t>履约保证金为中标价款的10%。</w:t>
            </w:r>
          </w:p>
          <w:p>
            <w:pPr>
              <w:spacing w:before="120" w:beforeLines="50" w:line="360" w:lineRule="auto"/>
              <w:contextualSpacing/>
              <w:rPr>
                <w:rFonts w:hint="default" w:ascii="Calibri" w:hAnsi="Calibri" w:eastAsia="宋体" w:cs="Times New Roman"/>
                <w:b w:val="0"/>
                <w:bCs w:val="0"/>
                <w:color w:val="auto"/>
                <w:kern w:val="2"/>
                <w:sz w:val="21"/>
                <w:szCs w:val="24"/>
                <w:highlight w:val="none"/>
                <w:lang w:val="en-US" w:eastAsia="zh-CN" w:bidi="ar-SA"/>
              </w:rPr>
            </w:pPr>
            <w:r>
              <w:rPr>
                <w:rFonts w:hint="eastAsia" w:ascii="Calibri" w:hAnsi="Calibri" w:eastAsia="宋体" w:cs="Times New Roman"/>
                <w:b w:val="0"/>
                <w:bCs w:val="0"/>
                <w:color w:val="auto"/>
                <w:kern w:val="2"/>
                <w:sz w:val="21"/>
                <w:szCs w:val="24"/>
                <w:highlight w:val="none"/>
                <w:lang w:val="en-US" w:eastAsia="zh-CN" w:bidi="ar-SA"/>
              </w:rPr>
              <w:t>③</w:t>
            </w:r>
            <w:r>
              <w:rPr>
                <w:rFonts w:hint="default" w:ascii="Calibri" w:hAnsi="Calibri" w:eastAsia="宋体" w:cs="Times New Roman"/>
                <w:b w:val="0"/>
                <w:bCs w:val="0"/>
                <w:color w:val="auto"/>
                <w:kern w:val="2"/>
                <w:sz w:val="21"/>
                <w:szCs w:val="24"/>
                <w:highlight w:val="none"/>
                <w:lang w:val="en-US" w:eastAsia="zh-CN" w:bidi="ar-SA"/>
              </w:rPr>
              <w:t>履约保证金的形式：</w:t>
            </w:r>
          </w:p>
          <w:p>
            <w:pPr>
              <w:spacing w:before="120" w:beforeLines="50" w:line="360" w:lineRule="auto"/>
              <w:contextualSpacing/>
              <w:rPr>
                <w:rFonts w:hint="default" w:ascii="Calibri" w:hAnsi="Calibri" w:eastAsia="宋体" w:cs="Times New Roman"/>
                <w:color w:val="auto"/>
                <w:szCs w:val="24"/>
                <w:highlight w:val="none"/>
              </w:rPr>
            </w:pPr>
            <w:r>
              <w:rPr>
                <w:rFonts w:hint="default" w:ascii="Calibri" w:hAnsi="Calibri" w:eastAsia="宋体" w:cs="Times New Roman"/>
                <w:color w:val="auto"/>
                <w:szCs w:val="24"/>
                <w:highlight w:val="none"/>
              </w:rPr>
              <w:t>1.提供银行保函</w:t>
            </w:r>
          </w:p>
          <w:p>
            <w:pPr>
              <w:spacing w:before="120" w:beforeLines="50" w:line="360" w:lineRule="auto"/>
              <w:contextualSpacing/>
              <w:rPr>
                <w:rFonts w:hint="default" w:ascii="Calibri" w:hAnsi="Calibri" w:eastAsia="宋体" w:cs="Times New Roman"/>
                <w:color w:val="auto"/>
                <w:szCs w:val="24"/>
                <w:highlight w:val="none"/>
              </w:rPr>
            </w:pPr>
            <w:r>
              <w:rPr>
                <w:rFonts w:hint="default" w:ascii="Calibri" w:hAnsi="Calibri" w:eastAsia="宋体" w:cs="Times New Roman"/>
                <w:color w:val="auto"/>
                <w:szCs w:val="24"/>
                <w:highlight w:val="none"/>
              </w:rPr>
              <w:t>2.提供担保保函</w:t>
            </w:r>
          </w:p>
          <w:p>
            <w:pPr>
              <w:spacing w:before="120" w:beforeLines="50" w:line="360" w:lineRule="auto"/>
              <w:contextualSpacing/>
              <w:rPr>
                <w:rFonts w:hint="eastAsia"/>
                <w:color w:val="auto"/>
                <w:szCs w:val="21"/>
                <w:highlight w:val="none"/>
                <w:lang w:eastAsia="zh-CN"/>
              </w:rPr>
            </w:pPr>
            <w:r>
              <w:rPr>
                <w:rFonts w:hint="default" w:ascii="Calibri" w:hAnsi="Calibri" w:eastAsia="宋体" w:cs="Times New Roman"/>
                <w:color w:val="auto"/>
                <w:szCs w:val="24"/>
                <w:highlight w:val="none"/>
              </w:rPr>
              <w:t>3.提交保证保险</w:t>
            </w:r>
          </w:p>
        </w:tc>
      </w:tr>
      <w:tr>
        <w:tblPrEx>
          <w:tblCellMar>
            <w:top w:w="0" w:type="dxa"/>
            <w:left w:w="108" w:type="dxa"/>
            <w:bottom w:w="0" w:type="dxa"/>
            <w:right w:w="108" w:type="dxa"/>
          </w:tblCellMar>
        </w:tblPrEx>
        <w:trPr>
          <w:trHeight w:val="417"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color w:val="auto"/>
                <w:szCs w:val="21"/>
                <w:highlight w:val="none"/>
              </w:rPr>
            </w:pP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color w:val="auto"/>
                <w:szCs w:val="21"/>
                <w:highlight w:val="none"/>
              </w:rPr>
            </w:pPr>
            <w:r>
              <w:rPr>
                <w:rFonts w:hint="eastAsia"/>
                <w:color w:val="auto"/>
                <w:szCs w:val="21"/>
                <w:highlight w:val="none"/>
              </w:rPr>
              <w:t>分包</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color w:val="auto"/>
                <w:kern w:val="0"/>
                <w:szCs w:val="21"/>
                <w:highlight w:val="none"/>
                <w:lang w:val="zh-CN"/>
              </w:rPr>
            </w:pPr>
            <w:r>
              <w:rPr>
                <w:rFonts w:hint="eastAsia"/>
                <w:color w:val="auto"/>
                <w:highlight w:val="none"/>
              </w:rPr>
              <w:sym w:font="Wingdings 2" w:char="0051"/>
            </w:r>
            <w:r>
              <w:rPr>
                <w:rFonts w:hint="eastAsia" w:ascii="宋体" w:hAnsi="宋体" w:cs="宋体"/>
                <w:color w:val="auto"/>
                <w:kern w:val="0"/>
                <w:szCs w:val="21"/>
                <w:highlight w:val="none"/>
                <w:lang w:val="zh-CN"/>
              </w:rPr>
              <w:t>不允许；</w:t>
            </w:r>
          </w:p>
          <w:p>
            <w:pPr>
              <w:spacing w:line="360" w:lineRule="auto"/>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sym w:font="Wingdings 2" w:char="0052"/>
            </w:r>
            <w:r>
              <w:rPr>
                <w:rFonts w:hint="eastAsia" w:ascii="宋体" w:hAnsi="宋体" w:cs="宋体"/>
                <w:color w:val="auto"/>
                <w:kern w:val="0"/>
                <w:szCs w:val="21"/>
                <w:highlight w:val="none"/>
                <w:lang w:val="zh-CN"/>
              </w:rPr>
              <w:t>允许：分包内容要要求：</w:t>
            </w:r>
            <w:r>
              <w:rPr>
                <w:rFonts w:hint="eastAsia" w:ascii="宋体" w:hAnsi="宋体" w:cs="宋体"/>
                <w:color w:val="auto"/>
                <w:kern w:val="0"/>
                <w:szCs w:val="21"/>
                <w:highlight w:val="none"/>
                <w:u w:val="single"/>
                <w:lang w:val="zh-CN"/>
              </w:rPr>
              <w:t>中标人按照合同约定或者经招标人同意，可以将中标项目的部分非主体、非关键性工作分包给他人完成。</w:t>
            </w:r>
          </w:p>
          <w:p>
            <w:pPr>
              <w:spacing w:line="360" w:lineRule="auto"/>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分包金额要求：</w:t>
            </w:r>
            <w:r>
              <w:rPr>
                <w:rFonts w:hint="eastAsia" w:ascii="宋体" w:hAnsi="宋体" w:cs="宋体"/>
                <w:color w:val="auto"/>
                <w:kern w:val="0"/>
                <w:szCs w:val="21"/>
                <w:highlight w:val="none"/>
                <w:u w:val="single"/>
                <w:lang w:val="zh-CN"/>
              </w:rPr>
              <w:t>根据实际情况确定。</w:t>
            </w:r>
          </w:p>
          <w:p>
            <w:pPr>
              <w:spacing w:before="156" w:line="360" w:lineRule="auto"/>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对分包人的资质要求：</w:t>
            </w:r>
            <w:r>
              <w:rPr>
                <w:rFonts w:hint="eastAsia" w:ascii="宋体" w:hAnsi="宋体" w:cs="宋体"/>
                <w:color w:val="auto"/>
                <w:kern w:val="0"/>
                <w:szCs w:val="21"/>
                <w:highlight w:val="none"/>
                <w:u w:val="single"/>
                <w:lang w:val="zh-CN"/>
              </w:rPr>
              <w:t>接受分包的人应当具备相应的资质条件，并不得再次分包。</w:t>
            </w:r>
          </w:p>
          <w:p>
            <w:pPr>
              <w:spacing w:before="120" w:beforeLines="50" w:line="360" w:lineRule="auto"/>
              <w:contextualSpacing/>
              <w:rPr>
                <w:rFonts w:hint="eastAsia" w:ascii="Calibri" w:hAnsi="Calibri" w:eastAsia="宋体" w:cs="Times New Roman"/>
                <w:b w:val="0"/>
                <w:bCs w:val="0"/>
                <w:color w:val="auto"/>
                <w:kern w:val="2"/>
                <w:sz w:val="21"/>
                <w:szCs w:val="24"/>
                <w:highlight w:val="none"/>
                <w:lang w:val="en-US" w:eastAsia="zh-CN" w:bidi="ar-SA"/>
              </w:rPr>
            </w:pPr>
            <w:r>
              <w:rPr>
                <w:rFonts w:hint="eastAsia" w:ascii="宋体" w:hAnsi="宋体" w:cs="宋体"/>
                <w:color w:val="auto"/>
                <w:kern w:val="0"/>
                <w:szCs w:val="21"/>
                <w:highlight w:val="none"/>
                <w:lang w:val="zh-CN"/>
              </w:rPr>
              <w:t>对分包人的其他要求：</w:t>
            </w:r>
            <w:r>
              <w:rPr>
                <w:rFonts w:hint="eastAsia" w:ascii="宋体" w:hAnsi="宋体" w:cs="宋体"/>
                <w:color w:val="auto"/>
                <w:kern w:val="0"/>
                <w:szCs w:val="21"/>
                <w:highlight w:val="none"/>
                <w:u w:val="single"/>
                <w:lang w:val="en-US" w:eastAsia="zh-CN"/>
              </w:rPr>
              <w:t>/</w:t>
            </w:r>
            <w:r>
              <w:rPr>
                <w:rFonts w:hint="eastAsia" w:ascii="宋体" w:hAnsi="宋体" w:cs="宋体"/>
                <w:color w:val="auto"/>
                <w:kern w:val="0"/>
                <w:szCs w:val="21"/>
                <w:highlight w:val="none"/>
                <w:lang w:val="zh-CN"/>
              </w:rPr>
              <w:t>。</w:t>
            </w:r>
          </w:p>
        </w:tc>
      </w:tr>
      <w:tr>
        <w:tblPrEx>
          <w:tblCellMar>
            <w:top w:w="0" w:type="dxa"/>
            <w:left w:w="108" w:type="dxa"/>
            <w:bottom w:w="0" w:type="dxa"/>
            <w:right w:w="108" w:type="dxa"/>
          </w:tblCellMar>
        </w:tblPrEx>
        <w:trPr>
          <w:trHeight w:val="379"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center"/>
              <w:rPr>
                <w:rFonts w:hint="eastAsia" w:eastAsia="宋体"/>
                <w:color w:val="auto"/>
                <w:szCs w:val="21"/>
                <w:highlight w:val="none"/>
                <w:lang w:val="en-US" w:eastAsia="zh-CN"/>
              </w:rPr>
            </w:pPr>
            <w:r>
              <w:rPr>
                <w:rFonts w:hint="eastAsia"/>
                <w:color w:val="auto"/>
                <w:szCs w:val="21"/>
                <w:highlight w:val="none"/>
              </w:rPr>
              <w:t>10</w:t>
            </w:r>
            <w:r>
              <w:rPr>
                <w:rFonts w:hint="eastAsia"/>
                <w:color w:val="auto"/>
                <w:szCs w:val="21"/>
                <w:highlight w:val="none"/>
                <w:lang w:val="en-US" w:eastAsia="zh-CN"/>
              </w:rPr>
              <w:t>.1</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line="360" w:lineRule="auto"/>
              <w:contextualSpacing/>
              <w:jc w:val="left"/>
              <w:rPr>
                <w:rFonts w:hint="eastAsia"/>
                <w:color w:val="auto"/>
                <w:szCs w:val="21"/>
                <w:highlight w:val="none"/>
              </w:rPr>
            </w:pPr>
            <w:r>
              <w:rPr>
                <w:rFonts w:hint="eastAsia"/>
                <w:color w:val="auto"/>
                <w:szCs w:val="21"/>
                <w:highlight w:val="none"/>
              </w:rPr>
              <w:t>需要补充的其他内容</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spacing w:before="0" w:beforeLines="0" w:line="400" w:lineRule="exact"/>
              <w:contextualSpacing/>
              <w:rPr>
                <w:rFonts w:hint="eastAsia"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rPr>
              <w:t>施工实名制及工人工</w:t>
            </w:r>
            <w:r>
              <w:rPr>
                <w:rFonts w:hint="eastAsia" w:ascii="宋体" w:hAnsi="宋体" w:eastAsia="宋体" w:cs="宋体"/>
                <w:color w:val="auto"/>
                <w:szCs w:val="21"/>
                <w:highlight w:val="none"/>
                <w:shd w:val="clear" w:color="auto" w:fill="FFFFFF"/>
              </w:rPr>
              <w:t>资分账管理</w:t>
            </w:r>
            <w:r>
              <w:rPr>
                <w:rFonts w:hint="eastAsia" w:ascii="宋体" w:hAnsi="宋体" w:eastAsia="宋体" w:cs="宋体"/>
                <w:color w:val="auto"/>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承包人应根据《住房和城乡建设部人力资源社会保障部关于修改&lt;建筑工人实名制管理办法（试行）&gt;的通知》（建市〔2022〕59号）、《住房城乡建设部 人力资源社会保障部关于印发建筑工人实名管理办法（试行）的通知》（建市〔2019〕18号）、《工程建设领域农民工工资专用账户管理暂行办法）（人社部发〔2021〕53号）、《广州市住房和城乡建设局关于印发广州市建筑施工实名制管理办法的通知》（穗建规字〔2020〕18号）、《关于印发广州市建设领域工人工资支付分账管理实施细则的通知》（穗建规字〔2020〕37号）、《广州市住房和城乡建设局关于公布第五批广州市建设领域工人工资支付分账管理业务银行名录的通知》（穗建筑〔2022〕1号）、《广州市住房和城乡建设局关于进一步征集广州市建设领域工人工资支付分账业务银行的通知》（穗建筑〔2021〕673号）、《广州市水务局转发广州市根治拖欠农民工工资工作领导小组办公室关于广州市建设领域工程项目全面实施农民工工资总包代发制度的通知》（穗水投收字〔2020〕5031号）、《保障农民工工资支付条例》、《广州市水务投资集团有限公司农民工工资纠纷突发事件应急处置工作指引（试行）》等有关要求，做好农民工工资支付工作及落实实名制和工人工资支付分账制度。</w:t>
            </w:r>
          </w:p>
          <w:p>
            <w:pPr>
              <w:adjustRightInd w:val="0"/>
              <w:snapToGrid w:val="0"/>
              <w:spacing w:before="0" w:beforeLines="0" w:line="400" w:lineRule="exact"/>
              <w:contextualSpacing/>
              <w:rPr>
                <w:rFonts w:hint="default"/>
                <w:color w:val="auto"/>
                <w:szCs w:val="21"/>
                <w:highlight w:val="none"/>
                <w:lang w:val="en-US" w:eastAsia="zh-CN"/>
              </w:rPr>
            </w:pPr>
            <w:r>
              <w:rPr>
                <w:rFonts w:hint="eastAsia" w:ascii="宋体" w:hAnsi="宋体" w:eastAsia="宋体" w:cs="宋体"/>
                <w:color w:val="auto"/>
                <w:szCs w:val="21"/>
                <w:highlight w:val="none"/>
                <w:shd w:val="clear" w:color="auto" w:fill="FFFFFF"/>
              </w:rPr>
              <w:t>工程进度款中的工人工资款比例：参照施工招标的《中标通知书》中单列的人工费金额除以中标金额对应的工程价款计算。</w:t>
            </w:r>
          </w:p>
        </w:tc>
      </w:tr>
      <w:tr>
        <w:tblPrEx>
          <w:tblCellMar>
            <w:top w:w="0" w:type="dxa"/>
            <w:left w:w="108" w:type="dxa"/>
            <w:bottom w:w="0" w:type="dxa"/>
            <w:right w:w="108" w:type="dxa"/>
          </w:tblCellMar>
        </w:tblPrEx>
        <w:trPr>
          <w:trHeight w:val="379"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0" w:beforeLines="0" w:line="400" w:lineRule="exact"/>
              <w:contextualSpacing/>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10.2</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0" w:beforeLines="0" w:line="400" w:lineRule="exact"/>
              <w:contextualSpacing/>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交易服务费</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0" w:beforeLines="0" w:line="400" w:lineRule="exact"/>
              <w:contextualSpacing/>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中标候选公示后，由招标人向广州交易集团有限公司（广州公共资源交易中心）缴纳交易服务费、向广州交易集团有限公司（广州公共资源交易中心）索取发票，并在取得发票后及时告知招标代理。（该交易服务费为中标金额的0.9‰，具体收费标准招标人可以在广州交易集团有限公司（广州公共资源交易中心）网站查阅，如有变更以广州交易集团有限公司（广州公共资源交易中心）最新发布的标准为准）。</w:t>
            </w:r>
          </w:p>
        </w:tc>
      </w:tr>
      <w:tr>
        <w:tblPrEx>
          <w:tblCellMar>
            <w:top w:w="0" w:type="dxa"/>
            <w:left w:w="108" w:type="dxa"/>
            <w:bottom w:w="0" w:type="dxa"/>
            <w:right w:w="108" w:type="dxa"/>
          </w:tblCellMar>
        </w:tblPrEx>
        <w:trPr>
          <w:trHeight w:val="379"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snapToGrid w:val="0"/>
              <w:spacing w:before="0" w:beforeLines="0" w:line="400" w:lineRule="exact"/>
              <w:contextualSpacing/>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10.</w:t>
            </w:r>
            <w:r>
              <w:rPr>
                <w:rFonts w:hint="eastAsia" w:ascii="宋体" w:hAnsi="宋体" w:eastAsia="宋体" w:cs="宋体"/>
                <w:color w:val="auto"/>
                <w:szCs w:val="21"/>
                <w:highlight w:val="none"/>
                <w:lang w:val="en-US" w:eastAsia="zh-CN"/>
              </w:rPr>
              <w:t>3</w:t>
            </w:r>
          </w:p>
        </w:tc>
        <w:tc>
          <w:tcPr>
            <w:tcW w:w="0" w:type="auto"/>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0" w:beforeLines="0" w:line="400" w:lineRule="exact"/>
              <w:contextualSpacing/>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诚信评价管理</w:t>
            </w:r>
          </w:p>
        </w:tc>
        <w:tc>
          <w:tcPr>
            <w:tcW w:w="0" w:type="auto"/>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0" w:beforeLines="0" w:line="400" w:lineRule="exact"/>
              <w:contextualSpacing/>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根据《广州市水务局关于印发广州市水务工程施工和监理企业诚信评价管理办法的通知》（穗水规字</w:t>
            </w:r>
            <w:r>
              <w:rPr>
                <w:rFonts w:hint="eastAsia" w:ascii="宋体" w:hAnsi="宋体" w:eastAsia="宋体" w:cs="宋体"/>
                <w:color w:val="auto"/>
                <w:kern w:val="2"/>
                <w:sz w:val="21"/>
                <w:szCs w:val="21"/>
                <w:highlight w:val="none"/>
              </w:rPr>
              <w:t>〔2020〕</w:t>
            </w:r>
            <w:r>
              <w:rPr>
                <w:rFonts w:hint="eastAsia" w:ascii="宋体" w:hAnsi="宋体" w:eastAsia="宋体" w:cs="宋体"/>
                <w:color w:val="auto"/>
                <w:szCs w:val="21"/>
                <w:highlight w:val="none"/>
              </w:rPr>
              <w:t>11号）、广州市水务局关于调整《广州市水务工程施工和监理企业诚信评价管理办法》部分条款的通知(穗水建管</w:t>
            </w:r>
            <w:r>
              <w:rPr>
                <w:rFonts w:hint="eastAsia" w:ascii="宋体" w:hAnsi="宋体" w:eastAsia="宋体" w:cs="宋体"/>
                <w:color w:val="auto"/>
                <w:kern w:val="2"/>
                <w:sz w:val="21"/>
                <w:szCs w:val="21"/>
                <w:highlight w:val="none"/>
              </w:rPr>
              <w:t>〔</w:t>
            </w:r>
            <w:r>
              <w:rPr>
                <w:rFonts w:hint="eastAsia" w:ascii="宋体" w:hAnsi="宋体" w:eastAsia="宋体" w:cs="宋体"/>
                <w:color w:val="auto"/>
                <w:szCs w:val="21"/>
                <w:highlight w:val="none"/>
              </w:rPr>
              <w:t>2023</w:t>
            </w:r>
            <w:r>
              <w:rPr>
                <w:rFonts w:hint="eastAsia" w:ascii="宋体" w:hAnsi="宋体" w:eastAsia="宋体" w:cs="宋体"/>
                <w:color w:val="auto"/>
                <w:kern w:val="2"/>
                <w:sz w:val="21"/>
                <w:szCs w:val="21"/>
                <w:highlight w:val="none"/>
              </w:rPr>
              <w:t>〕</w:t>
            </w:r>
            <w:r>
              <w:rPr>
                <w:rFonts w:hint="eastAsia" w:ascii="宋体" w:hAnsi="宋体" w:eastAsia="宋体" w:cs="宋体"/>
                <w:color w:val="auto"/>
                <w:szCs w:val="21"/>
                <w:highlight w:val="none"/>
              </w:rPr>
              <w:t>123 号)等有关规定，广州市自来水有限公司组织实施的建设项目,广州市自来水有限公司将对不充分履约或严重违反合同约定的企业，按诚信评价标准对其作出评价，该评价结果由广州市自来水有限公司直接录入诚信评价信息系统，并运用于建设项目招投标活动中。</w:t>
            </w:r>
          </w:p>
        </w:tc>
      </w:tr>
      <w:tr>
        <w:tblPrEx>
          <w:tblCellMar>
            <w:top w:w="0" w:type="dxa"/>
            <w:left w:w="108" w:type="dxa"/>
            <w:bottom w:w="0" w:type="dxa"/>
            <w:right w:w="108" w:type="dxa"/>
          </w:tblCellMar>
        </w:tblPrEx>
        <w:trPr>
          <w:trHeight w:val="379"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snapToGrid w:val="0"/>
              <w:spacing w:before="0" w:beforeLines="0" w:line="400" w:lineRule="exact"/>
              <w:contextualSpacing/>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10.</w:t>
            </w:r>
            <w:r>
              <w:rPr>
                <w:rFonts w:hint="default" w:ascii="宋体" w:hAnsi="宋体" w:eastAsia="宋体" w:cs="宋体"/>
                <w:color w:val="auto"/>
                <w:szCs w:val="21"/>
                <w:highlight w:val="none"/>
                <w:lang w:val="en-US" w:eastAsia="zh-CN"/>
              </w:rPr>
              <w:t>4</w:t>
            </w:r>
          </w:p>
        </w:tc>
        <w:tc>
          <w:tcPr>
            <w:tcW w:w="0" w:type="auto"/>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0" w:beforeLines="0" w:line="400" w:lineRule="exact"/>
              <w:contextualSpacing/>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项目管理架构人员资料要求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0" w:beforeLines="0" w:line="400" w:lineRule="exact"/>
              <w:contextualSpacing/>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中标人在签订合同前须提供不低于其投标文件中所承诺的人员架构配置情况，填写合同附件中的《项目管理架构组成表》和《主要人员简历表》，并提供所配置人员的资格证书和本单位交纳的社保证明文件（以加盖社会保险基金管理中心印章的《投保单》或《社会保险参保人员证明》资料为准）原件予招标人核实。</w:t>
            </w:r>
          </w:p>
        </w:tc>
      </w:tr>
      <w:tr>
        <w:tblPrEx>
          <w:tblCellMar>
            <w:top w:w="0" w:type="dxa"/>
            <w:left w:w="108" w:type="dxa"/>
            <w:bottom w:w="0" w:type="dxa"/>
            <w:right w:w="108" w:type="dxa"/>
          </w:tblCellMar>
        </w:tblPrEx>
        <w:trPr>
          <w:trHeight w:val="379"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0" w:beforeLines="0" w:line="400" w:lineRule="exact"/>
              <w:contextualSpacing/>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10.</w:t>
            </w:r>
            <w:r>
              <w:rPr>
                <w:rFonts w:hint="eastAsia" w:ascii="宋体" w:hAnsi="宋体" w:eastAsia="宋体" w:cs="宋体"/>
                <w:color w:val="auto"/>
                <w:szCs w:val="21"/>
                <w:highlight w:val="none"/>
                <w:lang w:val="en-US" w:eastAsia="zh-CN"/>
              </w:rPr>
              <w:t>5</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0" w:beforeLines="0" w:line="400" w:lineRule="exact"/>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失信联合惩戒管理</w:t>
            </w:r>
          </w:p>
        </w:tc>
        <w:tc>
          <w:tcPr>
            <w:tcW w:w="503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0" w:beforeLines="0" w:line="400" w:lineRule="exact"/>
              <w:contextualSpacing/>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在</w:t>
            </w:r>
            <w:r>
              <w:rPr>
                <w:rFonts w:hint="eastAsia" w:ascii="宋体" w:hAnsi="宋体" w:eastAsia="宋体" w:cs="宋体"/>
                <w:color w:val="auto"/>
                <w:sz w:val="21"/>
                <w:szCs w:val="21"/>
                <w:highlight w:val="none"/>
                <w:u w:val="none"/>
              </w:rPr>
              <w:t>发出中标通知书前，中标人应</w:t>
            </w:r>
            <w:r>
              <w:rPr>
                <w:rFonts w:hint="eastAsia" w:ascii="宋体" w:hAnsi="宋体" w:eastAsia="宋体" w:cs="宋体"/>
                <w:color w:val="auto"/>
                <w:sz w:val="21"/>
                <w:szCs w:val="21"/>
                <w:highlight w:val="none"/>
                <w:u w:val="none"/>
                <w:lang w:val="en-US" w:eastAsia="zh-CN"/>
              </w:rPr>
              <w:t>未被</w:t>
            </w:r>
            <w:r>
              <w:rPr>
                <w:rFonts w:hint="eastAsia" w:ascii="宋体" w:hAnsi="宋体" w:eastAsia="宋体" w:cs="宋体"/>
                <w:color w:val="auto"/>
                <w:sz w:val="21"/>
                <w:szCs w:val="21"/>
                <w:highlight w:val="none"/>
                <w:u w:val="none"/>
              </w:rPr>
              <w:t>列入“在一定期限内依法取消参加依法必须进行招标的项目的投标资格”，具体名单以“信用广州”公布的“黑名单”为准</w:t>
            </w:r>
            <w:r>
              <w:rPr>
                <w:rFonts w:hint="eastAsia" w:ascii="宋体" w:hAnsi="宋体" w:eastAsia="宋体" w:cs="宋体"/>
                <w:color w:val="auto"/>
                <w:szCs w:val="21"/>
                <w:highlight w:val="none"/>
                <w:lang w:eastAsia="zh-CN"/>
              </w:rPr>
              <w:t>。</w:t>
            </w:r>
          </w:p>
        </w:tc>
      </w:tr>
    </w:tbl>
    <w:p>
      <w:pPr>
        <w:pStyle w:val="15"/>
        <w:spacing w:line="360" w:lineRule="auto"/>
        <w:rPr>
          <w:rFonts w:eastAsia="宋体"/>
          <w:b/>
          <w:color w:val="auto"/>
          <w:sz w:val="24"/>
          <w:highlight w:val="none"/>
        </w:rPr>
      </w:pPr>
    </w:p>
    <w:p>
      <w:pPr>
        <w:widowControl/>
        <w:jc w:val="left"/>
        <w:rPr>
          <w:rFonts w:ascii="宋体" w:hAnsi="宋体"/>
          <w:b/>
          <w:color w:val="auto"/>
          <w:sz w:val="24"/>
          <w:szCs w:val="24"/>
          <w:highlight w:val="none"/>
          <w:u w:val="single"/>
        </w:rPr>
      </w:pPr>
      <w:r>
        <w:rPr>
          <w:rFonts w:ascii="宋体" w:hAnsi="宋体"/>
          <w:b/>
          <w:color w:val="auto"/>
          <w:sz w:val="24"/>
          <w:highlight w:val="none"/>
        </w:rPr>
        <w:br w:type="page"/>
      </w:r>
    </w:p>
    <w:p>
      <w:pPr>
        <w:spacing w:line="360" w:lineRule="auto"/>
        <w:jc w:val="center"/>
        <w:outlineLvl w:val="2"/>
        <w:rPr>
          <w:rFonts w:ascii="黑体" w:hAnsi="黑体" w:eastAsia="黑体"/>
          <w:color w:val="auto"/>
          <w:sz w:val="28"/>
          <w:szCs w:val="27"/>
          <w:highlight w:val="none"/>
        </w:rPr>
      </w:pPr>
      <w:bookmarkStart w:id="172" w:name="_Toc13227"/>
      <w:bookmarkStart w:id="173" w:name="_Toc17556876"/>
      <w:bookmarkStart w:id="174" w:name="_Toc17452664"/>
      <w:bookmarkStart w:id="175" w:name="_Toc17454922"/>
      <w:bookmarkStart w:id="176" w:name="_Toc17454871"/>
      <w:bookmarkStart w:id="177" w:name="_Toc262229161"/>
      <w:bookmarkStart w:id="178" w:name="_Toc17451578"/>
      <w:bookmarkStart w:id="179" w:name="_Toc17451623"/>
      <w:bookmarkStart w:id="180" w:name="_Toc17451101"/>
      <w:r>
        <w:rPr>
          <w:rFonts w:hint="eastAsia" w:ascii="黑体" w:hAnsi="黑体" w:eastAsia="黑体"/>
          <w:color w:val="auto"/>
          <w:sz w:val="28"/>
          <w:szCs w:val="27"/>
          <w:highlight w:val="none"/>
        </w:rPr>
        <w:t>二、</w:t>
      </w:r>
      <w:r>
        <w:rPr>
          <w:rFonts w:hint="eastAsia" w:ascii="黑体" w:hAnsi="黑体" w:eastAsia="黑体"/>
          <w:color w:val="auto"/>
          <w:sz w:val="28"/>
          <w:szCs w:val="27"/>
          <w:highlight w:val="none"/>
          <w:lang w:eastAsia="zh-CN"/>
        </w:rPr>
        <w:t>投标人须知</w:t>
      </w:r>
      <w:r>
        <w:rPr>
          <w:rFonts w:hint="eastAsia" w:ascii="黑体" w:hAnsi="黑体" w:eastAsia="黑体"/>
          <w:color w:val="auto"/>
          <w:sz w:val="28"/>
          <w:szCs w:val="27"/>
          <w:highlight w:val="none"/>
        </w:rPr>
        <w:t>修改表</w:t>
      </w:r>
      <w:bookmarkEnd w:id="172"/>
      <w:bookmarkEnd w:id="173"/>
      <w:bookmarkEnd w:id="174"/>
      <w:bookmarkEnd w:id="175"/>
      <w:bookmarkEnd w:id="176"/>
      <w:bookmarkEnd w:id="177"/>
      <w:bookmarkEnd w:id="178"/>
      <w:bookmarkEnd w:id="179"/>
      <w:bookmarkEnd w:id="180"/>
    </w:p>
    <w:p>
      <w:pPr>
        <w:pStyle w:val="17"/>
        <w:spacing w:line="360" w:lineRule="auto"/>
        <w:rPr>
          <w:rFonts w:ascii="宋体" w:hAnsi="宋体" w:eastAsia="宋体"/>
          <w:b/>
          <w:color w:val="auto"/>
          <w:sz w:val="24"/>
          <w:szCs w:val="24"/>
          <w:highlight w:val="none"/>
          <w:lang w:eastAsia="zh-CN"/>
        </w:rPr>
      </w:pPr>
      <w:r>
        <w:rPr>
          <w:rFonts w:hint="eastAsia" w:ascii="宋体" w:hAnsi="宋体" w:eastAsia="宋体"/>
          <w:b/>
          <w:color w:val="auto"/>
          <w:sz w:val="24"/>
          <w:szCs w:val="24"/>
          <w:highlight w:val="none"/>
        </w:rPr>
        <w:t>本</w:t>
      </w:r>
      <w:r>
        <w:rPr>
          <w:rFonts w:hint="eastAsia" w:ascii="宋体" w:hAnsi="宋体" w:eastAsia="宋体"/>
          <w:b/>
          <w:color w:val="auto"/>
          <w:sz w:val="24"/>
          <w:szCs w:val="24"/>
          <w:highlight w:val="none"/>
          <w:lang w:eastAsia="zh-CN"/>
        </w:rPr>
        <w:t>投标人须知</w:t>
      </w:r>
      <w:r>
        <w:rPr>
          <w:rFonts w:hint="eastAsia" w:ascii="宋体" w:hAnsi="宋体" w:eastAsia="宋体"/>
          <w:b/>
          <w:color w:val="auto"/>
          <w:sz w:val="24"/>
          <w:szCs w:val="24"/>
          <w:highlight w:val="none"/>
        </w:rPr>
        <w:t>使用</w:t>
      </w:r>
      <w:r>
        <w:rPr>
          <w:rFonts w:hint="eastAsia" w:ascii="仿宋_GB2312" w:hAnsi="宋体" w:eastAsia="仿宋_GB2312"/>
          <w:b/>
          <w:color w:val="auto"/>
          <w:sz w:val="24"/>
          <w:szCs w:val="24"/>
          <w:highlight w:val="none"/>
        </w:rPr>
        <w:t>SWZB20</w:t>
      </w:r>
      <w:r>
        <w:rPr>
          <w:rFonts w:hint="eastAsia" w:ascii="仿宋_GB2312" w:hAnsi="宋体" w:eastAsia="仿宋_GB2312"/>
          <w:b/>
          <w:color w:val="auto"/>
          <w:sz w:val="24"/>
          <w:szCs w:val="24"/>
          <w:highlight w:val="none"/>
          <w:lang w:val="en-US" w:eastAsia="zh-CN"/>
        </w:rPr>
        <w:t>24</w:t>
      </w:r>
      <w:r>
        <w:rPr>
          <w:rFonts w:hint="eastAsia" w:ascii="仿宋_GB2312" w:hAnsi="宋体" w:eastAsia="仿宋_GB2312"/>
          <w:b/>
          <w:color w:val="auto"/>
          <w:sz w:val="24"/>
          <w:szCs w:val="24"/>
          <w:highlight w:val="none"/>
        </w:rPr>
        <w:t>-01</w:t>
      </w:r>
      <w:r>
        <w:rPr>
          <w:rFonts w:hint="eastAsia" w:ascii="宋体" w:hAnsi="宋体" w:eastAsia="宋体"/>
          <w:b/>
          <w:color w:val="auto"/>
          <w:sz w:val="24"/>
          <w:szCs w:val="24"/>
          <w:highlight w:val="none"/>
        </w:rPr>
        <w:t>招标文件范本的</w:t>
      </w:r>
      <w:r>
        <w:rPr>
          <w:rFonts w:hint="eastAsia" w:ascii="宋体" w:hAnsi="宋体" w:eastAsia="宋体"/>
          <w:b/>
          <w:color w:val="auto"/>
          <w:sz w:val="24"/>
          <w:szCs w:val="24"/>
          <w:highlight w:val="none"/>
          <w:lang w:eastAsia="zh-CN"/>
        </w:rPr>
        <w:t>投标人须知</w:t>
      </w:r>
      <w:r>
        <w:rPr>
          <w:rFonts w:hint="eastAsia" w:ascii="宋体" w:hAnsi="宋体" w:eastAsia="宋体"/>
          <w:b/>
          <w:color w:val="auto"/>
          <w:sz w:val="24"/>
          <w:szCs w:val="24"/>
          <w:highlight w:val="none"/>
        </w:rPr>
        <w:t>通用条款，与该通用条款不同之处，均在本表中列明，并以现文为准，原文不再有效。</w:t>
      </w:r>
    </w:p>
    <w:p>
      <w:pPr>
        <w:adjustRightInd w:val="0"/>
        <w:snapToGrid w:val="0"/>
        <w:spacing w:before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条款号：2.1.1                              </w:t>
      </w:r>
      <w:r>
        <w:rPr>
          <w:rFonts w:hint="eastAsia" w:ascii="宋体" w:hAnsi="宋体" w:eastAsia="宋体" w:cs="宋体"/>
          <w:color w:val="auto"/>
          <w:sz w:val="24"/>
          <w:highlight w:val="none"/>
        </w:rPr>
        <w:t>修改类型：修改</w:t>
      </w:r>
    </w:p>
    <w:p>
      <w:pPr>
        <w:adjustRightInd w:val="0"/>
        <w:snapToGrid w:val="0"/>
        <w:spacing w:beforeLines="0" w:line="360" w:lineRule="auto"/>
        <w:ind w:firstLine="482" w:firstLineChars="200"/>
        <w:rPr>
          <w:rFonts w:hint="eastAsia" w:ascii="宋体" w:hAnsi="宋体" w:eastAsia="宋体" w:cs="宋体"/>
          <w:bCs/>
          <w:color w:val="auto"/>
          <w:sz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bCs/>
          <w:color w:val="auto"/>
          <w:sz w:val="24"/>
          <w:highlight w:val="none"/>
        </w:rPr>
        <w:t>2.1.1</w:t>
      </w:r>
      <w:r>
        <w:rPr>
          <w:rFonts w:hint="eastAsia" w:ascii="宋体" w:hAnsi="宋体" w:eastAsia="宋体" w:cs="宋体"/>
          <w:color w:val="auto"/>
          <w:sz w:val="24"/>
          <w:highlight w:val="none"/>
        </w:rPr>
        <w:t>本招标文件包括下列文件，以及所有按本须知第7条发出的澄清或修改和按本须知第8条发出的招标答疑会会议纪要：</w:t>
      </w:r>
    </w:p>
    <w:p>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highlight w:val="none"/>
        </w:rPr>
        <w:t>现文：</w:t>
      </w:r>
      <w:r>
        <w:rPr>
          <w:rFonts w:hint="eastAsia" w:ascii="宋体" w:hAnsi="宋体" w:eastAsia="宋体" w:cs="宋体"/>
          <w:bCs/>
          <w:color w:val="auto"/>
          <w:sz w:val="24"/>
          <w:highlight w:val="none"/>
        </w:rPr>
        <w:t>2.1.1</w:t>
      </w:r>
      <w:r>
        <w:rPr>
          <w:rFonts w:hint="eastAsia" w:ascii="宋体" w:hAnsi="宋体" w:eastAsia="宋体" w:cs="宋体"/>
          <w:color w:val="auto"/>
          <w:sz w:val="24"/>
          <w:highlight w:val="none"/>
        </w:rPr>
        <w:t>本招标文件包括下列文件，以及所有按本须知第</w:t>
      </w:r>
      <w:r>
        <w:rPr>
          <w:rFonts w:hint="eastAsia" w:ascii="宋体" w:hAnsi="宋体" w:eastAsia="宋体" w:cs="宋体"/>
          <w:color w:val="auto"/>
          <w:sz w:val="24"/>
          <w:highlight w:val="none"/>
          <w:u w:val="single"/>
          <w:lang w:val="en-US" w:eastAsia="zh-CN"/>
        </w:rPr>
        <w:t>2.3</w:t>
      </w:r>
      <w:r>
        <w:rPr>
          <w:rFonts w:hint="eastAsia" w:ascii="宋体" w:hAnsi="宋体" w:eastAsia="宋体" w:cs="宋体"/>
          <w:color w:val="auto"/>
          <w:sz w:val="24"/>
          <w:highlight w:val="none"/>
        </w:rPr>
        <w:t>条发出的澄清或修改和按本须知第</w:t>
      </w:r>
      <w:r>
        <w:rPr>
          <w:rFonts w:hint="eastAsia" w:ascii="宋体" w:hAnsi="宋体" w:eastAsia="宋体" w:cs="宋体"/>
          <w:color w:val="auto"/>
          <w:sz w:val="24"/>
          <w:highlight w:val="none"/>
          <w:u w:val="single"/>
          <w:lang w:val="en-US" w:eastAsia="zh-CN"/>
        </w:rPr>
        <w:t>2.2</w:t>
      </w:r>
      <w:r>
        <w:rPr>
          <w:rFonts w:hint="eastAsia" w:ascii="宋体" w:hAnsi="宋体" w:eastAsia="宋体" w:cs="宋体"/>
          <w:color w:val="auto"/>
          <w:sz w:val="24"/>
          <w:highlight w:val="none"/>
        </w:rPr>
        <w:t>条发出的招标答疑会会议纪要：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条款号：2.1.1</w:t>
      </w:r>
      <w:r>
        <w:rPr>
          <w:rFonts w:hint="eastAsia" w:ascii="宋体" w:hAnsi="宋体" w:eastAsia="宋体" w:cs="宋体"/>
          <w:bCs/>
          <w:color w:val="auto"/>
          <w:sz w:val="24"/>
          <w:highlight w:val="none"/>
        </w:rPr>
        <w:t>（5）</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highlight w:val="none"/>
        </w:rPr>
        <w:t>修改类型：修改</w:t>
      </w:r>
    </w:p>
    <w:p>
      <w:pPr>
        <w:adjustRightInd w:val="0"/>
        <w:snapToGrid w:val="0"/>
        <w:spacing w:beforeLines="0"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bCs/>
          <w:color w:val="auto"/>
          <w:sz w:val="24"/>
          <w:highlight w:val="none"/>
        </w:rPr>
        <w:t>（5）工程量清单（采用综合评估法三的，应为与</w:t>
      </w:r>
      <w:r>
        <w:rPr>
          <w:rFonts w:hint="eastAsia" w:ascii="宋体" w:hAnsi="宋体" w:eastAsia="宋体" w:cs="宋体"/>
          <w:color w:val="auto"/>
          <w:sz w:val="24"/>
          <w:highlight w:val="none"/>
        </w:rPr>
        <w:t>最高投标限价相对应的</w:t>
      </w:r>
      <w:r>
        <w:rPr>
          <w:rFonts w:hint="eastAsia" w:ascii="宋体" w:hAnsi="宋体" w:eastAsia="宋体" w:cs="宋体"/>
          <w:bCs/>
          <w:color w:val="auto"/>
          <w:sz w:val="24"/>
          <w:highlight w:val="none"/>
        </w:rPr>
        <w:t>已标价工程量清单）；</w:t>
      </w:r>
    </w:p>
    <w:p>
      <w:pPr>
        <w:pBdr>
          <w:bottom w:val="single" w:color="auto" w:sz="6" w:space="1"/>
        </w:pBdr>
        <w:spacing w:line="360" w:lineRule="auto"/>
        <w:ind w:firstLine="482" w:firstLineChars="200"/>
        <w:rPr>
          <w:rFonts w:ascii="宋体" w:hAnsi="宋体"/>
          <w:color w:val="auto"/>
          <w:sz w:val="24"/>
          <w:szCs w:val="24"/>
          <w:highlight w:val="none"/>
        </w:rPr>
      </w:pPr>
      <w:r>
        <w:rPr>
          <w:rFonts w:hint="eastAsia" w:ascii="宋体" w:hAnsi="宋体" w:eastAsia="宋体" w:cs="宋体"/>
          <w:b/>
          <w:bCs/>
          <w:color w:val="auto"/>
          <w:sz w:val="24"/>
          <w:highlight w:val="none"/>
        </w:rPr>
        <w:t>现文：</w:t>
      </w:r>
      <w:r>
        <w:rPr>
          <w:rFonts w:hint="eastAsia" w:ascii="宋体" w:hAnsi="宋体" w:eastAsia="宋体" w:cs="宋体"/>
          <w:bCs/>
          <w:color w:val="auto"/>
          <w:sz w:val="24"/>
          <w:highlight w:val="none"/>
        </w:rPr>
        <w:t>（5）</w:t>
      </w:r>
      <w:r>
        <w:rPr>
          <w:rFonts w:hint="eastAsia" w:ascii="宋体" w:hAnsi="宋体" w:eastAsia="宋体" w:cs="宋体"/>
          <w:bCs/>
          <w:color w:val="auto"/>
          <w:sz w:val="24"/>
          <w:highlight w:val="none"/>
          <w:u w:val="single"/>
        </w:rPr>
        <w:t>工程量清单；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条款号：3.1.1                              修改类型：</w:t>
      </w:r>
      <w:r>
        <w:rPr>
          <w:rFonts w:hint="eastAsia" w:ascii="宋体" w:hAnsi="宋体" w:cs="宋体"/>
          <w:color w:val="auto"/>
          <w:sz w:val="24"/>
          <w:szCs w:val="24"/>
          <w:highlight w:val="none"/>
          <w:lang w:val="en-US" w:eastAsia="zh-CN"/>
        </w:rPr>
        <w:t>修改</w:t>
      </w:r>
    </w:p>
    <w:p>
      <w:pPr>
        <w:spacing w:line="360" w:lineRule="auto"/>
        <w:ind w:firstLine="482" w:firstLineChars="200"/>
        <w:rPr>
          <w:rFonts w:ascii="宋体" w:hAnsi="宋体" w:eastAsia="宋体"/>
          <w:color w:val="auto"/>
          <w:sz w:val="24"/>
          <w:highlight w:val="none"/>
        </w:rPr>
      </w:pPr>
      <w:r>
        <w:rPr>
          <w:rFonts w:hint="eastAsia" w:ascii="宋体" w:hAnsi="宋体" w:eastAsia="宋体" w:cs="宋体"/>
          <w:b/>
          <w:color w:val="auto"/>
          <w:sz w:val="24"/>
          <w:szCs w:val="24"/>
          <w:highlight w:val="none"/>
        </w:rPr>
        <w:t>原文：</w:t>
      </w:r>
      <w:r>
        <w:rPr>
          <w:rFonts w:hint="eastAsia" w:ascii="宋体" w:hAnsi="宋体" w:eastAsia="宋体"/>
          <w:color w:val="auto"/>
          <w:sz w:val="24"/>
          <w:highlight w:val="none"/>
        </w:rPr>
        <w:t>3.1.1投标文件应包括下列内容：</w:t>
      </w:r>
    </w:p>
    <w:p>
      <w:pPr>
        <w:pStyle w:val="1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（1）投标函及投标函附录；</w:t>
      </w:r>
    </w:p>
    <w:p>
      <w:pPr>
        <w:pStyle w:val="1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（2）法定代表人身份证明或附有法定代表人身份证明的授权委托书；</w:t>
      </w:r>
    </w:p>
    <w:p>
      <w:pPr>
        <w:pStyle w:val="1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（3）联合体协议书（非联合体不提交）；</w:t>
      </w:r>
    </w:p>
    <w:p>
      <w:pPr>
        <w:pStyle w:val="1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（4）投标保证金（</w:t>
      </w:r>
      <w:r>
        <w:rPr>
          <w:rFonts w:hint="eastAsia" w:ascii="宋体" w:hAnsi="宋体" w:eastAsia="宋体"/>
          <w:color w:val="auto"/>
          <w:sz w:val="24"/>
          <w:highlight w:val="none"/>
          <w:lang w:eastAsia="zh-CN"/>
        </w:rPr>
        <w:t>若有</w:t>
      </w:r>
      <w:r>
        <w:rPr>
          <w:rFonts w:hint="eastAsia" w:ascii="宋体" w:hAnsi="宋体" w:eastAsia="宋体"/>
          <w:color w:val="auto"/>
          <w:sz w:val="24"/>
          <w:highlight w:val="none"/>
        </w:rPr>
        <w:t>）；</w:t>
      </w:r>
    </w:p>
    <w:p>
      <w:pPr>
        <w:pStyle w:val="1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（5）已标价工程量清单（采用综合评估法三的，不用提交）；</w:t>
      </w:r>
    </w:p>
    <w:p>
      <w:pPr>
        <w:pStyle w:val="1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 xml:space="preserve">（6）施工组织设计（不要求技术标的可不编制，提交施工组织设计要点；投标人在编制施工组织设计或施工方案时应按照招标人提出的施工现场建筑垃圾源头减量的具体要求以及建筑垃圾综合利用产品的使用要求提供相应措施）； </w:t>
      </w:r>
    </w:p>
    <w:p>
      <w:pPr>
        <w:pStyle w:val="1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（7）项目管理机构；</w:t>
      </w:r>
    </w:p>
    <w:p>
      <w:pPr>
        <w:pStyle w:val="1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（8）资格审查资料；</w:t>
      </w:r>
    </w:p>
    <w:p>
      <w:pPr>
        <w:pStyle w:val="1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rPr>
        <w:t>（9）其他应提交的材料。</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ascii="宋体" w:hAnsi="宋体" w:eastAsia="宋体"/>
          <w:color w:val="auto"/>
          <w:sz w:val="24"/>
          <w:highlight w:val="none"/>
        </w:rPr>
      </w:pPr>
      <w:r>
        <w:rPr>
          <w:rFonts w:hint="eastAsia" w:ascii="宋体" w:hAnsi="宋体" w:eastAsia="宋体" w:cs="宋体"/>
          <w:b/>
          <w:bCs/>
          <w:color w:val="auto"/>
          <w:sz w:val="24"/>
          <w:highlight w:val="none"/>
        </w:rPr>
        <w:t>现文：</w:t>
      </w:r>
      <w:r>
        <w:rPr>
          <w:rFonts w:hint="eastAsia" w:ascii="宋体" w:hAnsi="宋体" w:eastAsia="宋体"/>
          <w:color w:val="auto"/>
          <w:sz w:val="24"/>
          <w:highlight w:val="none"/>
        </w:rPr>
        <w:t>3.1.1投标文件应包括下列内容：</w:t>
      </w:r>
    </w:p>
    <w:p>
      <w:pPr>
        <w:pStyle w:val="1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（1）投标函及投标函附录；</w:t>
      </w:r>
    </w:p>
    <w:p>
      <w:pPr>
        <w:pStyle w:val="1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（2）法定代表人身份证明或附有法定代表人身份证明的授权委托书；</w:t>
      </w:r>
    </w:p>
    <w:p>
      <w:pPr>
        <w:pStyle w:val="1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u w:val="single"/>
        </w:rPr>
      </w:pPr>
      <w:r>
        <w:rPr>
          <w:rFonts w:hint="eastAsia" w:ascii="宋体" w:hAnsi="宋体" w:eastAsia="宋体"/>
          <w:color w:val="auto"/>
          <w:sz w:val="24"/>
          <w:highlight w:val="none"/>
          <w:u w:val="single"/>
        </w:rPr>
        <w:t>（</w:t>
      </w:r>
      <w:r>
        <w:rPr>
          <w:rFonts w:hint="eastAsia" w:ascii="宋体" w:hAnsi="宋体" w:eastAsia="宋体"/>
          <w:color w:val="auto"/>
          <w:sz w:val="24"/>
          <w:highlight w:val="none"/>
          <w:u w:val="single"/>
          <w:lang w:val="en-US" w:eastAsia="zh-CN"/>
        </w:rPr>
        <w:t>3</w:t>
      </w:r>
      <w:r>
        <w:rPr>
          <w:rFonts w:hint="eastAsia" w:ascii="宋体" w:hAnsi="宋体" w:eastAsia="宋体"/>
          <w:color w:val="auto"/>
          <w:sz w:val="24"/>
          <w:highlight w:val="none"/>
          <w:u w:val="single"/>
        </w:rPr>
        <w:t>）投标保证金；</w:t>
      </w:r>
    </w:p>
    <w:p>
      <w:pPr>
        <w:pStyle w:val="1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）已标价工程量清单；</w:t>
      </w:r>
    </w:p>
    <w:p>
      <w:pPr>
        <w:pStyle w:val="1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5</w:t>
      </w:r>
      <w:r>
        <w:rPr>
          <w:rFonts w:hint="eastAsia" w:ascii="宋体" w:hAnsi="宋体" w:eastAsia="宋体"/>
          <w:color w:val="auto"/>
          <w:sz w:val="24"/>
          <w:highlight w:val="none"/>
        </w:rPr>
        <w:t>）施工组织设计（</w:t>
      </w:r>
      <w:r>
        <w:rPr>
          <w:rFonts w:hint="eastAsia" w:ascii="宋体" w:hAnsi="宋体" w:eastAsia="宋体" w:cs="宋体"/>
          <w:color w:val="auto"/>
          <w:sz w:val="24"/>
          <w:highlight w:val="none"/>
          <w:u w:val="single"/>
        </w:rPr>
        <w:t>本项目要求编制技术标，需要提交详细</w:t>
      </w:r>
      <w:r>
        <w:rPr>
          <w:rFonts w:hint="eastAsia" w:ascii="宋体" w:hAnsi="宋体" w:eastAsia="宋体" w:cs="宋体"/>
          <w:color w:val="auto"/>
          <w:sz w:val="24"/>
          <w:highlight w:val="none"/>
        </w:rPr>
        <w:t>施工组织设计</w:t>
      </w:r>
      <w:r>
        <w:rPr>
          <w:rFonts w:hint="eastAsia" w:ascii="宋体" w:hAnsi="宋体" w:eastAsia="宋体" w:cs="宋体"/>
          <w:color w:val="auto"/>
          <w:sz w:val="24"/>
          <w:highlight w:val="none"/>
          <w:lang w:eastAsia="zh-CN"/>
        </w:rPr>
        <w:t>；</w:t>
      </w:r>
      <w:r>
        <w:rPr>
          <w:rFonts w:hint="eastAsia" w:ascii="宋体" w:hAnsi="宋体" w:eastAsia="宋体"/>
          <w:color w:val="auto"/>
          <w:sz w:val="24"/>
          <w:highlight w:val="none"/>
        </w:rPr>
        <w:t xml:space="preserve">投标人在编制施工组织设计或施工方案时应按照招标人提出的施工现场建筑垃圾源头减量的具体要求以及建筑垃圾综合利用产品的使用要求提供相应措施）； </w:t>
      </w:r>
    </w:p>
    <w:p>
      <w:pPr>
        <w:pStyle w:val="1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）项目管理机构；</w:t>
      </w:r>
    </w:p>
    <w:p>
      <w:pPr>
        <w:pStyle w:val="1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7</w:t>
      </w:r>
      <w:r>
        <w:rPr>
          <w:rFonts w:hint="eastAsia" w:ascii="宋体" w:hAnsi="宋体" w:eastAsia="宋体"/>
          <w:color w:val="auto"/>
          <w:sz w:val="24"/>
          <w:highlight w:val="none"/>
        </w:rPr>
        <w:t>）资格审查资料；</w:t>
      </w:r>
    </w:p>
    <w:p>
      <w:pPr>
        <w:keepNext w:val="0"/>
        <w:keepLines w:val="0"/>
        <w:pageBreakBefore w:val="0"/>
        <w:widowControl w:val="0"/>
        <w:pBdr>
          <w:bottom w:val="single" w:color="auto" w:sz="6" w:space="1"/>
        </w:pBdr>
        <w:kinsoku/>
        <w:wordWrap/>
        <w:overflowPunct/>
        <w:topLinePunct w:val="0"/>
        <w:autoSpaceDE/>
        <w:autoSpaceDN/>
        <w:bidi w:val="0"/>
        <w:spacing w:line="360" w:lineRule="auto"/>
        <w:ind w:firstLine="480" w:firstLineChars="200"/>
        <w:textAlignment w:val="auto"/>
        <w:rPr>
          <w:rFonts w:ascii="宋体" w:hAnsi="宋体"/>
          <w:color w:val="auto"/>
          <w:sz w:val="24"/>
          <w:szCs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rPr>
        <w:t>）其他应提交的材料。</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条款号：3.2.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 xml:space="preserve"> </w:t>
      </w:r>
      <w:r>
        <w:rPr>
          <w:rFonts w:hint="eastAsia" w:ascii="宋体" w:hAnsi="宋体" w:eastAsia="宋体" w:cs="宋体"/>
          <w:bCs/>
          <w:color w:val="auto"/>
          <w:sz w:val="24"/>
          <w:highlight w:val="none"/>
        </w:rPr>
        <w:t xml:space="preserve">                               </w:t>
      </w:r>
      <w:r>
        <w:rPr>
          <w:rFonts w:hint="eastAsia" w:ascii="宋体" w:hAnsi="宋体" w:eastAsia="宋体" w:cs="宋体"/>
          <w:color w:val="auto"/>
          <w:sz w:val="24"/>
          <w:highlight w:val="none"/>
        </w:rPr>
        <w:t>修改类型：</w:t>
      </w:r>
      <w:r>
        <w:rPr>
          <w:rFonts w:hint="eastAsia" w:ascii="宋体" w:hAnsi="宋体" w:eastAsia="宋体" w:cs="宋体"/>
          <w:color w:val="auto"/>
          <w:sz w:val="24"/>
          <w:highlight w:val="none"/>
          <w:lang w:val="en-US" w:eastAsia="zh-CN"/>
        </w:rPr>
        <w:t>修改</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olor w:val="auto"/>
          <w:sz w:val="24"/>
          <w:highlight w:val="none"/>
        </w:rPr>
      </w:pPr>
      <w:r>
        <w:rPr>
          <w:rFonts w:hint="eastAsia" w:ascii="宋体" w:hAnsi="宋体" w:eastAsia="宋体" w:cs="宋体"/>
          <w:b/>
          <w:bCs/>
          <w:color w:val="auto"/>
          <w:sz w:val="24"/>
          <w:highlight w:val="none"/>
          <w:lang w:val="en-US" w:eastAsia="zh-CN"/>
        </w:rPr>
        <w:t>原文：</w:t>
      </w:r>
      <w:r>
        <w:rPr>
          <w:rFonts w:hint="eastAsia" w:ascii="宋体" w:hAnsi="宋体" w:eastAsia="宋体"/>
          <w:color w:val="auto"/>
          <w:sz w:val="24"/>
          <w:highlight w:val="none"/>
        </w:rPr>
        <w:t>3.2.1 投标人应按第五章“工程量清单”的要求填写相应表格。（此条不适用于综合评估法三）</w:t>
      </w:r>
    </w:p>
    <w:p>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ascii="宋体" w:hAnsi="宋体"/>
          <w:color w:val="auto"/>
          <w:sz w:val="24"/>
          <w:szCs w:val="24"/>
          <w:highlight w:val="none"/>
          <w:u w:val="single"/>
        </w:rPr>
      </w:pPr>
      <w:r>
        <w:rPr>
          <w:rFonts w:hint="eastAsia" w:ascii="宋体" w:hAnsi="宋体" w:eastAsia="宋体"/>
          <w:b/>
          <w:bCs/>
          <w:color w:val="auto"/>
          <w:sz w:val="24"/>
          <w:highlight w:val="none"/>
          <w:lang w:val="en-US" w:eastAsia="zh-CN"/>
        </w:rPr>
        <w:t>现文：</w:t>
      </w:r>
      <w:r>
        <w:rPr>
          <w:rFonts w:hint="eastAsia" w:ascii="宋体" w:hAnsi="宋体" w:eastAsia="宋体"/>
          <w:color w:val="auto"/>
          <w:sz w:val="24"/>
          <w:highlight w:val="none"/>
          <w:u w:val="single"/>
        </w:rPr>
        <w:t>3.2.1 投标人应按第五章“工程量清单”的要求填写相应表格。</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条款号：3.2.2 </w:t>
      </w:r>
      <w:r>
        <w:rPr>
          <w:rFonts w:hint="eastAsia" w:ascii="宋体" w:hAnsi="宋体" w:eastAsia="宋体" w:cs="宋体"/>
          <w:bCs/>
          <w:color w:val="auto"/>
          <w:sz w:val="24"/>
          <w:highlight w:val="none"/>
        </w:rPr>
        <w:t xml:space="preserve">                               </w:t>
      </w:r>
      <w:r>
        <w:rPr>
          <w:rFonts w:hint="eastAsia" w:ascii="宋体" w:hAnsi="宋体" w:eastAsia="宋体" w:cs="宋体"/>
          <w:color w:val="auto"/>
          <w:sz w:val="24"/>
          <w:highlight w:val="none"/>
        </w:rPr>
        <w:t>修改类型：</w:t>
      </w:r>
      <w:r>
        <w:rPr>
          <w:rFonts w:hint="eastAsia" w:ascii="宋体" w:hAnsi="宋体" w:eastAsia="宋体" w:cs="宋体"/>
          <w:color w:val="auto"/>
          <w:sz w:val="24"/>
          <w:highlight w:val="none"/>
          <w:lang w:val="en-US" w:eastAsia="zh-CN"/>
        </w:rPr>
        <w:t>修改</w:t>
      </w:r>
    </w:p>
    <w:p>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hint="eastAsia" w:ascii="宋体" w:hAnsi="宋体" w:eastAsia="宋体"/>
          <w:color w:val="auto"/>
          <w:sz w:val="24"/>
          <w:highlight w:val="none"/>
        </w:rPr>
      </w:pPr>
      <w:r>
        <w:rPr>
          <w:rFonts w:hint="eastAsia" w:ascii="宋体" w:hAnsi="宋体" w:eastAsia="宋体" w:cs="宋体"/>
          <w:b/>
          <w:color w:val="auto"/>
          <w:sz w:val="24"/>
          <w:highlight w:val="none"/>
        </w:rPr>
        <w:t>原文：</w:t>
      </w:r>
      <w:r>
        <w:rPr>
          <w:rFonts w:hint="eastAsia" w:ascii="宋体" w:hAnsi="宋体" w:eastAsia="宋体"/>
          <w:color w:val="auto"/>
          <w:sz w:val="24"/>
          <w:highlight w:val="none"/>
        </w:rPr>
        <w:t>3.2.2投标人在投标截止时间前修改投标函中的投标报价总额，应同时修改“已标价工程量清单”中的相应报价，投标报价总额为各分项金额之和。此修改须符合本章第4.3款的有关要求。（此条不适用于综合评估法三）</w:t>
      </w:r>
    </w:p>
    <w:p>
      <w:pPr>
        <w:keepNext w:val="0"/>
        <w:keepLines w:val="0"/>
        <w:pageBreakBefore w:val="0"/>
        <w:widowControl w:val="0"/>
        <w:pBdr>
          <w:bottom w:val="single" w:color="auto" w:sz="6" w:space="1"/>
        </w:pBdr>
        <w:kinsoku/>
        <w:wordWrap/>
        <w:overflowPunct/>
        <w:topLinePunct w:val="0"/>
        <w:autoSpaceDE/>
        <w:autoSpaceDN/>
        <w:bidi w:val="0"/>
        <w:spacing w:line="360" w:lineRule="auto"/>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3.2.2</w:t>
      </w:r>
      <w:r>
        <w:rPr>
          <w:rFonts w:hint="eastAsia" w:ascii="宋体" w:hAnsi="宋体" w:eastAsia="宋体"/>
          <w:color w:val="auto"/>
          <w:sz w:val="24"/>
          <w:highlight w:val="none"/>
        </w:rPr>
        <w:t>采用综合评估法三的，投标人在投标截止时间前修改投标函中的投标报价总额，并根据评标办法列明的方法重新计算投标报价下浮率。此修改须符合本章第4.3款的有关要求。</w:t>
      </w:r>
    </w:p>
    <w:p>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hint="eastAsia" w:ascii="宋体" w:hAnsi="宋体" w:eastAsia="宋体"/>
          <w:color w:val="auto"/>
          <w:sz w:val="24"/>
          <w:highlight w:val="none"/>
          <w:lang w:val="en-US" w:eastAsia="zh-CN"/>
        </w:rPr>
      </w:pPr>
      <w:r>
        <w:rPr>
          <w:rFonts w:hint="eastAsia" w:ascii="宋体" w:hAnsi="宋体" w:eastAsia="宋体"/>
          <w:b/>
          <w:bCs/>
          <w:color w:val="auto"/>
          <w:sz w:val="24"/>
          <w:highlight w:val="none"/>
          <w:lang w:val="en-US" w:eastAsia="zh-CN"/>
        </w:rPr>
        <w:t>现文：</w:t>
      </w:r>
      <w:r>
        <w:rPr>
          <w:rFonts w:hint="eastAsia" w:ascii="宋体" w:hAnsi="宋体" w:eastAsia="宋体"/>
          <w:color w:val="auto"/>
          <w:sz w:val="24"/>
          <w:highlight w:val="none"/>
          <w:u w:val="single"/>
        </w:rPr>
        <w:t>3.2.2投标人在投标截止时间前修改投标函中的投标报价总额，应同时修改“已标价工程量清单”中的相应报价，投标报价总额为各分项金额之和。此修改须符合本章第4.3款的有关要求。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条款号：3.5.5</w:t>
      </w:r>
      <w:r>
        <w:rPr>
          <w:rFonts w:hint="eastAsia" w:ascii="宋体" w:hAnsi="宋体" w:eastAsia="宋体" w:cs="宋体"/>
          <w:bCs/>
          <w:color w:val="auto"/>
          <w:sz w:val="24"/>
          <w:highlight w:val="none"/>
        </w:rPr>
        <w:t xml:space="preserve">                               </w:t>
      </w:r>
      <w:r>
        <w:rPr>
          <w:rFonts w:hint="eastAsia" w:ascii="宋体" w:hAnsi="宋体" w:eastAsia="宋体" w:cs="宋体"/>
          <w:color w:val="auto"/>
          <w:sz w:val="24"/>
          <w:szCs w:val="24"/>
          <w:highlight w:val="none"/>
        </w:rPr>
        <w:t xml:space="preserve"> 修改类型：删除</w:t>
      </w:r>
    </w:p>
    <w:p>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ascii="宋体" w:hAnsi="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3.5.5</w:t>
      </w:r>
      <w:r>
        <w:rPr>
          <w:rFonts w:hint="eastAsia" w:ascii="宋体" w:hAnsi="宋体" w:eastAsia="宋体"/>
          <w:color w:val="auto"/>
          <w:sz w:val="24"/>
          <w:highlight w:val="none"/>
        </w:rPr>
        <w:t>投标人须知前附表规定接受联合体投标的，本章第3.5.1项至第3.5.</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项规定的表格和资料应包括联合体各方相关情况。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条款号：3.</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2</w:t>
      </w:r>
      <w:r>
        <w:rPr>
          <w:rFonts w:hint="eastAsia" w:ascii="宋体" w:hAnsi="宋体" w:eastAsia="宋体" w:cs="宋体"/>
          <w:bCs/>
          <w:color w:val="auto"/>
          <w:sz w:val="24"/>
          <w:highlight w:val="none"/>
        </w:rPr>
        <w:t xml:space="preserve">                               </w:t>
      </w:r>
      <w:r>
        <w:rPr>
          <w:rFonts w:hint="eastAsia" w:ascii="宋体" w:hAnsi="宋体" w:eastAsia="宋体" w:cs="宋体"/>
          <w:color w:val="auto"/>
          <w:sz w:val="24"/>
          <w:szCs w:val="24"/>
          <w:highlight w:val="none"/>
        </w:rPr>
        <w:t xml:space="preserve"> 修改类型：删除</w:t>
      </w:r>
    </w:p>
    <w:p>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ascii="宋体" w:hAnsi="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color w:val="auto"/>
          <w:sz w:val="24"/>
          <w:szCs w:val="24"/>
          <w:highlight w:val="none"/>
        </w:rPr>
        <w:t>3.6.</w:t>
      </w:r>
      <w:r>
        <w:rPr>
          <w:rFonts w:hint="eastAsia" w:ascii="宋体" w:hAnsi="宋体"/>
          <w:color w:val="auto"/>
          <w:sz w:val="24"/>
          <w:szCs w:val="24"/>
          <w:highlight w:val="none"/>
          <w:lang w:val="en-US" w:eastAsia="zh-CN"/>
        </w:rPr>
        <w:t>2</w:t>
      </w:r>
      <w:r>
        <w:rPr>
          <w:rFonts w:hint="eastAsia" w:ascii="宋体" w:hAnsi="宋体" w:eastAsia="宋体"/>
          <w:bCs/>
          <w:color w:val="auto"/>
          <w:sz w:val="24"/>
          <w:szCs w:val="24"/>
          <w:highlight w:val="none"/>
        </w:rPr>
        <w:t>联合体投标时，联合体共同投标协议需联合体各方按要求共同盖章签字，其余可由联合体主办方签字、盖章即可，由联合体主办方法人签字的电子投标文件需提供主办方法定代表人证明书，若由联合体主办方法定代表人授权签字的电子投标文件需提供法定代表人证明书及其授权委托书、授权委托人身份证</w:t>
      </w:r>
      <w:r>
        <w:rPr>
          <w:rFonts w:hint="eastAsia" w:ascii="宋体" w:hAnsi="宋体" w:eastAsia="宋体"/>
          <w:bCs/>
          <w:color w:val="auto"/>
          <w:sz w:val="24"/>
          <w:szCs w:val="24"/>
          <w:highlight w:val="none"/>
          <w:lang w:eastAsia="zh-CN"/>
        </w:rPr>
        <w:t>扫描</w:t>
      </w:r>
      <w:r>
        <w:rPr>
          <w:rFonts w:hint="eastAsia" w:ascii="宋体" w:hAnsi="宋体" w:eastAsia="宋体"/>
          <w:bCs/>
          <w:color w:val="auto"/>
          <w:sz w:val="24"/>
          <w:szCs w:val="24"/>
          <w:highlight w:val="none"/>
        </w:rPr>
        <w:t>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条款号：4.3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szCs w:val="24"/>
          <w:highlight w:val="none"/>
        </w:rPr>
        <w:t xml:space="preserve">                   修改类型：修改</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原文：</w:t>
      </w:r>
      <w:r>
        <w:rPr>
          <w:rFonts w:hint="eastAsia" w:ascii="宋体" w:hAnsi="宋体"/>
          <w:color w:val="auto"/>
          <w:sz w:val="24"/>
          <w:highlight w:val="none"/>
        </w:rPr>
        <w:t>招标人可按本须知第2.4条规定以招标文件修改的方式，酌情延长递交投标文件的截止时间。在此情况下，投标人的所有权利和义务以及投标人受制约的截止时间，均以延长后新的投标截止时间为准。</w:t>
      </w:r>
    </w:p>
    <w:p>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ascii="宋体" w:hAnsi="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highlight w:val="none"/>
        </w:rPr>
        <w:t>招标人可按本须知第</w:t>
      </w:r>
      <w:r>
        <w:rPr>
          <w:rFonts w:hint="eastAsia" w:ascii="宋体" w:hAnsi="宋体" w:eastAsia="宋体" w:cs="宋体"/>
          <w:color w:val="auto"/>
          <w:sz w:val="24"/>
          <w:highlight w:val="none"/>
          <w:u w:val="single"/>
        </w:rPr>
        <w:t>2.</w:t>
      </w:r>
      <w:r>
        <w:rPr>
          <w:rFonts w:hint="eastAsia" w:ascii="宋体" w:hAnsi="宋体" w:eastAsia="宋体" w:cs="宋体"/>
          <w:color w:val="auto"/>
          <w:sz w:val="24"/>
          <w:highlight w:val="none"/>
          <w:u w:val="single"/>
          <w:lang w:val="en-US" w:eastAsia="zh-CN"/>
        </w:rPr>
        <w:t>3</w:t>
      </w:r>
      <w:r>
        <w:rPr>
          <w:rFonts w:hint="eastAsia" w:ascii="宋体" w:hAnsi="宋体" w:eastAsia="宋体" w:cs="宋体"/>
          <w:color w:val="auto"/>
          <w:sz w:val="24"/>
          <w:highlight w:val="none"/>
        </w:rPr>
        <w:t>条规定以招标文件修改的方式，酌情延长递交投标文件的截止时间。在此情况下，投标人的所有权利和义务以及投标人受制约的截止时间，均以延长后新的投标截止时间为准。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条款号：4.3</w:t>
      </w:r>
      <w:r>
        <w:rPr>
          <w:rFonts w:hint="eastAsia" w:ascii="宋体" w:hAnsi="宋体" w:eastAsia="宋体" w:cs="宋体"/>
          <w:color w:val="auto"/>
          <w:sz w:val="24"/>
          <w:highlight w:val="none"/>
        </w:rPr>
        <w:t>.3</w:t>
      </w:r>
      <w:r>
        <w:rPr>
          <w:rFonts w:hint="eastAsia" w:ascii="宋体" w:hAnsi="宋体" w:eastAsia="宋体" w:cs="宋体"/>
          <w:color w:val="auto"/>
          <w:sz w:val="24"/>
          <w:szCs w:val="24"/>
          <w:highlight w:val="none"/>
        </w:rPr>
        <w:t xml:space="preserve">                   修改类型：修改</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color w:val="auto"/>
          <w:sz w:val="24"/>
          <w:highlight w:val="none"/>
        </w:rPr>
        <w:t>到投标截止时间止，招标人收到的投标文件少于3家的，招标人将依法重新组织招标。（当N个标段同时招标且不允许兼中时，若有效投标人不足N+2家，则重新组织招标）。</w:t>
      </w:r>
    </w:p>
    <w:p>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hint="eastAsia" w:ascii="宋体" w:hAnsi="宋体" w:eastAsia="宋体" w:cs="宋体"/>
          <w:color w:val="auto"/>
          <w:sz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highlight w:val="none"/>
          <w:u w:val="single"/>
        </w:rPr>
        <w:t>当投标登记或递交投标文件或通过资格审查或经评议有效投标的投标人不足3名时，重新组织招标。</w:t>
      </w:r>
    </w:p>
    <w:p>
      <w:pPr>
        <w:adjustRightInd w:val="0"/>
        <w:snapToGrid w:val="0"/>
        <w:spacing w:before="0" w:before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条款号：5.</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修改类型：修改</w:t>
      </w:r>
    </w:p>
    <w:p>
      <w:pPr>
        <w:spacing w:line="360" w:lineRule="auto"/>
        <w:ind w:firstLine="482" w:firstLineChars="200"/>
        <w:jc w:val="left"/>
        <w:rPr>
          <w:rFonts w:ascii="宋体" w:hAnsi="宋体" w:cs="仿宋_GB2312"/>
          <w:color w:val="auto"/>
          <w:sz w:val="24"/>
          <w:szCs w:val="24"/>
          <w:highlight w:val="none"/>
        </w:rPr>
      </w:pPr>
      <w:r>
        <w:rPr>
          <w:rFonts w:hint="eastAsia" w:ascii="宋体" w:hAnsi="宋体" w:eastAsia="宋体" w:cs="宋体"/>
          <w:b/>
          <w:color w:val="auto"/>
          <w:sz w:val="24"/>
          <w:szCs w:val="24"/>
          <w:highlight w:val="none"/>
        </w:rPr>
        <w:t>原文：</w:t>
      </w:r>
      <w:r>
        <w:rPr>
          <w:rFonts w:hint="eastAsia"/>
          <w:color w:val="auto"/>
          <w:sz w:val="24"/>
          <w:highlight w:val="none"/>
        </w:rPr>
        <w:t>招标人在招标文件要求提交投标文件的截止时间前收到的投标文件，开标时都当众予以解密、公布</w:t>
      </w:r>
      <w:r>
        <w:rPr>
          <w:rFonts w:hint="eastAsia" w:ascii="宋体" w:hAnsi="宋体" w:cs="仿宋_GB2312"/>
          <w:color w:val="auto"/>
          <w:sz w:val="24"/>
          <w:szCs w:val="24"/>
          <w:highlight w:val="none"/>
        </w:rPr>
        <w:t>。</w:t>
      </w:r>
    </w:p>
    <w:p>
      <w:pPr>
        <w:pBdr>
          <w:bottom w:val="single" w:color="auto" w:sz="4" w:space="0"/>
        </w:pBdr>
        <w:adjustRightInd w:val="0"/>
        <w:snapToGrid w:val="0"/>
        <w:spacing w:beforeLines="0"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现文：</w:t>
      </w:r>
      <w:r>
        <w:rPr>
          <w:rFonts w:hint="eastAsia"/>
          <w:color w:val="auto"/>
          <w:sz w:val="24"/>
          <w:highlight w:val="none"/>
        </w:rPr>
        <w:t>招标人在招标文件要求提交投标文件的截止时间前收到</w:t>
      </w:r>
      <w:r>
        <w:rPr>
          <w:rFonts w:hint="eastAsia"/>
          <w:color w:val="auto"/>
          <w:sz w:val="24"/>
          <w:highlight w:val="none"/>
          <w:u w:val="single"/>
          <w:lang w:val="en-US" w:eastAsia="zh-CN"/>
        </w:rPr>
        <w:t>并</w:t>
      </w:r>
      <w:r>
        <w:rPr>
          <w:rFonts w:hint="eastAsia"/>
          <w:color w:val="auto"/>
          <w:sz w:val="24"/>
          <w:highlight w:val="none"/>
          <w:u w:val="single"/>
        </w:rPr>
        <w:t>完成投标人解密</w:t>
      </w:r>
      <w:r>
        <w:rPr>
          <w:rFonts w:hint="eastAsia"/>
          <w:color w:val="auto"/>
          <w:sz w:val="24"/>
          <w:highlight w:val="none"/>
        </w:rPr>
        <w:t>的投标文件，开标时都当众予以解密、公布</w:t>
      </w:r>
      <w:r>
        <w:rPr>
          <w:rFonts w:hint="eastAsia" w:ascii="宋体" w:hAnsi="宋体" w:cs="仿宋_GB2312"/>
          <w:color w:val="auto"/>
          <w:sz w:val="24"/>
          <w:szCs w:val="24"/>
          <w:highlight w:val="none"/>
        </w:rPr>
        <w:t>。</w:t>
      </w:r>
    </w:p>
    <w:p>
      <w:pPr>
        <w:adjustRightInd w:val="0"/>
        <w:snapToGrid w:val="0"/>
        <w:spacing w:before="0" w:before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条款号：5.</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                   修改类型：修改</w:t>
      </w:r>
    </w:p>
    <w:p>
      <w:pPr>
        <w:spacing w:line="360" w:lineRule="auto"/>
        <w:ind w:firstLine="482" w:firstLineChars="200"/>
        <w:jc w:val="left"/>
        <w:rPr>
          <w:rFonts w:ascii="宋体" w:hAnsi="宋体" w:cs="仿宋_GB2312"/>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cs="仿宋_GB2312"/>
          <w:color w:val="auto"/>
          <w:sz w:val="24"/>
          <w:szCs w:val="24"/>
          <w:highlight w:val="none"/>
          <w:lang w:val="en-US" w:eastAsia="zh-CN"/>
        </w:rPr>
        <w:t>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pPr>
        <w:pStyle w:val="2"/>
        <w:pBdr>
          <w:bottom w:val="single" w:color="auto" w:sz="4" w:space="0"/>
        </w:pBdr>
        <w:spacing w:after="0" w:line="360" w:lineRule="auto"/>
        <w:ind w:firstLine="422" w:firstLineChars="175"/>
        <w:rPr>
          <w:rFonts w:hint="eastAsia" w:ascii="宋体" w:hAnsi="宋体" w:cs="仿宋_GB2312"/>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cs="仿宋_GB2312"/>
          <w:color w:val="auto"/>
          <w:sz w:val="24"/>
          <w:szCs w:val="24"/>
          <w:highlight w:val="none"/>
          <w:u w:val="single"/>
          <w:lang w:val="en-US" w:eastAsia="zh-CN"/>
        </w:rPr>
        <w:t>投标截止时间前未完成投标文件传输的或因投标人之外的原因造成投标文件未解密的，视为投标人撤回投标文件。因投标人原因造成投标文件未解密或未在规定的时间内解密的，视为撤销其投标文件。</w:t>
      </w:r>
    </w:p>
    <w:p>
      <w:pPr>
        <w:pStyle w:val="1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r>
        <w:rPr>
          <w:rFonts w:hint="eastAsia" w:ascii="宋体" w:hAnsi="宋体" w:eastAsia="宋体" w:cs="宋体"/>
          <w:color w:val="auto"/>
          <w:sz w:val="24"/>
          <w:szCs w:val="24"/>
          <w:highlight w:val="none"/>
          <w:lang w:val="en-US" w:eastAsia="zh-CN"/>
        </w:rPr>
        <w:t>6.1.1</w:t>
      </w:r>
      <w:r>
        <w:rPr>
          <w:rFonts w:hint="eastAsia" w:ascii="宋体" w:hAnsi="宋体" w:eastAsia="宋体" w:cs="宋体"/>
          <w:color w:val="auto"/>
          <w:sz w:val="24"/>
          <w:szCs w:val="24"/>
          <w:highlight w:val="none"/>
        </w:rPr>
        <w:t xml:space="preserve">                   修改类型：修改</w:t>
      </w:r>
    </w:p>
    <w:p>
      <w:pPr>
        <w:pStyle w:val="17"/>
        <w:keepNext w:val="0"/>
        <w:keepLines w:val="0"/>
        <w:pageBreakBefore w:val="0"/>
        <w:widowControl w:val="0"/>
        <w:kinsoku/>
        <w:wordWrap/>
        <w:overflowPunct/>
        <w:topLinePunct w:val="0"/>
        <w:autoSpaceDE/>
        <w:autoSpaceDN/>
        <w:bidi w:val="0"/>
        <w:spacing w:after="0"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6.1.1评标由招标人依法组建的评标委员会负责。评标委员会由有关技术、经济等方面的专家和招标人代表组成，专家从广东省综合评标评审专家库中抽取。评标委员会成员人数以及技术、经济等方面专家的确定方式见投标人须知前附表。</w:t>
      </w:r>
    </w:p>
    <w:p>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ascii="宋体" w:hAnsi="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6.1.1</w:t>
      </w:r>
      <w:r>
        <w:rPr>
          <w:rFonts w:hint="eastAsia" w:ascii="宋体" w:hAnsi="宋体" w:eastAsia="宋体" w:cs="宋体"/>
          <w:color w:val="auto"/>
          <w:sz w:val="24"/>
          <w:highlight w:val="none"/>
        </w:rPr>
        <w:t>评标由招标人依法组建的评标委员会负责。评标委员会由</w:t>
      </w:r>
      <w:r>
        <w:rPr>
          <w:rFonts w:hint="eastAsia" w:ascii="宋体" w:hAnsi="宋体" w:eastAsia="宋体" w:cs="宋体"/>
          <w:color w:val="auto"/>
          <w:sz w:val="24"/>
          <w:highlight w:val="none"/>
          <w:u w:val="single"/>
        </w:rPr>
        <w:t>招标人代表或其委托的招标代理机构熟悉相关业务的代表，以及由广东省综合评标评审专家库</w:t>
      </w:r>
      <w:r>
        <w:rPr>
          <w:rFonts w:hint="eastAsia" w:ascii="宋体" w:hAnsi="宋体" w:eastAsia="宋体" w:cs="宋体"/>
          <w:color w:val="auto"/>
          <w:sz w:val="24"/>
          <w:highlight w:val="none"/>
        </w:rPr>
        <w:t>有关技术、经济等方面的专家组成。评标委员会成员人数以及技术、经济等方面专家的确定方式见投标人须知前附表。</w:t>
      </w:r>
    </w:p>
    <w:p>
      <w:pPr>
        <w:pStyle w:val="1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r>
        <w:rPr>
          <w:rFonts w:hint="eastAsia" w:ascii="宋体" w:hAnsi="宋体" w:eastAsia="宋体" w:cs="宋体"/>
          <w:color w:val="auto"/>
          <w:sz w:val="24"/>
          <w:szCs w:val="24"/>
          <w:highlight w:val="none"/>
          <w:lang w:val="en-US" w:eastAsia="zh-CN"/>
        </w:rPr>
        <w:t>7.2.1</w:t>
      </w:r>
      <w:r>
        <w:rPr>
          <w:rFonts w:hint="eastAsia" w:ascii="宋体" w:hAnsi="宋体" w:eastAsia="宋体" w:cs="宋体"/>
          <w:color w:val="auto"/>
          <w:sz w:val="24"/>
          <w:szCs w:val="24"/>
          <w:highlight w:val="none"/>
        </w:rPr>
        <w:t xml:space="preserve">                   修改类型：修改</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b w:val="0"/>
          <w:bCs/>
          <w:color w:val="auto"/>
          <w:sz w:val="24"/>
          <w:szCs w:val="24"/>
          <w:highlight w:val="none"/>
        </w:rPr>
        <w:t>7.2.1招标人在《投标人须知前附表》规定的媒介公示中标候选人，公示期为三天，最后一天应为工作日。</w:t>
      </w:r>
    </w:p>
    <w:p>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现文：</w:t>
      </w:r>
      <w:r>
        <w:rPr>
          <w:rFonts w:hint="eastAsia" w:ascii="宋体" w:hAnsi="宋体" w:eastAsia="宋体" w:cs="宋体"/>
          <w:b w:val="0"/>
          <w:bCs/>
          <w:color w:val="auto"/>
          <w:sz w:val="24"/>
          <w:szCs w:val="24"/>
          <w:highlight w:val="none"/>
          <w:u w:val="single"/>
        </w:rPr>
        <w:t>7.2.1招标人在《投标人须知前附表》规定的媒介公示中标候选人，公示期为三天，最后一天应为工作日。</w:t>
      </w:r>
      <w:r>
        <w:rPr>
          <w:rFonts w:hint="eastAsia" w:ascii="宋体" w:hAnsi="宋体" w:eastAsia="宋体" w:cs="宋体"/>
          <w:color w:val="auto"/>
          <w:sz w:val="24"/>
          <w:highlight w:val="none"/>
          <w:u w:val="single"/>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pPr>
        <w:pStyle w:val="1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r>
        <w:rPr>
          <w:rFonts w:hint="eastAsia" w:ascii="宋体" w:hAnsi="宋体" w:eastAsia="宋体" w:cs="宋体"/>
          <w:color w:val="auto"/>
          <w:sz w:val="24"/>
          <w:szCs w:val="24"/>
          <w:highlight w:val="none"/>
          <w:lang w:val="en-US" w:eastAsia="zh-CN"/>
        </w:rPr>
        <w:t>7.4.1</w:t>
      </w:r>
      <w:r>
        <w:rPr>
          <w:rFonts w:hint="eastAsia" w:ascii="宋体" w:hAnsi="宋体" w:eastAsia="宋体" w:cs="宋体"/>
          <w:color w:val="auto"/>
          <w:sz w:val="24"/>
          <w:szCs w:val="24"/>
          <w:highlight w:val="none"/>
        </w:rPr>
        <w:t xml:space="preserve">                   修改类型：修改</w:t>
      </w:r>
    </w:p>
    <w:p>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原文：</w:t>
      </w:r>
      <w:r>
        <w:rPr>
          <w:rFonts w:hint="eastAsia" w:ascii="宋体" w:hAnsi="宋体"/>
          <w:color w:val="auto"/>
          <w:sz w:val="24"/>
          <w:highlight w:val="none"/>
        </w:rPr>
        <w:t>7.4.1在签订合同前，中标人应按投标人须知前附表规定的担保形式和招标文件第四章“合同条款及格式”规定的或者事先经过招标人书面认可的履约担保格式向招标人提交履约担保。除投标人须知前附表另有规定外，履约担保金额为中标合同金额的10%。</w:t>
      </w:r>
    </w:p>
    <w:p>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现文：</w:t>
      </w:r>
      <w:r>
        <w:rPr>
          <w:rFonts w:hint="eastAsia" w:ascii="宋体" w:hAnsi="宋体" w:eastAsia="宋体" w:cs="宋体"/>
          <w:b w:val="0"/>
          <w:bCs/>
          <w:color w:val="auto"/>
          <w:sz w:val="24"/>
          <w:highlight w:val="none"/>
          <w:u w:val="single"/>
          <w:lang w:val="en-US" w:eastAsia="zh-CN"/>
        </w:rPr>
        <w:t>7.4.1</w:t>
      </w:r>
      <w:r>
        <w:rPr>
          <w:rFonts w:hint="eastAsia" w:ascii="宋体" w:hAnsi="宋体" w:eastAsia="宋体" w:cs="宋体"/>
          <w:color w:val="auto"/>
          <w:sz w:val="24"/>
          <w:highlight w:val="none"/>
          <w:u w:val="single"/>
        </w:rPr>
        <w:t>在合同签订后30日内，中标人应按投标人须知前附表规定的担保形式和招标文件第四章“合同条款及格式”规定的或者事先经过招标人书面认可的履约担保格式向招标人提交履约担保。除投标人须知前附表另有规定外，履约担保金额为中标合同金额的10%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条款号：8.2</w:t>
      </w:r>
      <w:r>
        <w:rPr>
          <w:rFonts w:hint="eastAsia" w:ascii="宋体" w:hAnsi="宋体" w:eastAsia="宋体" w:cs="宋体"/>
          <w:bCs/>
          <w:color w:val="auto"/>
          <w:sz w:val="24"/>
          <w:highlight w:val="none"/>
        </w:rPr>
        <w:t xml:space="preserve">                                  </w:t>
      </w:r>
      <w:r>
        <w:rPr>
          <w:rFonts w:hint="eastAsia" w:ascii="宋体" w:hAnsi="宋体" w:eastAsia="宋体" w:cs="宋体"/>
          <w:color w:val="auto"/>
          <w:sz w:val="24"/>
          <w:highlight w:val="none"/>
        </w:rPr>
        <w:t>修改类型：增加</w:t>
      </w:r>
    </w:p>
    <w:p>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现文：</w:t>
      </w:r>
      <w:r>
        <w:rPr>
          <w:rFonts w:hint="eastAsia" w:ascii="宋体" w:hAnsi="宋体" w:cs="宋体"/>
          <w:b w:val="0"/>
          <w:bCs/>
          <w:color w:val="auto"/>
          <w:sz w:val="24"/>
          <w:highlight w:val="none"/>
          <w:lang w:val="en-US" w:eastAsia="zh-CN"/>
        </w:rPr>
        <w:t>8.2</w:t>
      </w:r>
      <w:r>
        <w:rPr>
          <w:rFonts w:hint="eastAsia" w:ascii="宋体" w:hAnsi="宋体" w:eastAsia="宋体" w:cs="宋体"/>
          <w:color w:val="auto"/>
          <w:sz w:val="24"/>
          <w:highlight w:val="none"/>
        </w:rPr>
        <w:t>重新招标后，仍出现本章第8.1条规定情形之一的，属于必须审批的水务工程建设项目，经行政监督部门批准后不再进行招标。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r>
        <w:rPr>
          <w:rFonts w:hint="eastAsia" w:ascii="宋体" w:hAnsi="宋体" w:eastAsia="宋体" w:cs="宋体"/>
          <w:color w:val="auto"/>
          <w:sz w:val="24"/>
          <w:highlight w:val="none"/>
        </w:rPr>
        <w:t xml:space="preserve">9.5 </w:t>
      </w:r>
      <w:r>
        <w:rPr>
          <w:rFonts w:hint="eastAsia" w:ascii="宋体" w:hAnsi="宋体" w:eastAsia="宋体" w:cs="宋体"/>
          <w:color w:val="auto"/>
          <w:sz w:val="24"/>
          <w:szCs w:val="24"/>
          <w:highlight w:val="none"/>
        </w:rPr>
        <w:t xml:space="preserve">                                 修改类型：增加</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highlight w:val="none"/>
          <w:u w:val="single"/>
        </w:rPr>
      </w:pPr>
      <w:r>
        <w:rPr>
          <w:rFonts w:hint="eastAsia" w:ascii="宋体" w:hAnsi="宋体" w:eastAsia="宋体" w:cs="宋体"/>
          <w:b/>
          <w:color w:val="auto"/>
          <w:sz w:val="24"/>
          <w:highlight w:val="none"/>
        </w:rPr>
        <w:t>现文：</w:t>
      </w:r>
      <w:r>
        <w:rPr>
          <w:rFonts w:hint="eastAsia" w:ascii="宋体" w:hAnsi="宋体" w:eastAsia="宋体" w:cs="宋体"/>
          <w:color w:val="auto"/>
          <w:sz w:val="24"/>
          <w:highlight w:val="none"/>
          <w:u w:val="single"/>
        </w:rPr>
        <w:t>9.5.1依据《中华人民共和国招标投标法实施条例》第五十五条，对于中标公示期间的投诉处理的原则为：除第一中标候选人或中标人以外的其他投标人存在串通投标、弄虚作假、行贿情形且在评标过程中未被发现的，视为对中标结果没有造成实质性影响，可依法继续开展招标活动。投标人的违法行为由招标监管部门依法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9.5.2在招投标过程中，投标人（含中标候选人）被投诉且经查实存在招标投标活动中列明被禁止行为的，招标人将提请行政主管部门，并按《中华人民共和国招标投标法实施条例》、《工程建设项目招标投标活动投诉处理办法》等进行处理，同时将记录到市水务工程企业信息库及诚信评价管理系统。</w:t>
      </w:r>
    </w:p>
    <w:p>
      <w:pPr>
        <w:keepNext w:val="0"/>
        <w:keepLines w:val="0"/>
        <w:pageBreakBefore w:val="0"/>
        <w:widowControl w:val="0"/>
        <w:pBdr>
          <w:bottom w:val="none" w:color="auto" w:sz="0" w:space="1"/>
        </w:pBdr>
        <w:kinsoku/>
        <w:wordWrap/>
        <w:overflowPunct/>
        <w:topLinePunct w:val="0"/>
        <w:autoSpaceDE/>
        <w:autoSpaceDN/>
        <w:bidi w:val="0"/>
        <w:spacing w:line="360" w:lineRule="auto"/>
        <w:ind w:firstLine="480" w:firstLineChars="200"/>
        <w:textAlignment w:val="auto"/>
        <w:rPr>
          <w:rFonts w:ascii="宋体" w:hAnsi="宋体"/>
          <w:color w:val="auto"/>
          <w:sz w:val="24"/>
          <w:szCs w:val="24"/>
          <w:highlight w:val="none"/>
          <w:u w:val="single"/>
        </w:rPr>
      </w:pPr>
      <w:r>
        <w:rPr>
          <w:rFonts w:hint="eastAsia" w:ascii="宋体" w:hAnsi="宋体" w:eastAsia="宋体" w:cs="宋体"/>
          <w:color w:val="auto"/>
          <w:sz w:val="24"/>
          <w:highlight w:val="none"/>
          <w:u w:val="single"/>
        </w:rPr>
        <w:t>在招投标过程中，投诉人投诉事项经查实不属实的恶意投诉，招标人将提请行政主管部门，并按《中华人民共和国招标投标法实施条例》、《工程建设项目招标投标活动投诉处理办法》等进行处理，同时将记录到市水务工程企业信息库及诚信评价管理系统。</w:t>
      </w:r>
    </w:p>
    <w:p>
      <w:pPr>
        <w:pBdr>
          <w:top w:val="single" w:color="auto" w:sz="4" w:space="0"/>
        </w:pBdr>
        <w:adjustRightInd w:val="0"/>
        <w:snapToGrid w:val="0"/>
        <w:spacing w:beforeLines="0" w:line="360" w:lineRule="auto"/>
        <w:ind w:firstLine="480" w:firstLineChars="200"/>
        <w:jc w:val="left"/>
        <w:rPr>
          <w:rFonts w:hint="eastAsia" w:ascii="宋体" w:hAnsi="宋体" w:eastAsia="宋体" w:cs="宋体"/>
          <w:strike w:val="0"/>
          <w:color w:val="auto"/>
          <w:sz w:val="24"/>
          <w:szCs w:val="24"/>
          <w:highlight w:val="none"/>
        </w:rPr>
      </w:pPr>
      <w:r>
        <w:rPr>
          <w:rFonts w:hint="eastAsia" w:ascii="宋体" w:hAnsi="宋体" w:eastAsia="宋体" w:cs="宋体"/>
          <w:strike w:val="0"/>
          <w:color w:val="auto"/>
          <w:sz w:val="24"/>
          <w:szCs w:val="24"/>
          <w:highlight w:val="none"/>
        </w:rPr>
        <w:t>条款号：附件</w:t>
      </w:r>
      <w:r>
        <w:rPr>
          <w:rFonts w:hint="eastAsia" w:ascii="宋体" w:hAnsi="宋体" w:eastAsia="宋体" w:cs="宋体"/>
          <w:strike w:val="0"/>
          <w:color w:val="auto"/>
          <w:sz w:val="24"/>
          <w:szCs w:val="24"/>
          <w:highlight w:val="none"/>
          <w:lang w:val="en-US" w:eastAsia="zh-CN"/>
        </w:rPr>
        <w:t>一</w:t>
      </w:r>
      <w:r>
        <w:rPr>
          <w:rFonts w:hint="eastAsia" w:ascii="宋体" w:hAnsi="宋体"/>
          <w:strike w:val="0"/>
          <w:color w:val="auto"/>
          <w:sz w:val="24"/>
          <w:highlight w:val="none"/>
        </w:rPr>
        <w:t>抽取评标基准价的下浮率记录表</w:t>
      </w:r>
      <w:r>
        <w:rPr>
          <w:rFonts w:hint="eastAsia" w:ascii="宋体" w:hAnsi="宋体" w:eastAsia="宋体" w:cs="宋体"/>
          <w:bCs/>
          <w:strike w:val="0"/>
          <w:color w:val="auto"/>
          <w:sz w:val="24"/>
          <w:highlight w:val="none"/>
        </w:rPr>
        <w:t xml:space="preserve">        </w:t>
      </w:r>
      <w:r>
        <w:rPr>
          <w:rFonts w:hint="eastAsia" w:ascii="宋体" w:hAnsi="宋体" w:eastAsia="宋体" w:cs="宋体"/>
          <w:strike w:val="0"/>
          <w:color w:val="auto"/>
          <w:sz w:val="24"/>
          <w:szCs w:val="24"/>
          <w:highlight w:val="none"/>
        </w:rPr>
        <w:t>修改类型：修改</w:t>
      </w:r>
    </w:p>
    <w:p>
      <w:pPr>
        <w:pBdr>
          <w:top w:val="none" w:color="auto" w:sz="0" w:space="0"/>
          <w:left w:val="none" w:color="auto" w:sz="0" w:space="0"/>
          <w:bottom w:val="none" w:color="auto" w:sz="0" w:space="0"/>
          <w:right w:val="none" w:color="auto" w:sz="0" w:space="0"/>
          <w:between w:val="none" w:color="auto" w:sz="0" w:space="0"/>
        </w:pBdr>
        <w:adjustRightInd w:val="0"/>
        <w:snapToGrid w:val="0"/>
        <w:spacing w:beforeLines="0" w:line="360" w:lineRule="auto"/>
        <w:ind w:firstLine="482" w:firstLineChars="200"/>
        <w:rPr>
          <w:rFonts w:hint="eastAsia" w:ascii="宋体" w:hAnsi="宋体" w:eastAsia="宋体" w:cs="宋体"/>
          <w:strike w:val="0"/>
          <w:color w:val="auto"/>
          <w:sz w:val="24"/>
          <w:highlight w:val="none"/>
        </w:rPr>
      </w:pPr>
      <w:r>
        <w:rPr>
          <w:rFonts w:hint="eastAsia" w:ascii="宋体" w:hAnsi="宋体" w:eastAsia="宋体" w:cs="宋体"/>
          <w:b/>
          <w:strike w:val="0"/>
          <w:color w:val="auto"/>
          <w:sz w:val="24"/>
          <w:szCs w:val="24"/>
          <w:highlight w:val="none"/>
          <w:lang w:val="en-US" w:eastAsia="zh-CN"/>
        </w:rPr>
        <w:t>原</w:t>
      </w:r>
      <w:r>
        <w:rPr>
          <w:rFonts w:hint="eastAsia" w:ascii="宋体" w:hAnsi="宋体" w:eastAsia="宋体" w:cs="宋体"/>
          <w:b/>
          <w:strike w:val="0"/>
          <w:color w:val="auto"/>
          <w:sz w:val="24"/>
          <w:szCs w:val="24"/>
          <w:highlight w:val="none"/>
        </w:rPr>
        <w:t>文：</w:t>
      </w:r>
      <w:r>
        <w:rPr>
          <w:rFonts w:hint="eastAsia" w:ascii="宋体" w:hAnsi="宋体" w:eastAsia="宋体" w:cs="宋体"/>
          <w:b w:val="0"/>
          <w:strike w:val="0"/>
          <w:color w:val="auto"/>
          <w:sz w:val="24"/>
          <w:szCs w:val="24"/>
          <w:highlight w:val="none"/>
          <w:lang w:eastAsia="zh-CN"/>
        </w:rPr>
        <w:t>《</w:t>
      </w:r>
      <w:r>
        <w:rPr>
          <w:rFonts w:hint="eastAsia" w:ascii="宋体" w:hAnsi="宋体" w:eastAsia="宋体" w:cs="宋体"/>
          <w:strike w:val="0"/>
          <w:color w:val="auto"/>
          <w:sz w:val="24"/>
          <w:szCs w:val="24"/>
          <w:highlight w:val="none"/>
        </w:rPr>
        <w:t>抽取评标基准价的下浮率记录表</w:t>
      </w:r>
      <w:r>
        <w:rPr>
          <w:rFonts w:hint="eastAsia" w:ascii="宋体" w:hAnsi="宋体" w:eastAsia="宋体" w:cs="宋体"/>
          <w:b w:val="0"/>
          <w:strike w:val="0"/>
          <w:color w:val="auto"/>
          <w:sz w:val="24"/>
          <w:szCs w:val="24"/>
          <w:highlight w:val="none"/>
          <w:lang w:eastAsia="zh-CN"/>
        </w:rPr>
        <w:t>》</w:t>
      </w:r>
    </w:p>
    <w:p>
      <w:pPr>
        <w:pStyle w:val="2"/>
        <w:ind w:firstLine="482" w:firstLineChars="200"/>
        <w:rPr>
          <w:rFonts w:hint="eastAsia" w:ascii="宋体" w:hAnsi="宋体" w:eastAsia="宋体" w:cs="宋体"/>
          <w:b/>
          <w:strike w:val="0"/>
          <w:color w:val="auto"/>
          <w:sz w:val="24"/>
          <w:szCs w:val="24"/>
          <w:highlight w:val="none"/>
        </w:rPr>
      </w:pPr>
      <w:r>
        <w:rPr>
          <w:rFonts w:hint="eastAsia" w:ascii="宋体" w:hAnsi="宋体" w:eastAsia="宋体" w:cs="宋体"/>
          <w:b/>
          <w:strike w:val="0"/>
          <w:color w:val="auto"/>
          <w:sz w:val="24"/>
          <w:szCs w:val="24"/>
          <w:highlight w:val="none"/>
        </w:rPr>
        <w:t>现文：</w:t>
      </w:r>
      <w:r>
        <w:rPr>
          <w:rFonts w:hint="eastAsia" w:ascii="宋体" w:hAnsi="宋体" w:eastAsia="宋体" w:cs="宋体"/>
          <w:b w:val="0"/>
          <w:strike w:val="0"/>
          <w:color w:val="auto"/>
          <w:sz w:val="24"/>
          <w:szCs w:val="24"/>
          <w:highlight w:val="none"/>
          <w:lang w:val="en-US" w:eastAsia="zh-CN"/>
        </w:rPr>
        <w:t>详见《</w:t>
      </w:r>
      <w:r>
        <w:rPr>
          <w:rFonts w:hint="eastAsia" w:ascii="宋体" w:hAnsi="宋体" w:eastAsia="宋体" w:cs="宋体"/>
          <w:strike w:val="0"/>
          <w:color w:val="auto"/>
          <w:sz w:val="24"/>
          <w:szCs w:val="24"/>
          <w:highlight w:val="none"/>
        </w:rPr>
        <w:t>抽取评标基准价的下浮率记录表</w:t>
      </w:r>
      <w:r>
        <w:rPr>
          <w:rFonts w:hint="eastAsia" w:ascii="宋体" w:hAnsi="宋体" w:eastAsia="宋体" w:cs="宋体"/>
          <w:b w:val="0"/>
          <w:strike w:val="0"/>
          <w:color w:val="auto"/>
          <w:sz w:val="24"/>
          <w:szCs w:val="24"/>
          <w:highlight w:val="none"/>
          <w:lang w:val="en-US" w:eastAsia="zh-CN"/>
        </w:rPr>
        <w:t>》</w:t>
      </w:r>
    </w:p>
    <w:p>
      <w:pPr>
        <w:pBdr>
          <w:top w:val="single" w:color="auto" w:sz="4" w:space="0"/>
        </w:pBdr>
        <w:adjustRightInd w:val="0"/>
        <w:snapToGrid w:val="0"/>
        <w:spacing w:beforeLines="0" w:line="360" w:lineRule="auto"/>
        <w:ind w:firstLine="480" w:firstLineChars="200"/>
        <w:rPr>
          <w:rFonts w:hint="eastAsia" w:ascii="宋体" w:hAnsi="宋体" w:eastAsia="宋体" w:cs="宋体"/>
          <w:strike w:val="0"/>
          <w:color w:val="auto"/>
          <w:sz w:val="24"/>
          <w:szCs w:val="24"/>
          <w:highlight w:val="none"/>
        </w:rPr>
      </w:pPr>
      <w:r>
        <w:rPr>
          <w:rFonts w:hint="eastAsia" w:ascii="宋体" w:hAnsi="宋体" w:eastAsia="宋体" w:cs="宋体"/>
          <w:strike w:val="0"/>
          <w:color w:val="auto"/>
          <w:sz w:val="24"/>
          <w:szCs w:val="24"/>
          <w:highlight w:val="none"/>
        </w:rPr>
        <w:t xml:space="preserve">条款号：附件二 </w:t>
      </w:r>
      <w:r>
        <w:rPr>
          <w:rFonts w:hint="eastAsia" w:ascii="宋体" w:hAnsi="宋体" w:eastAsia="宋体" w:cs="宋体"/>
          <w:bCs/>
          <w:strike w:val="0"/>
          <w:color w:val="auto"/>
          <w:sz w:val="24"/>
          <w:highlight w:val="none"/>
        </w:rPr>
        <w:t xml:space="preserve">                             </w:t>
      </w:r>
      <w:r>
        <w:rPr>
          <w:rFonts w:hint="eastAsia" w:ascii="宋体" w:hAnsi="宋体" w:eastAsia="宋体" w:cs="宋体"/>
          <w:strike w:val="0"/>
          <w:color w:val="auto"/>
          <w:sz w:val="24"/>
          <w:szCs w:val="24"/>
          <w:highlight w:val="none"/>
        </w:rPr>
        <w:t>修改类型：</w:t>
      </w:r>
      <w:r>
        <w:rPr>
          <w:rFonts w:hint="eastAsia" w:ascii="宋体" w:hAnsi="宋体" w:eastAsia="宋体" w:cs="宋体"/>
          <w:strike w:val="0"/>
          <w:color w:val="auto"/>
          <w:sz w:val="24"/>
          <w:szCs w:val="24"/>
          <w:highlight w:val="none"/>
          <w:lang w:val="en-US" w:eastAsia="zh-CN"/>
        </w:rPr>
        <w:t>修改</w:t>
      </w:r>
    </w:p>
    <w:p>
      <w:pPr>
        <w:pBdr>
          <w:top w:val="none" w:color="auto" w:sz="0" w:space="0"/>
          <w:left w:val="none" w:color="auto" w:sz="0" w:space="0"/>
          <w:bottom w:val="none" w:color="auto" w:sz="0" w:space="0"/>
          <w:right w:val="none" w:color="auto" w:sz="0" w:space="0"/>
          <w:between w:val="none" w:color="auto" w:sz="0" w:space="0"/>
        </w:pBdr>
        <w:adjustRightInd w:val="0"/>
        <w:snapToGrid w:val="0"/>
        <w:spacing w:beforeLines="0" w:line="360" w:lineRule="auto"/>
        <w:ind w:firstLine="482" w:firstLineChars="200"/>
        <w:rPr>
          <w:rFonts w:hint="eastAsia" w:ascii="宋体" w:hAnsi="宋体" w:eastAsia="宋体" w:cs="宋体"/>
          <w:strike w:val="0"/>
          <w:color w:val="auto"/>
          <w:sz w:val="24"/>
          <w:highlight w:val="none"/>
        </w:rPr>
      </w:pPr>
      <w:r>
        <w:rPr>
          <w:rFonts w:hint="eastAsia" w:ascii="宋体" w:hAnsi="宋体" w:eastAsia="宋体" w:cs="宋体"/>
          <w:b/>
          <w:strike w:val="0"/>
          <w:color w:val="auto"/>
          <w:sz w:val="24"/>
          <w:szCs w:val="24"/>
          <w:highlight w:val="none"/>
          <w:lang w:val="en-US" w:eastAsia="zh-CN"/>
        </w:rPr>
        <w:t>原</w:t>
      </w:r>
      <w:r>
        <w:rPr>
          <w:rFonts w:hint="eastAsia" w:ascii="宋体" w:hAnsi="宋体" w:eastAsia="宋体" w:cs="宋体"/>
          <w:b/>
          <w:strike w:val="0"/>
          <w:color w:val="auto"/>
          <w:sz w:val="24"/>
          <w:szCs w:val="24"/>
          <w:highlight w:val="none"/>
        </w:rPr>
        <w:t>文：</w:t>
      </w:r>
      <w:r>
        <w:rPr>
          <w:rFonts w:hint="eastAsia" w:ascii="宋体" w:hAnsi="宋体" w:eastAsia="宋体" w:cs="宋体"/>
          <w:strike w:val="0"/>
          <w:color w:val="auto"/>
          <w:sz w:val="24"/>
          <w:highlight w:val="none"/>
        </w:rPr>
        <w:t>问题澄清通知</w:t>
      </w:r>
    </w:p>
    <w:p>
      <w:pPr>
        <w:pStyle w:val="18"/>
        <w:pBdr>
          <w:top w:val="none" w:color="auto" w:sz="0" w:space="0"/>
          <w:left w:val="none" w:color="auto" w:sz="0" w:space="0"/>
          <w:bottom w:val="single" w:color="auto" w:sz="4" w:space="0"/>
          <w:right w:val="none" w:color="auto" w:sz="0" w:space="0"/>
          <w:between w:val="none" w:color="auto" w:sz="0" w:space="0"/>
        </w:pBdr>
        <w:rPr>
          <w:rFonts w:hint="default" w:ascii="Times New Roman" w:hAnsi="Times New Roman" w:eastAsia="宋体" w:cs="Times New Roman"/>
          <w:strike w:val="0"/>
          <w:color w:val="auto"/>
          <w:sz w:val="20"/>
          <w:highlight w:val="none"/>
        </w:rPr>
      </w:pPr>
      <w:r>
        <w:rPr>
          <w:rFonts w:hint="eastAsia" w:ascii="宋体" w:hAnsi="宋体" w:eastAsia="宋体" w:cs="宋体"/>
          <w:b/>
          <w:strike w:val="0"/>
          <w:color w:val="auto"/>
          <w:sz w:val="24"/>
          <w:szCs w:val="24"/>
          <w:highlight w:val="none"/>
        </w:rPr>
        <w:t>现文：</w:t>
      </w:r>
      <w:r>
        <w:rPr>
          <w:rFonts w:hint="eastAsia" w:ascii="宋体" w:hAnsi="宋体" w:eastAsia="宋体" w:cs="宋体"/>
          <w:b w:val="0"/>
          <w:strike w:val="0"/>
          <w:color w:val="auto"/>
          <w:sz w:val="24"/>
          <w:szCs w:val="24"/>
          <w:highlight w:val="none"/>
          <w:lang w:val="en-US" w:eastAsia="zh-CN"/>
        </w:rPr>
        <w:t>详见</w:t>
      </w:r>
      <w:r>
        <w:rPr>
          <w:rFonts w:hint="eastAsia" w:ascii="宋体" w:hAnsi="宋体" w:eastAsia="宋体" w:cs="宋体"/>
          <w:strike w:val="0"/>
          <w:color w:val="auto"/>
          <w:sz w:val="24"/>
          <w:highlight w:val="none"/>
        </w:rPr>
        <w:t>问题澄清通知</w:t>
      </w:r>
    </w:p>
    <w:p>
      <w:pPr>
        <w:pBdr>
          <w:top w:val="none" w:color="auto" w:sz="0" w:space="0"/>
          <w:left w:val="none" w:color="auto" w:sz="0" w:space="0"/>
          <w:bottom w:val="none" w:color="auto" w:sz="0" w:space="0"/>
          <w:right w:val="none" w:color="auto" w:sz="0" w:space="0"/>
          <w:between w:val="none" w:color="auto" w:sz="0" w:space="0"/>
        </w:pBdr>
        <w:adjustRightInd w:val="0"/>
        <w:snapToGrid w:val="0"/>
        <w:spacing w:beforeLines="0" w:line="360" w:lineRule="auto"/>
        <w:ind w:firstLine="480" w:firstLineChars="200"/>
        <w:rPr>
          <w:rFonts w:hint="eastAsia" w:ascii="宋体" w:hAnsi="宋体" w:eastAsia="宋体" w:cs="宋体"/>
          <w:strike w:val="0"/>
          <w:color w:val="auto"/>
          <w:sz w:val="24"/>
          <w:szCs w:val="24"/>
          <w:highlight w:val="none"/>
        </w:rPr>
      </w:pPr>
      <w:r>
        <w:rPr>
          <w:rFonts w:hint="eastAsia" w:ascii="宋体" w:hAnsi="宋体" w:eastAsia="宋体" w:cs="宋体"/>
          <w:strike w:val="0"/>
          <w:color w:val="auto"/>
          <w:sz w:val="24"/>
          <w:szCs w:val="24"/>
          <w:highlight w:val="none"/>
        </w:rPr>
        <w:t>条款号：附件三                              修改类型：</w:t>
      </w:r>
      <w:r>
        <w:rPr>
          <w:rFonts w:hint="eastAsia" w:ascii="宋体" w:hAnsi="宋体" w:eastAsia="宋体" w:cs="宋体"/>
          <w:strike w:val="0"/>
          <w:color w:val="auto"/>
          <w:sz w:val="24"/>
          <w:szCs w:val="24"/>
          <w:highlight w:val="none"/>
          <w:lang w:val="en-US" w:eastAsia="zh-CN"/>
        </w:rPr>
        <w:t>修改</w:t>
      </w:r>
    </w:p>
    <w:p>
      <w:pPr>
        <w:pBdr>
          <w:top w:val="none" w:color="auto" w:sz="0" w:space="0"/>
          <w:left w:val="none" w:color="auto" w:sz="0" w:space="0"/>
          <w:bottom w:val="none" w:color="auto" w:sz="0" w:space="0"/>
          <w:right w:val="none" w:color="auto" w:sz="0" w:space="0"/>
          <w:between w:val="none" w:color="auto" w:sz="0" w:space="0"/>
        </w:pBdr>
        <w:adjustRightInd w:val="0"/>
        <w:snapToGrid w:val="0"/>
        <w:spacing w:beforeLines="0" w:line="360" w:lineRule="auto"/>
        <w:ind w:firstLine="482" w:firstLineChars="200"/>
        <w:rPr>
          <w:rFonts w:hint="eastAsia" w:ascii="宋体" w:hAnsi="宋体" w:eastAsia="宋体" w:cs="宋体"/>
          <w:strike w:val="0"/>
          <w:color w:val="auto"/>
          <w:sz w:val="24"/>
          <w:highlight w:val="none"/>
        </w:rPr>
      </w:pPr>
      <w:r>
        <w:rPr>
          <w:rFonts w:hint="eastAsia" w:ascii="宋体" w:hAnsi="宋体" w:eastAsia="宋体" w:cs="宋体"/>
          <w:b/>
          <w:strike w:val="0"/>
          <w:color w:val="auto"/>
          <w:sz w:val="24"/>
          <w:szCs w:val="24"/>
          <w:highlight w:val="none"/>
          <w:lang w:val="en-US" w:eastAsia="zh-CN"/>
        </w:rPr>
        <w:t>原文：</w:t>
      </w:r>
      <w:r>
        <w:rPr>
          <w:rFonts w:hint="eastAsia" w:ascii="宋体" w:hAnsi="宋体" w:eastAsia="宋体" w:cs="宋体"/>
          <w:strike w:val="0"/>
          <w:color w:val="auto"/>
          <w:sz w:val="24"/>
          <w:highlight w:val="none"/>
        </w:rPr>
        <w:t>问题的澄清</w:t>
      </w:r>
    </w:p>
    <w:p>
      <w:pPr>
        <w:pStyle w:val="18"/>
        <w:pBdr>
          <w:top w:val="none" w:color="auto" w:sz="0" w:space="0"/>
          <w:left w:val="none" w:color="auto" w:sz="0" w:space="0"/>
          <w:bottom w:val="single" w:color="auto" w:sz="4" w:space="0"/>
          <w:right w:val="none" w:color="auto" w:sz="0" w:space="0"/>
          <w:between w:val="none" w:color="auto" w:sz="0" w:space="0"/>
        </w:pBdr>
        <w:rPr>
          <w:rFonts w:hint="default" w:ascii="Times New Roman" w:hAnsi="Times New Roman" w:eastAsia="宋体" w:cs="Times New Roman"/>
          <w:strike w:val="0"/>
          <w:color w:val="auto"/>
          <w:sz w:val="20"/>
          <w:highlight w:val="none"/>
        </w:rPr>
      </w:pPr>
      <w:r>
        <w:rPr>
          <w:rFonts w:hint="eastAsia" w:ascii="宋体" w:hAnsi="宋体" w:eastAsia="宋体" w:cs="宋体"/>
          <w:b/>
          <w:strike w:val="0"/>
          <w:color w:val="auto"/>
          <w:sz w:val="24"/>
          <w:szCs w:val="24"/>
          <w:highlight w:val="none"/>
        </w:rPr>
        <w:t>现文：</w:t>
      </w:r>
      <w:r>
        <w:rPr>
          <w:rFonts w:hint="eastAsia" w:ascii="宋体" w:hAnsi="宋体" w:eastAsia="宋体" w:cs="宋体"/>
          <w:b w:val="0"/>
          <w:strike w:val="0"/>
          <w:color w:val="auto"/>
          <w:sz w:val="24"/>
          <w:szCs w:val="24"/>
          <w:highlight w:val="none"/>
          <w:lang w:val="en-US" w:eastAsia="zh-CN"/>
        </w:rPr>
        <w:t>详见</w:t>
      </w:r>
      <w:r>
        <w:rPr>
          <w:rFonts w:hint="eastAsia" w:ascii="宋体" w:hAnsi="宋体" w:eastAsia="宋体" w:cs="宋体"/>
          <w:strike w:val="0"/>
          <w:color w:val="auto"/>
          <w:sz w:val="24"/>
          <w:highlight w:val="none"/>
        </w:rPr>
        <w:t>问题的澄清</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注：以上修改，仅限于本范本中有可供选择条款的情形。</w:t>
      </w:r>
    </w:p>
    <w:p>
      <w:pPr>
        <w:spacing w:line="360" w:lineRule="auto"/>
        <w:rPr>
          <w:rFonts w:eastAsia="宋体"/>
          <w:b/>
          <w:color w:val="auto"/>
          <w:sz w:val="24"/>
          <w:highlight w:val="none"/>
        </w:rPr>
      </w:pPr>
      <w:r>
        <w:rPr>
          <w:rFonts w:hint="eastAsia" w:ascii="宋体" w:hAnsi="宋体"/>
          <w:color w:val="auto"/>
          <w:sz w:val="24"/>
          <w:szCs w:val="24"/>
          <w:highlight w:val="none"/>
        </w:rPr>
        <w:t>（以下无正文）</w:t>
      </w:r>
    </w:p>
    <w:p>
      <w:pPr>
        <w:widowControl/>
        <w:jc w:val="left"/>
        <w:rPr>
          <w:rFonts w:ascii="宋体" w:hAnsi="宋体"/>
          <w:b/>
          <w:color w:val="auto"/>
          <w:sz w:val="24"/>
          <w:szCs w:val="24"/>
          <w:highlight w:val="none"/>
          <w:u w:val="single"/>
        </w:rPr>
      </w:pPr>
      <w:r>
        <w:rPr>
          <w:rFonts w:ascii="宋体" w:hAnsi="宋体"/>
          <w:b/>
          <w:color w:val="auto"/>
          <w:sz w:val="24"/>
          <w:highlight w:val="none"/>
        </w:rPr>
        <w:br w:type="page"/>
      </w:r>
    </w:p>
    <w:p>
      <w:pPr>
        <w:spacing w:line="360" w:lineRule="auto"/>
        <w:jc w:val="center"/>
        <w:outlineLvl w:val="2"/>
        <w:rPr>
          <w:rFonts w:ascii="黑体" w:hAnsi="黑体" w:eastAsia="黑体"/>
          <w:color w:val="auto"/>
          <w:sz w:val="28"/>
          <w:szCs w:val="27"/>
          <w:highlight w:val="none"/>
        </w:rPr>
      </w:pPr>
      <w:bookmarkStart w:id="181" w:name="_Toc17451624"/>
      <w:bookmarkStart w:id="182" w:name="_Toc17451102"/>
      <w:bookmarkStart w:id="183" w:name="_Toc17278"/>
      <w:bookmarkStart w:id="184" w:name="_Toc17452665"/>
      <w:bookmarkStart w:id="185" w:name="_Toc17556877"/>
      <w:bookmarkStart w:id="186" w:name="_Toc17454923"/>
      <w:bookmarkStart w:id="187" w:name="_Toc17454872"/>
      <w:bookmarkStart w:id="188" w:name="_Toc17451579"/>
      <w:r>
        <w:rPr>
          <w:rFonts w:hint="eastAsia" w:ascii="黑体" w:hAnsi="黑体" w:eastAsia="黑体"/>
          <w:color w:val="auto"/>
          <w:sz w:val="28"/>
          <w:szCs w:val="27"/>
          <w:highlight w:val="none"/>
        </w:rPr>
        <w:t>三、</w:t>
      </w:r>
      <w:r>
        <w:rPr>
          <w:rFonts w:hint="eastAsia" w:ascii="黑体" w:hAnsi="黑体" w:eastAsia="黑体"/>
          <w:color w:val="auto"/>
          <w:sz w:val="28"/>
          <w:szCs w:val="27"/>
          <w:highlight w:val="none"/>
          <w:lang w:eastAsia="zh-CN"/>
        </w:rPr>
        <w:t>投标人须知</w:t>
      </w:r>
      <w:r>
        <w:rPr>
          <w:rFonts w:hint="eastAsia" w:ascii="黑体" w:hAnsi="黑体" w:eastAsia="黑体"/>
          <w:color w:val="auto"/>
          <w:sz w:val="28"/>
          <w:szCs w:val="27"/>
          <w:highlight w:val="none"/>
        </w:rPr>
        <w:t>通用条款</w:t>
      </w:r>
      <w:bookmarkEnd w:id="181"/>
      <w:bookmarkEnd w:id="182"/>
      <w:bookmarkEnd w:id="183"/>
      <w:bookmarkEnd w:id="184"/>
      <w:bookmarkEnd w:id="185"/>
      <w:bookmarkEnd w:id="186"/>
      <w:bookmarkEnd w:id="187"/>
      <w:bookmarkEnd w:id="188"/>
    </w:p>
    <w:p>
      <w:pPr>
        <w:jc w:val="center"/>
        <w:outlineLvl w:val="3"/>
        <w:rPr>
          <w:rFonts w:ascii="仿宋" w:hAnsi="仿宋" w:eastAsia="仿宋"/>
          <w:b/>
          <w:color w:val="auto"/>
          <w:sz w:val="30"/>
          <w:szCs w:val="30"/>
          <w:highlight w:val="none"/>
        </w:rPr>
      </w:pPr>
      <w:bookmarkStart w:id="189" w:name="_Toc101777612"/>
      <w:bookmarkStart w:id="190" w:name="_Toc262229163"/>
      <w:bookmarkStart w:id="191" w:name="_Toc85505512"/>
      <w:r>
        <w:rPr>
          <w:rFonts w:hint="eastAsia" w:ascii="仿宋" w:hAnsi="仿宋" w:eastAsia="仿宋"/>
          <w:b/>
          <w:color w:val="auto"/>
          <w:sz w:val="30"/>
          <w:szCs w:val="30"/>
          <w:highlight w:val="none"/>
        </w:rPr>
        <w:t>（一）总则</w:t>
      </w:r>
      <w:bookmarkEnd w:id="189"/>
      <w:bookmarkEnd w:id="190"/>
      <w:bookmarkEnd w:id="191"/>
    </w:p>
    <w:p>
      <w:pPr>
        <w:pStyle w:val="17"/>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1.1 项目概况</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1.1.1根据《中华人民共和国招标投标法》等有关法律、法规和规章的规定，本招标项目已具备招标条件，现对本标段施工进行招标。</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1.1.2 本招标项目招标人：见投标人须知前附表。</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1.1.3 本标段招标代理机构：见投标人须知前附表。</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1.1.4 本招标项目名称：见投标人须知前附表。</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1.1.5 本标段建设地点：见投标人须知前附表。</w:t>
      </w:r>
    </w:p>
    <w:p>
      <w:pPr>
        <w:pStyle w:val="17"/>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1.2 资金来源和落实情况</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1.2.1 本招标项目的资金来源及出资比例：见投标人须知前附表。</w:t>
      </w:r>
    </w:p>
    <w:p>
      <w:pPr>
        <w:pStyle w:val="6"/>
        <w:numPr>
          <w:ilvl w:val="0"/>
          <w:numId w:val="0"/>
        </w:numPr>
        <w:spacing w:line="360" w:lineRule="auto"/>
        <w:ind w:left="480" w:leftChars="0"/>
        <w:rPr>
          <w:color w:val="auto"/>
          <w:sz w:val="24"/>
          <w:szCs w:val="24"/>
          <w:highlight w:val="none"/>
        </w:rPr>
      </w:pPr>
      <w:r>
        <w:rPr>
          <w:rFonts w:hint="eastAsia" w:ascii="宋体" w:hAnsi="宋体"/>
          <w:bCs/>
          <w:color w:val="auto"/>
          <w:sz w:val="24"/>
          <w:highlight w:val="none"/>
        </w:rPr>
        <w:t>1.2.</w:t>
      </w:r>
      <w:r>
        <w:rPr>
          <w:rFonts w:hint="eastAsia" w:ascii="宋体" w:hAnsi="宋体"/>
          <w:bCs/>
          <w:color w:val="auto"/>
          <w:sz w:val="24"/>
          <w:highlight w:val="none"/>
          <w:lang w:val="en-US" w:eastAsia="zh-CN"/>
        </w:rPr>
        <w:t>2</w:t>
      </w:r>
      <w:r>
        <w:rPr>
          <w:rFonts w:hint="eastAsia" w:ascii="宋体" w:hAnsi="宋体"/>
          <w:bCs/>
          <w:color w:val="auto"/>
          <w:sz w:val="24"/>
          <w:highlight w:val="none"/>
        </w:rPr>
        <w:t xml:space="preserve"> </w:t>
      </w:r>
      <w:r>
        <w:rPr>
          <w:rFonts w:hint="eastAsia"/>
          <w:color w:val="auto"/>
          <w:sz w:val="24"/>
          <w:szCs w:val="24"/>
          <w:highlight w:val="none"/>
        </w:rPr>
        <w:t>本招标项目的资金落实情况：见投标人须知前附表。</w:t>
      </w:r>
    </w:p>
    <w:p>
      <w:pPr>
        <w:pStyle w:val="17"/>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1.3 招标范围、计划工期和质量要求</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1.3.1 本次招标范围：见投标人须知前附表。</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1.3.2 本标段的计划工期：见投标人须知前附表。</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1.3.3 本标段的质量要求：见投标人须知前附表。</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1.3.4 本招标项目的承包方式：见投标人须知前附表。</w:t>
      </w:r>
    </w:p>
    <w:p>
      <w:pPr>
        <w:pStyle w:val="17"/>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1.4 投标人资格要求</w:t>
      </w:r>
    </w:p>
    <w:p>
      <w:pPr>
        <w:spacing w:line="360" w:lineRule="auto"/>
        <w:ind w:firstLine="480" w:firstLineChars="200"/>
        <w:rPr>
          <w:rFonts w:hint="eastAsia" w:ascii="宋体" w:hAnsi="宋体" w:eastAsia="宋体"/>
          <w:bCs/>
          <w:color w:val="auto"/>
          <w:sz w:val="24"/>
          <w:highlight w:val="none"/>
          <w:lang w:eastAsia="zh-CN"/>
        </w:rPr>
      </w:pPr>
      <w:r>
        <w:rPr>
          <w:rFonts w:hint="eastAsia" w:ascii="宋体" w:hAnsi="宋体"/>
          <w:bCs/>
          <w:color w:val="auto"/>
          <w:sz w:val="24"/>
          <w:highlight w:val="none"/>
        </w:rPr>
        <w:t>1.4.1 投标人应具备承担本项目施工的资质条件、能力和信誉</w:t>
      </w:r>
      <w:r>
        <w:rPr>
          <w:rFonts w:hint="eastAsia" w:ascii="宋体" w:hAnsi="宋体"/>
          <w:bCs/>
          <w:color w:val="auto"/>
          <w:sz w:val="24"/>
          <w:highlight w:val="none"/>
          <w:lang w:eastAsia="zh-CN"/>
        </w:rPr>
        <w:t>，详见本项目招标公告。</w:t>
      </w:r>
    </w:p>
    <w:p>
      <w:pPr>
        <w:kinsoku/>
        <w:overflowPunct/>
        <w:spacing w:line="360" w:lineRule="auto"/>
        <w:ind w:firstLine="480" w:firstLineChars="200"/>
        <w:rPr>
          <w:rFonts w:hint="eastAsia" w:ascii="宋体" w:hAnsi="宋体" w:eastAsia="宋体" w:cs="Times New Roman"/>
          <w:bCs/>
          <w:color w:val="auto"/>
          <w:sz w:val="24"/>
          <w:szCs w:val="22"/>
          <w:highlight w:val="none"/>
        </w:rPr>
      </w:pPr>
      <w:r>
        <w:rPr>
          <w:rFonts w:hint="eastAsia" w:ascii="宋体" w:hAnsi="宋体" w:eastAsia="宋体" w:cs="Times New Roman"/>
          <w:bCs/>
          <w:color w:val="auto"/>
          <w:sz w:val="24"/>
          <w:szCs w:val="22"/>
          <w:highlight w:val="none"/>
        </w:rPr>
        <w:t>1.4.2 投标人须知前附表规定接受联合体投标的，联合体除应符合本章第 1.4.1 项和投标人须知前附表的要求外，还应遵守以下规定：</w:t>
      </w:r>
    </w:p>
    <w:p>
      <w:pPr>
        <w:kinsoku/>
        <w:overflowPunct/>
        <w:spacing w:line="360" w:lineRule="auto"/>
        <w:ind w:firstLine="480" w:firstLineChars="200"/>
        <w:rPr>
          <w:rFonts w:hint="eastAsia" w:ascii="宋体" w:hAnsi="宋体" w:eastAsia="宋体" w:cs="Times New Roman"/>
          <w:bCs/>
          <w:color w:val="auto"/>
          <w:sz w:val="24"/>
          <w:szCs w:val="22"/>
          <w:highlight w:val="none"/>
        </w:rPr>
      </w:pPr>
      <w:r>
        <w:rPr>
          <w:rFonts w:hint="eastAsia" w:ascii="宋体" w:hAnsi="宋体" w:eastAsia="宋体" w:cs="Times New Roman"/>
          <w:bCs/>
          <w:color w:val="auto"/>
          <w:sz w:val="24"/>
          <w:szCs w:val="22"/>
          <w:highlight w:val="none"/>
        </w:rPr>
        <w:t>（1）联合体各方应按招标文件提供的格式签订联合体协议书，明确联合体</w:t>
      </w:r>
      <w:r>
        <w:rPr>
          <w:rFonts w:hint="eastAsia" w:ascii="宋体" w:hAnsi="宋体" w:eastAsia="宋体" w:cs="Times New Roman"/>
          <w:bCs/>
          <w:color w:val="auto"/>
          <w:spacing w:val="0"/>
          <w:sz w:val="24"/>
          <w:szCs w:val="22"/>
          <w:highlight w:val="none"/>
          <w:lang w:eastAsia="zh-CN"/>
        </w:rPr>
        <w:t>主办方</w:t>
      </w:r>
      <w:r>
        <w:rPr>
          <w:rFonts w:hint="eastAsia" w:ascii="宋体" w:hAnsi="宋体" w:eastAsia="宋体" w:cs="Times New Roman"/>
          <w:bCs/>
          <w:color w:val="auto"/>
          <w:sz w:val="24"/>
          <w:szCs w:val="22"/>
          <w:highlight w:val="none"/>
        </w:rPr>
        <w:t>和各方权利义务，并承诺就中标项目向招标人承担连带责任；</w:t>
      </w:r>
    </w:p>
    <w:p>
      <w:pPr>
        <w:kinsoku/>
        <w:overflowPunct/>
        <w:spacing w:line="360" w:lineRule="auto"/>
        <w:ind w:firstLine="480" w:firstLineChars="200"/>
        <w:rPr>
          <w:rFonts w:hint="eastAsia" w:ascii="宋体" w:hAnsi="宋体" w:eastAsia="宋体" w:cs="Times New Roman"/>
          <w:bCs/>
          <w:color w:val="auto"/>
          <w:sz w:val="24"/>
          <w:szCs w:val="22"/>
          <w:highlight w:val="none"/>
        </w:rPr>
      </w:pPr>
      <w:r>
        <w:rPr>
          <w:rFonts w:hint="eastAsia" w:ascii="宋体" w:hAnsi="宋体" w:eastAsia="宋体" w:cs="Times New Roman"/>
          <w:bCs/>
          <w:color w:val="auto"/>
          <w:sz w:val="24"/>
          <w:szCs w:val="22"/>
          <w:highlight w:val="none"/>
        </w:rPr>
        <w:t>（2）由同一专业的单位组成的联合体，按照资质等级较低的单位确定资质等级；</w:t>
      </w:r>
    </w:p>
    <w:p>
      <w:pPr>
        <w:kinsoku/>
        <w:overflowPunct/>
        <w:spacing w:line="360" w:lineRule="auto"/>
        <w:ind w:firstLine="480" w:firstLineChars="200"/>
        <w:rPr>
          <w:rFonts w:hint="eastAsia" w:ascii="宋体" w:hAnsi="宋体" w:eastAsia="宋体" w:cs="Times New Roman"/>
          <w:bCs/>
          <w:color w:val="auto"/>
          <w:sz w:val="24"/>
          <w:szCs w:val="22"/>
          <w:highlight w:val="none"/>
        </w:rPr>
      </w:pPr>
      <w:r>
        <w:rPr>
          <w:rFonts w:hint="eastAsia" w:ascii="宋体" w:hAnsi="宋体" w:eastAsia="宋体" w:cs="Times New Roman"/>
          <w:bCs/>
          <w:color w:val="auto"/>
          <w:sz w:val="24"/>
          <w:szCs w:val="22"/>
          <w:highlight w:val="none"/>
        </w:rPr>
        <w:t>（3）联合体各方不得再以自己名义单独或参加其他联合体在本招标项目中投标，否则各相关投标均无效。</w:t>
      </w:r>
    </w:p>
    <w:p>
      <w:pPr>
        <w:spacing w:line="360" w:lineRule="auto"/>
        <w:ind w:firstLine="480" w:firstLineChars="200"/>
        <w:rPr>
          <w:rFonts w:hint="eastAsia" w:ascii="宋体" w:hAnsi="宋体"/>
          <w:bCs/>
          <w:color w:val="auto"/>
          <w:sz w:val="24"/>
          <w:highlight w:val="none"/>
        </w:rPr>
      </w:pP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1.4.</w:t>
      </w:r>
      <w:r>
        <w:rPr>
          <w:rFonts w:hint="eastAsia" w:ascii="宋体" w:hAnsi="宋体"/>
          <w:bCs/>
          <w:color w:val="auto"/>
          <w:sz w:val="24"/>
          <w:highlight w:val="none"/>
          <w:lang w:val="en-US" w:eastAsia="zh-CN"/>
        </w:rPr>
        <w:t>3</w:t>
      </w:r>
      <w:r>
        <w:rPr>
          <w:rFonts w:hint="eastAsia" w:ascii="宋体" w:hAnsi="宋体"/>
          <w:bCs/>
          <w:color w:val="auto"/>
          <w:sz w:val="24"/>
          <w:highlight w:val="none"/>
        </w:rPr>
        <w:t>投标人不得存在下列情形之一：</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（1）为招标人不具有独立法人资格的附属机构（单位）；</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（2）为本标段前期准备提供设计或咨询服务或者与本项目设计人或提供咨询服务的机构存在附属关系的；</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（3）为本项目监理人或者与本项目监理人存在隶属关系或者其他利害关系；</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（4）为本标段的代建人；</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（5）为本标段提供招标代理服务的；</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（6）与本标段的监理人或代建人或招标代理机构同为一个法定代表人的；</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（7）与本标段的监理人或代建人或招标代理机构互相控股或参股的；</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（8）与本标段的监理人或代建人或招标代理机构相互任职或工作的；</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（9）与本标段的检测机构</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建设、</w:t>
      </w:r>
      <w:r>
        <w:rPr>
          <w:rFonts w:hint="eastAsia" w:ascii="宋体" w:hAnsi="宋体" w:eastAsia="宋体"/>
          <w:color w:val="auto"/>
          <w:sz w:val="24"/>
          <w:szCs w:val="24"/>
          <w:highlight w:val="none"/>
          <w:lang w:eastAsia="zh-CN"/>
        </w:rPr>
        <w:t>监理单位</w:t>
      </w:r>
      <w:r>
        <w:rPr>
          <w:rFonts w:hint="eastAsia" w:ascii="宋体" w:hAnsi="宋体" w:eastAsia="宋体"/>
          <w:color w:val="auto"/>
          <w:sz w:val="24"/>
          <w:szCs w:val="24"/>
          <w:highlight w:val="none"/>
        </w:rPr>
        <w:t>以及建筑材料、建筑构配件和设备供应商有隶属关系或者其他利害关系有隶属关系或者其他利害关系；</w:t>
      </w:r>
    </w:p>
    <w:p>
      <w:pPr>
        <w:pStyle w:val="27"/>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（10）与招标人存在利害关系且可能影响招标公正性；</w:t>
      </w:r>
    </w:p>
    <w:p>
      <w:pPr>
        <w:pStyle w:val="27"/>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11）被依法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w:t>
      </w:r>
    </w:p>
    <w:p>
      <w:pPr>
        <w:pStyle w:val="27"/>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（12）被责令停产停业、暂扣或者吊销许可证、暂扣或者吊销执照的（本项事实应当以根据《中华人民共和国行政处罚法》依法作出并已经生效的行政处罚决定为认定依据。）；</w:t>
      </w:r>
    </w:p>
    <w:p>
      <w:pPr>
        <w:pStyle w:val="27"/>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（13）进入清算程序，或被宣布破产，或其他丧失履约能力的情形；</w:t>
      </w:r>
    </w:p>
    <w:p>
      <w:pPr>
        <w:pStyle w:val="27"/>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14）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pPr>
        <w:spacing w:line="360" w:lineRule="auto"/>
        <w:ind w:firstLine="480" w:firstLineChars="200"/>
        <w:rPr>
          <w:rFonts w:ascii="宋体" w:hAnsi="宋体"/>
          <w:bCs/>
          <w:color w:val="auto"/>
          <w:sz w:val="24"/>
          <w:highlight w:val="none"/>
        </w:rPr>
      </w:pPr>
      <w:r>
        <w:rPr>
          <w:rFonts w:hint="eastAsia" w:ascii="宋体" w:hAnsi="宋体" w:eastAsia="宋体"/>
          <w:color w:val="auto"/>
          <w:sz w:val="24"/>
          <w:szCs w:val="24"/>
          <w:highlight w:val="none"/>
        </w:rPr>
        <w:t>（</w:t>
      </w:r>
      <w:r>
        <w:rPr>
          <w:rFonts w:hint="eastAsia" w:ascii="宋体" w:hAnsi="宋体" w:eastAsia="宋体"/>
          <w:color w:val="auto"/>
          <w:sz w:val="24"/>
          <w:szCs w:val="24"/>
          <w:highlight w:val="none"/>
          <w:lang w:val="en-US" w:eastAsia="zh-CN"/>
        </w:rPr>
        <w:t>15</w:t>
      </w:r>
      <w:r>
        <w:rPr>
          <w:rFonts w:hint="eastAsia" w:ascii="宋体" w:hAnsi="宋体" w:eastAsia="宋体"/>
          <w:color w:val="auto"/>
          <w:sz w:val="24"/>
          <w:szCs w:val="24"/>
          <w:highlight w:val="none"/>
        </w:rPr>
        <w:t>）法律法规规定的其他情形</w:t>
      </w:r>
      <w:r>
        <w:rPr>
          <w:rFonts w:hint="eastAsia" w:ascii="宋体" w:hAnsi="宋体" w:eastAsia="宋体" w:cs="Times New Roman"/>
          <w:color w:val="auto"/>
          <w:sz w:val="24"/>
          <w:szCs w:val="24"/>
          <w:highlight w:val="none"/>
        </w:rPr>
        <w:t>。</w:t>
      </w:r>
    </w:p>
    <w:p>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1.5 费用承担</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投标人准备和参加投标活动发生的费用自理。</w:t>
      </w:r>
    </w:p>
    <w:p>
      <w:pPr>
        <w:pStyle w:val="17"/>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1.6 保密</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参与招标投标活动的各方应对招标文件和投标文件中的商业和技术等秘密保密，违者应对由此造成的后果承担法律责任。</w:t>
      </w:r>
    </w:p>
    <w:p>
      <w:pPr>
        <w:pStyle w:val="17"/>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1.7 语言文字</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除专用术语外，与招标投标有关的语言均使用中文。必要时专用术语应附有中文注释。</w:t>
      </w:r>
    </w:p>
    <w:p>
      <w:pPr>
        <w:pStyle w:val="17"/>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1.8 计量单位</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所有计量均采用中华人民共和国法定计量单位。</w:t>
      </w:r>
    </w:p>
    <w:p>
      <w:pPr>
        <w:pStyle w:val="17"/>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1.9 踏勘现场</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1.9.1 投标人按投标人须知前附表规定的时间、地点自行踏勘项目现场。 </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1.9.2 投标人踏勘现场发生的费用自理。</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1.9.3 除招标人的原因外，投标人自行负责在踏勘现场中所发生的人员伤亡和财产损失。</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1.9.4 招标人在踏勘现场中了解的工程场地和相关的周边环境情况，供投标人在编制投标文件时参考，招标人不对投标人据此作出的判断和决策负责。</w:t>
      </w:r>
    </w:p>
    <w:p>
      <w:pPr>
        <w:tabs>
          <w:tab w:val="left" w:pos="105"/>
        </w:tabs>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1.10</w:t>
      </w:r>
      <w:r>
        <w:rPr>
          <w:rFonts w:ascii="宋体" w:hAnsi="宋体"/>
          <w:b/>
          <w:color w:val="auto"/>
          <w:sz w:val="24"/>
          <w:highlight w:val="none"/>
        </w:rPr>
        <w:t xml:space="preserve"> </w:t>
      </w:r>
      <w:r>
        <w:rPr>
          <w:rFonts w:hint="eastAsia" w:ascii="宋体" w:hAnsi="宋体"/>
          <w:b/>
          <w:color w:val="auto"/>
          <w:sz w:val="24"/>
          <w:highlight w:val="none"/>
        </w:rPr>
        <w:t>投标预备会</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1.10.1招标人不召开投标预备会，投标人提出的澄清问题通过交易中心网站提交。网上答疑的相关事项详见招标文件2.2款。</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1.10.2 投标人应在投标人须知前附表规定的时间前，在交易中心网站上提出须澄清的问题。</w:t>
      </w:r>
    </w:p>
    <w:p>
      <w:pPr>
        <w:pStyle w:val="17"/>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1.11 偏离</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投标人须知前附表允许投标文件偏离招标文件某些要求的，偏离应当符合招标文件规定的偏离范围和幅度。</w:t>
      </w:r>
    </w:p>
    <w:p>
      <w:pPr>
        <w:jc w:val="center"/>
        <w:outlineLvl w:val="3"/>
        <w:rPr>
          <w:rFonts w:ascii="仿宋" w:hAnsi="仿宋" w:eastAsia="仿宋"/>
          <w:b/>
          <w:color w:val="auto"/>
          <w:sz w:val="30"/>
          <w:szCs w:val="30"/>
          <w:highlight w:val="none"/>
        </w:rPr>
      </w:pPr>
      <w:bookmarkStart w:id="192" w:name="_Toc262229164"/>
      <w:r>
        <w:rPr>
          <w:rFonts w:hint="eastAsia" w:ascii="仿宋" w:hAnsi="仿宋" w:eastAsia="仿宋"/>
          <w:b/>
          <w:color w:val="auto"/>
          <w:sz w:val="30"/>
          <w:szCs w:val="30"/>
          <w:highlight w:val="none"/>
        </w:rPr>
        <w:t>（二）招标文件</w:t>
      </w:r>
      <w:bookmarkEnd w:id="192"/>
    </w:p>
    <w:p>
      <w:pPr>
        <w:tabs>
          <w:tab w:val="left" w:pos="105"/>
        </w:tabs>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2.1 招标文件的组成</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2.1.1</w:t>
      </w:r>
      <w:r>
        <w:rPr>
          <w:rFonts w:hint="eastAsia" w:ascii="宋体" w:hAnsi="宋体"/>
          <w:color w:val="auto"/>
          <w:sz w:val="24"/>
          <w:highlight w:val="none"/>
        </w:rPr>
        <w:t>本招标文件包括下列文件，以及所有按本须知第</w:t>
      </w:r>
      <w:r>
        <w:rPr>
          <w:rFonts w:hint="eastAsia" w:ascii="宋体" w:hAnsi="宋体"/>
          <w:color w:val="auto"/>
          <w:sz w:val="24"/>
          <w:highlight w:val="none"/>
          <w:u w:val="single"/>
          <w:lang w:val="en-US" w:eastAsia="zh-CN"/>
        </w:rPr>
        <w:t>2.3</w:t>
      </w:r>
      <w:r>
        <w:rPr>
          <w:rFonts w:hint="eastAsia" w:ascii="宋体" w:hAnsi="宋体"/>
          <w:color w:val="auto"/>
          <w:sz w:val="24"/>
          <w:highlight w:val="none"/>
        </w:rPr>
        <w:t>条发出的澄清或修改和按本须知第</w:t>
      </w:r>
      <w:r>
        <w:rPr>
          <w:rFonts w:hint="eastAsia" w:ascii="宋体" w:hAnsi="宋体"/>
          <w:color w:val="auto"/>
          <w:sz w:val="24"/>
          <w:highlight w:val="none"/>
          <w:u w:val="single"/>
          <w:lang w:val="en-US" w:eastAsia="zh-CN"/>
        </w:rPr>
        <w:t>2.2</w:t>
      </w:r>
      <w:r>
        <w:rPr>
          <w:rFonts w:hint="eastAsia" w:ascii="宋体" w:hAnsi="宋体"/>
          <w:color w:val="auto"/>
          <w:sz w:val="24"/>
          <w:highlight w:val="none"/>
        </w:rPr>
        <w:t>条发出的招标答疑会会议纪要：</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（1）招标公告；</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（2）投标人须知；</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（3）评标办法；</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（4）合同条款及格式；</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（5）</w:t>
      </w:r>
      <w:r>
        <w:rPr>
          <w:rFonts w:hint="eastAsia" w:ascii="宋体" w:hAnsi="宋体"/>
          <w:bCs/>
          <w:color w:val="auto"/>
          <w:sz w:val="24"/>
          <w:highlight w:val="none"/>
          <w:u w:val="single"/>
        </w:rPr>
        <w:t xml:space="preserve">工程量清单； </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（6）图纸； </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（7）技术标准和要求； </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（8）投标文件格式；</w:t>
      </w:r>
    </w:p>
    <w:p>
      <w:pPr>
        <w:spacing w:line="360" w:lineRule="auto"/>
        <w:ind w:firstLine="480" w:firstLineChars="200"/>
        <w:rPr>
          <w:rFonts w:hint="eastAsia" w:ascii="宋体" w:hAnsi="宋体" w:eastAsia="宋体"/>
          <w:bCs/>
          <w:color w:val="auto"/>
          <w:sz w:val="24"/>
          <w:highlight w:val="none"/>
          <w:lang w:eastAsia="zh-CN"/>
        </w:rPr>
      </w:pPr>
      <w:r>
        <w:rPr>
          <w:rFonts w:hint="eastAsia" w:ascii="宋体" w:hAnsi="宋体"/>
          <w:bCs/>
          <w:color w:val="auto"/>
          <w:sz w:val="24"/>
          <w:highlight w:val="none"/>
        </w:rPr>
        <w:t>（9</w:t>
      </w:r>
      <w:r>
        <w:rPr>
          <w:rFonts w:ascii="宋体" w:hAnsi="宋体"/>
          <w:bCs/>
          <w:color w:val="auto"/>
          <w:sz w:val="24"/>
          <w:highlight w:val="none"/>
        </w:rPr>
        <w:t>）</w:t>
      </w:r>
      <w:r>
        <w:rPr>
          <w:rFonts w:hint="eastAsia" w:ascii="宋体" w:hAnsi="宋体"/>
          <w:bCs/>
          <w:color w:val="auto"/>
          <w:sz w:val="24"/>
          <w:highlight w:val="none"/>
        </w:rPr>
        <w:t>否决性条款汇总</w:t>
      </w:r>
      <w:r>
        <w:rPr>
          <w:rFonts w:hint="eastAsia" w:ascii="宋体" w:hAnsi="宋体"/>
          <w:bCs/>
          <w:color w:val="auto"/>
          <w:sz w:val="24"/>
          <w:highlight w:val="none"/>
          <w:lang w:eastAsia="zh-CN"/>
        </w:rPr>
        <w:t>；</w:t>
      </w:r>
    </w:p>
    <w:p>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（10）</w:t>
      </w:r>
      <w:r>
        <w:rPr>
          <w:rFonts w:hint="eastAsia" w:ascii="宋体" w:hAnsi="宋体"/>
          <w:bCs/>
          <w:color w:val="auto"/>
          <w:sz w:val="24"/>
          <w:szCs w:val="24"/>
          <w:highlight w:val="none"/>
        </w:rPr>
        <w:t>最高投标限价（招标控制价）</w:t>
      </w:r>
      <w:r>
        <w:rPr>
          <w:rFonts w:hint="eastAsia" w:ascii="宋体" w:hAnsi="宋体"/>
          <w:bCs/>
          <w:color w:val="auto"/>
          <w:sz w:val="24"/>
          <w:highlight w:val="none"/>
        </w:rPr>
        <w:t>。</w:t>
      </w:r>
    </w:p>
    <w:p>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（11）投标人须知前附表规定的其他材料。</w:t>
      </w:r>
    </w:p>
    <w:p>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招标人应在技术条件（工程建设标准）中明确施工现场建筑垃圾源头减量的具体要求和建筑垃圾综合利用产品的使用要求。</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2.1.2根据本章第1.10款、第2.2款和第2.3款对招标文件所作的澄清、修改，构成招标文件的组成部分。</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2.1.3招标人（或委托招标代理机构）使用广东省内依法设立的电子认证服务机构签发的电子签章认证证书对电子形式的招标文件进行电子签章。该电子签章对招标人手写签名或者盖章同等的法律效力。</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2.1.4投标人获取电子招标文件后，应仔细检查电子招标文件的合法有效性。合法有效的电子招标文件应具有招标人（或招标代理机构）的电子签章。</w:t>
      </w:r>
    </w:p>
    <w:p>
      <w:pPr>
        <w:spacing w:line="360" w:lineRule="auto"/>
        <w:ind w:firstLine="480" w:firstLineChars="200"/>
        <w:rPr>
          <w:rFonts w:ascii="宋体" w:hAnsi="宋体"/>
          <w:bCs/>
          <w:color w:val="auto"/>
          <w:sz w:val="24"/>
          <w:highlight w:val="none"/>
        </w:rPr>
      </w:pPr>
      <w:r>
        <w:rPr>
          <w:rFonts w:ascii="宋体" w:hAnsi="宋体"/>
          <w:bCs/>
          <w:color w:val="auto"/>
          <w:sz w:val="24"/>
          <w:highlight w:val="none"/>
        </w:rPr>
        <w:t>2.1.5</w:t>
      </w:r>
      <w:r>
        <w:rPr>
          <w:rFonts w:hint="eastAsia" w:ascii="宋体" w:hAnsi="宋体"/>
          <w:bCs/>
          <w:color w:val="auto"/>
          <w:sz w:val="24"/>
          <w:highlight w:val="none"/>
        </w:rPr>
        <w:t>招标人应在招标文件中明确投标文件主要内容编制的格式要求。</w:t>
      </w:r>
    </w:p>
    <w:p>
      <w:pPr>
        <w:widowControl/>
        <w:snapToGrid w:val="0"/>
        <w:spacing w:line="360" w:lineRule="auto"/>
        <w:ind w:firstLine="482" w:firstLineChars="200"/>
        <w:jc w:val="left"/>
        <w:rPr>
          <w:rFonts w:ascii="宋体" w:hAnsi="宋体"/>
          <w:color w:val="auto"/>
          <w:sz w:val="24"/>
          <w:highlight w:val="none"/>
        </w:rPr>
      </w:pPr>
      <w:r>
        <w:rPr>
          <w:rFonts w:hint="eastAsia" w:ascii="宋体" w:hAnsi="宋体"/>
          <w:b/>
          <w:bCs/>
          <w:color w:val="auto"/>
          <w:sz w:val="24"/>
          <w:highlight w:val="none"/>
        </w:rPr>
        <w:t>2.2招标答疑</w:t>
      </w:r>
    </w:p>
    <w:p>
      <w:pPr>
        <w:pStyle w:val="17"/>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szCs w:val="21"/>
          <w:highlight w:val="none"/>
        </w:rPr>
        <w:t>2.2.1</w:t>
      </w:r>
      <w:r>
        <w:rPr>
          <w:rFonts w:hint="eastAsia" w:ascii="宋体" w:hAnsi="宋体" w:eastAsia="宋体"/>
          <w:color w:val="auto"/>
          <w:sz w:val="24"/>
          <w:highlight w:val="none"/>
        </w:rPr>
        <w:t xml:space="preserve"> 招标答疑采用网上答疑方式进行。投标人若对招标文件（包括招标图纸、清单、招标控制价）有疑问的，</w:t>
      </w:r>
      <w:r>
        <w:rPr>
          <w:rFonts w:hint="eastAsia" w:ascii="宋体" w:hAnsi="宋体" w:eastAsia="宋体" w:cs="宋体"/>
          <w:bCs/>
          <w:color w:val="auto"/>
          <w:sz w:val="24"/>
          <w:highlight w:val="none"/>
          <w:u w:val="none"/>
          <w:lang w:eastAsia="zh-CN"/>
        </w:rPr>
        <w:t>通过</w:t>
      </w:r>
      <w:r>
        <w:rPr>
          <w:rFonts w:hint="eastAsia" w:ascii="宋体" w:hAnsi="宋体" w:eastAsia="宋体" w:cs="宋体"/>
          <w:bCs/>
          <w:color w:val="auto"/>
          <w:sz w:val="24"/>
          <w:highlight w:val="none"/>
          <w:u w:val="single"/>
          <w:lang w:eastAsia="zh-CN"/>
        </w:rPr>
        <w:t>广州交易集团有限公司（广州公共资源交易中心）</w:t>
      </w:r>
      <w:r>
        <w:rPr>
          <w:rFonts w:hint="eastAsia" w:ascii="宋体" w:hAnsi="宋体" w:eastAsia="宋体" w:cs="宋体"/>
          <w:bCs/>
          <w:color w:val="auto"/>
          <w:sz w:val="24"/>
          <w:highlight w:val="none"/>
          <w:u w:val="none"/>
          <w:lang w:eastAsia="zh-CN"/>
        </w:rPr>
        <w:t>网站提交，</w:t>
      </w:r>
      <w:r>
        <w:rPr>
          <w:rFonts w:hint="eastAsia" w:ascii="宋体" w:hAnsi="宋体" w:eastAsia="宋体" w:cs="宋体"/>
          <w:bCs/>
          <w:color w:val="auto"/>
          <w:sz w:val="24"/>
          <w:highlight w:val="none"/>
          <w:u w:val="none"/>
        </w:rPr>
        <w:t>应按照</w:t>
      </w:r>
      <w:r>
        <w:rPr>
          <w:rFonts w:hint="eastAsia" w:ascii="宋体" w:hAnsi="宋体" w:eastAsia="宋体" w:cs="宋体"/>
          <w:bCs/>
          <w:color w:val="auto"/>
          <w:sz w:val="24"/>
          <w:szCs w:val="20"/>
          <w:highlight w:val="none"/>
          <w:u w:val="none"/>
          <w:lang w:eastAsia="zh-CN"/>
        </w:rPr>
        <w:t>广州交易集团有限公司（广州公共资源交易中心）网站关于全流程电子化项目的相关指南进行操作</w:t>
      </w:r>
      <w:r>
        <w:rPr>
          <w:rFonts w:hint="eastAsia" w:ascii="宋体" w:hAnsi="宋体" w:eastAsia="宋体" w:cs="宋体"/>
          <w:bCs/>
          <w:color w:val="auto"/>
          <w:sz w:val="24"/>
          <w:highlight w:val="none"/>
          <w:u w:val="none"/>
        </w:rPr>
        <w:t>。</w:t>
      </w:r>
      <w:r>
        <w:rPr>
          <w:rFonts w:hint="eastAsia" w:ascii="宋体" w:hAnsi="宋体" w:eastAsia="宋体"/>
          <w:color w:val="auto"/>
          <w:sz w:val="24"/>
          <w:highlight w:val="none"/>
        </w:rPr>
        <w:t>提交问题时一律不得署名。</w:t>
      </w:r>
    </w:p>
    <w:p>
      <w:pPr>
        <w:spacing w:line="360" w:lineRule="auto"/>
        <w:ind w:firstLine="480" w:firstLineChars="200"/>
        <w:contextualSpacing/>
        <w:rPr>
          <w:rFonts w:ascii="宋体" w:hAnsi="宋体"/>
          <w:bCs/>
          <w:color w:val="auto"/>
          <w:sz w:val="24"/>
          <w:highlight w:val="none"/>
        </w:rPr>
      </w:pPr>
      <w:r>
        <w:rPr>
          <w:rFonts w:ascii="宋体" w:hAnsi="宋体"/>
          <w:bCs/>
          <w:color w:val="auto"/>
          <w:sz w:val="24"/>
          <w:highlight w:val="none"/>
        </w:rPr>
        <w:t>2.2.2</w:t>
      </w:r>
      <w:r>
        <w:rPr>
          <w:rFonts w:hint="eastAsia" w:ascii="宋体" w:hAnsi="宋体"/>
          <w:bCs/>
          <w:color w:val="auto"/>
          <w:sz w:val="24"/>
          <w:highlight w:val="none"/>
        </w:rPr>
        <w:t>招标答疑会会议纪要将在提交投标文件截止时间 15 日前在</w:t>
      </w:r>
      <w:r>
        <w:rPr>
          <w:rFonts w:hint="eastAsia" w:ascii="宋体" w:hAnsi="宋体"/>
          <w:bCs/>
          <w:color w:val="auto"/>
          <w:sz w:val="24"/>
          <w:highlight w:val="none"/>
          <w:u w:val="single"/>
          <w:lang w:eastAsia="zh-CN"/>
        </w:rPr>
        <w:t>广州交易集团有限公司（广州公共资源交易中心）</w:t>
      </w:r>
      <w:r>
        <w:rPr>
          <w:rFonts w:hint="eastAsia" w:ascii="宋体" w:hAnsi="宋体"/>
          <w:bCs/>
          <w:color w:val="auto"/>
          <w:sz w:val="24"/>
          <w:highlight w:val="none"/>
          <w:lang w:eastAsia="zh-CN"/>
        </w:rPr>
        <w:t>网站</w:t>
      </w:r>
      <w:r>
        <w:rPr>
          <w:rFonts w:hint="eastAsia" w:ascii="宋体" w:hAnsi="宋体"/>
          <w:bCs/>
          <w:color w:val="auto"/>
          <w:sz w:val="24"/>
          <w:highlight w:val="none"/>
        </w:rPr>
        <w:t>“项目答疑纪要”专区公开发布。答疑纪要一经在</w:t>
      </w:r>
      <w:r>
        <w:rPr>
          <w:rFonts w:hint="eastAsia" w:ascii="宋体" w:hAnsi="宋体"/>
          <w:bCs/>
          <w:color w:val="auto"/>
          <w:sz w:val="24"/>
          <w:highlight w:val="none"/>
          <w:u w:val="single"/>
          <w:lang w:eastAsia="zh-CN"/>
        </w:rPr>
        <w:t>广州交易集团有限公司（广州公共资源交易中心）</w:t>
      </w:r>
      <w:r>
        <w:rPr>
          <w:rFonts w:hint="eastAsia" w:ascii="宋体" w:hAnsi="宋体"/>
          <w:bCs/>
          <w:color w:val="auto"/>
          <w:sz w:val="24"/>
          <w:highlight w:val="none"/>
          <w:lang w:eastAsia="zh-CN"/>
        </w:rPr>
        <w:t>网站</w:t>
      </w:r>
      <w:r>
        <w:rPr>
          <w:rFonts w:hint="eastAsia" w:ascii="宋体" w:hAnsi="宋体"/>
          <w:bCs/>
          <w:color w:val="auto"/>
          <w:sz w:val="24"/>
          <w:highlight w:val="none"/>
        </w:rPr>
        <w:t>发布，视作已发放给所有投标人。</w:t>
      </w:r>
    </w:p>
    <w:p>
      <w:pPr>
        <w:spacing w:line="360" w:lineRule="auto"/>
        <w:ind w:firstLine="480" w:firstLineChars="200"/>
        <w:rPr>
          <w:rFonts w:ascii="宋体" w:hAnsi="宋体"/>
          <w:color w:val="auto"/>
          <w:sz w:val="24"/>
          <w:highlight w:val="none"/>
        </w:rPr>
      </w:pPr>
      <w:r>
        <w:rPr>
          <w:rFonts w:ascii="宋体" w:hAnsi="宋体"/>
          <w:color w:val="auto"/>
          <w:sz w:val="24"/>
          <w:highlight w:val="none"/>
        </w:rPr>
        <w:t>2.2.</w:t>
      </w:r>
      <w:r>
        <w:rPr>
          <w:rFonts w:hint="eastAsia" w:ascii="宋体" w:hAnsi="宋体"/>
          <w:color w:val="auto"/>
          <w:sz w:val="24"/>
          <w:highlight w:val="none"/>
        </w:rPr>
        <w:t>3招标答疑纪要为招标文件的一部分。</w:t>
      </w:r>
    </w:p>
    <w:p>
      <w:pPr>
        <w:pStyle w:val="17"/>
        <w:spacing w:after="0" w:line="360" w:lineRule="auto"/>
        <w:ind w:firstLine="480" w:firstLineChars="200"/>
        <w:rPr>
          <w:rFonts w:ascii="宋体" w:hAnsi="宋体" w:eastAsia="宋体"/>
          <w:color w:val="auto"/>
          <w:sz w:val="24"/>
          <w:highlight w:val="none"/>
        </w:rPr>
      </w:pPr>
      <w:r>
        <w:rPr>
          <w:rFonts w:ascii="宋体" w:hAnsi="宋体" w:eastAsia="宋体"/>
          <w:color w:val="auto"/>
          <w:sz w:val="24"/>
          <w:highlight w:val="none"/>
        </w:rPr>
        <w:t>2.2.</w:t>
      </w:r>
      <w:r>
        <w:rPr>
          <w:rFonts w:hint="eastAsia" w:ascii="宋体" w:hAnsi="宋体" w:eastAsia="宋体"/>
          <w:color w:val="auto"/>
          <w:sz w:val="24"/>
          <w:highlight w:val="none"/>
        </w:rPr>
        <w:t>4若招标答疑</w:t>
      </w:r>
      <w:r>
        <w:rPr>
          <w:rFonts w:hint="eastAsia" w:ascii="宋体" w:hAnsi="宋体" w:eastAsia="宋体"/>
          <w:color w:val="auto"/>
          <w:sz w:val="24"/>
          <w:highlight w:val="none"/>
          <w:lang w:eastAsia="zh-CN"/>
        </w:rPr>
        <w:t>会会议</w:t>
      </w:r>
      <w:r>
        <w:rPr>
          <w:rFonts w:hint="eastAsia" w:ascii="宋体" w:hAnsi="宋体" w:eastAsia="宋体"/>
          <w:color w:val="auto"/>
          <w:sz w:val="24"/>
          <w:highlight w:val="none"/>
        </w:rPr>
        <w:t>纪要与招标文件有矛盾时，以</w:t>
      </w:r>
      <w:r>
        <w:rPr>
          <w:rFonts w:hint="eastAsia" w:ascii="宋体" w:hAnsi="宋体" w:eastAsia="宋体" w:cs="宋体"/>
          <w:bCs/>
          <w:color w:val="auto"/>
          <w:sz w:val="24"/>
          <w:highlight w:val="none"/>
          <w:u w:val="single"/>
          <w:lang w:eastAsia="zh-CN"/>
        </w:rPr>
        <w:t>广州交易集团有限公司（广州公共资源交易中心）</w:t>
      </w:r>
      <w:r>
        <w:rPr>
          <w:rFonts w:hint="eastAsia" w:ascii="宋体" w:hAnsi="宋体" w:eastAsia="宋体" w:cs="宋体"/>
          <w:bCs/>
          <w:color w:val="auto"/>
          <w:sz w:val="24"/>
          <w:highlight w:val="none"/>
          <w:lang w:eastAsia="zh-CN"/>
        </w:rPr>
        <w:t>网站</w:t>
      </w:r>
      <w:r>
        <w:rPr>
          <w:rFonts w:hint="eastAsia" w:ascii="宋体" w:hAnsi="宋体" w:eastAsia="宋体"/>
          <w:color w:val="auto"/>
          <w:sz w:val="24"/>
          <w:highlight w:val="none"/>
        </w:rPr>
        <w:t>最后发布的答疑纪要为准。</w:t>
      </w:r>
    </w:p>
    <w:p>
      <w:pPr>
        <w:tabs>
          <w:tab w:val="left" w:pos="105"/>
        </w:tabs>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2.3</w:t>
      </w:r>
      <w:r>
        <w:rPr>
          <w:rFonts w:ascii="宋体" w:hAnsi="宋体"/>
          <w:b/>
          <w:color w:val="auto"/>
          <w:sz w:val="24"/>
          <w:szCs w:val="24"/>
          <w:highlight w:val="none"/>
        </w:rPr>
        <w:t>招标文件的</w:t>
      </w:r>
      <w:r>
        <w:rPr>
          <w:rFonts w:hint="eastAsia" w:ascii="宋体" w:hAnsi="宋体"/>
          <w:b/>
          <w:color w:val="auto"/>
          <w:sz w:val="24"/>
          <w:szCs w:val="24"/>
          <w:highlight w:val="none"/>
        </w:rPr>
        <w:t>澄清与</w:t>
      </w:r>
      <w:r>
        <w:rPr>
          <w:rFonts w:ascii="宋体" w:hAnsi="宋体"/>
          <w:b/>
          <w:color w:val="auto"/>
          <w:sz w:val="24"/>
          <w:szCs w:val="24"/>
          <w:highlight w:val="none"/>
        </w:rPr>
        <w:t>修改</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2.3.1 在</w:t>
      </w:r>
      <w:r>
        <w:rPr>
          <w:rFonts w:hint="eastAsia" w:ascii="宋体" w:hAnsi="宋体"/>
          <w:bCs/>
          <w:color w:val="auto"/>
          <w:sz w:val="24"/>
          <w:highlight w:val="none"/>
          <w:lang w:eastAsia="zh-CN"/>
        </w:rPr>
        <w:t>投标人须知</w:t>
      </w:r>
      <w:r>
        <w:rPr>
          <w:rFonts w:hint="eastAsia" w:ascii="宋体" w:hAnsi="宋体"/>
          <w:bCs/>
          <w:color w:val="auto"/>
          <w:sz w:val="24"/>
          <w:highlight w:val="none"/>
        </w:rPr>
        <w:t>前附表规定的时间前，招标人可以书面形式修改招标文件，并通过</w:t>
      </w:r>
      <w:r>
        <w:rPr>
          <w:rFonts w:hint="eastAsia" w:ascii="宋体" w:hAnsi="宋体"/>
          <w:bCs/>
          <w:color w:val="auto"/>
          <w:sz w:val="24"/>
          <w:highlight w:val="none"/>
          <w:lang w:eastAsia="zh-CN"/>
        </w:rPr>
        <w:t>广州交易集团有限公司（广州公共资源交易中心）</w:t>
      </w:r>
      <w:r>
        <w:rPr>
          <w:rFonts w:hint="eastAsia" w:ascii="宋体" w:hAnsi="宋体"/>
          <w:bCs/>
          <w:color w:val="auto"/>
          <w:sz w:val="24"/>
          <w:highlight w:val="none"/>
        </w:rPr>
        <w:t>网站发布。如果修改招标文件的时间距投标截止时间不足</w:t>
      </w:r>
      <w:r>
        <w:rPr>
          <w:rFonts w:hint="eastAsia" w:ascii="宋体" w:hAnsi="宋体"/>
          <w:bCs/>
          <w:color w:val="auto"/>
          <w:sz w:val="24"/>
          <w:highlight w:val="none"/>
          <w:lang w:eastAsia="zh-CN"/>
        </w:rPr>
        <w:t>投标人须知</w:t>
      </w:r>
      <w:r>
        <w:rPr>
          <w:rFonts w:hint="eastAsia" w:ascii="宋体" w:hAnsi="宋体"/>
          <w:bCs/>
          <w:color w:val="auto"/>
          <w:sz w:val="24"/>
          <w:highlight w:val="none"/>
        </w:rPr>
        <w:t>前附表规定的时间，并且修改内容影响投标文件编制的，相应延长投标截止时间。</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2.3.2投标人应及时通过</w:t>
      </w:r>
      <w:r>
        <w:rPr>
          <w:rFonts w:hint="eastAsia" w:ascii="宋体" w:hAnsi="宋体"/>
          <w:bCs/>
          <w:color w:val="auto"/>
          <w:sz w:val="24"/>
          <w:highlight w:val="none"/>
          <w:lang w:eastAsia="zh-CN"/>
        </w:rPr>
        <w:t>广州交易集团有限公司（广州公共资源交易中心）</w:t>
      </w:r>
      <w:r>
        <w:rPr>
          <w:rFonts w:hint="eastAsia" w:ascii="宋体" w:hAnsi="宋体"/>
          <w:bCs/>
          <w:color w:val="auto"/>
          <w:sz w:val="24"/>
          <w:highlight w:val="none"/>
        </w:rPr>
        <w:t>网站浏览、下载招标文件修改。</w:t>
      </w:r>
    </w:p>
    <w:p>
      <w:pPr>
        <w:pStyle w:val="17"/>
        <w:spacing w:before="50" w:after="5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2.3.3招标文件的澄清或修改在</w:t>
      </w:r>
      <w:r>
        <w:rPr>
          <w:rFonts w:hint="eastAsia" w:ascii="宋体" w:hAnsi="宋体" w:eastAsia="宋体"/>
          <w:color w:val="auto"/>
          <w:sz w:val="24"/>
          <w:highlight w:val="none"/>
          <w:lang w:eastAsia="zh-CN"/>
        </w:rPr>
        <w:t>广州交易集团有限公司（广州公共资源交易中心）</w:t>
      </w:r>
      <w:r>
        <w:rPr>
          <w:rFonts w:hint="eastAsia" w:ascii="宋体" w:hAnsi="宋体" w:eastAsia="宋体"/>
          <w:color w:val="auto"/>
          <w:sz w:val="24"/>
          <w:highlight w:val="none"/>
        </w:rPr>
        <w:t>网站发布。招标文件的澄清或修改一经在</w:t>
      </w:r>
      <w:r>
        <w:rPr>
          <w:rFonts w:hint="eastAsia" w:ascii="宋体" w:hAnsi="宋体" w:eastAsia="宋体"/>
          <w:color w:val="auto"/>
          <w:sz w:val="24"/>
          <w:highlight w:val="none"/>
          <w:lang w:eastAsia="zh-CN"/>
        </w:rPr>
        <w:t>广州交易集团有限公司（广州公共资源交易中心）</w:t>
      </w:r>
      <w:r>
        <w:rPr>
          <w:rFonts w:hint="eastAsia" w:ascii="宋体" w:hAnsi="宋体" w:eastAsia="宋体"/>
          <w:color w:val="auto"/>
          <w:sz w:val="24"/>
          <w:highlight w:val="none"/>
        </w:rPr>
        <w:t>网站发布，视作已发放给所有投标人。</w:t>
      </w:r>
    </w:p>
    <w:p>
      <w:pPr>
        <w:pStyle w:val="17"/>
        <w:spacing w:before="50" w:after="5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2.3.4招标文件的澄清、修改作为招标文件的组成部分，具有约束作用。</w:t>
      </w:r>
    </w:p>
    <w:p>
      <w:pPr>
        <w:spacing w:line="360" w:lineRule="auto"/>
        <w:ind w:firstLine="480" w:firstLineChars="200"/>
        <w:rPr>
          <w:rFonts w:ascii="宋体" w:hAnsi="宋体"/>
          <w:bCs/>
          <w:color w:val="auto"/>
          <w:sz w:val="24"/>
          <w:highlight w:val="none"/>
        </w:rPr>
      </w:pPr>
      <w:r>
        <w:rPr>
          <w:rFonts w:hint="eastAsia" w:ascii="宋体" w:hAnsi="宋体"/>
          <w:color w:val="auto"/>
          <w:sz w:val="24"/>
          <w:highlight w:val="none"/>
        </w:rPr>
        <w:t>2.3.5招标文件的澄清、修改均以</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网站</w:t>
      </w:r>
      <w:r>
        <w:rPr>
          <w:rFonts w:hint="eastAsia" w:ascii="宋体" w:hAnsi="宋体"/>
          <w:color w:val="auto"/>
          <w:sz w:val="24"/>
          <w:szCs w:val="24"/>
          <w:highlight w:val="none"/>
        </w:rPr>
        <w:t>发布</w:t>
      </w:r>
      <w:r>
        <w:rPr>
          <w:rFonts w:hint="eastAsia" w:ascii="宋体" w:hAnsi="宋体"/>
          <w:color w:val="auto"/>
          <w:sz w:val="24"/>
          <w:highlight w:val="none"/>
        </w:rPr>
        <w:t>的内容为准。当招标文件的澄清、修改在同一内容的表述不一致时，以</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网站最后发布的内容为准。</w:t>
      </w:r>
    </w:p>
    <w:p>
      <w:pPr>
        <w:jc w:val="center"/>
        <w:outlineLvl w:val="3"/>
        <w:rPr>
          <w:rFonts w:ascii="宋体" w:hAnsi="宋体"/>
          <w:b/>
          <w:color w:val="auto"/>
          <w:sz w:val="30"/>
          <w:szCs w:val="30"/>
          <w:highlight w:val="none"/>
        </w:rPr>
      </w:pPr>
      <w:bookmarkStart w:id="193" w:name="_Toc262229165"/>
      <w:bookmarkStart w:id="194" w:name="_Toc101777614"/>
      <w:r>
        <w:rPr>
          <w:rFonts w:hint="eastAsia" w:ascii="宋体" w:hAnsi="宋体"/>
          <w:b/>
          <w:color w:val="auto"/>
          <w:sz w:val="30"/>
          <w:szCs w:val="30"/>
          <w:highlight w:val="none"/>
        </w:rPr>
        <w:t>（三）投标文件的编制</w:t>
      </w:r>
      <w:bookmarkEnd w:id="193"/>
      <w:bookmarkEnd w:id="194"/>
    </w:p>
    <w:p>
      <w:pPr>
        <w:pStyle w:val="17"/>
        <w:spacing w:after="0" w:line="360" w:lineRule="auto"/>
        <w:ind w:firstLine="482" w:firstLineChars="200"/>
        <w:rPr>
          <w:rFonts w:ascii="宋体" w:hAnsi="宋体" w:eastAsia="宋体"/>
          <w:b/>
          <w:bCs/>
          <w:color w:val="auto"/>
          <w:sz w:val="24"/>
          <w:highlight w:val="none"/>
        </w:rPr>
      </w:pPr>
      <w:r>
        <w:rPr>
          <w:rFonts w:hint="eastAsia" w:ascii="宋体" w:hAnsi="宋体" w:eastAsia="宋体"/>
          <w:b/>
          <w:bCs/>
          <w:color w:val="auto"/>
          <w:sz w:val="24"/>
          <w:highlight w:val="none"/>
        </w:rPr>
        <w:t>3.1 投标文件的组成</w:t>
      </w:r>
    </w:p>
    <w:p>
      <w:pPr>
        <w:pStyle w:val="17"/>
        <w:spacing w:after="0" w:line="360" w:lineRule="auto"/>
        <w:ind w:firstLine="480" w:firstLineChars="200"/>
        <w:rPr>
          <w:rFonts w:ascii="宋体" w:hAnsi="宋体" w:eastAsia="宋体"/>
          <w:color w:val="auto"/>
          <w:sz w:val="24"/>
          <w:highlight w:val="none"/>
          <w:u w:val="none"/>
        </w:rPr>
      </w:pPr>
      <w:r>
        <w:rPr>
          <w:rFonts w:hint="eastAsia" w:ascii="宋体" w:hAnsi="宋体" w:eastAsia="宋体"/>
          <w:color w:val="auto"/>
          <w:sz w:val="24"/>
          <w:highlight w:val="none"/>
          <w:u w:val="none"/>
        </w:rPr>
        <w:t>3.1.1投标文件应包括下列内容：</w:t>
      </w:r>
    </w:p>
    <w:p>
      <w:pPr>
        <w:pStyle w:val="17"/>
        <w:spacing w:after="0" w:line="360" w:lineRule="auto"/>
        <w:ind w:firstLine="480" w:firstLineChars="200"/>
        <w:rPr>
          <w:rFonts w:ascii="宋体" w:hAnsi="宋体" w:eastAsia="宋体"/>
          <w:color w:val="auto"/>
          <w:sz w:val="24"/>
          <w:highlight w:val="none"/>
          <w:u w:val="none"/>
        </w:rPr>
      </w:pPr>
      <w:r>
        <w:rPr>
          <w:rFonts w:hint="eastAsia" w:ascii="宋体" w:hAnsi="宋体" w:eastAsia="宋体"/>
          <w:color w:val="auto"/>
          <w:sz w:val="24"/>
          <w:highlight w:val="none"/>
          <w:u w:val="none"/>
        </w:rPr>
        <w:t>（1）投标函及投标函附录；</w:t>
      </w:r>
    </w:p>
    <w:p>
      <w:pPr>
        <w:pStyle w:val="17"/>
        <w:spacing w:after="0" w:line="360" w:lineRule="auto"/>
        <w:ind w:firstLine="480" w:firstLineChars="200"/>
        <w:rPr>
          <w:rFonts w:ascii="宋体" w:hAnsi="宋体" w:eastAsia="宋体"/>
          <w:color w:val="auto"/>
          <w:sz w:val="24"/>
          <w:highlight w:val="none"/>
          <w:u w:val="none"/>
        </w:rPr>
      </w:pPr>
      <w:r>
        <w:rPr>
          <w:rFonts w:hint="eastAsia" w:ascii="宋体" w:hAnsi="宋体" w:eastAsia="宋体"/>
          <w:color w:val="auto"/>
          <w:sz w:val="24"/>
          <w:highlight w:val="none"/>
          <w:u w:val="none"/>
        </w:rPr>
        <w:t>（2）法定代表人身份证明或附有法定代表人身份证明的授权委托书；</w:t>
      </w:r>
    </w:p>
    <w:p>
      <w:pPr>
        <w:pStyle w:val="17"/>
        <w:spacing w:after="0" w:line="360" w:lineRule="auto"/>
        <w:ind w:firstLine="480" w:firstLineChars="200"/>
        <w:rPr>
          <w:rFonts w:ascii="宋体" w:hAnsi="宋体" w:eastAsia="宋体"/>
          <w:color w:val="auto"/>
          <w:sz w:val="24"/>
          <w:highlight w:val="none"/>
          <w:u w:val="single"/>
        </w:rPr>
      </w:pPr>
      <w:r>
        <w:rPr>
          <w:rFonts w:hint="eastAsia" w:ascii="宋体" w:hAnsi="宋体" w:eastAsia="宋体"/>
          <w:color w:val="auto"/>
          <w:sz w:val="24"/>
          <w:highlight w:val="none"/>
          <w:u w:val="single"/>
        </w:rPr>
        <w:t>（</w:t>
      </w:r>
      <w:r>
        <w:rPr>
          <w:rFonts w:hint="eastAsia" w:ascii="宋体" w:hAnsi="宋体" w:eastAsia="宋体"/>
          <w:color w:val="auto"/>
          <w:sz w:val="24"/>
          <w:highlight w:val="none"/>
          <w:u w:val="single"/>
          <w:lang w:val="en-US" w:eastAsia="zh-CN"/>
        </w:rPr>
        <w:t>3</w:t>
      </w:r>
      <w:r>
        <w:rPr>
          <w:rFonts w:hint="eastAsia" w:ascii="宋体" w:hAnsi="宋体" w:eastAsia="宋体"/>
          <w:color w:val="auto"/>
          <w:sz w:val="24"/>
          <w:highlight w:val="none"/>
          <w:u w:val="single"/>
        </w:rPr>
        <w:t>）投标保证金；</w:t>
      </w:r>
    </w:p>
    <w:p>
      <w:pPr>
        <w:pStyle w:val="17"/>
        <w:spacing w:after="0" w:line="360" w:lineRule="auto"/>
        <w:ind w:firstLine="480" w:firstLineChars="200"/>
        <w:rPr>
          <w:rFonts w:ascii="宋体" w:hAnsi="宋体" w:eastAsia="宋体"/>
          <w:color w:val="auto"/>
          <w:sz w:val="24"/>
          <w:highlight w:val="none"/>
          <w:u w:val="single"/>
        </w:rPr>
      </w:pPr>
      <w:r>
        <w:rPr>
          <w:rFonts w:hint="eastAsia" w:ascii="宋体" w:hAnsi="宋体" w:eastAsia="宋体"/>
          <w:color w:val="auto"/>
          <w:sz w:val="24"/>
          <w:highlight w:val="none"/>
          <w:u w:val="single"/>
        </w:rPr>
        <w:t>（</w:t>
      </w:r>
      <w:r>
        <w:rPr>
          <w:rFonts w:hint="eastAsia" w:ascii="宋体" w:hAnsi="宋体" w:eastAsia="宋体"/>
          <w:color w:val="auto"/>
          <w:sz w:val="24"/>
          <w:highlight w:val="none"/>
          <w:u w:val="single"/>
          <w:lang w:val="en-US" w:eastAsia="zh-CN"/>
        </w:rPr>
        <w:t>4</w:t>
      </w:r>
      <w:r>
        <w:rPr>
          <w:rFonts w:hint="eastAsia" w:ascii="宋体" w:hAnsi="宋体" w:eastAsia="宋体"/>
          <w:color w:val="auto"/>
          <w:sz w:val="24"/>
          <w:highlight w:val="none"/>
          <w:u w:val="single"/>
        </w:rPr>
        <w:t>）已标价工程量清单；</w:t>
      </w:r>
    </w:p>
    <w:p>
      <w:pPr>
        <w:pStyle w:val="17"/>
        <w:spacing w:after="0" w:line="360" w:lineRule="auto"/>
        <w:ind w:firstLine="480" w:firstLineChars="200"/>
        <w:rPr>
          <w:rFonts w:ascii="宋体" w:hAnsi="宋体" w:eastAsia="宋体"/>
          <w:color w:val="auto"/>
          <w:sz w:val="24"/>
          <w:highlight w:val="none"/>
          <w:u w:val="single"/>
        </w:rPr>
      </w:pPr>
      <w:r>
        <w:rPr>
          <w:rFonts w:hint="eastAsia" w:ascii="宋体" w:hAnsi="宋体" w:eastAsia="宋体"/>
          <w:color w:val="auto"/>
          <w:sz w:val="24"/>
          <w:highlight w:val="none"/>
          <w:u w:val="single"/>
        </w:rPr>
        <w:t>（</w:t>
      </w:r>
      <w:r>
        <w:rPr>
          <w:rFonts w:hint="eastAsia" w:ascii="宋体" w:hAnsi="宋体" w:eastAsia="宋体"/>
          <w:color w:val="auto"/>
          <w:sz w:val="24"/>
          <w:highlight w:val="none"/>
          <w:u w:val="single"/>
          <w:lang w:val="en-US" w:eastAsia="zh-CN"/>
        </w:rPr>
        <w:t>5</w:t>
      </w:r>
      <w:r>
        <w:rPr>
          <w:rFonts w:hint="eastAsia" w:ascii="宋体" w:hAnsi="宋体" w:eastAsia="宋体"/>
          <w:color w:val="auto"/>
          <w:sz w:val="24"/>
          <w:highlight w:val="none"/>
          <w:u w:val="single"/>
        </w:rPr>
        <w:t>）施工组织设计（</w:t>
      </w:r>
      <w:r>
        <w:rPr>
          <w:rFonts w:hint="eastAsia" w:ascii="宋体" w:hAnsi="宋体" w:eastAsia="宋体" w:cs="宋体"/>
          <w:color w:val="auto"/>
          <w:sz w:val="24"/>
          <w:highlight w:val="none"/>
          <w:u w:val="single"/>
        </w:rPr>
        <w:t>本项目要求编制技术标，需要提交详细施工组织设计</w:t>
      </w:r>
      <w:r>
        <w:rPr>
          <w:rFonts w:hint="eastAsia" w:ascii="宋体" w:hAnsi="宋体" w:eastAsia="宋体" w:cs="宋体"/>
          <w:color w:val="auto"/>
          <w:sz w:val="24"/>
          <w:highlight w:val="none"/>
          <w:u w:val="single"/>
          <w:lang w:eastAsia="zh-CN"/>
        </w:rPr>
        <w:t>；</w:t>
      </w:r>
      <w:r>
        <w:rPr>
          <w:rFonts w:hint="eastAsia" w:ascii="宋体" w:hAnsi="宋体" w:eastAsia="宋体"/>
          <w:color w:val="auto"/>
          <w:sz w:val="24"/>
          <w:highlight w:val="none"/>
          <w:u w:val="single"/>
        </w:rPr>
        <w:t xml:space="preserve">投标人在编制施工组织设计或施工方案时应按照招标人提出的施工现场建筑垃圾源头减量的具体要求以及建筑垃圾综合利用产品的使用要求提供相应措施）； </w:t>
      </w:r>
    </w:p>
    <w:p>
      <w:pPr>
        <w:pStyle w:val="17"/>
        <w:spacing w:after="0" w:line="360" w:lineRule="auto"/>
        <w:ind w:firstLine="480" w:firstLineChars="200"/>
        <w:rPr>
          <w:rFonts w:ascii="宋体" w:hAnsi="宋体" w:eastAsia="宋体"/>
          <w:color w:val="auto"/>
          <w:sz w:val="24"/>
          <w:highlight w:val="none"/>
          <w:u w:val="none"/>
        </w:rPr>
      </w:pPr>
      <w:r>
        <w:rPr>
          <w:rFonts w:hint="eastAsia" w:ascii="宋体" w:hAnsi="宋体" w:eastAsia="宋体"/>
          <w:color w:val="auto"/>
          <w:sz w:val="24"/>
          <w:highlight w:val="none"/>
          <w:u w:val="none"/>
        </w:rPr>
        <w:t>（</w:t>
      </w:r>
      <w:r>
        <w:rPr>
          <w:rFonts w:hint="eastAsia" w:ascii="宋体" w:hAnsi="宋体" w:eastAsia="宋体"/>
          <w:color w:val="auto"/>
          <w:sz w:val="24"/>
          <w:highlight w:val="none"/>
          <w:u w:val="none"/>
          <w:lang w:val="en-US" w:eastAsia="zh-CN"/>
        </w:rPr>
        <w:t>6</w:t>
      </w:r>
      <w:r>
        <w:rPr>
          <w:rFonts w:hint="eastAsia" w:ascii="宋体" w:hAnsi="宋体" w:eastAsia="宋体"/>
          <w:color w:val="auto"/>
          <w:sz w:val="24"/>
          <w:highlight w:val="none"/>
          <w:u w:val="none"/>
        </w:rPr>
        <w:t>）项目管理机构；</w:t>
      </w:r>
    </w:p>
    <w:p>
      <w:pPr>
        <w:pStyle w:val="17"/>
        <w:spacing w:after="0" w:line="360" w:lineRule="auto"/>
        <w:ind w:firstLine="480" w:firstLineChars="200"/>
        <w:rPr>
          <w:rFonts w:ascii="宋体" w:hAnsi="宋体" w:eastAsia="宋体"/>
          <w:color w:val="auto"/>
          <w:sz w:val="24"/>
          <w:highlight w:val="none"/>
          <w:u w:val="none"/>
        </w:rPr>
      </w:pPr>
      <w:r>
        <w:rPr>
          <w:rFonts w:hint="eastAsia" w:ascii="宋体" w:hAnsi="宋体" w:eastAsia="宋体"/>
          <w:color w:val="auto"/>
          <w:sz w:val="24"/>
          <w:highlight w:val="none"/>
          <w:u w:val="none"/>
        </w:rPr>
        <w:t>（</w:t>
      </w:r>
      <w:r>
        <w:rPr>
          <w:rFonts w:hint="eastAsia" w:ascii="宋体" w:hAnsi="宋体" w:eastAsia="宋体"/>
          <w:color w:val="auto"/>
          <w:sz w:val="24"/>
          <w:highlight w:val="none"/>
          <w:u w:val="none"/>
          <w:lang w:val="en-US" w:eastAsia="zh-CN"/>
        </w:rPr>
        <w:t>7</w:t>
      </w:r>
      <w:r>
        <w:rPr>
          <w:rFonts w:hint="eastAsia" w:ascii="宋体" w:hAnsi="宋体" w:eastAsia="宋体"/>
          <w:color w:val="auto"/>
          <w:sz w:val="24"/>
          <w:highlight w:val="none"/>
          <w:u w:val="none"/>
        </w:rPr>
        <w:t>）资格审查资料；</w:t>
      </w:r>
    </w:p>
    <w:p>
      <w:pPr>
        <w:pStyle w:val="17"/>
        <w:spacing w:after="0"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u w:val="none"/>
        </w:rPr>
        <w:t>（</w:t>
      </w:r>
      <w:r>
        <w:rPr>
          <w:rFonts w:hint="eastAsia" w:ascii="宋体" w:hAnsi="宋体" w:eastAsia="宋体"/>
          <w:color w:val="auto"/>
          <w:sz w:val="24"/>
          <w:highlight w:val="none"/>
          <w:u w:val="none"/>
          <w:lang w:val="en-US" w:eastAsia="zh-CN"/>
        </w:rPr>
        <w:t>8</w:t>
      </w:r>
      <w:r>
        <w:rPr>
          <w:rFonts w:hint="eastAsia" w:ascii="宋体" w:hAnsi="宋体" w:eastAsia="宋体"/>
          <w:color w:val="auto"/>
          <w:sz w:val="24"/>
          <w:highlight w:val="none"/>
          <w:u w:val="none"/>
        </w:rPr>
        <w:t>）其他应提交的材料。</w:t>
      </w:r>
    </w:p>
    <w:p>
      <w:pPr>
        <w:pStyle w:val="17"/>
        <w:spacing w:after="0" w:line="360" w:lineRule="auto"/>
        <w:ind w:firstLine="482" w:firstLineChars="200"/>
        <w:rPr>
          <w:rFonts w:ascii="宋体" w:hAnsi="宋体" w:eastAsia="宋体"/>
          <w:b/>
          <w:bCs/>
          <w:color w:val="auto"/>
          <w:sz w:val="24"/>
          <w:highlight w:val="none"/>
        </w:rPr>
      </w:pPr>
      <w:r>
        <w:rPr>
          <w:rFonts w:hint="eastAsia" w:ascii="宋体" w:hAnsi="宋体" w:eastAsia="宋体"/>
          <w:b/>
          <w:bCs/>
          <w:color w:val="auto"/>
          <w:sz w:val="24"/>
          <w:highlight w:val="none"/>
        </w:rPr>
        <w:t>3.2 投标报价</w:t>
      </w:r>
    </w:p>
    <w:p>
      <w:pPr>
        <w:pStyle w:val="17"/>
        <w:spacing w:after="0" w:line="360" w:lineRule="auto"/>
        <w:ind w:firstLine="480" w:firstLineChars="200"/>
        <w:rPr>
          <w:rFonts w:ascii="宋体" w:hAnsi="宋体" w:eastAsia="宋体"/>
          <w:color w:val="auto"/>
          <w:sz w:val="24"/>
          <w:highlight w:val="none"/>
          <w:u w:val="single"/>
        </w:rPr>
      </w:pPr>
      <w:r>
        <w:rPr>
          <w:rFonts w:hint="eastAsia" w:ascii="宋体" w:hAnsi="宋体" w:eastAsia="宋体"/>
          <w:color w:val="auto"/>
          <w:sz w:val="24"/>
          <w:highlight w:val="none"/>
          <w:u w:val="single"/>
        </w:rPr>
        <w:t>3.2.1 投标人应按第五章“工程量清单”的要求填写相应表格。</w:t>
      </w:r>
    </w:p>
    <w:p>
      <w:pPr>
        <w:pStyle w:val="17"/>
        <w:spacing w:after="0" w:line="360" w:lineRule="auto"/>
        <w:ind w:firstLine="480" w:firstLineChars="200"/>
        <w:rPr>
          <w:rFonts w:hint="eastAsia" w:ascii="宋体" w:hAnsi="宋体" w:eastAsia="宋体"/>
          <w:color w:val="auto"/>
          <w:sz w:val="24"/>
          <w:highlight w:val="none"/>
          <w:u w:val="single"/>
        </w:rPr>
      </w:pPr>
      <w:r>
        <w:rPr>
          <w:rFonts w:hint="eastAsia" w:ascii="宋体" w:hAnsi="宋体" w:eastAsia="宋体"/>
          <w:color w:val="auto"/>
          <w:sz w:val="24"/>
          <w:highlight w:val="none"/>
          <w:u w:val="single"/>
        </w:rPr>
        <w:t>3.2.2 投标人在投标截止时间前修改投标函中的投标报价总额，应同时修改“已标价工程量清单”中的相应报价，投标报价总额为各分项金额之和。此修改须符合本章第4.3款的有关要求。</w:t>
      </w:r>
    </w:p>
    <w:p>
      <w:pPr>
        <w:pStyle w:val="17"/>
        <w:spacing w:after="0" w:line="360" w:lineRule="auto"/>
        <w:ind w:firstLine="480" w:firstLineChars="200"/>
        <w:rPr>
          <w:rFonts w:hint="eastAsia" w:ascii="宋体" w:hAnsi="宋体" w:eastAsia="宋体"/>
          <w:color w:val="auto"/>
          <w:sz w:val="24"/>
          <w:highlight w:val="none"/>
          <w:lang w:eastAsia="zh-CN"/>
        </w:rPr>
      </w:pPr>
      <w:r>
        <w:rPr>
          <w:rFonts w:hint="eastAsia" w:ascii="宋体" w:hAnsi="宋体" w:eastAsia="宋体"/>
          <w:color w:val="auto"/>
          <w:sz w:val="24"/>
          <w:highlight w:val="none"/>
        </w:rPr>
        <w:t>3.2.3投标人的投标报价不得超过最高投标限价，最高投标限价见投标人须知前附表。</w:t>
      </w:r>
    </w:p>
    <w:p>
      <w:pPr>
        <w:pStyle w:val="17"/>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3.2.4成本警示价见投标人须知前附表。对低于该</w:t>
      </w:r>
      <w:r>
        <w:rPr>
          <w:rFonts w:hint="eastAsia" w:ascii="宋体" w:hAnsi="宋体" w:eastAsia="宋体"/>
          <w:color w:val="auto"/>
          <w:sz w:val="24"/>
          <w:highlight w:val="none"/>
          <w:lang w:eastAsia="zh-CN"/>
        </w:rPr>
        <w:t>成本</w:t>
      </w:r>
      <w:r>
        <w:rPr>
          <w:rFonts w:hint="eastAsia" w:ascii="宋体" w:hAnsi="宋体" w:eastAsia="宋体"/>
          <w:color w:val="auto"/>
          <w:sz w:val="24"/>
          <w:highlight w:val="none"/>
        </w:rPr>
        <w:t>警示价的投标报价，投标人必须提供详细的施工组织设计、单价、措施性费用、单价分析表、主要材料价格表、投标人成本分析供评标委员会评审，由评标委员会判定其是否低于企业自身成本。在评标过程中，评标委员会发现投标人的报价明显低于其他投标报价或者低于成本警示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pPr>
        <w:pStyle w:val="17"/>
        <w:spacing w:after="0" w:line="360" w:lineRule="auto"/>
        <w:ind w:firstLine="482" w:firstLineChars="200"/>
        <w:rPr>
          <w:rFonts w:ascii="宋体" w:hAnsi="宋体" w:eastAsia="宋体"/>
          <w:b/>
          <w:bCs/>
          <w:color w:val="auto"/>
          <w:sz w:val="24"/>
          <w:highlight w:val="none"/>
        </w:rPr>
      </w:pPr>
      <w:r>
        <w:rPr>
          <w:rFonts w:hint="eastAsia" w:ascii="宋体" w:hAnsi="宋体" w:eastAsia="宋体"/>
          <w:b/>
          <w:bCs/>
          <w:color w:val="auto"/>
          <w:sz w:val="24"/>
          <w:highlight w:val="none"/>
        </w:rPr>
        <w:t>3.3 投标有效期</w:t>
      </w:r>
    </w:p>
    <w:p>
      <w:pPr>
        <w:pStyle w:val="17"/>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3.3.1 投标有效期见</w:t>
      </w:r>
      <w:r>
        <w:rPr>
          <w:rFonts w:hint="eastAsia" w:ascii="宋体" w:hAnsi="宋体" w:eastAsia="宋体"/>
          <w:color w:val="auto"/>
          <w:sz w:val="24"/>
          <w:highlight w:val="none"/>
          <w:lang w:eastAsia="zh-CN"/>
        </w:rPr>
        <w:t>投标人须知</w:t>
      </w:r>
      <w:r>
        <w:rPr>
          <w:rFonts w:hint="eastAsia" w:ascii="宋体" w:hAnsi="宋体" w:eastAsia="宋体"/>
          <w:color w:val="auto"/>
          <w:sz w:val="24"/>
          <w:highlight w:val="none"/>
        </w:rPr>
        <w:t>前附表所规定的期限，在此期限内，凡符合本招标文件要求的投标文件均保持有效。</w:t>
      </w:r>
    </w:p>
    <w:p>
      <w:pPr>
        <w:pStyle w:val="17"/>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3.3.2在投标有效期内，投标人撤销或修改其投标文件的，应承担招标文件和法律规定的责任。</w:t>
      </w:r>
    </w:p>
    <w:p>
      <w:pPr>
        <w:pStyle w:val="17"/>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3.3.3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pPr>
        <w:pStyle w:val="17"/>
        <w:spacing w:after="0" w:line="360" w:lineRule="auto"/>
        <w:ind w:firstLine="482" w:firstLineChars="200"/>
        <w:rPr>
          <w:rFonts w:hint="eastAsia" w:ascii="宋体" w:hAnsi="宋体" w:eastAsia="宋体"/>
          <w:b/>
          <w:bCs/>
          <w:color w:val="auto"/>
          <w:sz w:val="24"/>
          <w:highlight w:val="none"/>
          <w:lang w:eastAsia="zh-CN"/>
        </w:rPr>
      </w:pPr>
      <w:r>
        <w:rPr>
          <w:rFonts w:hint="eastAsia" w:ascii="宋体" w:hAnsi="宋体" w:eastAsia="宋体"/>
          <w:b/>
          <w:bCs/>
          <w:color w:val="auto"/>
          <w:sz w:val="24"/>
          <w:highlight w:val="none"/>
        </w:rPr>
        <w:t>3.4 投标保证金</w:t>
      </w:r>
    </w:p>
    <w:p>
      <w:pPr>
        <w:pStyle w:val="17"/>
        <w:spacing w:after="0" w:line="360" w:lineRule="auto"/>
        <w:ind w:firstLine="480" w:firstLineChars="200"/>
        <w:rPr>
          <w:rFonts w:ascii="宋体" w:hAnsi="宋体" w:eastAsia="宋体"/>
          <w:b/>
          <w:bCs/>
          <w:color w:val="auto"/>
          <w:sz w:val="24"/>
          <w:highlight w:val="none"/>
          <w:lang w:eastAsia="zh-CN"/>
        </w:rPr>
      </w:pPr>
      <w:r>
        <w:rPr>
          <w:rFonts w:hint="eastAsia" w:ascii="宋体" w:hAnsi="宋体" w:eastAsia="宋体"/>
          <w:color w:val="auto"/>
          <w:sz w:val="24"/>
          <w:highlight w:val="none"/>
          <w:lang w:eastAsia="zh-CN"/>
        </w:rPr>
        <w:t>3.4.1</w:t>
      </w:r>
      <w:r>
        <w:rPr>
          <w:rFonts w:hint="eastAsia" w:ascii="宋体" w:hAnsi="宋体" w:eastAsia="宋体"/>
          <w:color w:val="auto"/>
          <w:sz w:val="24"/>
          <w:highlight w:val="none"/>
        </w:rPr>
        <w:t>投标人应按</w:t>
      </w:r>
      <w:r>
        <w:rPr>
          <w:rFonts w:hint="eastAsia" w:ascii="宋体" w:hAnsi="宋体" w:eastAsia="宋体"/>
          <w:color w:val="auto"/>
          <w:sz w:val="24"/>
          <w:highlight w:val="none"/>
          <w:lang w:eastAsia="zh-CN"/>
        </w:rPr>
        <w:t>投标人须知</w:t>
      </w:r>
      <w:r>
        <w:rPr>
          <w:rFonts w:hint="eastAsia" w:ascii="宋体" w:hAnsi="宋体" w:eastAsia="宋体"/>
          <w:color w:val="auto"/>
          <w:sz w:val="24"/>
          <w:highlight w:val="none"/>
        </w:rPr>
        <w:t>前附表规定的金额和时间递交投标保证金。招标人应当允许投标人自主选择现金、银行保函、保证保险、专业工程担保公司担保等方式缴纳投标保证金。联合体投标的，其投标</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可以由</w:t>
      </w:r>
      <w:r>
        <w:rPr>
          <w:rFonts w:hint="eastAsia" w:ascii="宋体" w:hAnsi="宋体" w:eastAsia="宋体"/>
          <w:color w:val="auto"/>
          <w:sz w:val="24"/>
          <w:highlight w:val="none"/>
          <w:lang w:eastAsia="zh-CN"/>
        </w:rPr>
        <w:t>主办方</w:t>
      </w:r>
      <w:r>
        <w:rPr>
          <w:rFonts w:hint="eastAsia" w:ascii="宋体" w:hAnsi="宋体" w:eastAsia="宋体"/>
          <w:color w:val="auto"/>
          <w:sz w:val="24"/>
          <w:highlight w:val="none"/>
        </w:rPr>
        <w:t>递交，并应符合投标人须知前附表的规定。</w:t>
      </w:r>
    </w:p>
    <w:p>
      <w:pPr>
        <w:pStyle w:val="17"/>
        <w:spacing w:after="0" w:line="360" w:lineRule="auto"/>
        <w:ind w:firstLine="480" w:firstLineChars="200"/>
        <w:rPr>
          <w:rFonts w:hint="eastAsia" w:ascii="宋体" w:hAnsi="宋体" w:eastAsia="宋体"/>
          <w:color w:val="auto"/>
          <w:sz w:val="24"/>
          <w:highlight w:val="none"/>
          <w:lang w:eastAsia="zh-CN"/>
        </w:rPr>
      </w:pPr>
      <w:r>
        <w:rPr>
          <w:rFonts w:hint="eastAsia" w:ascii="宋体" w:hAnsi="宋体" w:eastAsia="宋体"/>
          <w:color w:val="auto"/>
          <w:sz w:val="24"/>
          <w:highlight w:val="none"/>
        </w:rPr>
        <w:t>3.4.</w:t>
      </w:r>
      <w:r>
        <w:rPr>
          <w:rFonts w:hint="eastAsia" w:ascii="宋体" w:hAnsi="宋体" w:eastAsia="宋体"/>
          <w:color w:val="auto"/>
          <w:sz w:val="24"/>
          <w:highlight w:val="none"/>
          <w:lang w:val="en-US" w:eastAsia="zh-CN"/>
        </w:rPr>
        <w:t>2</w:t>
      </w:r>
      <w:r>
        <w:rPr>
          <w:rFonts w:hint="eastAsia" w:ascii="宋体" w:hAnsi="宋体" w:eastAsia="宋体"/>
          <w:color w:val="auto"/>
          <w:sz w:val="24"/>
          <w:highlight w:val="none"/>
        </w:rPr>
        <w:t xml:space="preserve"> 中标候选人以外的投标人的投标保证金将尽快退还，最迟不超过中标通知书发出之日起五日内</w:t>
      </w:r>
      <w:r>
        <w:rPr>
          <w:rFonts w:hint="eastAsia" w:ascii="宋体" w:hAnsi="宋体" w:eastAsia="宋体"/>
          <w:color w:val="auto"/>
          <w:sz w:val="24"/>
          <w:highlight w:val="none"/>
          <w:lang w:eastAsia="zh-CN"/>
        </w:rPr>
        <w:t>；</w:t>
      </w:r>
    </w:p>
    <w:p>
      <w:pPr>
        <w:pStyle w:val="17"/>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lang w:val="en-US" w:eastAsia="zh-CN"/>
        </w:rPr>
        <w:t>3.4.3</w:t>
      </w:r>
      <w:r>
        <w:rPr>
          <w:rFonts w:hint="eastAsia" w:ascii="宋体" w:hAnsi="宋体" w:eastAsia="宋体"/>
          <w:color w:val="auto"/>
          <w:sz w:val="24"/>
          <w:highlight w:val="none"/>
        </w:rPr>
        <w:t>中标人和其他中标候选人的投标保证金，在书面合同订立之日起五日内予以退还</w:t>
      </w:r>
      <w:r>
        <w:rPr>
          <w:rFonts w:hint="eastAsia" w:ascii="宋体" w:hAnsi="宋体" w:eastAsia="宋体" w:cs="宋体"/>
          <w:i w:val="0"/>
          <w:iCs w:val="0"/>
          <w:caps w:val="0"/>
          <w:color w:val="auto"/>
          <w:spacing w:val="0"/>
          <w:sz w:val="24"/>
          <w:szCs w:val="24"/>
          <w:highlight w:val="none"/>
          <w:shd w:val="clear" w:color="auto" w:fill="FFFFFF"/>
        </w:rPr>
        <w:t>。</w:t>
      </w:r>
    </w:p>
    <w:p>
      <w:pPr>
        <w:pStyle w:val="17"/>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3.4.</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 xml:space="preserve"> 有下列情形之一的，投标保证金将不予退还</w:t>
      </w:r>
      <w:r>
        <w:rPr>
          <w:rFonts w:hint="eastAsia" w:ascii="宋体" w:hAnsi="宋体" w:eastAsia="宋体"/>
          <w:color w:val="auto"/>
          <w:sz w:val="24"/>
          <w:highlight w:val="none"/>
          <w:lang w:eastAsia="zh-CN"/>
        </w:rPr>
        <w:t>（是否退还投标保证金由招标人在招标文件中规定）</w:t>
      </w:r>
      <w:r>
        <w:rPr>
          <w:rFonts w:hint="eastAsia" w:ascii="宋体" w:hAnsi="宋体" w:eastAsia="宋体"/>
          <w:color w:val="auto"/>
          <w:sz w:val="24"/>
          <w:highlight w:val="none"/>
        </w:rPr>
        <w:t xml:space="preserve">： </w:t>
      </w:r>
    </w:p>
    <w:p>
      <w:pPr>
        <w:pStyle w:val="17"/>
        <w:spacing w:line="360" w:lineRule="auto"/>
        <w:ind w:firstLine="480" w:firstLineChars="200"/>
        <w:rPr>
          <w:rFonts w:ascii="宋体" w:hAnsi="宋体" w:eastAsia="宋体"/>
          <w:color w:val="auto"/>
          <w:sz w:val="24"/>
          <w:highlight w:val="none"/>
        </w:rPr>
      </w:pPr>
      <w:r>
        <w:rPr>
          <w:rFonts w:ascii="宋体" w:hAnsi="宋体" w:eastAsia="宋体"/>
          <w:color w:val="auto"/>
          <w:sz w:val="24"/>
          <w:highlight w:val="none"/>
        </w:rPr>
        <w:t>3.4</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投标人在规定的投标有效期内撤</w:t>
      </w:r>
      <w:r>
        <w:rPr>
          <w:rFonts w:hint="eastAsia" w:ascii="宋体" w:hAnsi="宋体" w:eastAsia="宋体"/>
          <w:color w:val="auto"/>
          <w:sz w:val="24"/>
          <w:highlight w:val="none"/>
          <w:lang w:eastAsia="zh-CN"/>
        </w:rPr>
        <w:t>销</w:t>
      </w:r>
      <w:r>
        <w:rPr>
          <w:rFonts w:hint="eastAsia" w:ascii="宋体" w:hAnsi="宋体" w:eastAsia="宋体"/>
          <w:color w:val="auto"/>
          <w:sz w:val="24"/>
          <w:highlight w:val="none"/>
        </w:rPr>
        <w:t>其投标文件；</w:t>
      </w:r>
    </w:p>
    <w:p>
      <w:pPr>
        <w:pStyle w:val="17"/>
        <w:spacing w:line="360" w:lineRule="auto"/>
        <w:ind w:firstLine="480" w:firstLineChars="200"/>
        <w:rPr>
          <w:rFonts w:ascii="宋体" w:hAnsi="宋体" w:eastAsia="宋体"/>
          <w:color w:val="auto"/>
          <w:sz w:val="24"/>
          <w:highlight w:val="none"/>
        </w:rPr>
      </w:pPr>
      <w:r>
        <w:rPr>
          <w:rFonts w:ascii="宋体" w:hAnsi="宋体" w:eastAsia="宋体"/>
          <w:color w:val="auto"/>
          <w:sz w:val="24"/>
          <w:highlight w:val="none"/>
        </w:rPr>
        <w:t>3.4</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2</w:t>
      </w:r>
      <w:r>
        <w:rPr>
          <w:rFonts w:hint="eastAsia" w:ascii="宋体" w:hAnsi="宋体" w:eastAsia="宋体"/>
          <w:color w:val="auto"/>
          <w:sz w:val="24"/>
          <w:highlight w:val="none"/>
        </w:rPr>
        <w:t>中标人未能在规定期限内按要求提交履约担保；</w:t>
      </w:r>
    </w:p>
    <w:p>
      <w:pPr>
        <w:pStyle w:val="17"/>
        <w:spacing w:after="0" w:line="360" w:lineRule="auto"/>
        <w:ind w:firstLine="480" w:firstLineChars="200"/>
        <w:rPr>
          <w:rFonts w:ascii="宋体" w:hAnsi="宋体" w:eastAsia="宋体"/>
          <w:color w:val="auto"/>
          <w:sz w:val="24"/>
          <w:highlight w:val="none"/>
        </w:rPr>
      </w:pPr>
      <w:r>
        <w:rPr>
          <w:rFonts w:ascii="宋体" w:hAnsi="宋体" w:eastAsia="宋体"/>
          <w:color w:val="auto"/>
          <w:sz w:val="24"/>
          <w:highlight w:val="none"/>
        </w:rPr>
        <w:t>3.4</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中标人未能在规定期限内签署合同协议。</w:t>
      </w:r>
    </w:p>
    <w:p>
      <w:pPr>
        <w:pStyle w:val="17"/>
        <w:spacing w:after="0" w:line="360" w:lineRule="auto"/>
        <w:ind w:firstLine="482" w:firstLineChars="200"/>
        <w:rPr>
          <w:rFonts w:ascii="宋体" w:hAnsi="宋体" w:eastAsia="宋体"/>
          <w:b/>
          <w:bCs/>
          <w:color w:val="auto"/>
          <w:sz w:val="24"/>
          <w:highlight w:val="none"/>
        </w:rPr>
      </w:pPr>
      <w:r>
        <w:rPr>
          <w:rFonts w:hint="eastAsia" w:ascii="宋体" w:hAnsi="宋体" w:eastAsia="宋体"/>
          <w:b/>
          <w:bCs/>
          <w:color w:val="auto"/>
          <w:sz w:val="24"/>
          <w:highlight w:val="none"/>
        </w:rPr>
        <w:t>3.5 资格审查资料</w:t>
      </w:r>
    </w:p>
    <w:p>
      <w:pPr>
        <w:pStyle w:val="17"/>
        <w:spacing w:after="0" w:line="360" w:lineRule="auto"/>
        <w:ind w:firstLine="480" w:firstLineChars="200"/>
        <w:rPr>
          <w:color w:val="auto"/>
          <w:highlight w:val="none"/>
        </w:rPr>
      </w:pPr>
      <w:r>
        <w:rPr>
          <w:rFonts w:hint="eastAsia" w:ascii="宋体" w:hAnsi="宋体" w:eastAsia="宋体"/>
          <w:color w:val="auto"/>
          <w:sz w:val="24"/>
          <w:highlight w:val="none"/>
        </w:rPr>
        <w:t>3.5.1 “投标人基本情况表”应附投标人营业执照副本、资质证书副本和安全生产许可证等材料的</w:t>
      </w:r>
      <w:r>
        <w:rPr>
          <w:rFonts w:hint="eastAsia" w:ascii="宋体" w:hAnsi="宋体" w:eastAsia="宋体"/>
          <w:color w:val="auto"/>
          <w:sz w:val="24"/>
          <w:highlight w:val="none"/>
          <w:lang w:val="en-US" w:eastAsia="zh-CN"/>
        </w:rPr>
        <w:t>扫描件</w:t>
      </w:r>
      <w:r>
        <w:rPr>
          <w:rFonts w:hint="eastAsia" w:ascii="宋体" w:hAnsi="宋体" w:eastAsia="宋体"/>
          <w:color w:val="auto"/>
          <w:sz w:val="24"/>
          <w:highlight w:val="none"/>
        </w:rPr>
        <w:t>。</w:t>
      </w:r>
    </w:p>
    <w:p>
      <w:pPr>
        <w:pStyle w:val="17"/>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3.5.2 项目负责人建造师证和</w:t>
      </w:r>
      <w:r>
        <w:rPr>
          <w:rFonts w:hint="eastAsia" w:ascii="宋体" w:hAnsi="宋体" w:eastAsia="宋体"/>
          <w:color w:val="auto"/>
          <w:sz w:val="24"/>
          <w:highlight w:val="none"/>
          <w:lang w:eastAsia="zh-CN"/>
        </w:rPr>
        <w:t>安全生产考核合格证</w:t>
      </w:r>
      <w:r>
        <w:rPr>
          <w:rFonts w:hint="eastAsia" w:ascii="宋体" w:hAnsi="宋体" w:eastAsia="宋体"/>
          <w:color w:val="auto"/>
          <w:sz w:val="24"/>
          <w:highlight w:val="none"/>
        </w:rPr>
        <w:t>（B证）</w:t>
      </w:r>
      <w:r>
        <w:rPr>
          <w:rFonts w:hint="eastAsia" w:ascii="宋体" w:hAnsi="宋体" w:eastAsia="宋体" w:cs="Times New Roman"/>
          <w:color w:val="auto"/>
          <w:sz w:val="24"/>
          <w:szCs w:val="24"/>
          <w:highlight w:val="none"/>
        </w:rPr>
        <w:t>或建筑施工企业项目负责人安全生产考核合格证书</w:t>
      </w:r>
      <w:r>
        <w:rPr>
          <w:rFonts w:hint="eastAsia" w:ascii="宋体" w:hAnsi="宋体" w:eastAsia="宋体" w:cs="Times New Roman"/>
          <w:color w:val="auto"/>
          <w:sz w:val="24"/>
          <w:szCs w:val="24"/>
          <w:highlight w:val="none"/>
          <w:u w:val="single"/>
          <w:lang w:val="en-US" w:eastAsia="zh-CN"/>
        </w:rPr>
        <w:t>扫描件</w:t>
      </w:r>
      <w:r>
        <w:rPr>
          <w:rFonts w:hint="eastAsia" w:ascii="宋体" w:hAnsi="宋体" w:eastAsia="宋体"/>
          <w:color w:val="auto"/>
          <w:sz w:val="24"/>
          <w:highlight w:val="none"/>
        </w:rPr>
        <w:t>。</w:t>
      </w:r>
    </w:p>
    <w:p>
      <w:pPr>
        <w:pStyle w:val="17"/>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3.5.3专职安全员</w:t>
      </w:r>
      <w:r>
        <w:rPr>
          <w:rFonts w:hint="eastAsia" w:ascii="宋体" w:hAnsi="宋体" w:eastAsia="宋体"/>
          <w:color w:val="auto"/>
          <w:sz w:val="24"/>
          <w:highlight w:val="none"/>
          <w:lang w:eastAsia="zh-CN"/>
        </w:rPr>
        <w:t>安全生产考核合格证</w:t>
      </w:r>
      <w:r>
        <w:rPr>
          <w:rFonts w:hint="eastAsia" w:ascii="宋体" w:hAnsi="宋体" w:eastAsia="宋体"/>
          <w:color w:val="auto"/>
          <w:sz w:val="24"/>
          <w:highlight w:val="none"/>
        </w:rPr>
        <w:t>（C证）</w:t>
      </w:r>
      <w:r>
        <w:rPr>
          <w:rFonts w:hint="eastAsia" w:ascii="宋体" w:hAnsi="宋体" w:eastAsia="宋体" w:cs="Times New Roman"/>
          <w:color w:val="auto"/>
          <w:sz w:val="24"/>
          <w:szCs w:val="24"/>
          <w:highlight w:val="none"/>
        </w:rPr>
        <w:t>或建筑施工企业专职安全生产管理人员安全生产考核合格证书</w:t>
      </w:r>
      <w:r>
        <w:rPr>
          <w:rFonts w:hint="eastAsia" w:ascii="宋体" w:hAnsi="宋体" w:eastAsia="宋体" w:cs="Times New Roman"/>
          <w:color w:val="auto"/>
          <w:sz w:val="24"/>
          <w:szCs w:val="24"/>
          <w:highlight w:val="none"/>
          <w:u w:val="single"/>
          <w:lang w:val="en-US" w:eastAsia="zh-CN"/>
        </w:rPr>
        <w:t>扫描件</w:t>
      </w:r>
      <w:r>
        <w:rPr>
          <w:rFonts w:hint="eastAsia" w:ascii="宋体" w:hAnsi="宋体" w:eastAsia="宋体"/>
          <w:color w:val="auto"/>
          <w:sz w:val="24"/>
          <w:highlight w:val="none"/>
        </w:rPr>
        <w:t>。</w:t>
      </w:r>
    </w:p>
    <w:p>
      <w:pPr>
        <w:pStyle w:val="17"/>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3.5.</w:t>
      </w:r>
      <w:r>
        <w:rPr>
          <w:rFonts w:hint="eastAsia" w:ascii="宋体" w:hAnsi="宋体" w:eastAsia="宋体"/>
          <w:color w:val="auto"/>
          <w:sz w:val="24"/>
          <w:highlight w:val="none"/>
          <w:lang w:eastAsia="zh-CN"/>
        </w:rPr>
        <w:t>4</w:t>
      </w:r>
      <w:r>
        <w:rPr>
          <w:rFonts w:hint="eastAsia" w:ascii="宋体" w:hAnsi="宋体" w:eastAsia="宋体"/>
          <w:color w:val="auto"/>
          <w:sz w:val="24"/>
          <w:highlight w:val="none"/>
        </w:rPr>
        <w:t xml:space="preserve"> “近年完成的类似项目情况表”应附中标通知书、合同协议书以及合同工程完工证书（或工程竣工证书副本）的</w:t>
      </w:r>
      <w:r>
        <w:rPr>
          <w:rFonts w:hint="eastAsia" w:ascii="宋体" w:hAnsi="宋体" w:eastAsia="宋体"/>
          <w:color w:val="auto"/>
          <w:sz w:val="24"/>
          <w:highlight w:val="none"/>
          <w:lang w:eastAsia="zh-CN"/>
        </w:rPr>
        <w:t>扫描件</w:t>
      </w:r>
      <w:r>
        <w:rPr>
          <w:rFonts w:hint="eastAsia" w:ascii="宋体" w:hAnsi="宋体" w:eastAsia="宋体"/>
          <w:color w:val="auto"/>
          <w:sz w:val="24"/>
          <w:highlight w:val="none"/>
        </w:rPr>
        <w:t>。每张表格只填写一个项目，并标明序号。</w:t>
      </w:r>
    </w:p>
    <w:p>
      <w:pPr>
        <w:pStyle w:val="17"/>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3.5.</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资审要求的其他材料。</w:t>
      </w:r>
    </w:p>
    <w:p>
      <w:pPr>
        <w:pStyle w:val="17"/>
        <w:spacing w:after="0" w:line="360" w:lineRule="auto"/>
        <w:ind w:firstLine="482" w:firstLineChars="200"/>
        <w:rPr>
          <w:rFonts w:ascii="宋体" w:hAnsi="宋体" w:eastAsia="宋体"/>
          <w:b/>
          <w:bCs/>
          <w:color w:val="auto"/>
          <w:sz w:val="24"/>
          <w:highlight w:val="none"/>
        </w:rPr>
      </w:pPr>
      <w:r>
        <w:rPr>
          <w:rFonts w:hint="eastAsia" w:ascii="宋体" w:hAnsi="宋体" w:eastAsia="宋体"/>
          <w:b/>
          <w:bCs/>
          <w:color w:val="auto"/>
          <w:sz w:val="24"/>
          <w:highlight w:val="none"/>
        </w:rPr>
        <w:t>3.6 投标文件的编制</w:t>
      </w:r>
    </w:p>
    <w:p>
      <w:pPr>
        <w:pStyle w:val="17"/>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3.6.1投标人应采用单位数字证书，按招标文件要求在相应位置加盖电子印章。投标文件中需个人签字或盖章的，应加盖个人电子印章或在线下完成后扫描上传。按照</w:t>
      </w:r>
      <w:r>
        <w:rPr>
          <w:rFonts w:hint="eastAsia" w:ascii="宋体" w:hAnsi="宋体" w:eastAsia="宋体" w:cs="Times New Roman"/>
          <w:color w:val="auto"/>
          <w:sz w:val="24"/>
          <w:szCs w:val="24"/>
          <w:highlight w:val="none"/>
          <w:lang w:eastAsia="zh-CN"/>
        </w:rPr>
        <w:t>广州交易集团有限公司（广州公共资源交易中心）网站关于全流程电子化项目的相关指南进行操作</w:t>
      </w:r>
      <w:r>
        <w:rPr>
          <w:rFonts w:hint="eastAsia" w:ascii="宋体" w:hAnsi="宋体" w:eastAsia="宋体" w:cs="Times New Roman"/>
          <w:color w:val="auto"/>
          <w:sz w:val="24"/>
          <w:szCs w:val="24"/>
          <w:highlight w:val="none"/>
        </w:rPr>
        <w:t>。</w:t>
      </w:r>
    </w:p>
    <w:p>
      <w:pPr>
        <w:pStyle w:val="17"/>
        <w:spacing w:after="0" w:line="360" w:lineRule="auto"/>
        <w:ind w:firstLine="480" w:firstLineChars="200"/>
        <w:rPr>
          <w:rFonts w:hint="eastAsia" w:ascii="宋体" w:hAnsi="宋体" w:eastAsia="宋体"/>
          <w:bCs/>
          <w:color w:val="auto"/>
          <w:sz w:val="24"/>
          <w:szCs w:val="24"/>
          <w:highlight w:val="none"/>
        </w:rPr>
      </w:pPr>
      <w:r>
        <w:rPr>
          <w:rFonts w:hint="eastAsia" w:ascii="宋体" w:hAnsi="宋体" w:eastAsia="宋体"/>
          <w:color w:val="auto"/>
          <w:sz w:val="24"/>
          <w:szCs w:val="24"/>
          <w:highlight w:val="none"/>
        </w:rPr>
        <w:t>3.6.</w:t>
      </w:r>
      <w:r>
        <w:rPr>
          <w:rFonts w:hint="eastAsia" w:ascii="宋体" w:hAnsi="宋体" w:eastAsia="宋体"/>
          <w:color w:val="auto"/>
          <w:sz w:val="24"/>
          <w:szCs w:val="24"/>
          <w:highlight w:val="none"/>
          <w:lang w:val="en-US" w:eastAsia="zh-CN"/>
        </w:rPr>
        <w:t>3</w:t>
      </w:r>
      <w:r>
        <w:rPr>
          <w:rFonts w:hint="eastAsia" w:ascii="宋体" w:hAnsi="宋体" w:eastAsia="宋体" w:cs="Times New Roman"/>
          <w:bCs/>
          <w:color w:val="auto"/>
          <w:kern w:val="2"/>
          <w:sz w:val="24"/>
          <w:szCs w:val="24"/>
          <w:highlight w:val="none"/>
        </w:rPr>
        <w:t>投标文件应按照</w:t>
      </w:r>
      <w:r>
        <w:rPr>
          <w:rFonts w:hint="eastAsia" w:ascii="宋体" w:hAnsi="宋体" w:eastAsia="宋体" w:cs="Times New Roman"/>
          <w:bCs/>
          <w:color w:val="auto"/>
          <w:kern w:val="2"/>
          <w:sz w:val="24"/>
          <w:szCs w:val="24"/>
          <w:highlight w:val="none"/>
          <w:lang w:eastAsia="zh-CN"/>
        </w:rPr>
        <w:t>广州交易集团有限公司（广州公共资源交易中心）网站</w:t>
      </w:r>
      <w:r>
        <w:rPr>
          <w:rFonts w:hint="eastAsia" w:ascii="宋体" w:hAnsi="宋体" w:eastAsia="宋体" w:cs="Times New Roman"/>
          <w:bCs/>
          <w:color w:val="auto"/>
          <w:kern w:val="2"/>
          <w:sz w:val="24"/>
          <w:szCs w:val="24"/>
          <w:highlight w:val="none"/>
        </w:rPr>
        <w:t>关于全流程电子化项目的相关指南进行编制。如因不按上述编排要求编制而所引起系统无法检索、读取相关信息时，其后果将由投标人自行承担。</w:t>
      </w:r>
    </w:p>
    <w:p>
      <w:pPr>
        <w:pStyle w:val="17"/>
        <w:spacing w:after="0" w:line="360" w:lineRule="auto"/>
        <w:ind w:firstLine="480" w:firstLineChars="200"/>
        <w:rPr>
          <w:rFonts w:ascii="宋体" w:hAnsi="宋体" w:eastAsia="宋体"/>
          <w:i/>
          <w:color w:val="auto"/>
          <w:sz w:val="24"/>
          <w:highlight w:val="none"/>
        </w:rPr>
      </w:pPr>
      <w:r>
        <w:rPr>
          <w:rFonts w:hint="eastAsia" w:ascii="宋体" w:hAnsi="宋体" w:eastAsia="宋体"/>
          <w:i/>
          <w:color w:val="auto"/>
          <w:sz w:val="24"/>
          <w:highlight w:val="none"/>
        </w:rPr>
        <w:t>（</w:t>
      </w:r>
      <w:r>
        <w:rPr>
          <w:rFonts w:hint="eastAsia" w:ascii="宋体" w:hAnsi="宋体" w:eastAsia="宋体"/>
          <w:i/>
          <w:color w:val="auto"/>
          <w:szCs w:val="21"/>
          <w:highlight w:val="none"/>
        </w:rPr>
        <w:t>给排水项目投标文件按交易中心的投标文件制作工具编制</w:t>
      </w:r>
      <w:r>
        <w:rPr>
          <w:rFonts w:hint="eastAsia" w:ascii="宋体" w:hAnsi="宋体" w:eastAsia="宋体"/>
          <w:i/>
          <w:color w:val="auto"/>
          <w:sz w:val="24"/>
          <w:highlight w:val="none"/>
        </w:rPr>
        <w:t>）</w:t>
      </w:r>
    </w:p>
    <w:p>
      <w:pPr>
        <w:pStyle w:val="17"/>
        <w:spacing w:after="0" w:line="360" w:lineRule="auto"/>
        <w:ind w:firstLine="482" w:firstLineChars="200"/>
        <w:rPr>
          <w:rFonts w:ascii="宋体" w:hAnsi="宋体" w:eastAsia="宋体"/>
          <w:b/>
          <w:bCs/>
          <w:color w:val="auto"/>
          <w:sz w:val="24"/>
          <w:highlight w:val="none"/>
        </w:rPr>
      </w:pPr>
    </w:p>
    <w:p>
      <w:pPr>
        <w:jc w:val="center"/>
        <w:outlineLvl w:val="3"/>
        <w:rPr>
          <w:rFonts w:ascii="宋体" w:hAnsi="宋体"/>
          <w:b/>
          <w:color w:val="auto"/>
          <w:sz w:val="30"/>
          <w:szCs w:val="30"/>
          <w:highlight w:val="none"/>
        </w:rPr>
      </w:pPr>
      <w:bookmarkStart w:id="195" w:name="_Toc101777615"/>
      <w:bookmarkStart w:id="196" w:name="_Toc262229166"/>
      <w:r>
        <w:rPr>
          <w:rFonts w:hint="eastAsia" w:ascii="宋体" w:hAnsi="宋体"/>
          <w:b/>
          <w:color w:val="auto"/>
          <w:sz w:val="30"/>
          <w:szCs w:val="30"/>
          <w:highlight w:val="none"/>
        </w:rPr>
        <w:t>（四）投标文件的递交</w:t>
      </w:r>
      <w:bookmarkEnd w:id="195"/>
      <w:bookmarkEnd w:id="196"/>
    </w:p>
    <w:p>
      <w:pPr>
        <w:pStyle w:val="17"/>
        <w:spacing w:after="0" w:line="360" w:lineRule="auto"/>
        <w:ind w:firstLine="482" w:firstLineChars="200"/>
        <w:rPr>
          <w:rFonts w:hint="eastAsia" w:ascii="宋体" w:hAnsi="宋体" w:eastAsia="宋体"/>
          <w:b/>
          <w:bCs/>
          <w:color w:val="auto"/>
          <w:sz w:val="24"/>
          <w:highlight w:val="none"/>
          <w:lang w:eastAsia="zh-CN"/>
        </w:rPr>
      </w:pPr>
      <w:r>
        <w:rPr>
          <w:rFonts w:hint="eastAsia" w:ascii="宋体" w:hAnsi="宋体" w:eastAsia="宋体"/>
          <w:b/>
          <w:bCs/>
          <w:color w:val="auto"/>
          <w:sz w:val="24"/>
          <w:highlight w:val="none"/>
        </w:rPr>
        <w:t xml:space="preserve">4.1 </w:t>
      </w:r>
      <w:r>
        <w:rPr>
          <w:rFonts w:hint="eastAsia" w:ascii="宋体" w:hAnsi="宋体" w:eastAsia="宋体"/>
          <w:b/>
          <w:color w:val="auto"/>
          <w:sz w:val="24"/>
          <w:szCs w:val="24"/>
          <w:highlight w:val="none"/>
        </w:rPr>
        <w:t>投标文件的密封和标</w:t>
      </w:r>
      <w:r>
        <w:rPr>
          <w:rFonts w:hint="eastAsia" w:ascii="宋体" w:hAnsi="宋体" w:eastAsia="宋体"/>
          <w:b/>
          <w:color w:val="auto"/>
          <w:sz w:val="24"/>
          <w:szCs w:val="24"/>
          <w:highlight w:val="none"/>
          <w:lang w:eastAsia="zh-CN"/>
        </w:rPr>
        <w:t>记</w:t>
      </w:r>
    </w:p>
    <w:p>
      <w:pPr>
        <w:spacing w:line="360" w:lineRule="auto"/>
        <w:ind w:firstLine="480" w:firstLineChars="200"/>
        <w:rPr>
          <w:rFonts w:ascii="宋体" w:hAnsi="宋体"/>
          <w:color w:val="auto"/>
          <w:sz w:val="24"/>
          <w:szCs w:val="21"/>
          <w:highlight w:val="none"/>
        </w:rPr>
      </w:pPr>
      <w:r>
        <w:rPr>
          <w:rFonts w:hint="eastAsia" w:ascii="宋体" w:hAnsi="宋体"/>
          <w:color w:val="auto"/>
          <w:sz w:val="24"/>
          <w:szCs w:val="21"/>
          <w:highlight w:val="none"/>
        </w:rPr>
        <w:t>4.1.1递交的电子投标文件（不含备用光盘）必须进行加密。按照</w:t>
      </w:r>
      <w:r>
        <w:rPr>
          <w:rFonts w:hint="eastAsia" w:ascii="宋体" w:hAnsi="宋体"/>
          <w:color w:val="auto"/>
          <w:sz w:val="24"/>
          <w:szCs w:val="24"/>
          <w:highlight w:val="none"/>
          <w:u w:val="single"/>
          <w:lang w:eastAsia="zh-CN"/>
        </w:rPr>
        <w:t>广州交易集团有限公司（广州公共资源交易中心）</w:t>
      </w:r>
      <w:r>
        <w:rPr>
          <w:rFonts w:hint="eastAsia" w:ascii="宋体" w:hAnsi="宋体"/>
          <w:color w:val="auto"/>
          <w:sz w:val="24"/>
          <w:szCs w:val="21"/>
          <w:highlight w:val="none"/>
          <w:lang w:eastAsia="zh-CN"/>
        </w:rPr>
        <w:t>网站</w:t>
      </w:r>
      <w:r>
        <w:rPr>
          <w:rFonts w:hint="eastAsia" w:ascii="宋体" w:hAnsi="宋体"/>
          <w:color w:val="auto"/>
          <w:sz w:val="24"/>
          <w:szCs w:val="21"/>
          <w:highlight w:val="none"/>
        </w:rPr>
        <w:t>关于全流程电子化项目的相关指南进行操作。。</w:t>
      </w:r>
    </w:p>
    <w:p>
      <w:pPr>
        <w:spacing w:line="360" w:lineRule="auto"/>
        <w:ind w:firstLine="480" w:firstLineChars="200"/>
        <w:rPr>
          <w:rFonts w:hint="eastAsia" w:ascii="宋体" w:hAnsi="宋体" w:eastAsia="宋体"/>
          <w:color w:val="auto"/>
          <w:sz w:val="24"/>
          <w:szCs w:val="24"/>
          <w:highlight w:val="none"/>
          <w:lang w:eastAsia="zh-CN"/>
        </w:rPr>
      </w:pPr>
      <w:r>
        <w:rPr>
          <w:rFonts w:hint="eastAsia" w:ascii="宋体" w:hAnsi="宋体"/>
          <w:color w:val="auto"/>
          <w:sz w:val="24"/>
          <w:szCs w:val="21"/>
          <w:highlight w:val="none"/>
        </w:rPr>
        <w:t>4.1.2未按要求加密的投标文件，</w:t>
      </w:r>
      <w:r>
        <w:rPr>
          <w:rFonts w:hint="eastAsia" w:ascii="宋体" w:hAnsi="宋体"/>
          <w:color w:val="auto"/>
          <w:sz w:val="24"/>
          <w:szCs w:val="24"/>
          <w:highlight w:val="none"/>
          <w:u w:val="single"/>
          <w:lang w:eastAsia="zh-CN"/>
        </w:rPr>
        <w:t>广州交易集团有限公司（广州公共资源交易中心）</w:t>
      </w:r>
      <w:r>
        <w:rPr>
          <w:rFonts w:hint="eastAsia" w:ascii="宋体" w:hAnsi="宋体"/>
          <w:color w:val="auto"/>
          <w:sz w:val="24"/>
          <w:szCs w:val="21"/>
          <w:highlight w:val="none"/>
          <w:lang w:eastAsia="zh-CN"/>
        </w:rPr>
        <w:t>网站交易</w:t>
      </w:r>
      <w:r>
        <w:rPr>
          <w:rFonts w:hint="eastAsia" w:ascii="宋体" w:hAnsi="宋体"/>
          <w:color w:val="auto"/>
          <w:sz w:val="24"/>
          <w:szCs w:val="21"/>
          <w:highlight w:val="none"/>
        </w:rPr>
        <w:t>平台将予以拒收</w:t>
      </w:r>
      <w:r>
        <w:rPr>
          <w:rFonts w:hint="eastAsia" w:ascii="宋体" w:hAnsi="宋体"/>
          <w:color w:val="auto"/>
          <w:sz w:val="24"/>
          <w:szCs w:val="21"/>
          <w:highlight w:val="none"/>
          <w:lang w:eastAsia="zh-CN"/>
        </w:rPr>
        <w:t>。</w:t>
      </w:r>
    </w:p>
    <w:p>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4.2</w:t>
      </w:r>
      <w:r>
        <w:rPr>
          <w:rFonts w:ascii="宋体" w:hAnsi="宋体"/>
          <w:b/>
          <w:bCs/>
          <w:color w:val="auto"/>
          <w:sz w:val="24"/>
          <w:highlight w:val="none"/>
        </w:rPr>
        <w:t xml:space="preserve"> </w:t>
      </w:r>
      <w:r>
        <w:rPr>
          <w:rFonts w:hint="eastAsia" w:ascii="宋体" w:hAnsi="宋体"/>
          <w:b/>
          <w:bCs/>
          <w:color w:val="auto"/>
          <w:sz w:val="24"/>
          <w:highlight w:val="none"/>
        </w:rPr>
        <w:t>投标文件的递交和接收</w:t>
      </w:r>
    </w:p>
    <w:p>
      <w:pPr>
        <w:spacing w:line="360" w:lineRule="auto"/>
        <w:ind w:firstLine="523" w:firstLineChars="218"/>
        <w:rPr>
          <w:rFonts w:ascii="宋体" w:hAnsi="宋体"/>
          <w:color w:val="auto"/>
          <w:sz w:val="24"/>
          <w:szCs w:val="24"/>
          <w:highlight w:val="none"/>
        </w:rPr>
      </w:pPr>
      <w:r>
        <w:rPr>
          <w:rFonts w:hint="eastAsia" w:ascii="宋体" w:hAnsi="宋体"/>
          <w:color w:val="auto"/>
          <w:sz w:val="24"/>
          <w:szCs w:val="24"/>
          <w:highlight w:val="none"/>
        </w:rPr>
        <w:t>4.2.1投标人通过</w:t>
      </w:r>
      <w:r>
        <w:rPr>
          <w:rFonts w:hint="eastAsia" w:ascii="宋体" w:hAnsi="宋体"/>
          <w:color w:val="auto"/>
          <w:sz w:val="24"/>
          <w:szCs w:val="24"/>
          <w:highlight w:val="none"/>
          <w:u w:val="single"/>
          <w:lang w:eastAsia="zh-CN"/>
        </w:rPr>
        <w:t>广州交易集团有限公司（广州公共资源交易中心）网站</w:t>
      </w:r>
      <w:r>
        <w:rPr>
          <w:rFonts w:hint="eastAsia" w:ascii="宋体" w:hAnsi="宋体"/>
          <w:color w:val="auto"/>
          <w:sz w:val="24"/>
          <w:szCs w:val="24"/>
          <w:highlight w:val="none"/>
        </w:rPr>
        <w:t>交易平台递交电子投标文件。</w:t>
      </w:r>
    </w:p>
    <w:p>
      <w:pPr>
        <w:spacing w:line="360" w:lineRule="auto"/>
        <w:ind w:firstLine="523" w:firstLineChars="218"/>
        <w:rPr>
          <w:rFonts w:ascii="宋体" w:hAnsi="宋体"/>
          <w:color w:val="auto"/>
          <w:sz w:val="24"/>
          <w:szCs w:val="24"/>
          <w:highlight w:val="none"/>
        </w:rPr>
      </w:pPr>
      <w:r>
        <w:rPr>
          <w:rFonts w:hint="eastAsia" w:ascii="宋体" w:hAnsi="宋体"/>
          <w:color w:val="auto"/>
          <w:sz w:val="24"/>
          <w:szCs w:val="24"/>
          <w:highlight w:val="none"/>
        </w:rPr>
        <w:t>4.2.2投标人完成电子投标文件上传后，</w:t>
      </w:r>
      <w:r>
        <w:rPr>
          <w:rFonts w:hint="eastAsia" w:ascii="宋体" w:hAnsi="宋体"/>
          <w:color w:val="auto"/>
          <w:sz w:val="24"/>
          <w:szCs w:val="24"/>
          <w:highlight w:val="none"/>
          <w:u w:val="single"/>
          <w:lang w:eastAsia="zh-CN"/>
        </w:rPr>
        <w:t>广州交易集团有限公司（广州公共资源交易中心）网站</w:t>
      </w:r>
      <w:r>
        <w:rPr>
          <w:rFonts w:hint="eastAsia" w:ascii="宋体" w:hAnsi="宋体"/>
          <w:color w:val="auto"/>
          <w:sz w:val="24"/>
          <w:szCs w:val="24"/>
          <w:highlight w:val="none"/>
        </w:rPr>
        <w:t>交易平台即时向投标人发出递交回执通知。递交时间以递交回执通知载明的传输完成时间为准。</w:t>
      </w:r>
    </w:p>
    <w:p>
      <w:pPr>
        <w:spacing w:line="360" w:lineRule="auto"/>
        <w:ind w:firstLine="523" w:firstLineChars="218"/>
        <w:rPr>
          <w:rFonts w:ascii="宋体" w:hAnsi="宋体"/>
          <w:color w:val="auto"/>
          <w:sz w:val="24"/>
          <w:szCs w:val="24"/>
          <w:highlight w:val="none"/>
        </w:rPr>
      </w:pPr>
      <w:r>
        <w:rPr>
          <w:rFonts w:hint="eastAsia" w:ascii="宋体" w:hAnsi="宋体"/>
          <w:color w:val="auto"/>
          <w:sz w:val="24"/>
          <w:szCs w:val="24"/>
          <w:highlight w:val="none"/>
        </w:rPr>
        <w:t>4.2.3逾期送达的电子投标文件，</w:t>
      </w:r>
      <w:r>
        <w:rPr>
          <w:rFonts w:hint="eastAsia" w:ascii="宋体" w:hAnsi="宋体"/>
          <w:color w:val="auto"/>
          <w:sz w:val="24"/>
          <w:szCs w:val="24"/>
          <w:highlight w:val="none"/>
          <w:u w:val="single"/>
          <w:lang w:eastAsia="zh-CN"/>
        </w:rPr>
        <w:t>广州交易集团有限公司（广州公共资源交易中心）网站</w:t>
      </w:r>
      <w:r>
        <w:rPr>
          <w:rFonts w:hint="eastAsia" w:ascii="宋体" w:hAnsi="宋体"/>
          <w:color w:val="auto"/>
          <w:sz w:val="24"/>
          <w:szCs w:val="24"/>
          <w:highlight w:val="none"/>
        </w:rPr>
        <w:t>交易平台将予以拒收。</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4.2</w:t>
      </w:r>
      <w:r>
        <w:rPr>
          <w:rFonts w:hint="eastAsia" w:ascii="宋体" w:hAnsi="宋体"/>
          <w:color w:val="auto"/>
          <w:sz w:val="24"/>
          <w:highlight w:val="none"/>
        </w:rPr>
        <w:t xml:space="preserve">.4 </w:t>
      </w:r>
      <w:r>
        <w:rPr>
          <w:rFonts w:hint="eastAsia" w:ascii="宋体" w:hAnsi="宋体"/>
          <w:color w:val="auto"/>
          <w:sz w:val="24"/>
          <w:szCs w:val="24"/>
          <w:highlight w:val="none"/>
        </w:rPr>
        <w:t>投标截止前，招标人拒绝接收符合条件的投标文件，投标人可向招标监督机构投诉。</w:t>
      </w:r>
    </w:p>
    <w:p>
      <w:pPr>
        <w:spacing w:line="360" w:lineRule="auto"/>
        <w:ind w:firstLine="480" w:firstLineChars="200"/>
        <w:rPr>
          <w:rFonts w:ascii="宋体" w:hAnsi="宋体"/>
          <w:b/>
          <w:bCs/>
          <w:color w:val="auto"/>
          <w:sz w:val="24"/>
          <w:highlight w:val="none"/>
        </w:rPr>
      </w:pPr>
      <w:r>
        <w:rPr>
          <w:rFonts w:hint="eastAsia" w:ascii="宋体" w:hAnsi="宋体"/>
          <w:color w:val="auto"/>
          <w:sz w:val="24"/>
          <w:szCs w:val="24"/>
          <w:highlight w:val="none"/>
        </w:rPr>
        <w:t>4.3</w:t>
      </w:r>
      <w:r>
        <w:rPr>
          <w:rFonts w:ascii="宋体" w:hAnsi="宋体"/>
          <w:color w:val="auto"/>
          <w:sz w:val="24"/>
          <w:szCs w:val="24"/>
          <w:highlight w:val="none"/>
        </w:rPr>
        <w:t xml:space="preserve"> </w:t>
      </w:r>
      <w:r>
        <w:rPr>
          <w:rFonts w:hint="eastAsia" w:ascii="宋体" w:hAnsi="宋体"/>
          <w:b/>
          <w:bCs/>
          <w:color w:val="auto"/>
          <w:sz w:val="24"/>
          <w:highlight w:val="none"/>
        </w:rPr>
        <w:t>投标文件递交的截止时间</w:t>
      </w:r>
    </w:p>
    <w:p>
      <w:pPr>
        <w:spacing w:line="360" w:lineRule="auto"/>
        <w:ind w:firstLine="480" w:firstLineChars="200"/>
        <w:rPr>
          <w:rFonts w:ascii="宋体" w:hAnsi="宋体"/>
          <w:b/>
          <w:bCs/>
          <w:color w:val="auto"/>
          <w:sz w:val="24"/>
          <w:highlight w:val="none"/>
        </w:rPr>
      </w:pPr>
      <w:r>
        <w:rPr>
          <w:rFonts w:hint="eastAsia" w:ascii="宋体" w:hAnsi="宋体"/>
          <w:color w:val="auto"/>
          <w:sz w:val="24"/>
          <w:szCs w:val="24"/>
          <w:highlight w:val="none"/>
        </w:rPr>
        <w:t>4.3</w:t>
      </w:r>
      <w:r>
        <w:rPr>
          <w:rFonts w:hint="eastAsia" w:ascii="宋体" w:hAnsi="宋体"/>
          <w:color w:val="auto"/>
          <w:sz w:val="24"/>
          <w:highlight w:val="none"/>
        </w:rPr>
        <w:t>.1投标人应在4.2.1所述的时间前递交投标文件。截止时间以</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电子评标系统服务器从中国科学院国家授时中心取得的北京时间为准。</w:t>
      </w:r>
    </w:p>
    <w:p>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4.3</w:t>
      </w:r>
      <w:r>
        <w:rPr>
          <w:rFonts w:hint="eastAsia" w:ascii="宋体" w:hAnsi="宋体"/>
          <w:color w:val="auto"/>
          <w:sz w:val="24"/>
          <w:highlight w:val="none"/>
        </w:rPr>
        <w:t>.2招标人可按本须知第</w:t>
      </w:r>
      <w:r>
        <w:rPr>
          <w:rFonts w:hint="eastAsia" w:ascii="宋体" w:hAnsi="宋体"/>
          <w:color w:val="auto"/>
          <w:sz w:val="24"/>
          <w:highlight w:val="none"/>
          <w:u w:val="single"/>
        </w:rPr>
        <w:t>2.</w:t>
      </w:r>
      <w:r>
        <w:rPr>
          <w:rFonts w:hint="eastAsia" w:ascii="宋体" w:hAnsi="宋体"/>
          <w:color w:val="auto"/>
          <w:sz w:val="24"/>
          <w:highlight w:val="none"/>
          <w:u w:val="single"/>
          <w:lang w:val="en-US" w:eastAsia="zh-CN"/>
        </w:rPr>
        <w:t>3</w:t>
      </w:r>
      <w:r>
        <w:rPr>
          <w:rFonts w:hint="eastAsia" w:ascii="宋体" w:hAnsi="宋体"/>
          <w:color w:val="auto"/>
          <w:sz w:val="24"/>
          <w:highlight w:val="none"/>
        </w:rPr>
        <w:t>条规定以招标文件修改的方式，酌情延长递交投标文件的截止时间。在此情况下，投标人的所有权利和义务以及投标人受制约的截止时间，均以延长后新的投标截止时间为准。</w:t>
      </w:r>
    </w:p>
    <w:p>
      <w:pPr>
        <w:spacing w:line="360" w:lineRule="auto"/>
        <w:rPr>
          <w:rFonts w:ascii="宋体" w:hAnsi="宋体"/>
          <w:color w:val="auto"/>
          <w:sz w:val="2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u w:val="single"/>
        </w:rPr>
        <w:t xml:space="preserve"> 4.3</w:t>
      </w:r>
      <w:r>
        <w:rPr>
          <w:rFonts w:hint="eastAsia" w:ascii="宋体" w:hAnsi="宋体"/>
          <w:color w:val="auto"/>
          <w:sz w:val="24"/>
          <w:highlight w:val="none"/>
          <w:u w:val="single"/>
        </w:rPr>
        <w:t>.3</w:t>
      </w:r>
      <w:r>
        <w:rPr>
          <w:rFonts w:hint="eastAsia" w:ascii="宋体" w:hAnsi="宋体" w:eastAsia="宋体" w:cs="宋体"/>
          <w:color w:val="auto"/>
          <w:sz w:val="24"/>
          <w:highlight w:val="none"/>
          <w:u w:val="single"/>
        </w:rPr>
        <w:t>当投标登记或递交投标文件或通过资格审查或经评议有效投标的投标人不足3名时，重新组织招标。</w:t>
      </w:r>
    </w:p>
    <w:p>
      <w:pPr>
        <w:spacing w:line="360" w:lineRule="auto"/>
        <w:ind w:firstLine="480" w:firstLineChars="200"/>
        <w:rPr>
          <w:rFonts w:ascii="宋体" w:hAnsi="宋体"/>
          <w:b/>
          <w:bCs/>
          <w:color w:val="auto"/>
          <w:sz w:val="24"/>
          <w:highlight w:val="none"/>
        </w:rPr>
      </w:pPr>
      <w:r>
        <w:rPr>
          <w:rFonts w:hint="eastAsia" w:ascii="宋体" w:hAnsi="宋体"/>
          <w:color w:val="auto"/>
          <w:sz w:val="24"/>
          <w:szCs w:val="24"/>
          <w:highlight w:val="none"/>
        </w:rPr>
        <w:t>4.4</w:t>
      </w:r>
      <w:r>
        <w:rPr>
          <w:rFonts w:hint="eastAsia" w:ascii="宋体" w:hAnsi="宋体"/>
          <w:b/>
          <w:bCs/>
          <w:color w:val="auto"/>
          <w:sz w:val="24"/>
          <w:highlight w:val="none"/>
        </w:rPr>
        <w:t xml:space="preserve"> 迟交的投标文件</w:t>
      </w:r>
    </w:p>
    <w:p>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4.4</w:t>
      </w:r>
      <w:r>
        <w:rPr>
          <w:rFonts w:hint="eastAsia" w:ascii="宋体" w:hAnsi="宋体"/>
          <w:color w:val="auto"/>
          <w:sz w:val="24"/>
          <w:highlight w:val="none"/>
        </w:rPr>
        <w:t>.1本须知前附表第4.3.1项规定的投标截止时间后送达的电子投标文件，</w:t>
      </w:r>
      <w:r>
        <w:rPr>
          <w:rFonts w:hint="eastAsia" w:ascii="宋体" w:hAnsi="宋体"/>
          <w:color w:val="auto"/>
          <w:sz w:val="24"/>
          <w:szCs w:val="24"/>
          <w:highlight w:val="none"/>
          <w:u w:val="single"/>
          <w:lang w:eastAsia="zh-CN"/>
        </w:rPr>
        <w:t>广州交易集团有限公司（广州公共资源交易中心）网站交易</w:t>
      </w:r>
      <w:r>
        <w:rPr>
          <w:rFonts w:hint="eastAsia" w:ascii="宋体" w:hAnsi="宋体"/>
          <w:color w:val="auto"/>
          <w:sz w:val="24"/>
          <w:highlight w:val="none"/>
        </w:rPr>
        <w:t>平台将予以拒收。</w:t>
      </w:r>
    </w:p>
    <w:p>
      <w:pPr>
        <w:spacing w:line="360" w:lineRule="auto"/>
        <w:ind w:firstLine="480" w:firstLineChars="200"/>
        <w:rPr>
          <w:rFonts w:ascii="宋体" w:hAnsi="宋体"/>
          <w:b/>
          <w:bCs/>
          <w:color w:val="auto"/>
          <w:sz w:val="24"/>
          <w:highlight w:val="none"/>
        </w:rPr>
      </w:pPr>
      <w:r>
        <w:rPr>
          <w:rFonts w:hint="eastAsia" w:ascii="宋体" w:hAnsi="宋体"/>
          <w:color w:val="auto"/>
          <w:sz w:val="24"/>
          <w:szCs w:val="24"/>
          <w:highlight w:val="none"/>
        </w:rPr>
        <w:t>4.5</w:t>
      </w:r>
      <w:r>
        <w:rPr>
          <w:rFonts w:hint="eastAsia" w:ascii="宋体" w:hAnsi="宋体"/>
          <w:b/>
          <w:bCs/>
          <w:color w:val="auto"/>
          <w:sz w:val="24"/>
          <w:highlight w:val="none"/>
        </w:rPr>
        <w:t xml:space="preserve"> 投标文件的补充、修改与撤回</w:t>
      </w:r>
    </w:p>
    <w:p>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4.5</w:t>
      </w:r>
      <w:r>
        <w:rPr>
          <w:rFonts w:hint="eastAsia" w:ascii="宋体" w:hAnsi="宋体"/>
          <w:color w:val="auto"/>
          <w:sz w:val="24"/>
          <w:highlight w:val="none"/>
        </w:rPr>
        <w:t>.1 投标人在递交投标文件以后，在规定的投标截止时间之前，可以修改或撤回已递交的投标文件。</w:t>
      </w:r>
    </w:p>
    <w:p>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4.5</w:t>
      </w:r>
      <w:r>
        <w:rPr>
          <w:rFonts w:hint="eastAsia" w:ascii="宋体" w:hAnsi="宋体"/>
          <w:color w:val="auto"/>
          <w:sz w:val="24"/>
          <w:highlight w:val="none"/>
        </w:rPr>
        <w:t>.</w:t>
      </w:r>
      <w:r>
        <w:rPr>
          <w:rFonts w:hint="eastAsia" w:ascii="宋体" w:hAnsi="宋体"/>
          <w:color w:val="auto"/>
          <w:sz w:val="24"/>
          <w:highlight w:val="none"/>
          <w:lang w:val="en-US" w:eastAsia="zh-CN"/>
        </w:rPr>
        <w:t>2</w:t>
      </w:r>
      <w:r>
        <w:rPr>
          <w:rFonts w:hint="eastAsia" w:ascii="宋体" w:hAnsi="宋体"/>
          <w:color w:val="auto"/>
          <w:sz w:val="24"/>
          <w:highlight w:val="none"/>
        </w:rPr>
        <w:t xml:space="preserve"> 在投标截止时间之后，投标人不得补充、修改和更换投标文件。</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4.5</w:t>
      </w:r>
      <w:r>
        <w:rPr>
          <w:rFonts w:hint="eastAsia" w:ascii="宋体" w:hAnsi="宋体"/>
          <w:color w:val="auto"/>
          <w:sz w:val="24"/>
          <w:highlight w:val="none"/>
        </w:rPr>
        <w:t>.</w:t>
      </w:r>
      <w:r>
        <w:rPr>
          <w:rFonts w:hint="eastAsia" w:ascii="宋体" w:hAnsi="宋体"/>
          <w:color w:val="auto"/>
          <w:sz w:val="24"/>
          <w:highlight w:val="none"/>
          <w:lang w:val="en-US" w:eastAsia="zh-CN"/>
        </w:rPr>
        <w:t>3</w:t>
      </w:r>
      <w:r>
        <w:rPr>
          <w:rFonts w:hint="eastAsia" w:ascii="宋体" w:hAnsi="宋体"/>
          <w:color w:val="auto"/>
          <w:sz w:val="24"/>
          <w:highlight w:val="none"/>
        </w:rPr>
        <w:t>在投标截止后，投标人在投标文件格式中规定的有效期终止日前，投标人不能撤</w:t>
      </w:r>
      <w:r>
        <w:rPr>
          <w:rFonts w:hint="eastAsia" w:ascii="宋体" w:hAnsi="宋体"/>
          <w:color w:val="auto"/>
          <w:sz w:val="24"/>
          <w:highlight w:val="none"/>
          <w:lang w:val="en-US" w:eastAsia="zh-CN"/>
        </w:rPr>
        <w:t>销</w:t>
      </w:r>
      <w:r>
        <w:rPr>
          <w:rFonts w:hint="eastAsia" w:ascii="宋体" w:hAnsi="宋体"/>
          <w:color w:val="auto"/>
          <w:sz w:val="24"/>
          <w:highlight w:val="none"/>
        </w:rPr>
        <w:t>投标文件，否则其投标保证金将被没收，且招标人有权就其撤</w:t>
      </w:r>
      <w:r>
        <w:rPr>
          <w:rFonts w:hint="eastAsia" w:ascii="宋体" w:hAnsi="宋体"/>
          <w:color w:val="auto"/>
          <w:sz w:val="24"/>
          <w:highlight w:val="none"/>
          <w:lang w:val="en-US" w:eastAsia="zh-CN"/>
        </w:rPr>
        <w:t>销</w:t>
      </w:r>
      <w:r>
        <w:rPr>
          <w:rFonts w:hint="eastAsia" w:ascii="宋体" w:hAnsi="宋体"/>
          <w:color w:val="auto"/>
          <w:sz w:val="24"/>
          <w:highlight w:val="none"/>
        </w:rPr>
        <w:t>行为报告政府主管部门载入不良信用记录。</w:t>
      </w:r>
    </w:p>
    <w:p>
      <w:pPr>
        <w:snapToGrid w:val="0"/>
        <w:spacing w:line="360" w:lineRule="auto"/>
        <w:ind w:firstLine="480" w:firstLineChars="200"/>
        <w:rPr>
          <w:rFonts w:ascii="宋体" w:hAnsi="宋体"/>
          <w:b/>
          <w:color w:val="auto"/>
          <w:sz w:val="24"/>
          <w:highlight w:val="none"/>
        </w:rPr>
      </w:pPr>
      <w:r>
        <w:rPr>
          <w:rFonts w:hint="eastAsia" w:ascii="宋体" w:hAnsi="宋体"/>
          <w:color w:val="auto"/>
          <w:sz w:val="24"/>
          <w:szCs w:val="24"/>
          <w:highlight w:val="none"/>
        </w:rPr>
        <w:t>4.6</w:t>
      </w:r>
      <w:r>
        <w:rPr>
          <w:rFonts w:hint="eastAsia" w:ascii="宋体" w:hAnsi="宋体"/>
          <w:b/>
          <w:color w:val="auto"/>
          <w:sz w:val="24"/>
          <w:highlight w:val="none"/>
        </w:rPr>
        <w:t xml:space="preserve"> 投标信息录入</w:t>
      </w:r>
    </w:p>
    <w:p>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4.6</w:t>
      </w:r>
      <w:r>
        <w:rPr>
          <w:rFonts w:hint="eastAsia" w:ascii="宋体" w:hAnsi="宋体"/>
          <w:color w:val="auto"/>
          <w:sz w:val="24"/>
          <w:highlight w:val="none"/>
        </w:rPr>
        <w:t>.1 投标人应在上传电子投标文件前将</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交易服务系统要求的相关信息在</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交易服务系统中录入完毕。</w:t>
      </w:r>
    </w:p>
    <w:p>
      <w:pPr>
        <w:spacing w:line="360" w:lineRule="auto"/>
        <w:ind w:firstLine="480" w:firstLineChars="200"/>
        <w:rPr>
          <w:rFonts w:ascii="宋体" w:hAnsi="宋体"/>
          <w:b/>
          <w:color w:val="auto"/>
          <w:sz w:val="24"/>
          <w:highlight w:val="none"/>
        </w:rPr>
      </w:pPr>
      <w:r>
        <w:rPr>
          <w:rFonts w:hint="eastAsia" w:ascii="宋体" w:hAnsi="宋体"/>
          <w:color w:val="auto"/>
          <w:sz w:val="24"/>
          <w:szCs w:val="24"/>
          <w:highlight w:val="none"/>
        </w:rPr>
        <w:t>4.7</w:t>
      </w:r>
      <w:r>
        <w:rPr>
          <w:rFonts w:hint="eastAsia" w:ascii="宋体" w:hAnsi="宋体"/>
          <w:b/>
          <w:color w:val="auto"/>
          <w:sz w:val="24"/>
          <w:highlight w:val="none"/>
        </w:rPr>
        <w:t xml:space="preserve"> 投标文件的解密</w:t>
      </w:r>
    </w:p>
    <w:p>
      <w:pPr>
        <w:tabs>
          <w:tab w:val="left" w:pos="105"/>
        </w:tabs>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4.7</w:t>
      </w:r>
      <w:r>
        <w:rPr>
          <w:rFonts w:hint="eastAsia" w:ascii="宋体" w:hAnsi="宋体" w:cs="仿宋_GB2312"/>
          <w:color w:val="auto"/>
          <w:sz w:val="24"/>
          <w:szCs w:val="24"/>
          <w:highlight w:val="none"/>
        </w:rPr>
        <w:t>.</w:t>
      </w:r>
      <w:r>
        <w:rPr>
          <w:rFonts w:ascii="宋体" w:hAnsi="宋体" w:cs="仿宋_GB2312"/>
          <w:color w:val="auto"/>
          <w:sz w:val="24"/>
          <w:szCs w:val="24"/>
          <w:highlight w:val="none"/>
        </w:rPr>
        <w:t>1</w:t>
      </w:r>
      <w:r>
        <w:rPr>
          <w:rFonts w:hint="eastAsia"/>
          <w:color w:val="auto"/>
          <w:sz w:val="24"/>
          <w:highlight w:val="none"/>
        </w:rPr>
        <w:t>投标人必须在</w:t>
      </w:r>
      <w:r>
        <w:rPr>
          <w:rFonts w:hint="eastAsia"/>
          <w:color w:val="auto"/>
          <w:sz w:val="24"/>
          <w:highlight w:val="none"/>
          <w:lang w:eastAsia="zh-CN"/>
        </w:rPr>
        <w:t>投标人须知</w:t>
      </w:r>
      <w:r>
        <w:rPr>
          <w:rFonts w:hint="eastAsia"/>
          <w:color w:val="auto"/>
          <w:sz w:val="24"/>
          <w:highlight w:val="none"/>
        </w:rPr>
        <w:t>前附表规定的时间内对</w:t>
      </w:r>
      <w:r>
        <w:rPr>
          <w:rFonts w:hint="eastAsia" w:ascii="宋体" w:hAnsi="宋体"/>
          <w:color w:val="auto"/>
          <w:sz w:val="24"/>
          <w:highlight w:val="none"/>
        </w:rPr>
        <w:t>投标文件进行解密。</w:t>
      </w:r>
      <w:r>
        <w:rPr>
          <w:rFonts w:hint="eastAsia" w:ascii="宋体" w:hAnsi="宋体" w:cs="仿宋_GB2312"/>
          <w:color w:val="auto"/>
          <w:sz w:val="24"/>
          <w:szCs w:val="24"/>
          <w:highlight w:val="none"/>
        </w:rPr>
        <w:t>因投标人原因造成投标文件未解密或未在规定的时间内解密的，视为撤销其投标文件。</w:t>
      </w:r>
    </w:p>
    <w:p>
      <w:pPr>
        <w:jc w:val="center"/>
        <w:outlineLvl w:val="3"/>
        <w:rPr>
          <w:rFonts w:ascii="宋体" w:hAnsi="宋体"/>
          <w:b/>
          <w:color w:val="auto"/>
          <w:sz w:val="30"/>
          <w:szCs w:val="30"/>
          <w:highlight w:val="none"/>
        </w:rPr>
      </w:pPr>
      <w:r>
        <w:rPr>
          <w:rFonts w:hint="eastAsia" w:ascii="宋体" w:hAnsi="宋体"/>
          <w:b/>
          <w:color w:val="auto"/>
          <w:sz w:val="30"/>
          <w:szCs w:val="30"/>
          <w:highlight w:val="none"/>
        </w:rPr>
        <w:t>（五）开标</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5.1 开标时间和地点</w:t>
      </w:r>
    </w:p>
    <w:p>
      <w:pPr>
        <w:spacing w:line="360" w:lineRule="auto"/>
        <w:ind w:firstLine="480" w:firstLineChars="200"/>
        <w:jc w:val="left"/>
        <w:rPr>
          <w:color w:val="auto"/>
          <w:sz w:val="24"/>
          <w:highlight w:val="none"/>
        </w:rPr>
      </w:pPr>
      <w:r>
        <w:rPr>
          <w:rFonts w:hint="eastAsia"/>
          <w:color w:val="auto"/>
          <w:sz w:val="24"/>
          <w:highlight w:val="none"/>
        </w:rPr>
        <w:t>5.1.1招标人按</w:t>
      </w:r>
      <w:r>
        <w:rPr>
          <w:rFonts w:hint="eastAsia"/>
          <w:color w:val="auto"/>
          <w:sz w:val="24"/>
          <w:highlight w:val="none"/>
          <w:lang w:eastAsia="zh-CN"/>
        </w:rPr>
        <w:t>投标人须知</w:t>
      </w:r>
      <w:r>
        <w:rPr>
          <w:rFonts w:hint="eastAsia"/>
          <w:color w:val="auto"/>
          <w:sz w:val="24"/>
          <w:highlight w:val="none"/>
        </w:rPr>
        <w:t>前附表规定的时间和地点公开开标，并邀请所有投标人参加。</w:t>
      </w:r>
      <w:r>
        <w:rPr>
          <w:rFonts w:hint="eastAsia"/>
          <w:color w:val="auto"/>
          <w:sz w:val="24"/>
          <w:highlight w:val="none"/>
          <w:lang w:eastAsia="zh-CN"/>
        </w:rPr>
        <w:t>投标人也可选择参加在线开标，具体按照交易平台相关指南进行操作。</w:t>
      </w:r>
      <w:r>
        <w:rPr>
          <w:rFonts w:hint="eastAsia"/>
          <w:color w:val="auto"/>
          <w:sz w:val="24"/>
          <w:highlight w:val="none"/>
        </w:rPr>
        <w:t>投标人不派代表</w:t>
      </w:r>
      <w:r>
        <w:rPr>
          <w:rFonts w:hint="eastAsia"/>
          <w:color w:val="auto"/>
          <w:sz w:val="24"/>
          <w:highlight w:val="none"/>
          <w:lang w:eastAsia="zh-CN"/>
        </w:rPr>
        <w:t>参加</w:t>
      </w:r>
      <w:r>
        <w:rPr>
          <w:rFonts w:hint="eastAsia"/>
          <w:color w:val="auto"/>
          <w:sz w:val="24"/>
          <w:highlight w:val="none"/>
        </w:rPr>
        <w:t>开标会，则视其为放弃参与开标的权利，认可开标结果。截标后，开标开始时间因故推迟的，相关评标信息仍以原定的开标开始时间的信息为准。</w:t>
      </w:r>
    </w:p>
    <w:p>
      <w:pPr>
        <w:spacing w:line="360" w:lineRule="auto"/>
        <w:ind w:firstLine="480" w:firstLineChars="200"/>
        <w:jc w:val="left"/>
        <w:rPr>
          <w:rFonts w:ascii="宋体" w:hAnsi="宋体" w:cs="仿宋_GB2312"/>
          <w:color w:val="auto"/>
          <w:sz w:val="24"/>
          <w:szCs w:val="24"/>
          <w:highlight w:val="none"/>
        </w:rPr>
      </w:pPr>
      <w:r>
        <w:rPr>
          <w:rFonts w:hint="eastAsia"/>
          <w:color w:val="auto"/>
          <w:sz w:val="24"/>
          <w:highlight w:val="none"/>
        </w:rPr>
        <w:t>5.1.2招标人在招标文件要求提交投标文件的截止时间前收到</w:t>
      </w:r>
      <w:r>
        <w:rPr>
          <w:rFonts w:hint="eastAsia"/>
          <w:color w:val="auto"/>
          <w:sz w:val="24"/>
          <w:highlight w:val="none"/>
          <w:u w:val="single"/>
          <w:lang w:val="en-US" w:eastAsia="zh-CN"/>
        </w:rPr>
        <w:t>并</w:t>
      </w:r>
      <w:r>
        <w:rPr>
          <w:rFonts w:hint="eastAsia"/>
          <w:color w:val="auto"/>
          <w:sz w:val="24"/>
          <w:highlight w:val="none"/>
          <w:u w:val="single"/>
        </w:rPr>
        <w:t>完成投标人解密</w:t>
      </w:r>
      <w:r>
        <w:rPr>
          <w:rFonts w:hint="eastAsia"/>
          <w:color w:val="auto"/>
          <w:sz w:val="24"/>
          <w:highlight w:val="none"/>
        </w:rPr>
        <w:t>的投标文件，开标时都当众予以解密、公布</w:t>
      </w:r>
      <w:r>
        <w:rPr>
          <w:rFonts w:hint="eastAsia" w:ascii="宋体" w:hAnsi="宋体" w:cs="仿宋_GB2312"/>
          <w:color w:val="auto"/>
          <w:sz w:val="24"/>
          <w:szCs w:val="24"/>
          <w:highlight w:val="none"/>
        </w:rPr>
        <w:t>。</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5.2 开标程序</w:t>
      </w:r>
    </w:p>
    <w:p>
      <w:pPr>
        <w:tabs>
          <w:tab w:val="left" w:pos="105"/>
        </w:tabs>
        <w:spacing w:line="360" w:lineRule="auto"/>
        <w:ind w:firstLine="480" w:firstLineChars="200"/>
        <w:rPr>
          <w:rFonts w:hint="default" w:ascii="宋体" w:hAnsi="宋体" w:eastAsia="宋体" w:cs="仿宋_GB2312"/>
          <w:color w:val="auto"/>
          <w:sz w:val="24"/>
          <w:szCs w:val="24"/>
          <w:highlight w:val="none"/>
          <w:lang w:val="en-US" w:eastAsia="zh-CN"/>
        </w:rPr>
      </w:pPr>
      <w:r>
        <w:rPr>
          <w:rFonts w:hint="eastAsia" w:ascii="宋体" w:hAnsi="宋体" w:cs="仿宋_GB2312"/>
          <w:color w:val="auto"/>
          <w:sz w:val="24"/>
          <w:szCs w:val="24"/>
          <w:highlight w:val="none"/>
          <w:lang w:val="en-US" w:eastAsia="zh-CN"/>
        </w:rPr>
        <w:t>5.2.1在投标截止时间后半小时内，投标人通过广州交易集团有限公司（广州公共资源交易中心）网站交易平台对已递交的电子投标文件进行解密。投标人完成解密后，再由招标人进行解密。解密完成后，公布招标项目名称、投标人名称及其他内容。</w:t>
      </w:r>
    </w:p>
    <w:p>
      <w:pPr>
        <w:tabs>
          <w:tab w:val="left" w:pos="105"/>
        </w:tabs>
        <w:spacing w:line="360" w:lineRule="auto"/>
        <w:ind w:firstLine="480" w:firstLineChars="200"/>
        <w:rPr>
          <w:rFonts w:ascii="宋体" w:hAnsi="宋体" w:cs="仿宋_GB2312"/>
          <w:color w:val="auto"/>
          <w:sz w:val="24"/>
          <w:szCs w:val="24"/>
          <w:highlight w:val="none"/>
        </w:rPr>
      </w:pPr>
      <w:r>
        <w:rPr>
          <w:rFonts w:hint="eastAsia" w:ascii="宋体" w:hAnsi="宋体" w:cs="仿宋_GB2312"/>
          <w:color w:val="auto"/>
          <w:sz w:val="24"/>
          <w:szCs w:val="24"/>
          <w:highlight w:val="none"/>
        </w:rPr>
        <w:t>5.2.</w:t>
      </w:r>
      <w:r>
        <w:rPr>
          <w:rFonts w:hint="eastAsia" w:ascii="宋体" w:hAnsi="宋体" w:cs="仿宋_GB2312"/>
          <w:color w:val="auto"/>
          <w:sz w:val="24"/>
          <w:szCs w:val="24"/>
          <w:highlight w:val="none"/>
          <w:lang w:val="en-US" w:eastAsia="zh-CN"/>
        </w:rPr>
        <w:t>2</w:t>
      </w:r>
      <w:r>
        <w:rPr>
          <w:rFonts w:hint="eastAsia" w:ascii="宋体" w:hAnsi="宋体" w:cs="仿宋_GB2312"/>
          <w:color w:val="auto"/>
          <w:sz w:val="24"/>
          <w:szCs w:val="24"/>
          <w:highlight w:val="none"/>
        </w:rPr>
        <w:t>公开摇取评标基准价下浮率（下浮率取值范围在2%~5%，按0.5%设定级差）（</w:t>
      </w:r>
      <w:r>
        <w:rPr>
          <w:rFonts w:hint="eastAsia" w:ascii="宋体" w:hAnsi="宋体"/>
          <w:color w:val="auto"/>
          <w:sz w:val="24"/>
          <w:szCs w:val="24"/>
          <w:highlight w:val="none"/>
        </w:rPr>
        <w:t>经评审的最低投标价法</w:t>
      </w:r>
      <w:r>
        <w:rPr>
          <w:rFonts w:hint="eastAsia" w:ascii="宋体" w:hAnsi="宋体" w:cs="仿宋_GB2312"/>
          <w:color w:val="auto"/>
          <w:sz w:val="24"/>
          <w:szCs w:val="24"/>
          <w:highlight w:val="none"/>
        </w:rPr>
        <w:t>不需要摇评标基准价下浮率）。</w:t>
      </w:r>
    </w:p>
    <w:p>
      <w:pPr>
        <w:tabs>
          <w:tab w:val="left" w:pos="105"/>
        </w:tabs>
        <w:spacing w:line="360" w:lineRule="auto"/>
        <w:ind w:firstLine="480" w:firstLineChars="200"/>
        <w:rPr>
          <w:rFonts w:hint="eastAsia" w:ascii="宋体" w:hAnsi="宋体" w:cs="仿宋_GB2312"/>
          <w:color w:val="auto"/>
          <w:sz w:val="24"/>
          <w:szCs w:val="24"/>
          <w:highlight w:val="none"/>
        </w:rPr>
      </w:pPr>
      <w:r>
        <w:rPr>
          <w:rFonts w:hint="eastAsia" w:ascii="宋体" w:hAnsi="宋体" w:cs="仿宋_GB2312"/>
          <w:color w:val="auto"/>
          <w:sz w:val="24"/>
          <w:szCs w:val="24"/>
          <w:highlight w:val="none"/>
        </w:rPr>
        <w:t>5.2.</w:t>
      </w:r>
      <w:r>
        <w:rPr>
          <w:rFonts w:hint="eastAsia" w:ascii="宋体" w:hAnsi="宋体" w:cs="仿宋_GB2312"/>
          <w:color w:val="auto"/>
          <w:sz w:val="24"/>
          <w:szCs w:val="24"/>
          <w:highlight w:val="none"/>
          <w:lang w:val="en-US" w:eastAsia="zh-CN"/>
        </w:rPr>
        <w:t>3</w:t>
      </w:r>
      <w:r>
        <w:rPr>
          <w:rFonts w:hint="eastAsia" w:ascii="宋体" w:hAnsi="宋体" w:cs="仿宋_GB2312"/>
          <w:color w:val="auto"/>
          <w:sz w:val="24"/>
          <w:szCs w:val="24"/>
          <w:highlight w:val="none"/>
        </w:rPr>
        <w:t>按开标记录表规定的内容进行唱标。</w:t>
      </w:r>
    </w:p>
    <w:p>
      <w:pPr>
        <w:tabs>
          <w:tab w:val="left" w:pos="105"/>
        </w:tabs>
        <w:spacing w:line="360" w:lineRule="auto"/>
        <w:ind w:firstLine="480" w:firstLineChars="200"/>
        <w:rPr>
          <w:rFonts w:ascii="宋体" w:hAnsi="宋体" w:cs="仿宋_GB2312"/>
          <w:color w:val="auto"/>
          <w:sz w:val="24"/>
          <w:szCs w:val="24"/>
          <w:highlight w:val="none"/>
        </w:rPr>
      </w:pPr>
      <w:r>
        <w:rPr>
          <w:rFonts w:hint="eastAsia" w:ascii="宋体" w:hAnsi="宋体" w:cs="仿宋_GB2312"/>
          <w:color w:val="auto"/>
          <w:sz w:val="24"/>
          <w:szCs w:val="24"/>
          <w:highlight w:val="none"/>
        </w:rPr>
        <w:t>5.2.</w:t>
      </w:r>
      <w:r>
        <w:rPr>
          <w:rFonts w:hint="eastAsia" w:ascii="宋体" w:hAnsi="宋体" w:cs="仿宋_GB2312"/>
          <w:color w:val="auto"/>
          <w:sz w:val="24"/>
          <w:szCs w:val="24"/>
          <w:highlight w:val="none"/>
          <w:lang w:val="en-US" w:eastAsia="zh-CN"/>
        </w:rPr>
        <w:t>4</w:t>
      </w:r>
      <w:r>
        <w:rPr>
          <w:rFonts w:hint="eastAsia" w:ascii="宋体" w:hAnsi="宋体" w:cs="仿宋_GB2312"/>
          <w:color w:val="auto"/>
          <w:sz w:val="24"/>
          <w:szCs w:val="24"/>
          <w:highlight w:val="none"/>
        </w:rPr>
        <w:t>投标人代表、招标人代表、监标人、记录人等有关人员在开标记录上签字确认；若有关人员不签字的，不影响开标程序。</w:t>
      </w:r>
    </w:p>
    <w:p>
      <w:pPr>
        <w:tabs>
          <w:tab w:val="left" w:pos="105"/>
        </w:tabs>
        <w:spacing w:line="360" w:lineRule="auto"/>
        <w:ind w:firstLine="480" w:firstLineChars="200"/>
        <w:rPr>
          <w:rFonts w:hint="eastAsia" w:ascii="宋体" w:hAnsi="宋体" w:cs="仿宋_GB2312"/>
          <w:color w:val="auto"/>
          <w:sz w:val="24"/>
          <w:szCs w:val="24"/>
          <w:highlight w:val="none"/>
          <w:lang w:val="en-US" w:eastAsia="zh-CN"/>
        </w:rPr>
      </w:pPr>
      <w:r>
        <w:rPr>
          <w:rFonts w:hint="eastAsia" w:ascii="宋体" w:hAnsi="宋体" w:cs="仿宋_GB2312"/>
          <w:color w:val="auto"/>
          <w:sz w:val="24"/>
          <w:szCs w:val="24"/>
          <w:highlight w:val="none"/>
          <w:lang w:val="en-US" w:eastAsia="zh-CN"/>
        </w:rPr>
        <w:t>5.2.5开标结束。</w:t>
      </w:r>
    </w:p>
    <w:p>
      <w:pPr>
        <w:tabs>
          <w:tab w:val="left" w:pos="105"/>
        </w:tabs>
        <w:spacing w:line="360" w:lineRule="auto"/>
        <w:ind w:firstLine="480" w:firstLineChars="200"/>
        <w:rPr>
          <w:rFonts w:hint="eastAsia" w:ascii="宋体" w:hAnsi="宋体" w:cs="仿宋_GB2312"/>
          <w:color w:val="auto"/>
          <w:sz w:val="24"/>
          <w:szCs w:val="24"/>
          <w:highlight w:val="none"/>
          <w:lang w:val="en-US" w:eastAsia="zh-CN"/>
        </w:rPr>
      </w:pPr>
      <w:r>
        <w:rPr>
          <w:rFonts w:hint="eastAsia" w:ascii="宋体" w:hAnsi="宋体" w:cs="仿宋_GB2312"/>
          <w:color w:val="auto"/>
          <w:sz w:val="24"/>
          <w:szCs w:val="24"/>
          <w:highlight w:val="none"/>
          <w:lang w:val="en-US" w:eastAsia="zh-CN"/>
        </w:rPr>
        <w:t>5.2.6</w:t>
      </w:r>
      <w:r>
        <w:rPr>
          <w:rFonts w:hint="eastAsia" w:ascii="宋体" w:hAnsi="宋体" w:cs="仿宋_GB2312"/>
          <w:color w:val="auto"/>
          <w:sz w:val="24"/>
          <w:szCs w:val="24"/>
          <w:highlight w:val="none"/>
          <w:u w:val="single"/>
          <w:lang w:val="en-US" w:eastAsia="zh-CN"/>
        </w:rPr>
        <w:t>投标截止时间前未完成投标文件传输的或因投标人之外的原因造成投标文件未解密的，视为投标人撤回投标文件。因投标人原因造成投标文件未解密或未在规定的时间内解密的，视为撤销其投标文件。</w:t>
      </w:r>
    </w:p>
    <w:p>
      <w:pPr>
        <w:tabs>
          <w:tab w:val="left" w:pos="105"/>
        </w:tabs>
        <w:spacing w:line="360" w:lineRule="auto"/>
        <w:ind w:firstLine="480" w:firstLineChars="200"/>
        <w:rPr>
          <w:rFonts w:hint="default" w:ascii="宋体" w:hAnsi="宋体" w:cs="仿宋_GB2312"/>
          <w:color w:val="auto"/>
          <w:sz w:val="24"/>
          <w:szCs w:val="24"/>
          <w:highlight w:val="none"/>
          <w:lang w:val="en-US" w:eastAsia="zh-CN"/>
        </w:rPr>
      </w:pPr>
      <w:r>
        <w:rPr>
          <w:rFonts w:hint="eastAsia" w:ascii="宋体" w:hAnsi="宋体" w:cs="仿宋_GB2312"/>
          <w:color w:val="auto"/>
          <w:sz w:val="24"/>
          <w:szCs w:val="24"/>
          <w:highlight w:val="none"/>
          <w:lang w:val="en-US" w:eastAsia="zh-CN"/>
        </w:rPr>
        <w:t>5.2.7开标时，两个（含两个）以上的投标人加密打包投标文件电脑机器特征码一致的，不参与下一程序，并由评标委员会否决其投标。</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5.3 开标异议</w:t>
      </w:r>
    </w:p>
    <w:p>
      <w:pPr>
        <w:pStyle w:val="16"/>
        <w:shd w:val="clear" w:color="auto" w:fill="FFFFFF"/>
        <w:spacing w:before="0" w:beforeAutospacing="0" w:after="0" w:afterAutospacing="0" w:line="360" w:lineRule="auto"/>
        <w:ind w:firstLine="480" w:firstLineChars="200"/>
        <w:rPr>
          <w:rFonts w:hint="eastAsia" w:ascii="宋体" w:hAnsi="宋体"/>
          <w:color w:val="auto"/>
          <w:highlight w:val="none"/>
        </w:rPr>
      </w:pPr>
      <w:r>
        <w:rPr>
          <w:rFonts w:hint="eastAsia" w:ascii="宋体" w:hAnsi="宋体"/>
          <w:color w:val="auto"/>
          <w:highlight w:val="none"/>
        </w:rPr>
        <w:t>5.3.1</w:t>
      </w:r>
      <w:r>
        <w:rPr>
          <w:rFonts w:hint="eastAsia"/>
          <w:color w:val="auto"/>
          <w:sz w:val="24"/>
          <w:highlight w:val="none"/>
          <w:lang w:eastAsia="zh-CN"/>
        </w:rPr>
        <w:t>若投标人代表对开标过程有异议的，参加现场开标的，</w:t>
      </w:r>
      <w:r>
        <w:rPr>
          <w:rFonts w:hint="eastAsia"/>
          <w:color w:val="auto"/>
          <w:sz w:val="24"/>
          <w:highlight w:val="none"/>
        </w:rPr>
        <w:t>应当在开标现场提出，</w:t>
      </w:r>
      <w:r>
        <w:rPr>
          <w:rFonts w:hint="eastAsia"/>
          <w:color w:val="auto"/>
          <w:sz w:val="24"/>
          <w:highlight w:val="none"/>
          <w:lang w:eastAsia="zh-CN"/>
        </w:rPr>
        <w:t>同时出示本人身份证原件，</w:t>
      </w:r>
      <w:r>
        <w:rPr>
          <w:rFonts w:hint="eastAsia"/>
          <w:color w:val="auto"/>
          <w:sz w:val="24"/>
          <w:highlight w:val="none"/>
        </w:rPr>
        <w:t>招标人</w:t>
      </w:r>
      <w:r>
        <w:rPr>
          <w:rFonts w:hint="eastAsia"/>
          <w:color w:val="auto"/>
          <w:sz w:val="24"/>
          <w:highlight w:val="none"/>
          <w:lang w:eastAsia="zh-CN"/>
        </w:rPr>
        <w:t>应当</w:t>
      </w:r>
      <w:r>
        <w:rPr>
          <w:rFonts w:hint="eastAsia"/>
          <w:color w:val="auto"/>
          <w:sz w:val="24"/>
          <w:highlight w:val="none"/>
        </w:rPr>
        <w:t>当场作出答复，并制作记录</w:t>
      </w:r>
      <w:r>
        <w:rPr>
          <w:rFonts w:hint="eastAsia"/>
          <w:color w:val="auto"/>
          <w:sz w:val="24"/>
          <w:highlight w:val="none"/>
          <w:lang w:eastAsia="zh-CN"/>
        </w:rPr>
        <w:t>；参加在线开标的，投标人应通过交易平台在线提出，招标人应通过交易平台答复，答复后方可结束开标</w:t>
      </w:r>
      <w:r>
        <w:rPr>
          <w:rFonts w:hint="eastAsia" w:ascii="宋体" w:hAnsi="宋体"/>
          <w:color w:val="auto"/>
          <w:highlight w:val="none"/>
        </w:rPr>
        <w:t>。</w:t>
      </w:r>
    </w:p>
    <w:p>
      <w:pPr>
        <w:widowControl/>
        <w:shd w:val="clear" w:color="auto" w:fill="auto"/>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5.3.2对开标的异议，招标人应当当场作出答复并予以书面记录，异议成立的，招标人应当及时采取纠正措施，或者提交评标委员会评审确认；异议不成立的，招标人应当当场给予解释说明。</w:t>
      </w:r>
      <w:r>
        <w:rPr>
          <w:rFonts w:hint="eastAsia"/>
          <w:color w:val="auto"/>
          <w:sz w:val="24"/>
          <w:highlight w:val="none"/>
          <w:lang w:eastAsia="zh-CN"/>
        </w:rPr>
        <w:t>投标人未参加开标或在规定的时间内未提出异议的，视为对开标无异议。</w:t>
      </w:r>
    </w:p>
    <w:p>
      <w:pPr>
        <w:widowControl/>
        <w:shd w:val="clear" w:color="auto" w:fill="FFFFFF"/>
        <w:spacing w:line="360" w:lineRule="auto"/>
        <w:ind w:firstLine="640"/>
        <w:jc w:val="left"/>
        <w:rPr>
          <w:rFonts w:ascii="宋体" w:hAnsi="宋体"/>
          <w:color w:val="auto"/>
          <w:sz w:val="24"/>
          <w:szCs w:val="24"/>
          <w:highlight w:val="none"/>
        </w:rPr>
      </w:pPr>
      <w:r>
        <w:rPr>
          <w:rFonts w:hint="eastAsia" w:ascii="宋体" w:hAnsi="宋体" w:cs="宋体"/>
          <w:color w:val="auto"/>
          <w:kern w:val="0"/>
          <w:sz w:val="24"/>
          <w:szCs w:val="24"/>
          <w:highlight w:val="none"/>
        </w:rPr>
        <w:t>5.3.3招标人应当按照同一异议提起人一份记录的方式，对异议事项的处理应逐条进行书面记录，并由异议提起人、招标人签名确认。书面记录含义应清晰而明确，包括但不限于纠正的措施、解释说明的内容、相关依据等</w:t>
      </w:r>
      <w:r>
        <w:rPr>
          <w:rFonts w:hint="eastAsia" w:ascii="宋体" w:hAnsi="宋体" w:cs="宋体"/>
          <w:color w:val="auto"/>
          <w:kern w:val="0"/>
          <w:sz w:val="32"/>
          <w:szCs w:val="32"/>
          <w:highlight w:val="none"/>
        </w:rPr>
        <w:t>。</w:t>
      </w:r>
    </w:p>
    <w:p>
      <w:pPr>
        <w:jc w:val="center"/>
        <w:outlineLvl w:val="3"/>
        <w:rPr>
          <w:rFonts w:ascii="宋体" w:hAnsi="宋体"/>
          <w:b/>
          <w:color w:val="auto"/>
          <w:sz w:val="30"/>
          <w:szCs w:val="30"/>
          <w:highlight w:val="none"/>
        </w:rPr>
      </w:pPr>
      <w:r>
        <w:rPr>
          <w:rFonts w:hint="eastAsia" w:ascii="宋体" w:hAnsi="宋体"/>
          <w:b/>
          <w:color w:val="auto"/>
          <w:sz w:val="30"/>
          <w:szCs w:val="30"/>
          <w:highlight w:val="none"/>
        </w:rPr>
        <w:t>（六）评标</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6.1 评标委员会</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6.1.1评标由招标人依法组建的评标委员会负责。评标委员会由</w:t>
      </w:r>
      <w:r>
        <w:rPr>
          <w:rFonts w:hint="eastAsia" w:ascii="宋体" w:hAnsi="宋体"/>
          <w:color w:val="auto"/>
          <w:sz w:val="24"/>
          <w:highlight w:val="none"/>
          <w:u w:val="single"/>
        </w:rPr>
        <w:t>招标人代表或其委托的招标代理机构熟悉相关业务的代表，以及由广东省综合评标评审专家库有关技术、经济等方面的专家组成。</w:t>
      </w:r>
      <w:r>
        <w:rPr>
          <w:rFonts w:hint="eastAsia" w:ascii="宋体" w:hAnsi="宋体"/>
          <w:color w:val="auto"/>
          <w:sz w:val="24"/>
          <w:highlight w:val="none"/>
        </w:rPr>
        <w:t>评标委员会成员人数以及技术、经济等方面专家的确定方式见投标人须知前附表。</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6.1.2 评标委员会成员有下列情形之一的，应当回避：</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（1）招标人或投标人的主要负责人的近亲属；</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（2）项目主管部门或者行政监督部门的人员；</w:t>
      </w:r>
    </w:p>
    <w:p>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3</w:t>
      </w:r>
      <w:r>
        <w:rPr>
          <w:rFonts w:hint="eastAsia" w:ascii="宋体" w:hAnsi="宋体"/>
          <w:color w:val="auto"/>
          <w:sz w:val="24"/>
          <w:highlight w:val="none"/>
          <w:lang w:eastAsia="zh-CN"/>
        </w:rPr>
        <w:t>）</w:t>
      </w:r>
      <w:r>
        <w:rPr>
          <w:rFonts w:hint="eastAsia" w:ascii="宋体" w:hAnsi="宋体"/>
          <w:color w:val="auto"/>
          <w:sz w:val="24"/>
          <w:highlight w:val="none"/>
        </w:rPr>
        <w:t>招标人</w:t>
      </w:r>
      <w:r>
        <w:rPr>
          <w:rFonts w:hint="eastAsia" w:ascii="宋体" w:hAnsi="宋体"/>
          <w:color w:val="auto"/>
          <w:sz w:val="24"/>
          <w:highlight w:val="none"/>
          <w:lang w:val="en-US" w:eastAsia="zh-CN"/>
        </w:rPr>
        <w:t>或</w:t>
      </w:r>
      <w:r>
        <w:rPr>
          <w:rFonts w:hint="eastAsia" w:ascii="宋体" w:hAnsi="宋体"/>
          <w:color w:val="auto"/>
          <w:sz w:val="24"/>
          <w:highlight w:val="none"/>
        </w:rPr>
        <w:t>投标人的工作人员、退休或离职未满3年的人员；</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4</w:t>
      </w:r>
      <w:r>
        <w:rPr>
          <w:rFonts w:hint="eastAsia" w:ascii="宋体" w:hAnsi="宋体"/>
          <w:color w:val="auto"/>
          <w:sz w:val="24"/>
          <w:highlight w:val="none"/>
        </w:rPr>
        <w:t>）与投标人有经济利益关系，可能影响对投标公正评审的；</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5</w:t>
      </w:r>
      <w:r>
        <w:rPr>
          <w:rFonts w:hint="eastAsia" w:ascii="宋体" w:hAnsi="宋体"/>
          <w:color w:val="auto"/>
          <w:sz w:val="24"/>
          <w:highlight w:val="none"/>
        </w:rPr>
        <w:t>）曾因在招标、评标以及其他与招标投标有关活动中从事违法行为而受过行政处罚或刑事处罚的。</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6</w:t>
      </w:r>
      <w:r>
        <w:rPr>
          <w:rFonts w:hint="eastAsia" w:ascii="宋体" w:hAnsi="宋体"/>
          <w:color w:val="auto"/>
          <w:sz w:val="24"/>
          <w:highlight w:val="none"/>
        </w:rPr>
        <w:t>）与投标人有其他利害关系。</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6.2 评标原则</w:t>
      </w:r>
      <w:r>
        <w:rPr>
          <w:rFonts w:hint="eastAsia" w:ascii="宋体" w:hAnsi="宋体"/>
          <w:b/>
          <w:color w:val="auto"/>
          <w:sz w:val="24"/>
          <w:highlight w:val="none"/>
        </w:rPr>
        <w:tab/>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评标活动遵循公平、公正、科学和择优的原则。</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6.3 评标</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评标委员会按照第三章“评标办法”规定的方法、评审因素、标准和程序对投标文件进行评审。第三章“评标办法”没有规定的方法、评审因素和标准，不作为评标依据。</w:t>
      </w:r>
    </w:p>
    <w:p>
      <w:pPr>
        <w:jc w:val="center"/>
        <w:outlineLvl w:val="3"/>
        <w:rPr>
          <w:rFonts w:ascii="宋体" w:hAnsi="宋体"/>
          <w:b/>
          <w:color w:val="auto"/>
          <w:sz w:val="30"/>
          <w:szCs w:val="30"/>
          <w:highlight w:val="none"/>
        </w:rPr>
      </w:pPr>
      <w:r>
        <w:rPr>
          <w:rFonts w:hint="eastAsia" w:ascii="宋体" w:hAnsi="宋体"/>
          <w:b/>
          <w:color w:val="auto"/>
          <w:sz w:val="30"/>
          <w:szCs w:val="30"/>
          <w:highlight w:val="none"/>
        </w:rPr>
        <w:t>（七）合同授予</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7.1 定标方式</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招标人根据评标委员会推荐的中标候选人确定中标人，评标委员会推荐中标候选人的人数为3个。</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7.2 中标候选人公示</w:t>
      </w:r>
    </w:p>
    <w:p>
      <w:pPr>
        <w:spacing w:line="360" w:lineRule="auto"/>
        <w:ind w:firstLine="480" w:firstLineChars="200"/>
        <w:jc w:val="left"/>
        <w:rPr>
          <w:color w:val="auto"/>
          <w:sz w:val="24"/>
          <w:highlight w:val="none"/>
        </w:rPr>
      </w:pPr>
      <w:r>
        <w:rPr>
          <w:rFonts w:hint="eastAsia"/>
          <w:color w:val="auto"/>
          <w:sz w:val="24"/>
          <w:highlight w:val="none"/>
        </w:rPr>
        <w:t>7.2.1招标人在《投标人须知前附表》规定的媒介公示中标候选人，公示期为三天，最后一天应为工作日。</w:t>
      </w:r>
      <w:r>
        <w:rPr>
          <w:rFonts w:hint="eastAsia" w:ascii="宋体" w:hAnsi="宋体" w:eastAsia="宋体" w:cs="宋体"/>
          <w:color w:val="auto"/>
          <w:sz w:val="24"/>
          <w:highlight w:val="none"/>
          <w:u w:val="single"/>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pPr>
        <w:snapToGrid w:val="0"/>
        <w:spacing w:line="360" w:lineRule="auto"/>
        <w:ind w:firstLine="480" w:firstLineChars="200"/>
        <w:rPr>
          <w:rFonts w:hint="eastAsia"/>
          <w:color w:val="auto"/>
          <w:sz w:val="24"/>
          <w:highlight w:val="none"/>
        </w:rPr>
      </w:pPr>
      <w:r>
        <w:rPr>
          <w:rFonts w:hint="eastAsia"/>
          <w:color w:val="auto"/>
          <w:sz w:val="24"/>
          <w:highlight w:val="none"/>
        </w:rPr>
        <w:t>7.2.2中标候选人公示时，招标人将同时公示中标候选人的投标文件商务部分文件的所有内容（包括人员、业绩、奖项等资料）。</w:t>
      </w:r>
    </w:p>
    <w:p>
      <w:pPr>
        <w:snapToGrid w:val="0"/>
        <w:spacing w:line="360" w:lineRule="auto"/>
        <w:ind w:firstLine="480" w:firstLineChars="200"/>
        <w:rPr>
          <w:color w:val="auto"/>
          <w:sz w:val="24"/>
          <w:highlight w:val="none"/>
        </w:rPr>
      </w:pPr>
      <w:r>
        <w:rPr>
          <w:rFonts w:hint="eastAsia"/>
          <w:color w:val="auto"/>
          <w:sz w:val="24"/>
          <w:highlight w:val="none"/>
        </w:rPr>
        <w:t>7.2.3重新评标的，评标信息（含业绩、奖项等）仍以投标截止时投标人的信息为准。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7.3 中标通知</w:t>
      </w:r>
    </w:p>
    <w:p>
      <w:pPr>
        <w:snapToGrid w:val="0"/>
        <w:spacing w:line="360" w:lineRule="auto"/>
        <w:ind w:firstLine="480" w:firstLineChars="200"/>
        <w:rPr>
          <w:rFonts w:hint="eastAsia"/>
          <w:color w:val="auto"/>
          <w:sz w:val="24"/>
          <w:highlight w:val="none"/>
          <w:u w:val="none"/>
        </w:rPr>
      </w:pPr>
      <w:r>
        <w:rPr>
          <w:rFonts w:hint="eastAsia" w:ascii="宋体" w:hAnsi="宋体"/>
          <w:color w:val="auto"/>
          <w:sz w:val="24"/>
          <w:highlight w:val="none"/>
          <w:lang w:val="en-US" w:eastAsia="zh-CN"/>
        </w:rPr>
        <w:t>7.3.1</w:t>
      </w:r>
      <w:r>
        <w:rPr>
          <w:rFonts w:hint="eastAsia" w:ascii="宋体" w:hAnsi="宋体"/>
          <w:color w:val="auto"/>
          <w:sz w:val="24"/>
          <w:highlight w:val="none"/>
        </w:rPr>
        <w:t>在法规规定的时间内，招标人以书面形式向中标人发出中标通知书。</w:t>
      </w:r>
      <w:r>
        <w:rPr>
          <w:rFonts w:hint="eastAsia"/>
          <w:color w:val="auto"/>
          <w:sz w:val="24"/>
          <w:highlight w:val="none"/>
        </w:rPr>
        <w:t>在</w:t>
      </w:r>
      <w:r>
        <w:rPr>
          <w:rFonts w:hint="eastAsia" w:ascii="宋体" w:hAnsi="宋体"/>
          <w:color w:val="auto"/>
          <w:sz w:val="24"/>
          <w:szCs w:val="24"/>
          <w:highlight w:val="none"/>
          <w:lang w:eastAsia="zh-CN"/>
        </w:rPr>
        <w:t>广州交易集团有限公司（广州公共资源交易中心）</w:t>
      </w:r>
      <w:r>
        <w:rPr>
          <w:rFonts w:hint="eastAsia" w:ascii="宋体" w:hAnsi="宋体"/>
          <w:color w:val="auto"/>
          <w:sz w:val="24"/>
          <w:szCs w:val="24"/>
          <w:highlight w:val="none"/>
          <w:u w:val="none"/>
        </w:rPr>
        <w:t>网</w:t>
      </w:r>
      <w:r>
        <w:rPr>
          <w:rFonts w:hint="eastAsia" w:ascii="宋体" w:hAnsi="宋体" w:eastAsia="宋体" w:cs="宋体"/>
          <w:bCs w:val="0"/>
          <w:color w:val="auto"/>
          <w:sz w:val="24"/>
          <w:szCs w:val="24"/>
          <w:highlight w:val="none"/>
          <w:u w:val="none"/>
          <w:lang w:val="en-US" w:eastAsia="zh-CN"/>
        </w:rPr>
        <w:t>和</w:t>
      </w:r>
      <w:r>
        <w:rPr>
          <w:rFonts w:hint="eastAsia" w:ascii="宋体" w:hAnsi="宋体" w:eastAsia="宋体" w:cs="宋体"/>
          <w:bCs w:val="0"/>
          <w:color w:val="auto"/>
          <w:sz w:val="24"/>
          <w:szCs w:val="24"/>
          <w:highlight w:val="none"/>
          <w:u w:val="none"/>
        </w:rPr>
        <w:t>广东省招标投标监管网</w:t>
      </w:r>
      <w:r>
        <w:rPr>
          <w:rFonts w:hint="eastAsia"/>
          <w:color w:val="auto"/>
          <w:sz w:val="24"/>
          <w:highlight w:val="none"/>
          <w:u w:val="none"/>
        </w:rPr>
        <w:t>发布中标信息，视同将中标结果通知未中标的投标人。</w:t>
      </w:r>
    </w:p>
    <w:p>
      <w:pPr>
        <w:spacing w:line="360" w:lineRule="auto"/>
        <w:ind w:firstLine="480" w:firstLineChars="200"/>
        <w:jc w:val="left"/>
        <w:rPr>
          <w:rFonts w:hint="default" w:eastAsia="宋体"/>
          <w:color w:val="auto"/>
          <w:sz w:val="24"/>
          <w:szCs w:val="24"/>
          <w:highlight w:val="none"/>
          <w:u w:val="none"/>
          <w:lang w:val="en-US" w:eastAsia="zh-CN"/>
        </w:rPr>
      </w:pPr>
      <w:r>
        <w:rPr>
          <w:rFonts w:hint="eastAsia"/>
          <w:color w:val="auto"/>
          <w:sz w:val="24"/>
          <w:szCs w:val="24"/>
          <w:highlight w:val="none"/>
          <w:u w:val="none"/>
          <w:lang w:val="en-US" w:eastAsia="zh-CN"/>
        </w:rPr>
        <w:t>7.3.2</w:t>
      </w:r>
      <w:r>
        <w:rPr>
          <w:rFonts w:hint="eastAsia" w:ascii="宋体" w:hAnsi="宋体" w:eastAsia="宋体" w:cs="宋体"/>
          <w:color w:val="auto"/>
          <w:sz w:val="24"/>
          <w:szCs w:val="24"/>
          <w:highlight w:val="none"/>
          <w:u w:val="none"/>
        </w:rPr>
        <w:t>中标通知书发出前，中标人应未被纳入失信联合惩戒名单，否则招标人将取消其中标资格。失信联合惩戒名单以“信用广州”网站公布的“黑名单”为准。</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7.4 履约担保</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7.4.1</w:t>
      </w:r>
      <w:r>
        <w:rPr>
          <w:rFonts w:hint="eastAsia" w:ascii="宋体" w:hAnsi="宋体" w:eastAsia="宋体" w:cs="宋体"/>
          <w:color w:val="auto"/>
          <w:sz w:val="24"/>
          <w:highlight w:val="none"/>
          <w:u w:val="single"/>
        </w:rPr>
        <w:t>在合同签订后30日内，中标人应按投标人须知前附表规定的担保形式和招标文件第四章“合同条款及格式”规定的或者事先经过招标人书面认可的履约担保格式向招标人提交履约担保。除投标人须知前附表另有规定外，履约担保金额为中标合同金额的10%。</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7.4.2 中标人不能按本章第7.4.1项要求提交履约担保的，视为放弃中标，其投标保证金不予退还，给招标人造成的损失超过投标保证金数额的，中标人还应当对超过部分予以赔偿。</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7.5 签订合同</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7.5.1招标人和中标人应当自中标通知书发出之日起30天内，根据招标文件和中标人的投标文件订立书面合同</w:t>
      </w:r>
      <w:r>
        <w:rPr>
          <w:rFonts w:hint="eastAsia"/>
          <w:color w:val="auto"/>
          <w:sz w:val="24"/>
          <w:highlight w:val="none"/>
          <w:lang w:eastAsia="zh-CN"/>
        </w:rPr>
        <w:t>，并通过电子交易系统与中标人在线签订合同</w:t>
      </w:r>
      <w:r>
        <w:rPr>
          <w:rFonts w:hint="eastAsia" w:ascii="宋体" w:hAnsi="宋体"/>
          <w:color w:val="auto"/>
          <w:sz w:val="24"/>
          <w:highlight w:val="none"/>
        </w:rPr>
        <w:t xml:space="preserve">。中标人无正当理由拒签合同的，招标人取消其中标资格，其投标保证金不予退还；给招标人造成的损失超过投标保证金数额的，中标人还应当对超过部分予以赔偿。 </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7.5.2 发出中标通知书后，招标人无正当理由拒签合同的，招标人向中标人退还投标保证金；给中标人造成损失的，还应当赔偿损失。</w:t>
      </w:r>
    </w:p>
    <w:p>
      <w:pPr>
        <w:jc w:val="center"/>
        <w:outlineLvl w:val="3"/>
        <w:rPr>
          <w:rFonts w:ascii="宋体" w:hAnsi="宋体"/>
          <w:b/>
          <w:color w:val="auto"/>
          <w:sz w:val="30"/>
          <w:szCs w:val="30"/>
          <w:highlight w:val="none"/>
        </w:rPr>
      </w:pPr>
      <w:r>
        <w:rPr>
          <w:rFonts w:hint="eastAsia" w:ascii="宋体" w:hAnsi="宋体"/>
          <w:b/>
          <w:color w:val="auto"/>
          <w:sz w:val="30"/>
          <w:szCs w:val="30"/>
          <w:highlight w:val="none"/>
        </w:rPr>
        <w:t>（八）重新招标</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8.1 重新招标</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有下列情形之一的，招标人将重新招标；</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（1）投标截止时间止，投标人少于3个的；</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（2）经评标委员会评审后否决所有投标的；</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（3）资审合格的投标人少于3家或经评审有效标少于3家的；</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（4）同意延长投标有效期的投标人少于3个的；</w:t>
      </w:r>
    </w:p>
    <w:p>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（5）中标候选人均未与招标人签订合同的。</w:t>
      </w:r>
    </w:p>
    <w:p>
      <w:pPr>
        <w:snapToGrid w:val="0"/>
        <w:spacing w:line="360" w:lineRule="auto"/>
        <w:ind w:firstLine="480" w:firstLineChars="200"/>
        <w:rPr>
          <w:rFonts w:hint="eastAsia"/>
          <w:color w:val="auto"/>
          <w:sz w:val="24"/>
          <w:highlight w:val="none"/>
          <w:lang w:eastAsia="zh-CN"/>
        </w:rPr>
      </w:pPr>
      <w:r>
        <w:rPr>
          <w:rFonts w:hint="eastAsia" w:ascii="宋体" w:hAnsi="宋体"/>
          <w:color w:val="auto"/>
          <w:sz w:val="24"/>
          <w:highlight w:val="none"/>
        </w:rPr>
        <w:t>（6）</w:t>
      </w:r>
      <w:r>
        <w:rPr>
          <w:rFonts w:hint="eastAsia"/>
          <w:color w:val="auto"/>
          <w:sz w:val="24"/>
          <w:highlight w:val="none"/>
        </w:rPr>
        <w:t>当N个标段同时招标且不允许兼中时，若有效投标人不足N+2家，则重新组织招标</w:t>
      </w:r>
      <w:r>
        <w:rPr>
          <w:rFonts w:hint="eastAsia"/>
          <w:color w:val="auto"/>
          <w:sz w:val="24"/>
          <w:highlight w:val="none"/>
          <w:lang w:eastAsia="zh-CN"/>
        </w:rPr>
        <w:t>。</w:t>
      </w:r>
    </w:p>
    <w:p>
      <w:pPr>
        <w:snapToGrid w:val="0"/>
        <w:spacing w:line="360" w:lineRule="auto"/>
        <w:ind w:firstLine="480" w:firstLineChars="200"/>
        <w:rPr>
          <w:rFonts w:hint="eastAsia" w:ascii="宋体" w:hAnsi="宋体" w:eastAsia="宋体"/>
          <w:color w:val="auto"/>
          <w:sz w:val="24"/>
          <w:highlight w:val="none"/>
          <w:u w:val="single"/>
          <w:lang w:eastAsia="zh-CN"/>
        </w:rPr>
      </w:pPr>
      <w:r>
        <w:rPr>
          <w:rFonts w:hint="eastAsia" w:ascii="宋体" w:hAnsi="宋体" w:cs="宋体"/>
          <w:b w:val="0"/>
          <w:bCs/>
          <w:color w:val="auto"/>
          <w:sz w:val="24"/>
          <w:highlight w:val="none"/>
          <w:u w:val="single"/>
          <w:lang w:val="en-US" w:eastAsia="zh-CN"/>
        </w:rPr>
        <w:t>8.2</w:t>
      </w:r>
      <w:r>
        <w:rPr>
          <w:rFonts w:hint="eastAsia" w:ascii="宋体" w:hAnsi="宋体" w:eastAsia="宋体" w:cs="宋体"/>
          <w:color w:val="auto"/>
          <w:sz w:val="24"/>
          <w:highlight w:val="none"/>
          <w:u w:val="single"/>
        </w:rPr>
        <w:t>重新招标后，仍出现本章第8.1条规定情形之一的，属于必须审批的水务工程建设项目，经行政监督部门批准后不再进行招标。</w:t>
      </w:r>
    </w:p>
    <w:p>
      <w:pPr>
        <w:jc w:val="center"/>
        <w:outlineLvl w:val="3"/>
        <w:rPr>
          <w:rFonts w:ascii="宋体" w:hAnsi="宋体"/>
          <w:b/>
          <w:color w:val="auto"/>
          <w:sz w:val="30"/>
          <w:szCs w:val="30"/>
          <w:highlight w:val="none"/>
        </w:rPr>
      </w:pPr>
      <w:r>
        <w:rPr>
          <w:rFonts w:hint="eastAsia" w:ascii="宋体" w:hAnsi="宋体"/>
          <w:b/>
          <w:color w:val="auto"/>
          <w:sz w:val="30"/>
          <w:szCs w:val="30"/>
          <w:highlight w:val="none"/>
        </w:rPr>
        <w:t>（九）纪律和监督</w:t>
      </w:r>
    </w:p>
    <w:p>
      <w:pPr>
        <w:spacing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9.1对招标人的纪律要求</w:t>
      </w:r>
    </w:p>
    <w:p>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招标人不得泄漏招标投标活动中应当保密的情况和资料，不得与投标人串通损害国家利益、社会公共利益或者他人合法权益。</w:t>
      </w:r>
    </w:p>
    <w:p>
      <w:pPr>
        <w:spacing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9.2 对投标人的纪律要求</w:t>
      </w:r>
    </w:p>
    <w:p>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spacing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9.3 对评标委员会成员的纪律要求</w:t>
      </w:r>
    </w:p>
    <w:p>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spacing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9.4 对与评标活动有关的工作人员的纪律要求</w:t>
      </w:r>
    </w:p>
    <w:p>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9.5 投诉</w:t>
      </w:r>
    </w:p>
    <w:p>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投标人和其他利害关系人认为本次招标活动违反法律、法规和规章规定的，有权向投标人须知前附表规定的行政监督部门投诉。就招标文件、开标、评标结果进行投诉的，投标人和其他利害关系人应当先向招标人提出异议。</w:t>
      </w:r>
    </w:p>
    <w:p>
      <w:pPr>
        <w:adjustRightInd w:val="0"/>
        <w:snapToGrid w:val="0"/>
        <w:spacing w:beforeLines="0" w:line="360" w:lineRule="auto"/>
        <w:ind w:firstLine="480" w:firstLineChars="200"/>
        <w:rPr>
          <w:rFonts w:hint="eastAsia" w:ascii="宋体" w:hAnsi="宋体" w:eastAsia="宋体" w:cs="宋体"/>
          <w:color w:val="auto"/>
          <w:highlight w:val="none"/>
          <w:u w:val="single"/>
        </w:rPr>
      </w:pPr>
      <w:r>
        <w:rPr>
          <w:rFonts w:hint="eastAsia" w:ascii="宋体" w:hAnsi="宋体" w:eastAsia="宋体" w:cs="宋体"/>
          <w:color w:val="auto"/>
          <w:sz w:val="24"/>
          <w:highlight w:val="none"/>
          <w:u w:val="single"/>
        </w:rPr>
        <w:t>9.5.1依据《中华人民共和国招标投标法实施条例》第五十五条，对于中标公示期间的投诉处理的原则为：除第一中标候选人或中标人以外的其他投标人存在串通投标、弄虚作假、行贿情形且在评标过程中未被发现的，视为对中标结果没有造成实质性影响，可依法继续开展招标活动。投标人的违法行为由招标监管部门依法处理。</w:t>
      </w:r>
    </w:p>
    <w:p>
      <w:pPr>
        <w:adjustRightInd w:val="0"/>
        <w:snapToGrid w:val="0"/>
        <w:spacing w:beforeLines="0"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9.5.2在招投标过程中，投标人（含中标候选人）被投诉且经查实存在招标投标活动中列明被禁止行为的，招标人将提请行政主管部门，并按《中华人民共和国招标投标法实施条例》、《工程建设项目招标投标活动投诉处理办法》等进行处理，同时将记录到市水务工程企业信息库及诚信评价管理系统。</w:t>
      </w:r>
    </w:p>
    <w:p>
      <w:pPr>
        <w:snapToGrid w:val="0"/>
        <w:spacing w:line="360" w:lineRule="auto"/>
        <w:ind w:firstLine="480" w:firstLineChars="200"/>
        <w:rPr>
          <w:rFonts w:hint="eastAsia" w:ascii="宋体" w:hAnsi="宋体"/>
          <w:color w:val="auto"/>
          <w:sz w:val="24"/>
          <w:highlight w:val="none"/>
        </w:rPr>
      </w:pPr>
      <w:r>
        <w:rPr>
          <w:rFonts w:hint="eastAsia" w:ascii="宋体" w:hAnsi="宋体" w:eastAsia="宋体" w:cs="宋体"/>
          <w:color w:val="auto"/>
          <w:sz w:val="24"/>
          <w:highlight w:val="none"/>
          <w:u w:val="single"/>
        </w:rPr>
        <w:t>在招投标过程中，投诉人投诉事项经查实不属实的恶意投诉，招标人将提请行政主管部门，并按《中华人民共和国招标投标法实施条例》、《工程建设项目招标投标活动投诉处理办法》等进行处理，同时将记录到市水务工程企业信息库及诚信评价管理系统。</w:t>
      </w:r>
    </w:p>
    <w:p>
      <w:pPr>
        <w:jc w:val="center"/>
        <w:outlineLvl w:val="3"/>
        <w:rPr>
          <w:rFonts w:ascii="宋体" w:hAnsi="宋体"/>
          <w:b/>
          <w:color w:val="auto"/>
          <w:sz w:val="30"/>
          <w:szCs w:val="30"/>
          <w:highlight w:val="none"/>
        </w:rPr>
      </w:pPr>
      <w:r>
        <w:rPr>
          <w:rFonts w:hint="eastAsia" w:ascii="宋体" w:hAnsi="宋体"/>
          <w:b/>
          <w:color w:val="auto"/>
          <w:sz w:val="30"/>
          <w:szCs w:val="30"/>
          <w:highlight w:val="none"/>
        </w:rPr>
        <w:t>（十）需要补充的其他内容</w:t>
      </w:r>
    </w:p>
    <w:p>
      <w:pPr>
        <w:snapToGrid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color w:val="auto"/>
          <w:sz w:val="24"/>
          <w:highlight w:val="none"/>
          <w:u w:val="single"/>
        </w:rPr>
        <w:t>10.1</w:t>
      </w:r>
      <w:r>
        <w:rPr>
          <w:rFonts w:hint="eastAsia" w:ascii="宋体" w:hAnsi="宋体" w:eastAsia="宋体" w:cs="宋体"/>
          <w:color w:val="auto"/>
          <w:sz w:val="24"/>
          <w:highlight w:val="none"/>
          <w:u w:val="single"/>
        </w:rPr>
        <w:t>承包人应根据《住房和城乡建设部人力资源社会保障部关于修改&lt;建筑工人实名制管理办法（试行）&gt;的通知》（建市〔2022〕59号）、《住房城乡建设部 人力资源社会保障部关于印发建筑工人实名管理办法（试行）的通知》（建市〔2019〕18号）、《工程建设领域农民工工资专用账户管理暂行办法）（人社部发〔2021〕53号）、《广州市住房和城乡建设局关于印发广州市建筑施工实名制管理办法的通知》（穗建规字〔2020〕18号）、《关于印发广州市建设领域工人工资支付分账管理实施细则的通知》（穗建规字〔2020〕37号）、《广州市住房和城乡建设局关于公布第五批广州市建设领域工人工资支付分账管理业务银行名录的通知》（穗建筑〔2022〕1号）、《广州市住房和城乡建设局关于进一步征集广州市建设领域工人工资支付分账业务银行的通知》（穗建筑〔2021〕673号）、《广州市水务局转发广州市根治拖欠农民工工资工作领导小组办公室关于广州市建设领域工程项目全面实施农民工工资总包代发制度的通知》（穗水投收字〔2020〕5031号）、《保障农民工工资支付条例》、《广州市水务投资集团有限公司农民工工资纠纷突发事件应急处置工作指引（试行）》等有关要求，做好农民工工资支付工作及落实实名制和工人工资支付分账制度。</w:t>
      </w:r>
    </w:p>
    <w:p>
      <w:pPr>
        <w:snapToGrid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工程进度款中的工人工资款比例：参照施工招标的《中标通知书》中单列的人工费金额除以中标金额对应的工程价款计算。</w:t>
      </w:r>
    </w:p>
    <w:p>
      <w:pPr>
        <w:snapToGrid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10.2中标候选公示后，由招标人向广州交易集团有限公司（广州公共资源交易中心）缴纳交易服务费、向广州交易集团有限公司（广州公共资源交易中心）索取发票，并在取得发票后及时告知招标代理。（该交易服务费为中标金额的0.9‰，具体收费标准招标人可以在广州交易集团有限公司（广州公共资源交易中心）网站查阅，如有变更以广州交易集团有限公司（广州公共资源交易中心）最新发布的标准为准）。</w:t>
      </w:r>
    </w:p>
    <w:p>
      <w:pPr>
        <w:snapToGrid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10.3根据《广州市水务局关于印发广州市水务工程施工和监理企业诚信评价管理办法的通知》（穗水规字〔2020〕11号）、广州市水务局关于调整《广州市水务工程施工和监理企业诚信评价管理办法》部分条款的通知(穗水建管〔2023〕123 号)等有关规定，广州市自来水有限公司组织实施的建设项目,广州市自来水有限公司将对不充分履约或严重违反合同约定的企业，按诚信评价标准对其作出评价，该评价结果由广州市自来水有限公司直接录入诚信评价信息系统，并运用于建设项目招投标活动中。</w:t>
      </w:r>
    </w:p>
    <w:p>
      <w:pPr>
        <w:snapToGrid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10.</w:t>
      </w:r>
      <w:r>
        <w:rPr>
          <w:rFonts w:hint="default" w:ascii="宋体" w:hAnsi="宋体" w:eastAsia="宋体" w:cs="宋体"/>
          <w:color w:val="auto"/>
          <w:sz w:val="24"/>
          <w:highlight w:val="none"/>
          <w:u w:val="single"/>
          <w:lang w:val="en-US"/>
        </w:rPr>
        <w:t>4</w:t>
      </w:r>
      <w:r>
        <w:rPr>
          <w:rFonts w:hint="eastAsia" w:ascii="宋体" w:hAnsi="宋体" w:eastAsia="宋体" w:cs="宋体"/>
          <w:color w:val="auto"/>
          <w:sz w:val="24"/>
          <w:highlight w:val="none"/>
          <w:u w:val="single"/>
        </w:rPr>
        <w:t>中标人在签订合同前须提供不低于其投标文件中所承诺的人员架构配置情况，填写合同附件中的《项目管理架构组成表》和《主要人员简历表》，并提供所配置人员的资格证书和本单位交纳的社保证明文件（以加盖社会保险基金管理中心印章的《投保单》或《社会保险参保人员证明》资料为准）原件予招标人核实。</w:t>
      </w:r>
    </w:p>
    <w:p>
      <w:pPr>
        <w:pStyle w:val="18"/>
        <w:rPr>
          <w:rFonts w:hint="eastAsia" w:ascii="宋体" w:hAnsi="宋体" w:eastAsia="宋体" w:cs="宋体"/>
          <w:color w:val="auto"/>
          <w:kern w:val="2"/>
          <w:sz w:val="24"/>
          <w:szCs w:val="22"/>
          <w:highlight w:val="none"/>
          <w:u w:val="single"/>
          <w:lang w:val="en-US" w:eastAsia="zh-CN"/>
        </w:rPr>
      </w:pPr>
      <w:r>
        <w:rPr>
          <w:rFonts w:hint="eastAsia" w:ascii="宋体" w:hAnsi="宋体" w:cs="宋体"/>
          <w:color w:val="auto"/>
          <w:kern w:val="2"/>
          <w:sz w:val="24"/>
          <w:szCs w:val="22"/>
          <w:highlight w:val="none"/>
          <w:u w:val="single"/>
          <w:lang w:val="en-US" w:eastAsia="zh-CN"/>
        </w:rPr>
        <w:t>10.5</w:t>
      </w:r>
      <w:r>
        <w:rPr>
          <w:rFonts w:hint="eastAsia" w:ascii="宋体" w:hAnsi="宋体" w:cs="宋体"/>
          <w:color w:val="auto"/>
          <w:kern w:val="2"/>
          <w:sz w:val="24"/>
          <w:szCs w:val="22"/>
          <w:highlight w:val="none"/>
          <w:u w:val="single"/>
        </w:rPr>
        <w:t>在发出中标通知书前，中标人应未被列入“在一定期限内依法取消参加依法必须进行招标的项目的投标资格”，具体名单以“信用广州”公布的“黑名单”为准。</w:t>
      </w:r>
    </w:p>
    <w:p>
      <w:pPr>
        <w:widowControl/>
        <w:snapToGrid w:val="0"/>
        <w:spacing w:line="360" w:lineRule="auto"/>
        <w:ind w:firstLine="480" w:firstLineChars="200"/>
        <w:jc w:val="left"/>
        <w:rPr>
          <w:rFonts w:ascii="宋体" w:hAnsi="宋体"/>
          <w:color w:val="auto"/>
          <w:sz w:val="24"/>
          <w:highlight w:val="none"/>
        </w:rPr>
      </w:pPr>
      <w:r>
        <w:rPr>
          <w:rFonts w:ascii="宋体" w:hAnsi="宋体"/>
          <w:color w:val="auto"/>
          <w:sz w:val="24"/>
          <w:highlight w:val="none"/>
        </w:rPr>
        <w:br w:type="page"/>
      </w:r>
    </w:p>
    <w:p>
      <w:pPr>
        <w:spacing w:line="360" w:lineRule="auto"/>
        <w:jc w:val="left"/>
        <w:outlineLvl w:val="2"/>
        <w:rPr>
          <w:rFonts w:ascii="黑体" w:hAnsi="黑体" w:eastAsia="黑体"/>
          <w:color w:val="auto"/>
          <w:sz w:val="28"/>
          <w:szCs w:val="27"/>
          <w:highlight w:val="none"/>
        </w:rPr>
      </w:pPr>
      <w:bookmarkStart w:id="197" w:name="_Toc144974548"/>
      <w:bookmarkStart w:id="198" w:name="_Toc152045581"/>
      <w:bookmarkStart w:id="199" w:name="_Toc247085739"/>
      <w:bookmarkStart w:id="200" w:name="_Toc17454924"/>
      <w:bookmarkStart w:id="201" w:name="_Toc17451103"/>
      <w:bookmarkStart w:id="202" w:name="_Toc152042358"/>
      <w:bookmarkStart w:id="203" w:name="_Toc179632599"/>
      <w:bookmarkStart w:id="204" w:name="_Toc332641306"/>
      <w:bookmarkStart w:id="205" w:name="_Toc12482"/>
      <w:bookmarkStart w:id="206" w:name="_Toc17556878"/>
      <w:bookmarkStart w:id="207" w:name="_Toc17452666"/>
      <w:bookmarkStart w:id="208" w:name="_Toc17454873"/>
      <w:bookmarkStart w:id="209" w:name="_Toc17451580"/>
      <w:bookmarkStart w:id="210" w:name="_Toc17451625"/>
      <w:r>
        <w:rPr>
          <w:rFonts w:hint="eastAsia" w:ascii="黑体" w:hAnsi="黑体" w:eastAsia="黑体"/>
          <w:color w:val="auto"/>
          <w:sz w:val="28"/>
          <w:szCs w:val="27"/>
          <w:highlight w:val="none"/>
        </w:rPr>
        <w:t>附件一：开标记录表</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pPr>
        <w:spacing w:line="400" w:lineRule="exact"/>
        <w:jc w:val="center"/>
        <w:rPr>
          <w:rFonts w:ascii="宋体" w:hAnsi="宋体"/>
          <w:b/>
          <w:color w:val="auto"/>
          <w:sz w:val="28"/>
          <w:szCs w:val="28"/>
          <w:highlight w:val="none"/>
        </w:rPr>
      </w:pPr>
      <w:r>
        <w:rPr>
          <w:rFonts w:hint="eastAsia" w:ascii="宋体" w:hAnsi="宋体"/>
          <w:b/>
          <w:color w:val="auto"/>
          <w:sz w:val="28"/>
          <w:szCs w:val="28"/>
          <w:highlight w:val="none"/>
          <w:u w:val="single"/>
        </w:rPr>
        <w:t xml:space="preserve">        </w:t>
      </w:r>
      <w:r>
        <w:rPr>
          <w:rFonts w:hint="eastAsia" w:ascii="宋体" w:hAnsi="宋体"/>
          <w:b/>
          <w:color w:val="auto"/>
          <w:sz w:val="28"/>
          <w:szCs w:val="28"/>
          <w:highlight w:val="none"/>
        </w:rPr>
        <w:t>（项目名称）开标记录表</w:t>
      </w:r>
    </w:p>
    <w:p>
      <w:pPr>
        <w:spacing w:line="500" w:lineRule="exact"/>
        <w:rPr>
          <w:rFonts w:ascii="宋体" w:hAnsi="宋体"/>
          <w:color w:val="auto"/>
          <w:highlight w:val="none"/>
        </w:rPr>
      </w:pPr>
      <w:r>
        <w:rPr>
          <w:rFonts w:hint="eastAsia" w:ascii="宋体" w:hAnsi="宋体"/>
          <w:color w:val="auto"/>
          <w:szCs w:val="21"/>
          <w:highlight w:val="none"/>
        </w:rPr>
        <w:t>评标参考价下浮率：                开标时间：</w:t>
      </w:r>
      <w:r>
        <w:rPr>
          <w:rFonts w:hint="eastAsia" w:ascii="宋体" w:hAnsi="宋体"/>
          <w:color w:val="auto"/>
          <w:sz w:val="28"/>
          <w:szCs w:val="28"/>
          <w:highlight w:val="none"/>
          <w:u w:val="single"/>
        </w:rPr>
        <w:t xml:space="preserve">    </w:t>
      </w:r>
      <w:r>
        <w:rPr>
          <w:rFonts w:hint="eastAsia" w:ascii="宋体" w:hAnsi="宋体"/>
          <w:color w:val="auto"/>
          <w:szCs w:val="21"/>
          <w:highlight w:val="none"/>
        </w:rPr>
        <w:t>年</w:t>
      </w:r>
      <w:r>
        <w:rPr>
          <w:rFonts w:hint="eastAsia" w:ascii="宋体" w:hAnsi="宋体"/>
          <w:color w:val="auto"/>
          <w:sz w:val="28"/>
          <w:szCs w:val="28"/>
          <w:highlight w:val="none"/>
          <w:u w:val="single"/>
        </w:rPr>
        <w:t xml:space="preserve">    </w:t>
      </w:r>
      <w:r>
        <w:rPr>
          <w:rFonts w:hint="eastAsia" w:ascii="宋体" w:hAnsi="宋体"/>
          <w:color w:val="auto"/>
          <w:szCs w:val="21"/>
          <w:highlight w:val="none"/>
        </w:rPr>
        <w:t>月</w:t>
      </w:r>
      <w:r>
        <w:rPr>
          <w:rFonts w:hint="eastAsia" w:ascii="宋体" w:hAnsi="宋体"/>
          <w:color w:val="auto"/>
          <w:sz w:val="28"/>
          <w:szCs w:val="28"/>
          <w:highlight w:val="none"/>
          <w:u w:val="single"/>
        </w:rPr>
        <w:t xml:space="preserve">    </w:t>
      </w:r>
      <w:r>
        <w:rPr>
          <w:rFonts w:hint="eastAsia" w:ascii="宋体" w:hAnsi="宋体"/>
          <w:color w:val="auto"/>
          <w:szCs w:val="21"/>
          <w:highlight w:val="none"/>
        </w:rPr>
        <w:t>日</w:t>
      </w:r>
      <w:r>
        <w:rPr>
          <w:rFonts w:hint="eastAsia" w:ascii="宋体" w:hAnsi="宋体"/>
          <w:color w:val="auto"/>
          <w:sz w:val="28"/>
          <w:szCs w:val="28"/>
          <w:highlight w:val="none"/>
          <w:u w:val="single"/>
        </w:rPr>
        <w:t xml:space="preserve">    </w:t>
      </w:r>
      <w:r>
        <w:rPr>
          <w:rFonts w:hint="eastAsia" w:ascii="宋体" w:hAnsi="宋体"/>
          <w:color w:val="auto"/>
          <w:szCs w:val="21"/>
          <w:highlight w:val="none"/>
        </w:rPr>
        <w:t>时</w:t>
      </w:r>
      <w:r>
        <w:rPr>
          <w:rFonts w:hint="eastAsia" w:ascii="宋体" w:hAnsi="宋体"/>
          <w:color w:val="auto"/>
          <w:sz w:val="28"/>
          <w:szCs w:val="28"/>
          <w:highlight w:val="none"/>
          <w:u w:val="single"/>
        </w:rPr>
        <w:t xml:space="preserve">    </w:t>
      </w:r>
      <w:r>
        <w:rPr>
          <w:rFonts w:hint="eastAsia" w:ascii="宋体" w:hAnsi="宋体"/>
          <w:color w:val="auto"/>
          <w:szCs w:val="21"/>
          <w:highlight w:val="none"/>
        </w:rPr>
        <w:t>分</w:t>
      </w:r>
    </w:p>
    <w:tbl>
      <w:tblPr>
        <w:tblStyle w:val="19"/>
        <w:tblW w:w="9191" w:type="dxa"/>
        <w:tblInd w:w="0" w:type="dxa"/>
        <w:tblLayout w:type="fixed"/>
        <w:tblCellMar>
          <w:top w:w="0" w:type="dxa"/>
          <w:left w:w="108" w:type="dxa"/>
          <w:bottom w:w="0" w:type="dxa"/>
          <w:right w:w="108" w:type="dxa"/>
        </w:tblCellMar>
      </w:tblPr>
      <w:tblGrid>
        <w:gridCol w:w="544"/>
        <w:gridCol w:w="594"/>
        <w:gridCol w:w="700"/>
        <w:gridCol w:w="773"/>
        <w:gridCol w:w="746"/>
        <w:gridCol w:w="633"/>
        <w:gridCol w:w="698"/>
        <w:gridCol w:w="450"/>
        <w:gridCol w:w="491"/>
        <w:gridCol w:w="417"/>
        <w:gridCol w:w="450"/>
        <w:gridCol w:w="340"/>
        <w:gridCol w:w="445"/>
        <w:gridCol w:w="315"/>
        <w:gridCol w:w="16"/>
        <w:gridCol w:w="434"/>
        <w:gridCol w:w="622"/>
        <w:gridCol w:w="523"/>
      </w:tblGrid>
      <w:tr>
        <w:tblPrEx>
          <w:tblCellMar>
            <w:top w:w="0" w:type="dxa"/>
            <w:left w:w="108" w:type="dxa"/>
            <w:bottom w:w="0" w:type="dxa"/>
            <w:right w:w="108" w:type="dxa"/>
          </w:tblCellMar>
        </w:tblPrEx>
        <w:trPr>
          <w:trHeight w:val="1273" w:hRule="atLeast"/>
        </w:trPr>
        <w:tc>
          <w:tcPr>
            <w:tcW w:w="544" w:type="dxa"/>
            <w:vMerge w:val="restart"/>
            <w:tcBorders>
              <w:top w:val="single" w:color="auto" w:sz="4" w:space="0"/>
              <w:left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r>
              <w:rPr>
                <w:rFonts w:ascii="宋体" w:hAnsi="宋体"/>
                <w:color w:val="auto"/>
                <w:szCs w:val="21"/>
                <w:highlight w:val="none"/>
              </w:rPr>
              <w:t>序号</w:t>
            </w:r>
          </w:p>
        </w:tc>
        <w:tc>
          <w:tcPr>
            <w:tcW w:w="594" w:type="dxa"/>
            <w:vMerge w:val="restart"/>
            <w:tcBorders>
              <w:top w:val="single" w:color="auto" w:sz="4" w:space="0"/>
              <w:left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r>
              <w:rPr>
                <w:rFonts w:ascii="宋体" w:hAnsi="宋体"/>
                <w:color w:val="auto"/>
                <w:szCs w:val="21"/>
                <w:highlight w:val="none"/>
              </w:rPr>
              <w:t>投标人</w:t>
            </w:r>
          </w:p>
        </w:tc>
        <w:tc>
          <w:tcPr>
            <w:tcW w:w="700" w:type="dxa"/>
            <w:vMerge w:val="restart"/>
            <w:tcBorders>
              <w:top w:val="single" w:color="auto" w:sz="4" w:space="0"/>
              <w:left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r>
              <w:rPr>
                <w:rFonts w:hint="eastAsia" w:ascii="宋体" w:hAnsi="宋体"/>
                <w:color w:val="auto"/>
                <w:szCs w:val="21"/>
                <w:highlight w:val="none"/>
              </w:rPr>
              <w:t>解密情况</w:t>
            </w:r>
          </w:p>
        </w:tc>
        <w:tc>
          <w:tcPr>
            <w:tcW w:w="773" w:type="dxa"/>
            <w:vMerge w:val="restart"/>
            <w:tcBorders>
              <w:top w:val="single" w:color="auto" w:sz="4" w:space="0"/>
              <w:left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r>
              <w:rPr>
                <w:rFonts w:ascii="宋体" w:hAnsi="宋体"/>
                <w:color w:val="auto"/>
                <w:szCs w:val="21"/>
                <w:highlight w:val="none"/>
              </w:rPr>
              <w:t>投标保证金</w:t>
            </w:r>
          </w:p>
        </w:tc>
        <w:tc>
          <w:tcPr>
            <w:tcW w:w="746" w:type="dxa"/>
            <w:vMerge w:val="restart"/>
            <w:tcBorders>
              <w:top w:val="single" w:color="auto" w:sz="4" w:space="0"/>
              <w:left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r>
              <w:rPr>
                <w:rFonts w:ascii="宋体" w:hAnsi="宋体"/>
                <w:color w:val="auto"/>
                <w:szCs w:val="21"/>
                <w:highlight w:val="none"/>
              </w:rPr>
              <w:t>投标报价（元）</w:t>
            </w:r>
          </w:p>
        </w:tc>
        <w:tc>
          <w:tcPr>
            <w:tcW w:w="633" w:type="dxa"/>
            <w:vMerge w:val="restart"/>
            <w:tcBorders>
              <w:top w:val="single" w:color="auto" w:sz="4" w:space="0"/>
              <w:left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r>
              <w:rPr>
                <w:rFonts w:ascii="宋体" w:hAnsi="宋体"/>
                <w:color w:val="auto"/>
                <w:szCs w:val="21"/>
                <w:highlight w:val="none"/>
              </w:rPr>
              <w:t>质量</w:t>
            </w:r>
            <w:r>
              <w:rPr>
                <w:rFonts w:hint="eastAsia" w:ascii="宋体" w:hAnsi="宋体"/>
                <w:color w:val="auto"/>
                <w:szCs w:val="21"/>
                <w:highlight w:val="none"/>
              </w:rPr>
              <w:t>标准</w:t>
            </w:r>
          </w:p>
        </w:tc>
        <w:tc>
          <w:tcPr>
            <w:tcW w:w="698" w:type="dxa"/>
            <w:vMerge w:val="restart"/>
            <w:tcBorders>
              <w:top w:val="single" w:color="auto" w:sz="4" w:space="0"/>
              <w:left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r>
              <w:rPr>
                <w:rFonts w:ascii="宋体" w:hAnsi="宋体"/>
                <w:color w:val="auto"/>
                <w:szCs w:val="21"/>
                <w:highlight w:val="none"/>
              </w:rPr>
              <w:t>工期</w:t>
            </w:r>
            <w:r>
              <w:rPr>
                <w:rFonts w:hint="eastAsia" w:ascii="宋体" w:hAnsi="宋体"/>
                <w:color w:val="auto"/>
                <w:szCs w:val="21"/>
                <w:highlight w:val="none"/>
              </w:rPr>
              <w:t>（天）</w:t>
            </w:r>
          </w:p>
        </w:tc>
        <w:tc>
          <w:tcPr>
            <w:tcW w:w="941" w:type="dxa"/>
            <w:gridSpan w:val="2"/>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r>
              <w:rPr>
                <w:rFonts w:hint="eastAsia" w:ascii="宋体" w:hAnsi="宋体"/>
                <w:color w:val="auto"/>
                <w:szCs w:val="21"/>
                <w:highlight w:val="none"/>
              </w:rPr>
              <w:t>项目负责人</w:t>
            </w:r>
            <w:r>
              <w:rPr>
                <w:rFonts w:hint="eastAsia" w:ascii="宋体" w:hAnsi="宋体"/>
                <w:color w:val="auto"/>
                <w:sz w:val="24"/>
                <w:szCs w:val="24"/>
                <w:highlight w:val="none"/>
                <w:u w:val="single"/>
                <w:lang w:val="en-US" w:eastAsia="zh-CN"/>
              </w:rPr>
              <w:t>①</w:t>
            </w:r>
          </w:p>
        </w:tc>
        <w:tc>
          <w:tcPr>
            <w:tcW w:w="867" w:type="dxa"/>
            <w:gridSpan w:val="2"/>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eastAsia="宋体"/>
                <w:color w:val="auto"/>
                <w:szCs w:val="21"/>
                <w:highlight w:val="none"/>
                <w:lang w:val="en-US" w:eastAsia="zh-CN"/>
              </w:rPr>
            </w:pPr>
            <w:r>
              <w:rPr>
                <w:rFonts w:hint="eastAsia" w:ascii="宋体" w:hAnsi="宋体"/>
                <w:color w:val="auto"/>
                <w:szCs w:val="21"/>
                <w:highlight w:val="none"/>
              </w:rPr>
              <w:t>项目负责人</w:t>
            </w:r>
            <w:r>
              <w:rPr>
                <w:rFonts w:hint="eastAsia" w:ascii="宋体" w:hAnsi="宋体"/>
                <w:color w:val="auto"/>
                <w:szCs w:val="21"/>
                <w:highlight w:val="none"/>
                <w:lang w:val="en-US" w:eastAsia="zh-CN"/>
              </w:rPr>
              <w:t>②</w:t>
            </w:r>
          </w:p>
        </w:tc>
        <w:tc>
          <w:tcPr>
            <w:tcW w:w="785" w:type="dxa"/>
            <w:gridSpan w:val="2"/>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eastAsia="宋体"/>
                <w:color w:val="auto"/>
                <w:szCs w:val="21"/>
                <w:highlight w:val="none"/>
                <w:lang w:eastAsia="zh-CN"/>
              </w:rPr>
            </w:pPr>
            <w:r>
              <w:rPr>
                <w:rFonts w:hint="eastAsia" w:ascii="宋体" w:hAnsi="宋体"/>
                <w:color w:val="auto"/>
                <w:szCs w:val="21"/>
                <w:highlight w:val="none"/>
              </w:rPr>
              <w:t>专</w:t>
            </w:r>
            <w:r>
              <w:rPr>
                <w:rFonts w:hint="eastAsia" w:ascii="宋体" w:hAnsi="宋体"/>
                <w:color w:val="auto"/>
                <w:szCs w:val="21"/>
                <w:highlight w:val="none"/>
                <w:lang w:val="en-US" w:eastAsia="zh-CN"/>
              </w:rPr>
              <w:t>职</w:t>
            </w:r>
            <w:r>
              <w:rPr>
                <w:rFonts w:hint="eastAsia" w:ascii="宋体" w:hAnsi="宋体"/>
                <w:color w:val="auto"/>
                <w:szCs w:val="21"/>
                <w:highlight w:val="none"/>
              </w:rPr>
              <w:t>安全员</w:t>
            </w:r>
            <w:r>
              <w:rPr>
                <w:rFonts w:hint="eastAsia" w:ascii="宋体" w:hAnsi="宋体"/>
                <w:color w:val="auto"/>
                <w:szCs w:val="21"/>
                <w:highlight w:val="none"/>
                <w:lang w:val="en-US" w:eastAsia="zh-CN"/>
              </w:rPr>
              <w:t>①</w:t>
            </w:r>
          </w:p>
        </w:tc>
        <w:tc>
          <w:tcPr>
            <w:tcW w:w="765" w:type="dxa"/>
            <w:gridSpan w:val="3"/>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eastAsia="宋体"/>
                <w:color w:val="auto"/>
                <w:szCs w:val="21"/>
                <w:highlight w:val="none"/>
                <w:lang w:eastAsia="zh-CN"/>
              </w:rPr>
            </w:pPr>
            <w:r>
              <w:rPr>
                <w:rFonts w:hint="eastAsia" w:ascii="宋体" w:hAnsi="宋体"/>
                <w:color w:val="auto"/>
                <w:szCs w:val="21"/>
                <w:highlight w:val="none"/>
              </w:rPr>
              <w:t>专</w:t>
            </w:r>
            <w:r>
              <w:rPr>
                <w:rFonts w:hint="eastAsia" w:ascii="宋体" w:hAnsi="宋体"/>
                <w:color w:val="auto"/>
                <w:szCs w:val="21"/>
                <w:highlight w:val="none"/>
                <w:lang w:val="en-US" w:eastAsia="zh-CN"/>
              </w:rPr>
              <w:t>职</w:t>
            </w:r>
            <w:r>
              <w:rPr>
                <w:rFonts w:hint="eastAsia" w:ascii="宋体" w:hAnsi="宋体"/>
                <w:color w:val="auto"/>
                <w:szCs w:val="21"/>
                <w:highlight w:val="none"/>
              </w:rPr>
              <w:t>安全员</w:t>
            </w:r>
            <w:r>
              <w:rPr>
                <w:rFonts w:hint="eastAsia" w:ascii="宋体" w:hAnsi="宋体"/>
                <w:color w:val="auto"/>
                <w:szCs w:val="21"/>
                <w:highlight w:val="none"/>
                <w:lang w:val="en-US" w:eastAsia="zh-CN"/>
              </w:rPr>
              <w:t>②</w:t>
            </w:r>
          </w:p>
        </w:tc>
        <w:tc>
          <w:tcPr>
            <w:tcW w:w="622" w:type="dxa"/>
            <w:tcBorders>
              <w:top w:val="single" w:color="auto" w:sz="4" w:space="0"/>
              <w:left w:val="single" w:color="auto" w:sz="4" w:space="0"/>
              <w:right w:val="single" w:color="auto" w:sz="4" w:space="0"/>
            </w:tcBorders>
            <w:noWrap w:val="0"/>
            <w:vAlign w:val="center"/>
          </w:tcPr>
          <w:p>
            <w:pPr>
              <w:spacing w:line="500" w:lineRule="exact"/>
              <w:jc w:val="center"/>
              <w:rPr>
                <w:rFonts w:hint="eastAsia" w:ascii="宋体" w:hAnsi="宋体"/>
                <w:color w:val="auto"/>
                <w:kern w:val="2"/>
                <w:sz w:val="21"/>
                <w:szCs w:val="21"/>
                <w:highlight w:val="none"/>
                <w:lang w:val="en-US" w:eastAsia="zh-CN" w:bidi="ar-SA"/>
              </w:rPr>
            </w:pPr>
            <w:r>
              <w:rPr>
                <w:rFonts w:ascii="宋体" w:hAnsi="宋体"/>
                <w:color w:val="auto"/>
                <w:szCs w:val="21"/>
                <w:highlight w:val="none"/>
              </w:rPr>
              <w:t>签名</w:t>
            </w:r>
          </w:p>
        </w:tc>
        <w:tc>
          <w:tcPr>
            <w:tcW w:w="523" w:type="dxa"/>
            <w:tcBorders>
              <w:top w:val="single" w:color="auto" w:sz="4" w:space="0"/>
              <w:left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r>
              <w:rPr>
                <w:rFonts w:hint="eastAsia" w:ascii="宋体" w:hAnsi="宋体"/>
                <w:color w:val="auto"/>
                <w:szCs w:val="21"/>
                <w:highlight w:val="none"/>
              </w:rPr>
              <w:t>备注</w:t>
            </w:r>
          </w:p>
        </w:tc>
      </w:tr>
      <w:tr>
        <w:tblPrEx>
          <w:tblCellMar>
            <w:top w:w="0" w:type="dxa"/>
            <w:left w:w="108" w:type="dxa"/>
            <w:bottom w:w="0" w:type="dxa"/>
            <w:right w:w="108" w:type="dxa"/>
          </w:tblCellMar>
        </w:tblPrEx>
        <w:trPr>
          <w:trHeight w:val="1233" w:hRule="atLeast"/>
        </w:trPr>
        <w:tc>
          <w:tcPr>
            <w:tcW w:w="544" w:type="dxa"/>
            <w:vMerge w:val="continue"/>
            <w:tcBorders>
              <w:left w:val="single" w:color="auto" w:sz="4" w:space="0"/>
              <w:bottom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p>
        </w:tc>
        <w:tc>
          <w:tcPr>
            <w:tcW w:w="594" w:type="dxa"/>
            <w:vMerge w:val="continue"/>
            <w:tcBorders>
              <w:left w:val="single" w:color="auto" w:sz="4" w:space="0"/>
              <w:bottom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p>
        </w:tc>
        <w:tc>
          <w:tcPr>
            <w:tcW w:w="700" w:type="dxa"/>
            <w:vMerge w:val="continue"/>
            <w:tcBorders>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p>
        </w:tc>
        <w:tc>
          <w:tcPr>
            <w:tcW w:w="773" w:type="dxa"/>
            <w:vMerge w:val="continue"/>
            <w:tcBorders>
              <w:left w:val="single" w:color="auto" w:sz="4" w:space="0"/>
              <w:bottom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p>
        </w:tc>
        <w:tc>
          <w:tcPr>
            <w:tcW w:w="746" w:type="dxa"/>
            <w:vMerge w:val="continue"/>
            <w:tcBorders>
              <w:left w:val="single" w:color="auto" w:sz="4" w:space="0"/>
              <w:bottom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p>
        </w:tc>
        <w:tc>
          <w:tcPr>
            <w:tcW w:w="633" w:type="dxa"/>
            <w:vMerge w:val="continue"/>
            <w:tcBorders>
              <w:left w:val="single" w:color="auto" w:sz="4" w:space="0"/>
              <w:bottom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p>
        </w:tc>
        <w:tc>
          <w:tcPr>
            <w:tcW w:w="698" w:type="dxa"/>
            <w:vMerge w:val="continue"/>
            <w:tcBorders>
              <w:left w:val="single" w:color="auto" w:sz="4" w:space="0"/>
              <w:bottom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r>
              <w:rPr>
                <w:rFonts w:hint="eastAsia" w:ascii="宋体" w:hAnsi="宋体"/>
                <w:color w:val="auto"/>
                <w:szCs w:val="21"/>
                <w:highlight w:val="none"/>
              </w:rPr>
              <w:t>登记时</w:t>
            </w:r>
          </w:p>
        </w:tc>
        <w:tc>
          <w:tcPr>
            <w:tcW w:w="491"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r>
              <w:rPr>
                <w:rFonts w:hint="eastAsia" w:ascii="宋体" w:hAnsi="宋体"/>
                <w:color w:val="auto"/>
                <w:szCs w:val="21"/>
                <w:highlight w:val="none"/>
              </w:rPr>
              <w:t>投标时</w:t>
            </w:r>
          </w:p>
        </w:tc>
        <w:tc>
          <w:tcPr>
            <w:tcW w:w="417"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登记时</w:t>
            </w:r>
          </w:p>
        </w:tc>
        <w:tc>
          <w:tcPr>
            <w:tcW w:w="450"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r>
              <w:rPr>
                <w:rFonts w:hint="eastAsia" w:ascii="宋体" w:hAnsi="宋体"/>
                <w:color w:val="auto"/>
                <w:szCs w:val="21"/>
                <w:highlight w:val="none"/>
              </w:rPr>
              <w:t>投标时</w:t>
            </w:r>
          </w:p>
        </w:tc>
        <w:tc>
          <w:tcPr>
            <w:tcW w:w="340"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r>
              <w:rPr>
                <w:rFonts w:hint="eastAsia" w:ascii="宋体" w:hAnsi="宋体"/>
                <w:color w:val="auto"/>
                <w:szCs w:val="21"/>
                <w:highlight w:val="none"/>
              </w:rPr>
              <w:t>登记时</w:t>
            </w:r>
          </w:p>
        </w:tc>
        <w:tc>
          <w:tcPr>
            <w:tcW w:w="445"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r>
              <w:rPr>
                <w:rFonts w:hint="eastAsia" w:ascii="宋体" w:hAnsi="宋体"/>
                <w:color w:val="auto"/>
                <w:szCs w:val="21"/>
                <w:highlight w:val="none"/>
              </w:rPr>
              <w:t>投标时</w:t>
            </w:r>
          </w:p>
        </w:tc>
        <w:tc>
          <w:tcPr>
            <w:tcW w:w="331" w:type="dxa"/>
            <w:gridSpan w:val="2"/>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r>
              <w:rPr>
                <w:rFonts w:hint="eastAsia" w:ascii="宋体" w:hAnsi="宋体"/>
                <w:color w:val="auto"/>
                <w:szCs w:val="21"/>
                <w:highlight w:val="none"/>
              </w:rPr>
              <w:t>登记时</w:t>
            </w:r>
          </w:p>
        </w:tc>
        <w:tc>
          <w:tcPr>
            <w:tcW w:w="434"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r>
              <w:rPr>
                <w:rFonts w:hint="eastAsia" w:ascii="宋体" w:hAnsi="宋体"/>
                <w:color w:val="auto"/>
                <w:szCs w:val="21"/>
                <w:highlight w:val="none"/>
              </w:rPr>
              <w:t>投标时</w:t>
            </w:r>
          </w:p>
        </w:tc>
        <w:tc>
          <w:tcPr>
            <w:tcW w:w="622" w:type="dxa"/>
            <w:tcBorders>
              <w:left w:val="single" w:color="auto" w:sz="4" w:space="0"/>
              <w:right w:val="single" w:color="auto" w:sz="4" w:space="0"/>
            </w:tcBorders>
            <w:noWrap w:val="0"/>
            <w:vAlign w:val="center"/>
          </w:tcPr>
          <w:p>
            <w:pPr>
              <w:spacing w:line="500" w:lineRule="exact"/>
              <w:jc w:val="center"/>
              <w:rPr>
                <w:rFonts w:ascii="宋体" w:hAnsi="宋体"/>
                <w:color w:val="auto"/>
                <w:szCs w:val="21"/>
                <w:highlight w:val="none"/>
              </w:rPr>
            </w:pPr>
          </w:p>
        </w:tc>
        <w:tc>
          <w:tcPr>
            <w:tcW w:w="523" w:type="dxa"/>
            <w:tcBorders>
              <w:left w:val="single" w:color="auto" w:sz="4" w:space="0"/>
              <w:right w:val="single" w:color="auto" w:sz="4" w:space="0"/>
            </w:tcBorders>
            <w:noWrap w:val="0"/>
            <w:vAlign w:val="center"/>
          </w:tcPr>
          <w:p>
            <w:pPr>
              <w:spacing w:line="500" w:lineRule="exact"/>
              <w:jc w:val="center"/>
              <w:rPr>
                <w:rFonts w:hint="eastAsia" w:ascii="宋体" w:hAnsi="宋体"/>
                <w:color w:val="auto"/>
                <w:szCs w:val="21"/>
                <w:highlight w:val="none"/>
              </w:rPr>
            </w:pPr>
          </w:p>
        </w:tc>
      </w:tr>
      <w:tr>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59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46"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3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91"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17"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34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45"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315"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gridSpan w:val="2"/>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52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r>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59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46"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3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91"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17"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34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45"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315"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gridSpan w:val="2"/>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52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r>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59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46"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3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91"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17"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34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45"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315"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gridSpan w:val="2"/>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52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r>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59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46"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3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91"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17"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34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45"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315"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gridSpan w:val="2"/>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52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r>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59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46"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3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91"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17"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34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45"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315"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gridSpan w:val="2"/>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52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r>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59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46"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3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91"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17"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34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45"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315"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gridSpan w:val="2"/>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52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r>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59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46"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3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91"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17"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34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45"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315"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gridSpan w:val="2"/>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52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r>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59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46"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3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91"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17"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34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45"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315"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gridSpan w:val="2"/>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52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r>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59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46"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3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91"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17"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34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45"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315"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gridSpan w:val="2"/>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52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r>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594"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746"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3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91"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17"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340"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45"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315"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450" w:type="dxa"/>
            <w:gridSpan w:val="2"/>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523"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r>
        <w:tblPrEx>
          <w:tblCellMar>
            <w:top w:w="0" w:type="dxa"/>
            <w:left w:w="108" w:type="dxa"/>
            <w:bottom w:w="0" w:type="dxa"/>
            <w:right w:w="108" w:type="dxa"/>
          </w:tblCellMar>
        </w:tblPrEx>
        <w:tc>
          <w:tcPr>
            <w:tcW w:w="3990" w:type="dxa"/>
            <w:gridSpan w:val="6"/>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hint="eastAsia" w:ascii="宋体" w:hAnsi="宋体"/>
                <w:color w:val="auto"/>
                <w:szCs w:val="21"/>
                <w:highlight w:val="none"/>
              </w:rPr>
            </w:pPr>
            <w:r>
              <w:rPr>
                <w:rFonts w:ascii="宋体" w:hAnsi="宋体"/>
                <w:color w:val="auto"/>
                <w:szCs w:val="21"/>
                <w:highlight w:val="none"/>
              </w:rPr>
              <w:t>招标人编制</w:t>
            </w:r>
            <w:r>
              <w:rPr>
                <w:rFonts w:hint="eastAsia" w:ascii="宋体" w:hAnsi="宋体"/>
                <w:color w:val="auto"/>
                <w:szCs w:val="21"/>
                <w:highlight w:val="none"/>
              </w:rPr>
              <w:t>最高投标限价（单位：元）</w:t>
            </w:r>
          </w:p>
        </w:tc>
        <w:tc>
          <w:tcPr>
            <w:tcW w:w="2056" w:type="dxa"/>
            <w:gridSpan w:val="4"/>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c>
          <w:tcPr>
            <w:tcW w:w="3145" w:type="dxa"/>
            <w:gridSpan w:val="8"/>
            <w:tcBorders>
              <w:top w:val="single" w:color="auto" w:sz="4" w:space="0"/>
              <w:left w:val="single" w:color="auto" w:sz="4" w:space="0"/>
              <w:bottom w:val="single" w:color="auto" w:sz="4" w:space="0"/>
              <w:right w:val="single" w:color="auto" w:sz="4" w:space="0"/>
            </w:tcBorders>
            <w:noWrap w:val="0"/>
            <w:vAlign w:val="top"/>
          </w:tcPr>
          <w:p>
            <w:pPr>
              <w:spacing w:line="500" w:lineRule="exact"/>
              <w:jc w:val="left"/>
              <w:rPr>
                <w:rFonts w:ascii="宋体" w:hAnsi="宋体"/>
                <w:color w:val="auto"/>
                <w:szCs w:val="21"/>
                <w:highlight w:val="none"/>
              </w:rPr>
            </w:pPr>
          </w:p>
        </w:tc>
      </w:tr>
    </w:tbl>
    <w:p>
      <w:pPr>
        <w:spacing w:line="440" w:lineRule="exact"/>
        <w:rPr>
          <w:color w:val="auto"/>
          <w:highlight w:val="none"/>
          <w:u w:val="single"/>
        </w:rPr>
      </w:pPr>
      <w:r>
        <w:rPr>
          <w:rFonts w:hint="eastAsia"/>
          <w:color w:val="auto"/>
          <w:highlight w:val="none"/>
        </w:rPr>
        <w:t>招标人代表：</w:t>
      </w:r>
      <w:r>
        <w:rPr>
          <w:rFonts w:hint="eastAsia"/>
          <w:color w:val="auto"/>
          <w:highlight w:val="none"/>
          <w:u w:val="single"/>
        </w:rPr>
        <w:t xml:space="preserve">                 </w:t>
      </w:r>
      <w:r>
        <w:rPr>
          <w:rFonts w:hint="eastAsia"/>
          <w:color w:val="auto"/>
          <w:highlight w:val="none"/>
        </w:rPr>
        <w:t xml:space="preserve"> 记录人：</w:t>
      </w:r>
      <w:r>
        <w:rPr>
          <w:rFonts w:hint="eastAsia"/>
          <w:color w:val="auto"/>
          <w:highlight w:val="none"/>
          <w:u w:val="single"/>
        </w:rPr>
        <w:t xml:space="preserve">                 </w:t>
      </w:r>
      <w:r>
        <w:rPr>
          <w:rFonts w:hint="eastAsia"/>
          <w:color w:val="auto"/>
          <w:highlight w:val="none"/>
        </w:rPr>
        <w:t xml:space="preserve"> 监标人：</w:t>
      </w:r>
      <w:r>
        <w:rPr>
          <w:rFonts w:hint="eastAsia"/>
          <w:color w:val="auto"/>
          <w:highlight w:val="none"/>
          <w:u w:val="single"/>
        </w:rPr>
        <w:t xml:space="preserve">            </w:t>
      </w:r>
      <w:r>
        <w:rPr>
          <w:color w:val="auto"/>
          <w:highlight w:val="none"/>
          <w:u w:val="single"/>
        </w:rPr>
        <w:t xml:space="preserve">     </w:t>
      </w:r>
    </w:p>
    <w:p>
      <w:pPr>
        <w:spacing w:line="440" w:lineRule="exact"/>
        <w:jc w:val="right"/>
        <w:rPr>
          <w:rFonts w:hint="eastAsia"/>
          <w:color w:val="auto"/>
          <w:highlight w:val="none"/>
        </w:rPr>
      </w:pPr>
      <w:r>
        <w:rPr>
          <w:rFonts w:hint="eastAsia"/>
          <w:color w:val="auto"/>
          <w:highlight w:val="none"/>
        </w:rPr>
        <w:t xml:space="preserve">                                            </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 xml:space="preserve">月 </w:t>
      </w:r>
      <w:r>
        <w:rPr>
          <w:rFonts w:hint="eastAsia"/>
          <w:color w:val="auto"/>
          <w:highlight w:val="none"/>
          <w:u w:val="single"/>
        </w:rPr>
        <w:t xml:space="preserve">      </w:t>
      </w:r>
      <w:r>
        <w:rPr>
          <w:rFonts w:hint="eastAsia"/>
          <w:color w:val="auto"/>
          <w:highlight w:val="none"/>
        </w:rPr>
        <w:t>日</w:t>
      </w:r>
    </w:p>
    <w:p>
      <w:pPr>
        <w:spacing w:line="440" w:lineRule="exact"/>
        <w:jc w:val="left"/>
        <w:rPr>
          <w:rFonts w:hint="eastAsia"/>
          <w:color w:val="auto"/>
          <w:highlight w:val="none"/>
        </w:rPr>
      </w:pPr>
      <w:r>
        <w:rPr>
          <w:rFonts w:hint="eastAsia" w:ascii="宋体" w:hAnsi="宋体" w:eastAsia="宋体" w:cs="宋体"/>
          <w:color w:val="auto"/>
          <w:highlight w:val="none"/>
          <w:u w:val="single"/>
          <w:lang w:val="en-US" w:eastAsia="zh-CN"/>
        </w:rPr>
        <w:t>注：</w:t>
      </w:r>
      <w:r>
        <w:rPr>
          <w:rFonts w:hint="eastAsia" w:ascii="宋体" w:hAnsi="宋体" w:eastAsia="宋体" w:cs="宋体"/>
          <w:color w:val="auto"/>
          <w:highlight w:val="none"/>
          <w:u w:val="single"/>
        </w:rPr>
        <w:t>本表仅供参考，具体以</w:t>
      </w:r>
      <w:r>
        <w:rPr>
          <w:rFonts w:hint="eastAsia" w:ascii="宋体" w:hAnsi="宋体" w:eastAsia="宋体" w:cs="宋体"/>
          <w:color w:val="auto"/>
          <w:highlight w:val="none"/>
          <w:u w:val="single"/>
          <w:lang w:val="en-US" w:eastAsia="zh-CN"/>
        </w:rPr>
        <w:t>交易平台</w:t>
      </w:r>
      <w:r>
        <w:rPr>
          <w:rFonts w:hint="eastAsia" w:ascii="宋体" w:hAnsi="宋体" w:eastAsia="宋体" w:cs="宋体"/>
          <w:color w:val="auto"/>
          <w:highlight w:val="none"/>
          <w:u w:val="single"/>
        </w:rPr>
        <w:t>开标时的开标记录表为准。</w:t>
      </w:r>
    </w:p>
    <w:p>
      <w:pPr>
        <w:spacing w:line="360" w:lineRule="auto"/>
        <w:jc w:val="center"/>
        <w:rPr>
          <w:rFonts w:hint="eastAsia" w:ascii="宋体" w:hAnsi="宋体"/>
          <w:b/>
          <w:color w:val="auto"/>
          <w:sz w:val="32"/>
          <w:szCs w:val="32"/>
          <w:highlight w:val="none"/>
        </w:rPr>
      </w:pPr>
    </w:p>
    <w:p>
      <w:pPr>
        <w:pStyle w:val="25"/>
        <w:rPr>
          <w:rFonts w:hint="eastAsia" w:ascii="宋体" w:hAnsi="宋体"/>
          <w:b/>
          <w:color w:val="auto"/>
          <w:sz w:val="32"/>
          <w:szCs w:val="32"/>
          <w:highlight w:val="none"/>
        </w:rPr>
      </w:pPr>
    </w:p>
    <w:p>
      <w:pPr>
        <w:pStyle w:val="25"/>
        <w:rPr>
          <w:rFonts w:hint="eastAsia" w:ascii="宋体" w:hAnsi="宋体"/>
          <w:b/>
          <w:color w:val="auto"/>
          <w:sz w:val="32"/>
          <w:szCs w:val="32"/>
          <w:highlight w:val="none"/>
        </w:rPr>
      </w:pPr>
    </w:p>
    <w:p>
      <w:pPr>
        <w:pStyle w:val="25"/>
        <w:rPr>
          <w:rFonts w:hint="eastAsia" w:ascii="宋体" w:hAnsi="宋体"/>
          <w:b/>
          <w:color w:val="auto"/>
          <w:sz w:val="32"/>
          <w:szCs w:val="32"/>
          <w:highlight w:val="none"/>
        </w:rPr>
      </w:pPr>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抽取评标基准价的下浮率记录表</w:t>
      </w:r>
    </w:p>
    <w:p>
      <w:pPr>
        <w:tabs>
          <w:tab w:val="left" w:pos="720"/>
        </w:tabs>
        <w:snapToGrid w:val="0"/>
        <w:spacing w:line="360" w:lineRule="auto"/>
        <w:jc w:val="center"/>
        <w:rPr>
          <w:rFonts w:ascii="宋体" w:hAnsi="宋体"/>
          <w:color w:val="auto"/>
          <w:sz w:val="24"/>
          <w:highlight w:val="none"/>
        </w:rPr>
      </w:pPr>
    </w:p>
    <w:p>
      <w:pPr>
        <w:tabs>
          <w:tab w:val="left" w:pos="720"/>
        </w:tabs>
        <w:snapToGrid w:val="0"/>
        <w:spacing w:line="360" w:lineRule="auto"/>
        <w:jc w:val="left"/>
        <w:rPr>
          <w:rFonts w:ascii="宋体" w:hAnsi="宋体"/>
          <w:color w:val="auto"/>
          <w:sz w:val="24"/>
          <w:highlight w:val="none"/>
        </w:rPr>
      </w:pPr>
      <w:r>
        <w:rPr>
          <w:rFonts w:hint="eastAsia" w:ascii="宋体" w:hAnsi="宋体"/>
          <w:color w:val="auto"/>
          <w:sz w:val="24"/>
          <w:highlight w:val="none"/>
        </w:rPr>
        <w:t>项目名称：</w:t>
      </w:r>
    </w:p>
    <w:p>
      <w:pPr>
        <w:tabs>
          <w:tab w:val="left" w:pos="720"/>
        </w:tabs>
        <w:snapToGrid w:val="0"/>
        <w:spacing w:line="360" w:lineRule="auto"/>
        <w:jc w:val="left"/>
        <w:rPr>
          <w:rFonts w:ascii="宋体" w:hAnsi="宋体"/>
          <w:color w:val="auto"/>
          <w:sz w:val="24"/>
          <w:highlight w:val="none"/>
        </w:rPr>
      </w:pPr>
      <w:r>
        <w:rPr>
          <w:rFonts w:hint="eastAsia" w:ascii="宋体" w:hAnsi="宋体"/>
          <w:color w:val="auto"/>
          <w:sz w:val="24"/>
          <w:highlight w:val="none"/>
        </w:rPr>
        <w:t>开标地点：</w:t>
      </w:r>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9"/>
        <w:gridCol w:w="1535"/>
        <w:gridCol w:w="1620"/>
        <w:gridCol w:w="4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center"/>
          </w:tcPr>
          <w:p>
            <w:pPr>
              <w:tabs>
                <w:tab w:val="left" w:pos="720"/>
              </w:tabs>
              <w:snapToGrid w:val="0"/>
              <w:jc w:val="center"/>
              <w:rPr>
                <w:rFonts w:ascii="宋体" w:hAnsi="宋体"/>
                <w:color w:val="auto"/>
                <w:sz w:val="24"/>
                <w:highlight w:val="none"/>
              </w:rPr>
            </w:pPr>
            <w:r>
              <w:rPr>
                <w:rFonts w:hint="eastAsia" w:ascii="宋体" w:hAnsi="宋体"/>
                <w:color w:val="auto"/>
                <w:sz w:val="24"/>
                <w:highlight w:val="none"/>
              </w:rPr>
              <w:t>球号</w:t>
            </w:r>
          </w:p>
        </w:tc>
        <w:tc>
          <w:tcPr>
            <w:tcW w:w="1535" w:type="dxa"/>
            <w:noWrap w:val="0"/>
            <w:vAlign w:val="center"/>
          </w:tcPr>
          <w:p>
            <w:pPr>
              <w:tabs>
                <w:tab w:val="left" w:pos="720"/>
              </w:tabs>
              <w:snapToGrid w:val="0"/>
              <w:jc w:val="center"/>
              <w:rPr>
                <w:rFonts w:ascii="宋体" w:hAnsi="宋体"/>
                <w:color w:val="auto"/>
                <w:sz w:val="24"/>
                <w:highlight w:val="none"/>
              </w:rPr>
            </w:pPr>
            <w:r>
              <w:rPr>
                <w:rFonts w:hint="eastAsia" w:ascii="宋体" w:hAnsi="宋体"/>
                <w:color w:val="auto"/>
                <w:sz w:val="24"/>
                <w:highlight w:val="none"/>
              </w:rPr>
              <w:t>代表下浮率（%）</w:t>
            </w:r>
          </w:p>
        </w:tc>
        <w:tc>
          <w:tcPr>
            <w:tcW w:w="1620" w:type="dxa"/>
            <w:noWrap w:val="0"/>
            <w:vAlign w:val="center"/>
          </w:tcPr>
          <w:p>
            <w:pPr>
              <w:tabs>
                <w:tab w:val="left" w:pos="720"/>
              </w:tabs>
              <w:snapToGrid w:val="0"/>
              <w:jc w:val="center"/>
              <w:rPr>
                <w:rFonts w:ascii="宋体" w:hAnsi="宋体"/>
                <w:color w:val="auto"/>
                <w:sz w:val="24"/>
                <w:highlight w:val="none"/>
              </w:rPr>
            </w:pPr>
            <w:r>
              <w:rPr>
                <w:rFonts w:hint="eastAsia" w:ascii="宋体" w:hAnsi="宋体"/>
                <w:color w:val="auto"/>
                <w:sz w:val="24"/>
                <w:highlight w:val="none"/>
              </w:rPr>
              <w:t>摇出球号</w:t>
            </w:r>
          </w:p>
        </w:tc>
        <w:tc>
          <w:tcPr>
            <w:tcW w:w="4264" w:type="dxa"/>
            <w:noWrap w:val="0"/>
            <w:vAlign w:val="center"/>
          </w:tcPr>
          <w:p>
            <w:pPr>
              <w:tabs>
                <w:tab w:val="left" w:pos="720"/>
              </w:tabs>
              <w:snapToGrid w:val="0"/>
              <w:jc w:val="center"/>
              <w:rPr>
                <w:rFonts w:ascii="宋体" w:hAnsi="宋体"/>
                <w:color w:val="auto"/>
                <w:sz w:val="24"/>
                <w:highlight w:val="none"/>
              </w:rPr>
            </w:pPr>
            <w:r>
              <w:rPr>
                <w:rFonts w:hint="eastAsia" w:ascii="宋体" w:hAnsi="宋体"/>
                <w:color w:val="auto"/>
                <w:sz w:val="24"/>
                <w:highlight w:val="none"/>
              </w:rPr>
              <w:t>随机抽取的评标基准价的下浮率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top"/>
          </w:tcPr>
          <w:p>
            <w:pPr>
              <w:tabs>
                <w:tab w:val="left" w:pos="720"/>
              </w:tabs>
              <w:snapToGrid w:val="0"/>
              <w:jc w:val="center"/>
              <w:rPr>
                <w:rFonts w:ascii="宋体" w:hAnsi="宋体"/>
                <w:color w:val="auto"/>
                <w:sz w:val="24"/>
                <w:highlight w:val="none"/>
              </w:rPr>
            </w:pPr>
          </w:p>
        </w:tc>
        <w:tc>
          <w:tcPr>
            <w:tcW w:w="1535" w:type="dxa"/>
            <w:noWrap w:val="0"/>
            <w:vAlign w:val="top"/>
          </w:tcPr>
          <w:p>
            <w:pPr>
              <w:tabs>
                <w:tab w:val="left" w:pos="720"/>
              </w:tabs>
              <w:snapToGrid w:val="0"/>
              <w:jc w:val="center"/>
              <w:rPr>
                <w:rFonts w:ascii="宋体" w:hAnsi="宋体"/>
                <w:color w:val="auto"/>
                <w:sz w:val="24"/>
                <w:highlight w:val="none"/>
              </w:rPr>
            </w:pPr>
            <w:r>
              <w:rPr>
                <w:rFonts w:hint="eastAsia" w:ascii="宋体" w:hAnsi="宋体"/>
                <w:color w:val="auto"/>
                <w:sz w:val="24"/>
                <w:highlight w:val="none"/>
              </w:rPr>
              <w:t>2</w:t>
            </w:r>
          </w:p>
        </w:tc>
        <w:tc>
          <w:tcPr>
            <w:tcW w:w="1620" w:type="dxa"/>
            <w:vMerge w:val="restart"/>
            <w:noWrap w:val="0"/>
            <w:vAlign w:val="top"/>
          </w:tcPr>
          <w:p>
            <w:pPr>
              <w:tabs>
                <w:tab w:val="left" w:pos="720"/>
              </w:tabs>
              <w:snapToGrid w:val="0"/>
              <w:jc w:val="center"/>
              <w:rPr>
                <w:rFonts w:ascii="宋体" w:hAnsi="宋体"/>
                <w:color w:val="auto"/>
                <w:sz w:val="24"/>
                <w:highlight w:val="none"/>
              </w:rPr>
            </w:pPr>
          </w:p>
        </w:tc>
        <w:tc>
          <w:tcPr>
            <w:tcW w:w="4264" w:type="dxa"/>
            <w:vMerge w:val="restart"/>
            <w:noWrap w:val="0"/>
            <w:vAlign w:val="top"/>
          </w:tcPr>
          <w:p>
            <w:pPr>
              <w:tabs>
                <w:tab w:val="left" w:pos="720"/>
              </w:tabs>
              <w:snapToGrid w:val="0"/>
              <w:jc w:val="center"/>
              <w:rPr>
                <w:rFonts w:ascii="宋体" w:hAnsi="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09" w:type="dxa"/>
            <w:noWrap w:val="0"/>
            <w:vAlign w:val="top"/>
          </w:tcPr>
          <w:p>
            <w:pPr>
              <w:tabs>
                <w:tab w:val="left" w:pos="720"/>
              </w:tabs>
              <w:snapToGrid w:val="0"/>
              <w:jc w:val="center"/>
              <w:rPr>
                <w:rFonts w:ascii="宋体" w:hAnsi="宋体"/>
                <w:color w:val="auto"/>
                <w:sz w:val="24"/>
                <w:highlight w:val="none"/>
              </w:rPr>
            </w:pPr>
          </w:p>
        </w:tc>
        <w:tc>
          <w:tcPr>
            <w:tcW w:w="1535" w:type="dxa"/>
            <w:noWrap w:val="0"/>
            <w:vAlign w:val="top"/>
          </w:tcPr>
          <w:p>
            <w:pPr>
              <w:tabs>
                <w:tab w:val="left" w:pos="720"/>
              </w:tabs>
              <w:snapToGrid w:val="0"/>
              <w:jc w:val="center"/>
              <w:rPr>
                <w:rFonts w:ascii="宋体" w:hAnsi="宋体"/>
                <w:color w:val="auto"/>
                <w:sz w:val="24"/>
                <w:highlight w:val="none"/>
              </w:rPr>
            </w:pPr>
            <w:r>
              <w:rPr>
                <w:rFonts w:hint="eastAsia" w:ascii="宋体" w:hAnsi="宋体"/>
                <w:color w:val="auto"/>
                <w:sz w:val="24"/>
                <w:highlight w:val="none"/>
              </w:rPr>
              <w:t>2.5</w:t>
            </w:r>
          </w:p>
        </w:tc>
        <w:tc>
          <w:tcPr>
            <w:tcW w:w="1620" w:type="dxa"/>
            <w:vMerge w:val="continue"/>
            <w:noWrap w:val="0"/>
            <w:vAlign w:val="top"/>
          </w:tcPr>
          <w:p>
            <w:pPr>
              <w:tabs>
                <w:tab w:val="left" w:pos="720"/>
              </w:tabs>
              <w:snapToGrid w:val="0"/>
              <w:jc w:val="center"/>
              <w:rPr>
                <w:rFonts w:ascii="宋体" w:hAnsi="宋体"/>
                <w:color w:val="auto"/>
                <w:sz w:val="24"/>
                <w:highlight w:val="none"/>
              </w:rPr>
            </w:pPr>
          </w:p>
        </w:tc>
        <w:tc>
          <w:tcPr>
            <w:tcW w:w="4264" w:type="dxa"/>
            <w:vMerge w:val="continue"/>
            <w:noWrap w:val="0"/>
            <w:vAlign w:val="top"/>
          </w:tcPr>
          <w:p>
            <w:pPr>
              <w:tabs>
                <w:tab w:val="left" w:pos="720"/>
              </w:tabs>
              <w:snapToGrid w:val="0"/>
              <w:jc w:val="center"/>
              <w:rPr>
                <w:rFonts w:ascii="宋体" w:hAnsi="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top"/>
          </w:tcPr>
          <w:p>
            <w:pPr>
              <w:tabs>
                <w:tab w:val="left" w:pos="720"/>
              </w:tabs>
              <w:snapToGrid w:val="0"/>
              <w:jc w:val="center"/>
              <w:rPr>
                <w:rFonts w:ascii="宋体" w:hAnsi="宋体"/>
                <w:color w:val="auto"/>
                <w:sz w:val="24"/>
                <w:highlight w:val="none"/>
              </w:rPr>
            </w:pPr>
          </w:p>
        </w:tc>
        <w:tc>
          <w:tcPr>
            <w:tcW w:w="1535" w:type="dxa"/>
            <w:noWrap w:val="0"/>
            <w:vAlign w:val="top"/>
          </w:tcPr>
          <w:p>
            <w:pPr>
              <w:tabs>
                <w:tab w:val="left" w:pos="720"/>
              </w:tabs>
              <w:snapToGrid w:val="0"/>
              <w:jc w:val="center"/>
              <w:rPr>
                <w:rFonts w:ascii="宋体" w:hAnsi="宋体"/>
                <w:color w:val="auto"/>
                <w:sz w:val="24"/>
                <w:highlight w:val="none"/>
              </w:rPr>
            </w:pPr>
            <w:r>
              <w:rPr>
                <w:rFonts w:hint="eastAsia" w:ascii="宋体" w:hAnsi="宋体"/>
                <w:color w:val="auto"/>
                <w:sz w:val="24"/>
                <w:highlight w:val="none"/>
              </w:rPr>
              <w:t>3</w:t>
            </w:r>
          </w:p>
        </w:tc>
        <w:tc>
          <w:tcPr>
            <w:tcW w:w="1620" w:type="dxa"/>
            <w:vMerge w:val="continue"/>
            <w:noWrap w:val="0"/>
            <w:vAlign w:val="top"/>
          </w:tcPr>
          <w:p>
            <w:pPr>
              <w:tabs>
                <w:tab w:val="left" w:pos="720"/>
              </w:tabs>
              <w:snapToGrid w:val="0"/>
              <w:jc w:val="center"/>
              <w:rPr>
                <w:rFonts w:ascii="宋体" w:hAnsi="宋体"/>
                <w:color w:val="auto"/>
                <w:sz w:val="24"/>
                <w:highlight w:val="none"/>
              </w:rPr>
            </w:pPr>
          </w:p>
        </w:tc>
        <w:tc>
          <w:tcPr>
            <w:tcW w:w="4264" w:type="dxa"/>
            <w:vMerge w:val="continue"/>
            <w:noWrap w:val="0"/>
            <w:vAlign w:val="top"/>
          </w:tcPr>
          <w:p>
            <w:pPr>
              <w:tabs>
                <w:tab w:val="left" w:pos="720"/>
              </w:tabs>
              <w:snapToGrid w:val="0"/>
              <w:jc w:val="center"/>
              <w:rPr>
                <w:rFonts w:ascii="宋体" w:hAnsi="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top"/>
          </w:tcPr>
          <w:p>
            <w:pPr>
              <w:tabs>
                <w:tab w:val="left" w:pos="720"/>
              </w:tabs>
              <w:snapToGrid w:val="0"/>
              <w:jc w:val="center"/>
              <w:rPr>
                <w:rFonts w:ascii="宋体" w:hAnsi="宋体"/>
                <w:color w:val="auto"/>
                <w:sz w:val="24"/>
                <w:highlight w:val="none"/>
              </w:rPr>
            </w:pPr>
          </w:p>
        </w:tc>
        <w:tc>
          <w:tcPr>
            <w:tcW w:w="1535" w:type="dxa"/>
            <w:noWrap w:val="0"/>
            <w:vAlign w:val="top"/>
          </w:tcPr>
          <w:p>
            <w:pPr>
              <w:tabs>
                <w:tab w:val="left" w:pos="720"/>
              </w:tabs>
              <w:snapToGrid w:val="0"/>
              <w:jc w:val="center"/>
              <w:rPr>
                <w:rFonts w:ascii="宋体" w:hAnsi="宋体"/>
                <w:color w:val="auto"/>
                <w:sz w:val="24"/>
                <w:highlight w:val="none"/>
              </w:rPr>
            </w:pPr>
            <w:r>
              <w:rPr>
                <w:rFonts w:hint="eastAsia" w:ascii="宋体" w:hAnsi="宋体"/>
                <w:color w:val="auto"/>
                <w:sz w:val="24"/>
                <w:highlight w:val="none"/>
              </w:rPr>
              <w:t>3.5</w:t>
            </w:r>
          </w:p>
        </w:tc>
        <w:tc>
          <w:tcPr>
            <w:tcW w:w="1620" w:type="dxa"/>
            <w:vMerge w:val="continue"/>
            <w:noWrap w:val="0"/>
            <w:vAlign w:val="top"/>
          </w:tcPr>
          <w:p>
            <w:pPr>
              <w:tabs>
                <w:tab w:val="left" w:pos="720"/>
              </w:tabs>
              <w:snapToGrid w:val="0"/>
              <w:jc w:val="center"/>
              <w:rPr>
                <w:rFonts w:ascii="宋体" w:hAnsi="宋体"/>
                <w:color w:val="auto"/>
                <w:sz w:val="24"/>
                <w:highlight w:val="none"/>
              </w:rPr>
            </w:pPr>
          </w:p>
        </w:tc>
        <w:tc>
          <w:tcPr>
            <w:tcW w:w="4264" w:type="dxa"/>
            <w:vMerge w:val="continue"/>
            <w:noWrap w:val="0"/>
            <w:vAlign w:val="top"/>
          </w:tcPr>
          <w:p>
            <w:pPr>
              <w:tabs>
                <w:tab w:val="left" w:pos="720"/>
              </w:tabs>
              <w:snapToGrid w:val="0"/>
              <w:jc w:val="center"/>
              <w:rPr>
                <w:rFonts w:ascii="宋体" w:hAnsi="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top"/>
          </w:tcPr>
          <w:p>
            <w:pPr>
              <w:tabs>
                <w:tab w:val="left" w:pos="720"/>
              </w:tabs>
              <w:snapToGrid w:val="0"/>
              <w:jc w:val="center"/>
              <w:rPr>
                <w:rFonts w:ascii="宋体" w:hAnsi="宋体"/>
                <w:color w:val="auto"/>
                <w:sz w:val="24"/>
                <w:highlight w:val="none"/>
              </w:rPr>
            </w:pPr>
          </w:p>
        </w:tc>
        <w:tc>
          <w:tcPr>
            <w:tcW w:w="1535" w:type="dxa"/>
            <w:noWrap w:val="0"/>
            <w:vAlign w:val="top"/>
          </w:tcPr>
          <w:p>
            <w:pPr>
              <w:tabs>
                <w:tab w:val="left" w:pos="720"/>
              </w:tabs>
              <w:snapToGrid w:val="0"/>
              <w:jc w:val="center"/>
              <w:rPr>
                <w:rFonts w:ascii="宋体" w:hAnsi="宋体"/>
                <w:color w:val="auto"/>
                <w:sz w:val="24"/>
                <w:highlight w:val="none"/>
              </w:rPr>
            </w:pPr>
            <w:r>
              <w:rPr>
                <w:rFonts w:hint="eastAsia" w:ascii="宋体" w:hAnsi="宋体"/>
                <w:color w:val="auto"/>
                <w:sz w:val="24"/>
                <w:highlight w:val="none"/>
              </w:rPr>
              <w:t>4</w:t>
            </w:r>
          </w:p>
        </w:tc>
        <w:tc>
          <w:tcPr>
            <w:tcW w:w="1620" w:type="dxa"/>
            <w:vMerge w:val="continue"/>
            <w:noWrap w:val="0"/>
            <w:vAlign w:val="top"/>
          </w:tcPr>
          <w:p>
            <w:pPr>
              <w:tabs>
                <w:tab w:val="left" w:pos="720"/>
              </w:tabs>
              <w:snapToGrid w:val="0"/>
              <w:jc w:val="center"/>
              <w:rPr>
                <w:rFonts w:ascii="宋体" w:hAnsi="宋体"/>
                <w:color w:val="auto"/>
                <w:sz w:val="24"/>
                <w:highlight w:val="none"/>
              </w:rPr>
            </w:pPr>
          </w:p>
        </w:tc>
        <w:tc>
          <w:tcPr>
            <w:tcW w:w="4264" w:type="dxa"/>
            <w:vMerge w:val="continue"/>
            <w:noWrap w:val="0"/>
            <w:vAlign w:val="top"/>
          </w:tcPr>
          <w:p>
            <w:pPr>
              <w:tabs>
                <w:tab w:val="left" w:pos="720"/>
              </w:tabs>
              <w:snapToGrid w:val="0"/>
              <w:jc w:val="center"/>
              <w:rPr>
                <w:rFonts w:ascii="宋体" w:hAnsi="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top"/>
          </w:tcPr>
          <w:p>
            <w:pPr>
              <w:tabs>
                <w:tab w:val="left" w:pos="720"/>
              </w:tabs>
              <w:snapToGrid w:val="0"/>
              <w:jc w:val="center"/>
              <w:rPr>
                <w:rFonts w:ascii="宋体" w:hAnsi="宋体"/>
                <w:color w:val="auto"/>
                <w:sz w:val="24"/>
                <w:highlight w:val="none"/>
              </w:rPr>
            </w:pPr>
          </w:p>
        </w:tc>
        <w:tc>
          <w:tcPr>
            <w:tcW w:w="1535" w:type="dxa"/>
            <w:noWrap w:val="0"/>
            <w:vAlign w:val="top"/>
          </w:tcPr>
          <w:p>
            <w:pPr>
              <w:tabs>
                <w:tab w:val="left" w:pos="720"/>
              </w:tabs>
              <w:snapToGrid w:val="0"/>
              <w:jc w:val="center"/>
              <w:rPr>
                <w:rFonts w:ascii="宋体" w:hAnsi="宋体"/>
                <w:color w:val="auto"/>
                <w:sz w:val="24"/>
                <w:highlight w:val="none"/>
              </w:rPr>
            </w:pPr>
            <w:r>
              <w:rPr>
                <w:rFonts w:hint="eastAsia" w:ascii="宋体" w:hAnsi="宋体"/>
                <w:color w:val="auto"/>
                <w:sz w:val="24"/>
                <w:highlight w:val="none"/>
              </w:rPr>
              <w:t>4.5</w:t>
            </w:r>
          </w:p>
        </w:tc>
        <w:tc>
          <w:tcPr>
            <w:tcW w:w="1620" w:type="dxa"/>
            <w:vMerge w:val="continue"/>
            <w:noWrap w:val="0"/>
            <w:vAlign w:val="top"/>
          </w:tcPr>
          <w:p>
            <w:pPr>
              <w:tabs>
                <w:tab w:val="left" w:pos="720"/>
              </w:tabs>
              <w:snapToGrid w:val="0"/>
              <w:jc w:val="center"/>
              <w:rPr>
                <w:rFonts w:ascii="宋体" w:hAnsi="宋体"/>
                <w:color w:val="auto"/>
                <w:sz w:val="24"/>
                <w:highlight w:val="none"/>
              </w:rPr>
            </w:pPr>
          </w:p>
        </w:tc>
        <w:tc>
          <w:tcPr>
            <w:tcW w:w="4264" w:type="dxa"/>
            <w:vMerge w:val="continue"/>
            <w:noWrap w:val="0"/>
            <w:vAlign w:val="top"/>
          </w:tcPr>
          <w:p>
            <w:pPr>
              <w:tabs>
                <w:tab w:val="left" w:pos="720"/>
              </w:tabs>
              <w:snapToGrid w:val="0"/>
              <w:jc w:val="center"/>
              <w:rPr>
                <w:rFonts w:ascii="宋体" w:hAnsi="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top"/>
          </w:tcPr>
          <w:p>
            <w:pPr>
              <w:tabs>
                <w:tab w:val="left" w:pos="720"/>
              </w:tabs>
              <w:snapToGrid w:val="0"/>
              <w:jc w:val="center"/>
              <w:rPr>
                <w:rFonts w:ascii="宋体" w:hAnsi="宋体"/>
                <w:color w:val="auto"/>
                <w:sz w:val="24"/>
                <w:highlight w:val="none"/>
              </w:rPr>
            </w:pPr>
          </w:p>
        </w:tc>
        <w:tc>
          <w:tcPr>
            <w:tcW w:w="1535" w:type="dxa"/>
            <w:noWrap w:val="0"/>
            <w:vAlign w:val="top"/>
          </w:tcPr>
          <w:p>
            <w:pPr>
              <w:tabs>
                <w:tab w:val="left" w:pos="720"/>
              </w:tabs>
              <w:snapToGrid w:val="0"/>
              <w:jc w:val="center"/>
              <w:rPr>
                <w:rFonts w:ascii="宋体" w:hAnsi="宋体"/>
                <w:color w:val="auto"/>
                <w:sz w:val="24"/>
                <w:highlight w:val="none"/>
              </w:rPr>
            </w:pPr>
            <w:r>
              <w:rPr>
                <w:rFonts w:hint="eastAsia" w:ascii="宋体" w:hAnsi="宋体"/>
                <w:color w:val="auto"/>
                <w:sz w:val="24"/>
                <w:highlight w:val="none"/>
              </w:rPr>
              <w:t>5</w:t>
            </w:r>
          </w:p>
        </w:tc>
        <w:tc>
          <w:tcPr>
            <w:tcW w:w="1620" w:type="dxa"/>
            <w:vMerge w:val="continue"/>
            <w:noWrap w:val="0"/>
            <w:vAlign w:val="top"/>
          </w:tcPr>
          <w:p>
            <w:pPr>
              <w:tabs>
                <w:tab w:val="left" w:pos="720"/>
              </w:tabs>
              <w:snapToGrid w:val="0"/>
              <w:jc w:val="center"/>
              <w:rPr>
                <w:rFonts w:ascii="宋体" w:hAnsi="宋体"/>
                <w:color w:val="auto"/>
                <w:sz w:val="24"/>
                <w:highlight w:val="none"/>
              </w:rPr>
            </w:pPr>
          </w:p>
        </w:tc>
        <w:tc>
          <w:tcPr>
            <w:tcW w:w="4264" w:type="dxa"/>
            <w:vMerge w:val="continue"/>
            <w:noWrap w:val="0"/>
            <w:vAlign w:val="top"/>
          </w:tcPr>
          <w:p>
            <w:pPr>
              <w:tabs>
                <w:tab w:val="left" w:pos="720"/>
              </w:tabs>
              <w:snapToGrid w:val="0"/>
              <w:jc w:val="center"/>
              <w:rPr>
                <w:rFonts w:ascii="宋体" w:hAnsi="宋体"/>
                <w:color w:val="auto"/>
                <w:sz w:val="24"/>
                <w:highlight w:val="none"/>
              </w:rPr>
            </w:pPr>
          </w:p>
        </w:tc>
      </w:tr>
    </w:tbl>
    <w:p>
      <w:pPr>
        <w:spacing w:line="440" w:lineRule="exact"/>
        <w:rPr>
          <w:rFonts w:hint="eastAsia" w:ascii="宋体" w:hAnsi="宋体" w:eastAsia="宋体" w:cs="Times New Roman"/>
          <w:b/>
          <w:color w:val="auto"/>
          <w:szCs w:val="21"/>
          <w:highlight w:val="none"/>
        </w:rPr>
      </w:pPr>
      <w:r>
        <w:rPr>
          <w:rFonts w:hint="eastAsia" w:ascii="宋体" w:hAnsi="宋体"/>
          <w:b/>
          <w:color w:val="auto"/>
          <w:szCs w:val="21"/>
          <w:highlight w:val="none"/>
        </w:rPr>
        <w:t>注：1、公开摇取评标基准价下浮率（下浮率取值范围在2%~5%，按0.5%设定级差）。</w:t>
      </w:r>
    </w:p>
    <w:p>
      <w:pPr>
        <w:spacing w:line="440" w:lineRule="exact"/>
        <w:ind w:firstLine="422" w:firstLineChars="200"/>
        <w:rPr>
          <w:rFonts w:hint="eastAsia" w:ascii="宋体" w:hAnsi="宋体"/>
          <w:b/>
          <w:color w:val="auto"/>
          <w:szCs w:val="21"/>
          <w:highlight w:val="none"/>
        </w:rPr>
      </w:pPr>
      <w:r>
        <w:rPr>
          <w:rFonts w:hint="eastAsia" w:ascii="宋体" w:hAnsi="宋体" w:eastAsia="宋体" w:cs="Times New Roman"/>
          <w:b/>
          <w:color w:val="auto"/>
          <w:szCs w:val="21"/>
          <w:highlight w:val="none"/>
        </w:rPr>
        <w:t>2</w:t>
      </w:r>
      <w:r>
        <w:rPr>
          <w:rFonts w:hint="eastAsia" w:ascii="宋体" w:hAnsi="宋体"/>
          <w:b/>
          <w:color w:val="auto"/>
          <w:szCs w:val="21"/>
          <w:highlight w:val="none"/>
        </w:rPr>
        <w:t>、采用线上抽取方式：在广州交易集团有限公司（广州公共资源交易中心）系统的号牌列表中(0.020、0.025、0.030、0.035、0.040、0.045、0.050)，通过随机抽取方式确定下浮率。</w:t>
      </w:r>
    </w:p>
    <w:p>
      <w:pPr>
        <w:spacing w:line="4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3、采用线下抽取评标基准价下浮率的，球号根据广州交易集团有限公司（广州公共资源交易中心）提供号球填写，如提供的球为1、2、3、4、5、6、7，则球号列按从小到大的顺序对应填写1、2、3、4、5、6、7；如提供的球号2、2.5、3、3.5、4、4.5、5，则球号列对应填写2、2.5、3、3.5、4、4.5、5。</w:t>
      </w:r>
    </w:p>
    <w:p>
      <w:pPr>
        <w:spacing w:line="440" w:lineRule="exact"/>
        <w:rPr>
          <w:rFonts w:ascii="宋体" w:hAnsi="宋体"/>
          <w:color w:val="auto"/>
          <w:szCs w:val="21"/>
          <w:highlight w:val="none"/>
        </w:rPr>
      </w:pPr>
    </w:p>
    <w:p>
      <w:pPr>
        <w:pStyle w:val="2"/>
        <w:rPr>
          <w:rFonts w:hint="default" w:eastAsia="宋体"/>
          <w:color w:val="auto"/>
          <w:highlight w:val="none"/>
          <w:lang w:val="en-US" w:eastAsia="zh-CN"/>
        </w:rPr>
      </w:pPr>
      <w:r>
        <w:rPr>
          <w:rFonts w:hint="eastAsia" w:ascii="宋体" w:hAnsi="宋体"/>
          <w:color w:val="auto"/>
          <w:szCs w:val="21"/>
          <w:highlight w:val="none"/>
          <w:lang w:val="en-US" w:eastAsia="zh-CN"/>
        </w:rPr>
        <w:t>招标人：</w:t>
      </w:r>
    </w:p>
    <w:p>
      <w:pPr>
        <w:spacing w:line="440" w:lineRule="exact"/>
        <w:rPr>
          <w:rFonts w:hint="eastAsia" w:ascii="宋体" w:hAnsi="宋体"/>
          <w:color w:val="auto"/>
          <w:szCs w:val="21"/>
          <w:highlight w:val="none"/>
        </w:rPr>
      </w:pPr>
    </w:p>
    <w:p>
      <w:pPr>
        <w:spacing w:line="440" w:lineRule="exact"/>
        <w:rPr>
          <w:rFonts w:ascii="宋体" w:hAnsi="宋体"/>
          <w:color w:val="auto"/>
          <w:szCs w:val="21"/>
          <w:highlight w:val="none"/>
        </w:rPr>
      </w:pPr>
      <w:r>
        <w:rPr>
          <w:rFonts w:hint="eastAsia" w:ascii="宋体" w:hAnsi="宋体"/>
          <w:color w:val="auto"/>
          <w:szCs w:val="21"/>
          <w:highlight w:val="none"/>
        </w:rPr>
        <w:t xml:space="preserve">监标人：             </w:t>
      </w:r>
    </w:p>
    <w:p>
      <w:pPr>
        <w:spacing w:line="440" w:lineRule="exact"/>
        <w:rPr>
          <w:rFonts w:ascii="宋体" w:hAnsi="宋体"/>
          <w:color w:val="auto"/>
          <w:szCs w:val="21"/>
          <w:highlight w:val="none"/>
        </w:rPr>
      </w:pPr>
    </w:p>
    <w:p>
      <w:pPr>
        <w:spacing w:line="440" w:lineRule="exact"/>
        <w:rPr>
          <w:rFonts w:ascii="宋体" w:hAnsi="宋体"/>
          <w:color w:val="auto"/>
          <w:szCs w:val="21"/>
          <w:highlight w:val="none"/>
        </w:rPr>
      </w:pPr>
      <w:r>
        <w:rPr>
          <w:rFonts w:hint="eastAsia" w:ascii="宋体" w:hAnsi="宋体"/>
          <w:color w:val="auto"/>
          <w:szCs w:val="21"/>
          <w:highlight w:val="none"/>
        </w:rPr>
        <w:t xml:space="preserve">招标代理记录人：              </w:t>
      </w:r>
    </w:p>
    <w:p>
      <w:pPr>
        <w:spacing w:line="440" w:lineRule="exact"/>
        <w:rPr>
          <w:rFonts w:ascii="宋体" w:hAnsi="宋体"/>
          <w:color w:val="auto"/>
          <w:szCs w:val="21"/>
          <w:highlight w:val="none"/>
        </w:rPr>
      </w:pPr>
    </w:p>
    <w:p>
      <w:pPr>
        <w:spacing w:line="440" w:lineRule="exact"/>
        <w:rPr>
          <w:rFonts w:ascii="宋体" w:hAnsi="宋体"/>
          <w:color w:val="auto"/>
          <w:szCs w:val="21"/>
          <w:highlight w:val="none"/>
        </w:rPr>
      </w:pPr>
      <w:r>
        <w:rPr>
          <w:rFonts w:hint="eastAsia" w:ascii="宋体" w:hAnsi="宋体"/>
          <w:color w:val="auto"/>
          <w:szCs w:val="21"/>
          <w:highlight w:val="none"/>
        </w:rPr>
        <w:t xml:space="preserve">招标代理唱标人:               </w:t>
      </w:r>
    </w:p>
    <w:p>
      <w:pPr>
        <w:spacing w:line="440" w:lineRule="exact"/>
        <w:rPr>
          <w:rFonts w:ascii="宋体" w:hAnsi="宋体"/>
          <w:color w:val="auto"/>
          <w:szCs w:val="21"/>
          <w:highlight w:val="none"/>
        </w:rPr>
      </w:pPr>
    </w:p>
    <w:p>
      <w:pPr>
        <w:spacing w:line="440" w:lineRule="exact"/>
        <w:rPr>
          <w:rFonts w:ascii="宋体" w:hAnsi="宋体"/>
          <w:color w:val="auto"/>
          <w:szCs w:val="21"/>
          <w:highlight w:val="none"/>
        </w:rPr>
      </w:pPr>
      <w:r>
        <w:rPr>
          <w:rFonts w:hint="eastAsia" w:ascii="宋体" w:hAnsi="宋体"/>
          <w:color w:val="auto"/>
          <w:szCs w:val="21"/>
          <w:highlight w:val="none"/>
        </w:rPr>
        <w:t xml:space="preserve">见证人:              </w:t>
      </w:r>
    </w:p>
    <w:p>
      <w:pPr>
        <w:spacing w:line="440" w:lineRule="exact"/>
        <w:rPr>
          <w:rFonts w:ascii="宋体" w:hAnsi="宋体"/>
          <w:color w:val="auto"/>
          <w:szCs w:val="21"/>
          <w:highlight w:val="none"/>
        </w:rPr>
      </w:pPr>
    </w:p>
    <w:p>
      <w:pPr>
        <w:spacing w:line="440" w:lineRule="exact"/>
        <w:rPr>
          <w:color w:val="auto"/>
          <w:szCs w:val="21"/>
          <w:highlight w:val="none"/>
        </w:rPr>
      </w:pPr>
      <w:r>
        <w:rPr>
          <w:rFonts w:hint="eastAsia" w:ascii="宋体" w:hAnsi="宋体"/>
          <w:color w:val="auto"/>
          <w:szCs w:val="21"/>
          <w:highlight w:val="none"/>
        </w:rPr>
        <w:t xml:space="preserve"> 日期:     年  月  日</w:t>
      </w:r>
      <w:r>
        <w:rPr>
          <w:color w:val="auto"/>
          <w:highlight w:val="none"/>
        </w:rPr>
        <w:br w:type="page"/>
      </w:r>
    </w:p>
    <w:p>
      <w:pPr>
        <w:spacing w:line="360" w:lineRule="auto"/>
        <w:jc w:val="left"/>
        <w:outlineLvl w:val="2"/>
        <w:rPr>
          <w:rFonts w:ascii="黑体" w:hAnsi="黑体" w:eastAsia="黑体"/>
          <w:color w:val="auto"/>
          <w:sz w:val="28"/>
          <w:szCs w:val="27"/>
          <w:highlight w:val="none"/>
        </w:rPr>
      </w:pPr>
      <w:bookmarkStart w:id="211" w:name="_Toc24111"/>
      <w:bookmarkStart w:id="212" w:name="_Toc179632600"/>
      <w:bookmarkStart w:id="213" w:name="_Toc144974549"/>
      <w:bookmarkStart w:id="214" w:name="_Toc247085740"/>
      <w:bookmarkStart w:id="215" w:name="_Toc152045582"/>
      <w:bookmarkStart w:id="216" w:name="_Toc17454925"/>
      <w:bookmarkStart w:id="217" w:name="_Toc246996225"/>
      <w:bookmarkStart w:id="218" w:name="_Toc17451626"/>
      <w:bookmarkStart w:id="219" w:name="_Toc17451104"/>
      <w:bookmarkStart w:id="220" w:name="_Toc332641307"/>
      <w:bookmarkStart w:id="221" w:name="_Toc17454874"/>
      <w:bookmarkStart w:id="222" w:name="_Toc17451581"/>
      <w:bookmarkStart w:id="223" w:name="_Toc152042359"/>
      <w:bookmarkStart w:id="224" w:name="_Toc246996968"/>
      <w:bookmarkStart w:id="225" w:name="_Toc17556879"/>
      <w:bookmarkStart w:id="226" w:name="_Toc17452667"/>
      <w:r>
        <w:rPr>
          <w:rFonts w:ascii="黑体" w:hAnsi="黑体" w:eastAsia="黑体"/>
          <w:color w:val="auto"/>
          <w:sz w:val="28"/>
          <w:szCs w:val="27"/>
          <w:highlight w:val="none"/>
        </w:rPr>
        <w:t>附</w:t>
      </w:r>
      <w:r>
        <w:rPr>
          <w:rFonts w:hint="eastAsia" w:ascii="黑体" w:hAnsi="黑体" w:eastAsia="黑体"/>
          <w:color w:val="auto"/>
          <w:sz w:val="28"/>
          <w:szCs w:val="27"/>
          <w:highlight w:val="none"/>
        </w:rPr>
        <w:t>件</w:t>
      </w:r>
      <w:r>
        <w:rPr>
          <w:rFonts w:ascii="黑体" w:hAnsi="黑体" w:eastAsia="黑体"/>
          <w:color w:val="auto"/>
          <w:sz w:val="28"/>
          <w:szCs w:val="27"/>
          <w:highlight w:val="none"/>
        </w:rPr>
        <w:t>二：问题澄清通知</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pPr>
        <w:pStyle w:val="2"/>
        <w:rPr>
          <w:rFonts w:ascii="黑体" w:hAnsi="黑体" w:eastAsia="黑体"/>
          <w:color w:val="auto"/>
          <w:sz w:val="28"/>
          <w:szCs w:val="27"/>
          <w:highlight w:val="none"/>
        </w:rPr>
      </w:pPr>
    </w:p>
    <w:p>
      <w:pPr>
        <w:spacing w:line="360" w:lineRule="auto"/>
        <w:ind w:firstLine="0" w:firstLineChars="0"/>
        <w:jc w:val="left"/>
        <w:outlineLvl w:val="2"/>
        <w:rPr>
          <w:rFonts w:ascii="宋体" w:hAnsi="宋体"/>
          <w:color w:val="auto"/>
          <w:sz w:val="24"/>
          <w:szCs w:val="24"/>
          <w:highlight w:val="none"/>
        </w:rPr>
      </w:pPr>
      <w:r>
        <w:rPr>
          <w:rFonts w:hint="eastAsia"/>
          <w:color w:val="auto"/>
          <w:sz w:val="24"/>
          <w:szCs w:val="21"/>
          <w:highlight w:val="none"/>
          <w:u w:val="single"/>
        </w:rPr>
        <w:t>（说明：</w:t>
      </w:r>
      <w:r>
        <w:rPr>
          <w:rFonts w:hint="eastAsia"/>
          <w:color w:val="auto"/>
          <w:sz w:val="24"/>
          <w:szCs w:val="21"/>
          <w:highlight w:val="none"/>
          <w:u w:val="single"/>
          <w:lang w:val="en-US" w:eastAsia="zh-CN"/>
        </w:rPr>
        <w:t>问题澄清通知</w:t>
      </w:r>
      <w:r>
        <w:rPr>
          <w:rFonts w:hint="eastAsia"/>
          <w:color w:val="auto"/>
          <w:sz w:val="24"/>
          <w:szCs w:val="21"/>
          <w:highlight w:val="none"/>
          <w:u w:val="single"/>
        </w:rPr>
        <w:t>采用</w:t>
      </w:r>
      <w:r>
        <w:rPr>
          <w:rFonts w:hint="eastAsia"/>
          <w:color w:val="auto"/>
          <w:sz w:val="24"/>
          <w:szCs w:val="21"/>
          <w:highlight w:val="none"/>
          <w:u w:val="single"/>
          <w:lang w:eastAsia="zh-CN"/>
        </w:rPr>
        <w:t>广州交易集团有限公司（广州公共资源交易中心）</w:t>
      </w:r>
      <w:r>
        <w:rPr>
          <w:rFonts w:hint="eastAsia"/>
          <w:color w:val="auto"/>
          <w:sz w:val="24"/>
          <w:szCs w:val="21"/>
          <w:highlight w:val="none"/>
          <w:u w:val="single"/>
        </w:rPr>
        <w:t>规定的格式）</w:t>
      </w:r>
    </w:p>
    <w:p>
      <w:pPr>
        <w:spacing w:line="400" w:lineRule="exact"/>
        <w:rPr>
          <w:color w:val="auto"/>
          <w:highlight w:val="none"/>
        </w:rPr>
      </w:pPr>
      <w:r>
        <w:rPr>
          <w:color w:val="auto"/>
          <w:highlight w:val="none"/>
        </w:rPr>
        <w:br w:type="page"/>
      </w:r>
    </w:p>
    <w:p>
      <w:pPr>
        <w:spacing w:line="360" w:lineRule="auto"/>
        <w:jc w:val="left"/>
        <w:outlineLvl w:val="2"/>
        <w:rPr>
          <w:rFonts w:ascii="黑体" w:hAnsi="黑体" w:eastAsia="黑体"/>
          <w:color w:val="auto"/>
          <w:sz w:val="28"/>
          <w:szCs w:val="27"/>
          <w:highlight w:val="none"/>
        </w:rPr>
      </w:pPr>
      <w:bookmarkStart w:id="227" w:name="_Toc21477"/>
      <w:bookmarkStart w:id="228" w:name="_Toc247085741"/>
      <w:bookmarkStart w:id="229" w:name="_Toc246996226"/>
      <w:bookmarkStart w:id="230" w:name="_Toc179632601"/>
      <w:bookmarkStart w:id="231" w:name="_Toc332641308"/>
      <w:bookmarkStart w:id="232" w:name="_Toc17451627"/>
      <w:bookmarkStart w:id="233" w:name="_Toc144974550"/>
      <w:bookmarkStart w:id="234" w:name="_Toc17454875"/>
      <w:bookmarkStart w:id="235" w:name="_Toc152042360"/>
      <w:bookmarkStart w:id="236" w:name="_Toc17451105"/>
      <w:bookmarkStart w:id="237" w:name="_Toc17454926"/>
      <w:bookmarkStart w:id="238" w:name="_Toc152045583"/>
      <w:bookmarkStart w:id="239" w:name="_Toc17451582"/>
      <w:bookmarkStart w:id="240" w:name="_Toc17556880"/>
      <w:bookmarkStart w:id="241" w:name="_Toc17452668"/>
      <w:bookmarkStart w:id="242" w:name="_Toc246996969"/>
      <w:r>
        <w:rPr>
          <w:rFonts w:hint="eastAsia" w:ascii="黑体" w:hAnsi="黑体" w:eastAsia="黑体"/>
          <w:color w:val="auto"/>
          <w:sz w:val="28"/>
          <w:szCs w:val="27"/>
          <w:highlight w:val="none"/>
        </w:rPr>
        <w:t>附件三：问题的澄清</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pPr>
        <w:spacing w:line="360" w:lineRule="auto"/>
        <w:rPr>
          <w:rFonts w:ascii="宋体" w:hAnsi="宋体"/>
          <w:color w:val="auto"/>
          <w:sz w:val="24"/>
          <w:szCs w:val="24"/>
          <w:highlight w:val="none"/>
        </w:rPr>
      </w:pPr>
    </w:p>
    <w:p>
      <w:pPr>
        <w:snapToGrid w:val="0"/>
        <w:spacing w:line="360" w:lineRule="auto"/>
        <w:ind w:firstLine="480" w:firstLineChars="200"/>
        <w:rPr>
          <w:rFonts w:ascii="宋体" w:hAnsi="宋体"/>
          <w:color w:val="auto"/>
          <w:sz w:val="24"/>
          <w:highlight w:val="none"/>
        </w:rPr>
      </w:pPr>
      <w:r>
        <w:rPr>
          <w:rFonts w:hint="eastAsia"/>
          <w:color w:val="auto"/>
          <w:sz w:val="24"/>
          <w:szCs w:val="21"/>
          <w:highlight w:val="none"/>
          <w:u w:val="single"/>
        </w:rPr>
        <w:t>（说明：</w:t>
      </w:r>
      <w:r>
        <w:rPr>
          <w:rFonts w:hint="eastAsia"/>
          <w:color w:val="auto"/>
          <w:sz w:val="24"/>
          <w:szCs w:val="21"/>
          <w:highlight w:val="none"/>
          <w:u w:val="single"/>
          <w:lang w:val="en-US" w:eastAsia="zh-CN"/>
        </w:rPr>
        <w:t>问题的澄清</w:t>
      </w:r>
      <w:r>
        <w:rPr>
          <w:rFonts w:hint="eastAsia"/>
          <w:color w:val="auto"/>
          <w:sz w:val="24"/>
          <w:szCs w:val="21"/>
          <w:highlight w:val="none"/>
          <w:u w:val="single"/>
        </w:rPr>
        <w:t>采用</w:t>
      </w:r>
      <w:r>
        <w:rPr>
          <w:rFonts w:hint="eastAsia"/>
          <w:color w:val="auto"/>
          <w:sz w:val="24"/>
          <w:szCs w:val="21"/>
          <w:highlight w:val="none"/>
          <w:u w:val="single"/>
          <w:lang w:eastAsia="zh-CN"/>
        </w:rPr>
        <w:t>广州交易集团有限公司（广州公共资源交易中心）</w:t>
      </w:r>
      <w:r>
        <w:rPr>
          <w:rFonts w:hint="eastAsia"/>
          <w:color w:val="auto"/>
          <w:sz w:val="24"/>
          <w:szCs w:val="21"/>
          <w:highlight w:val="none"/>
          <w:u w:val="single"/>
        </w:rPr>
        <w:t>规定的格式）</w:t>
      </w:r>
    </w:p>
    <w:p>
      <w:pPr>
        <w:snapToGrid w:val="0"/>
        <w:spacing w:line="360" w:lineRule="auto"/>
        <w:ind w:firstLine="480" w:firstLineChars="200"/>
        <w:rPr>
          <w:rFonts w:ascii="宋体" w:hAnsi="宋体"/>
          <w:color w:val="auto"/>
          <w:sz w:val="24"/>
          <w:highlight w:val="none"/>
        </w:rPr>
      </w:pPr>
    </w:p>
    <w:p>
      <w:pPr>
        <w:spacing w:line="440" w:lineRule="exact"/>
        <w:rPr>
          <w:rFonts w:ascii="宋体" w:hAnsi="宋体"/>
          <w:color w:val="auto"/>
          <w:sz w:val="24"/>
          <w:szCs w:val="24"/>
          <w:highlight w:val="none"/>
        </w:rPr>
      </w:pPr>
    </w:p>
    <w:p>
      <w:pPr>
        <w:spacing w:line="440" w:lineRule="exact"/>
        <w:rPr>
          <w:rFonts w:ascii="宋体" w:hAnsi="宋体"/>
          <w:color w:val="auto"/>
          <w:sz w:val="24"/>
          <w:szCs w:val="24"/>
          <w:highlight w:val="none"/>
        </w:rPr>
      </w:pPr>
    </w:p>
    <w:p>
      <w:pPr>
        <w:spacing w:line="400" w:lineRule="exact"/>
        <w:rPr>
          <w:rFonts w:ascii="宋体" w:hAnsi="宋体"/>
          <w:color w:val="auto"/>
          <w:sz w:val="24"/>
          <w:szCs w:val="24"/>
          <w:highlight w:val="none"/>
        </w:rPr>
      </w:pPr>
    </w:p>
    <w:p>
      <w:pPr>
        <w:spacing w:line="400" w:lineRule="exact"/>
        <w:rPr>
          <w:rFonts w:ascii="宋体" w:hAnsi="宋体"/>
          <w:color w:val="auto"/>
          <w:sz w:val="24"/>
          <w:szCs w:val="24"/>
          <w:highlight w:val="none"/>
        </w:rPr>
      </w:pPr>
      <w:r>
        <w:rPr>
          <w:rFonts w:ascii="宋体" w:hAnsi="宋体"/>
          <w:color w:val="auto"/>
          <w:sz w:val="24"/>
          <w:szCs w:val="24"/>
          <w:highlight w:val="none"/>
        </w:rPr>
        <w:br w:type="page"/>
      </w:r>
    </w:p>
    <w:p>
      <w:pPr>
        <w:spacing w:line="360" w:lineRule="auto"/>
        <w:jc w:val="left"/>
        <w:outlineLvl w:val="2"/>
        <w:rPr>
          <w:rFonts w:ascii="黑体" w:hAnsi="黑体" w:eastAsia="黑体"/>
          <w:color w:val="auto"/>
          <w:sz w:val="28"/>
          <w:szCs w:val="27"/>
          <w:highlight w:val="none"/>
        </w:rPr>
      </w:pPr>
      <w:bookmarkStart w:id="243" w:name="_Toc247085742"/>
      <w:bookmarkStart w:id="244" w:name="_Toc144974551"/>
      <w:bookmarkStart w:id="245" w:name="_Toc179632602"/>
      <w:bookmarkStart w:id="246" w:name="_Toc17451628"/>
      <w:bookmarkStart w:id="247" w:name="_Toc152045584"/>
      <w:bookmarkStart w:id="248" w:name="_Toc246996227"/>
      <w:bookmarkStart w:id="249" w:name="_Toc332641309"/>
      <w:bookmarkStart w:id="250" w:name="_Toc246996970"/>
      <w:bookmarkStart w:id="251" w:name="_Toc152042361"/>
      <w:bookmarkStart w:id="252" w:name="_Toc17451583"/>
      <w:bookmarkStart w:id="253" w:name="_Toc17454927"/>
      <w:bookmarkStart w:id="254" w:name="_Toc17556881"/>
      <w:bookmarkStart w:id="255" w:name="_Toc17451106"/>
      <w:bookmarkStart w:id="256" w:name="_Toc17452669"/>
      <w:bookmarkStart w:id="257" w:name="_Toc8125"/>
      <w:bookmarkStart w:id="258" w:name="_Toc17454876"/>
      <w:r>
        <w:rPr>
          <w:rFonts w:hint="eastAsia" w:ascii="黑体" w:hAnsi="黑体" w:eastAsia="黑体"/>
          <w:color w:val="auto"/>
          <w:sz w:val="28"/>
          <w:szCs w:val="27"/>
          <w:highlight w:val="none"/>
        </w:rPr>
        <w:t>附件四：中标通知书</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pPr>
        <w:spacing w:line="360" w:lineRule="auto"/>
        <w:rPr>
          <w:color w:val="auto"/>
          <w:sz w:val="24"/>
          <w:highlight w:val="none"/>
        </w:rPr>
      </w:pPr>
      <w:r>
        <w:rPr>
          <w:color w:val="auto"/>
          <w:sz w:val="24"/>
          <w:highlight w:val="none"/>
        </w:rPr>
        <w:t xml:space="preserve">                              </w:t>
      </w:r>
    </w:p>
    <w:p>
      <w:pPr>
        <w:spacing w:line="360" w:lineRule="auto"/>
        <w:ind w:firstLine="480" w:firstLineChars="200"/>
        <w:jc w:val="left"/>
        <w:rPr>
          <w:rFonts w:ascii="宋体" w:hAnsi="宋体"/>
          <w:color w:val="auto"/>
          <w:sz w:val="32"/>
          <w:highlight w:val="none"/>
        </w:rPr>
      </w:pPr>
      <w:r>
        <w:rPr>
          <w:rFonts w:hint="eastAsia"/>
          <w:color w:val="auto"/>
          <w:sz w:val="24"/>
          <w:szCs w:val="21"/>
          <w:highlight w:val="none"/>
          <w:u w:val="single"/>
        </w:rPr>
        <w:t>（说明：中标通知书采用</w:t>
      </w:r>
      <w:r>
        <w:rPr>
          <w:rFonts w:hint="eastAsia"/>
          <w:color w:val="auto"/>
          <w:sz w:val="24"/>
          <w:szCs w:val="21"/>
          <w:highlight w:val="none"/>
          <w:u w:val="single"/>
          <w:lang w:eastAsia="zh-CN"/>
        </w:rPr>
        <w:t>广州交易集团有限公司（广州公共资源交易中心）</w:t>
      </w:r>
      <w:r>
        <w:rPr>
          <w:rFonts w:hint="eastAsia"/>
          <w:color w:val="auto"/>
          <w:sz w:val="24"/>
          <w:szCs w:val="21"/>
          <w:highlight w:val="none"/>
          <w:u w:val="single"/>
        </w:rPr>
        <w:t>规定的格式）</w:t>
      </w:r>
    </w:p>
    <w:p>
      <w:pPr>
        <w:spacing w:line="360" w:lineRule="auto"/>
        <w:jc w:val="center"/>
        <w:outlineLvl w:val="1"/>
        <w:rPr>
          <w:rFonts w:hint="eastAsia" w:ascii="黑体" w:hAnsi="黑体" w:eastAsia="黑体"/>
          <w:color w:val="auto"/>
          <w:sz w:val="32"/>
          <w:szCs w:val="27"/>
          <w:highlight w:val="none"/>
        </w:rPr>
      </w:pPr>
      <w:bookmarkStart w:id="259" w:name="_Toc262229168"/>
      <w:bookmarkStart w:id="260" w:name="_Toc155150492"/>
      <w:r>
        <w:rPr>
          <w:rFonts w:ascii="黑体" w:hAnsi="黑体" w:eastAsia="黑体"/>
          <w:color w:val="auto"/>
          <w:sz w:val="32"/>
          <w:szCs w:val="27"/>
          <w:highlight w:val="none"/>
        </w:rPr>
        <w:br w:type="page"/>
      </w:r>
      <w:bookmarkStart w:id="261" w:name="_Toc17451107"/>
      <w:bookmarkStart w:id="262" w:name="_Toc124"/>
      <w:bookmarkStart w:id="263" w:name="_Toc17451629"/>
      <w:bookmarkStart w:id="264" w:name="_Toc17556882"/>
      <w:bookmarkStart w:id="265" w:name="_Toc17454877"/>
      <w:bookmarkStart w:id="266" w:name="_Toc17454928"/>
      <w:bookmarkStart w:id="267" w:name="_Toc17452670"/>
      <w:bookmarkStart w:id="268" w:name="_Toc17451584"/>
      <w:r>
        <w:rPr>
          <w:rFonts w:hint="eastAsia" w:ascii="黑体" w:hAnsi="黑体" w:eastAsia="黑体"/>
          <w:color w:val="auto"/>
          <w:sz w:val="32"/>
          <w:szCs w:val="27"/>
          <w:highlight w:val="none"/>
        </w:rPr>
        <w:t>第三章 评标及定标办法</w:t>
      </w:r>
      <w:bookmarkEnd w:id="259"/>
      <w:bookmarkEnd w:id="260"/>
      <w:bookmarkEnd w:id="261"/>
      <w:bookmarkEnd w:id="262"/>
      <w:bookmarkEnd w:id="263"/>
      <w:bookmarkEnd w:id="264"/>
      <w:bookmarkEnd w:id="265"/>
      <w:bookmarkEnd w:id="266"/>
      <w:bookmarkEnd w:id="267"/>
      <w:bookmarkEnd w:id="268"/>
    </w:p>
    <w:p>
      <w:pPr>
        <w:bidi w:val="0"/>
        <w:rPr>
          <w:rFonts w:hint="eastAsia"/>
          <w:color w:val="auto"/>
          <w:kern w:val="2"/>
          <w:sz w:val="21"/>
          <w:szCs w:val="22"/>
          <w:highlight w:val="none"/>
          <w:lang w:val="en-US" w:eastAsia="zh-CN" w:bidi="ar-SA"/>
        </w:rPr>
      </w:pPr>
    </w:p>
    <w:p>
      <w:pPr>
        <w:spacing w:line="360" w:lineRule="auto"/>
        <w:jc w:val="center"/>
        <w:outlineLvl w:val="2"/>
        <w:rPr>
          <w:rFonts w:ascii="黑体" w:hAnsi="黑体" w:eastAsia="黑体"/>
          <w:color w:val="auto"/>
          <w:sz w:val="28"/>
          <w:szCs w:val="27"/>
          <w:highlight w:val="none"/>
        </w:rPr>
      </w:pPr>
      <w:bookmarkStart w:id="269" w:name="_Toc17451108"/>
      <w:bookmarkStart w:id="270" w:name="_Toc17451585"/>
      <w:bookmarkStart w:id="271" w:name="_Toc28639"/>
      <w:bookmarkStart w:id="272" w:name="_Toc17556883"/>
      <w:bookmarkStart w:id="273" w:name="_Toc17451630"/>
      <w:bookmarkStart w:id="274" w:name="_Toc262229169"/>
      <w:bookmarkStart w:id="275" w:name="_Toc155150493"/>
      <w:bookmarkStart w:id="276" w:name="_Toc17454878"/>
      <w:bookmarkStart w:id="277" w:name="_Toc17452671"/>
      <w:bookmarkStart w:id="278" w:name="_Toc17454929"/>
      <w:r>
        <w:rPr>
          <w:rFonts w:hint="eastAsia" w:ascii="黑体" w:hAnsi="黑体" w:eastAsia="黑体"/>
          <w:color w:val="auto"/>
          <w:sz w:val="28"/>
          <w:szCs w:val="27"/>
          <w:highlight w:val="none"/>
        </w:rPr>
        <w:t>一、评标及定标办法修改表</w:t>
      </w:r>
      <w:bookmarkEnd w:id="269"/>
      <w:bookmarkEnd w:id="270"/>
      <w:bookmarkEnd w:id="271"/>
      <w:bookmarkEnd w:id="272"/>
      <w:bookmarkEnd w:id="273"/>
      <w:bookmarkEnd w:id="274"/>
      <w:bookmarkEnd w:id="275"/>
      <w:bookmarkEnd w:id="276"/>
      <w:bookmarkEnd w:id="277"/>
      <w:bookmarkEnd w:id="278"/>
    </w:p>
    <w:p>
      <w:pPr>
        <w:pStyle w:val="17"/>
        <w:spacing w:after="0" w:line="360" w:lineRule="auto"/>
        <w:rPr>
          <w:rFonts w:ascii="宋体" w:hAnsi="宋体" w:eastAsia="宋体"/>
          <w:b/>
          <w:color w:val="auto"/>
          <w:sz w:val="24"/>
          <w:szCs w:val="21"/>
          <w:highlight w:val="none"/>
        </w:rPr>
      </w:pPr>
      <w:r>
        <w:rPr>
          <w:rFonts w:hint="eastAsia" w:ascii="宋体" w:hAnsi="宋体" w:eastAsia="宋体"/>
          <w:b/>
          <w:color w:val="auto"/>
          <w:sz w:val="24"/>
          <w:highlight w:val="none"/>
        </w:rPr>
        <w:t>本修改表是对评标及定标办法</w:t>
      </w:r>
      <w:r>
        <w:rPr>
          <w:rFonts w:hint="eastAsia" w:ascii="宋体" w:hAnsi="宋体" w:eastAsia="宋体"/>
          <w:b/>
          <w:color w:val="auto"/>
          <w:sz w:val="24"/>
          <w:szCs w:val="21"/>
          <w:highlight w:val="none"/>
        </w:rPr>
        <w:t>通用条款的修改，与该通用条款不同之处，均在本表中列明，并以现文为准，原文不再有效。</w:t>
      </w:r>
    </w:p>
    <w:p>
      <w:p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条款号：方法二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方法三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方法四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方法五</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方法</w:t>
      </w:r>
      <w:r>
        <w:rPr>
          <w:rFonts w:hint="eastAsia" w:ascii="宋体" w:hAnsi="宋体" w:eastAsia="宋体" w:cs="宋体"/>
          <w:color w:val="auto"/>
          <w:sz w:val="24"/>
          <w:szCs w:val="24"/>
          <w:highlight w:val="none"/>
          <w:lang w:val="en-US" w:eastAsia="zh-CN"/>
        </w:rPr>
        <w:t xml:space="preserve">六     </w:t>
      </w:r>
      <w:r>
        <w:rPr>
          <w:rFonts w:hint="eastAsia" w:ascii="宋体" w:hAnsi="宋体" w:eastAsia="宋体" w:cs="宋体"/>
          <w:color w:val="auto"/>
          <w:sz w:val="24"/>
          <w:szCs w:val="24"/>
          <w:highlight w:val="none"/>
        </w:rPr>
        <w:t>修改类型：删除</w:t>
      </w:r>
    </w:p>
    <w:p>
      <w:pPr>
        <w:snapToGrid w:val="0"/>
        <w:spacing w:beforeLines="0" w:afterLines="0" w:line="360" w:lineRule="auto"/>
        <w:ind w:firstLine="480" w:firstLineChars="200"/>
        <w:rPr>
          <w:rFonts w:hint="eastAsia" w:ascii="宋体" w:hAnsi="宋体" w:eastAsia="宋体" w:cs="宋体"/>
          <w:strike w:val="0"/>
          <w:color w:val="auto"/>
          <w:sz w:val="24"/>
          <w:szCs w:val="24"/>
          <w:highlight w:val="none"/>
          <w:lang w:eastAsia="zh-CN"/>
        </w:rPr>
      </w:pPr>
      <w:r>
        <w:rPr>
          <w:rFonts w:hint="eastAsia" w:ascii="宋体" w:hAnsi="宋体" w:eastAsia="宋体" w:cs="宋体"/>
          <w:b w:val="0"/>
          <w:color w:val="auto"/>
          <w:sz w:val="24"/>
          <w:szCs w:val="24"/>
          <w:highlight w:val="none"/>
        </w:rPr>
        <w:t>原文：</w:t>
      </w:r>
      <w:r>
        <w:rPr>
          <w:rFonts w:hint="eastAsia" w:ascii="宋体" w:hAnsi="宋体" w:eastAsia="宋体" w:cs="宋体"/>
          <w:color w:val="auto"/>
          <w:sz w:val="24"/>
          <w:szCs w:val="24"/>
          <w:highlight w:val="none"/>
        </w:rPr>
        <w:t>方法二：综合评估法二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需要编制技术文件</w:t>
      </w:r>
      <w:r>
        <w:rPr>
          <w:rFonts w:hint="eastAsia" w:ascii="宋体" w:hAnsi="宋体" w:eastAsia="宋体" w:cs="宋体"/>
          <w:color w:val="auto"/>
          <w:sz w:val="24"/>
          <w:szCs w:val="24"/>
          <w:highlight w:val="none"/>
          <w:lang w:eastAsia="zh-CN"/>
        </w:rPr>
        <w:t>）</w:t>
      </w:r>
    </w:p>
    <w:p>
      <w:pPr>
        <w:pBdr>
          <w:bottom w:val="none" w:color="auto" w:sz="0" w:space="0"/>
        </w:pBd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方法三：综合评估法三（不需要编制技术文件）</w:t>
      </w:r>
    </w:p>
    <w:p>
      <w:pPr>
        <w:pBdr>
          <w:bottom w:val="none" w:color="auto" w:sz="0" w:space="0"/>
        </w:pBd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方法四：经评审的最低投标价法</w:t>
      </w:r>
    </w:p>
    <w:p>
      <w:p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方法五：经评审的最低投标价法（二）</w:t>
      </w:r>
    </w:p>
    <w:p>
      <w:pPr>
        <w:pBdr>
          <w:bottom w:val="single" w:color="auto" w:sz="4" w:space="0"/>
        </w:pBdr>
        <w:snapToGrid w:val="0"/>
        <w:spacing w:beforeLines="0" w:afterLines="0" w:line="360" w:lineRule="auto"/>
        <w:ind w:left="0" w:leftChars="0" w:firstLine="480" w:firstLineChars="200"/>
        <w:jc w:val="left"/>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方法</w:t>
      </w:r>
      <w:r>
        <w:rPr>
          <w:rFonts w:hint="eastAsia" w:ascii="宋体" w:hAnsi="宋体" w:eastAsia="宋体" w:cs="宋体"/>
          <w:color w:val="auto"/>
          <w:sz w:val="24"/>
          <w:szCs w:val="24"/>
          <w:highlight w:val="none"/>
          <w:lang w:val="en-US" w:eastAsia="zh-CN"/>
        </w:rPr>
        <w:t>六</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两阶段评标法</w:t>
      </w:r>
    </w:p>
    <w:p>
      <w:pPr>
        <w:snapToGrid w:val="0"/>
        <w:spacing w:beforeLines="0" w:afterLines="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条款号：评标办法前附表2.1.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修改类型：</w:t>
      </w:r>
      <w:r>
        <w:rPr>
          <w:rFonts w:hint="eastAsia" w:ascii="宋体" w:hAnsi="宋体" w:eastAsia="宋体" w:cs="宋体"/>
          <w:color w:val="auto"/>
          <w:sz w:val="24"/>
          <w:szCs w:val="24"/>
          <w:highlight w:val="none"/>
          <w:lang w:val="en-US" w:eastAsia="zh-CN"/>
        </w:rPr>
        <w:t>修改</w:t>
      </w:r>
    </w:p>
    <w:p>
      <w:pPr>
        <w:pStyle w:val="18"/>
        <w:rPr>
          <w:rFonts w:hint="eastAsia" w:eastAsia="宋体"/>
          <w:color w:val="auto"/>
          <w:highlight w:val="none"/>
          <w:lang w:eastAsia="zh-CN"/>
        </w:rPr>
      </w:pPr>
      <w:r>
        <w:rPr>
          <w:rFonts w:hint="eastAsia" w:ascii="宋体" w:hAnsi="宋体" w:eastAsia="宋体" w:cs="宋体"/>
          <w:b/>
          <w:color w:val="auto"/>
          <w:sz w:val="24"/>
          <w:szCs w:val="24"/>
          <w:highlight w:val="none"/>
        </w:rPr>
        <w:t>原文：</w:t>
      </w:r>
      <w:r>
        <w:rPr>
          <w:rFonts w:hint="eastAsia" w:ascii="宋体" w:hAnsi="宋体" w:eastAsia="宋体" w:cs="宋体"/>
          <w:b w:val="0"/>
          <w:color w:val="auto"/>
          <w:kern w:val="2"/>
          <w:sz w:val="24"/>
          <w:highlight w:val="none"/>
        </w:rPr>
        <w:t>未被纳入失信联合惩戒名单且被限制参与相关项目投标的：</w:t>
      </w:r>
      <w:r>
        <w:rPr>
          <w:rFonts w:hint="eastAsia" w:ascii="宋体" w:hAnsi="宋体" w:eastAsia="宋体" w:cs="宋体"/>
          <w:color w:val="auto"/>
          <w:kern w:val="2"/>
          <w:sz w:val="24"/>
          <w:szCs w:val="24"/>
          <w:highlight w:val="none"/>
          <w:u w:val="none"/>
        </w:rPr>
        <w:t>失信联合惩戒名单以“信用广州”网站公布的“黑名单”为准。</w:t>
      </w:r>
      <w:r>
        <w:rPr>
          <w:rFonts w:hint="eastAsia" w:ascii="宋体" w:hAnsi="宋体" w:eastAsia="宋体" w:cs="宋体"/>
          <w:color w:val="auto"/>
          <w:kern w:val="2"/>
          <w:sz w:val="24"/>
          <w:szCs w:val="24"/>
          <w:highlight w:val="none"/>
          <w:u w:val="none"/>
          <w:lang w:eastAsia="zh-CN"/>
        </w:rPr>
        <w:t>（</w:t>
      </w:r>
      <w:r>
        <w:rPr>
          <w:rFonts w:hint="eastAsia" w:ascii="宋体" w:hAnsi="宋体" w:eastAsia="宋体" w:cs="宋体"/>
          <w:color w:val="auto"/>
          <w:kern w:val="2"/>
          <w:sz w:val="24"/>
          <w:szCs w:val="24"/>
          <w:highlight w:val="none"/>
          <w:u w:val="none"/>
          <w:lang w:val="en-US" w:eastAsia="zh-CN"/>
        </w:rPr>
        <w:t>提供查询结果网页截图，并加盖公章</w:t>
      </w:r>
      <w:r>
        <w:rPr>
          <w:rFonts w:hint="eastAsia" w:ascii="宋体" w:hAnsi="宋体" w:eastAsia="宋体" w:cs="宋体"/>
          <w:color w:val="auto"/>
          <w:kern w:val="2"/>
          <w:sz w:val="24"/>
          <w:szCs w:val="24"/>
          <w:highlight w:val="none"/>
          <w:u w:val="none"/>
          <w:lang w:eastAsia="zh-CN"/>
        </w:rPr>
        <w:t>）</w:t>
      </w:r>
    </w:p>
    <w:p>
      <w:pPr>
        <w:pBdr>
          <w:bottom w:val="single" w:color="auto" w:sz="6" w:space="0"/>
        </w:pBdr>
        <w:snapToGrid w:val="0"/>
        <w:spacing w:beforeLines="0" w:afterLines="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现文：</w:t>
      </w:r>
      <w:r>
        <w:rPr>
          <w:rFonts w:hint="eastAsia" w:ascii="宋体" w:hAnsi="宋体" w:eastAsia="宋体" w:cs="宋体"/>
          <w:color w:val="auto"/>
          <w:sz w:val="24"/>
          <w:szCs w:val="24"/>
          <w:highlight w:val="none"/>
          <w:lang w:eastAsia="zh-CN"/>
        </w:rPr>
        <w:t>未被纳入失信联合惩戒名单且被限制参与相关项目投标的：</w:t>
      </w:r>
      <w:r>
        <w:rPr>
          <w:rFonts w:hint="eastAsia" w:ascii="宋体" w:hAnsi="宋体" w:eastAsia="宋体" w:cs="宋体"/>
          <w:color w:val="auto"/>
          <w:sz w:val="24"/>
          <w:szCs w:val="24"/>
          <w:highlight w:val="none"/>
          <w:u w:val="none"/>
        </w:rPr>
        <w:t>失信联合惩戒名单以“信用广州”网站公布的“黑名单”为准。</w:t>
      </w:r>
      <w:r>
        <w:rPr>
          <w:rFonts w:hint="eastAsia" w:ascii="宋体" w:hAnsi="宋体" w:eastAsia="宋体" w:cs="宋体"/>
          <w:color w:val="auto"/>
          <w:sz w:val="24"/>
          <w:szCs w:val="24"/>
          <w:highlight w:val="none"/>
        </w:rPr>
        <w:t>（以广州交易集团有限公司（广州公共资源交易中心）交易平台系统调用的黑名单数据为准）</w:t>
      </w:r>
    </w:p>
    <w:p>
      <w:p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条款号：评标办法前附表2.1.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修改类型：增加</w:t>
      </w:r>
    </w:p>
    <w:p>
      <w:pPr>
        <w:pBdr>
          <w:bottom w:val="single" w:color="auto" w:sz="6" w:space="0"/>
        </w:pBdr>
        <w:snapToGrid w:val="0"/>
        <w:spacing w:beforeLines="0" w:afterLines="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投标登记时的信息：投标文件中的投标人、项目负责人、安全员与企业库、投标登记时的信息一致。</w:t>
      </w:r>
    </w:p>
    <w:p>
      <w:pPr>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条款号：评标办法前附表2.2.1 分值构成    修改类型：修改</w:t>
      </w:r>
    </w:p>
    <w:p>
      <w:pPr>
        <w:numPr>
          <w:ilvl w:val="0"/>
          <w:numId w:val="0"/>
        </w:numPr>
        <w:pBdr>
          <w:top w:val="none" w:color="auto" w:sz="0" w:space="0"/>
          <w:left w:val="none" w:color="auto" w:sz="0" w:space="0"/>
          <w:bottom w:val="none" w:color="auto" w:sz="0" w:space="0"/>
          <w:right w:val="none" w:color="auto" w:sz="0" w:space="0"/>
          <w:between w:val="none" w:color="auto" w:sz="0" w:space="0"/>
        </w:pBdr>
        <w:snapToGrid w:val="0"/>
        <w:spacing w:beforeLines="0" w:afterLines="0"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技术评审权重：</w:t>
      </w:r>
      <w:r>
        <w:rPr>
          <w:rFonts w:hint="eastAsia" w:ascii="宋体" w:hAnsi="宋体" w:eastAsia="宋体" w:cs="宋体"/>
          <w:color w:val="auto"/>
          <w:sz w:val="24"/>
          <w:szCs w:val="24"/>
          <w:highlight w:val="none"/>
          <w:u w:val="none"/>
          <w:lang w:val="en-US" w:eastAsia="zh-CN"/>
        </w:rPr>
        <w:t xml:space="preserve">     </w:t>
      </w:r>
    </w:p>
    <w:p>
      <w:pPr>
        <w:numPr>
          <w:ilvl w:val="0"/>
          <w:numId w:val="0"/>
        </w:numPr>
        <w:pBdr>
          <w:top w:val="none" w:color="auto" w:sz="0" w:space="0"/>
          <w:left w:val="none" w:color="auto" w:sz="0" w:space="0"/>
          <w:bottom w:val="none" w:color="auto" w:sz="0" w:space="0"/>
          <w:right w:val="none" w:color="auto" w:sz="0" w:space="0"/>
          <w:between w:val="none" w:color="auto" w:sz="0" w:space="0"/>
        </w:pBd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2.商务评审权重：</w:t>
      </w:r>
      <w:r>
        <w:rPr>
          <w:rFonts w:hint="eastAsia" w:ascii="宋体" w:hAnsi="宋体" w:eastAsia="宋体" w:cs="宋体"/>
          <w:color w:val="auto"/>
          <w:sz w:val="24"/>
          <w:szCs w:val="24"/>
          <w:highlight w:val="none"/>
          <w:u w:val="none"/>
          <w:lang w:val="en-US" w:eastAsia="zh-CN"/>
        </w:rPr>
        <w:t xml:space="preserve">     </w:t>
      </w:r>
    </w:p>
    <w:p>
      <w:pPr>
        <w:numPr>
          <w:ilvl w:val="0"/>
          <w:numId w:val="0"/>
        </w:numPr>
        <w:pBdr>
          <w:top w:val="none" w:color="auto" w:sz="0" w:space="0"/>
          <w:left w:val="none" w:color="auto" w:sz="0" w:space="0"/>
          <w:bottom w:val="none" w:color="auto" w:sz="0" w:space="0"/>
          <w:right w:val="none" w:color="auto" w:sz="0" w:space="0"/>
          <w:between w:val="none" w:color="auto" w:sz="0" w:space="0"/>
        </w:pBd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3.投标报价权重：</w:t>
      </w:r>
      <w:r>
        <w:rPr>
          <w:rFonts w:hint="eastAsia" w:ascii="宋体" w:hAnsi="宋体" w:eastAsia="宋体" w:cs="宋体"/>
          <w:color w:val="auto"/>
          <w:sz w:val="24"/>
          <w:szCs w:val="24"/>
          <w:highlight w:val="none"/>
          <w:u w:val="none"/>
          <w:lang w:val="en-US" w:eastAsia="zh-CN"/>
        </w:rPr>
        <w:t xml:space="preserve">     </w:t>
      </w:r>
    </w:p>
    <w:p>
      <w:pPr>
        <w:adjustRightInd/>
        <w:snapToGrid w:val="0"/>
        <w:spacing w:beforeLines="0" w:afterLines="0" w:line="360" w:lineRule="auto"/>
        <w:ind w:firstLine="480" w:firstLineChars="200"/>
        <w:jc w:val="left"/>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highlight w:val="none"/>
        </w:rPr>
        <w:t>（注：（1）价格权重不少于评分总值的60%或80%，复杂和大型工程项目不少于60%，其他工程不少于80%。</w:t>
      </w:r>
      <w:r>
        <w:rPr>
          <w:rFonts w:hint="eastAsia" w:ascii="宋体" w:hAnsi="宋体" w:eastAsia="宋体" w:cs="宋体"/>
          <w:b w:val="0"/>
          <w:bCs w:val="0"/>
          <w:color w:val="auto"/>
          <w:sz w:val="24"/>
          <w:szCs w:val="24"/>
          <w:highlight w:val="none"/>
          <w:lang w:eastAsia="zh-CN"/>
        </w:rPr>
        <w:t>复杂和大型工程项目规模标准详见《关于明确部分复杂和大型房屋建筑市政工程项目规模标准的通知（穗建规字〔2020〕42号）》。</w:t>
      </w:r>
      <w:r>
        <w:rPr>
          <w:rFonts w:hint="eastAsia" w:ascii="宋体" w:hAnsi="宋体" w:eastAsia="宋体" w:cs="宋体"/>
          <w:color w:val="auto"/>
          <w:sz w:val="24"/>
          <w:szCs w:val="24"/>
          <w:highlight w:val="none"/>
        </w:rPr>
        <w:t>（2）诚信</w:t>
      </w:r>
      <w:r>
        <w:rPr>
          <w:rFonts w:hint="eastAsia" w:ascii="宋体" w:hAnsi="宋体" w:eastAsia="宋体" w:cs="宋体"/>
          <w:color w:val="auto"/>
          <w:sz w:val="24"/>
          <w:szCs w:val="24"/>
          <w:highlight w:val="none"/>
          <w:lang w:val="en-US" w:eastAsia="zh-CN"/>
        </w:rPr>
        <w:t>评价</w:t>
      </w:r>
      <w:r>
        <w:rPr>
          <w:rFonts w:hint="eastAsia" w:ascii="宋体" w:hAnsi="宋体" w:eastAsia="宋体" w:cs="宋体"/>
          <w:color w:val="auto"/>
          <w:sz w:val="24"/>
          <w:szCs w:val="24"/>
          <w:highlight w:val="none"/>
        </w:rPr>
        <w:t>纳入商务评审</w:t>
      </w:r>
      <w:r>
        <w:rPr>
          <w:rFonts w:hint="eastAsia" w:ascii="宋体" w:hAnsi="宋体" w:eastAsia="宋体" w:cs="宋体"/>
          <w:color w:val="auto"/>
          <w:sz w:val="24"/>
          <w:szCs w:val="24"/>
          <w:highlight w:val="none"/>
          <w:lang w:eastAsia="zh-CN"/>
        </w:rPr>
        <w:t>，诚信评价得分权重占评分总值的</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w:t>
      </w:r>
    </w:p>
    <w:p>
      <w:pPr>
        <w:numPr>
          <w:ilvl w:val="0"/>
          <w:numId w:val="0"/>
        </w:numPr>
        <w:pBdr>
          <w:bottom w:val="single" w:color="auto" w:sz="6" w:space="0"/>
        </w:pBdr>
        <w:spacing w:beforeLines="0" w:afterLines="0" w:line="360" w:lineRule="auto"/>
        <w:ind w:firstLine="482"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技术评审权重：</w:t>
      </w:r>
      <w:r>
        <w:rPr>
          <w:rFonts w:hint="eastAsia" w:ascii="宋体" w:hAnsi="宋体" w:eastAsia="宋体" w:cs="宋体"/>
          <w:color w:val="auto"/>
          <w:sz w:val="24"/>
          <w:szCs w:val="24"/>
          <w:highlight w:val="none"/>
          <w:u w:val="single"/>
          <w:lang w:val="en-US" w:eastAsia="zh-CN"/>
        </w:rPr>
        <w:t>12.4%</w:t>
      </w:r>
    </w:p>
    <w:p>
      <w:pPr>
        <w:numPr>
          <w:ilvl w:val="0"/>
          <w:numId w:val="0"/>
        </w:numPr>
        <w:pBdr>
          <w:bottom w:val="single" w:color="auto" w:sz="6" w:space="0"/>
        </w:pBdr>
        <w:spacing w:beforeLines="0" w:afterLines="0"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t>2.商务评审权重：</w:t>
      </w:r>
      <w:r>
        <w:rPr>
          <w:rFonts w:hint="eastAsia" w:ascii="宋体" w:hAnsi="宋体" w:eastAsia="宋体" w:cs="宋体"/>
          <w:color w:val="auto"/>
          <w:sz w:val="24"/>
          <w:szCs w:val="24"/>
          <w:highlight w:val="none"/>
          <w:u w:val="single"/>
          <w:lang w:val="en-US" w:eastAsia="zh-CN"/>
        </w:rPr>
        <w:t>7.6%</w:t>
      </w:r>
    </w:p>
    <w:p>
      <w:pPr>
        <w:pBdr>
          <w:bottom w:val="single" w:color="auto" w:sz="6" w:space="0"/>
        </w:pBdr>
        <w:spacing w:beforeLines="0" w:afterLines="0"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3.投标报价权重：</w:t>
      </w:r>
      <w:r>
        <w:rPr>
          <w:rFonts w:hint="eastAsia" w:ascii="宋体" w:hAnsi="宋体" w:eastAsia="宋体" w:cs="宋体"/>
          <w:color w:val="auto"/>
          <w:sz w:val="24"/>
          <w:szCs w:val="24"/>
          <w:highlight w:val="none"/>
          <w:u w:val="single"/>
          <w:lang w:val="en-US" w:eastAsia="zh-CN"/>
        </w:rPr>
        <w:t>80%</w:t>
      </w:r>
    </w:p>
    <w:p>
      <w:pPr>
        <w:pStyle w:val="17"/>
        <w:spacing w:beforeLines="0" w:after="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r>
        <w:rPr>
          <w:rFonts w:hint="eastAsia" w:ascii="宋体" w:hAnsi="宋体" w:eastAsia="宋体" w:cs="宋体"/>
          <w:b/>
          <w:bCs/>
          <w:color w:val="auto"/>
          <w:sz w:val="24"/>
          <w:szCs w:val="24"/>
          <w:highlight w:val="none"/>
        </w:rPr>
        <w:t>1. 评标方法</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修改类型：修改</w:t>
      </w:r>
    </w:p>
    <w:p>
      <w:pPr>
        <w:adjustRightInd/>
        <w:snapToGrid w:val="0"/>
        <w:spacing w:beforeLines="0" w:afterLines="0" w:line="360" w:lineRule="auto"/>
        <w:ind w:firstLine="482" w:firstLineChars="200"/>
        <w:jc w:val="left"/>
        <w:rPr>
          <w:rFonts w:hint="eastAsia" w:ascii="宋体" w:hAnsi="宋体" w:eastAsia="宋体" w:cs="宋体"/>
          <w:color w:val="auto"/>
          <w:kern w:val="2"/>
          <w:sz w:val="24"/>
          <w:szCs w:val="24"/>
          <w:highlight w:val="none"/>
          <w:lang w:val="en-US" w:eastAsia="zh-CN"/>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w:t>
      </w:r>
      <w:r>
        <w:rPr>
          <w:rFonts w:hint="eastAsia" w:ascii="宋体" w:hAnsi="宋体" w:eastAsia="宋体" w:cs="宋体"/>
          <w:color w:val="auto"/>
          <w:sz w:val="24"/>
          <w:szCs w:val="24"/>
          <w:highlight w:val="none"/>
          <w:u w:val="single"/>
          <w:lang w:eastAsia="zh-CN"/>
        </w:rPr>
        <w:t>总得</w:t>
      </w:r>
      <w:r>
        <w:rPr>
          <w:rFonts w:hint="eastAsia" w:ascii="宋体" w:hAnsi="宋体" w:eastAsia="宋体" w:cs="宋体"/>
          <w:color w:val="auto"/>
          <w:sz w:val="24"/>
          <w:szCs w:val="24"/>
          <w:highlight w:val="none"/>
          <w:u w:val="single"/>
        </w:rPr>
        <w:t>分相</w:t>
      </w:r>
      <w:r>
        <w:rPr>
          <w:rFonts w:hint="eastAsia" w:ascii="宋体" w:hAnsi="宋体" w:eastAsia="宋体" w:cs="宋体"/>
          <w:color w:val="auto"/>
          <w:sz w:val="24"/>
          <w:szCs w:val="24"/>
          <w:highlight w:val="none"/>
          <w:u w:val="single"/>
          <w:lang w:eastAsia="zh-CN"/>
        </w:rPr>
        <w:t>同的投标文件</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eastAsia="zh-CN"/>
        </w:rPr>
        <w:t>以报价较低的排前；总得分与报价均相同的投标文件，以技术</w:t>
      </w:r>
      <w:r>
        <w:rPr>
          <w:rFonts w:hint="eastAsia" w:ascii="宋体" w:hAnsi="宋体" w:eastAsia="宋体" w:cs="宋体"/>
          <w:color w:val="auto"/>
          <w:sz w:val="24"/>
          <w:szCs w:val="24"/>
          <w:highlight w:val="none"/>
          <w:u w:val="single"/>
        </w:rPr>
        <w:t>评审得分</w:t>
      </w:r>
      <w:r>
        <w:rPr>
          <w:rFonts w:hint="eastAsia" w:ascii="宋体" w:hAnsi="宋体" w:eastAsia="宋体" w:cs="宋体"/>
          <w:color w:val="auto"/>
          <w:sz w:val="24"/>
          <w:szCs w:val="24"/>
          <w:highlight w:val="none"/>
          <w:u w:val="single"/>
          <w:lang w:eastAsia="zh-CN"/>
        </w:rPr>
        <w:t>（</w:t>
      </w:r>
      <w:r>
        <w:rPr>
          <w:rFonts w:hint="eastAsia" w:ascii="宋体" w:hAnsi="宋体" w:eastAsia="宋体" w:cs="宋体"/>
          <w:i/>
          <w:iCs/>
          <w:color w:val="auto"/>
          <w:sz w:val="24"/>
          <w:szCs w:val="24"/>
          <w:highlight w:val="none"/>
          <w:u w:val="single"/>
          <w:lang w:eastAsia="zh-CN"/>
        </w:rPr>
        <w:t>或商务评审得分</w:t>
      </w:r>
      <w:r>
        <w:rPr>
          <w:rFonts w:hint="eastAsia" w:ascii="宋体" w:hAnsi="宋体" w:eastAsia="宋体" w:cs="宋体"/>
          <w:color w:val="auto"/>
          <w:sz w:val="24"/>
          <w:szCs w:val="24"/>
          <w:highlight w:val="none"/>
          <w:u w:val="single"/>
          <w:lang w:eastAsia="zh-CN"/>
        </w:rPr>
        <w:t>）较</w:t>
      </w:r>
      <w:r>
        <w:rPr>
          <w:rFonts w:hint="eastAsia" w:ascii="宋体" w:hAnsi="宋体" w:eastAsia="宋体" w:cs="宋体"/>
          <w:color w:val="auto"/>
          <w:sz w:val="24"/>
          <w:szCs w:val="24"/>
          <w:highlight w:val="none"/>
          <w:u w:val="single"/>
        </w:rPr>
        <w:t>高的</w:t>
      </w:r>
      <w:r>
        <w:rPr>
          <w:rFonts w:hint="eastAsia" w:ascii="宋体" w:hAnsi="宋体" w:eastAsia="宋体" w:cs="宋体"/>
          <w:color w:val="auto"/>
          <w:sz w:val="24"/>
          <w:szCs w:val="24"/>
          <w:highlight w:val="none"/>
          <w:u w:val="single"/>
          <w:lang w:eastAsia="zh-CN"/>
        </w:rPr>
        <w:t>排前</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eastAsia="zh-CN"/>
        </w:rPr>
        <w:t>如仍存在相同情况，则对具有相同情况的投标人</w:t>
      </w:r>
      <w:r>
        <w:rPr>
          <w:rFonts w:hint="eastAsia" w:ascii="宋体" w:hAnsi="宋体" w:eastAsia="宋体" w:cs="宋体"/>
          <w:color w:val="auto"/>
          <w:sz w:val="24"/>
          <w:szCs w:val="24"/>
          <w:highlight w:val="none"/>
          <w:u w:val="single"/>
        </w:rPr>
        <w:t>，由评委通过记名投标表决（不得弃权），以“少数服从多数”的原则确定排序。</w:t>
      </w:r>
      <w:r>
        <w:rPr>
          <w:rFonts w:hint="eastAsia" w:ascii="宋体" w:hAnsi="宋体" w:eastAsia="宋体" w:cs="宋体"/>
          <w:b/>
          <w:bCs/>
          <w:color w:val="auto"/>
          <w:sz w:val="24"/>
          <w:szCs w:val="24"/>
          <w:highlight w:val="none"/>
          <w:u w:val="single"/>
          <w:lang w:eastAsia="zh-CN"/>
        </w:rPr>
        <w:t>（</w:t>
      </w:r>
      <w:r>
        <w:rPr>
          <w:rFonts w:hint="eastAsia" w:ascii="宋体" w:hAnsi="宋体" w:eastAsia="宋体" w:cs="宋体"/>
          <w:b/>
          <w:bCs/>
          <w:color w:val="auto"/>
          <w:sz w:val="24"/>
          <w:szCs w:val="24"/>
          <w:highlight w:val="none"/>
          <w:u w:val="single"/>
          <w:lang w:val="en-US" w:eastAsia="zh-CN"/>
        </w:rPr>
        <w:t>注：具体</w:t>
      </w:r>
      <w:r>
        <w:rPr>
          <w:rFonts w:hint="eastAsia" w:ascii="宋体" w:hAnsi="宋体" w:eastAsia="宋体" w:cs="宋体"/>
          <w:b/>
          <w:bCs/>
          <w:color w:val="auto"/>
          <w:sz w:val="24"/>
          <w:szCs w:val="24"/>
          <w:highlight w:val="none"/>
          <w:u w:val="single"/>
          <w:lang w:eastAsia="zh-CN"/>
        </w:rPr>
        <w:t>由招标人自行确定）</w:t>
      </w:r>
    </w:p>
    <w:p>
      <w:pPr>
        <w:pBdr>
          <w:bottom w:val="single" w:color="auto" w:sz="6" w:space="0"/>
        </w:pBdr>
        <w:spacing w:beforeLines="0" w:afterLines="0" w:line="360" w:lineRule="auto"/>
        <w:ind w:firstLine="482" w:firstLineChars="200"/>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kern w:val="2"/>
          <w:sz w:val="24"/>
          <w:szCs w:val="24"/>
          <w:highlight w:val="none"/>
          <w:lang w:val="en-US" w:eastAsia="zh-CN" w:bidi="ar-SA"/>
        </w:rPr>
        <w:t>本次评标采用综合评估法一。</w:t>
      </w:r>
      <w:r>
        <w:rPr>
          <w:rFonts w:hint="eastAsia" w:ascii="宋体" w:hAnsi="宋体" w:eastAsia="宋体" w:cs="宋体"/>
          <w:color w:val="auto"/>
          <w:sz w:val="24"/>
          <w:szCs w:val="24"/>
          <w:highlight w:val="none"/>
        </w:rPr>
        <w:t>评标委员会对满足招标文件实质性要求的投标文件，按照本章第2.2款规定的评分标准进行打分，并按得分由高到低顺序推荐中标候选人，或根据招标人授权直接确定中标人，但投标报价低于其成本的除外。总得分相同的投标文件，以报价较低的排前；总得分与报价均相同的投标文件，以技术评审得分较高的排前；如仍存在相同情况，则对具有相同情况的投标人，由评委通过记名投标表决（不得弃权），以“少数服从多数”的原则确定排序。</w:t>
      </w:r>
    </w:p>
    <w:p>
      <w:pPr>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条款号：2.2.2 有效投标报价</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修改类型：修改</w:t>
      </w:r>
    </w:p>
    <w:p>
      <w:pPr>
        <w:adjustRightInd/>
        <w:snapToGrid/>
        <w:spacing w:beforeLines="0" w:afterLines="0" w:line="360" w:lineRule="auto"/>
        <w:ind w:firstLine="482" w:firstLineChars="200"/>
        <w:jc w:val="left"/>
        <w:rPr>
          <w:rFonts w:hint="eastAsia" w:ascii="宋体" w:hAnsi="宋体" w:eastAsia="宋体" w:cs="宋体"/>
          <w:color w:val="auto"/>
          <w:kern w:val="2"/>
          <w:sz w:val="24"/>
          <w:szCs w:val="24"/>
          <w:highlight w:val="none"/>
          <w:lang w:val="en-US" w:eastAsia="zh-CN"/>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通过初步评审且不高于最高投标限价的投标报价为有效投标报价，高于最高投标限价的投标报价无效。投标报价不得低于成本价，否则投标报价为无效投标报价。</w:t>
      </w:r>
    </w:p>
    <w:p>
      <w:pPr>
        <w:spacing w:beforeLines="0" w:afterLines="0" w:line="360" w:lineRule="auto"/>
        <w:ind w:firstLine="482" w:firstLineChars="200"/>
        <w:rPr>
          <w:rFonts w:hint="eastAsia" w:ascii="宋体" w:hAnsi="宋体" w:eastAsia="宋体" w:cs="宋体"/>
          <w:strike w:val="0"/>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通过初步评审的投标报价为有效投标报价，</w:t>
      </w:r>
      <w:r>
        <w:rPr>
          <w:rFonts w:hint="eastAsia" w:ascii="宋体" w:hAnsi="宋体" w:eastAsia="宋体" w:cs="宋体"/>
          <w:color w:val="auto"/>
          <w:sz w:val="24"/>
          <w:szCs w:val="24"/>
          <w:highlight w:val="none"/>
          <w:lang w:val="en-US" w:eastAsia="zh-CN"/>
        </w:rPr>
        <w:t>且</w:t>
      </w:r>
      <w:r>
        <w:rPr>
          <w:rFonts w:hint="eastAsia" w:ascii="宋体" w:hAnsi="宋体" w:eastAsia="宋体" w:cs="宋体"/>
          <w:color w:val="auto"/>
          <w:sz w:val="24"/>
          <w:szCs w:val="24"/>
          <w:highlight w:val="none"/>
        </w:rPr>
        <w:t>投标报价不得低于成本价，否则投标报价为无效投标报价。</w:t>
      </w:r>
      <w:r>
        <w:rPr>
          <w:rFonts w:hint="eastAsia" w:ascii="宋体" w:hAnsi="宋体" w:eastAsia="宋体" w:cs="宋体"/>
          <w:color w:val="auto"/>
          <w:sz w:val="24"/>
          <w:szCs w:val="24"/>
          <w:highlight w:val="none"/>
          <w:u w:val="single"/>
        </w:rPr>
        <w:t>非竞争性费用须与招标人发布的金额一致，不一致的投标报价无效。</w:t>
      </w:r>
      <w:r>
        <w:rPr>
          <w:rFonts w:hint="eastAsia" w:ascii="宋体" w:hAnsi="宋体" w:eastAsia="宋体" w:cs="宋体"/>
          <w:strike w:val="0"/>
          <w:color w:val="auto"/>
          <w:sz w:val="24"/>
          <w:szCs w:val="24"/>
          <w:highlight w:val="none"/>
          <w:u w:val="single"/>
        </w:rPr>
        <w:t>评标时，评标委员会发现投标人的报价明显低于其他投标报价，或者低于成本警示价的报价，使得其投标报价可能低于其成本的，应当要求该投标人作出书面说明并提供相应的证明材料。投标人不能合理说明或者不能提供相应证明材料的，由评标委员会认定该投标人以低于成本报价竞标，评标委员会应当否决其投标。</w:t>
      </w:r>
    </w:p>
    <w:p>
      <w:pPr>
        <w:pBdr>
          <w:bottom w:val="single" w:color="auto" w:sz="6" w:space="0"/>
        </w:pBdr>
        <w:spacing w:beforeLines="0" w:afterLines="0" w:line="360" w:lineRule="auto"/>
        <w:ind w:firstLine="480" w:firstLineChars="200"/>
        <w:rPr>
          <w:rFonts w:hint="eastAsia" w:ascii="宋体" w:hAnsi="宋体" w:eastAsia="宋体" w:cs="宋体"/>
          <w:color w:val="auto"/>
          <w:sz w:val="24"/>
          <w:szCs w:val="24"/>
          <w:highlight w:val="none"/>
          <w:u w:val="single"/>
        </w:rPr>
      </w:pPr>
    </w:p>
    <w:p>
      <w:pPr>
        <w:pBdr>
          <w:top w:val="none" w:color="auto" w:sz="0" w:space="0"/>
          <w:left w:val="none" w:color="auto" w:sz="0" w:space="0"/>
          <w:bottom w:val="none" w:color="auto" w:sz="0" w:space="0"/>
          <w:right w:val="none" w:color="auto" w:sz="0" w:space="0"/>
          <w:between w:val="none" w:color="auto" w:sz="0" w:space="0"/>
        </w:pBdr>
        <w:snapToGrid w:val="0"/>
        <w:spacing w:beforeLines="0" w:afterLines="0" w:line="360" w:lineRule="auto"/>
        <w:ind w:firstLine="537" w:firstLineChars="224"/>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条款号：2.2.3 </w:t>
      </w:r>
      <w:r>
        <w:rPr>
          <w:rFonts w:hint="eastAsia" w:ascii="宋体" w:hAnsi="宋体" w:eastAsia="宋体" w:cs="宋体"/>
          <w:color w:val="auto"/>
          <w:sz w:val="24"/>
          <w:szCs w:val="24"/>
          <w:highlight w:val="none"/>
          <w:lang w:val="en-US" w:eastAsia="zh-CN"/>
        </w:rPr>
        <w:t>可选方式</w:t>
      </w:r>
      <w:r>
        <w:rPr>
          <w:rFonts w:hint="eastAsia" w:ascii="宋体" w:hAnsi="宋体" w:cs="宋体"/>
          <w:color w:val="auto"/>
          <w:sz w:val="24"/>
          <w:szCs w:val="24"/>
          <w:highlight w:val="none"/>
          <w:lang w:val="en-US" w:eastAsia="zh-CN"/>
        </w:rPr>
        <w:t>一、</w:t>
      </w:r>
      <w:r>
        <w:rPr>
          <w:rFonts w:hint="eastAsia" w:ascii="宋体" w:hAnsi="宋体" w:eastAsia="宋体" w:cs="宋体"/>
          <w:color w:val="auto"/>
          <w:sz w:val="24"/>
          <w:szCs w:val="24"/>
          <w:highlight w:val="none"/>
          <w:lang w:val="en-US" w:eastAsia="zh-CN"/>
        </w:rPr>
        <w:t>可选方式</w:t>
      </w:r>
      <w:r>
        <w:rPr>
          <w:rFonts w:hint="eastAsia" w:ascii="宋体" w:hAnsi="宋体" w:cs="宋体"/>
          <w:color w:val="auto"/>
          <w:sz w:val="24"/>
          <w:szCs w:val="24"/>
          <w:highlight w:val="none"/>
          <w:lang w:val="en-US" w:eastAsia="zh-CN"/>
        </w:rPr>
        <w:t>二、</w:t>
      </w:r>
      <w:r>
        <w:rPr>
          <w:rFonts w:hint="eastAsia" w:ascii="宋体" w:hAnsi="宋体" w:eastAsia="宋体" w:cs="宋体"/>
          <w:color w:val="auto"/>
          <w:sz w:val="24"/>
          <w:szCs w:val="24"/>
          <w:highlight w:val="none"/>
          <w:lang w:val="en-US" w:eastAsia="zh-CN"/>
        </w:rPr>
        <w:t>可选方式</w:t>
      </w: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eastAsia="zh-CN"/>
        </w:rPr>
        <w:t>可选方式</w:t>
      </w:r>
      <w:r>
        <w:rPr>
          <w:rFonts w:hint="eastAsia" w:ascii="宋体" w:hAnsi="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eastAsia="zh-CN"/>
        </w:rPr>
        <w:t>可选方式</w:t>
      </w:r>
      <w:r>
        <w:rPr>
          <w:rFonts w:hint="eastAsia" w:ascii="宋体" w:hAnsi="宋体" w:cs="宋体"/>
          <w:color w:val="auto"/>
          <w:sz w:val="24"/>
          <w:szCs w:val="24"/>
          <w:highlight w:val="none"/>
          <w:lang w:val="en-US" w:eastAsia="zh-CN"/>
        </w:rPr>
        <w:t>五、</w:t>
      </w:r>
      <w:r>
        <w:rPr>
          <w:rFonts w:hint="eastAsia" w:ascii="宋体" w:hAnsi="宋体" w:eastAsia="宋体" w:cs="宋体"/>
          <w:color w:val="auto"/>
          <w:sz w:val="24"/>
          <w:szCs w:val="24"/>
          <w:highlight w:val="none"/>
          <w:lang w:val="en-US" w:eastAsia="zh-CN"/>
        </w:rPr>
        <w:t xml:space="preserve">可选方式六         </w:t>
      </w:r>
      <w:r>
        <w:rPr>
          <w:rFonts w:hint="eastAsia" w:ascii="宋体" w:hAnsi="宋体" w:eastAsia="宋体" w:cs="宋体"/>
          <w:color w:val="auto"/>
          <w:sz w:val="24"/>
          <w:szCs w:val="24"/>
          <w:highlight w:val="none"/>
        </w:rPr>
        <w:t xml:space="preserve">  修改类型：</w:t>
      </w:r>
      <w:r>
        <w:rPr>
          <w:rFonts w:hint="eastAsia" w:ascii="宋体" w:hAnsi="宋体" w:cs="宋体"/>
          <w:color w:val="auto"/>
          <w:sz w:val="24"/>
          <w:szCs w:val="24"/>
          <w:highlight w:val="none"/>
          <w:lang w:val="en-US" w:eastAsia="zh-CN"/>
        </w:rPr>
        <w:t>修改</w:t>
      </w:r>
    </w:p>
    <w:p>
      <w:pPr>
        <w:spacing w:line="360" w:lineRule="auto"/>
        <w:ind w:firstLine="482" w:firstLineChars="200"/>
        <w:rPr>
          <w:rFonts w:ascii="宋体" w:hAnsi="宋体"/>
          <w:color w:val="auto"/>
          <w:sz w:val="24"/>
          <w:szCs w:val="24"/>
          <w:highlight w:val="none"/>
        </w:rPr>
      </w:pPr>
      <w:r>
        <w:rPr>
          <w:rFonts w:hint="eastAsia" w:ascii="宋体" w:hAnsi="宋体" w:eastAsia="宋体" w:cs="宋体"/>
          <w:b/>
          <w:bCs/>
          <w:color w:val="auto"/>
          <w:sz w:val="24"/>
          <w:szCs w:val="24"/>
          <w:highlight w:val="none"/>
        </w:rPr>
        <w:t>原文：</w:t>
      </w:r>
      <w:r>
        <w:rPr>
          <w:rFonts w:hint="eastAsia" w:ascii="宋体" w:hAnsi="宋体"/>
          <w:b/>
          <w:color w:val="auto"/>
          <w:sz w:val="24"/>
          <w:szCs w:val="24"/>
          <w:highlight w:val="none"/>
        </w:rPr>
        <w:t>可选方式一</w:t>
      </w:r>
      <w:r>
        <w:rPr>
          <w:rFonts w:hint="eastAsia" w:ascii="宋体" w:hAnsi="宋体"/>
          <w:color w:val="auto"/>
          <w:sz w:val="24"/>
          <w:szCs w:val="24"/>
          <w:highlight w:val="none"/>
        </w:rPr>
        <w:t>：以全部或随机抽取的有效投标报价的算术平均值</w:t>
      </w:r>
      <w:r>
        <w:rPr>
          <w:rFonts w:hint="eastAsia"/>
          <w:color w:val="auto"/>
          <w:sz w:val="24"/>
          <w:szCs w:val="24"/>
          <w:highlight w:val="none"/>
        </w:rPr>
        <w:t>按</w:t>
      </w:r>
      <w:r>
        <w:rPr>
          <w:rFonts w:hint="eastAsia" w:ascii="宋体" w:hAnsi="宋体"/>
          <w:color w:val="auto"/>
          <w:sz w:val="24"/>
          <w:szCs w:val="24"/>
          <w:highlight w:val="none"/>
        </w:rPr>
        <w:t>随机抽取的评标基准价下浮率（2～5%，0.5一个级别）下浮作为评标基准价。具体确定方法如下：</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a</w:t>
      </w:r>
      <w:r>
        <w:rPr>
          <w:rFonts w:hint="eastAsia" w:ascii="宋体" w:hAnsi="宋体"/>
          <w:color w:val="auto"/>
          <w:sz w:val="24"/>
          <w:szCs w:val="24"/>
          <w:highlight w:val="none"/>
        </w:rPr>
        <w:t>、当有效投标报价的投标人少于或等于5个时，取全部有效投标报价的算术平均</w:t>
      </w:r>
      <w:r>
        <w:rPr>
          <w:rFonts w:hint="eastAsia"/>
          <w:color w:val="auto"/>
          <w:sz w:val="24"/>
          <w:szCs w:val="24"/>
          <w:highlight w:val="none"/>
        </w:rPr>
        <w:t>按</w:t>
      </w:r>
      <w:r>
        <w:rPr>
          <w:rFonts w:hint="eastAsia" w:ascii="宋体" w:hAnsi="宋体"/>
          <w:color w:val="auto"/>
          <w:sz w:val="24"/>
          <w:szCs w:val="24"/>
          <w:highlight w:val="none"/>
        </w:rPr>
        <w:t>随机抽取的评标基准价下浮率（2～5%，0.5一个级别）下浮作为评标基准价。</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b</w:t>
      </w:r>
      <w:r>
        <w:rPr>
          <w:rFonts w:hint="eastAsia" w:ascii="宋体" w:hAnsi="宋体"/>
          <w:color w:val="auto"/>
          <w:sz w:val="24"/>
          <w:szCs w:val="24"/>
          <w:highlight w:val="none"/>
        </w:rPr>
        <w:t>、当有效投标报价的投标人为6至10个时，从全部有效投标报价中去掉一个最大值和最小值，其他有效投标报价的算术平均值</w:t>
      </w:r>
      <w:r>
        <w:rPr>
          <w:rFonts w:hint="eastAsia"/>
          <w:color w:val="auto"/>
          <w:sz w:val="24"/>
          <w:szCs w:val="24"/>
          <w:highlight w:val="none"/>
        </w:rPr>
        <w:t>按</w:t>
      </w:r>
      <w:r>
        <w:rPr>
          <w:rFonts w:hint="eastAsia" w:ascii="宋体" w:hAnsi="宋体"/>
          <w:color w:val="auto"/>
          <w:sz w:val="24"/>
          <w:szCs w:val="24"/>
          <w:highlight w:val="none"/>
        </w:rPr>
        <w:t>随机抽取的评标基准价下浮率（2～5%，0.5一个级别）下浮作为评标基准价。</w:t>
      </w:r>
    </w:p>
    <w:p>
      <w:pPr>
        <w:spacing w:line="360" w:lineRule="auto"/>
        <w:ind w:firstLine="480" w:firstLineChars="200"/>
        <w:rPr>
          <w:rFonts w:hint="eastAsia" w:ascii="宋体" w:hAnsi="宋体" w:eastAsia="宋体" w:cs="宋体"/>
          <w:color w:val="auto"/>
          <w:sz w:val="24"/>
          <w:szCs w:val="24"/>
          <w:highlight w:val="none"/>
        </w:rPr>
      </w:pPr>
      <w:r>
        <w:rPr>
          <w:rFonts w:ascii="宋体" w:hAnsi="宋体"/>
          <w:color w:val="auto"/>
          <w:sz w:val="24"/>
          <w:szCs w:val="24"/>
          <w:highlight w:val="none"/>
        </w:rPr>
        <w:t>c</w:t>
      </w:r>
      <w:r>
        <w:rPr>
          <w:rFonts w:hint="eastAsia" w:ascii="宋体" w:hAnsi="宋体"/>
          <w:color w:val="auto"/>
          <w:sz w:val="24"/>
          <w:szCs w:val="24"/>
          <w:highlight w:val="none"/>
        </w:rPr>
        <w:t>、当有效投标报价的投标人大于10个时，随机抽取10个有效投标报价并从中去掉一个最大值和最小值后计算算术平均值，该平均值</w:t>
      </w:r>
      <w:r>
        <w:rPr>
          <w:rFonts w:hint="eastAsia"/>
          <w:color w:val="auto"/>
          <w:sz w:val="24"/>
          <w:szCs w:val="24"/>
          <w:highlight w:val="none"/>
        </w:rPr>
        <w:t>按</w:t>
      </w:r>
      <w:r>
        <w:rPr>
          <w:rFonts w:hint="eastAsia" w:ascii="宋体" w:hAnsi="宋体"/>
          <w:color w:val="auto"/>
          <w:sz w:val="24"/>
          <w:szCs w:val="24"/>
          <w:highlight w:val="none"/>
        </w:rPr>
        <w:t>随机抽取的评标基准价下浮率（2～5%，0.5一个级别）下浮作为评标基准价。</w:t>
      </w:r>
    </w:p>
    <w:p>
      <w:pPr>
        <w:spacing w:beforeLines="0" w:afterLines="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可选方式二：</w:t>
      </w:r>
      <w:r>
        <w:rPr>
          <w:rFonts w:hint="eastAsia" w:ascii="宋体" w:hAnsi="宋体" w:eastAsia="宋体" w:cs="宋体"/>
          <w:color w:val="auto"/>
          <w:sz w:val="24"/>
          <w:szCs w:val="24"/>
          <w:highlight w:val="none"/>
        </w:rPr>
        <w:t>以有效投标报价的算术平均值按随机抽取的评标基准价下浮率（2～5%，0.5一个级别）下浮作为评标基准价。</w:t>
      </w:r>
    </w:p>
    <w:p>
      <w:pPr>
        <w:spacing w:beforeLines="0" w:afterLines="0"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可选方式</w:t>
      </w:r>
      <w:r>
        <w:rPr>
          <w:rFonts w:hint="eastAsia" w:ascii="宋体" w:hAnsi="宋体" w:eastAsia="宋体" w:cs="宋体"/>
          <w:b/>
          <w:color w:val="auto"/>
          <w:sz w:val="24"/>
          <w:szCs w:val="24"/>
          <w:highlight w:val="none"/>
          <w:lang w:eastAsia="zh-CN"/>
        </w:rPr>
        <w:t>三</w:t>
      </w:r>
      <w:r>
        <w:rPr>
          <w:rFonts w:hint="eastAsia" w:ascii="宋体" w:hAnsi="宋体" w:eastAsia="宋体" w:cs="宋体"/>
          <w:color w:val="auto"/>
          <w:sz w:val="24"/>
          <w:szCs w:val="24"/>
          <w:highlight w:val="none"/>
        </w:rPr>
        <w:t>：以有效投标报价</w:t>
      </w:r>
      <w:r>
        <w:rPr>
          <w:rFonts w:hint="eastAsia" w:ascii="宋体" w:hAnsi="宋体" w:eastAsia="宋体" w:cs="宋体"/>
          <w:color w:val="auto"/>
          <w:sz w:val="24"/>
          <w:szCs w:val="24"/>
          <w:highlight w:val="none"/>
          <w:lang w:eastAsia="zh-CN"/>
        </w:rPr>
        <w:t>其中的最低投标报价作为评标基准价。</w:t>
      </w:r>
    </w:p>
    <w:p>
      <w:pPr>
        <w:spacing w:beforeLines="0" w:afterLines="0"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可选方式</w:t>
      </w:r>
      <w:r>
        <w:rPr>
          <w:rFonts w:hint="eastAsia" w:ascii="宋体" w:hAnsi="宋体" w:eastAsia="宋体" w:cs="宋体"/>
          <w:b/>
          <w:color w:val="auto"/>
          <w:sz w:val="24"/>
          <w:szCs w:val="24"/>
          <w:highlight w:val="none"/>
          <w:lang w:eastAsia="zh-CN"/>
        </w:rPr>
        <w:t>四</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将技术评审或技术评审加诚信得分（具体由招标人自定）排序。</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a、当有效投标报价的投标人少于或等于7个时，取全部有效投标报价的算术平均按随机抽取的评标基准价下浮率（2～5%，0.5一个级别）下浮作为评标基准价。</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b、当有效投标报价的投标人大于7个小于10个时，从全部有效投标报价中去掉一个最大值和最小值，其他有效投标报价的算术平均值按随机抽取的评标基准价下浮率（2～5%，0.5一个级别）下浮作为评标基准价。</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c、当有效投标报价的投标人数量大于或等于10时，随机从前  名（前10-20名，具体由招标人自定）抽取  个（选7-10个，具体由招标人自定）有效投标报价并从中去掉一个最大值和最小值后计算算术平均值，该平均值按随机抽取的评标基准价下浮率（2～5%，0.5一个级别）下浮作为评标基准价。</w:t>
      </w:r>
    </w:p>
    <w:p>
      <w:pPr>
        <w:pStyle w:val="25"/>
        <w:rPr>
          <w:rFonts w:hint="eastAsia" w:ascii="宋体" w:hAnsi="宋体" w:eastAsia="宋体" w:cs="宋体"/>
          <w:color w:val="auto"/>
          <w:szCs w:val="24"/>
          <w:highlight w:val="none"/>
          <w:lang w:val="en-US" w:eastAsia="zh-CN"/>
        </w:rPr>
      </w:pPr>
      <w:r>
        <w:rPr>
          <w:rFonts w:hint="eastAsia" w:ascii="宋体" w:hAnsi="宋体" w:eastAsia="宋体" w:cs="宋体"/>
          <w:color w:val="auto"/>
          <w:sz w:val="24"/>
          <w:szCs w:val="24"/>
          <w:highlight w:val="none"/>
          <w:lang w:eastAsia="zh-CN"/>
        </w:rPr>
        <w:t>技术评审或技术评审加诚信得分相同的，以诚信得分靠前的排前；技术评审得分与诚信得分均相同的投标人，由评标委员会采用记名投票方式，确定投标人的排序（具体由招标人自定）。</w:t>
      </w:r>
    </w:p>
    <w:p>
      <w:pPr>
        <w:spacing w:beforeLines="0" w:afterLines="0"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可选方式</w:t>
      </w:r>
      <w:r>
        <w:rPr>
          <w:rFonts w:hint="eastAsia" w:ascii="宋体" w:hAnsi="宋体" w:eastAsia="宋体" w:cs="宋体"/>
          <w:b/>
          <w:color w:val="auto"/>
          <w:sz w:val="24"/>
          <w:szCs w:val="24"/>
          <w:highlight w:val="none"/>
          <w:lang w:eastAsia="zh-CN"/>
        </w:rPr>
        <w:t>五</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将技术评审或技术评审加诚信得分（具体由招标人自定）排序。</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a、当有效投标报价的投标人少于或等于7个时，取全部有效投标报价的加权平均按随机抽取的评标基准价下浮率（0～3%，0.5一个级别）下浮作为评标基准价。</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b、当有效投标报价的投标人大于7个小于10个时，从全部有效投标报价中去掉一个最大值和最小值，其他有效投标报价的加权平均值按随机抽取的评标基准价下浮率（0～3%，0.5一个级别）下浮作为评标基准价。</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c、当有效投标报价的投标人数量大于或等于10时，随机从前  名（前10-20名，具体由招标人自定）抽取  个（选7-10个，具体由招标人自定）有效投标报价，从中去掉一个最大值和最小值后计算加权平均值，该平均值按随机抽取的评标基准价下浮率（0～3%，0.5一个级别）下浮作为评标基准价。</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按上述办法确定参与计算评标参考价的投标报价后，计算评标参考价计算公式如下：</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评标参考价＝∑（投标人的投标报价*报价权重）</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其中：报价权重的计算方法为：将 N 名投标人按技术评审或技术评审加诚信得分由高至低进行排序，第一名投标人的权重为（</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INCLUDEPICTURE \d "D:\\360MoveData\\Users\\Administrator\\Documents\\Tencent Files\\1209116318\\Image\\C2C\\7YB3]B%W8D6YG0]{K_5T85P.JPG" \* MERGEFORMATINET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drawing>
          <wp:inline distT="0" distB="0" distL="114300" distR="114300">
            <wp:extent cx="381000" cy="447675"/>
            <wp:effectExtent l="0" t="0" r="0" b="9525"/>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10"/>
                    <a:stretch>
                      <a:fillRect/>
                    </a:stretch>
                  </pic:blipFill>
                  <pic:spPr>
                    <a:xfrm>
                      <a:off x="0" y="0"/>
                      <a:ext cx="381000" cy="447675"/>
                    </a:xfrm>
                    <a:prstGeom prst="rect">
                      <a:avLst/>
                    </a:prstGeom>
                    <a:noFill/>
                    <a:ln>
                      <a:noFill/>
                    </a:ln>
                  </pic:spPr>
                </pic:pic>
              </a:graphicData>
            </a:graphic>
          </wp:inline>
        </w:drawing>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eastAsia="zh-CN"/>
        </w:rPr>
        <w:t xml:space="preserve"> ），第二名投标人的权重为（</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INCLUDEPICTURE \d "D:\\360MoveData\\Users\\Administrator\\Documents\\Tencent Files\\1209116318\\Image\\C2C\\5$T9V[[~ZO4B%PW4GYKQ1EC.JPG" \* MERGEFORMATINET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drawing>
          <wp:inline distT="0" distB="0" distL="114300" distR="114300">
            <wp:extent cx="323850" cy="400050"/>
            <wp:effectExtent l="0" t="0" r="0" b="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1"/>
                    <a:stretch>
                      <a:fillRect/>
                    </a:stretch>
                  </pic:blipFill>
                  <pic:spPr>
                    <a:xfrm>
                      <a:off x="0" y="0"/>
                      <a:ext cx="323850" cy="400050"/>
                    </a:xfrm>
                    <a:prstGeom prst="rect">
                      <a:avLst/>
                    </a:prstGeom>
                    <a:noFill/>
                    <a:ln>
                      <a:noFill/>
                    </a:ln>
                  </pic:spPr>
                </pic:pic>
              </a:graphicData>
            </a:graphic>
          </wp:inline>
        </w:drawing>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eastAsia="zh-CN"/>
        </w:rPr>
        <w:t>），以此类推，最后一名投标人的权重为（</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INCLUDEPICTURE \d "D:\\360MoveData\\Users\\Administrator\\Documents\\Tencent Files\\1209116318\\Image\\C2C\\JZ0C2UWN56PMWGC6_%MAG@M.JPG" \* MERGEFORMATINET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drawing>
          <wp:inline distT="0" distB="0" distL="114300" distR="114300">
            <wp:extent cx="323850" cy="400050"/>
            <wp:effectExtent l="0" t="0" r="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2"/>
                    <a:stretch>
                      <a:fillRect/>
                    </a:stretch>
                  </pic:blipFill>
                  <pic:spPr>
                    <a:xfrm>
                      <a:off x="0" y="0"/>
                      <a:ext cx="323850" cy="400050"/>
                    </a:xfrm>
                    <a:prstGeom prst="rect">
                      <a:avLst/>
                    </a:prstGeom>
                    <a:noFill/>
                    <a:ln>
                      <a:noFill/>
                    </a:ln>
                  </pic:spPr>
                </pic:pic>
              </a:graphicData>
            </a:graphic>
          </wp:inline>
        </w:drawing>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eastAsia="zh-CN"/>
        </w:rPr>
        <w:t>）。</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技术评审或技术评审加诚信得分相同的，以诚信得分靠前的排前；技术评审得分与诚信得分均相同的投标人，由评标委员会采用记名投票方式，确定投标人的排序（具体由招标人自定）。</w:t>
      </w:r>
    </w:p>
    <w:p>
      <w:pPr>
        <w:spacing w:beforeLines="0" w:afterLines="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可选方式</w:t>
      </w:r>
      <w:r>
        <w:rPr>
          <w:rFonts w:hint="eastAsia" w:ascii="宋体" w:hAnsi="宋体" w:eastAsia="宋体" w:cs="宋体"/>
          <w:b/>
          <w:color w:val="auto"/>
          <w:sz w:val="24"/>
          <w:szCs w:val="24"/>
          <w:highlight w:val="none"/>
          <w:lang w:val="en-US" w:eastAsia="zh-CN"/>
        </w:rPr>
        <w:t>六</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由招标人依据相关法律法规合理确定</w:t>
      </w:r>
      <w:r>
        <w:rPr>
          <w:rFonts w:hint="eastAsia" w:ascii="宋体" w:hAnsi="宋体" w:eastAsia="宋体" w:cs="宋体"/>
          <w:color w:val="auto"/>
          <w:sz w:val="24"/>
          <w:szCs w:val="24"/>
          <w:highlight w:val="none"/>
          <w:lang w:eastAsia="zh-CN"/>
        </w:rPr>
        <w:t>）。</w:t>
      </w:r>
    </w:p>
    <w:p>
      <w:pPr>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在首次评标过程中，投标人未被发现存在串通投标、弄虚作假、行贿等情形的，无论是否重评，经确定的评标基准价不变。</w:t>
      </w:r>
    </w:p>
    <w:p>
      <w:pPr>
        <w:spacing w:beforeLines="0" w:afterLines="0"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现文：</w:t>
      </w:r>
      <w:bookmarkStart w:id="279" w:name="OLE_LINK4"/>
      <w:r>
        <w:rPr>
          <w:rFonts w:hint="eastAsia" w:ascii="宋体" w:hAnsi="宋体" w:eastAsia="宋体" w:cs="宋体"/>
          <w:b/>
          <w:color w:val="auto"/>
          <w:sz w:val="24"/>
          <w:szCs w:val="24"/>
          <w:highlight w:val="none"/>
        </w:rPr>
        <w:t>方式</w:t>
      </w:r>
      <w:r>
        <w:rPr>
          <w:rFonts w:hint="eastAsia" w:ascii="宋体" w:hAnsi="宋体" w:cs="宋体"/>
          <w:b/>
          <w:color w:val="auto"/>
          <w:sz w:val="24"/>
          <w:szCs w:val="24"/>
          <w:highlight w:val="none"/>
          <w:lang w:val="en-US" w:eastAsia="zh-CN"/>
        </w:rPr>
        <w:t>四</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rPr>
        <w:t>将技术评审排序</w:t>
      </w:r>
      <w:r>
        <w:rPr>
          <w:rFonts w:hint="eastAsia" w:ascii="宋体" w:hAnsi="宋体" w:eastAsia="宋体" w:cs="宋体"/>
          <w:color w:val="auto"/>
          <w:sz w:val="24"/>
          <w:szCs w:val="24"/>
          <w:highlight w:val="none"/>
          <w:lang w:eastAsia="zh-CN"/>
        </w:rPr>
        <w:t>。</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a、当有效投标报价的投标人少于或等于7个时，取全部有效投标报价的算术平均按随机抽取的评标基准价下浮率（2～5%，0.5一个级别）下浮作为评标基准价。</w:t>
      </w:r>
    </w:p>
    <w:p>
      <w:pPr>
        <w:pBdr>
          <w:top w:val="none" w:color="auto" w:sz="0" w:space="0"/>
          <w:left w:val="none" w:color="auto" w:sz="0" w:space="0"/>
          <w:bottom w:val="none" w:color="auto" w:sz="0" w:space="0"/>
          <w:right w:val="none" w:color="auto" w:sz="0" w:space="0"/>
          <w:between w:val="none" w:color="auto" w:sz="0" w:space="0"/>
        </w:pBd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b、当有效投标报价的投标人大于7个小于10个时，从全部有效投标报价中去掉一个最大值和最小值，其他有效投标报价的算术平均值按随机抽取的评标基准价下浮率（2～5%，0.5一个级别）下浮作为评标基准价。</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c、当有效投标报价的投标人数量大于或等于10时，随机从前</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名抽取</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个有效投标报价并从中去掉一个最大值和最小值后计算算术平均值，该平均值按随机抽取的评标基准价下浮率（2～5%，0.5一个级别）下浮作为评标基准价。</w:t>
      </w:r>
    </w:p>
    <w:p>
      <w:pPr>
        <w:pStyle w:val="25"/>
        <w:rPr>
          <w:rFonts w:hint="eastAsia" w:eastAsia="宋体"/>
          <w:color w:val="auto"/>
          <w:highlight w:val="none"/>
          <w:lang w:val="en-US" w:eastAsia="zh-CN"/>
        </w:rPr>
      </w:pPr>
      <w:r>
        <w:rPr>
          <w:rFonts w:hint="eastAsia" w:ascii="宋体" w:hAnsi="宋体" w:eastAsia="宋体" w:cs="宋体"/>
          <w:color w:val="auto"/>
          <w:sz w:val="24"/>
          <w:szCs w:val="24"/>
          <w:highlight w:val="none"/>
          <w:lang w:eastAsia="zh-CN"/>
        </w:rPr>
        <w:t>技术评审相同的，由评标委员会采用记名投票方式，确定投标人的排序。</w:t>
      </w:r>
    </w:p>
    <w:bookmarkEnd w:id="279"/>
    <w:p>
      <w:pPr>
        <w:pBdr>
          <w:top w:val="single" w:color="auto" w:sz="4" w:space="0"/>
        </w:pBd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条款号：3.1.2                         修改类型：修改</w:t>
      </w:r>
    </w:p>
    <w:p>
      <w:pPr>
        <w:snapToGrid w:val="0"/>
        <w:spacing w:beforeLines="0" w:afterLines="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投标人有以下情形之一的，评标委员会应当否决其投标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p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（1）第二章“投标人须知”第1.4.3项规定的任何一种情形的；</w:t>
      </w:r>
    </w:p>
    <w:p>
      <w:p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（2）串通投标或弄虚作假或有其他违法行为的；</w:t>
      </w:r>
    </w:p>
    <w:p>
      <w:p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（3）不按评标委员会要求澄清、说明或补正的。</w:t>
      </w:r>
    </w:p>
    <w:p>
      <w:pPr>
        <w:snapToGrid w:val="0"/>
        <w:spacing w:beforeLines="0" w:afterLines="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投标人有以下情形之一的，评标委员会应当否决其投标：</w:t>
      </w:r>
    </w:p>
    <w:p>
      <w:pPr>
        <w:numPr>
          <w:ilvl w:val="0"/>
          <w:numId w:val="0"/>
        </w:num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rPr>
        <w:t>第二章“投标人须知”第1.4.3项规定的任何一种情形的；</w:t>
      </w:r>
    </w:p>
    <w:p>
      <w:pPr>
        <w:numPr>
          <w:ilvl w:val="0"/>
          <w:numId w:val="0"/>
        </w:num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串通投标或弄虚作假或有其他违法行为的；</w:t>
      </w:r>
    </w:p>
    <w:p>
      <w:pPr>
        <w:numPr>
          <w:ilvl w:val="0"/>
          <w:numId w:val="0"/>
        </w:num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szCs w:val="24"/>
          <w:highlight w:val="none"/>
        </w:rPr>
        <w:t>不按评标委员会要求澄清、说明或补正的；</w:t>
      </w:r>
    </w:p>
    <w:p>
      <w:pPr>
        <w:numPr>
          <w:ilvl w:val="0"/>
          <w:numId w:val="0"/>
        </w:num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（4）</w:t>
      </w:r>
      <w:r>
        <w:rPr>
          <w:rFonts w:hint="eastAsia" w:ascii="宋体" w:hAnsi="宋体" w:eastAsia="宋体" w:cs="宋体"/>
          <w:color w:val="auto"/>
          <w:sz w:val="24"/>
          <w:szCs w:val="24"/>
          <w:highlight w:val="none"/>
        </w:rPr>
        <w:t>投标文件不符合招标文件评标办法中形式评审标准、资格评审标准、响应性评审标准的要求；</w:t>
      </w:r>
    </w:p>
    <w:p>
      <w:pPr>
        <w:pBdr>
          <w:top w:val="none" w:color="auto" w:sz="0" w:space="0"/>
          <w:left w:val="none" w:color="auto" w:sz="0" w:space="0"/>
          <w:bottom w:val="single" w:color="auto" w:sz="4" w:space="0"/>
          <w:right w:val="none" w:color="auto" w:sz="0" w:space="0"/>
          <w:between w:val="none" w:color="auto" w:sz="0" w:space="0"/>
        </w:pBd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（5）</w:t>
      </w:r>
      <w:r>
        <w:rPr>
          <w:rFonts w:hint="eastAsia" w:ascii="宋体" w:hAnsi="宋体" w:eastAsia="宋体" w:cs="宋体"/>
          <w:color w:val="auto"/>
          <w:sz w:val="24"/>
          <w:szCs w:val="24"/>
          <w:highlight w:val="none"/>
        </w:rPr>
        <w:t>不对评标委员会修正后的价格进行书面确认。</w:t>
      </w:r>
    </w:p>
    <w:p>
      <w:pPr>
        <w:pBdr>
          <w:top w:val="none" w:color="auto" w:sz="0" w:space="0"/>
          <w:left w:val="none" w:color="auto" w:sz="0" w:space="0"/>
          <w:bottom w:val="none" w:color="auto" w:sz="0" w:space="0"/>
          <w:right w:val="none" w:color="auto" w:sz="0" w:space="0"/>
          <w:between w:val="none" w:color="auto" w:sz="0" w:space="0"/>
        </w:pBdr>
        <w:snapToGrid w:val="0"/>
        <w:spacing w:beforeLines="0" w:afterLines="0" w:line="360" w:lineRule="auto"/>
        <w:ind w:firstLine="537" w:firstLineChars="2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修改类型：修改</w:t>
      </w:r>
    </w:p>
    <w:p>
      <w:pPr>
        <w:snapToGrid w:val="0"/>
        <w:spacing w:beforeLines="0" w:afterLines="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3.2 详细评审</w:t>
      </w:r>
    </w:p>
    <w:p>
      <w:pPr>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 评标委员会按本章第2.2款规定的量化因素和分值进行打分，并计算出综合评估得分。</w:t>
      </w:r>
    </w:p>
    <w:p>
      <w:pPr>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（1）按本章第2.2.5（1）目规定的评审因素和分值对技术部分计算出得分A；</w:t>
      </w:r>
      <w:r>
        <w:rPr>
          <w:rFonts w:hint="eastAsia" w:ascii="宋体" w:hAnsi="宋体" w:eastAsia="宋体" w:cs="宋体"/>
          <w:color w:val="auto"/>
          <w:sz w:val="24"/>
          <w:szCs w:val="24"/>
          <w:highlight w:val="none"/>
          <w:u w:val="single"/>
          <w:lang w:eastAsia="zh-CN"/>
        </w:rPr>
        <w:fldChar w:fldCharType="begin"/>
      </w:r>
      <w:r>
        <w:rPr>
          <w:rFonts w:hint="eastAsia" w:ascii="宋体" w:hAnsi="宋体" w:eastAsia="宋体" w:cs="宋体"/>
          <w:color w:val="auto"/>
          <w:sz w:val="24"/>
          <w:szCs w:val="24"/>
          <w:highlight w:val="none"/>
          <w:u w:val="single"/>
          <w:lang w:eastAsia="zh-CN"/>
        </w:rPr>
        <w:instrText xml:space="preserve"> = 1 \* GB3 \* MERGEFORMAT </w:instrText>
      </w:r>
      <w:r>
        <w:rPr>
          <w:rFonts w:hint="eastAsia" w:ascii="宋体" w:hAnsi="宋体" w:eastAsia="宋体" w:cs="宋体"/>
          <w:color w:val="auto"/>
          <w:sz w:val="24"/>
          <w:szCs w:val="24"/>
          <w:highlight w:val="none"/>
          <w:u w:val="single"/>
          <w:lang w:eastAsia="zh-CN"/>
        </w:rPr>
        <w:fldChar w:fldCharType="separate"/>
      </w:r>
      <w:r>
        <w:rPr>
          <w:rFonts w:hint="eastAsia" w:ascii="宋体" w:hAnsi="宋体" w:eastAsia="宋体" w:cs="宋体"/>
          <w:color w:val="auto"/>
          <w:sz w:val="24"/>
          <w:szCs w:val="24"/>
          <w:highlight w:val="none"/>
          <w:u w:val="single"/>
        </w:rPr>
        <w:t>①</w:t>
      </w:r>
      <w:r>
        <w:rPr>
          <w:rFonts w:hint="eastAsia" w:ascii="宋体" w:hAnsi="宋体" w:eastAsia="宋体" w:cs="宋体"/>
          <w:color w:val="auto"/>
          <w:sz w:val="24"/>
          <w:szCs w:val="24"/>
          <w:highlight w:val="none"/>
          <w:u w:val="single"/>
          <w:lang w:eastAsia="zh-CN"/>
        </w:rPr>
        <w:fldChar w:fldCharType="end"/>
      </w:r>
      <w:r>
        <w:rPr>
          <w:rFonts w:hint="eastAsia" w:ascii="宋体" w:hAnsi="宋体" w:eastAsia="宋体" w:cs="宋体"/>
          <w:color w:val="auto"/>
          <w:sz w:val="24"/>
          <w:szCs w:val="24"/>
          <w:highlight w:val="none"/>
          <w:u w:val="single"/>
          <w:lang w:eastAsia="zh-CN"/>
        </w:rPr>
        <w:t>技术部分</w:t>
      </w:r>
      <w:r>
        <w:rPr>
          <w:rFonts w:hint="eastAsia" w:ascii="宋体" w:hAnsi="宋体" w:eastAsia="宋体" w:cs="宋体"/>
          <w:color w:val="auto"/>
          <w:sz w:val="24"/>
          <w:szCs w:val="24"/>
          <w:highlight w:val="none"/>
          <w:u w:val="single"/>
        </w:rPr>
        <w:t>评审得分A为从各评标专家打分中去掉一个最高分和去掉一个最低分后的剩余评标专家打分的算术平均值</w:t>
      </w:r>
      <w:r>
        <w:rPr>
          <w:rFonts w:hint="eastAsia" w:ascii="宋体" w:hAnsi="宋体" w:eastAsia="宋体" w:cs="宋体"/>
          <w:color w:val="auto"/>
          <w:sz w:val="24"/>
          <w:szCs w:val="24"/>
          <w:highlight w:val="none"/>
          <w:u w:val="single"/>
          <w:lang w:eastAsia="zh-CN"/>
        </w:rPr>
        <w:t>或</w:t>
      </w:r>
      <w:r>
        <w:rPr>
          <w:rFonts w:hint="eastAsia" w:ascii="宋体" w:hAnsi="宋体" w:eastAsia="宋体" w:cs="宋体"/>
          <w:color w:val="auto"/>
          <w:sz w:val="24"/>
          <w:szCs w:val="24"/>
          <w:highlight w:val="none"/>
          <w:u w:val="single"/>
          <w:lang w:eastAsia="zh-CN"/>
        </w:rPr>
        <w:fldChar w:fldCharType="begin"/>
      </w:r>
      <w:r>
        <w:rPr>
          <w:rFonts w:hint="eastAsia" w:ascii="宋体" w:hAnsi="宋体" w:eastAsia="宋体" w:cs="宋体"/>
          <w:color w:val="auto"/>
          <w:sz w:val="24"/>
          <w:szCs w:val="24"/>
          <w:highlight w:val="none"/>
          <w:u w:val="single"/>
          <w:lang w:eastAsia="zh-CN"/>
        </w:rPr>
        <w:instrText xml:space="preserve"> = 2 \* GB3 \* MERGEFORMAT </w:instrText>
      </w:r>
      <w:r>
        <w:rPr>
          <w:rFonts w:hint="eastAsia" w:ascii="宋体" w:hAnsi="宋体" w:eastAsia="宋体" w:cs="宋体"/>
          <w:color w:val="auto"/>
          <w:sz w:val="24"/>
          <w:szCs w:val="24"/>
          <w:highlight w:val="none"/>
          <w:u w:val="single"/>
          <w:lang w:eastAsia="zh-CN"/>
        </w:rPr>
        <w:fldChar w:fldCharType="separate"/>
      </w:r>
      <w:r>
        <w:rPr>
          <w:rFonts w:hint="eastAsia" w:ascii="宋体" w:hAnsi="宋体" w:eastAsia="宋体" w:cs="宋体"/>
          <w:color w:val="auto"/>
          <w:sz w:val="24"/>
          <w:szCs w:val="24"/>
          <w:highlight w:val="none"/>
          <w:u w:val="single"/>
        </w:rPr>
        <w:t>②</w:t>
      </w:r>
      <w:r>
        <w:rPr>
          <w:rFonts w:hint="eastAsia" w:ascii="宋体" w:hAnsi="宋体" w:eastAsia="宋体" w:cs="宋体"/>
          <w:color w:val="auto"/>
          <w:sz w:val="24"/>
          <w:szCs w:val="24"/>
          <w:highlight w:val="none"/>
          <w:u w:val="single"/>
          <w:lang w:eastAsia="zh-CN"/>
        </w:rPr>
        <w:fldChar w:fldCharType="end"/>
      </w:r>
      <w:r>
        <w:rPr>
          <w:rFonts w:hint="eastAsia" w:ascii="宋体" w:hAnsi="宋体" w:eastAsia="宋体" w:cs="宋体"/>
          <w:color w:val="auto"/>
          <w:sz w:val="24"/>
          <w:szCs w:val="24"/>
          <w:highlight w:val="none"/>
          <w:u w:val="single"/>
          <w:lang w:eastAsia="zh-CN"/>
        </w:rPr>
        <w:t>技术部分</w:t>
      </w:r>
      <w:r>
        <w:rPr>
          <w:rFonts w:hint="eastAsia" w:ascii="宋体" w:hAnsi="宋体" w:eastAsia="宋体" w:cs="宋体"/>
          <w:color w:val="auto"/>
          <w:sz w:val="24"/>
          <w:szCs w:val="24"/>
          <w:highlight w:val="none"/>
          <w:u w:val="single"/>
        </w:rPr>
        <w:t>评审得分A为各评标专家打分的算术平均值</w:t>
      </w:r>
      <w:r>
        <w:rPr>
          <w:rFonts w:hint="eastAsia" w:ascii="宋体" w:hAnsi="宋体" w:eastAsia="宋体" w:cs="宋体"/>
          <w:color w:val="auto"/>
          <w:sz w:val="24"/>
          <w:szCs w:val="24"/>
          <w:highlight w:val="none"/>
          <w:u w:val="single"/>
          <w:lang w:eastAsia="zh-CN"/>
        </w:rPr>
        <w:t>（</w:t>
      </w:r>
      <w:r>
        <w:rPr>
          <w:rFonts w:hint="eastAsia" w:ascii="宋体" w:hAnsi="宋体" w:eastAsia="宋体" w:cs="宋体"/>
          <w:i/>
          <w:iCs/>
          <w:color w:val="auto"/>
          <w:sz w:val="24"/>
          <w:szCs w:val="24"/>
          <w:highlight w:val="none"/>
          <w:u w:val="single"/>
          <w:lang w:eastAsia="zh-CN"/>
        </w:rPr>
        <w:t>二选一，招标人自行选择</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w:t>
      </w:r>
    </w:p>
    <w:p>
      <w:pPr>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（2）按本章第2.2.5（2）目规定的评审因素和分值对商务部分计算出得分B；</w:t>
      </w:r>
      <w:r>
        <w:rPr>
          <w:rFonts w:hint="eastAsia" w:ascii="宋体" w:hAnsi="宋体" w:eastAsia="宋体" w:cs="宋体"/>
          <w:color w:val="auto"/>
          <w:sz w:val="24"/>
          <w:szCs w:val="24"/>
          <w:highlight w:val="none"/>
          <w:u w:val="single"/>
        </w:rPr>
        <w:t>商务部分评审得分B为各评标专家打分的算术平均值。</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（3）按本章第2.2.5（3）目规定的评审因素和分值对投标报价计算出得分C</w:t>
      </w:r>
      <w:r>
        <w:rPr>
          <w:rFonts w:hint="eastAsia" w:ascii="宋体" w:hAnsi="宋体" w:eastAsia="宋体" w:cs="宋体"/>
          <w:color w:val="auto"/>
          <w:sz w:val="24"/>
          <w:szCs w:val="24"/>
          <w:highlight w:val="none"/>
          <w:lang w:val="en-US" w:eastAsia="zh-CN"/>
        </w:rPr>
        <w:t>。</w:t>
      </w:r>
    </w:p>
    <w:p>
      <w:pPr>
        <w:snapToGrid w:val="0"/>
        <w:spacing w:beforeLines="0" w:afterLines="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3.2 详细评审</w:t>
      </w:r>
    </w:p>
    <w:p>
      <w:p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 评标委员会按本章第2.2款规定的</w:t>
      </w:r>
      <w:r>
        <w:rPr>
          <w:rFonts w:hint="eastAsia" w:ascii="宋体" w:hAnsi="宋体" w:eastAsia="宋体" w:cs="宋体"/>
          <w:color w:val="auto"/>
          <w:sz w:val="24"/>
          <w:szCs w:val="24"/>
          <w:highlight w:val="none"/>
          <w:lang w:val="en-US" w:eastAsia="zh-CN"/>
        </w:rPr>
        <w:t>评审</w:t>
      </w:r>
      <w:r>
        <w:rPr>
          <w:rFonts w:hint="eastAsia" w:ascii="宋体" w:hAnsi="宋体" w:eastAsia="宋体" w:cs="宋体"/>
          <w:color w:val="auto"/>
          <w:sz w:val="24"/>
          <w:szCs w:val="24"/>
          <w:highlight w:val="none"/>
        </w:rPr>
        <w:t>因素和分值进行打分，并计算出综合评估得分。</w:t>
      </w:r>
    </w:p>
    <w:p>
      <w:pP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（1）按本章第2.2.5（1）目规定的评审因素和分值对技术部分计算出得分A；</w:t>
      </w:r>
      <w:r>
        <w:rPr>
          <w:rFonts w:hint="eastAsia" w:ascii="宋体" w:hAnsi="宋体" w:eastAsia="宋体" w:cs="宋体"/>
          <w:color w:val="auto"/>
          <w:sz w:val="24"/>
          <w:szCs w:val="24"/>
          <w:highlight w:val="none"/>
          <w:u w:val="single"/>
          <w:lang w:eastAsia="zh-CN"/>
        </w:rPr>
        <w:fldChar w:fldCharType="begin"/>
      </w:r>
      <w:r>
        <w:rPr>
          <w:rFonts w:hint="eastAsia" w:ascii="宋体" w:hAnsi="宋体" w:eastAsia="宋体" w:cs="宋体"/>
          <w:color w:val="auto"/>
          <w:sz w:val="24"/>
          <w:szCs w:val="24"/>
          <w:highlight w:val="none"/>
          <w:u w:val="single"/>
          <w:lang w:eastAsia="zh-CN"/>
        </w:rPr>
        <w:instrText xml:space="preserve"> = 1 \* GB3 \* MERGEFORMAT </w:instrText>
      </w:r>
      <w:r>
        <w:rPr>
          <w:rFonts w:hint="eastAsia" w:ascii="宋体" w:hAnsi="宋体" w:eastAsia="宋体" w:cs="宋体"/>
          <w:color w:val="auto"/>
          <w:sz w:val="24"/>
          <w:szCs w:val="24"/>
          <w:highlight w:val="none"/>
          <w:u w:val="single"/>
          <w:lang w:eastAsia="zh-CN"/>
        </w:rPr>
        <w:fldChar w:fldCharType="separate"/>
      </w:r>
      <w:r>
        <w:rPr>
          <w:rFonts w:hint="eastAsia" w:ascii="宋体" w:hAnsi="宋体" w:eastAsia="宋体" w:cs="宋体"/>
          <w:color w:val="auto"/>
          <w:sz w:val="24"/>
          <w:szCs w:val="24"/>
          <w:highlight w:val="none"/>
          <w:u w:val="single"/>
        </w:rPr>
        <w:t>①</w:t>
      </w:r>
      <w:r>
        <w:rPr>
          <w:rFonts w:hint="eastAsia" w:ascii="宋体" w:hAnsi="宋体" w:eastAsia="宋体" w:cs="宋体"/>
          <w:color w:val="auto"/>
          <w:sz w:val="24"/>
          <w:szCs w:val="24"/>
          <w:highlight w:val="none"/>
          <w:u w:val="single"/>
          <w:lang w:eastAsia="zh-CN"/>
        </w:rPr>
        <w:fldChar w:fldCharType="end"/>
      </w:r>
      <w:r>
        <w:rPr>
          <w:rFonts w:hint="eastAsia" w:ascii="宋体" w:hAnsi="宋体" w:eastAsia="宋体" w:cs="宋体"/>
          <w:color w:val="auto"/>
          <w:sz w:val="24"/>
          <w:szCs w:val="24"/>
          <w:highlight w:val="none"/>
          <w:u w:val="single"/>
          <w:lang w:eastAsia="zh-CN"/>
        </w:rPr>
        <w:t>技术部分</w:t>
      </w:r>
      <w:r>
        <w:rPr>
          <w:rFonts w:hint="eastAsia" w:ascii="宋体" w:hAnsi="宋体" w:eastAsia="宋体" w:cs="宋体"/>
          <w:color w:val="auto"/>
          <w:sz w:val="24"/>
          <w:szCs w:val="24"/>
          <w:highlight w:val="none"/>
          <w:u w:val="single"/>
        </w:rPr>
        <w:t>评审得分A为从各评标专家打分中去掉一个最高分和去掉一个最低分后的剩余评标专家打分的算术平均值</w:t>
      </w:r>
      <w:r>
        <w:rPr>
          <w:rFonts w:hint="eastAsia" w:ascii="宋体" w:hAnsi="宋体" w:eastAsia="宋体" w:cs="宋体"/>
          <w:color w:val="auto"/>
          <w:sz w:val="24"/>
          <w:szCs w:val="24"/>
          <w:highlight w:val="none"/>
        </w:rPr>
        <w:t>。</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）按本章第2.2.5（</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）目规定的评审因素和分值对</w:t>
      </w:r>
      <w:r>
        <w:rPr>
          <w:rFonts w:hint="eastAsia" w:ascii="宋体" w:hAnsi="宋体" w:eastAsia="宋体" w:cs="宋体"/>
          <w:color w:val="auto"/>
          <w:sz w:val="24"/>
          <w:szCs w:val="24"/>
          <w:highlight w:val="none"/>
          <w:lang w:eastAsia="zh-CN"/>
        </w:rPr>
        <w:t>商务评审</w:t>
      </w:r>
      <w:r>
        <w:rPr>
          <w:rFonts w:hint="eastAsia" w:ascii="宋体" w:hAnsi="宋体" w:eastAsia="宋体" w:cs="宋体"/>
          <w:color w:val="auto"/>
          <w:sz w:val="24"/>
          <w:szCs w:val="24"/>
          <w:highlight w:val="none"/>
        </w:rPr>
        <w:t>计算出得分</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商务部分评审得分B为各评标专家打分的算术平均值。</w:t>
      </w:r>
    </w:p>
    <w:p>
      <w:pPr>
        <w:pBdr>
          <w:bottom w:val="none" w:color="auto" w:sz="0" w:space="0"/>
        </w:pBdr>
        <w:snapToGrid w:val="0"/>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按本章第2.2.5（</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）目规定的评审因素和分值对投标报价计算出得分</w:t>
      </w:r>
      <w:r>
        <w:rPr>
          <w:rFonts w:hint="eastAsia" w:ascii="宋体" w:hAnsi="宋体" w:eastAsia="宋体" w:cs="宋体"/>
          <w:color w:val="auto"/>
          <w:sz w:val="24"/>
          <w:szCs w:val="24"/>
          <w:highlight w:val="none"/>
          <w:lang w:val="en-US" w:eastAsia="zh-CN"/>
        </w:rPr>
        <w:t>C</w:t>
      </w:r>
      <w:r>
        <w:rPr>
          <w:rFonts w:hint="eastAsia" w:ascii="宋体" w:hAnsi="宋体" w:eastAsia="宋体" w:cs="宋体"/>
          <w:color w:val="auto"/>
          <w:sz w:val="24"/>
          <w:szCs w:val="24"/>
          <w:highlight w:val="none"/>
        </w:rPr>
        <w:t>；</w:t>
      </w:r>
    </w:p>
    <w:p>
      <w:pPr>
        <w:pBdr>
          <w:top w:val="single" w:color="auto" w:sz="4" w:space="0"/>
        </w:pBdr>
        <w:snapToGrid w:val="0"/>
        <w:spacing w:beforeLines="0" w:afterLines="0"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条款号：平均值法评标基准价计算表（适用于直接选取）修改类型：删除</w:t>
      </w:r>
    </w:p>
    <w:p>
      <w:pPr>
        <w:pBdr>
          <w:bottom w:val="single" w:color="auto" w:sz="6" w:space="1"/>
        </w:pBdr>
        <w:snapToGrid w:val="0"/>
        <w:spacing w:beforeLines="0" w:afterLines="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平均值法评标基准价计算表（适用于直接选取）</w:t>
      </w:r>
    </w:p>
    <w:p>
      <w:pPr>
        <w:spacing w:beforeLines="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注：以上修改，仅限于本范本中有可供选择条款的情形。</w:t>
      </w:r>
    </w:p>
    <w:p>
      <w:pPr>
        <w:spacing w:beforeLines="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（以下无正文）</w:t>
      </w:r>
    </w:p>
    <w:p>
      <w:pPr>
        <w:widowControl/>
        <w:jc w:val="left"/>
        <w:rPr>
          <w:rFonts w:ascii="宋体" w:hAnsi="宋体"/>
          <w:color w:val="auto"/>
          <w:sz w:val="24"/>
          <w:highlight w:val="none"/>
        </w:rPr>
      </w:pPr>
      <w:r>
        <w:rPr>
          <w:rFonts w:ascii="宋体" w:hAnsi="宋体"/>
          <w:color w:val="auto"/>
          <w:sz w:val="24"/>
          <w:highlight w:val="none"/>
        </w:rPr>
        <w:br w:type="page"/>
      </w:r>
    </w:p>
    <w:p>
      <w:pPr>
        <w:spacing w:line="360" w:lineRule="auto"/>
        <w:jc w:val="center"/>
        <w:outlineLvl w:val="2"/>
        <w:rPr>
          <w:rFonts w:ascii="黑体" w:hAnsi="黑体" w:eastAsia="黑体"/>
          <w:color w:val="auto"/>
          <w:sz w:val="28"/>
          <w:szCs w:val="27"/>
          <w:highlight w:val="none"/>
        </w:rPr>
      </w:pPr>
      <w:bookmarkStart w:id="280" w:name="_Toc17451631"/>
      <w:bookmarkStart w:id="281" w:name="_Toc17452672"/>
      <w:bookmarkStart w:id="282" w:name="_Toc17451109"/>
      <w:bookmarkStart w:id="283" w:name="_Toc17451586"/>
      <w:bookmarkStart w:id="284" w:name="_Toc17454930"/>
      <w:bookmarkStart w:id="285" w:name="_Toc4480"/>
      <w:bookmarkStart w:id="286" w:name="_Toc17556884"/>
      <w:bookmarkStart w:id="287" w:name="_Toc17454879"/>
      <w:r>
        <w:rPr>
          <w:rFonts w:hint="eastAsia" w:ascii="黑体" w:hAnsi="黑体" w:eastAsia="黑体"/>
          <w:color w:val="auto"/>
          <w:sz w:val="28"/>
          <w:szCs w:val="27"/>
          <w:highlight w:val="none"/>
        </w:rPr>
        <w:t>二、评标及定标办法通用条款</w:t>
      </w:r>
      <w:bookmarkEnd w:id="280"/>
      <w:bookmarkEnd w:id="281"/>
      <w:bookmarkEnd w:id="282"/>
      <w:bookmarkEnd w:id="283"/>
      <w:bookmarkEnd w:id="284"/>
      <w:bookmarkEnd w:id="285"/>
      <w:bookmarkEnd w:id="286"/>
      <w:bookmarkEnd w:id="287"/>
    </w:p>
    <w:p>
      <w:pPr>
        <w:spacing w:line="360" w:lineRule="auto"/>
        <w:jc w:val="center"/>
        <w:outlineLvl w:val="2"/>
        <w:rPr>
          <w:rFonts w:ascii="黑体" w:hAnsi="黑体" w:eastAsia="黑体"/>
          <w:color w:val="auto"/>
          <w:sz w:val="28"/>
          <w:szCs w:val="27"/>
          <w:highlight w:val="none"/>
        </w:rPr>
      </w:pPr>
      <w:bookmarkStart w:id="288" w:name="_Toc17451587"/>
      <w:bookmarkStart w:id="289" w:name="_Toc17451632"/>
      <w:bookmarkStart w:id="290" w:name="_Toc17451110"/>
      <w:bookmarkStart w:id="291" w:name="_Toc17452673"/>
      <w:bookmarkStart w:id="292" w:name="_Toc17454880"/>
      <w:bookmarkStart w:id="293" w:name="_Toc17454931"/>
      <w:bookmarkStart w:id="294" w:name="_Toc17556885"/>
      <w:bookmarkStart w:id="295" w:name="_Toc12075"/>
      <w:r>
        <w:rPr>
          <w:rFonts w:hint="eastAsia" w:ascii="黑体" w:hAnsi="黑体" w:eastAsia="黑体"/>
          <w:color w:val="auto"/>
          <w:sz w:val="28"/>
          <w:szCs w:val="27"/>
          <w:highlight w:val="none"/>
        </w:rPr>
        <w:t>方法一：</w:t>
      </w:r>
      <w:bookmarkEnd w:id="288"/>
      <w:bookmarkEnd w:id="289"/>
      <w:bookmarkEnd w:id="290"/>
      <w:bookmarkEnd w:id="291"/>
      <w:r>
        <w:rPr>
          <w:rFonts w:hint="eastAsia" w:ascii="黑体" w:hAnsi="黑体" w:eastAsia="黑体"/>
          <w:color w:val="auto"/>
          <w:sz w:val="28"/>
          <w:szCs w:val="27"/>
          <w:highlight w:val="none"/>
        </w:rPr>
        <w:t>综合评估法</w:t>
      </w:r>
      <w:bookmarkEnd w:id="292"/>
      <w:r>
        <w:rPr>
          <w:rFonts w:hint="eastAsia" w:ascii="黑体" w:hAnsi="黑体" w:eastAsia="黑体"/>
          <w:color w:val="auto"/>
          <w:sz w:val="28"/>
          <w:szCs w:val="27"/>
          <w:highlight w:val="none"/>
        </w:rPr>
        <w:t>一</w:t>
      </w:r>
      <w:bookmarkEnd w:id="293"/>
      <w:bookmarkEnd w:id="294"/>
      <w:bookmarkEnd w:id="295"/>
    </w:p>
    <w:p>
      <w:pPr>
        <w:spacing w:line="360" w:lineRule="auto"/>
        <w:jc w:val="center"/>
        <w:rPr>
          <w:rFonts w:ascii="宋体" w:hAnsi="宋体"/>
          <w:b/>
          <w:color w:val="auto"/>
          <w:sz w:val="28"/>
          <w:highlight w:val="none"/>
        </w:rPr>
      </w:pPr>
      <w:bookmarkStart w:id="296" w:name="_Toc152042376"/>
      <w:bookmarkStart w:id="297" w:name="_Toc179632617"/>
      <w:bookmarkStart w:id="298" w:name="_Toc152045599"/>
      <w:bookmarkStart w:id="299" w:name="_Toc144974566"/>
      <w:r>
        <w:rPr>
          <w:rFonts w:hint="eastAsia" w:ascii="宋体" w:hAnsi="宋体"/>
          <w:b/>
          <w:color w:val="auto"/>
          <w:sz w:val="28"/>
          <w:highlight w:val="none"/>
        </w:rPr>
        <w:t>评标办法前附表</w:t>
      </w:r>
      <w:bookmarkEnd w:id="296"/>
      <w:bookmarkEnd w:id="297"/>
      <w:bookmarkEnd w:id="298"/>
      <w:bookmarkEnd w:id="299"/>
    </w:p>
    <w:tbl>
      <w:tblPr>
        <w:tblStyle w:val="19"/>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80"/>
        <w:gridCol w:w="951"/>
        <w:gridCol w:w="1827"/>
        <w:gridCol w:w="422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1" w:type="dxa"/>
            <w:gridSpan w:val="2"/>
            <w:tcBorders>
              <w:top w:val="single" w:color="auto" w:sz="4" w:space="0"/>
              <w:bottom w:val="single" w:color="auto" w:sz="4" w:space="0"/>
              <w:right w:val="single" w:color="auto" w:sz="4" w:space="0"/>
            </w:tcBorders>
            <w:noWrap w:val="0"/>
            <w:vAlign w:val="center"/>
          </w:tcPr>
          <w:p>
            <w:pPr>
              <w:spacing w:line="360" w:lineRule="auto"/>
              <w:jc w:val="center"/>
              <w:rPr>
                <w:b/>
                <w:color w:val="auto"/>
                <w:szCs w:val="21"/>
                <w:highlight w:val="none"/>
              </w:rPr>
            </w:pPr>
            <w:r>
              <w:rPr>
                <w:b/>
                <w:color w:val="auto"/>
                <w:szCs w:val="21"/>
                <w:highlight w:val="none"/>
              </w:rPr>
              <w:t>条款号</w:t>
            </w:r>
          </w:p>
        </w:tc>
        <w:tc>
          <w:tcPr>
            <w:tcW w:w="18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b/>
                <w:color w:val="auto"/>
                <w:szCs w:val="21"/>
                <w:highlight w:val="none"/>
              </w:rPr>
            </w:pPr>
            <w:r>
              <w:rPr>
                <w:b/>
                <w:color w:val="auto"/>
                <w:szCs w:val="21"/>
                <w:highlight w:val="none"/>
              </w:rPr>
              <w:t>评审因素</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b/>
                <w:color w:val="auto"/>
                <w:szCs w:val="21"/>
                <w:highlight w:val="none"/>
              </w:rPr>
            </w:pPr>
            <w:r>
              <w:rPr>
                <w:b/>
                <w:color w:val="auto"/>
                <w:szCs w:val="21"/>
                <w:highlight w:val="none"/>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restart"/>
            <w:tcBorders>
              <w:top w:val="single" w:color="auto" w:sz="4" w:space="0"/>
              <w:right w:val="single" w:color="auto" w:sz="4" w:space="0"/>
            </w:tcBorders>
            <w:noWrap w:val="0"/>
            <w:vAlign w:val="center"/>
          </w:tcPr>
          <w:p>
            <w:pPr>
              <w:spacing w:line="360" w:lineRule="auto"/>
              <w:jc w:val="center"/>
              <w:rPr>
                <w:color w:val="auto"/>
                <w:szCs w:val="21"/>
                <w:highlight w:val="none"/>
              </w:rPr>
            </w:pPr>
            <w:r>
              <w:rPr>
                <w:color w:val="auto"/>
                <w:szCs w:val="21"/>
                <w:highlight w:val="none"/>
              </w:rPr>
              <w:t>2.1.</w:t>
            </w:r>
            <w:r>
              <w:rPr>
                <w:rFonts w:hint="eastAsia"/>
                <w:color w:val="auto"/>
                <w:szCs w:val="21"/>
                <w:highlight w:val="none"/>
              </w:rPr>
              <w:t>1</w:t>
            </w:r>
          </w:p>
        </w:tc>
        <w:tc>
          <w:tcPr>
            <w:tcW w:w="951" w:type="dxa"/>
            <w:vMerge w:val="restart"/>
            <w:tcBorders>
              <w:top w:val="single" w:color="auto" w:sz="4" w:space="0"/>
              <w:right w:val="single" w:color="auto" w:sz="4" w:space="0"/>
            </w:tcBorders>
            <w:noWrap w:val="0"/>
            <w:vAlign w:val="center"/>
          </w:tcPr>
          <w:p>
            <w:pPr>
              <w:spacing w:line="360" w:lineRule="auto"/>
              <w:jc w:val="left"/>
              <w:rPr>
                <w:color w:val="auto"/>
                <w:szCs w:val="21"/>
                <w:highlight w:val="none"/>
              </w:rPr>
            </w:pPr>
            <w:r>
              <w:rPr>
                <w:color w:val="auto"/>
                <w:szCs w:val="21"/>
                <w:highlight w:val="none"/>
              </w:rPr>
              <w:t>资格评审标准</w:t>
            </w:r>
          </w:p>
        </w:tc>
        <w:tc>
          <w:tcPr>
            <w:tcW w:w="182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color w:val="auto"/>
                <w:szCs w:val="21"/>
                <w:highlight w:val="none"/>
              </w:rPr>
            </w:pPr>
            <w:r>
              <w:rPr>
                <w:rFonts w:hint="eastAsia"/>
                <w:color w:val="auto"/>
                <w:szCs w:val="21"/>
                <w:highlight w:val="none"/>
              </w:rPr>
              <w:t>营业执照</w:t>
            </w:r>
          </w:p>
        </w:tc>
        <w:tc>
          <w:tcPr>
            <w:tcW w:w="422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color w:val="auto"/>
                <w:szCs w:val="21"/>
                <w:highlight w:val="none"/>
              </w:rPr>
            </w:pPr>
            <w:r>
              <w:rPr>
                <w:rFonts w:hint="eastAsia"/>
                <w:color w:val="auto"/>
                <w:szCs w:val="21"/>
                <w:highlight w:val="none"/>
              </w:rPr>
              <w:t>具备有效的营业执照。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color w:val="auto"/>
                <w:szCs w:val="21"/>
                <w:highlight w:val="none"/>
              </w:rPr>
            </w:pPr>
            <w:r>
              <w:rPr>
                <w:rFonts w:hint="eastAsia"/>
                <w:color w:val="auto"/>
                <w:highlight w:val="none"/>
              </w:rPr>
              <w:t>安全生产许可证</w:t>
            </w:r>
          </w:p>
        </w:tc>
        <w:tc>
          <w:tcPr>
            <w:tcW w:w="422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color w:val="auto"/>
                <w:szCs w:val="21"/>
                <w:highlight w:val="none"/>
              </w:rPr>
            </w:pPr>
            <w:r>
              <w:rPr>
                <w:rFonts w:hint="eastAsia"/>
                <w:color w:val="auto"/>
                <w:szCs w:val="21"/>
                <w:highlight w:val="none"/>
              </w:rPr>
              <w:t>具有有效的建设行政主管部门颁发的安全生产许可证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color w:val="auto"/>
                <w:szCs w:val="21"/>
                <w:highlight w:val="none"/>
              </w:rPr>
            </w:pPr>
            <w:r>
              <w:rPr>
                <w:rFonts w:hint="eastAsia"/>
                <w:color w:val="auto"/>
                <w:szCs w:val="21"/>
                <w:highlight w:val="none"/>
              </w:rPr>
              <w:t>资质等级</w:t>
            </w:r>
          </w:p>
        </w:tc>
        <w:tc>
          <w:tcPr>
            <w:tcW w:w="422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color w:val="auto"/>
                <w:szCs w:val="21"/>
                <w:highlight w:val="none"/>
              </w:rPr>
            </w:pPr>
            <w:r>
              <w:rPr>
                <w:rFonts w:hint="eastAsia"/>
                <w:color w:val="auto"/>
                <w:szCs w:val="21"/>
                <w:highlight w:val="none"/>
              </w:rPr>
              <w:t>符合第二章</w:t>
            </w:r>
            <w:r>
              <w:rPr>
                <w:color w:val="auto"/>
                <w:szCs w:val="21"/>
                <w:highlight w:val="none"/>
              </w:rPr>
              <w:t>“</w:t>
            </w:r>
            <w:r>
              <w:rPr>
                <w:rFonts w:hint="eastAsia"/>
                <w:color w:val="auto"/>
                <w:szCs w:val="21"/>
                <w:highlight w:val="none"/>
              </w:rPr>
              <w:t>投标人须知</w:t>
            </w:r>
            <w:r>
              <w:rPr>
                <w:color w:val="auto"/>
                <w:szCs w:val="21"/>
                <w:highlight w:val="none"/>
              </w:rPr>
              <w:t>”</w:t>
            </w:r>
            <w:r>
              <w:rPr>
                <w:rFonts w:hint="eastAsia"/>
                <w:color w:val="auto"/>
                <w:szCs w:val="21"/>
                <w:highlight w:val="none"/>
              </w:rPr>
              <w:t>第</w:t>
            </w:r>
            <w:r>
              <w:rPr>
                <w:color w:val="auto"/>
                <w:szCs w:val="21"/>
                <w:highlight w:val="none"/>
              </w:rPr>
              <w:t>1.4.1</w:t>
            </w:r>
            <w:r>
              <w:rPr>
                <w:rFonts w:hint="eastAsia"/>
                <w:color w:val="auto"/>
                <w:szCs w:val="21"/>
                <w:highlight w:val="none"/>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color w:val="auto"/>
                <w:szCs w:val="21"/>
                <w:highlight w:val="none"/>
              </w:rPr>
            </w:pPr>
            <w:r>
              <w:rPr>
                <w:rFonts w:hint="eastAsia"/>
                <w:color w:val="auto"/>
                <w:szCs w:val="21"/>
                <w:highlight w:val="none"/>
              </w:rPr>
              <w:t>项目负责人资格</w:t>
            </w:r>
          </w:p>
        </w:tc>
        <w:tc>
          <w:tcPr>
            <w:tcW w:w="422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color w:val="auto"/>
                <w:szCs w:val="21"/>
                <w:highlight w:val="none"/>
              </w:rPr>
            </w:pPr>
            <w:r>
              <w:rPr>
                <w:rFonts w:hint="eastAsia"/>
                <w:color w:val="auto"/>
                <w:szCs w:val="21"/>
                <w:highlight w:val="none"/>
              </w:rPr>
              <w:t>符合第二章</w:t>
            </w:r>
            <w:r>
              <w:rPr>
                <w:color w:val="auto"/>
                <w:szCs w:val="21"/>
                <w:highlight w:val="none"/>
              </w:rPr>
              <w:t>“</w:t>
            </w:r>
            <w:r>
              <w:rPr>
                <w:rFonts w:hint="eastAsia"/>
                <w:color w:val="auto"/>
                <w:szCs w:val="21"/>
                <w:highlight w:val="none"/>
              </w:rPr>
              <w:t>投标人须知</w:t>
            </w:r>
            <w:r>
              <w:rPr>
                <w:color w:val="auto"/>
                <w:szCs w:val="21"/>
                <w:highlight w:val="none"/>
              </w:rPr>
              <w:t>”</w:t>
            </w:r>
            <w:r>
              <w:rPr>
                <w:rFonts w:hint="eastAsia"/>
                <w:color w:val="auto"/>
                <w:szCs w:val="21"/>
                <w:highlight w:val="none"/>
              </w:rPr>
              <w:t>第</w:t>
            </w:r>
            <w:r>
              <w:rPr>
                <w:color w:val="auto"/>
                <w:szCs w:val="21"/>
                <w:highlight w:val="none"/>
              </w:rPr>
              <w:t>1.4.1</w:t>
            </w:r>
            <w:r>
              <w:rPr>
                <w:rFonts w:hint="eastAsia"/>
                <w:color w:val="auto"/>
                <w:szCs w:val="21"/>
                <w:highlight w:val="none"/>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color w:val="auto"/>
                <w:szCs w:val="21"/>
                <w:highlight w:val="none"/>
              </w:rPr>
            </w:pPr>
            <w:r>
              <w:rPr>
                <w:rFonts w:hint="eastAsia" w:ascii="宋体" w:hAnsi="宋体" w:eastAsia="宋体" w:cs="宋体"/>
                <w:color w:val="auto"/>
                <w:sz w:val="21"/>
                <w:szCs w:val="21"/>
                <w:highlight w:val="none"/>
                <w:lang w:eastAsia="zh-CN"/>
              </w:rPr>
              <w:t>项目负责人持有安全生产考核合格证</w:t>
            </w:r>
            <w:r>
              <w:rPr>
                <w:rFonts w:hint="eastAsia" w:ascii="宋体" w:hAnsi="宋体" w:eastAsia="宋体" w:cs="宋体"/>
                <w:color w:val="auto"/>
                <w:sz w:val="21"/>
                <w:szCs w:val="21"/>
                <w:highlight w:val="none"/>
              </w:rPr>
              <w:t>（</w:t>
            </w:r>
            <w:r>
              <w:rPr>
                <w:rFonts w:ascii="宋体" w:hAnsi="宋体" w:eastAsia="宋体" w:cs="宋体"/>
                <w:color w:val="auto"/>
                <w:sz w:val="21"/>
                <w:szCs w:val="21"/>
                <w:highlight w:val="none"/>
              </w:rPr>
              <w:t>B类）或建筑施工企业项目负责人安全生产考核合格证书</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color w:val="auto"/>
                <w:szCs w:val="21"/>
                <w:highlight w:val="none"/>
              </w:rPr>
            </w:pPr>
            <w:r>
              <w:rPr>
                <w:rFonts w:hint="eastAsia"/>
                <w:color w:val="auto"/>
                <w:szCs w:val="21"/>
                <w:highlight w:val="none"/>
              </w:rPr>
              <w:t>符合第二章</w:t>
            </w:r>
            <w:r>
              <w:rPr>
                <w:color w:val="auto"/>
                <w:szCs w:val="21"/>
                <w:highlight w:val="none"/>
              </w:rPr>
              <w:t>“</w:t>
            </w:r>
            <w:r>
              <w:rPr>
                <w:rFonts w:hint="eastAsia"/>
                <w:color w:val="auto"/>
                <w:szCs w:val="21"/>
                <w:highlight w:val="none"/>
              </w:rPr>
              <w:t>投标人须知</w:t>
            </w:r>
            <w:r>
              <w:rPr>
                <w:color w:val="auto"/>
                <w:szCs w:val="21"/>
                <w:highlight w:val="none"/>
              </w:rPr>
              <w:t>”</w:t>
            </w:r>
            <w:r>
              <w:rPr>
                <w:rFonts w:hint="eastAsia"/>
                <w:color w:val="auto"/>
                <w:szCs w:val="21"/>
                <w:highlight w:val="none"/>
              </w:rPr>
              <w:t>第</w:t>
            </w:r>
            <w:r>
              <w:rPr>
                <w:color w:val="auto"/>
                <w:szCs w:val="21"/>
                <w:highlight w:val="none"/>
              </w:rPr>
              <w:t>1.4.1</w:t>
            </w:r>
            <w:r>
              <w:rPr>
                <w:rFonts w:hint="eastAsia"/>
                <w:color w:val="auto"/>
                <w:szCs w:val="21"/>
                <w:highlight w:val="none"/>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int="eastAsia" w:ascii="宋体" w:hAnsi="宋体" w:eastAsia="宋体" w:cs="宋体"/>
                <w:color w:val="auto"/>
                <w:sz w:val="21"/>
                <w:szCs w:val="21"/>
                <w:highlight w:val="none"/>
              </w:rPr>
            </w:pPr>
            <w:r>
              <w:rPr>
                <w:rFonts w:hint="eastAsia"/>
                <w:color w:val="auto"/>
                <w:highlight w:val="none"/>
              </w:rPr>
              <w:t>专职安全员须具有安全生产考核合格证（C类）或建筑施工企业专职安全生产管理人员安全生产考核合格证书(C</w:t>
            </w:r>
            <w:r>
              <w:rPr>
                <w:rFonts w:hint="eastAsia"/>
                <w:color w:val="auto"/>
                <w:highlight w:val="none"/>
                <w:lang w:val="en-US" w:eastAsia="zh-CN"/>
              </w:rPr>
              <w:t>3</w:t>
            </w:r>
            <w:r>
              <w:rPr>
                <w:rFonts w:hint="eastAsia"/>
                <w:color w:val="auto"/>
                <w:highlight w:val="none"/>
                <w:u w:val="single"/>
                <w:lang w:val="en-US" w:eastAsia="zh-CN"/>
              </w:rPr>
              <w:t xml:space="preserve">   </w:t>
            </w:r>
            <w:r>
              <w:rPr>
                <w:rFonts w:hint="eastAsia"/>
                <w:color w:val="auto"/>
                <w:highlight w:val="none"/>
              </w:rPr>
              <w:t>类)</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color w:val="auto"/>
                <w:szCs w:val="21"/>
                <w:highlight w:val="none"/>
              </w:rPr>
            </w:pPr>
            <w:r>
              <w:rPr>
                <w:rFonts w:hint="eastAsia"/>
                <w:color w:val="auto"/>
                <w:szCs w:val="21"/>
                <w:highlight w:val="none"/>
              </w:rPr>
              <w:t>符合第二章</w:t>
            </w:r>
            <w:r>
              <w:rPr>
                <w:color w:val="auto"/>
                <w:szCs w:val="21"/>
                <w:highlight w:val="none"/>
              </w:rPr>
              <w:t>“</w:t>
            </w:r>
            <w:r>
              <w:rPr>
                <w:rFonts w:hint="eastAsia"/>
                <w:color w:val="auto"/>
                <w:szCs w:val="21"/>
                <w:highlight w:val="none"/>
              </w:rPr>
              <w:t>投标人须知</w:t>
            </w:r>
            <w:r>
              <w:rPr>
                <w:color w:val="auto"/>
                <w:szCs w:val="21"/>
                <w:highlight w:val="none"/>
              </w:rPr>
              <w:t>”</w:t>
            </w:r>
            <w:r>
              <w:rPr>
                <w:rFonts w:hint="eastAsia"/>
                <w:color w:val="auto"/>
                <w:szCs w:val="21"/>
                <w:highlight w:val="none"/>
              </w:rPr>
              <w:t>第</w:t>
            </w:r>
            <w:r>
              <w:rPr>
                <w:color w:val="auto"/>
                <w:szCs w:val="21"/>
                <w:highlight w:val="none"/>
              </w:rPr>
              <w:t>1.4.1</w:t>
            </w:r>
            <w:r>
              <w:rPr>
                <w:rFonts w:hint="eastAsia"/>
                <w:color w:val="auto"/>
                <w:szCs w:val="21"/>
                <w:highlight w:val="none"/>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color w:val="auto"/>
                <w:highlight w:val="none"/>
              </w:rPr>
            </w:pPr>
            <w:r>
              <w:rPr>
                <w:rFonts w:hint="eastAsia"/>
                <w:color w:val="auto"/>
                <w:highlight w:val="none"/>
              </w:rPr>
              <w:t>社保要求</w:t>
            </w:r>
          </w:p>
        </w:tc>
        <w:tc>
          <w:tcPr>
            <w:tcW w:w="422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color w:val="auto"/>
                <w:szCs w:val="21"/>
                <w:highlight w:val="none"/>
              </w:rPr>
            </w:pPr>
            <w:r>
              <w:rPr>
                <w:rFonts w:hint="eastAsia"/>
                <w:color w:val="auto"/>
                <w:szCs w:val="21"/>
                <w:highlight w:val="none"/>
              </w:rPr>
              <w:t>符合第二章</w:t>
            </w:r>
            <w:r>
              <w:rPr>
                <w:color w:val="auto"/>
                <w:szCs w:val="21"/>
                <w:highlight w:val="none"/>
              </w:rPr>
              <w:t>“</w:t>
            </w:r>
            <w:r>
              <w:rPr>
                <w:rFonts w:hint="eastAsia"/>
                <w:color w:val="auto"/>
                <w:szCs w:val="21"/>
                <w:highlight w:val="none"/>
              </w:rPr>
              <w:t>投标人须知</w:t>
            </w:r>
            <w:r>
              <w:rPr>
                <w:color w:val="auto"/>
                <w:szCs w:val="21"/>
                <w:highlight w:val="none"/>
              </w:rPr>
              <w:t>”</w:t>
            </w:r>
            <w:r>
              <w:rPr>
                <w:rFonts w:hint="eastAsia"/>
                <w:color w:val="auto"/>
                <w:szCs w:val="21"/>
                <w:highlight w:val="none"/>
              </w:rPr>
              <w:t>第</w:t>
            </w:r>
            <w:r>
              <w:rPr>
                <w:color w:val="auto"/>
                <w:szCs w:val="21"/>
                <w:highlight w:val="none"/>
              </w:rPr>
              <w:t>1.4.1</w:t>
            </w:r>
            <w:r>
              <w:rPr>
                <w:rFonts w:hint="eastAsia"/>
                <w:color w:val="auto"/>
                <w:szCs w:val="21"/>
                <w:highlight w:val="none"/>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color w:val="auto"/>
                <w:highlight w:val="none"/>
              </w:rPr>
            </w:pPr>
            <w:r>
              <w:rPr>
                <w:rFonts w:hint="eastAsia"/>
                <w:color w:val="auto"/>
                <w:szCs w:val="21"/>
                <w:highlight w:val="none"/>
              </w:rPr>
              <w:t>类似项目业绩</w:t>
            </w:r>
          </w:p>
        </w:tc>
        <w:tc>
          <w:tcPr>
            <w:tcW w:w="422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color w:val="auto"/>
                <w:szCs w:val="21"/>
                <w:highlight w:val="none"/>
              </w:rPr>
            </w:pPr>
            <w:r>
              <w:rPr>
                <w:rFonts w:hint="eastAsia"/>
                <w:color w:val="auto"/>
                <w:szCs w:val="21"/>
                <w:highlight w:val="none"/>
              </w:rPr>
              <w:t>符合第二章</w:t>
            </w:r>
            <w:r>
              <w:rPr>
                <w:color w:val="auto"/>
                <w:szCs w:val="21"/>
                <w:highlight w:val="none"/>
              </w:rPr>
              <w:t>“</w:t>
            </w:r>
            <w:r>
              <w:rPr>
                <w:rFonts w:hint="eastAsia"/>
                <w:color w:val="auto"/>
                <w:szCs w:val="21"/>
                <w:highlight w:val="none"/>
              </w:rPr>
              <w:t>投标人须知</w:t>
            </w:r>
            <w:r>
              <w:rPr>
                <w:color w:val="auto"/>
                <w:szCs w:val="21"/>
                <w:highlight w:val="none"/>
              </w:rPr>
              <w:t>”</w:t>
            </w:r>
            <w:r>
              <w:rPr>
                <w:rFonts w:hint="eastAsia"/>
                <w:color w:val="auto"/>
                <w:szCs w:val="21"/>
                <w:highlight w:val="none"/>
              </w:rPr>
              <w:t>第</w:t>
            </w:r>
            <w:r>
              <w:rPr>
                <w:color w:val="auto"/>
                <w:szCs w:val="21"/>
                <w:highlight w:val="none"/>
              </w:rPr>
              <w:t>1.4.1</w:t>
            </w:r>
            <w:r>
              <w:rPr>
                <w:rFonts w:hint="eastAsia"/>
                <w:color w:val="auto"/>
                <w:szCs w:val="21"/>
                <w:highlight w:val="none"/>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color w:val="auto"/>
                <w:highlight w:val="none"/>
              </w:rPr>
            </w:pPr>
            <w:r>
              <w:rPr>
                <w:color w:val="auto"/>
                <w:szCs w:val="21"/>
                <w:highlight w:val="none"/>
              </w:rPr>
              <w:t>联合体投标人</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章“投标人须知”第1.4.2项规定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spacing w:line="240" w:lineRule="auto"/>
              <w:rPr>
                <w:color w:val="auto"/>
                <w:szCs w:val="21"/>
                <w:highlight w:val="none"/>
              </w:rPr>
            </w:pPr>
            <w:r>
              <w:rPr>
                <w:rFonts w:hint="eastAsia"/>
                <w:color w:val="auto"/>
                <w:szCs w:val="21"/>
                <w:highlight w:val="none"/>
                <w:lang w:eastAsia="zh-CN"/>
              </w:rPr>
              <w:t>投标人声明签字盖章</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rPr>
                <w:color w:val="auto"/>
                <w:szCs w:val="21"/>
                <w:highlight w:val="none"/>
                <w:u w:val="none"/>
              </w:rPr>
            </w:pPr>
            <w:r>
              <w:rPr>
                <w:rFonts w:hint="eastAsia"/>
                <w:color w:val="auto"/>
                <w:szCs w:val="21"/>
                <w:highlight w:val="none"/>
                <w:u w:val="none"/>
              </w:rPr>
              <w:t>投标人声明有法定代表人、项目负责人、技术负责人签字或签章及加盖单位公章（签字和盖章要求见《投标人须知前附表》第3.6.</w:t>
            </w:r>
            <w:r>
              <w:rPr>
                <w:rFonts w:hint="eastAsia"/>
                <w:color w:val="auto"/>
                <w:szCs w:val="21"/>
                <w:highlight w:val="none"/>
                <w:u w:val="none"/>
                <w:lang w:val="en-US" w:eastAsia="zh-CN"/>
              </w:rPr>
              <w:t>1</w:t>
            </w:r>
            <w:r>
              <w:rPr>
                <w:rFonts w:hint="eastAsia"/>
                <w:color w:val="auto"/>
                <w:szCs w:val="21"/>
                <w:highlight w:val="none"/>
                <w:u w:val="none"/>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880" w:type="dxa"/>
            <w:vMerge w:val="continue"/>
            <w:tcBorders>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right w:val="single" w:color="auto" w:sz="4" w:space="0"/>
            </w:tcBorders>
            <w:noWrap w:val="0"/>
            <w:vAlign w:val="center"/>
          </w:tcPr>
          <w:p>
            <w:pPr>
              <w:spacing w:line="240" w:lineRule="auto"/>
              <w:rPr>
                <w:rFonts w:hint="eastAsia" w:ascii="Times New Roman" w:hAnsi="Times New Roman" w:eastAsia="宋体" w:cs="Times New Roman"/>
                <w:color w:val="auto"/>
                <w:szCs w:val="21"/>
                <w:highlight w:val="none"/>
                <w:u w:val="single"/>
              </w:rPr>
            </w:pPr>
            <w:r>
              <w:rPr>
                <w:rFonts w:hint="eastAsia"/>
                <w:color w:val="auto"/>
                <w:szCs w:val="21"/>
                <w:highlight w:val="none"/>
                <w:lang w:eastAsia="zh-CN"/>
              </w:rPr>
              <w:t>未被纳入失信联合惩戒名单且被限制参与相关项目投标的</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rPr>
                <w:rFonts w:hint="eastAsia" w:ascii="Times New Roman" w:hAnsi="Times New Roman" w:eastAsia="宋体" w:cs="Times New Roman"/>
                <w:color w:val="auto"/>
                <w:szCs w:val="21"/>
                <w:highlight w:val="none"/>
                <w:u w:val="single"/>
              </w:rPr>
            </w:pPr>
            <w:r>
              <w:rPr>
                <w:rFonts w:hint="eastAsia" w:ascii="宋体" w:hAnsi="宋体" w:eastAsia="宋体" w:cs="宋体"/>
                <w:color w:val="auto"/>
                <w:szCs w:val="21"/>
                <w:highlight w:val="none"/>
                <w:u w:val="none"/>
              </w:rPr>
              <w:t>失信联合惩戒名单以“信用广州”网站公布的“黑名单”为准。</w:t>
            </w:r>
            <w:r>
              <w:rPr>
                <w:rFonts w:hint="eastAsia" w:ascii="宋体" w:hAnsi="宋体" w:eastAsia="宋体" w:cs="宋体"/>
                <w:color w:val="auto"/>
                <w:szCs w:val="21"/>
                <w:highlight w:val="none"/>
              </w:rPr>
              <w:t>（以广州交易集团有限公司（广州公共资源交易中心）交易平台系统调用的黑名单数据为准）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880" w:type="dxa"/>
            <w:vMerge w:val="restart"/>
            <w:tcBorders>
              <w:top w:val="single" w:color="auto" w:sz="4" w:space="0"/>
              <w:bottom w:val="single" w:color="auto" w:sz="4" w:space="0"/>
              <w:right w:val="single" w:color="auto" w:sz="4" w:space="0"/>
            </w:tcBorders>
            <w:noWrap w:val="0"/>
            <w:vAlign w:val="center"/>
          </w:tcPr>
          <w:p>
            <w:pPr>
              <w:spacing w:line="360" w:lineRule="auto"/>
              <w:jc w:val="center"/>
              <w:rPr>
                <w:color w:val="auto"/>
                <w:szCs w:val="21"/>
                <w:highlight w:val="none"/>
              </w:rPr>
            </w:pPr>
            <w:r>
              <w:rPr>
                <w:color w:val="auto"/>
                <w:szCs w:val="21"/>
                <w:highlight w:val="none"/>
              </w:rPr>
              <w:t>2.1.</w:t>
            </w:r>
            <w:r>
              <w:rPr>
                <w:rFonts w:hint="eastAsia"/>
                <w:color w:val="auto"/>
                <w:szCs w:val="21"/>
                <w:highlight w:val="none"/>
              </w:rPr>
              <w:t>2</w:t>
            </w:r>
          </w:p>
        </w:tc>
        <w:tc>
          <w:tcPr>
            <w:tcW w:w="951" w:type="dxa"/>
            <w:vMerge w:val="restart"/>
            <w:tcBorders>
              <w:top w:val="single" w:color="auto" w:sz="4" w:space="0"/>
              <w:bottom w:val="single" w:color="auto" w:sz="4" w:space="0"/>
              <w:right w:val="single" w:color="auto" w:sz="4" w:space="0"/>
            </w:tcBorders>
            <w:noWrap w:val="0"/>
            <w:vAlign w:val="center"/>
          </w:tcPr>
          <w:p>
            <w:pPr>
              <w:spacing w:line="240" w:lineRule="auto"/>
              <w:jc w:val="left"/>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形式评审标准</w:t>
            </w:r>
          </w:p>
        </w:tc>
        <w:tc>
          <w:tcPr>
            <w:tcW w:w="1827"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Times New Roman" w:hAnsi="Times New Roman" w:eastAsia="宋体" w:cs="Times New Roman"/>
                <w:strike w:val="0"/>
                <w:color w:val="auto"/>
                <w:szCs w:val="21"/>
                <w:highlight w:val="none"/>
              </w:rPr>
            </w:pPr>
            <w:r>
              <w:rPr>
                <w:rFonts w:hint="eastAsia" w:ascii="Times New Roman" w:hAnsi="Times New Roman" w:eastAsia="宋体" w:cs="Times New Roman"/>
                <w:color w:val="auto"/>
                <w:sz w:val="21"/>
                <w:szCs w:val="21"/>
                <w:highlight w:val="none"/>
              </w:rPr>
              <w:t>投标人参加投标的意思表达清楚，投标人代表被授权有效</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rPr>
                <w:rFonts w:hint="eastAsia" w:ascii="Times New Roman" w:hAnsi="Times New Roman" w:eastAsia="宋体" w:cs="Times New Roman"/>
                <w:strike w:val="0"/>
                <w:color w:val="auto"/>
                <w:szCs w:val="21"/>
                <w:highlight w:val="none"/>
              </w:rPr>
            </w:pPr>
            <w:r>
              <w:rPr>
                <w:rFonts w:hint="eastAsia" w:ascii="Times New Roman" w:hAnsi="Times New Roman" w:eastAsia="宋体" w:cs="Times New Roman"/>
                <w:color w:val="auto"/>
                <w:sz w:val="21"/>
                <w:szCs w:val="21"/>
                <w:highlight w:val="none"/>
              </w:rPr>
              <w:t>投标人声明、廉洁承诺书、法定代表人证明书；委托投标的还应提供法人授权委托证明书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880" w:type="dxa"/>
            <w:vMerge w:val="continue"/>
            <w:tcBorders>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noWrap w:val="0"/>
            <w:vAlign w:val="center"/>
          </w:tcPr>
          <w:p>
            <w:pPr>
              <w:spacing w:line="240" w:lineRule="auto"/>
              <w:jc w:val="left"/>
              <w:rPr>
                <w:rFonts w:hint="eastAsia" w:ascii="Times New Roman" w:hAnsi="Times New Roman" w:eastAsia="宋体" w:cs="Times New Roman"/>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Times New Roman" w:hAnsi="Times New Roman" w:eastAsia="宋体" w:cs="Times New Roman"/>
                <w:strike w:val="0"/>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投标文件格式</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rPr>
                <w:rFonts w:hint="eastAsia" w:ascii="Times New Roman" w:hAnsi="Times New Roman" w:eastAsia="宋体" w:cs="Times New Roman"/>
                <w:strike w:val="0"/>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符合第八章“投标文件格式”的要求。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880" w:type="dxa"/>
            <w:vMerge w:val="continue"/>
            <w:tcBorders>
              <w:top w:val="single" w:color="auto" w:sz="4" w:space="0"/>
              <w:bottom w:val="single" w:color="auto" w:sz="4" w:space="0"/>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top w:val="single" w:color="auto" w:sz="4" w:space="0"/>
              <w:bottom w:val="single" w:color="auto" w:sz="4" w:space="0"/>
              <w:right w:val="single" w:color="auto" w:sz="4" w:space="0"/>
            </w:tcBorders>
            <w:noWrap w:val="0"/>
            <w:vAlign w:val="center"/>
          </w:tcPr>
          <w:p>
            <w:pPr>
              <w:spacing w:line="240" w:lineRule="auto"/>
              <w:jc w:val="left"/>
              <w:rPr>
                <w:rFonts w:hint="eastAsia" w:ascii="Times New Roman" w:hAnsi="Times New Roman" w:eastAsia="宋体" w:cs="Times New Roman"/>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left"/>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投标函盖章</w:t>
            </w:r>
          </w:p>
        </w:tc>
        <w:tc>
          <w:tcPr>
            <w:tcW w:w="422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 xml:space="preserve">有加盖单位公章；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880" w:type="dxa"/>
            <w:vMerge w:val="continue"/>
            <w:tcBorders>
              <w:top w:val="single" w:color="auto" w:sz="4" w:space="0"/>
              <w:bottom w:val="single" w:color="auto" w:sz="4" w:space="0"/>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top w:val="single" w:color="auto" w:sz="4" w:space="0"/>
              <w:bottom w:val="single" w:color="auto" w:sz="4" w:space="0"/>
              <w:right w:val="single" w:color="auto" w:sz="4" w:space="0"/>
            </w:tcBorders>
            <w:noWrap w:val="0"/>
            <w:vAlign w:val="center"/>
          </w:tcPr>
          <w:p>
            <w:pPr>
              <w:spacing w:line="240" w:lineRule="auto"/>
              <w:jc w:val="left"/>
              <w:rPr>
                <w:rFonts w:hint="eastAsia" w:ascii="Times New Roman" w:hAnsi="Times New Roman" w:eastAsia="宋体" w:cs="Times New Roman"/>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left"/>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联合体申请人</w:t>
            </w:r>
          </w:p>
          <w:p>
            <w:pPr>
              <w:spacing w:line="240" w:lineRule="auto"/>
              <w:jc w:val="left"/>
              <w:rPr>
                <w:rFonts w:hint="eastAsia" w:ascii="Times New Roman" w:hAnsi="Times New Roman" w:eastAsia="宋体" w:cs="Times New Roman"/>
                <w:color w:val="auto"/>
                <w:szCs w:val="21"/>
                <w:highlight w:val="none"/>
              </w:rPr>
            </w:pPr>
          </w:p>
        </w:tc>
        <w:tc>
          <w:tcPr>
            <w:tcW w:w="422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提交联合体协议书，并明确联合体</w:t>
            </w:r>
            <w:r>
              <w:rPr>
                <w:rFonts w:hint="eastAsia" w:ascii="Times New Roman" w:hAnsi="Times New Roman" w:eastAsia="宋体" w:cs="Times New Roman"/>
                <w:color w:val="auto"/>
                <w:szCs w:val="21"/>
                <w:highlight w:val="none"/>
                <w:lang w:eastAsia="zh-CN"/>
              </w:rPr>
              <w:t>主办方</w:t>
            </w:r>
            <w:r>
              <w:rPr>
                <w:rFonts w:hint="eastAsia" w:ascii="Times New Roman" w:hAnsi="Times New Roman" w:eastAsia="宋体" w:cs="Times New Roman"/>
                <w:color w:val="auto"/>
                <w:szCs w:val="21"/>
                <w:highlight w:val="none"/>
              </w:rPr>
              <w:t>（如有）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880" w:type="dxa"/>
            <w:vMerge w:val="continue"/>
            <w:tcBorders>
              <w:top w:val="nil"/>
              <w:bottom w:val="single" w:color="auto" w:sz="4" w:space="0"/>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top w:val="nil"/>
              <w:bottom w:val="single" w:color="auto" w:sz="4" w:space="0"/>
              <w:right w:val="single" w:color="auto" w:sz="4" w:space="0"/>
            </w:tcBorders>
            <w:noWrap w:val="0"/>
            <w:vAlign w:val="center"/>
          </w:tcPr>
          <w:p>
            <w:pPr>
              <w:spacing w:line="240" w:lineRule="auto"/>
              <w:jc w:val="left"/>
              <w:rPr>
                <w:rFonts w:hint="eastAsia" w:ascii="Times New Roman" w:hAnsi="Times New Roman" w:eastAsia="宋体" w:cs="Times New Roman"/>
                <w:color w:val="auto"/>
                <w:szCs w:val="21"/>
                <w:highlight w:val="none"/>
              </w:rPr>
            </w:pPr>
          </w:p>
        </w:tc>
        <w:tc>
          <w:tcPr>
            <w:tcW w:w="1827" w:type="dxa"/>
            <w:tcBorders>
              <w:top w:val="single" w:color="auto" w:sz="4" w:space="0"/>
              <w:left w:val="single" w:color="auto" w:sz="4" w:space="0"/>
              <w:right w:val="single" w:color="auto" w:sz="4" w:space="0"/>
            </w:tcBorders>
            <w:noWrap w:val="0"/>
            <w:vAlign w:val="top"/>
          </w:tcPr>
          <w:p>
            <w:pPr>
              <w:spacing w:line="240" w:lineRule="auto"/>
              <w:jc w:val="left"/>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报价唯一</w:t>
            </w:r>
          </w:p>
        </w:tc>
        <w:tc>
          <w:tcPr>
            <w:tcW w:w="422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只能有一个有效报价（指符合第三章“评标办法”2.2.2规定的有效投标报价）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top w:val="nil"/>
              <w:bottom w:val="single" w:color="auto" w:sz="4" w:space="0"/>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top w:val="nil"/>
              <w:bottom w:val="single" w:color="auto" w:sz="4" w:space="0"/>
              <w:right w:val="single" w:color="auto" w:sz="4" w:space="0"/>
            </w:tcBorders>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top"/>
          </w:tcPr>
          <w:p>
            <w:pPr>
              <w:jc w:val="left"/>
              <w:rPr>
                <w:rFonts w:hint="eastAsia"/>
                <w:color w:val="auto"/>
                <w:kern w:val="2"/>
                <w:sz w:val="21"/>
                <w:szCs w:val="22"/>
                <w:highlight w:val="none"/>
                <w:lang w:val="en-US" w:eastAsia="zh-CN" w:bidi="ar-SA"/>
              </w:rPr>
            </w:pPr>
            <w:r>
              <w:rPr>
                <w:rFonts w:hint="eastAsia"/>
                <w:color w:val="auto"/>
                <w:highlight w:val="none"/>
              </w:rPr>
              <w:t>投标人与其他投标人加密打包投标文件电脑机器特征码</w:t>
            </w:r>
            <w:r>
              <w:rPr>
                <w:rFonts w:hint="eastAsia"/>
                <w:color w:val="auto"/>
                <w:highlight w:val="none"/>
                <w:lang w:eastAsia="zh-CN"/>
              </w:rPr>
              <w:t>不</w:t>
            </w:r>
            <w:r>
              <w:rPr>
                <w:rFonts w:hint="eastAsia"/>
                <w:color w:val="auto"/>
                <w:highlight w:val="none"/>
              </w:rPr>
              <w:t>一致的</w:t>
            </w:r>
          </w:p>
        </w:tc>
        <w:tc>
          <w:tcPr>
            <w:tcW w:w="4229" w:type="dxa"/>
            <w:tcBorders>
              <w:top w:val="single" w:color="auto" w:sz="4" w:space="0"/>
              <w:left w:val="single" w:color="auto" w:sz="4" w:space="0"/>
              <w:bottom w:val="single" w:color="auto" w:sz="4" w:space="0"/>
              <w:right w:val="single" w:color="auto" w:sz="4" w:space="0"/>
            </w:tcBorders>
            <w:noWrap w:val="0"/>
            <w:vAlign w:val="top"/>
          </w:tcPr>
          <w:p>
            <w:pPr>
              <w:jc w:val="left"/>
              <w:rPr>
                <w:rFonts w:hint="eastAsia"/>
                <w:color w:val="auto"/>
                <w:kern w:val="2"/>
                <w:sz w:val="21"/>
                <w:szCs w:val="22"/>
                <w:highlight w:val="none"/>
                <w:lang w:val="en-US" w:eastAsia="zh-CN" w:bidi="ar-SA"/>
              </w:rPr>
            </w:pPr>
            <w:r>
              <w:rPr>
                <w:rFonts w:hint="eastAsia"/>
                <w:color w:val="auto"/>
                <w:highlight w:val="none"/>
              </w:rPr>
              <w:t>投标人与</w:t>
            </w:r>
            <w:r>
              <w:rPr>
                <w:rFonts w:hint="eastAsia"/>
                <w:color w:val="auto"/>
                <w:highlight w:val="none"/>
                <w:lang w:eastAsia="zh-CN"/>
              </w:rPr>
              <w:t>本项目</w:t>
            </w:r>
            <w:r>
              <w:rPr>
                <w:rFonts w:hint="eastAsia"/>
                <w:color w:val="auto"/>
                <w:highlight w:val="none"/>
              </w:rPr>
              <w:t>其他投标人加密打包投标文件电脑机器特征码</w:t>
            </w:r>
            <w:r>
              <w:rPr>
                <w:rFonts w:hint="eastAsia"/>
                <w:color w:val="auto"/>
                <w:highlight w:val="none"/>
                <w:lang w:eastAsia="zh-CN"/>
              </w:rPr>
              <w:t>不</w:t>
            </w:r>
            <w:r>
              <w:rPr>
                <w:rFonts w:hint="eastAsia"/>
                <w:color w:val="auto"/>
                <w:highlight w:val="none"/>
              </w:rPr>
              <w:t>一致的(以</w:t>
            </w:r>
            <w:r>
              <w:rPr>
                <w:rFonts w:hint="eastAsia"/>
                <w:color w:val="auto"/>
                <w:highlight w:val="none"/>
                <w:lang w:eastAsia="zh-CN"/>
              </w:rPr>
              <w:t>广州交易集团有限公司（广州公共资源交易中心）交易</w:t>
            </w:r>
            <w:r>
              <w:rPr>
                <w:rFonts w:hint="eastAsia"/>
                <w:color w:val="auto"/>
                <w:highlight w:val="none"/>
              </w:rPr>
              <w:t>平台</w:t>
            </w:r>
            <w:r>
              <w:rPr>
                <w:rFonts w:hint="eastAsia"/>
                <w:color w:val="auto"/>
                <w:highlight w:val="none"/>
                <w:lang w:eastAsia="zh-CN"/>
              </w:rPr>
              <w:t>开标</w:t>
            </w:r>
            <w:r>
              <w:rPr>
                <w:rFonts w:hint="eastAsia"/>
                <w:color w:val="auto"/>
                <w:highlight w:val="none"/>
              </w:rPr>
              <w:t>系统的检索信息为准)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10" w:hRule="atLeast"/>
        </w:trPr>
        <w:tc>
          <w:tcPr>
            <w:tcW w:w="880" w:type="dxa"/>
            <w:vMerge w:val="continue"/>
            <w:tcBorders>
              <w:top w:val="nil"/>
              <w:bottom w:val="single" w:color="auto" w:sz="4" w:space="0"/>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top w:val="nil"/>
              <w:bottom w:val="single" w:color="auto" w:sz="4" w:space="0"/>
              <w:right w:val="single" w:color="auto" w:sz="4" w:space="0"/>
            </w:tcBorders>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highlight w:val="none"/>
              </w:rPr>
              <w:t>投标人与其他投标人</w:t>
            </w:r>
            <w:r>
              <w:rPr>
                <w:rFonts w:hint="eastAsia" w:ascii="Times New Roman" w:hAnsi="Times New Roman" w:eastAsia="宋体" w:cs="Times New Roman"/>
                <w:color w:val="auto"/>
                <w:highlight w:val="none"/>
                <w:lang w:eastAsia="zh-CN"/>
              </w:rPr>
              <w:t>的</w:t>
            </w:r>
            <w:r>
              <w:rPr>
                <w:rFonts w:hint="eastAsia" w:ascii="Times New Roman" w:hAnsi="Times New Roman" w:eastAsia="宋体" w:cs="Times New Roman"/>
                <w:color w:val="auto"/>
                <w:highlight w:val="none"/>
              </w:rPr>
              <w:t>投标文件</w:t>
            </w:r>
            <w:r>
              <w:rPr>
                <w:rFonts w:hint="eastAsia" w:ascii="Times New Roman" w:hAnsi="Times New Roman" w:eastAsia="宋体" w:cs="Times New Roman"/>
                <w:color w:val="auto"/>
                <w:highlight w:val="none"/>
                <w:lang w:eastAsia="zh-CN"/>
              </w:rPr>
              <w:t>工程量清单编制机器硬件信息不</w:t>
            </w:r>
            <w:r>
              <w:rPr>
                <w:rFonts w:hint="eastAsia" w:ascii="Times New Roman" w:hAnsi="Times New Roman" w:eastAsia="宋体" w:cs="Times New Roman"/>
                <w:color w:val="auto"/>
                <w:highlight w:val="none"/>
              </w:rPr>
              <w:t>一致的</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highlight w:val="none"/>
              </w:rPr>
              <w:t>投标人与</w:t>
            </w:r>
            <w:r>
              <w:rPr>
                <w:rFonts w:hint="eastAsia" w:ascii="Times New Roman" w:hAnsi="Times New Roman" w:eastAsia="宋体" w:cs="Times New Roman"/>
                <w:color w:val="auto"/>
                <w:highlight w:val="none"/>
                <w:lang w:eastAsia="zh-CN"/>
              </w:rPr>
              <w:t>本项目</w:t>
            </w:r>
            <w:r>
              <w:rPr>
                <w:rFonts w:hint="eastAsia" w:ascii="Times New Roman" w:hAnsi="Times New Roman" w:eastAsia="宋体" w:cs="Times New Roman"/>
                <w:color w:val="auto"/>
                <w:highlight w:val="none"/>
              </w:rPr>
              <w:t>其他投标人</w:t>
            </w:r>
            <w:r>
              <w:rPr>
                <w:rFonts w:hint="eastAsia" w:ascii="Times New Roman" w:hAnsi="Times New Roman" w:eastAsia="宋体" w:cs="Times New Roman"/>
                <w:color w:val="auto"/>
                <w:highlight w:val="none"/>
                <w:lang w:eastAsia="zh-CN"/>
              </w:rPr>
              <w:t>的</w:t>
            </w:r>
            <w:r>
              <w:rPr>
                <w:rFonts w:hint="eastAsia" w:ascii="Times New Roman" w:hAnsi="Times New Roman" w:eastAsia="宋体" w:cs="Times New Roman"/>
                <w:color w:val="auto"/>
                <w:highlight w:val="none"/>
              </w:rPr>
              <w:t>投标文件</w:t>
            </w:r>
            <w:r>
              <w:rPr>
                <w:rFonts w:hint="eastAsia" w:ascii="Times New Roman" w:hAnsi="Times New Roman" w:eastAsia="宋体" w:cs="Times New Roman"/>
                <w:color w:val="auto"/>
                <w:highlight w:val="none"/>
                <w:lang w:eastAsia="zh-CN"/>
              </w:rPr>
              <w:t>工程量清单编制机器硬件信息不</w:t>
            </w:r>
            <w:r>
              <w:rPr>
                <w:rFonts w:hint="eastAsia" w:ascii="Times New Roman" w:hAnsi="Times New Roman" w:eastAsia="宋体" w:cs="Times New Roman"/>
                <w:color w:val="auto"/>
                <w:highlight w:val="none"/>
              </w:rPr>
              <w:t>一致的(以</w:t>
            </w:r>
            <w:r>
              <w:rPr>
                <w:rFonts w:hint="eastAsia" w:ascii="Times New Roman" w:hAnsi="Times New Roman" w:eastAsia="宋体" w:cs="Times New Roman"/>
                <w:color w:val="auto"/>
                <w:highlight w:val="none"/>
                <w:lang w:eastAsia="zh-CN"/>
              </w:rPr>
              <w:t>广州交易集团有限公司（广州公共资源交易中心）</w:t>
            </w:r>
            <w:r>
              <w:rPr>
                <w:rFonts w:hint="eastAsia" w:ascii="Times New Roman" w:hAnsi="Times New Roman" w:eastAsia="宋体" w:cs="Times New Roman"/>
                <w:color w:val="auto"/>
                <w:highlight w:val="none"/>
              </w:rPr>
              <w:t>交易平台</w:t>
            </w:r>
            <w:r>
              <w:rPr>
                <w:rFonts w:hint="eastAsia" w:ascii="Times New Roman" w:hAnsi="Times New Roman" w:eastAsia="宋体" w:cs="Times New Roman"/>
                <w:color w:val="auto"/>
                <w:highlight w:val="none"/>
                <w:lang w:val="en-US" w:eastAsia="zh-CN"/>
              </w:rPr>
              <w:t>评标系统</w:t>
            </w:r>
            <w:r>
              <w:rPr>
                <w:rFonts w:hint="eastAsia" w:ascii="Times New Roman" w:hAnsi="Times New Roman" w:eastAsia="宋体" w:cs="Times New Roman"/>
                <w:color w:val="auto"/>
                <w:highlight w:val="none"/>
              </w:rPr>
              <w:t>的检索信息为准)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880" w:type="dxa"/>
            <w:vMerge w:val="continue"/>
            <w:tcBorders>
              <w:bottom w:val="single" w:color="auto" w:sz="4" w:space="0"/>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bottom w:val="single" w:color="auto" w:sz="4" w:space="0"/>
              <w:right w:val="single" w:color="auto" w:sz="4" w:space="0"/>
            </w:tcBorders>
            <w:noWrap w:val="0"/>
            <w:vAlign w:val="center"/>
          </w:tcPr>
          <w:p>
            <w:pPr>
              <w:spacing w:line="360" w:lineRule="auto"/>
              <w:jc w:val="left"/>
              <w:rPr>
                <w:color w:val="auto"/>
                <w:szCs w:val="21"/>
                <w:highlight w:val="none"/>
              </w:rPr>
            </w:pPr>
          </w:p>
        </w:tc>
        <w:tc>
          <w:tcPr>
            <w:tcW w:w="1827" w:type="dxa"/>
            <w:tcBorders>
              <w:top w:val="single" w:color="auto" w:sz="4" w:space="0"/>
              <w:left w:val="single" w:color="auto" w:sz="4" w:space="0"/>
              <w:right w:val="single" w:color="auto" w:sz="4" w:space="0"/>
            </w:tcBorders>
            <w:noWrap w:val="0"/>
            <w:vAlign w:val="center"/>
          </w:tcPr>
          <w:p>
            <w:pPr>
              <w:spacing w:line="240" w:lineRule="auto"/>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sz w:val="21"/>
                <w:szCs w:val="21"/>
                <w:highlight w:val="none"/>
                <w:u w:val="single"/>
              </w:rPr>
              <w:t>投标登记时的信息</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投标文件中的投标人、项目负责人、安全员与企业库、投标登记时的信息一致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restart"/>
            <w:tcBorders>
              <w:top w:val="single" w:color="auto" w:sz="4" w:space="0"/>
              <w:right w:val="single" w:color="auto" w:sz="4" w:space="0"/>
            </w:tcBorders>
            <w:noWrap w:val="0"/>
            <w:vAlign w:val="center"/>
          </w:tcPr>
          <w:p>
            <w:pPr>
              <w:spacing w:line="360" w:lineRule="auto"/>
              <w:jc w:val="center"/>
              <w:rPr>
                <w:color w:val="auto"/>
                <w:szCs w:val="21"/>
                <w:highlight w:val="none"/>
              </w:rPr>
            </w:pPr>
            <w:r>
              <w:rPr>
                <w:color w:val="auto"/>
                <w:szCs w:val="21"/>
                <w:highlight w:val="none"/>
              </w:rPr>
              <w:t>2.1.3</w:t>
            </w:r>
          </w:p>
        </w:tc>
        <w:tc>
          <w:tcPr>
            <w:tcW w:w="951" w:type="dxa"/>
            <w:vMerge w:val="restart"/>
            <w:tcBorders>
              <w:top w:val="single" w:color="auto" w:sz="4" w:space="0"/>
              <w:right w:val="single" w:color="auto" w:sz="4" w:space="0"/>
            </w:tcBorders>
            <w:noWrap w:val="0"/>
            <w:vAlign w:val="center"/>
          </w:tcPr>
          <w:p>
            <w:pPr>
              <w:spacing w:line="360" w:lineRule="auto"/>
              <w:jc w:val="left"/>
              <w:rPr>
                <w:color w:val="auto"/>
                <w:szCs w:val="21"/>
                <w:highlight w:val="none"/>
              </w:rPr>
            </w:pPr>
            <w:r>
              <w:rPr>
                <w:color w:val="auto"/>
                <w:szCs w:val="21"/>
                <w:highlight w:val="none"/>
              </w:rPr>
              <w:t>响应性评审标准</w:t>
            </w:r>
          </w:p>
        </w:tc>
        <w:tc>
          <w:tcPr>
            <w:tcW w:w="18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color w:val="auto"/>
                <w:szCs w:val="21"/>
                <w:highlight w:val="none"/>
              </w:rPr>
            </w:pPr>
            <w:r>
              <w:rPr>
                <w:rFonts w:hint="eastAsia"/>
                <w:color w:val="auto"/>
                <w:szCs w:val="21"/>
                <w:highlight w:val="none"/>
              </w:rPr>
              <w:t>投标报价</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w:t>
            </w:r>
            <w:r>
              <w:rPr>
                <w:rFonts w:hint="eastAsia"/>
                <w:color w:val="auto"/>
                <w:szCs w:val="21"/>
                <w:highlight w:val="none"/>
              </w:rPr>
              <w:t>3</w:t>
            </w:r>
            <w:r>
              <w:rPr>
                <w:color w:val="auto"/>
                <w:szCs w:val="21"/>
                <w:highlight w:val="none"/>
              </w:rPr>
              <w:t>.</w:t>
            </w:r>
            <w:r>
              <w:rPr>
                <w:rFonts w:hint="eastAsia"/>
                <w:color w:val="auto"/>
                <w:szCs w:val="21"/>
                <w:highlight w:val="none"/>
              </w:rPr>
              <w:t>2</w:t>
            </w:r>
            <w:r>
              <w:rPr>
                <w:color w:val="auto"/>
                <w:szCs w:val="21"/>
                <w:highlight w:val="none"/>
              </w:rPr>
              <w:t>.</w:t>
            </w:r>
            <w:r>
              <w:rPr>
                <w:rFonts w:hint="eastAsia"/>
                <w:color w:val="auto"/>
                <w:szCs w:val="21"/>
                <w:highlight w:val="none"/>
              </w:rPr>
              <w:t>3</w:t>
            </w:r>
            <w:r>
              <w:rPr>
                <w:color w:val="auto"/>
                <w:szCs w:val="21"/>
                <w:highlight w:val="none"/>
              </w:rPr>
              <w:t>项</w:t>
            </w:r>
            <w:r>
              <w:rPr>
                <w:rFonts w:hint="eastAsia"/>
                <w:color w:val="auto"/>
                <w:szCs w:val="21"/>
                <w:highlight w:val="none"/>
                <w:lang w:eastAsia="zh-CN"/>
              </w:rPr>
              <w:t>、</w:t>
            </w:r>
            <w:r>
              <w:rPr>
                <w:rFonts w:hint="eastAsia"/>
                <w:color w:val="auto"/>
                <w:szCs w:val="21"/>
                <w:highlight w:val="none"/>
                <w:lang w:val="en-US" w:eastAsia="zh-CN"/>
              </w:rPr>
              <w:t>3.2.4项</w:t>
            </w:r>
            <w:r>
              <w:rPr>
                <w:color w:val="auto"/>
                <w:szCs w:val="21"/>
                <w:highlight w:val="none"/>
              </w:rPr>
              <w:t>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noWrap w:val="0"/>
            <w:vAlign w:val="center"/>
          </w:tcPr>
          <w:p>
            <w:pPr>
              <w:spacing w:line="360" w:lineRule="auto"/>
              <w:jc w:val="center"/>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color w:val="auto"/>
                <w:szCs w:val="21"/>
                <w:highlight w:val="none"/>
              </w:rPr>
            </w:pPr>
            <w:r>
              <w:rPr>
                <w:rFonts w:hint="eastAsia" w:ascii="宋体" w:hAnsi="宋体"/>
                <w:color w:val="auto"/>
                <w:szCs w:val="21"/>
                <w:highlight w:val="none"/>
              </w:rPr>
              <w:t>计划</w:t>
            </w:r>
            <w:r>
              <w:rPr>
                <w:rFonts w:ascii="宋体" w:hAnsi="宋体"/>
                <w:color w:val="auto"/>
                <w:szCs w:val="21"/>
                <w:highlight w:val="none"/>
              </w:rPr>
              <w:t>工期</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章“投标人须知”第1.3.2项规定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noWrap w:val="0"/>
            <w:vAlign w:val="center"/>
          </w:tcPr>
          <w:p>
            <w:pPr>
              <w:spacing w:line="360" w:lineRule="auto"/>
              <w:jc w:val="center"/>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color w:val="auto"/>
                <w:szCs w:val="21"/>
                <w:highlight w:val="none"/>
              </w:rPr>
            </w:pPr>
            <w:r>
              <w:rPr>
                <w:color w:val="auto"/>
                <w:szCs w:val="21"/>
                <w:highlight w:val="none"/>
              </w:rPr>
              <w:t>工程质量</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章“投标人须知”第1.3.3项规定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noWrap w:val="0"/>
            <w:vAlign w:val="center"/>
          </w:tcPr>
          <w:p>
            <w:pPr>
              <w:spacing w:line="360" w:lineRule="auto"/>
              <w:jc w:val="center"/>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color w:val="auto"/>
                <w:szCs w:val="21"/>
                <w:highlight w:val="none"/>
              </w:rPr>
            </w:pPr>
            <w:r>
              <w:rPr>
                <w:color w:val="auto"/>
                <w:szCs w:val="21"/>
                <w:highlight w:val="none"/>
              </w:rPr>
              <w:t>投标保证金</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章“投标人须知”第3.4</w:t>
            </w:r>
            <w:r>
              <w:rPr>
                <w:rFonts w:hint="eastAsia"/>
                <w:color w:val="auto"/>
                <w:szCs w:val="21"/>
                <w:highlight w:val="none"/>
              </w:rPr>
              <w:t>.1项</w:t>
            </w:r>
            <w:r>
              <w:rPr>
                <w:color w:val="auto"/>
                <w:szCs w:val="21"/>
                <w:highlight w:val="none"/>
              </w:rPr>
              <w:t>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noWrap w:val="0"/>
            <w:vAlign w:val="center"/>
          </w:tcPr>
          <w:p>
            <w:pPr>
              <w:spacing w:line="360" w:lineRule="auto"/>
              <w:jc w:val="center"/>
              <w:rPr>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已标价工程量清单</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符合第五章“工程量清单”给出的范围及数量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880" w:type="dxa"/>
            <w:vMerge w:val="continue"/>
            <w:tcBorders>
              <w:right w:val="single" w:color="auto" w:sz="4" w:space="0"/>
            </w:tcBorders>
            <w:noWrap w:val="0"/>
            <w:vAlign w:val="center"/>
          </w:tcPr>
          <w:p>
            <w:pPr>
              <w:spacing w:line="360" w:lineRule="auto"/>
              <w:jc w:val="center"/>
              <w:rPr>
                <w:color w:val="auto"/>
                <w:szCs w:val="21"/>
                <w:highlight w:val="none"/>
              </w:rPr>
            </w:pPr>
          </w:p>
        </w:tc>
        <w:tc>
          <w:tcPr>
            <w:tcW w:w="951" w:type="dxa"/>
            <w:vMerge w:val="continue"/>
            <w:tcBorders>
              <w:right w:val="single" w:color="auto" w:sz="4" w:space="0"/>
            </w:tcBorders>
            <w:noWrap w:val="0"/>
            <w:vAlign w:val="center"/>
          </w:tcPr>
          <w:p>
            <w:pPr>
              <w:spacing w:line="360" w:lineRule="auto"/>
              <w:jc w:val="center"/>
              <w:rPr>
                <w:color w:val="auto"/>
                <w:szCs w:val="21"/>
                <w:highlight w:val="none"/>
              </w:rPr>
            </w:pPr>
          </w:p>
        </w:tc>
        <w:tc>
          <w:tcPr>
            <w:tcW w:w="1827" w:type="dxa"/>
            <w:tcBorders>
              <w:top w:val="single" w:color="auto" w:sz="4" w:space="0"/>
              <w:left w:val="single" w:color="auto" w:sz="4" w:space="0"/>
              <w:right w:val="single" w:color="auto" w:sz="4" w:space="0"/>
            </w:tcBorders>
            <w:noWrap w:val="0"/>
            <w:vAlign w:val="center"/>
          </w:tcPr>
          <w:p>
            <w:pPr>
              <w:spacing w:line="240" w:lineRule="auto"/>
              <w:jc w:val="left"/>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技术标准和要求</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符合第七章“技术标准和要求”规定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1" w:type="dxa"/>
            <w:gridSpan w:val="2"/>
            <w:tcBorders>
              <w:top w:val="single" w:color="auto" w:sz="4" w:space="0"/>
              <w:bottom w:val="single" w:color="auto" w:sz="4" w:space="0"/>
              <w:right w:val="single" w:color="auto" w:sz="4" w:space="0"/>
            </w:tcBorders>
            <w:noWrap w:val="0"/>
            <w:vAlign w:val="center"/>
          </w:tcPr>
          <w:p>
            <w:pPr>
              <w:spacing w:line="360" w:lineRule="auto"/>
              <w:jc w:val="center"/>
              <w:rPr>
                <w:b/>
                <w:color w:val="auto"/>
                <w:szCs w:val="21"/>
                <w:highlight w:val="none"/>
              </w:rPr>
            </w:pPr>
            <w:r>
              <w:rPr>
                <w:b/>
                <w:color w:val="auto"/>
                <w:szCs w:val="21"/>
                <w:highlight w:val="none"/>
              </w:rPr>
              <w:t>条款号</w:t>
            </w:r>
          </w:p>
        </w:tc>
        <w:tc>
          <w:tcPr>
            <w:tcW w:w="18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b/>
                <w:color w:val="auto"/>
                <w:szCs w:val="21"/>
                <w:highlight w:val="none"/>
              </w:rPr>
            </w:pPr>
            <w:r>
              <w:rPr>
                <w:b/>
                <w:color w:val="auto"/>
                <w:szCs w:val="21"/>
                <w:highlight w:val="none"/>
              </w:rPr>
              <w:t>条款内容</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b/>
                <w:color w:val="auto"/>
                <w:szCs w:val="21"/>
                <w:highlight w:val="none"/>
              </w:rPr>
            </w:pPr>
            <w:r>
              <w:rPr>
                <w:b/>
                <w:color w:val="auto"/>
                <w:szCs w:val="21"/>
                <w:highlight w:val="none"/>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1" w:type="dxa"/>
            <w:gridSpan w:val="2"/>
            <w:tcBorders>
              <w:bottom w:val="single" w:color="auto" w:sz="4" w:space="0"/>
              <w:right w:val="single" w:color="auto" w:sz="4" w:space="0"/>
            </w:tcBorders>
            <w:noWrap w:val="0"/>
            <w:vAlign w:val="center"/>
          </w:tcPr>
          <w:p>
            <w:pPr>
              <w:spacing w:line="360" w:lineRule="auto"/>
              <w:jc w:val="center"/>
              <w:rPr>
                <w:color w:val="auto"/>
                <w:szCs w:val="21"/>
                <w:highlight w:val="none"/>
              </w:rPr>
            </w:pPr>
            <w:r>
              <w:rPr>
                <w:color w:val="auto"/>
                <w:szCs w:val="21"/>
                <w:highlight w:val="none"/>
              </w:rPr>
              <w:t>2.2.1</w:t>
            </w:r>
          </w:p>
        </w:tc>
        <w:tc>
          <w:tcPr>
            <w:tcW w:w="18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color w:val="auto"/>
                <w:szCs w:val="21"/>
                <w:highlight w:val="none"/>
              </w:rPr>
            </w:pPr>
            <w:r>
              <w:rPr>
                <w:color w:val="auto"/>
                <w:szCs w:val="21"/>
                <w:highlight w:val="none"/>
              </w:rPr>
              <w:t>分值构成</w:t>
            </w:r>
          </w:p>
          <w:p>
            <w:pPr>
              <w:spacing w:line="360" w:lineRule="auto"/>
              <w:rPr>
                <w:color w:val="auto"/>
                <w:szCs w:val="21"/>
                <w:highlight w:val="none"/>
              </w:rPr>
            </w:pPr>
            <w:r>
              <w:rPr>
                <w:color w:val="auto"/>
                <w:szCs w:val="21"/>
                <w:highlight w:val="none"/>
              </w:rPr>
              <w:t>(总分100分)</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60" w:lineRule="auto"/>
              <w:rPr>
                <w:rFonts w:hint="default" w:eastAsia="宋体" w:cs="Times New Roman"/>
                <w:color w:val="auto"/>
                <w:szCs w:val="21"/>
                <w:highlight w:val="none"/>
                <w:lang w:val="en-US" w:eastAsia="zh-CN"/>
              </w:rPr>
            </w:pPr>
            <w:r>
              <w:rPr>
                <w:rFonts w:hint="eastAsia" w:eastAsia="宋体" w:cs="Times New Roman"/>
                <w:color w:val="auto"/>
                <w:szCs w:val="21"/>
                <w:highlight w:val="none"/>
                <w:lang w:val="en-US" w:eastAsia="zh-CN"/>
              </w:rPr>
              <w:t>1.</w:t>
            </w:r>
            <w:r>
              <w:rPr>
                <w:rFonts w:hint="eastAsia" w:eastAsia="宋体" w:cs="Times New Roman"/>
                <w:color w:val="auto"/>
                <w:szCs w:val="21"/>
                <w:highlight w:val="none"/>
              </w:rPr>
              <w:t>技术评审权重：</w:t>
            </w:r>
            <w:r>
              <w:rPr>
                <w:rFonts w:hint="eastAsia" w:ascii="Times New Roman" w:hAnsi="Times New Roman" w:eastAsia="宋体" w:cs="Times New Roman"/>
                <w:color w:val="auto"/>
                <w:szCs w:val="21"/>
                <w:highlight w:val="none"/>
                <w:u w:val="single"/>
                <w:lang w:val="en-US" w:eastAsia="zh-CN"/>
              </w:rPr>
              <w:t>12.4%</w:t>
            </w:r>
          </w:p>
          <w:p>
            <w:pPr>
              <w:numPr>
                <w:ilvl w:val="0"/>
                <w:numId w:val="0"/>
              </w:numPr>
              <w:spacing w:line="360" w:lineRule="auto"/>
              <w:rPr>
                <w:rFonts w:hint="default" w:eastAsia="宋体" w:cs="Times New Roman"/>
                <w:color w:val="auto"/>
                <w:szCs w:val="21"/>
                <w:highlight w:val="none"/>
                <w:lang w:val="en-US" w:eastAsia="zh-CN"/>
              </w:rPr>
            </w:pPr>
            <w:r>
              <w:rPr>
                <w:rFonts w:hint="eastAsia" w:eastAsia="宋体" w:cs="Times New Roman"/>
                <w:color w:val="auto"/>
                <w:szCs w:val="21"/>
                <w:highlight w:val="none"/>
              </w:rPr>
              <w:t>2.商务评审权重：</w:t>
            </w:r>
            <w:r>
              <w:rPr>
                <w:rFonts w:hint="eastAsia" w:ascii="Times New Roman" w:hAnsi="Times New Roman" w:eastAsia="宋体" w:cs="Times New Roman"/>
                <w:color w:val="auto"/>
                <w:szCs w:val="21"/>
                <w:highlight w:val="none"/>
                <w:u w:val="single"/>
                <w:lang w:val="en-US" w:eastAsia="zh-CN"/>
              </w:rPr>
              <w:t>7.6%</w:t>
            </w:r>
          </w:p>
          <w:p>
            <w:pPr>
              <w:numPr>
                <w:ilvl w:val="0"/>
                <w:numId w:val="0"/>
              </w:numPr>
              <w:spacing w:line="360" w:lineRule="auto"/>
              <w:rPr>
                <w:color w:val="auto"/>
                <w:szCs w:val="21"/>
                <w:highlight w:val="none"/>
              </w:rPr>
            </w:pPr>
            <w:r>
              <w:rPr>
                <w:rFonts w:hint="eastAsia" w:eastAsia="宋体" w:cs="Times New Roman"/>
                <w:color w:val="auto"/>
                <w:szCs w:val="21"/>
                <w:highlight w:val="none"/>
              </w:rPr>
              <w:t>3.投标报价权重：</w:t>
            </w:r>
            <w:r>
              <w:rPr>
                <w:rFonts w:hint="eastAsia" w:ascii="Times New Roman" w:hAnsi="Times New Roman" w:eastAsia="宋体" w:cs="Times New Roman"/>
                <w:color w:val="auto"/>
                <w:szCs w:val="21"/>
                <w:highlight w:val="none"/>
                <w:u w:val="single"/>
                <w:lang w:val="en-US" w:eastAsia="zh-CN"/>
              </w:rPr>
              <w:t>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1" w:type="dxa"/>
            <w:gridSpan w:val="2"/>
            <w:tcBorders>
              <w:bottom w:val="single" w:color="auto" w:sz="4" w:space="0"/>
              <w:right w:val="single" w:color="auto" w:sz="4" w:space="0"/>
            </w:tcBorders>
            <w:noWrap w:val="0"/>
            <w:vAlign w:val="center"/>
          </w:tcPr>
          <w:p>
            <w:pPr>
              <w:spacing w:line="360" w:lineRule="auto"/>
              <w:jc w:val="center"/>
              <w:rPr>
                <w:color w:val="auto"/>
                <w:szCs w:val="21"/>
                <w:highlight w:val="none"/>
              </w:rPr>
            </w:pPr>
            <w:r>
              <w:rPr>
                <w:rFonts w:hint="eastAsia"/>
                <w:b/>
                <w:color w:val="auto"/>
                <w:szCs w:val="21"/>
                <w:highlight w:val="none"/>
              </w:rPr>
              <w:t>2.2.3</w:t>
            </w:r>
          </w:p>
        </w:tc>
        <w:tc>
          <w:tcPr>
            <w:tcW w:w="18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auto"/>
                <w:szCs w:val="21"/>
                <w:highlight w:val="none"/>
              </w:rPr>
            </w:pPr>
            <w:r>
              <w:rPr>
                <w:rFonts w:hint="eastAsia"/>
                <w:b/>
                <w:color w:val="auto"/>
                <w:szCs w:val="21"/>
                <w:highlight w:val="none"/>
              </w:rPr>
              <w:t>评标基准价计算方法</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eastAsia="仿宋_GB2312" w:cs="Times New Roman"/>
                <w:color w:val="auto"/>
                <w:szCs w:val="21"/>
                <w:highlight w:val="none"/>
                <w:lang w:val="en-US" w:eastAsia="zh-CN"/>
              </w:rPr>
            </w:pPr>
            <w:r>
              <w:rPr>
                <w:rFonts w:hint="eastAsia" w:ascii="Times New Roman" w:hAnsi="Times New Roman" w:eastAsia="宋体" w:cs="Times New Roman"/>
                <w:b/>
                <w:color w:val="auto"/>
                <w:kern w:val="2"/>
                <w:szCs w:val="21"/>
                <w:highlight w:val="none"/>
                <w:lang w:val="en-US" w:eastAsia="zh-CN"/>
              </w:rPr>
              <w:t>方式</w:t>
            </w:r>
            <w:r>
              <w:rPr>
                <w:rFonts w:hint="eastAsia" w:cs="Times New Roman"/>
                <w:b/>
                <w:color w:val="auto"/>
                <w:kern w:val="2"/>
                <w:szCs w:val="21"/>
                <w:highlight w:val="none"/>
                <w:lang w:val="en-US" w:eastAsia="zh-CN"/>
              </w:rPr>
              <w:t>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1" w:type="dxa"/>
            <w:gridSpan w:val="2"/>
            <w:tcBorders>
              <w:bottom w:val="single" w:color="auto" w:sz="4" w:space="0"/>
              <w:right w:val="single" w:color="auto" w:sz="4" w:space="0"/>
            </w:tcBorders>
            <w:noWrap w:val="0"/>
            <w:vAlign w:val="center"/>
          </w:tcPr>
          <w:p>
            <w:pPr>
              <w:spacing w:line="360" w:lineRule="auto"/>
              <w:jc w:val="center"/>
              <w:rPr>
                <w:color w:val="auto"/>
                <w:szCs w:val="21"/>
                <w:highlight w:val="none"/>
              </w:rPr>
            </w:pPr>
            <w:r>
              <w:rPr>
                <w:rFonts w:hint="eastAsia"/>
                <w:b/>
                <w:color w:val="auto"/>
                <w:szCs w:val="21"/>
                <w:highlight w:val="none"/>
              </w:rPr>
              <w:t>2.2.4</w:t>
            </w:r>
          </w:p>
        </w:tc>
        <w:tc>
          <w:tcPr>
            <w:tcW w:w="18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auto"/>
                <w:szCs w:val="21"/>
                <w:highlight w:val="none"/>
              </w:rPr>
            </w:pPr>
            <w:r>
              <w:rPr>
                <w:rFonts w:hint="eastAsia"/>
                <w:color w:val="auto"/>
                <w:szCs w:val="21"/>
                <w:highlight w:val="none"/>
              </w:rPr>
              <w:t>投标报价偏差率计算公式</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eastAsia="宋体" w:cs="Times New Roman"/>
                <w:color w:val="auto"/>
                <w:szCs w:val="21"/>
                <w:highlight w:val="none"/>
              </w:rPr>
            </w:pPr>
            <w:r>
              <w:rPr>
                <w:rFonts w:hint="eastAsia"/>
                <w:color w:val="auto"/>
                <w:szCs w:val="21"/>
                <w:highlight w:val="none"/>
              </w:rPr>
              <w:t>偏差率=（投标报价-评标基准价）/评标基准价</w:t>
            </w:r>
            <w:r>
              <w:rPr>
                <w:rFonts w:hint="eastAsia" w:ascii="宋体" w:hAnsi="宋体"/>
                <w:color w:val="auto"/>
                <w:szCs w:val="21"/>
                <w:highlight w:val="none"/>
              </w:rPr>
              <w:t>×</w:t>
            </w:r>
            <w:r>
              <w:rPr>
                <w:rFonts w:hint="eastAsia"/>
                <w:color w:val="auto"/>
                <w:szCs w:val="21"/>
                <w:highlight w:val="none"/>
              </w:rPr>
              <w:t>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1" w:type="dxa"/>
            <w:gridSpan w:val="2"/>
            <w:tcBorders>
              <w:top w:val="nil"/>
              <w:bottom w:val="single" w:color="auto" w:sz="4" w:space="0"/>
              <w:right w:val="single" w:color="auto" w:sz="4" w:space="0"/>
            </w:tcBorders>
            <w:noWrap w:val="0"/>
            <w:vAlign w:val="center"/>
          </w:tcPr>
          <w:p>
            <w:pPr>
              <w:spacing w:line="360" w:lineRule="auto"/>
              <w:jc w:val="center"/>
              <w:rPr>
                <w:b/>
                <w:color w:val="auto"/>
                <w:szCs w:val="21"/>
                <w:highlight w:val="none"/>
              </w:rPr>
            </w:pPr>
            <w:r>
              <w:rPr>
                <w:b/>
                <w:color w:val="auto"/>
                <w:szCs w:val="21"/>
                <w:highlight w:val="none"/>
              </w:rPr>
              <w:t>条款号</w:t>
            </w:r>
          </w:p>
        </w:tc>
        <w:tc>
          <w:tcPr>
            <w:tcW w:w="18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b/>
                <w:color w:val="auto"/>
                <w:szCs w:val="21"/>
                <w:highlight w:val="none"/>
              </w:rPr>
            </w:pPr>
            <w:r>
              <w:rPr>
                <w:b/>
                <w:color w:val="auto"/>
                <w:szCs w:val="21"/>
                <w:highlight w:val="none"/>
              </w:rPr>
              <w:t>评分因素</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b/>
                <w:color w:val="auto"/>
                <w:szCs w:val="21"/>
                <w:highlight w:val="none"/>
              </w:rPr>
            </w:pPr>
            <w:r>
              <w:rPr>
                <w:b/>
                <w:color w:val="auto"/>
                <w:szCs w:val="21"/>
                <w:highlight w:val="none"/>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restart"/>
            <w:tcBorders>
              <w:top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2.2.</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(1)</w:t>
            </w:r>
          </w:p>
        </w:tc>
        <w:tc>
          <w:tcPr>
            <w:tcW w:w="951" w:type="dxa"/>
            <w:vMerge w:val="restart"/>
            <w:tcBorders>
              <w:top w:val="single" w:color="auto" w:sz="4" w:space="0"/>
              <w:right w:val="single" w:color="auto" w:sz="4" w:space="0"/>
            </w:tcBorders>
            <w:noWrap w:val="0"/>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技术评审</w:t>
            </w:r>
            <w:r>
              <w:rPr>
                <w:rFonts w:hint="eastAsia" w:ascii="宋体" w:hAnsi="宋体" w:eastAsia="宋体" w:cs="宋体"/>
                <w:color w:val="auto"/>
                <w:kern w:val="0"/>
                <w:szCs w:val="21"/>
                <w:highlight w:val="none"/>
              </w:rPr>
              <w:t>（满分</w:t>
            </w:r>
            <w:r>
              <w:rPr>
                <w:rFonts w:hint="eastAsia" w:ascii="宋体" w:hAnsi="宋体" w:eastAsia="宋体" w:cs="宋体"/>
                <w:color w:val="auto"/>
                <w:kern w:val="0"/>
                <w:szCs w:val="21"/>
                <w:highlight w:val="none"/>
                <w:lang w:val="en-US" w:eastAsia="zh-CN"/>
              </w:rPr>
              <w:t>100分，权重12.4%</w:t>
            </w:r>
            <w:r>
              <w:rPr>
                <w:rFonts w:hint="eastAsia" w:ascii="宋体" w:hAnsi="宋体" w:eastAsia="宋体" w:cs="宋体"/>
                <w:color w:val="auto"/>
                <w:kern w:val="0"/>
                <w:szCs w:val="21"/>
                <w:highlight w:val="none"/>
              </w:rPr>
              <w:t>）</w:t>
            </w:r>
          </w:p>
        </w:tc>
        <w:tc>
          <w:tcPr>
            <w:tcW w:w="182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lang w:val="en-US" w:eastAsia="zh-CN"/>
              </w:rPr>
              <w:t>施工组织设计内容完整性和编制（10分）</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施工组织设计结构完整、措施详细，编制思路清晰、层次清楚，内容严谨全面，能图文结合。有指导性、针对性、可操作性，符合规范。</w:t>
            </w:r>
          </w:p>
          <w:p>
            <w:pPr>
              <w:keepNext w:val="0"/>
              <w:keepLines w:val="0"/>
              <w:pageBreakBefore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【优】</w:t>
            </w:r>
            <w:r>
              <w:rPr>
                <w:rFonts w:hint="eastAsia" w:ascii="宋体" w:hAnsi="宋体" w:eastAsia="宋体" w:cs="宋体"/>
                <w:color w:val="auto"/>
                <w:kern w:val="2"/>
                <w:sz w:val="21"/>
                <w:szCs w:val="21"/>
                <w:highlight w:val="none"/>
                <w:lang w:val="zh-CN"/>
              </w:rPr>
              <w:t>：</w:t>
            </w:r>
            <w:r>
              <w:rPr>
                <w:rFonts w:hint="eastAsia" w:ascii="宋体" w:hAnsi="宋体" w:eastAsia="宋体" w:cs="宋体"/>
                <w:color w:val="auto"/>
                <w:kern w:val="2"/>
                <w:sz w:val="21"/>
                <w:szCs w:val="21"/>
                <w:highlight w:val="none"/>
                <w:lang w:val="en-US" w:eastAsia="zh-CN"/>
              </w:rPr>
              <w:t>制定的方案详细，工作内容切实可行，逻辑严谨，</w:t>
            </w:r>
            <w:r>
              <w:rPr>
                <w:rFonts w:hint="eastAsia" w:ascii="宋体" w:hAnsi="宋体" w:eastAsia="宋体" w:cs="宋体"/>
                <w:color w:val="auto"/>
                <w:kern w:val="2"/>
                <w:sz w:val="21"/>
                <w:szCs w:val="21"/>
                <w:highlight w:val="none"/>
              </w:rPr>
              <w:t>得</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良</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zh-CN"/>
              </w:rPr>
              <w:t>：</w:t>
            </w:r>
            <w:r>
              <w:rPr>
                <w:rFonts w:hint="eastAsia" w:ascii="宋体" w:hAnsi="宋体" w:eastAsia="宋体" w:cs="宋体"/>
                <w:color w:val="auto"/>
                <w:kern w:val="2"/>
                <w:sz w:val="21"/>
                <w:szCs w:val="21"/>
                <w:highlight w:val="none"/>
                <w:lang w:val="en-US" w:eastAsia="zh-CN"/>
              </w:rPr>
              <w:t>制定的方案较详细，工作内容基本可行，逻辑较严谨，</w:t>
            </w:r>
            <w:r>
              <w:rPr>
                <w:rFonts w:hint="eastAsia" w:ascii="宋体" w:hAnsi="宋体" w:eastAsia="宋体" w:cs="宋体"/>
                <w:color w:val="auto"/>
                <w:kern w:val="2"/>
                <w:sz w:val="21"/>
                <w:szCs w:val="21"/>
                <w:highlight w:val="none"/>
              </w:rPr>
              <w:t>得</w:t>
            </w:r>
            <w:r>
              <w:rPr>
                <w:rFonts w:hint="eastAsia" w:ascii="宋体" w:hAnsi="宋体" w:eastAsia="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2"/>
                <w:sz w:val="21"/>
                <w:szCs w:val="21"/>
                <w:highlight w:val="none"/>
                <w:lang w:val="zh-CN"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一般</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zh-CN"/>
              </w:rPr>
              <w:t>：</w:t>
            </w:r>
            <w:r>
              <w:rPr>
                <w:rFonts w:hint="eastAsia" w:ascii="宋体" w:hAnsi="宋体" w:eastAsia="宋体" w:cs="宋体"/>
                <w:color w:val="auto"/>
                <w:kern w:val="2"/>
                <w:sz w:val="21"/>
                <w:szCs w:val="21"/>
                <w:highlight w:val="none"/>
                <w:lang w:val="en-US" w:eastAsia="zh-CN"/>
              </w:rPr>
              <w:t>制定的方案基本内容阐述缺项，逻辑混乱、不合理，可行性差，</w:t>
            </w:r>
            <w:r>
              <w:rPr>
                <w:rFonts w:hint="eastAsia" w:ascii="宋体" w:hAnsi="宋体" w:eastAsia="宋体" w:cs="宋体"/>
                <w:color w:val="auto"/>
                <w:kern w:val="2"/>
                <w:sz w:val="21"/>
                <w:szCs w:val="21"/>
                <w:highlight w:val="none"/>
              </w:rPr>
              <w:t>得</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val="zh-CN" w:eastAsia="zh-CN"/>
              </w:rPr>
              <w:t>；</w:t>
            </w:r>
          </w:p>
          <w:p>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差</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zh-CN"/>
              </w:rPr>
              <w:t>：</w:t>
            </w:r>
            <w:r>
              <w:rPr>
                <w:rFonts w:hint="eastAsia" w:ascii="宋体" w:hAnsi="宋体" w:eastAsia="宋体" w:cs="宋体"/>
                <w:color w:val="auto"/>
                <w:kern w:val="2"/>
                <w:sz w:val="21"/>
                <w:szCs w:val="21"/>
                <w:highlight w:val="none"/>
                <w:lang w:val="zh-CN" w:eastAsia="zh-CN"/>
              </w:rPr>
              <w:t>未提供得0分。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top"/>
          </w:tcPr>
          <w:p>
            <w:pPr>
              <w:spacing w:line="360" w:lineRule="auto"/>
              <w:jc w:val="center"/>
              <w:rPr>
                <w:rFonts w:hint="eastAsia" w:ascii="宋体" w:hAnsi="宋体" w:eastAsia="宋体" w:cs="宋体"/>
                <w:color w:val="auto"/>
                <w:szCs w:val="21"/>
                <w:highlight w:val="none"/>
              </w:rPr>
            </w:pPr>
          </w:p>
        </w:tc>
        <w:tc>
          <w:tcPr>
            <w:tcW w:w="951" w:type="dxa"/>
            <w:vMerge w:val="continue"/>
            <w:tcBorders>
              <w:right w:val="single" w:color="auto" w:sz="4" w:space="0"/>
            </w:tcBorders>
            <w:noWrap w:val="0"/>
            <w:vAlign w:val="top"/>
          </w:tcPr>
          <w:p>
            <w:pPr>
              <w:spacing w:line="360" w:lineRule="auto"/>
              <w:jc w:val="left"/>
              <w:rPr>
                <w:rFonts w:hint="eastAsia" w:ascii="宋体" w:hAnsi="宋体" w:eastAsia="宋体" w:cs="宋体"/>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施工方案与技术措施的合理性、科学性与可行性</w:t>
            </w:r>
          </w:p>
          <w:p>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分）</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30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结合现场实际情况，针对性提出及编制的施工方案，包括但不限于项目管理目标、施工部署安排</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符合项目实施特点的专业人员配置</w:t>
            </w:r>
            <w:r>
              <w:rPr>
                <w:rFonts w:hint="eastAsia" w:ascii="宋体" w:hAnsi="宋体" w:eastAsia="宋体" w:cs="宋体"/>
                <w:color w:val="auto"/>
                <w:szCs w:val="21"/>
                <w:highlight w:val="none"/>
              </w:rPr>
              <w:t>、重点部位及特殊工艺施工技术</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专业劳务队伍</w:t>
            </w:r>
            <w:r>
              <w:rPr>
                <w:rFonts w:hint="eastAsia" w:ascii="宋体" w:hAnsi="宋体" w:eastAsia="宋体" w:cs="宋体"/>
                <w:color w:val="auto"/>
                <w:szCs w:val="21"/>
                <w:highlight w:val="none"/>
              </w:rPr>
              <w:t>等，充分考虑</w:t>
            </w:r>
            <w:r>
              <w:rPr>
                <w:rFonts w:hint="eastAsia" w:ascii="宋体" w:hAnsi="宋体" w:eastAsia="宋体" w:cs="宋体"/>
                <w:color w:val="auto"/>
                <w:szCs w:val="21"/>
                <w:highlight w:val="none"/>
                <w:lang w:val="en-US" w:eastAsia="zh-CN"/>
              </w:rPr>
              <w:t>施工</w:t>
            </w:r>
            <w:r>
              <w:rPr>
                <w:rFonts w:hint="eastAsia" w:ascii="宋体" w:hAnsi="宋体" w:eastAsia="宋体" w:cs="宋体"/>
                <w:color w:val="auto"/>
                <w:szCs w:val="21"/>
                <w:highlight w:val="none"/>
              </w:rPr>
              <w:t>中存在因素，及采取的保护措施等，技术措施合理、科学与可行，提出应针对不同的风险点制定突发事件紧急预案。</w:t>
            </w:r>
          </w:p>
          <w:p>
            <w:pPr>
              <w:keepNext w:val="0"/>
              <w:keepLines w:val="0"/>
              <w:pageBreakBefore w:val="0"/>
              <w:numPr>
                <w:ilvl w:val="0"/>
                <w:numId w:val="0"/>
              </w:numPr>
              <w:kinsoku/>
              <w:wordWrap/>
              <w:overflowPunct/>
              <w:topLinePunct w:val="0"/>
              <w:autoSpaceDE/>
              <w:autoSpaceDN/>
              <w:bidi w:val="0"/>
              <w:adjustRightInd w:val="0"/>
              <w:snapToGrid w:val="0"/>
              <w:spacing w:line="300" w:lineRule="exact"/>
              <w:jc w:val="left"/>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【优】</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制定的方案</w:t>
            </w:r>
            <w:r>
              <w:rPr>
                <w:rFonts w:hint="eastAsia" w:ascii="宋体" w:hAnsi="宋体" w:eastAsia="宋体" w:cs="宋体"/>
                <w:color w:val="auto"/>
                <w:szCs w:val="21"/>
                <w:highlight w:val="none"/>
              </w:rPr>
              <w:t>及施工方法先进</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工程重点难点、施工关键技术工艺把握及应用准确，技术措施可以充分保障工程质量、工期和施工安全生产</w:t>
            </w:r>
            <w:r>
              <w:rPr>
                <w:rFonts w:hint="eastAsia" w:ascii="宋体" w:hAnsi="宋体" w:eastAsia="宋体" w:cs="宋体"/>
                <w:color w:val="auto"/>
                <w:szCs w:val="21"/>
                <w:highlight w:val="none"/>
                <w:lang w:eastAsia="zh-CN"/>
              </w:rPr>
              <w:t>，</w:t>
            </w:r>
            <w:r>
              <w:rPr>
                <w:rFonts w:hint="eastAsia" w:ascii="宋体" w:hAnsi="宋体" w:eastAsia="宋体" w:cs="宋体"/>
                <w:color w:val="auto"/>
                <w:kern w:val="2"/>
                <w:sz w:val="21"/>
                <w:szCs w:val="21"/>
                <w:highlight w:val="none"/>
              </w:rPr>
              <w:t>得</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300" w:lineRule="exact"/>
              <w:jc w:val="left"/>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良</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szCs w:val="21"/>
                <w:highlight w:val="none"/>
              </w:rPr>
              <w:t>施工组织方案及施工方法</w:t>
            </w:r>
            <w:r>
              <w:rPr>
                <w:rFonts w:hint="eastAsia" w:ascii="宋体" w:hAnsi="宋体" w:eastAsia="宋体" w:cs="宋体"/>
                <w:color w:val="auto"/>
                <w:szCs w:val="21"/>
                <w:highlight w:val="none"/>
                <w:lang w:val="en-US" w:eastAsia="zh-CN"/>
              </w:rPr>
              <w:t>较</w:t>
            </w:r>
            <w:r>
              <w:rPr>
                <w:rFonts w:hint="eastAsia" w:ascii="宋体" w:hAnsi="宋体" w:eastAsia="宋体" w:cs="宋体"/>
                <w:color w:val="auto"/>
                <w:szCs w:val="21"/>
                <w:highlight w:val="none"/>
              </w:rPr>
              <w:t>先进，工程重点难点、施工关键技术工艺把握及应用</w:t>
            </w:r>
            <w:r>
              <w:rPr>
                <w:rFonts w:hint="eastAsia" w:ascii="宋体" w:hAnsi="宋体" w:eastAsia="宋体" w:cs="宋体"/>
                <w:color w:val="auto"/>
                <w:szCs w:val="21"/>
                <w:highlight w:val="none"/>
                <w:lang w:val="en-US" w:eastAsia="zh-CN"/>
              </w:rPr>
              <w:t>较</w:t>
            </w:r>
            <w:r>
              <w:rPr>
                <w:rFonts w:hint="eastAsia" w:ascii="宋体" w:hAnsi="宋体" w:eastAsia="宋体" w:cs="宋体"/>
                <w:color w:val="auto"/>
                <w:szCs w:val="21"/>
                <w:highlight w:val="none"/>
              </w:rPr>
              <w:t>准确，技术措施可以</w:t>
            </w:r>
            <w:r>
              <w:rPr>
                <w:rFonts w:hint="eastAsia" w:ascii="宋体" w:hAnsi="宋体" w:eastAsia="宋体" w:cs="宋体"/>
                <w:color w:val="auto"/>
                <w:szCs w:val="21"/>
                <w:highlight w:val="none"/>
                <w:lang w:val="en-US" w:eastAsia="zh-CN"/>
              </w:rPr>
              <w:t>基本</w:t>
            </w:r>
            <w:r>
              <w:rPr>
                <w:rFonts w:hint="eastAsia" w:ascii="宋体" w:hAnsi="宋体" w:eastAsia="宋体" w:cs="宋体"/>
                <w:color w:val="auto"/>
                <w:szCs w:val="21"/>
                <w:highlight w:val="none"/>
              </w:rPr>
              <w:t>保障工程质量、工期和施工安全生产</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rPr>
              <w:t>得</w:t>
            </w:r>
            <w:r>
              <w:rPr>
                <w:rFonts w:hint="eastAsia" w:ascii="宋体" w:hAnsi="宋体" w:eastAsia="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300" w:lineRule="exact"/>
              <w:jc w:val="left"/>
              <w:textAlignment w:val="auto"/>
              <w:rPr>
                <w:rFonts w:hint="eastAsia" w:ascii="宋体" w:hAnsi="宋体" w:eastAsia="宋体" w:cs="宋体"/>
                <w:color w:val="auto"/>
                <w:kern w:val="2"/>
                <w:sz w:val="21"/>
                <w:szCs w:val="21"/>
                <w:highlight w:val="none"/>
                <w:lang w:val="zh-CN"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一般</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szCs w:val="21"/>
                <w:highlight w:val="none"/>
              </w:rPr>
              <w:t>施工组织方案内容阐述缺项</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逻辑混乱，</w:t>
            </w:r>
            <w:r>
              <w:rPr>
                <w:rFonts w:hint="eastAsia" w:ascii="宋体" w:hAnsi="宋体" w:eastAsia="宋体" w:cs="宋体"/>
                <w:color w:val="auto"/>
                <w:szCs w:val="21"/>
                <w:highlight w:val="none"/>
                <w:lang w:val="en-US" w:eastAsia="zh-CN"/>
              </w:rPr>
              <w:t>无法</w:t>
            </w:r>
            <w:r>
              <w:rPr>
                <w:rFonts w:hint="eastAsia" w:ascii="宋体" w:hAnsi="宋体" w:eastAsia="宋体" w:cs="宋体"/>
                <w:color w:val="auto"/>
                <w:szCs w:val="21"/>
                <w:highlight w:val="none"/>
              </w:rPr>
              <w:t>保障工程质量、工期和施工安全生</w:t>
            </w:r>
            <w:r>
              <w:rPr>
                <w:rFonts w:hint="eastAsia" w:ascii="宋体" w:hAnsi="宋体" w:eastAsia="宋体" w:cs="宋体"/>
                <w:color w:val="auto"/>
                <w:szCs w:val="21"/>
                <w:highlight w:val="none"/>
                <w:lang w:val="en-US" w:eastAsia="zh-CN"/>
              </w:rPr>
              <w:t>产</w:t>
            </w:r>
            <w:r>
              <w:rPr>
                <w:rFonts w:hint="eastAsia" w:ascii="宋体" w:hAnsi="宋体" w:eastAsia="宋体" w:cs="宋体"/>
                <w:color w:val="auto"/>
                <w:szCs w:val="21"/>
                <w:highlight w:val="none"/>
              </w:rPr>
              <w:t>，可行性差</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rPr>
              <w:t>得</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val="zh-CN" w:eastAsia="zh-CN"/>
              </w:rPr>
              <w:t>；</w:t>
            </w:r>
          </w:p>
          <w:p>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差</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zh-CN"/>
              </w:rPr>
              <w:t>：</w:t>
            </w:r>
            <w:r>
              <w:rPr>
                <w:rFonts w:hint="eastAsia" w:ascii="宋体" w:hAnsi="宋体" w:eastAsia="宋体" w:cs="宋体"/>
                <w:color w:val="auto"/>
                <w:kern w:val="2"/>
                <w:sz w:val="21"/>
                <w:szCs w:val="21"/>
                <w:highlight w:val="none"/>
                <w:lang w:val="zh-CN" w:eastAsia="zh-CN"/>
              </w:rPr>
              <w:t>未提供得0分。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top"/>
          </w:tcPr>
          <w:p>
            <w:pPr>
              <w:spacing w:line="360" w:lineRule="auto"/>
              <w:jc w:val="center"/>
              <w:rPr>
                <w:rFonts w:hint="eastAsia" w:ascii="宋体" w:hAnsi="宋体" w:eastAsia="宋体" w:cs="宋体"/>
                <w:color w:val="auto"/>
                <w:szCs w:val="21"/>
                <w:highlight w:val="none"/>
              </w:rPr>
            </w:pPr>
          </w:p>
        </w:tc>
        <w:tc>
          <w:tcPr>
            <w:tcW w:w="951" w:type="dxa"/>
            <w:vMerge w:val="continue"/>
            <w:tcBorders>
              <w:right w:val="single" w:color="auto" w:sz="4" w:space="0"/>
            </w:tcBorders>
            <w:noWrap w:val="0"/>
            <w:vAlign w:val="top"/>
          </w:tcPr>
          <w:p>
            <w:pPr>
              <w:spacing w:line="360" w:lineRule="auto"/>
              <w:jc w:val="left"/>
              <w:rPr>
                <w:rFonts w:hint="eastAsia" w:ascii="宋体" w:hAnsi="宋体" w:eastAsia="宋体" w:cs="宋体"/>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质量管理体系与措施（</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分）</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根据本工程的质量目标，针对项目的重点、难点等实际情况，从质量保证体系、质量管理机构、专业实施能力保证等方面提出详细的质量保证措施。质量管理体系完善、质量保证措施得当。</w:t>
            </w:r>
          </w:p>
          <w:p>
            <w:pPr>
              <w:keepNext w:val="0"/>
              <w:keepLines w:val="0"/>
              <w:pageBreakBefore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【优】</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制定了健全的</w:t>
            </w:r>
            <w:r>
              <w:rPr>
                <w:rFonts w:hint="eastAsia" w:ascii="宋体" w:hAnsi="宋体" w:eastAsia="宋体" w:cs="宋体"/>
                <w:color w:val="auto"/>
                <w:sz w:val="21"/>
                <w:szCs w:val="21"/>
                <w:highlight w:val="none"/>
              </w:rPr>
              <w:t>管理体系与措施</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rPr>
              <w:t>针对性强，对本项目</w:t>
            </w:r>
            <w:r>
              <w:rPr>
                <w:rFonts w:hint="eastAsia" w:ascii="宋体" w:hAnsi="宋体" w:eastAsia="宋体" w:cs="宋体"/>
                <w:color w:val="auto"/>
                <w:sz w:val="21"/>
                <w:szCs w:val="21"/>
                <w:highlight w:val="none"/>
              </w:rPr>
              <w:t>质量管理</w:t>
            </w:r>
            <w:r>
              <w:rPr>
                <w:rFonts w:hint="eastAsia" w:ascii="宋体" w:hAnsi="宋体" w:eastAsia="宋体" w:cs="宋体"/>
                <w:color w:val="auto"/>
                <w:sz w:val="21"/>
                <w:szCs w:val="21"/>
                <w:highlight w:val="none"/>
                <w:lang w:val="en-US" w:eastAsia="zh-CN"/>
              </w:rPr>
              <w:t>目标</w:t>
            </w:r>
            <w:r>
              <w:rPr>
                <w:rFonts w:hint="eastAsia" w:ascii="宋体" w:hAnsi="宋体" w:eastAsia="宋体" w:cs="宋体"/>
                <w:color w:val="auto"/>
                <w:kern w:val="2"/>
                <w:sz w:val="21"/>
                <w:szCs w:val="21"/>
                <w:highlight w:val="none"/>
              </w:rPr>
              <w:t>的重点、难点分析透彻</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kern w:val="2"/>
                <w:sz w:val="21"/>
                <w:szCs w:val="21"/>
                <w:highlight w:val="none"/>
              </w:rPr>
              <w:t>质量保证措施</w:t>
            </w:r>
            <w:r>
              <w:rPr>
                <w:rFonts w:hint="eastAsia" w:ascii="宋体" w:hAnsi="宋体" w:eastAsia="宋体" w:cs="宋体"/>
                <w:color w:val="auto"/>
                <w:sz w:val="21"/>
                <w:szCs w:val="21"/>
                <w:highlight w:val="none"/>
                <w:lang w:val="en-US" w:eastAsia="zh-CN"/>
              </w:rPr>
              <w:t>切实可行，</w:t>
            </w:r>
            <w:r>
              <w:rPr>
                <w:rFonts w:hint="eastAsia" w:ascii="宋体" w:hAnsi="宋体" w:eastAsia="宋体" w:cs="宋体"/>
                <w:color w:val="auto"/>
                <w:kern w:val="2"/>
                <w:sz w:val="21"/>
                <w:szCs w:val="21"/>
                <w:highlight w:val="none"/>
              </w:rPr>
              <w:t>得</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良</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制定了</w:t>
            </w:r>
            <w:r>
              <w:rPr>
                <w:rFonts w:hint="eastAsia" w:ascii="宋体" w:hAnsi="宋体" w:eastAsia="宋体" w:cs="宋体"/>
                <w:color w:val="auto"/>
                <w:sz w:val="21"/>
                <w:szCs w:val="21"/>
                <w:highlight w:val="none"/>
              </w:rPr>
              <w:t>管理体系与措施</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rPr>
              <w:t>针对性</w:t>
            </w:r>
            <w:r>
              <w:rPr>
                <w:rFonts w:hint="eastAsia" w:ascii="宋体" w:hAnsi="宋体" w:eastAsia="宋体" w:cs="宋体"/>
                <w:color w:val="auto"/>
                <w:kern w:val="2"/>
                <w:sz w:val="21"/>
                <w:szCs w:val="21"/>
                <w:highlight w:val="none"/>
                <w:lang w:val="en-US" w:eastAsia="zh-CN"/>
              </w:rPr>
              <w:t>一般</w:t>
            </w:r>
            <w:r>
              <w:rPr>
                <w:rFonts w:hint="eastAsia" w:ascii="宋体" w:hAnsi="宋体" w:eastAsia="宋体" w:cs="宋体"/>
                <w:color w:val="auto"/>
                <w:kern w:val="2"/>
                <w:sz w:val="21"/>
                <w:szCs w:val="21"/>
                <w:highlight w:val="none"/>
              </w:rPr>
              <w:t>，对本项目</w:t>
            </w:r>
            <w:r>
              <w:rPr>
                <w:rFonts w:hint="eastAsia" w:ascii="宋体" w:hAnsi="宋体" w:eastAsia="宋体" w:cs="宋体"/>
                <w:color w:val="auto"/>
                <w:sz w:val="21"/>
                <w:szCs w:val="21"/>
                <w:highlight w:val="none"/>
              </w:rPr>
              <w:t>质量管理</w:t>
            </w:r>
            <w:r>
              <w:rPr>
                <w:rFonts w:hint="eastAsia" w:ascii="宋体" w:hAnsi="宋体" w:eastAsia="宋体" w:cs="宋体"/>
                <w:color w:val="auto"/>
                <w:sz w:val="21"/>
                <w:szCs w:val="21"/>
                <w:highlight w:val="none"/>
                <w:lang w:val="en-US" w:eastAsia="zh-CN"/>
              </w:rPr>
              <w:t>目标</w:t>
            </w:r>
            <w:r>
              <w:rPr>
                <w:rFonts w:hint="eastAsia" w:ascii="宋体" w:hAnsi="宋体" w:eastAsia="宋体" w:cs="宋体"/>
                <w:color w:val="auto"/>
                <w:kern w:val="2"/>
                <w:sz w:val="21"/>
                <w:szCs w:val="21"/>
                <w:highlight w:val="none"/>
              </w:rPr>
              <w:t>的重点、难点分析</w:t>
            </w:r>
            <w:r>
              <w:rPr>
                <w:rFonts w:hint="eastAsia" w:ascii="宋体" w:hAnsi="宋体" w:eastAsia="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透彻</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kern w:val="2"/>
                <w:sz w:val="21"/>
                <w:szCs w:val="21"/>
                <w:highlight w:val="none"/>
              </w:rPr>
              <w:t>质量保证措施</w:t>
            </w:r>
            <w:r>
              <w:rPr>
                <w:rFonts w:hint="eastAsia" w:ascii="宋体" w:hAnsi="宋体" w:eastAsia="宋体" w:cs="宋体"/>
                <w:color w:val="auto"/>
                <w:sz w:val="21"/>
                <w:szCs w:val="21"/>
                <w:highlight w:val="none"/>
                <w:lang w:val="en-US" w:eastAsia="zh-CN"/>
              </w:rPr>
              <w:t>基本可行，</w:t>
            </w:r>
            <w:r>
              <w:rPr>
                <w:rFonts w:hint="eastAsia" w:ascii="宋体" w:hAnsi="宋体" w:eastAsia="宋体" w:cs="宋体"/>
                <w:color w:val="auto"/>
                <w:kern w:val="2"/>
                <w:sz w:val="21"/>
                <w:szCs w:val="21"/>
                <w:highlight w:val="none"/>
              </w:rPr>
              <w:t>得</w:t>
            </w:r>
            <w:r>
              <w:rPr>
                <w:rFonts w:hint="eastAsia" w:ascii="宋体" w:hAnsi="宋体" w:eastAsia="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300" w:lineRule="exact"/>
              <w:jc w:val="left"/>
              <w:textAlignment w:val="auto"/>
              <w:rPr>
                <w:rFonts w:hint="eastAsia" w:ascii="宋体" w:hAnsi="宋体" w:eastAsia="宋体" w:cs="宋体"/>
                <w:color w:val="auto"/>
                <w:kern w:val="2"/>
                <w:sz w:val="21"/>
                <w:szCs w:val="21"/>
                <w:highlight w:val="none"/>
                <w:lang w:val="zh-CN"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一般</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制定了</w:t>
            </w:r>
            <w:r>
              <w:rPr>
                <w:rFonts w:hint="eastAsia" w:ascii="宋体" w:hAnsi="宋体" w:eastAsia="宋体" w:cs="宋体"/>
                <w:color w:val="auto"/>
                <w:kern w:val="2"/>
                <w:sz w:val="21"/>
                <w:szCs w:val="21"/>
                <w:highlight w:val="none"/>
              </w:rPr>
              <w:t>管理体系与措施</w:t>
            </w:r>
            <w:r>
              <w:rPr>
                <w:rFonts w:hint="eastAsia" w:ascii="宋体" w:hAnsi="宋体" w:eastAsia="宋体" w:cs="宋体"/>
                <w:color w:val="auto"/>
                <w:kern w:val="2"/>
                <w:sz w:val="21"/>
                <w:szCs w:val="21"/>
                <w:highlight w:val="none"/>
                <w:lang w:val="en-US" w:eastAsia="zh-CN"/>
              </w:rPr>
              <w:t>，缺乏</w:t>
            </w:r>
            <w:r>
              <w:rPr>
                <w:rFonts w:hint="eastAsia" w:ascii="宋体" w:hAnsi="宋体" w:eastAsia="宋体" w:cs="宋体"/>
                <w:color w:val="auto"/>
                <w:kern w:val="2"/>
                <w:sz w:val="21"/>
                <w:szCs w:val="21"/>
                <w:highlight w:val="none"/>
              </w:rPr>
              <w:t>针对性</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对本项目质量管理</w:t>
            </w:r>
            <w:r>
              <w:rPr>
                <w:rFonts w:hint="eastAsia" w:ascii="宋体" w:hAnsi="宋体" w:eastAsia="宋体" w:cs="宋体"/>
                <w:color w:val="auto"/>
                <w:kern w:val="2"/>
                <w:sz w:val="21"/>
                <w:szCs w:val="21"/>
                <w:highlight w:val="none"/>
                <w:lang w:val="en-US" w:eastAsia="zh-CN"/>
              </w:rPr>
              <w:t>目标</w:t>
            </w:r>
            <w:r>
              <w:rPr>
                <w:rFonts w:hint="eastAsia" w:ascii="宋体" w:hAnsi="宋体" w:eastAsia="宋体" w:cs="宋体"/>
                <w:color w:val="auto"/>
                <w:kern w:val="2"/>
                <w:sz w:val="21"/>
                <w:szCs w:val="21"/>
                <w:highlight w:val="none"/>
              </w:rPr>
              <w:t>的重点、难点分析</w:t>
            </w:r>
            <w:r>
              <w:rPr>
                <w:rFonts w:hint="eastAsia" w:ascii="宋体" w:hAnsi="宋体" w:eastAsia="宋体" w:cs="宋体"/>
                <w:color w:val="auto"/>
                <w:kern w:val="2"/>
                <w:sz w:val="21"/>
                <w:szCs w:val="21"/>
                <w:highlight w:val="none"/>
                <w:lang w:val="en-US" w:eastAsia="zh-CN"/>
              </w:rPr>
              <w:t>缺项、不合理，</w:t>
            </w:r>
            <w:r>
              <w:rPr>
                <w:rFonts w:hint="eastAsia" w:ascii="宋体" w:hAnsi="宋体" w:eastAsia="宋体" w:cs="宋体"/>
                <w:color w:val="auto"/>
                <w:kern w:val="2"/>
                <w:sz w:val="21"/>
                <w:szCs w:val="21"/>
                <w:highlight w:val="none"/>
              </w:rPr>
              <w:t>质量保证措施</w:t>
            </w:r>
            <w:r>
              <w:rPr>
                <w:rFonts w:hint="eastAsia" w:ascii="宋体" w:hAnsi="宋体" w:eastAsia="宋体" w:cs="宋体"/>
                <w:color w:val="auto"/>
                <w:kern w:val="2"/>
                <w:sz w:val="21"/>
                <w:szCs w:val="21"/>
                <w:highlight w:val="none"/>
                <w:lang w:val="en-US" w:eastAsia="zh-CN"/>
              </w:rPr>
              <w:t>可行性差，</w:t>
            </w:r>
            <w:r>
              <w:rPr>
                <w:rFonts w:hint="eastAsia" w:ascii="宋体" w:hAnsi="宋体" w:eastAsia="宋体" w:cs="宋体"/>
                <w:color w:val="auto"/>
                <w:kern w:val="2"/>
                <w:sz w:val="21"/>
                <w:szCs w:val="21"/>
                <w:highlight w:val="none"/>
              </w:rPr>
              <w:t>得</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val="zh-CN" w:eastAsia="zh-CN"/>
              </w:rPr>
              <w:t>；</w:t>
            </w:r>
          </w:p>
          <w:p>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差</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zh-CN"/>
              </w:rPr>
              <w:t>：</w:t>
            </w:r>
            <w:r>
              <w:rPr>
                <w:rFonts w:hint="eastAsia" w:ascii="宋体" w:hAnsi="宋体" w:eastAsia="宋体" w:cs="宋体"/>
                <w:color w:val="auto"/>
                <w:kern w:val="2"/>
                <w:sz w:val="21"/>
                <w:szCs w:val="21"/>
                <w:highlight w:val="none"/>
                <w:lang w:val="zh-CN" w:eastAsia="zh-CN"/>
              </w:rPr>
              <w:t>未提供得0分。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top"/>
          </w:tcPr>
          <w:p>
            <w:pPr>
              <w:spacing w:line="360" w:lineRule="auto"/>
              <w:jc w:val="center"/>
              <w:rPr>
                <w:rFonts w:hint="eastAsia" w:ascii="宋体" w:hAnsi="宋体" w:eastAsia="宋体" w:cs="宋体"/>
                <w:color w:val="auto"/>
                <w:szCs w:val="21"/>
                <w:highlight w:val="none"/>
              </w:rPr>
            </w:pPr>
          </w:p>
        </w:tc>
        <w:tc>
          <w:tcPr>
            <w:tcW w:w="951" w:type="dxa"/>
            <w:vMerge w:val="continue"/>
            <w:tcBorders>
              <w:right w:val="single" w:color="auto" w:sz="4" w:space="0"/>
            </w:tcBorders>
            <w:noWrap w:val="0"/>
            <w:vAlign w:val="top"/>
          </w:tcPr>
          <w:p>
            <w:pPr>
              <w:spacing w:line="360" w:lineRule="auto"/>
              <w:jc w:val="left"/>
              <w:rPr>
                <w:rFonts w:hint="eastAsia" w:ascii="宋体" w:hAnsi="宋体" w:eastAsia="宋体" w:cs="宋体"/>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安全管理体系与措施（</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分）</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adjustRightInd/>
              <w:snapToGrid/>
              <w:jc w:val="left"/>
              <w:rPr>
                <w:rFonts w:hint="eastAsia" w:ascii="宋体" w:hAnsi="宋体" w:eastAsia="宋体" w:cs="宋体"/>
                <w:color w:val="auto"/>
                <w:w w:val="100"/>
                <w:szCs w:val="21"/>
                <w:highlight w:val="none"/>
              </w:rPr>
            </w:pPr>
            <w:r>
              <w:rPr>
                <w:rFonts w:hint="eastAsia" w:ascii="宋体" w:hAnsi="宋体" w:eastAsia="宋体" w:cs="宋体"/>
                <w:color w:val="auto"/>
                <w:w w:val="100"/>
                <w:szCs w:val="21"/>
                <w:highlight w:val="none"/>
              </w:rPr>
              <w:t>根据项目特点提出安全管理体系与措施，针对性强，对本项目安全文明施工的重点难点分析透彻，安全管理体系完善、安全保证措施得当。</w:t>
            </w:r>
          </w:p>
          <w:p>
            <w:pPr>
              <w:keepNext w:val="0"/>
              <w:keepLines w:val="0"/>
              <w:pageBreakBefore w:val="0"/>
              <w:numPr>
                <w:ilvl w:val="-1"/>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【优】</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制定了健全的</w:t>
            </w:r>
            <w:r>
              <w:rPr>
                <w:rFonts w:hint="eastAsia" w:ascii="宋体" w:hAnsi="宋体" w:eastAsia="宋体" w:cs="宋体"/>
                <w:color w:val="auto"/>
                <w:kern w:val="2"/>
                <w:sz w:val="21"/>
                <w:szCs w:val="21"/>
                <w:highlight w:val="none"/>
              </w:rPr>
              <w:t>安全管理体系与措施</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针对性强，对本项目安全文明施工的重点难点分析透彻，安全管理体系完善、安全保证措施</w:t>
            </w:r>
            <w:r>
              <w:rPr>
                <w:rFonts w:hint="eastAsia" w:ascii="宋体" w:hAnsi="宋体" w:eastAsia="宋体" w:cs="宋体"/>
                <w:color w:val="auto"/>
                <w:sz w:val="21"/>
                <w:szCs w:val="21"/>
                <w:highlight w:val="none"/>
                <w:lang w:val="en-US" w:eastAsia="zh-CN"/>
              </w:rPr>
              <w:t>切实可行</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得</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eastAsia="zh-CN"/>
              </w:rPr>
              <w:t>；</w:t>
            </w:r>
          </w:p>
          <w:p>
            <w:pPr>
              <w:keepNext w:val="0"/>
              <w:keepLines w:val="0"/>
              <w:pageBreakBefore w:val="0"/>
              <w:numPr>
                <w:ilvl w:val="-1"/>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良</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制定了</w:t>
            </w:r>
            <w:r>
              <w:rPr>
                <w:rFonts w:hint="eastAsia" w:ascii="宋体" w:hAnsi="宋体" w:eastAsia="宋体" w:cs="宋体"/>
                <w:color w:val="auto"/>
                <w:kern w:val="2"/>
                <w:sz w:val="21"/>
                <w:szCs w:val="21"/>
                <w:highlight w:val="none"/>
              </w:rPr>
              <w:t>安全管理体系与措施，针对性</w:t>
            </w:r>
            <w:r>
              <w:rPr>
                <w:rFonts w:hint="eastAsia" w:ascii="宋体" w:hAnsi="宋体" w:eastAsia="宋体" w:cs="宋体"/>
                <w:color w:val="auto"/>
                <w:kern w:val="2"/>
                <w:sz w:val="21"/>
                <w:szCs w:val="21"/>
                <w:highlight w:val="none"/>
                <w:lang w:val="en-US" w:eastAsia="zh-CN"/>
              </w:rPr>
              <w:t>一般</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对本项目安全文明施工的重点难点分析</w:t>
            </w:r>
            <w:r>
              <w:rPr>
                <w:rFonts w:hint="eastAsia" w:ascii="宋体" w:hAnsi="宋体" w:eastAsia="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透彻，安全管理体系</w:t>
            </w:r>
            <w:r>
              <w:rPr>
                <w:rFonts w:hint="eastAsia" w:ascii="宋体" w:hAnsi="宋体" w:eastAsia="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完善、安全保证措施</w:t>
            </w:r>
            <w:r>
              <w:rPr>
                <w:rFonts w:hint="eastAsia" w:ascii="宋体" w:hAnsi="宋体" w:eastAsia="宋体" w:cs="宋体"/>
                <w:color w:val="auto"/>
                <w:kern w:val="2"/>
                <w:sz w:val="21"/>
                <w:szCs w:val="21"/>
                <w:highlight w:val="none"/>
                <w:lang w:val="en-US" w:eastAsia="zh-CN"/>
              </w:rPr>
              <w:t>基本可行</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得</w:t>
            </w:r>
            <w:r>
              <w:rPr>
                <w:rFonts w:hint="eastAsia" w:ascii="宋体" w:hAnsi="宋体" w:eastAsia="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eastAsia="zh-CN"/>
              </w:rPr>
              <w:t>；</w:t>
            </w:r>
          </w:p>
          <w:p>
            <w:pPr>
              <w:keepNext w:val="0"/>
              <w:keepLines w:val="0"/>
              <w:pageBreakBefore w:val="0"/>
              <w:numPr>
                <w:ilvl w:val="-1"/>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2"/>
                <w:sz w:val="21"/>
                <w:szCs w:val="21"/>
                <w:highlight w:val="none"/>
                <w:lang w:val="zh-CN"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一般</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制定了</w:t>
            </w:r>
            <w:r>
              <w:rPr>
                <w:rFonts w:hint="eastAsia" w:ascii="宋体" w:hAnsi="宋体" w:eastAsia="宋体" w:cs="宋体"/>
                <w:color w:val="auto"/>
                <w:kern w:val="2"/>
                <w:sz w:val="21"/>
                <w:szCs w:val="21"/>
                <w:highlight w:val="none"/>
              </w:rPr>
              <w:t>安全管理体系与措施，</w:t>
            </w:r>
            <w:r>
              <w:rPr>
                <w:rFonts w:hint="eastAsia" w:ascii="宋体" w:hAnsi="宋体" w:eastAsia="宋体" w:cs="宋体"/>
                <w:color w:val="auto"/>
                <w:kern w:val="2"/>
                <w:sz w:val="21"/>
                <w:szCs w:val="21"/>
                <w:highlight w:val="none"/>
                <w:lang w:val="en-US" w:eastAsia="zh-CN"/>
              </w:rPr>
              <w:t>缺乏</w:t>
            </w:r>
            <w:r>
              <w:rPr>
                <w:rFonts w:hint="eastAsia" w:ascii="宋体" w:hAnsi="宋体" w:eastAsia="宋体" w:cs="宋体"/>
                <w:color w:val="auto"/>
                <w:kern w:val="2"/>
                <w:sz w:val="21"/>
                <w:szCs w:val="21"/>
                <w:highlight w:val="none"/>
              </w:rPr>
              <w:t>针对性</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对本项目安全文明施工的重点难点分析</w:t>
            </w:r>
            <w:r>
              <w:rPr>
                <w:rFonts w:hint="eastAsia" w:ascii="宋体" w:hAnsi="宋体" w:eastAsia="宋体" w:cs="宋体"/>
                <w:color w:val="auto"/>
                <w:kern w:val="2"/>
                <w:sz w:val="21"/>
                <w:szCs w:val="21"/>
                <w:highlight w:val="none"/>
                <w:lang w:val="en-US" w:eastAsia="zh-CN"/>
              </w:rPr>
              <w:t>缺项，</w:t>
            </w:r>
            <w:r>
              <w:rPr>
                <w:rFonts w:hint="eastAsia" w:ascii="宋体" w:hAnsi="宋体" w:eastAsia="宋体" w:cs="宋体"/>
                <w:color w:val="auto"/>
                <w:kern w:val="2"/>
                <w:sz w:val="21"/>
                <w:szCs w:val="21"/>
                <w:highlight w:val="none"/>
              </w:rPr>
              <w:t>安全保证措施</w:t>
            </w:r>
            <w:r>
              <w:rPr>
                <w:rFonts w:hint="eastAsia" w:ascii="宋体" w:hAnsi="宋体" w:eastAsia="宋体" w:cs="宋体"/>
                <w:color w:val="auto"/>
                <w:kern w:val="2"/>
                <w:sz w:val="21"/>
                <w:szCs w:val="21"/>
                <w:highlight w:val="none"/>
                <w:lang w:val="en-US" w:eastAsia="zh-CN"/>
              </w:rPr>
              <w:t>可行性差，</w:t>
            </w:r>
            <w:r>
              <w:rPr>
                <w:rFonts w:hint="eastAsia" w:ascii="宋体" w:hAnsi="宋体" w:eastAsia="宋体" w:cs="宋体"/>
                <w:color w:val="auto"/>
                <w:kern w:val="2"/>
                <w:sz w:val="21"/>
                <w:szCs w:val="21"/>
                <w:highlight w:val="none"/>
              </w:rPr>
              <w:t>得</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val="zh-CN" w:eastAsia="zh-CN"/>
              </w:rPr>
              <w:t>；</w:t>
            </w:r>
          </w:p>
          <w:p>
            <w:pPr>
              <w:adjustRightInd/>
              <w:snapToGrid/>
              <w:jc w:val="left"/>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差</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zh-CN"/>
              </w:rPr>
              <w:t>：</w:t>
            </w:r>
            <w:r>
              <w:rPr>
                <w:rFonts w:hint="eastAsia" w:ascii="宋体" w:hAnsi="宋体" w:eastAsia="宋体" w:cs="宋体"/>
                <w:color w:val="auto"/>
                <w:kern w:val="2"/>
                <w:sz w:val="21"/>
                <w:szCs w:val="21"/>
                <w:highlight w:val="none"/>
                <w:lang w:val="zh-CN" w:eastAsia="zh-CN"/>
              </w:rPr>
              <w:t>未提供得0分。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top"/>
          </w:tcPr>
          <w:p>
            <w:pPr>
              <w:spacing w:line="360" w:lineRule="auto"/>
              <w:jc w:val="center"/>
              <w:rPr>
                <w:rFonts w:hint="eastAsia" w:ascii="宋体" w:hAnsi="宋体" w:eastAsia="宋体" w:cs="宋体"/>
                <w:color w:val="auto"/>
                <w:szCs w:val="21"/>
                <w:highlight w:val="none"/>
              </w:rPr>
            </w:pPr>
          </w:p>
        </w:tc>
        <w:tc>
          <w:tcPr>
            <w:tcW w:w="951" w:type="dxa"/>
            <w:vMerge w:val="continue"/>
            <w:tcBorders>
              <w:right w:val="single" w:color="auto" w:sz="4" w:space="0"/>
            </w:tcBorders>
            <w:noWrap w:val="0"/>
            <w:vAlign w:val="top"/>
          </w:tcPr>
          <w:p>
            <w:pPr>
              <w:spacing w:line="360" w:lineRule="auto"/>
              <w:jc w:val="left"/>
              <w:rPr>
                <w:rFonts w:hint="eastAsia" w:ascii="宋体" w:hAnsi="宋体" w:eastAsia="宋体" w:cs="宋体"/>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工程建设进度计划与措施（</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分）</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adjustRightInd w:val="0"/>
              <w:snapToGrid w:val="0"/>
              <w:spacing w:line="3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有保证措施，施工工期计划目标符合招标文件要求，工程建设进度满足招标文件要求，关键线路清晰、准确、完整，计划编制合理、可行，关键节点的控制措施合理。</w:t>
            </w:r>
          </w:p>
          <w:p>
            <w:pPr>
              <w:numPr>
                <w:ilvl w:val="0"/>
                <w:numId w:val="0"/>
              </w:numPr>
              <w:adjustRightInd w:val="0"/>
              <w:snapToGrid w:val="0"/>
              <w:spacing w:line="300" w:lineRule="exact"/>
              <w:jc w:val="left"/>
              <w:rPr>
                <w:rFonts w:hint="eastAsia" w:ascii="宋体" w:hAnsi="宋体" w:eastAsia="宋体" w:cs="宋体"/>
                <w:color w:val="auto"/>
                <w:szCs w:val="21"/>
                <w:highlight w:val="none"/>
                <w:lang w:eastAsia="zh-CN"/>
              </w:rPr>
            </w:pPr>
            <w:r>
              <w:rPr>
                <w:rFonts w:hint="eastAsia" w:ascii="宋体" w:hAnsi="宋体" w:eastAsia="宋体" w:cs="宋体"/>
                <w:color w:val="auto"/>
                <w:kern w:val="2"/>
                <w:sz w:val="21"/>
                <w:szCs w:val="21"/>
                <w:highlight w:val="none"/>
              </w:rPr>
              <w:t>【优】</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制定了健全的</w:t>
            </w:r>
            <w:r>
              <w:rPr>
                <w:rFonts w:hint="eastAsia" w:ascii="宋体" w:hAnsi="宋体" w:eastAsia="宋体" w:cs="宋体"/>
                <w:color w:val="auto"/>
                <w:sz w:val="21"/>
                <w:szCs w:val="21"/>
                <w:highlight w:val="none"/>
              </w:rPr>
              <w:t>工程建设进度计划与措施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kern w:val="2"/>
                <w:sz w:val="21"/>
                <w:szCs w:val="21"/>
                <w:highlight w:val="none"/>
              </w:rPr>
              <w:t>针对性强，关键线路清晰、准确、完整</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计划编制合理，关键节点的控制措施合理、</w:t>
            </w:r>
            <w:r>
              <w:rPr>
                <w:rFonts w:hint="eastAsia" w:ascii="宋体" w:hAnsi="宋体" w:eastAsia="宋体" w:cs="宋体"/>
                <w:color w:val="auto"/>
                <w:kern w:val="2"/>
                <w:sz w:val="21"/>
                <w:szCs w:val="21"/>
                <w:highlight w:val="none"/>
                <w:lang w:val="en-US" w:eastAsia="zh-CN"/>
              </w:rPr>
              <w:t>切实</w:t>
            </w:r>
            <w:r>
              <w:rPr>
                <w:rFonts w:hint="eastAsia" w:ascii="宋体" w:hAnsi="宋体" w:eastAsia="宋体" w:cs="宋体"/>
                <w:color w:val="auto"/>
                <w:kern w:val="2"/>
                <w:sz w:val="21"/>
                <w:szCs w:val="21"/>
                <w:highlight w:val="none"/>
              </w:rPr>
              <w:t>可行</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得</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eastAsia="zh-CN"/>
              </w:rPr>
              <w:t>；</w:t>
            </w:r>
          </w:p>
          <w:p>
            <w:pPr>
              <w:numPr>
                <w:ilvl w:val="0"/>
                <w:numId w:val="0"/>
              </w:numPr>
              <w:adjustRightInd w:val="0"/>
              <w:snapToGrid w:val="0"/>
              <w:spacing w:line="300" w:lineRule="exact"/>
              <w:jc w:val="left"/>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良</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制定了</w:t>
            </w:r>
            <w:r>
              <w:rPr>
                <w:rFonts w:hint="eastAsia" w:ascii="宋体" w:hAnsi="宋体" w:eastAsia="宋体" w:cs="宋体"/>
                <w:color w:val="auto"/>
                <w:sz w:val="21"/>
                <w:szCs w:val="21"/>
                <w:highlight w:val="none"/>
              </w:rPr>
              <w:t>工程建设进度计划与措施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kern w:val="2"/>
                <w:sz w:val="21"/>
                <w:szCs w:val="21"/>
                <w:highlight w:val="none"/>
              </w:rPr>
              <w:t>针对性</w:t>
            </w:r>
            <w:r>
              <w:rPr>
                <w:rFonts w:hint="eastAsia" w:ascii="宋体" w:hAnsi="宋体" w:eastAsia="宋体" w:cs="宋体"/>
                <w:color w:val="auto"/>
                <w:kern w:val="2"/>
                <w:sz w:val="21"/>
                <w:szCs w:val="21"/>
                <w:highlight w:val="none"/>
                <w:lang w:val="en-US" w:eastAsia="zh-CN"/>
              </w:rPr>
              <w:t>一般</w:t>
            </w:r>
            <w:r>
              <w:rPr>
                <w:rFonts w:hint="eastAsia" w:ascii="宋体" w:hAnsi="宋体" w:eastAsia="宋体" w:cs="宋体"/>
                <w:color w:val="auto"/>
                <w:kern w:val="2"/>
                <w:sz w:val="21"/>
                <w:szCs w:val="21"/>
                <w:highlight w:val="none"/>
              </w:rPr>
              <w:t>，关键线路</w:t>
            </w:r>
            <w:r>
              <w:rPr>
                <w:rFonts w:hint="eastAsia" w:ascii="宋体" w:hAnsi="宋体" w:eastAsia="宋体" w:cs="宋体"/>
                <w:color w:val="auto"/>
                <w:kern w:val="2"/>
                <w:sz w:val="21"/>
                <w:szCs w:val="21"/>
                <w:highlight w:val="none"/>
                <w:lang w:val="en-US" w:eastAsia="zh-CN"/>
              </w:rPr>
              <w:t>较完整</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计划编制</w:t>
            </w:r>
            <w:r>
              <w:rPr>
                <w:rFonts w:hint="eastAsia" w:ascii="宋体" w:hAnsi="宋体" w:eastAsia="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合理，关键节点的控制措施</w:t>
            </w:r>
            <w:r>
              <w:rPr>
                <w:rFonts w:hint="eastAsia" w:ascii="宋体" w:hAnsi="宋体" w:eastAsia="宋体" w:cs="宋体"/>
                <w:color w:val="auto"/>
                <w:kern w:val="2"/>
                <w:sz w:val="21"/>
                <w:szCs w:val="21"/>
                <w:highlight w:val="none"/>
                <w:lang w:val="en-US" w:eastAsia="zh-CN"/>
              </w:rPr>
              <w:t>基本可行</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得</w:t>
            </w:r>
            <w:r>
              <w:rPr>
                <w:rFonts w:hint="eastAsia" w:ascii="宋体" w:hAnsi="宋体" w:eastAsia="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eastAsia="zh-CN"/>
              </w:rPr>
              <w:t>；</w:t>
            </w:r>
          </w:p>
          <w:p>
            <w:pPr>
              <w:numPr>
                <w:ilvl w:val="0"/>
                <w:numId w:val="0"/>
              </w:numPr>
              <w:adjustRightInd w:val="0"/>
              <w:snapToGrid w:val="0"/>
              <w:spacing w:line="300" w:lineRule="exact"/>
              <w:jc w:val="left"/>
              <w:rPr>
                <w:rFonts w:hint="eastAsia" w:ascii="宋体" w:hAnsi="宋体" w:eastAsia="宋体" w:cs="宋体"/>
                <w:color w:val="auto"/>
                <w:kern w:val="2"/>
                <w:sz w:val="21"/>
                <w:szCs w:val="21"/>
                <w:highlight w:val="none"/>
                <w:lang w:val="zh-CN"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一般</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制定了</w:t>
            </w:r>
            <w:r>
              <w:rPr>
                <w:rFonts w:hint="eastAsia" w:ascii="宋体" w:hAnsi="宋体" w:eastAsia="宋体" w:cs="宋体"/>
                <w:color w:val="auto"/>
                <w:sz w:val="21"/>
                <w:szCs w:val="21"/>
                <w:highlight w:val="none"/>
              </w:rPr>
              <w:t>工程建设进度计划与措施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kern w:val="2"/>
                <w:sz w:val="21"/>
                <w:szCs w:val="21"/>
                <w:highlight w:val="none"/>
                <w:lang w:val="en-US" w:eastAsia="zh-CN"/>
              </w:rPr>
              <w:t>缺乏</w:t>
            </w:r>
            <w:r>
              <w:rPr>
                <w:rFonts w:hint="eastAsia" w:ascii="宋体" w:hAnsi="宋体" w:eastAsia="宋体" w:cs="宋体"/>
                <w:color w:val="auto"/>
                <w:kern w:val="2"/>
                <w:sz w:val="21"/>
                <w:szCs w:val="21"/>
                <w:highlight w:val="none"/>
              </w:rPr>
              <w:t>针对性，关键线路</w:t>
            </w:r>
            <w:r>
              <w:rPr>
                <w:rFonts w:hint="eastAsia" w:ascii="宋体" w:hAnsi="宋体" w:eastAsia="宋体" w:cs="宋体"/>
                <w:color w:val="auto"/>
                <w:kern w:val="2"/>
                <w:sz w:val="21"/>
                <w:szCs w:val="21"/>
                <w:highlight w:val="none"/>
                <w:lang w:val="en-US" w:eastAsia="zh-CN"/>
              </w:rPr>
              <w:t>缺项</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计划编制</w:t>
            </w:r>
            <w:r>
              <w:rPr>
                <w:rFonts w:hint="eastAsia" w:ascii="宋体" w:hAnsi="宋体" w:eastAsia="宋体" w:cs="宋体"/>
                <w:color w:val="auto"/>
                <w:kern w:val="2"/>
                <w:sz w:val="21"/>
                <w:szCs w:val="21"/>
                <w:highlight w:val="none"/>
                <w:lang w:val="en-US" w:eastAsia="zh-CN"/>
              </w:rPr>
              <w:t>不</w:t>
            </w:r>
            <w:r>
              <w:rPr>
                <w:rFonts w:hint="eastAsia" w:ascii="宋体" w:hAnsi="宋体" w:eastAsia="宋体" w:cs="宋体"/>
                <w:color w:val="auto"/>
                <w:kern w:val="2"/>
                <w:sz w:val="21"/>
                <w:szCs w:val="21"/>
                <w:highlight w:val="none"/>
              </w:rPr>
              <w:t>合理，关键节点的控制措施</w:t>
            </w:r>
            <w:r>
              <w:rPr>
                <w:rFonts w:hint="eastAsia" w:ascii="宋体" w:hAnsi="宋体" w:eastAsia="宋体" w:cs="宋体"/>
                <w:color w:val="auto"/>
                <w:kern w:val="2"/>
                <w:sz w:val="21"/>
                <w:szCs w:val="21"/>
                <w:highlight w:val="none"/>
                <w:lang w:val="en-US" w:eastAsia="zh-CN"/>
              </w:rPr>
              <w:t>可行性差</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得</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val="zh-CN" w:eastAsia="zh-CN"/>
              </w:rPr>
              <w:t>；</w:t>
            </w:r>
          </w:p>
          <w:p>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差</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zh-CN"/>
              </w:rPr>
              <w:t>：</w:t>
            </w:r>
            <w:r>
              <w:rPr>
                <w:rFonts w:hint="eastAsia" w:ascii="宋体" w:hAnsi="宋体" w:eastAsia="宋体" w:cs="宋体"/>
                <w:color w:val="auto"/>
                <w:kern w:val="2"/>
                <w:sz w:val="21"/>
                <w:szCs w:val="21"/>
                <w:highlight w:val="none"/>
                <w:lang w:val="zh-CN" w:eastAsia="zh-CN"/>
              </w:rPr>
              <w:t>未提供得0分。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top"/>
          </w:tcPr>
          <w:p>
            <w:pPr>
              <w:spacing w:line="360" w:lineRule="auto"/>
              <w:jc w:val="center"/>
              <w:rPr>
                <w:rFonts w:hint="eastAsia" w:ascii="宋体" w:hAnsi="宋体" w:eastAsia="宋体" w:cs="宋体"/>
                <w:color w:val="auto"/>
                <w:szCs w:val="21"/>
                <w:highlight w:val="none"/>
              </w:rPr>
            </w:pPr>
          </w:p>
        </w:tc>
        <w:tc>
          <w:tcPr>
            <w:tcW w:w="951" w:type="dxa"/>
            <w:vMerge w:val="continue"/>
            <w:tcBorders>
              <w:right w:val="single" w:color="auto" w:sz="4" w:space="0"/>
            </w:tcBorders>
            <w:noWrap w:val="0"/>
            <w:vAlign w:val="top"/>
          </w:tcPr>
          <w:p>
            <w:pPr>
              <w:spacing w:line="360" w:lineRule="auto"/>
              <w:jc w:val="left"/>
              <w:rPr>
                <w:rFonts w:hint="eastAsia" w:ascii="宋体" w:hAnsi="宋体" w:eastAsia="宋体" w:cs="宋体"/>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adjustRightInd w:val="0"/>
              <w:snapToGrid w:val="0"/>
              <w:spacing w:line="300" w:lineRule="exact"/>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绿色施工（</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分）</w:t>
            </w:r>
          </w:p>
          <w:p>
            <w:pPr>
              <w:adjustRightInd w:val="0"/>
              <w:snapToGrid w:val="0"/>
              <w:jc w:val="left"/>
              <w:rPr>
                <w:rFonts w:hint="eastAsia" w:ascii="宋体" w:hAnsi="宋体" w:eastAsia="宋体" w:cs="宋体"/>
                <w:color w:val="auto"/>
                <w:szCs w:val="21"/>
                <w:highlight w:val="none"/>
              </w:rPr>
            </w:pPr>
          </w:p>
        </w:tc>
        <w:tc>
          <w:tcPr>
            <w:tcW w:w="4229"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adjustRightInd w:val="0"/>
              <w:snapToGrid w:val="0"/>
              <w:spacing w:line="300" w:lineRule="exact"/>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投标人承诺在施工过程中通过科学管理和先进的技术手段，最大限度地节约资源与减少对环境的负面影响，以达到四节一环保（节能、节地、节水、节材和环境保护）的目标；技术手段满足全部要求。</w:t>
            </w:r>
          </w:p>
          <w:p>
            <w:pPr>
              <w:numPr>
                <w:ilvl w:val="0"/>
                <w:numId w:val="0"/>
              </w:numPr>
              <w:adjustRightInd w:val="0"/>
              <w:snapToGrid w:val="0"/>
              <w:spacing w:line="300" w:lineRule="exact"/>
              <w:jc w:val="left"/>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满足得4分，不满足0分</w:t>
            </w:r>
          </w:p>
          <w:p>
            <w:pPr>
              <w:numPr>
                <w:ilvl w:val="0"/>
                <w:numId w:val="0"/>
              </w:numPr>
              <w:adjustRightInd w:val="0"/>
              <w:snapToGrid w:val="0"/>
              <w:spacing w:line="300" w:lineRule="exact"/>
              <w:ind w:left="0" w:leftChars="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rPr>
              <w:t>注：提供绿色施工组织机构图及《绿色施工承诺函》，格式自拟。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top"/>
          </w:tcPr>
          <w:p>
            <w:pPr>
              <w:spacing w:line="360" w:lineRule="auto"/>
              <w:jc w:val="center"/>
              <w:rPr>
                <w:rFonts w:hint="eastAsia" w:ascii="宋体" w:hAnsi="宋体" w:eastAsia="宋体" w:cs="宋体"/>
                <w:color w:val="auto"/>
                <w:szCs w:val="21"/>
                <w:highlight w:val="none"/>
              </w:rPr>
            </w:pPr>
          </w:p>
        </w:tc>
        <w:tc>
          <w:tcPr>
            <w:tcW w:w="951" w:type="dxa"/>
            <w:vMerge w:val="continue"/>
            <w:tcBorders>
              <w:right w:val="single" w:color="auto" w:sz="4" w:space="0"/>
            </w:tcBorders>
            <w:noWrap w:val="0"/>
            <w:vAlign w:val="top"/>
          </w:tcPr>
          <w:p>
            <w:pPr>
              <w:spacing w:line="360" w:lineRule="auto"/>
              <w:jc w:val="left"/>
              <w:rPr>
                <w:rFonts w:hint="eastAsia" w:ascii="宋体" w:hAnsi="宋体" w:eastAsia="宋体" w:cs="宋体"/>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rPr>
              <w:t>拟投入的机械设备情况（</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分）</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adjustRightInd w:val="0"/>
              <w:snapToGrid w:val="0"/>
              <w:spacing w:line="300" w:lineRule="exact"/>
              <w:jc w:val="left"/>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投标人承诺在施工过程中投入充足、先进且性能优异的机械设备以满足工程的实际需要</w:t>
            </w:r>
            <w:r>
              <w:rPr>
                <w:rFonts w:hint="eastAsia" w:ascii="宋体" w:hAnsi="宋体" w:eastAsia="宋体" w:cs="宋体"/>
                <w:color w:val="auto"/>
                <w:kern w:val="2"/>
                <w:sz w:val="21"/>
                <w:szCs w:val="21"/>
                <w:highlight w:val="none"/>
                <w:lang w:eastAsia="zh-CN"/>
              </w:rPr>
              <w:t>。</w:t>
            </w:r>
          </w:p>
          <w:p>
            <w:pPr>
              <w:numPr>
                <w:ilvl w:val="0"/>
                <w:numId w:val="0"/>
              </w:numPr>
              <w:adjustRightInd w:val="0"/>
              <w:snapToGrid w:val="0"/>
              <w:spacing w:line="300" w:lineRule="exact"/>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满足得</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分，不满足0分。</w:t>
            </w:r>
          </w:p>
          <w:p>
            <w:pPr>
              <w:numPr>
                <w:ilvl w:val="0"/>
                <w:numId w:val="0"/>
              </w:numPr>
              <w:adjustRightInd w:val="0"/>
              <w:snapToGrid w:val="0"/>
              <w:spacing w:line="300" w:lineRule="exact"/>
              <w:ind w:left="0" w:leftChars="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rPr>
              <w:t>注：提供《拟投入的机械设备承诺函》，格式自拟。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top"/>
          </w:tcPr>
          <w:p>
            <w:pPr>
              <w:spacing w:line="360" w:lineRule="auto"/>
              <w:jc w:val="center"/>
              <w:rPr>
                <w:rFonts w:hint="eastAsia" w:ascii="宋体" w:hAnsi="宋体" w:eastAsia="宋体" w:cs="宋体"/>
                <w:color w:val="auto"/>
                <w:szCs w:val="21"/>
                <w:highlight w:val="none"/>
              </w:rPr>
            </w:pPr>
          </w:p>
        </w:tc>
        <w:tc>
          <w:tcPr>
            <w:tcW w:w="951" w:type="dxa"/>
            <w:vMerge w:val="continue"/>
            <w:tcBorders>
              <w:right w:val="single" w:color="auto" w:sz="4" w:space="0"/>
            </w:tcBorders>
            <w:noWrap w:val="0"/>
            <w:vAlign w:val="top"/>
          </w:tcPr>
          <w:p>
            <w:pPr>
              <w:spacing w:line="360" w:lineRule="auto"/>
              <w:jc w:val="left"/>
              <w:rPr>
                <w:rFonts w:hint="eastAsia" w:ascii="宋体" w:hAnsi="宋体" w:eastAsia="宋体" w:cs="宋体"/>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产业工人队伍（8分）</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投标人建立了稳定的产业工人队伍，且结合本项目工程特点，拟投入与项目施工内容特点密切相关的工种，包括但不限于</w:t>
            </w:r>
            <w:r>
              <w:rPr>
                <w:rFonts w:hint="eastAsia" w:ascii="宋体" w:hAnsi="宋体" w:eastAsia="宋体" w:cs="宋体"/>
                <w:color w:val="auto"/>
                <w:szCs w:val="21"/>
                <w:highlight w:val="none"/>
                <w:lang w:val="en-US" w:eastAsia="zh-CN"/>
              </w:rPr>
              <w:t>电气设备安装工</w:t>
            </w:r>
            <w:r>
              <w:rPr>
                <w:rFonts w:hint="eastAsia" w:ascii="宋体" w:hAnsi="宋体" w:eastAsia="宋体" w:cs="宋体"/>
                <w:color w:val="auto"/>
                <w:szCs w:val="21"/>
                <w:highlight w:val="none"/>
              </w:rPr>
              <w:t>、</w:t>
            </w:r>
            <w:r>
              <w:rPr>
                <w:rFonts w:hint="eastAsia" w:ascii="宋体" w:hAnsi="宋体" w:eastAsia="宋体" w:cs="宋体"/>
                <w:b w:val="0"/>
                <w:bCs w:val="0"/>
                <w:color w:val="auto"/>
                <w:szCs w:val="21"/>
                <w:highlight w:val="none"/>
              </w:rPr>
              <w:t>电工</w:t>
            </w:r>
            <w:r>
              <w:rPr>
                <w:rFonts w:hint="eastAsia" w:ascii="宋体" w:hAnsi="宋体" w:eastAsia="宋体" w:cs="宋体"/>
                <w:color w:val="auto"/>
                <w:szCs w:val="21"/>
                <w:highlight w:val="none"/>
              </w:rPr>
              <w:t>等与本项目施工特点密切相关的工种。</w:t>
            </w:r>
          </w:p>
          <w:p>
            <w:pP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每提供1名技能等级为高级工的得</w:t>
            </w:r>
            <w:r>
              <w:rPr>
                <w:rFonts w:hint="eastAsia" w:ascii="宋体" w:hAnsi="宋体" w:eastAsia="宋体" w:cs="宋体"/>
                <w:color w:val="auto"/>
                <w:szCs w:val="21"/>
                <w:highlight w:val="none"/>
                <w:lang w:val="en-US" w:eastAsia="zh-CN"/>
              </w:rPr>
              <w:t>1.5</w:t>
            </w:r>
            <w:r>
              <w:rPr>
                <w:rFonts w:hint="eastAsia" w:ascii="宋体" w:hAnsi="宋体" w:eastAsia="宋体" w:cs="宋体"/>
                <w:color w:val="auto"/>
                <w:szCs w:val="21"/>
                <w:highlight w:val="none"/>
              </w:rPr>
              <w:t>分,最多得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分，每种工种最多提供</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名</w:t>
            </w:r>
            <w:r>
              <w:rPr>
                <w:rFonts w:hint="eastAsia" w:ascii="宋体" w:hAnsi="宋体" w:eastAsia="宋体" w:cs="宋体"/>
                <w:color w:val="auto"/>
                <w:szCs w:val="21"/>
                <w:highlight w:val="none"/>
                <w:lang w:eastAsia="zh-CN"/>
              </w:rPr>
              <w:t>；</w:t>
            </w:r>
          </w:p>
          <w:p>
            <w:p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每提供1名技能等级为技师或以上的</w:t>
            </w:r>
            <w:r>
              <w:rPr>
                <w:rFonts w:hint="eastAsia" w:ascii="宋体" w:hAnsi="宋体" w:eastAsia="宋体" w:cs="宋体"/>
                <w:color w:val="auto"/>
                <w:szCs w:val="21"/>
                <w:highlight w:val="none"/>
                <w:lang w:val="en-US" w:eastAsia="zh-CN"/>
              </w:rPr>
              <w:t>得2.5分，最多得5分，每种工种最多提供1名。</w:t>
            </w:r>
          </w:p>
          <w:p>
            <w:p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本项目最高得8分。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1)上述人员均为本单位的正式职工，且需提供以下证明材料:①经住建部门或人社部门颁发的或经其备案的机构颁发的职业技能证书扫描件(证书在有效期内)；②如上述职业技能证书由经住建部门或人社部门备案的机构颁发，需同时提供备案证明材料；③身份证扫描件和近1个月(时间为:20</w:t>
            </w:r>
            <w:r>
              <w:rPr>
                <w:rFonts w:hint="eastAsia" w:ascii="宋体" w:hAnsi="宋体" w:eastAsia="宋体" w:cs="宋体"/>
                <w:color w:val="auto"/>
                <w:szCs w:val="21"/>
                <w:highlight w:val="none"/>
                <w:lang w:val="en-US" w:eastAsia="zh-CN"/>
              </w:rPr>
              <w:t>25</w:t>
            </w:r>
            <w:r>
              <w:rPr>
                <w:rFonts w:hint="eastAsia" w:ascii="宋体" w:hAnsi="宋体" w:eastAsia="宋体" w:cs="宋体"/>
                <w:color w:val="auto"/>
                <w:szCs w:val="21"/>
                <w:highlight w:val="none"/>
              </w:rPr>
              <w:t>年  月在本单位交纳的社保证明(以加盖社会保险基金管理中心印章的《投保单》或《社会保险参保人员证明》资料为准)。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)一人提供两个或以上证书的，只按最高等级证书计算一次得分，不重复计算得分。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)不按上述要求提供证明材料的不得分。</w:t>
            </w:r>
          </w:p>
          <w:p>
            <w:pPr>
              <w:numPr>
                <w:ilvl w:val="0"/>
                <w:numId w:val="0"/>
              </w:numPr>
              <w:adjustRightInd w:val="0"/>
              <w:snapToGrid w:val="0"/>
              <w:spacing w:line="300" w:lineRule="exact"/>
              <w:ind w:left="0" w:leftChars="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)产业工人不得由项目负责人、技术负责人、专职安全员和施工技术管理人员兼任。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top"/>
          </w:tcPr>
          <w:p>
            <w:pPr>
              <w:spacing w:line="360" w:lineRule="auto"/>
              <w:jc w:val="center"/>
              <w:rPr>
                <w:rFonts w:hint="eastAsia" w:ascii="宋体" w:hAnsi="宋体" w:eastAsia="宋体" w:cs="宋体"/>
                <w:color w:val="auto"/>
                <w:szCs w:val="21"/>
                <w:highlight w:val="none"/>
              </w:rPr>
            </w:pPr>
          </w:p>
        </w:tc>
        <w:tc>
          <w:tcPr>
            <w:tcW w:w="951" w:type="dxa"/>
            <w:vMerge w:val="continue"/>
            <w:tcBorders>
              <w:right w:val="single" w:color="auto" w:sz="4" w:space="0"/>
            </w:tcBorders>
            <w:noWrap w:val="0"/>
            <w:vAlign w:val="top"/>
          </w:tcPr>
          <w:p>
            <w:pPr>
              <w:spacing w:line="360" w:lineRule="auto"/>
              <w:jc w:val="left"/>
              <w:rPr>
                <w:rFonts w:hint="eastAsia" w:ascii="宋体" w:hAnsi="宋体" w:eastAsia="宋体" w:cs="宋体"/>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adjustRightInd/>
              <w:snapToGrid/>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系统优化方案能力及措施(12分)</w:t>
            </w:r>
          </w:p>
          <w:p>
            <w:pPr>
              <w:adjustRightInd/>
              <w:snapToGrid/>
              <w:jc w:val="left"/>
              <w:rPr>
                <w:rFonts w:hint="eastAsia" w:ascii="宋体" w:hAnsi="宋体" w:eastAsia="宋体" w:cs="宋体"/>
                <w:color w:val="auto"/>
                <w:szCs w:val="21"/>
                <w:highlight w:val="none"/>
                <w:lang w:val="en-US" w:eastAsia="zh-CN"/>
              </w:rPr>
            </w:pPr>
          </w:p>
        </w:tc>
        <w:tc>
          <w:tcPr>
            <w:tcW w:w="4229" w:type="dxa"/>
            <w:tcBorders>
              <w:top w:val="single" w:color="auto" w:sz="4" w:space="0"/>
              <w:left w:val="single" w:color="auto" w:sz="4" w:space="0"/>
              <w:bottom w:val="single" w:color="auto" w:sz="4" w:space="0"/>
              <w:right w:val="single" w:color="auto" w:sz="4" w:space="0"/>
            </w:tcBorders>
            <w:noWrap w:val="0"/>
            <w:vAlign w:val="center"/>
          </w:tcPr>
          <w:p>
            <w:pPr>
              <w:numPr>
                <w:ilvl w:val="-1"/>
                <w:numId w:val="0"/>
              </w:numPr>
              <w:rPr>
                <w:rFonts w:hint="eastAsia" w:ascii="宋体" w:hAnsi="宋体" w:eastAsia="宋体" w:cs="宋体"/>
                <w:b w:val="0"/>
                <w:bCs w:val="0"/>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lang w:val="en-US" w:eastAsia="zh-CN"/>
              </w:rPr>
              <w:t>获得</w:t>
            </w:r>
            <w:r>
              <w:rPr>
                <w:rFonts w:hint="eastAsia" w:ascii="宋体" w:hAnsi="宋体" w:eastAsia="宋体" w:cs="宋体"/>
                <w:color w:val="auto"/>
                <w:szCs w:val="21"/>
                <w:highlight w:val="none"/>
              </w:rPr>
              <w:t>拟投标的</w:t>
            </w:r>
            <w:r>
              <w:rPr>
                <w:rFonts w:hint="eastAsia" w:ascii="宋体" w:hAnsi="宋体" w:eastAsia="宋体" w:cs="宋体"/>
                <w:b w:val="0"/>
                <w:bCs w:val="0"/>
                <w:color w:val="auto"/>
                <w:szCs w:val="21"/>
                <w:highlight w:val="none"/>
                <w:lang w:val="en-US" w:eastAsia="zh-CN"/>
              </w:rPr>
              <w:t>PLC厂家授权（需提供PLC产品厂家授权委托书扫描件）的得5分。</w:t>
            </w:r>
          </w:p>
          <w:p>
            <w:pPr>
              <w:rPr>
                <w:rFonts w:hint="eastAsia" w:ascii="宋体" w:hAnsi="宋体" w:eastAsia="宋体" w:cs="宋体"/>
                <w:color w:val="auto"/>
                <w:szCs w:val="21"/>
                <w:highlight w:val="none"/>
              </w:rPr>
            </w:pP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优化的设计方案重点难点理解透彻，设计内容完整，设计思路先进、经济合理、可行。</w:t>
            </w:r>
          </w:p>
          <w:p>
            <w:pPr>
              <w:numPr>
                <w:ilvl w:val="0"/>
                <w:numId w:val="0"/>
              </w:numPr>
              <w:adjustRightInd w:val="0"/>
              <w:snapToGrid w:val="0"/>
              <w:jc w:val="left"/>
              <w:rPr>
                <w:rFonts w:hint="eastAsia" w:ascii="宋体" w:hAnsi="宋体" w:eastAsia="宋体" w:cs="宋体"/>
                <w:color w:val="auto"/>
                <w:szCs w:val="21"/>
                <w:highlight w:val="none"/>
                <w:lang w:eastAsia="zh-CN"/>
              </w:rPr>
            </w:pPr>
            <w:r>
              <w:rPr>
                <w:rFonts w:hint="eastAsia" w:ascii="宋体" w:hAnsi="宋体" w:eastAsia="宋体" w:cs="宋体"/>
                <w:color w:val="auto"/>
                <w:kern w:val="2"/>
                <w:sz w:val="21"/>
                <w:szCs w:val="21"/>
                <w:highlight w:val="none"/>
              </w:rPr>
              <w:t>【优】</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szCs w:val="21"/>
                <w:highlight w:val="none"/>
              </w:rPr>
              <w:t>设计思路的完整性、先进性、经济合理可行性等对比较优，得</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p>
          <w:p>
            <w:pPr>
              <w:numPr>
                <w:ilvl w:val="0"/>
                <w:numId w:val="0"/>
              </w:numPr>
              <w:adjustRightInd w:val="0"/>
              <w:snapToGrid w:val="0"/>
              <w:jc w:val="left"/>
              <w:rPr>
                <w:rFonts w:hint="eastAsia" w:ascii="宋体" w:hAnsi="宋体" w:eastAsia="宋体" w:cs="宋体"/>
                <w:color w:val="auto"/>
                <w:szCs w:val="21"/>
                <w:highlight w:val="none"/>
                <w:lang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良</w:t>
            </w:r>
            <w:r>
              <w:rPr>
                <w:rFonts w:hint="eastAsia" w:ascii="宋体" w:hAnsi="宋体" w:eastAsia="宋体" w:cs="宋体"/>
                <w:color w:val="auto"/>
                <w:kern w:val="2"/>
                <w:sz w:val="21"/>
                <w:szCs w:val="21"/>
                <w:highlight w:val="none"/>
              </w:rPr>
              <w:t>】</w:t>
            </w:r>
            <w:r>
              <w:rPr>
                <w:rFonts w:hint="eastAsia" w:ascii="宋体" w:hAnsi="宋体" w:eastAsia="宋体" w:cs="宋体"/>
                <w:color w:val="auto"/>
                <w:szCs w:val="21"/>
                <w:highlight w:val="none"/>
              </w:rPr>
              <w:t>设计思路的完整性、先进性、经济合理可行性等对比为良，得</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p>
          <w:p>
            <w:pPr>
              <w:numPr>
                <w:ilvl w:val="0"/>
                <w:numId w:val="0"/>
              </w:numPr>
              <w:adjustRightInd w:val="0"/>
              <w:snapToGrid w:val="0"/>
              <w:jc w:val="left"/>
              <w:rPr>
                <w:rFonts w:hint="eastAsia" w:ascii="宋体" w:hAnsi="宋体" w:eastAsia="宋体" w:cs="宋体"/>
                <w:color w:val="auto"/>
                <w:szCs w:val="21"/>
                <w:highlight w:val="none"/>
                <w:lang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一般</w:t>
            </w:r>
            <w:r>
              <w:rPr>
                <w:rFonts w:hint="eastAsia" w:ascii="宋体" w:hAnsi="宋体" w:eastAsia="宋体" w:cs="宋体"/>
                <w:color w:val="auto"/>
                <w:kern w:val="2"/>
                <w:sz w:val="21"/>
                <w:szCs w:val="21"/>
                <w:highlight w:val="none"/>
              </w:rPr>
              <w:t>】</w:t>
            </w:r>
            <w:r>
              <w:rPr>
                <w:rFonts w:hint="eastAsia" w:ascii="宋体" w:hAnsi="宋体" w:eastAsia="宋体" w:cs="宋体"/>
                <w:color w:val="auto"/>
                <w:szCs w:val="21"/>
                <w:highlight w:val="none"/>
              </w:rPr>
              <w:t>设计思路的完整性、先进性、经济合理可行性等对比一般，得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p>
          <w:p>
            <w:pPr>
              <w:adjustRightInd w:val="0"/>
              <w:snapToGrid w:val="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差</w:t>
            </w:r>
            <w:r>
              <w:rPr>
                <w:rFonts w:hint="eastAsia" w:ascii="宋体" w:hAnsi="宋体" w:eastAsia="宋体" w:cs="宋体"/>
                <w:color w:val="auto"/>
                <w:kern w:val="2"/>
                <w:sz w:val="21"/>
                <w:szCs w:val="21"/>
                <w:highlight w:val="none"/>
              </w:rPr>
              <w:t>】</w:t>
            </w:r>
            <w:r>
              <w:rPr>
                <w:rFonts w:hint="eastAsia" w:ascii="宋体" w:hAnsi="宋体" w:eastAsia="宋体" w:cs="宋体"/>
                <w:color w:val="auto"/>
                <w:szCs w:val="21"/>
                <w:highlight w:val="none"/>
              </w:rPr>
              <w:t>设计思路的完整性、先进性、经济合理可行性等对比较差或未提供设计思路，得0分。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top"/>
          </w:tcPr>
          <w:p>
            <w:pPr>
              <w:spacing w:line="360" w:lineRule="auto"/>
              <w:jc w:val="center"/>
              <w:rPr>
                <w:rFonts w:hint="eastAsia" w:ascii="宋体" w:hAnsi="宋体" w:eastAsia="宋体" w:cs="宋体"/>
                <w:color w:val="auto"/>
                <w:szCs w:val="21"/>
                <w:highlight w:val="none"/>
              </w:rPr>
            </w:pPr>
          </w:p>
        </w:tc>
        <w:tc>
          <w:tcPr>
            <w:tcW w:w="951" w:type="dxa"/>
            <w:vMerge w:val="continue"/>
            <w:tcBorders>
              <w:right w:val="single" w:color="auto" w:sz="4" w:space="0"/>
            </w:tcBorders>
            <w:noWrap w:val="0"/>
            <w:vAlign w:val="top"/>
          </w:tcPr>
          <w:p>
            <w:pPr>
              <w:spacing w:line="360" w:lineRule="auto"/>
              <w:jc w:val="left"/>
              <w:rPr>
                <w:rFonts w:hint="eastAsia" w:ascii="宋体" w:hAnsi="宋体" w:eastAsia="宋体" w:cs="宋体"/>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主要材料设备性能指标</w:t>
            </w:r>
            <w:r>
              <w:rPr>
                <w:rFonts w:hint="eastAsia" w:ascii="宋体" w:hAnsi="宋体" w:eastAsia="宋体" w:cs="宋体"/>
                <w:color w:val="auto"/>
                <w:kern w:val="2"/>
                <w:sz w:val="21"/>
                <w:szCs w:val="21"/>
                <w:highlight w:val="none"/>
                <w:lang w:val="en-US" w:eastAsia="zh-CN"/>
              </w:rPr>
              <w:t>(12</w:t>
            </w:r>
            <w:r>
              <w:rPr>
                <w:rFonts w:hint="eastAsia" w:ascii="宋体" w:hAnsi="宋体" w:eastAsia="宋体" w:cs="宋体"/>
                <w:color w:val="auto"/>
                <w:kern w:val="2"/>
                <w:sz w:val="21"/>
                <w:szCs w:val="21"/>
                <w:highlight w:val="none"/>
              </w:rPr>
              <w:t>分）</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numPr>
                <w:ilvl w:val="-1"/>
                <w:numId w:val="0"/>
              </w:numPr>
              <w:adjustRightInd/>
              <w:snapToGrid/>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投标人拟投标的</w:t>
            </w:r>
            <w:r>
              <w:rPr>
                <w:rFonts w:hint="eastAsia" w:ascii="宋体" w:hAnsi="宋体" w:eastAsia="宋体" w:cs="宋体"/>
                <w:b w:val="0"/>
                <w:bCs w:val="0"/>
                <w:color w:val="auto"/>
                <w:szCs w:val="21"/>
                <w:highlight w:val="none"/>
                <w:lang w:val="en-US" w:eastAsia="zh-CN"/>
              </w:rPr>
              <w:t>安防、自控产品</w:t>
            </w:r>
            <w:r>
              <w:rPr>
                <w:rFonts w:hint="eastAsia" w:ascii="宋体" w:hAnsi="宋体" w:eastAsia="宋体" w:cs="宋体"/>
                <w:color w:val="auto"/>
                <w:szCs w:val="21"/>
                <w:highlight w:val="none"/>
              </w:rPr>
              <w:t>满足项目实际使用功能要求和相关技术性能、安全、实施要求的基础上，对其主要技术指标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先进及耐用性、自控模块化及可扩展性</w:t>
            </w:r>
            <w:r>
              <w:rPr>
                <w:rFonts w:hint="eastAsia" w:ascii="宋体" w:hAnsi="宋体" w:eastAsia="宋体" w:cs="宋体"/>
                <w:color w:val="auto"/>
                <w:szCs w:val="21"/>
                <w:highlight w:val="none"/>
              </w:rPr>
              <w:t>、产品</w:t>
            </w:r>
            <w:r>
              <w:rPr>
                <w:rFonts w:hint="eastAsia" w:ascii="宋体" w:hAnsi="宋体" w:eastAsia="宋体" w:cs="宋体"/>
                <w:color w:val="auto"/>
                <w:szCs w:val="21"/>
                <w:highlight w:val="none"/>
                <w:lang w:val="en-US" w:eastAsia="zh-CN"/>
              </w:rPr>
              <w:t>数据传输安全性及</w:t>
            </w:r>
            <w:r>
              <w:rPr>
                <w:rFonts w:hint="eastAsia" w:ascii="宋体" w:hAnsi="宋体" w:eastAsia="宋体" w:cs="宋体"/>
                <w:color w:val="auto"/>
                <w:szCs w:val="21"/>
                <w:highlight w:val="none"/>
              </w:rPr>
              <w:t>稳定</w:t>
            </w:r>
            <w:r>
              <w:rPr>
                <w:rFonts w:hint="eastAsia" w:ascii="宋体" w:hAnsi="宋体" w:eastAsia="宋体" w:cs="宋体"/>
                <w:color w:val="auto"/>
                <w:szCs w:val="21"/>
                <w:highlight w:val="none"/>
                <w:lang w:val="en-US" w:eastAsia="zh-CN"/>
              </w:rPr>
              <w:t>性、类似案例成功应用情况等方面综合对比。</w:t>
            </w:r>
          </w:p>
          <w:p>
            <w:pPr>
              <w:keepNext w:val="0"/>
              <w:keepLines w:val="0"/>
              <w:pageBreakBefore w:val="0"/>
              <w:numPr>
                <w:ilvl w:val="-1"/>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【优】</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产品</w:t>
            </w:r>
            <w:r>
              <w:rPr>
                <w:rFonts w:hint="eastAsia" w:ascii="宋体" w:hAnsi="宋体" w:eastAsia="宋体" w:cs="宋体"/>
                <w:color w:val="auto"/>
                <w:szCs w:val="21"/>
                <w:highlight w:val="none"/>
              </w:rPr>
              <w:t>主要技术指标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先进性及耐用性、自控模块化及可扩展性</w:t>
            </w:r>
            <w:r>
              <w:rPr>
                <w:rFonts w:hint="eastAsia" w:ascii="宋体" w:hAnsi="宋体" w:eastAsia="宋体" w:cs="宋体"/>
                <w:color w:val="auto"/>
                <w:szCs w:val="21"/>
                <w:highlight w:val="none"/>
              </w:rPr>
              <w:t>、产品</w:t>
            </w:r>
            <w:r>
              <w:rPr>
                <w:rFonts w:hint="eastAsia" w:ascii="宋体" w:hAnsi="宋体" w:eastAsia="宋体" w:cs="宋体"/>
                <w:color w:val="auto"/>
                <w:szCs w:val="21"/>
                <w:highlight w:val="none"/>
                <w:lang w:val="en-US" w:eastAsia="zh-CN"/>
              </w:rPr>
              <w:t>数据传输安全性及</w:t>
            </w:r>
            <w:r>
              <w:rPr>
                <w:rFonts w:hint="eastAsia" w:ascii="宋体" w:hAnsi="宋体" w:eastAsia="宋体" w:cs="宋体"/>
                <w:color w:val="auto"/>
                <w:szCs w:val="21"/>
                <w:highlight w:val="none"/>
              </w:rPr>
              <w:t>稳定</w:t>
            </w:r>
            <w:r>
              <w:rPr>
                <w:rFonts w:hint="eastAsia" w:ascii="宋体" w:hAnsi="宋体" w:eastAsia="宋体" w:cs="宋体"/>
                <w:color w:val="auto"/>
                <w:szCs w:val="21"/>
                <w:highlight w:val="none"/>
                <w:lang w:val="en-US" w:eastAsia="zh-CN"/>
              </w:rPr>
              <w:t>性性能优秀，类似案例成功应用情况多</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得</w:t>
            </w:r>
            <w:r>
              <w:rPr>
                <w:rFonts w:hint="eastAsia" w:ascii="宋体" w:hAnsi="宋体" w:eastAsia="宋体" w:cs="宋体"/>
                <w:color w:val="auto"/>
                <w:kern w:val="2"/>
                <w:sz w:val="21"/>
                <w:szCs w:val="21"/>
                <w:highlight w:val="none"/>
                <w:lang w:val="en-US" w:eastAsia="zh-CN"/>
              </w:rPr>
              <w:t>12</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eastAsia="zh-CN"/>
              </w:rPr>
              <w:t>；</w:t>
            </w:r>
          </w:p>
          <w:p>
            <w:pPr>
              <w:keepNext w:val="0"/>
              <w:keepLines w:val="0"/>
              <w:pageBreakBefore w:val="0"/>
              <w:numPr>
                <w:ilvl w:val="-1"/>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良</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产品</w:t>
            </w:r>
            <w:r>
              <w:rPr>
                <w:rFonts w:hint="eastAsia" w:ascii="宋体" w:hAnsi="宋体" w:eastAsia="宋体" w:cs="宋体"/>
                <w:color w:val="auto"/>
                <w:szCs w:val="21"/>
                <w:highlight w:val="none"/>
              </w:rPr>
              <w:t>主要技术指标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先进性及耐用性、自控模块化及可扩展性</w:t>
            </w:r>
            <w:r>
              <w:rPr>
                <w:rFonts w:hint="eastAsia" w:ascii="宋体" w:hAnsi="宋体" w:eastAsia="宋体" w:cs="宋体"/>
                <w:color w:val="auto"/>
                <w:szCs w:val="21"/>
                <w:highlight w:val="none"/>
              </w:rPr>
              <w:t>、产品</w:t>
            </w:r>
            <w:r>
              <w:rPr>
                <w:rFonts w:hint="eastAsia" w:ascii="宋体" w:hAnsi="宋体" w:eastAsia="宋体" w:cs="宋体"/>
                <w:color w:val="auto"/>
                <w:szCs w:val="21"/>
                <w:highlight w:val="none"/>
                <w:lang w:val="en-US" w:eastAsia="zh-CN"/>
              </w:rPr>
              <w:t>数据传输安全性及</w:t>
            </w:r>
            <w:r>
              <w:rPr>
                <w:rFonts w:hint="eastAsia" w:ascii="宋体" w:hAnsi="宋体" w:eastAsia="宋体" w:cs="宋体"/>
                <w:color w:val="auto"/>
                <w:szCs w:val="21"/>
                <w:highlight w:val="none"/>
              </w:rPr>
              <w:t>稳定</w:t>
            </w:r>
            <w:r>
              <w:rPr>
                <w:rFonts w:hint="eastAsia" w:ascii="宋体" w:hAnsi="宋体" w:eastAsia="宋体" w:cs="宋体"/>
                <w:color w:val="auto"/>
                <w:szCs w:val="21"/>
                <w:highlight w:val="none"/>
                <w:lang w:val="en-US" w:eastAsia="zh-CN"/>
              </w:rPr>
              <w:t>性性能优良，类似案例成功应用情况较多</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得</w:t>
            </w:r>
            <w:r>
              <w:rPr>
                <w:rFonts w:hint="eastAsia" w:ascii="宋体" w:hAnsi="宋体" w:eastAsia="宋体" w:cs="宋体"/>
                <w:color w:val="auto"/>
                <w:kern w:val="2"/>
                <w:sz w:val="21"/>
                <w:szCs w:val="21"/>
                <w:highlight w:val="none"/>
                <w:lang w:val="en-US" w:eastAsia="zh-CN"/>
              </w:rPr>
              <w:t>8</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eastAsia="zh-CN"/>
              </w:rPr>
              <w:t>；</w:t>
            </w:r>
          </w:p>
          <w:p>
            <w:pPr>
              <w:keepNext w:val="0"/>
              <w:keepLines w:val="0"/>
              <w:pageBreakBefore w:val="0"/>
              <w:numPr>
                <w:ilvl w:val="-1"/>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2"/>
                <w:sz w:val="21"/>
                <w:szCs w:val="21"/>
                <w:highlight w:val="none"/>
                <w:lang w:val="zh-CN"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一般</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产品</w:t>
            </w:r>
            <w:r>
              <w:rPr>
                <w:rFonts w:hint="eastAsia" w:ascii="宋体" w:hAnsi="宋体" w:eastAsia="宋体" w:cs="宋体"/>
                <w:color w:val="auto"/>
                <w:szCs w:val="21"/>
                <w:highlight w:val="none"/>
              </w:rPr>
              <w:t>主要技术指标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先进性及耐用性、自控模块化及可扩展性</w:t>
            </w:r>
            <w:r>
              <w:rPr>
                <w:rFonts w:hint="eastAsia" w:ascii="宋体" w:hAnsi="宋体" w:eastAsia="宋体" w:cs="宋体"/>
                <w:color w:val="auto"/>
                <w:szCs w:val="21"/>
                <w:highlight w:val="none"/>
              </w:rPr>
              <w:t>、产品</w:t>
            </w:r>
            <w:r>
              <w:rPr>
                <w:rFonts w:hint="eastAsia" w:ascii="宋体" w:hAnsi="宋体" w:eastAsia="宋体" w:cs="宋体"/>
                <w:color w:val="auto"/>
                <w:szCs w:val="21"/>
                <w:highlight w:val="none"/>
                <w:lang w:val="en-US" w:eastAsia="zh-CN"/>
              </w:rPr>
              <w:t>数据传输安全性及</w:t>
            </w:r>
            <w:r>
              <w:rPr>
                <w:rFonts w:hint="eastAsia" w:ascii="宋体" w:hAnsi="宋体" w:eastAsia="宋体" w:cs="宋体"/>
                <w:color w:val="auto"/>
                <w:szCs w:val="21"/>
                <w:highlight w:val="none"/>
              </w:rPr>
              <w:t>稳定</w:t>
            </w:r>
            <w:r>
              <w:rPr>
                <w:rFonts w:hint="eastAsia" w:ascii="宋体" w:hAnsi="宋体" w:eastAsia="宋体" w:cs="宋体"/>
                <w:color w:val="auto"/>
                <w:szCs w:val="21"/>
                <w:highlight w:val="none"/>
                <w:lang w:val="en-US" w:eastAsia="zh-CN"/>
              </w:rPr>
              <w:t>性性能较差，类似案例成功应用情况少</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rPr>
              <w:t>得</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val="zh-CN" w:eastAsia="zh-CN"/>
              </w:rPr>
              <w:t>；</w:t>
            </w:r>
          </w:p>
          <w:p>
            <w:pPr>
              <w:adjustRightInd/>
              <w:snapToGrid/>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差</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zh-CN"/>
              </w:rPr>
              <w:t>：</w:t>
            </w:r>
            <w:r>
              <w:rPr>
                <w:rFonts w:hint="eastAsia" w:ascii="宋体" w:hAnsi="宋体" w:eastAsia="宋体" w:cs="宋体"/>
                <w:color w:val="auto"/>
                <w:kern w:val="2"/>
                <w:sz w:val="21"/>
                <w:szCs w:val="21"/>
                <w:highlight w:val="none"/>
                <w:lang w:val="en-US" w:eastAsia="zh-CN"/>
              </w:rPr>
              <w:t>产品</w:t>
            </w:r>
            <w:r>
              <w:rPr>
                <w:rFonts w:hint="eastAsia" w:ascii="宋体" w:hAnsi="宋体" w:eastAsia="宋体" w:cs="宋体"/>
                <w:color w:val="auto"/>
                <w:szCs w:val="21"/>
                <w:highlight w:val="none"/>
              </w:rPr>
              <w:t>主要技术指标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先进性及耐用性、自控模块化及可扩展性</w:t>
            </w:r>
            <w:r>
              <w:rPr>
                <w:rFonts w:hint="eastAsia" w:ascii="宋体" w:hAnsi="宋体" w:eastAsia="宋体" w:cs="宋体"/>
                <w:color w:val="auto"/>
                <w:szCs w:val="21"/>
                <w:highlight w:val="none"/>
              </w:rPr>
              <w:t>、产品</w:t>
            </w:r>
            <w:r>
              <w:rPr>
                <w:rFonts w:hint="eastAsia" w:ascii="宋体" w:hAnsi="宋体" w:eastAsia="宋体" w:cs="宋体"/>
                <w:color w:val="auto"/>
                <w:szCs w:val="21"/>
                <w:highlight w:val="none"/>
                <w:lang w:val="en-US" w:eastAsia="zh-CN"/>
              </w:rPr>
              <w:t>数据传输安全性及</w:t>
            </w:r>
            <w:r>
              <w:rPr>
                <w:rFonts w:hint="eastAsia" w:ascii="宋体" w:hAnsi="宋体" w:eastAsia="宋体" w:cs="宋体"/>
                <w:color w:val="auto"/>
                <w:szCs w:val="21"/>
                <w:highlight w:val="none"/>
              </w:rPr>
              <w:t>稳定</w:t>
            </w:r>
            <w:r>
              <w:rPr>
                <w:rFonts w:hint="eastAsia" w:ascii="宋体" w:hAnsi="宋体" w:eastAsia="宋体" w:cs="宋体"/>
                <w:color w:val="auto"/>
                <w:szCs w:val="21"/>
                <w:highlight w:val="none"/>
                <w:lang w:val="en-US" w:eastAsia="zh-CN"/>
              </w:rPr>
              <w:t>性性能差，无类似案例成功应用情况，</w:t>
            </w:r>
            <w:r>
              <w:rPr>
                <w:rFonts w:hint="eastAsia" w:ascii="宋体" w:hAnsi="宋体" w:eastAsia="宋体" w:cs="宋体"/>
                <w:color w:val="auto"/>
                <w:kern w:val="2"/>
                <w:sz w:val="21"/>
                <w:szCs w:val="21"/>
                <w:highlight w:val="none"/>
                <w:lang w:val="zh-CN" w:eastAsia="zh-CN"/>
              </w:rPr>
              <w:t>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top"/>
          </w:tcPr>
          <w:p>
            <w:pPr>
              <w:spacing w:line="360" w:lineRule="auto"/>
              <w:jc w:val="center"/>
              <w:rPr>
                <w:rFonts w:hint="eastAsia" w:ascii="宋体" w:hAnsi="宋体" w:eastAsia="宋体" w:cs="宋体"/>
                <w:color w:val="auto"/>
                <w:szCs w:val="21"/>
                <w:highlight w:val="none"/>
              </w:rPr>
            </w:pPr>
          </w:p>
        </w:tc>
        <w:tc>
          <w:tcPr>
            <w:tcW w:w="951" w:type="dxa"/>
            <w:vMerge w:val="continue"/>
            <w:tcBorders>
              <w:right w:val="single" w:color="auto" w:sz="4" w:space="0"/>
            </w:tcBorders>
            <w:noWrap w:val="0"/>
            <w:vAlign w:val="top"/>
          </w:tcPr>
          <w:p>
            <w:pPr>
              <w:spacing w:line="360" w:lineRule="auto"/>
              <w:jc w:val="left"/>
              <w:rPr>
                <w:rFonts w:hint="eastAsia" w:ascii="宋体" w:hAnsi="宋体" w:eastAsia="宋体" w:cs="宋体"/>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售后及技术服务</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rPr>
              <w:t>分）</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adjustRightInd w:val="0"/>
              <w:snapToGrid w:val="0"/>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投标人结合项目需求，对项目售后服务时响应性等进行评价；并在投标文件中阐述其售后服务及时响应性方案及提供相关证明，横向比较：</w:t>
            </w:r>
          </w:p>
          <w:p>
            <w:pPr>
              <w:numPr>
                <w:ilvl w:val="0"/>
                <w:numId w:val="0"/>
              </w:numPr>
              <w:adjustRightInd w:val="0"/>
              <w:snapToGrid w:val="0"/>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kern w:val="2"/>
                <w:sz w:val="21"/>
                <w:szCs w:val="21"/>
                <w:highlight w:val="none"/>
                <w:lang w:val="zh-CN"/>
              </w:rPr>
              <w:t>【优】</w:t>
            </w:r>
            <w:r>
              <w:rPr>
                <w:rFonts w:hint="eastAsia" w:ascii="宋体" w:hAnsi="宋体" w:eastAsia="宋体" w:cs="宋体"/>
                <w:color w:val="auto"/>
                <w:kern w:val="2"/>
                <w:sz w:val="21"/>
                <w:szCs w:val="21"/>
                <w:highlight w:val="none"/>
                <w:lang w:val="zh-CN" w:eastAsia="zh-CN"/>
              </w:rPr>
              <w:t>：</w:t>
            </w:r>
            <w:r>
              <w:rPr>
                <w:rFonts w:hint="eastAsia" w:ascii="宋体" w:hAnsi="宋体" w:eastAsia="宋体" w:cs="宋体"/>
                <w:color w:val="auto"/>
                <w:szCs w:val="21"/>
                <w:highlight w:val="none"/>
                <w:lang w:val="zh-CN"/>
              </w:rPr>
              <w:t>方案全面合理可行、响应时间快，能够快速满足项目服务需求</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eastAsia="zh-CN"/>
              </w:rPr>
              <w:t>；</w:t>
            </w:r>
          </w:p>
          <w:p>
            <w:pPr>
              <w:numPr>
                <w:ilvl w:val="0"/>
                <w:numId w:val="0"/>
              </w:numPr>
              <w:adjustRightInd w:val="0"/>
              <w:snapToGrid w:val="0"/>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kern w:val="2"/>
                <w:sz w:val="21"/>
                <w:szCs w:val="21"/>
                <w:highlight w:val="none"/>
                <w:lang w:val="zh-CN"/>
              </w:rPr>
              <w:t>【</w:t>
            </w:r>
            <w:r>
              <w:rPr>
                <w:rFonts w:hint="eastAsia" w:ascii="宋体" w:hAnsi="宋体" w:eastAsia="宋体" w:cs="宋体"/>
                <w:color w:val="auto"/>
                <w:kern w:val="2"/>
                <w:sz w:val="21"/>
                <w:szCs w:val="21"/>
                <w:highlight w:val="none"/>
                <w:lang w:val="zh-CN" w:eastAsia="zh-CN"/>
              </w:rPr>
              <w:t>良</w:t>
            </w:r>
            <w:r>
              <w:rPr>
                <w:rFonts w:hint="eastAsia" w:ascii="宋体" w:hAnsi="宋体" w:eastAsia="宋体" w:cs="宋体"/>
                <w:color w:val="auto"/>
                <w:kern w:val="2"/>
                <w:sz w:val="21"/>
                <w:szCs w:val="21"/>
                <w:highlight w:val="none"/>
                <w:lang w:val="zh-CN"/>
              </w:rPr>
              <w:t>】</w:t>
            </w:r>
            <w:r>
              <w:rPr>
                <w:rFonts w:hint="eastAsia" w:ascii="宋体" w:hAnsi="宋体" w:eastAsia="宋体" w:cs="宋体"/>
                <w:color w:val="auto"/>
                <w:kern w:val="2"/>
                <w:sz w:val="21"/>
                <w:szCs w:val="21"/>
                <w:highlight w:val="none"/>
                <w:lang w:val="zh-CN" w:eastAsia="zh-CN"/>
              </w:rPr>
              <w:t>：</w:t>
            </w:r>
            <w:r>
              <w:rPr>
                <w:rFonts w:hint="eastAsia" w:ascii="宋体" w:hAnsi="宋体" w:eastAsia="宋体" w:cs="宋体"/>
                <w:color w:val="auto"/>
                <w:szCs w:val="21"/>
                <w:highlight w:val="none"/>
                <w:lang w:val="zh-CN"/>
              </w:rPr>
              <w:t>方案合理可行、响应时间较快、能够满足项目服务需求</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得</w:t>
            </w:r>
            <w:r>
              <w:rPr>
                <w:rFonts w:hint="eastAsia" w:ascii="宋体" w:hAnsi="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分</w:t>
            </w:r>
            <w:r>
              <w:rPr>
                <w:rFonts w:hint="eastAsia" w:ascii="宋体" w:hAnsi="宋体" w:eastAsia="宋体" w:cs="宋体"/>
                <w:color w:val="auto"/>
                <w:szCs w:val="21"/>
                <w:highlight w:val="none"/>
                <w:lang w:val="zh-CN"/>
              </w:rPr>
              <w:t>；</w:t>
            </w:r>
          </w:p>
          <w:p>
            <w:pPr>
              <w:numPr>
                <w:ilvl w:val="0"/>
                <w:numId w:val="0"/>
              </w:numPr>
              <w:adjustRightInd w:val="0"/>
              <w:snapToGrid w:val="0"/>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kern w:val="2"/>
                <w:sz w:val="21"/>
                <w:szCs w:val="21"/>
                <w:highlight w:val="none"/>
                <w:lang w:val="zh-CN"/>
              </w:rPr>
              <w:t>【</w:t>
            </w:r>
            <w:r>
              <w:rPr>
                <w:rFonts w:hint="eastAsia" w:ascii="宋体" w:hAnsi="宋体" w:eastAsia="宋体" w:cs="宋体"/>
                <w:color w:val="auto"/>
                <w:kern w:val="2"/>
                <w:sz w:val="21"/>
                <w:szCs w:val="21"/>
                <w:highlight w:val="none"/>
                <w:lang w:val="zh-CN" w:eastAsia="zh-CN"/>
              </w:rPr>
              <w:t>一般</w:t>
            </w:r>
            <w:r>
              <w:rPr>
                <w:rFonts w:hint="eastAsia" w:ascii="宋体" w:hAnsi="宋体" w:eastAsia="宋体" w:cs="宋体"/>
                <w:color w:val="auto"/>
                <w:kern w:val="2"/>
                <w:sz w:val="21"/>
                <w:szCs w:val="21"/>
                <w:highlight w:val="none"/>
                <w:lang w:val="zh-CN"/>
              </w:rPr>
              <w:t>】</w:t>
            </w:r>
            <w:r>
              <w:rPr>
                <w:rFonts w:hint="eastAsia" w:ascii="宋体" w:hAnsi="宋体" w:eastAsia="宋体" w:cs="宋体"/>
                <w:color w:val="auto"/>
                <w:kern w:val="2"/>
                <w:sz w:val="21"/>
                <w:szCs w:val="21"/>
                <w:highlight w:val="none"/>
                <w:lang w:val="zh-CN" w:eastAsia="zh-CN"/>
              </w:rPr>
              <w:t>：</w:t>
            </w:r>
            <w:r>
              <w:rPr>
                <w:rFonts w:hint="eastAsia" w:ascii="宋体" w:hAnsi="宋体" w:eastAsia="宋体" w:cs="宋体"/>
                <w:color w:val="auto"/>
                <w:szCs w:val="21"/>
                <w:highlight w:val="none"/>
                <w:lang w:val="zh-CN"/>
              </w:rPr>
              <w:t>方案基本可行；响应时间一般，一般满足项目服务需求</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得</w:t>
            </w: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分</w:t>
            </w:r>
            <w:r>
              <w:rPr>
                <w:rFonts w:hint="eastAsia" w:ascii="宋体" w:hAnsi="宋体" w:eastAsia="宋体" w:cs="宋体"/>
                <w:color w:val="auto"/>
                <w:szCs w:val="21"/>
                <w:highlight w:val="none"/>
                <w:lang w:val="zh-CN"/>
              </w:rPr>
              <w:t>；</w:t>
            </w:r>
          </w:p>
          <w:p>
            <w:pPr>
              <w:numPr>
                <w:ilvl w:val="0"/>
                <w:numId w:val="0"/>
              </w:numPr>
              <w:adjustRightInd w:val="0"/>
              <w:snapToGrid w:val="0"/>
              <w:jc w:val="left"/>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zh-CN"/>
              </w:rPr>
              <w:t>【</w:t>
            </w:r>
            <w:r>
              <w:rPr>
                <w:rFonts w:hint="eastAsia" w:ascii="宋体" w:hAnsi="宋体" w:eastAsia="宋体" w:cs="宋体"/>
                <w:color w:val="auto"/>
                <w:kern w:val="2"/>
                <w:sz w:val="21"/>
                <w:szCs w:val="21"/>
                <w:highlight w:val="none"/>
                <w:lang w:val="zh-CN" w:eastAsia="zh-CN"/>
              </w:rPr>
              <w:t>差</w:t>
            </w:r>
            <w:r>
              <w:rPr>
                <w:rFonts w:hint="eastAsia" w:ascii="宋体" w:hAnsi="宋体" w:eastAsia="宋体" w:cs="宋体"/>
                <w:color w:val="auto"/>
                <w:kern w:val="2"/>
                <w:sz w:val="21"/>
                <w:szCs w:val="21"/>
                <w:highlight w:val="none"/>
                <w:lang w:val="zh-CN"/>
              </w:rPr>
              <w:t>】</w:t>
            </w:r>
            <w:r>
              <w:rPr>
                <w:rFonts w:hint="eastAsia" w:ascii="宋体" w:hAnsi="宋体" w:eastAsia="宋体" w:cs="宋体"/>
                <w:color w:val="auto"/>
                <w:kern w:val="2"/>
                <w:sz w:val="21"/>
                <w:szCs w:val="21"/>
                <w:highlight w:val="none"/>
                <w:lang w:val="zh-CN" w:eastAsia="zh-CN"/>
              </w:rPr>
              <w:t>：</w:t>
            </w:r>
            <w:r>
              <w:rPr>
                <w:rFonts w:hint="eastAsia" w:ascii="宋体" w:hAnsi="宋体" w:eastAsia="宋体" w:cs="宋体"/>
                <w:color w:val="auto"/>
                <w:kern w:val="2"/>
                <w:sz w:val="21"/>
                <w:szCs w:val="21"/>
                <w:highlight w:val="none"/>
                <w:lang w:val="en-US" w:eastAsia="zh-CN"/>
              </w:rPr>
              <w:t>未提供得</w:t>
            </w: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lang w:val="en-US" w:eastAsia="zh-CN"/>
              </w:rPr>
              <w:t>分</w:t>
            </w:r>
          </w:p>
          <w:p>
            <w:pPr>
              <w:numPr>
                <w:ilvl w:val="0"/>
                <w:numId w:val="0"/>
              </w:numPr>
              <w:adjustRightInd w:val="0"/>
              <w:snapToGrid w:val="0"/>
              <w:spacing w:line="240" w:lineRule="auto"/>
              <w:ind w:left="0" w:leftChars="0"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szCs w:val="21"/>
                <w:highlight w:val="none"/>
                <w:lang w:val="zh-CN"/>
              </w:rPr>
              <w:t>注：投标文件中须提供服务处所房产证（或租赁合同）和营业执照（含分公司、售后服务机构或维保机构）复印件加盖公章，未按要求提供、没有响应、没相关阐述的不得分。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880" w:type="dxa"/>
            <w:vMerge w:val="restart"/>
            <w:tcBorders>
              <w:top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2.2.</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(2)</w:t>
            </w:r>
          </w:p>
        </w:tc>
        <w:tc>
          <w:tcPr>
            <w:tcW w:w="951" w:type="dxa"/>
            <w:vMerge w:val="restart"/>
            <w:tcBorders>
              <w:top w:val="single" w:color="auto" w:sz="4" w:space="0"/>
              <w:right w:val="single" w:color="auto" w:sz="4" w:space="0"/>
            </w:tcBorders>
            <w:noWrap w:val="0"/>
            <w:vAlign w:val="center"/>
          </w:tcPr>
          <w:p>
            <w:pPr>
              <w:keepNext w:val="0"/>
              <w:keepLines w:val="0"/>
              <w:adjustRightInd w:val="0"/>
              <w:snapToGrid w:val="0"/>
              <w:spacing w:before="340" w:after="330" w:line="240" w:lineRule="auto"/>
              <w:jc w:val="both"/>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Cs w:val="21"/>
                <w:highlight w:val="none"/>
                <w:lang w:val="en-US" w:eastAsia="zh-CN"/>
              </w:rPr>
              <w:t>商务评审（满分100分，权重7.6%）</w:t>
            </w:r>
          </w:p>
          <w:p>
            <w:pPr>
              <w:spacing w:line="360" w:lineRule="auto"/>
              <w:jc w:val="both"/>
              <w:rPr>
                <w:rFonts w:hint="eastAsia" w:ascii="宋体" w:hAnsi="宋体" w:eastAsia="宋体" w:cs="宋体"/>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eastAsia="zh-CN"/>
              </w:rPr>
              <w:t>项目负责人的执业能力(9分）</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adjustRightInd w:val="0"/>
              <w:snapToGrid w:val="0"/>
              <w:jc w:val="left"/>
              <w:rPr>
                <w:rFonts w:hint="eastAsia" w:ascii="宋体" w:hAnsi="宋体" w:eastAsia="宋体" w:cs="宋体"/>
                <w:color w:val="auto"/>
                <w:szCs w:val="21"/>
                <w:highlight w:val="none"/>
                <w:lang w:val="zh-CN"/>
              </w:rPr>
            </w:pPr>
            <w:r>
              <w:rPr>
                <w:rFonts w:hint="eastAsia" w:ascii="宋体" w:hAnsi="宋体" w:eastAsia="宋体" w:cs="宋体"/>
                <w:bCs w:val="0"/>
                <w:color w:val="auto"/>
                <w:w w:val="100"/>
                <w:sz w:val="21"/>
                <w:szCs w:val="21"/>
                <w:highlight w:val="none"/>
                <w:lang w:val="zh-CN" w:eastAsia="zh-CN"/>
              </w:rPr>
              <w:t>1、拟委派2名的项目负责人自2022年1月1日至今，均担任</w:t>
            </w:r>
            <w:r>
              <w:rPr>
                <w:rFonts w:hint="eastAsia" w:ascii="宋体" w:hAnsi="宋体" w:eastAsia="宋体" w:cs="宋体"/>
                <w:color w:val="auto"/>
                <w:szCs w:val="21"/>
                <w:highlight w:val="none"/>
                <w:lang w:val="zh-CN" w:eastAsia="zh-CN"/>
              </w:rPr>
              <w:t>过质量合格的类似业绩</w:t>
            </w:r>
            <w:r>
              <w:rPr>
                <w:rFonts w:hint="eastAsia" w:ascii="宋体" w:hAnsi="宋体" w:eastAsia="宋体" w:cs="宋体"/>
                <w:bCs w:val="0"/>
                <w:color w:val="auto"/>
                <w:w w:val="100"/>
                <w:sz w:val="21"/>
                <w:szCs w:val="21"/>
                <w:highlight w:val="none"/>
                <w:lang w:val="zh-CN" w:eastAsia="zh-CN"/>
              </w:rPr>
              <w:t>项目负责人的</w:t>
            </w:r>
            <w:r>
              <w:rPr>
                <w:rFonts w:hint="eastAsia" w:ascii="宋体" w:hAnsi="宋体" w:eastAsia="宋体" w:cs="宋体"/>
                <w:bCs w:val="0"/>
                <w:color w:val="auto"/>
                <w:w w:val="100"/>
                <w:sz w:val="21"/>
                <w:szCs w:val="21"/>
                <w:highlight w:val="none"/>
                <w:lang w:val="zh-CN"/>
              </w:rPr>
              <w:t>,得</w:t>
            </w:r>
            <w:r>
              <w:rPr>
                <w:rFonts w:hint="eastAsia" w:ascii="宋体" w:hAnsi="宋体" w:eastAsia="宋体" w:cs="宋体"/>
                <w:bCs w:val="0"/>
                <w:color w:val="auto"/>
                <w:w w:val="100"/>
                <w:sz w:val="21"/>
                <w:szCs w:val="21"/>
                <w:highlight w:val="none"/>
                <w:lang w:val="zh-CN" w:eastAsia="zh-CN"/>
              </w:rPr>
              <w:t>4.5</w:t>
            </w:r>
            <w:r>
              <w:rPr>
                <w:rFonts w:hint="eastAsia" w:ascii="宋体" w:hAnsi="宋体" w:eastAsia="宋体" w:cs="宋体"/>
                <w:bCs w:val="0"/>
                <w:color w:val="auto"/>
                <w:w w:val="100"/>
                <w:sz w:val="21"/>
                <w:szCs w:val="21"/>
                <w:highlight w:val="none"/>
                <w:lang w:val="zh-CN"/>
              </w:rPr>
              <w:t>分</w:t>
            </w:r>
            <w:r>
              <w:rPr>
                <w:rFonts w:hint="eastAsia" w:ascii="宋体" w:hAnsi="宋体" w:eastAsia="宋体" w:cs="宋体"/>
                <w:bCs w:val="0"/>
                <w:color w:val="auto"/>
                <w:w w:val="100"/>
                <w:sz w:val="21"/>
                <w:szCs w:val="21"/>
                <w:highlight w:val="none"/>
                <w:lang w:val="zh-CN" w:eastAsia="zh-CN"/>
              </w:rPr>
              <w:t>，仅1名担任过</w:t>
            </w:r>
            <w:r>
              <w:rPr>
                <w:rFonts w:hint="eastAsia" w:ascii="宋体" w:hAnsi="宋体" w:eastAsia="宋体" w:cs="宋体"/>
                <w:color w:val="auto"/>
                <w:szCs w:val="21"/>
                <w:highlight w:val="none"/>
                <w:lang w:val="zh-CN" w:eastAsia="zh-CN"/>
              </w:rPr>
              <w:t>质量合格的类似业绩</w:t>
            </w:r>
            <w:r>
              <w:rPr>
                <w:rFonts w:hint="eastAsia" w:ascii="宋体" w:hAnsi="宋体" w:eastAsia="宋体" w:cs="宋体"/>
                <w:bCs w:val="0"/>
                <w:color w:val="auto"/>
                <w:w w:val="100"/>
                <w:sz w:val="21"/>
                <w:szCs w:val="21"/>
                <w:highlight w:val="none"/>
                <w:lang w:val="zh-CN" w:eastAsia="zh-CN"/>
              </w:rPr>
              <w:t>项目负责人的，得2.5分</w:t>
            </w:r>
            <w:r>
              <w:rPr>
                <w:rFonts w:hint="eastAsia" w:ascii="宋体" w:hAnsi="宋体" w:eastAsia="宋体" w:cs="宋体"/>
                <w:color w:val="auto"/>
                <w:w w:val="100"/>
                <w:szCs w:val="21"/>
                <w:highlight w:val="none"/>
                <w:lang w:val="zh-CN" w:eastAsia="zh-CN"/>
              </w:rPr>
              <w:t>。</w:t>
            </w:r>
          </w:p>
          <w:p>
            <w:pPr>
              <w:numPr>
                <w:ilvl w:val="0"/>
                <w:numId w:val="0"/>
              </w:numPr>
              <w:adjustRightInd w:val="0"/>
              <w:snapToGrid w:val="0"/>
              <w:jc w:val="left"/>
              <w:rPr>
                <w:rFonts w:hint="eastAsia" w:ascii="宋体" w:hAnsi="宋体" w:eastAsia="宋体" w:cs="宋体"/>
                <w:color w:val="auto"/>
                <w:w w:val="100"/>
                <w:szCs w:val="21"/>
                <w:highlight w:val="none"/>
                <w:lang w:val="zh-CN"/>
              </w:rPr>
            </w:pPr>
            <w:r>
              <w:rPr>
                <w:rFonts w:hint="eastAsia" w:ascii="宋体" w:hAnsi="宋体" w:eastAsia="宋体" w:cs="宋体"/>
                <w:color w:val="auto"/>
                <w:w w:val="100"/>
                <w:szCs w:val="21"/>
                <w:highlight w:val="none"/>
                <w:lang w:val="zh-CN" w:eastAsia="zh-CN"/>
              </w:rPr>
              <w:t>2、</w:t>
            </w:r>
            <w:r>
              <w:rPr>
                <w:rFonts w:hint="eastAsia" w:ascii="宋体" w:hAnsi="宋体" w:eastAsia="宋体" w:cs="宋体"/>
                <w:color w:val="auto"/>
                <w:w w:val="100"/>
                <w:szCs w:val="21"/>
                <w:highlight w:val="none"/>
                <w:lang w:val="zh-CN"/>
              </w:rPr>
              <w:t>拟委派的技术负责人具有</w:t>
            </w:r>
            <w:r>
              <w:rPr>
                <w:rFonts w:hint="eastAsia" w:ascii="宋体" w:hAnsi="宋体" w:eastAsia="宋体" w:cs="宋体"/>
                <w:color w:val="auto"/>
                <w:w w:val="100"/>
                <w:szCs w:val="21"/>
                <w:highlight w:val="none"/>
                <w:lang w:val="zh-CN" w:eastAsia="zh-CN"/>
              </w:rPr>
              <w:t>通信或自动化类</w:t>
            </w:r>
            <w:r>
              <w:rPr>
                <w:rFonts w:hint="eastAsia" w:ascii="宋体" w:hAnsi="宋体" w:eastAsia="宋体" w:cs="宋体"/>
                <w:color w:val="auto"/>
                <w:w w:val="100"/>
                <w:szCs w:val="21"/>
                <w:highlight w:val="none"/>
                <w:lang w:val="zh-CN"/>
              </w:rPr>
              <w:t>高级工程师或以上技术职称的得</w:t>
            </w:r>
            <w:r>
              <w:rPr>
                <w:rFonts w:hint="eastAsia" w:ascii="宋体" w:hAnsi="宋体" w:eastAsia="宋体" w:cs="宋体"/>
                <w:color w:val="auto"/>
                <w:w w:val="100"/>
                <w:szCs w:val="21"/>
                <w:highlight w:val="none"/>
                <w:lang w:val="zh-CN" w:eastAsia="zh-CN"/>
              </w:rPr>
              <w:t>4.5</w:t>
            </w:r>
            <w:r>
              <w:rPr>
                <w:rFonts w:hint="eastAsia" w:ascii="宋体" w:hAnsi="宋体" w:eastAsia="宋体" w:cs="宋体"/>
                <w:color w:val="auto"/>
                <w:w w:val="100"/>
                <w:szCs w:val="21"/>
                <w:highlight w:val="none"/>
                <w:lang w:val="zh-CN"/>
              </w:rPr>
              <w:t>分，具有</w:t>
            </w:r>
            <w:r>
              <w:rPr>
                <w:rFonts w:hint="eastAsia" w:ascii="宋体" w:hAnsi="宋体" w:eastAsia="宋体" w:cs="宋体"/>
                <w:color w:val="auto"/>
                <w:w w:val="100"/>
                <w:szCs w:val="21"/>
                <w:highlight w:val="none"/>
                <w:lang w:val="zh-CN" w:eastAsia="zh-CN"/>
              </w:rPr>
              <w:t>通信或自动化类</w:t>
            </w:r>
            <w:r>
              <w:rPr>
                <w:rFonts w:hint="eastAsia" w:ascii="宋体" w:hAnsi="宋体" w:eastAsia="宋体" w:cs="宋体"/>
                <w:color w:val="auto"/>
                <w:w w:val="100"/>
                <w:szCs w:val="21"/>
                <w:highlight w:val="none"/>
                <w:lang w:val="zh-CN"/>
              </w:rPr>
              <w:t>中级工程师职称的得</w:t>
            </w:r>
            <w:r>
              <w:rPr>
                <w:rFonts w:hint="eastAsia" w:ascii="宋体" w:hAnsi="宋体" w:eastAsia="宋体" w:cs="宋体"/>
                <w:color w:val="auto"/>
                <w:w w:val="100"/>
                <w:szCs w:val="21"/>
                <w:highlight w:val="none"/>
                <w:lang w:val="zh-CN" w:eastAsia="zh-CN"/>
              </w:rPr>
              <w:t>2.5</w:t>
            </w:r>
            <w:r>
              <w:rPr>
                <w:rFonts w:hint="eastAsia" w:ascii="宋体" w:hAnsi="宋体" w:eastAsia="宋体" w:cs="宋体"/>
                <w:color w:val="auto"/>
                <w:w w:val="100"/>
                <w:szCs w:val="21"/>
                <w:highlight w:val="none"/>
                <w:lang w:val="zh-CN"/>
              </w:rPr>
              <w:t>分，其他不得分。</w:t>
            </w:r>
          </w:p>
          <w:p>
            <w:pPr>
              <w:numPr>
                <w:ilvl w:val="0"/>
                <w:numId w:val="0"/>
              </w:numPr>
              <w:adjustRightInd w:val="0"/>
              <w:snapToGrid w:val="0"/>
              <w:jc w:val="left"/>
              <w:rPr>
                <w:rFonts w:hint="eastAsia" w:ascii="宋体" w:hAnsi="宋体" w:eastAsia="宋体" w:cs="宋体"/>
                <w:color w:val="auto"/>
                <w:szCs w:val="21"/>
                <w:highlight w:val="none"/>
                <w:lang w:val="zh-CN" w:eastAsia="zh-CN"/>
              </w:rPr>
            </w:pPr>
            <w:r>
              <w:rPr>
                <w:rFonts w:hint="eastAsia" w:ascii="宋体" w:hAnsi="宋体" w:eastAsia="宋体" w:cs="宋体"/>
                <w:color w:val="auto"/>
                <w:w w:val="100"/>
                <w:szCs w:val="21"/>
                <w:highlight w:val="none"/>
                <w:lang w:val="zh-CN"/>
              </w:rPr>
              <w:t>注：</w:t>
            </w:r>
            <w:r>
              <w:rPr>
                <w:rFonts w:hint="eastAsia" w:ascii="宋体" w:hAnsi="宋体" w:eastAsia="宋体" w:cs="宋体"/>
                <w:color w:val="auto"/>
                <w:w w:val="100"/>
                <w:szCs w:val="21"/>
                <w:highlight w:val="none"/>
                <w:lang w:val="zh-CN" w:eastAsia="zh-CN"/>
              </w:rPr>
              <w:t>1）</w:t>
            </w:r>
            <w:r>
              <w:rPr>
                <w:rFonts w:hint="eastAsia" w:ascii="宋体" w:hAnsi="宋体" w:eastAsia="宋体" w:cs="宋体"/>
                <w:color w:val="auto"/>
                <w:w w:val="100"/>
                <w:szCs w:val="21"/>
                <w:highlight w:val="none"/>
                <w:lang w:val="zh-CN"/>
              </w:rPr>
              <w:t>上述人员均为本单位的正式职工，施工</w:t>
            </w:r>
            <w:r>
              <w:rPr>
                <w:rFonts w:hint="eastAsia" w:ascii="宋体" w:hAnsi="宋体" w:eastAsia="宋体" w:cs="宋体"/>
                <w:color w:val="auto"/>
                <w:w w:val="100"/>
                <w:szCs w:val="21"/>
                <w:highlight w:val="none"/>
                <w:lang w:val="zh-CN" w:eastAsia="zh-CN"/>
              </w:rPr>
              <w:t>项目</w:t>
            </w:r>
            <w:r>
              <w:rPr>
                <w:rFonts w:hint="eastAsia" w:ascii="宋体" w:hAnsi="宋体" w:eastAsia="宋体" w:cs="宋体"/>
                <w:color w:val="auto"/>
                <w:w w:val="100"/>
                <w:szCs w:val="21"/>
                <w:highlight w:val="none"/>
                <w:lang w:val="zh-CN"/>
              </w:rPr>
              <w:t>负责人、技术负责人、安全主管（安全管理负责人）、专职安全员</w:t>
            </w:r>
            <w:r>
              <w:rPr>
                <w:rFonts w:hint="eastAsia" w:ascii="宋体" w:hAnsi="宋体" w:eastAsia="宋体" w:cs="宋体"/>
                <w:color w:val="auto"/>
                <w:w w:val="100"/>
                <w:szCs w:val="21"/>
                <w:highlight w:val="none"/>
                <w:lang w:val="zh-CN" w:eastAsia="zh-CN"/>
              </w:rPr>
              <w:t>、施工技术管理人员</w:t>
            </w:r>
            <w:r>
              <w:rPr>
                <w:rFonts w:hint="eastAsia" w:ascii="宋体" w:hAnsi="宋体" w:eastAsia="宋体" w:cs="宋体"/>
                <w:color w:val="auto"/>
                <w:w w:val="100"/>
                <w:szCs w:val="21"/>
                <w:highlight w:val="none"/>
                <w:lang w:val="zh-CN"/>
              </w:rPr>
              <w:t>不得兼任，需提供相关证书证明文件（职称证、身份证复印件等）和最近1个月（时间为：20</w:t>
            </w:r>
            <w:r>
              <w:rPr>
                <w:rFonts w:hint="eastAsia" w:ascii="宋体" w:hAnsi="宋体" w:eastAsia="宋体" w:cs="宋体"/>
                <w:color w:val="auto"/>
                <w:w w:val="100"/>
                <w:szCs w:val="21"/>
                <w:highlight w:val="none"/>
                <w:lang w:val="zh-CN" w:eastAsia="zh-CN"/>
              </w:rPr>
              <w:t>25</w:t>
            </w:r>
            <w:r>
              <w:rPr>
                <w:rFonts w:hint="eastAsia" w:ascii="宋体" w:hAnsi="宋体" w:eastAsia="宋体" w:cs="宋体"/>
                <w:color w:val="auto"/>
                <w:w w:val="100"/>
                <w:szCs w:val="21"/>
                <w:highlight w:val="none"/>
                <w:lang w:val="zh-CN"/>
              </w:rPr>
              <w:t>年  月）在本单位交纳的社保证明</w:t>
            </w:r>
            <w:r>
              <w:rPr>
                <w:rFonts w:hint="eastAsia" w:ascii="宋体" w:hAnsi="宋体" w:eastAsia="宋体" w:cs="宋体"/>
                <w:color w:val="auto"/>
                <w:szCs w:val="21"/>
                <w:highlight w:val="none"/>
                <w:lang w:val="zh-CN" w:eastAsia="zh-CN"/>
              </w:rPr>
              <w:t>；</w:t>
            </w:r>
          </w:p>
          <w:p>
            <w:pPr>
              <w:numPr>
                <w:ilvl w:val="0"/>
                <w:numId w:val="0"/>
              </w:numPr>
              <w:adjustRightInd w:val="0"/>
              <w:snapToGrid w:val="0"/>
              <w:jc w:val="left"/>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lang w:val="zh-CN" w:eastAsia="zh-CN"/>
              </w:rPr>
              <w:t>2）</w:t>
            </w:r>
            <w:r>
              <w:rPr>
                <w:rFonts w:hint="eastAsia" w:ascii="宋体" w:hAnsi="宋体" w:eastAsia="宋体" w:cs="宋体"/>
                <w:color w:val="auto"/>
                <w:szCs w:val="21"/>
                <w:highlight w:val="none"/>
                <w:lang w:val="zh-CN"/>
              </w:rPr>
              <w:t>类似工程业绩是指采用的资质类别与本招标项目采用的资质类别相同的，自来水厂或（污）净水厂自动化控制系统施工</w:t>
            </w:r>
            <w:r>
              <w:rPr>
                <w:rFonts w:hint="eastAsia" w:ascii="宋体" w:hAnsi="宋体" w:eastAsia="宋体" w:cs="宋体"/>
                <w:color w:val="auto"/>
                <w:szCs w:val="21"/>
                <w:highlight w:val="none"/>
                <w:lang w:val="zh-CN" w:eastAsia="zh-CN"/>
              </w:rPr>
              <w:t>业绩</w:t>
            </w:r>
            <w:r>
              <w:rPr>
                <w:rFonts w:hint="eastAsia" w:ascii="宋体" w:hAnsi="宋体" w:eastAsia="宋体" w:cs="宋体"/>
                <w:color w:val="auto"/>
                <w:szCs w:val="21"/>
                <w:highlight w:val="none"/>
                <w:lang w:val="zh-CN"/>
              </w:rPr>
              <w:t>。</w:t>
            </w:r>
          </w:p>
          <w:p>
            <w:pPr>
              <w:numPr>
                <w:ilvl w:val="0"/>
                <w:numId w:val="0"/>
              </w:numPr>
              <w:adjustRightInd w:val="0"/>
              <w:snapToGrid w:val="0"/>
              <w:jc w:val="left"/>
              <w:rPr>
                <w:rFonts w:hint="eastAsia" w:ascii="宋体" w:hAnsi="宋体" w:eastAsia="宋体" w:cs="宋体"/>
                <w:color w:val="auto"/>
                <w:szCs w:val="21"/>
                <w:highlight w:val="none"/>
                <w:lang w:val="zh-CN"/>
              </w:rPr>
            </w:pPr>
            <w:r>
              <w:rPr>
                <w:rFonts w:hint="eastAsia" w:ascii="宋体" w:hAnsi="宋体" w:eastAsia="宋体" w:cs="宋体"/>
                <w:color w:val="auto"/>
                <w:sz w:val="21"/>
                <w:szCs w:val="21"/>
                <w:highlight w:val="none"/>
                <w:lang w:val="zh-CN" w:eastAsia="zh-CN" w:bidi="ar"/>
              </w:rPr>
              <w:t>3）</w:t>
            </w:r>
            <w:r>
              <w:rPr>
                <w:rFonts w:hint="eastAsia" w:ascii="宋体" w:hAnsi="宋体" w:eastAsia="宋体" w:cs="宋体"/>
                <w:color w:val="auto"/>
                <w:sz w:val="21"/>
                <w:szCs w:val="21"/>
                <w:highlight w:val="none"/>
                <w:lang w:val="zh-CN" w:bidi="ar"/>
              </w:rPr>
              <w:t>业绩完成时间以竣工验收时间为准</w:t>
            </w:r>
            <w:r>
              <w:rPr>
                <w:rFonts w:hint="eastAsia" w:ascii="宋体" w:hAnsi="宋体" w:eastAsia="宋体" w:cs="宋体"/>
                <w:color w:val="auto"/>
                <w:sz w:val="21"/>
                <w:szCs w:val="21"/>
                <w:highlight w:val="none"/>
                <w:lang w:val="zh-CN" w:eastAsia="zh-CN"/>
              </w:rPr>
              <w:t>。</w:t>
            </w:r>
          </w:p>
          <w:p>
            <w:pPr>
              <w:numPr>
                <w:ilvl w:val="0"/>
                <w:numId w:val="0"/>
              </w:numPr>
              <w:adjustRightInd w:val="0"/>
              <w:snapToGrid w:val="0"/>
              <w:spacing w:line="240" w:lineRule="auto"/>
              <w:ind w:left="0" w:leftChars="0" w:firstLine="0" w:firstLineChars="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eastAsia="zh-CN"/>
              </w:rPr>
              <w:t>4</w:t>
            </w:r>
            <w:r>
              <w:rPr>
                <w:rFonts w:hint="eastAsia" w:ascii="宋体" w:hAnsi="宋体" w:eastAsia="宋体" w:cs="宋体"/>
                <w:color w:val="auto"/>
                <w:szCs w:val="21"/>
                <w:highlight w:val="none"/>
                <w:lang w:val="zh-CN"/>
              </w:rPr>
              <w:t>）需同时提供中标通知书或免招标的相关证明、施工合同、竣工验收报告或竣工验收证明。类似业绩证明的信息须明确显示该业绩项目名称、中标价、规模等信息。如以上资料不能证明业绩规模的，须另提供可证明业绩</w:t>
            </w:r>
            <w:r>
              <w:rPr>
                <w:rFonts w:hint="eastAsia" w:ascii="宋体" w:hAnsi="宋体" w:eastAsia="宋体" w:cs="宋体"/>
                <w:color w:val="auto"/>
                <w:szCs w:val="21"/>
                <w:highlight w:val="none"/>
                <w:lang w:val="zh-CN" w:eastAsia="zh-CN"/>
              </w:rPr>
              <w:t>规模</w:t>
            </w:r>
            <w:r>
              <w:rPr>
                <w:rFonts w:hint="eastAsia" w:ascii="宋体" w:hAnsi="宋体" w:eastAsia="宋体" w:cs="宋体"/>
                <w:color w:val="auto"/>
                <w:szCs w:val="21"/>
                <w:highlight w:val="none"/>
                <w:lang w:val="zh-CN"/>
              </w:rPr>
              <w:t>的其他资料。由总承包单位依法分包的专业工程业绩，需同时提供总承包单位的中标通知书（扫描件）、经业主和总承包单位确认的分包合同、竣工验收报告或竣工验收证明。</w:t>
            </w:r>
          </w:p>
          <w:p>
            <w:pPr>
              <w:numPr>
                <w:ilvl w:val="0"/>
                <w:numId w:val="0"/>
              </w:numPr>
              <w:adjustRightInd w:val="0"/>
              <w:snapToGrid w:val="0"/>
              <w:spacing w:line="240" w:lineRule="auto"/>
              <w:ind w:left="0" w:leftChars="0" w:firstLine="0" w:firstLineChars="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eastAsia="zh-CN"/>
              </w:rPr>
              <w:t>5）类似业绩在中标候选人公示期间一并进行公示。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880" w:type="dxa"/>
            <w:vMerge w:val="continue"/>
            <w:tcBorders>
              <w:right w:val="single" w:color="auto" w:sz="4" w:space="0"/>
            </w:tcBorders>
            <w:noWrap w:val="0"/>
            <w:vAlign w:val="top"/>
          </w:tcPr>
          <w:p>
            <w:pPr>
              <w:spacing w:line="360" w:lineRule="auto"/>
              <w:jc w:val="center"/>
              <w:rPr>
                <w:rFonts w:hint="eastAsia" w:ascii="宋体" w:hAnsi="宋体" w:eastAsia="宋体" w:cs="宋体"/>
                <w:color w:val="auto"/>
                <w:szCs w:val="21"/>
                <w:highlight w:val="none"/>
              </w:rPr>
            </w:pPr>
          </w:p>
        </w:tc>
        <w:tc>
          <w:tcPr>
            <w:tcW w:w="951" w:type="dxa"/>
            <w:vMerge w:val="continue"/>
            <w:tcBorders>
              <w:right w:val="single" w:color="auto" w:sz="4" w:space="0"/>
            </w:tcBorders>
            <w:noWrap w:val="0"/>
            <w:vAlign w:val="top"/>
          </w:tcPr>
          <w:p>
            <w:pPr>
              <w:spacing w:line="360" w:lineRule="auto"/>
              <w:jc w:val="center"/>
              <w:rPr>
                <w:rFonts w:hint="eastAsia" w:ascii="宋体" w:hAnsi="宋体" w:eastAsia="宋体" w:cs="宋体"/>
                <w:color w:val="auto"/>
                <w:szCs w:val="21"/>
                <w:highlight w:val="none"/>
              </w:rPr>
            </w:pPr>
          </w:p>
        </w:tc>
        <w:tc>
          <w:tcPr>
            <w:tcW w:w="1827"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numPr>
                <w:ilvl w:val="0"/>
                <w:numId w:val="0"/>
              </w:numPr>
              <w:adjustRightInd w:val="0"/>
              <w:snapToGrid w:val="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组织机构及主要管理人员</w:t>
            </w:r>
            <w:r>
              <w:rPr>
                <w:rFonts w:hint="eastAsia" w:ascii="宋体" w:hAnsi="宋体" w:eastAsia="宋体" w:cs="宋体"/>
                <w:color w:val="auto"/>
                <w:szCs w:val="21"/>
                <w:highlight w:val="none"/>
                <w:lang w:val="zh-CN" w:eastAsia="zh-CN"/>
              </w:rPr>
              <w:t>(18</w:t>
            </w:r>
            <w:r>
              <w:rPr>
                <w:rFonts w:hint="eastAsia" w:ascii="宋体" w:hAnsi="宋体" w:eastAsia="宋体" w:cs="宋体"/>
                <w:color w:val="auto"/>
                <w:szCs w:val="21"/>
                <w:highlight w:val="none"/>
                <w:lang w:val="zh-CN"/>
              </w:rPr>
              <w:t>分）</w:t>
            </w:r>
          </w:p>
        </w:tc>
        <w:tc>
          <w:tcPr>
            <w:tcW w:w="4229"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adjustRightInd w:val="0"/>
              <w:snapToGrid w:val="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eastAsia="zh-CN"/>
              </w:rPr>
              <w:t>1、</w:t>
            </w:r>
            <w:r>
              <w:rPr>
                <w:rFonts w:hint="eastAsia" w:ascii="宋体" w:hAnsi="宋体" w:eastAsia="宋体" w:cs="宋体"/>
                <w:color w:val="auto"/>
                <w:szCs w:val="21"/>
                <w:highlight w:val="none"/>
                <w:lang w:val="zh-CN"/>
              </w:rPr>
              <w:t>拟委派在本项目的安全主管(安全管理负责人)具有中级</w:t>
            </w:r>
            <w:r>
              <w:rPr>
                <w:rFonts w:hint="eastAsia" w:ascii="宋体" w:hAnsi="宋体" w:eastAsia="宋体" w:cs="宋体"/>
                <w:color w:val="auto"/>
                <w:szCs w:val="21"/>
                <w:highlight w:val="none"/>
                <w:lang w:val="zh-CN" w:eastAsia="zh-CN"/>
              </w:rPr>
              <w:t>或以上级别的</w:t>
            </w:r>
            <w:r>
              <w:rPr>
                <w:rFonts w:hint="eastAsia" w:ascii="宋体" w:hAnsi="宋体" w:eastAsia="宋体" w:cs="宋体"/>
                <w:color w:val="auto"/>
                <w:szCs w:val="21"/>
                <w:highlight w:val="none"/>
                <w:lang w:val="zh-CN"/>
              </w:rPr>
              <w:t>注册安全工程师证书（证书在有效期内），且专业为建筑施工安全的，</w:t>
            </w:r>
            <w:r>
              <w:rPr>
                <w:rFonts w:hint="eastAsia" w:ascii="宋体" w:hAnsi="宋体" w:eastAsia="宋体" w:cs="宋体"/>
                <w:color w:val="auto"/>
                <w:w w:val="100"/>
                <w:szCs w:val="21"/>
                <w:highlight w:val="none"/>
                <w:lang w:val="zh-CN"/>
              </w:rPr>
              <w:t>得</w:t>
            </w:r>
            <w:r>
              <w:rPr>
                <w:rFonts w:hint="eastAsia" w:ascii="宋体" w:hAnsi="宋体" w:eastAsia="宋体" w:cs="宋体"/>
                <w:color w:val="auto"/>
                <w:szCs w:val="21"/>
                <w:highlight w:val="none"/>
                <w:lang w:val="zh-CN" w:eastAsia="zh-CN"/>
              </w:rPr>
              <w:t>4.5</w:t>
            </w:r>
            <w:r>
              <w:rPr>
                <w:rFonts w:hint="eastAsia" w:ascii="宋体" w:hAnsi="宋体" w:eastAsia="宋体" w:cs="宋体"/>
                <w:color w:val="auto"/>
                <w:szCs w:val="21"/>
                <w:highlight w:val="none"/>
                <w:lang w:val="zh-CN"/>
              </w:rPr>
              <w:t>分</w:t>
            </w:r>
            <w:r>
              <w:rPr>
                <w:rFonts w:hint="eastAsia" w:ascii="宋体" w:hAnsi="宋体" w:eastAsia="宋体" w:cs="宋体"/>
                <w:color w:val="auto"/>
                <w:szCs w:val="21"/>
                <w:highlight w:val="none"/>
                <w:lang w:val="zh-CN" w:eastAsia="zh-CN"/>
              </w:rPr>
              <w:t>；</w:t>
            </w:r>
          </w:p>
          <w:p>
            <w:pPr>
              <w:numPr>
                <w:ilvl w:val="0"/>
                <w:numId w:val="0"/>
              </w:numPr>
              <w:adjustRightInd w:val="0"/>
              <w:snapToGrid w:val="0"/>
              <w:jc w:val="left"/>
              <w:rPr>
                <w:rFonts w:hint="eastAsia" w:ascii="宋体" w:hAnsi="宋体" w:eastAsia="宋体" w:cs="宋体"/>
                <w:color w:val="auto"/>
                <w:szCs w:val="21"/>
                <w:highlight w:val="none"/>
                <w:lang w:val="zh-CN"/>
              </w:rPr>
            </w:pPr>
          </w:p>
          <w:p>
            <w:pPr>
              <w:numPr>
                <w:ilvl w:val="0"/>
                <w:numId w:val="0"/>
              </w:numPr>
              <w:adjustRightInd w:val="0"/>
              <w:snapToGrid w:val="0"/>
              <w:jc w:val="left"/>
              <w:rPr>
                <w:rFonts w:hint="eastAsia" w:ascii="宋体" w:hAnsi="宋体" w:eastAsia="宋体" w:cs="宋体"/>
                <w:color w:val="auto"/>
                <w:kern w:val="2"/>
                <w:sz w:val="21"/>
                <w:szCs w:val="21"/>
                <w:highlight w:val="none"/>
                <w:lang w:val="zh-CN" w:eastAsia="zh-CN"/>
              </w:rPr>
            </w:pPr>
            <w:r>
              <w:rPr>
                <w:rFonts w:hint="eastAsia" w:ascii="宋体" w:hAnsi="宋体" w:eastAsia="宋体" w:cs="宋体"/>
                <w:color w:val="auto"/>
                <w:szCs w:val="21"/>
                <w:highlight w:val="none"/>
                <w:lang w:val="zh-CN" w:eastAsia="zh-CN"/>
              </w:rPr>
              <w:t>2、拟委派的施工技术管理人员含</w:t>
            </w:r>
            <w:r>
              <w:rPr>
                <w:rFonts w:hint="eastAsia" w:ascii="宋体" w:hAnsi="宋体" w:eastAsia="宋体" w:cs="宋体"/>
                <w:color w:val="auto"/>
                <w:kern w:val="2"/>
                <w:sz w:val="21"/>
                <w:szCs w:val="21"/>
                <w:highlight w:val="none"/>
                <w:lang w:val="zh-CN" w:eastAsia="zh-CN"/>
              </w:rPr>
              <w:t>给排水工程、通信或自动化工程类共2个专业（13.5分）。</w:t>
            </w:r>
          </w:p>
          <w:p>
            <w:pPr>
              <w:numPr>
                <w:ilvl w:val="0"/>
                <w:numId w:val="0"/>
              </w:numPr>
              <w:adjustRightInd w:val="0"/>
              <w:snapToGrid w:val="0"/>
              <w:jc w:val="left"/>
              <w:rPr>
                <w:rFonts w:hint="eastAsia" w:ascii="宋体" w:hAnsi="宋体" w:eastAsia="宋体" w:cs="宋体"/>
                <w:color w:val="auto"/>
                <w:szCs w:val="21"/>
                <w:highlight w:val="none"/>
                <w:lang w:val="zh-CN" w:bidi="ar"/>
              </w:rPr>
            </w:pPr>
            <w:r>
              <w:rPr>
                <w:rFonts w:hint="eastAsia" w:ascii="宋体" w:hAnsi="宋体" w:eastAsia="宋体" w:cs="宋体"/>
                <w:color w:val="auto"/>
                <w:sz w:val="21"/>
                <w:szCs w:val="21"/>
                <w:highlight w:val="none"/>
                <w:lang w:val="zh-CN" w:eastAsia="zh-CN" w:bidi="ar"/>
              </w:rPr>
              <w:t>①具有给排水</w:t>
            </w:r>
            <w:r>
              <w:rPr>
                <w:rFonts w:hint="eastAsia" w:ascii="宋体" w:hAnsi="宋体" w:eastAsia="宋体" w:cs="宋体"/>
                <w:color w:val="auto"/>
                <w:w w:val="100"/>
                <w:szCs w:val="21"/>
                <w:highlight w:val="none"/>
                <w:lang w:val="zh-CN" w:eastAsia="zh-CN" w:bidi="ar"/>
              </w:rPr>
              <w:t>工程类</w:t>
            </w:r>
            <w:r>
              <w:rPr>
                <w:rFonts w:hint="eastAsia" w:ascii="宋体" w:hAnsi="宋体" w:eastAsia="宋体" w:cs="宋体"/>
                <w:color w:val="auto"/>
                <w:szCs w:val="21"/>
                <w:highlight w:val="none"/>
                <w:lang w:val="zh-CN" w:bidi="ar"/>
              </w:rPr>
              <w:t>专业</w:t>
            </w:r>
            <w:r>
              <w:rPr>
                <w:rFonts w:hint="eastAsia" w:ascii="宋体" w:hAnsi="宋体" w:eastAsia="宋体" w:cs="宋体"/>
                <w:color w:val="auto"/>
                <w:szCs w:val="21"/>
                <w:highlight w:val="none"/>
                <w:lang w:val="zh-CN" w:eastAsia="zh-CN" w:bidi="ar"/>
              </w:rPr>
              <w:t>中级或以上职称的</w:t>
            </w:r>
            <w:r>
              <w:rPr>
                <w:rFonts w:hint="eastAsia" w:ascii="宋体" w:hAnsi="宋体" w:eastAsia="宋体" w:cs="宋体"/>
                <w:color w:val="auto"/>
                <w:szCs w:val="21"/>
                <w:highlight w:val="none"/>
                <w:lang w:val="zh-CN" w:bidi="ar"/>
              </w:rPr>
              <w:t>得</w:t>
            </w:r>
            <w:r>
              <w:rPr>
                <w:rFonts w:hint="eastAsia" w:ascii="宋体" w:hAnsi="宋体" w:eastAsia="宋体" w:cs="宋体"/>
                <w:color w:val="auto"/>
                <w:szCs w:val="21"/>
                <w:highlight w:val="none"/>
                <w:lang w:val="zh-CN" w:eastAsia="zh-CN" w:bidi="ar"/>
              </w:rPr>
              <w:t>4.5</w:t>
            </w:r>
            <w:r>
              <w:rPr>
                <w:rFonts w:hint="eastAsia" w:ascii="宋体" w:hAnsi="宋体" w:eastAsia="宋体" w:cs="宋体"/>
                <w:color w:val="auto"/>
                <w:szCs w:val="21"/>
                <w:highlight w:val="none"/>
                <w:lang w:val="zh-CN" w:bidi="ar"/>
              </w:rPr>
              <w:t>分</w:t>
            </w:r>
            <w:r>
              <w:rPr>
                <w:rFonts w:hint="eastAsia" w:ascii="宋体" w:hAnsi="宋体" w:eastAsia="宋体" w:cs="宋体"/>
                <w:color w:val="auto"/>
                <w:szCs w:val="21"/>
                <w:highlight w:val="none"/>
                <w:lang w:val="zh-CN" w:eastAsia="zh-CN" w:bidi="ar"/>
              </w:rPr>
              <w:t>，</w:t>
            </w:r>
            <w:r>
              <w:rPr>
                <w:rFonts w:hint="eastAsia" w:ascii="宋体" w:hAnsi="宋体" w:eastAsia="宋体" w:cs="宋体"/>
                <w:color w:val="auto"/>
                <w:szCs w:val="21"/>
                <w:highlight w:val="none"/>
                <w:lang w:val="zh-CN" w:bidi="ar"/>
              </w:rPr>
              <w:t>最高得</w:t>
            </w:r>
            <w:r>
              <w:rPr>
                <w:rFonts w:hint="eastAsia" w:ascii="宋体" w:hAnsi="宋体" w:eastAsia="宋体" w:cs="宋体"/>
                <w:color w:val="auto"/>
                <w:szCs w:val="21"/>
                <w:highlight w:val="none"/>
                <w:lang w:val="zh-CN" w:eastAsia="zh-CN" w:bidi="ar"/>
              </w:rPr>
              <w:t>4.5</w:t>
            </w:r>
            <w:r>
              <w:rPr>
                <w:rFonts w:hint="eastAsia" w:ascii="宋体" w:hAnsi="宋体" w:eastAsia="宋体" w:cs="宋体"/>
                <w:color w:val="auto"/>
                <w:szCs w:val="21"/>
                <w:highlight w:val="none"/>
                <w:lang w:val="zh-CN" w:bidi="ar"/>
              </w:rPr>
              <w:t>分。</w:t>
            </w:r>
          </w:p>
          <w:p>
            <w:pPr>
              <w:numPr>
                <w:ilvl w:val="0"/>
                <w:numId w:val="0"/>
              </w:numPr>
              <w:adjustRightInd w:val="0"/>
              <w:snapToGrid w:val="0"/>
              <w:jc w:val="left"/>
              <w:rPr>
                <w:rFonts w:hint="eastAsia" w:ascii="宋体" w:hAnsi="宋体" w:eastAsia="宋体" w:cs="宋体"/>
                <w:color w:val="auto"/>
                <w:sz w:val="21"/>
                <w:szCs w:val="21"/>
                <w:highlight w:val="none"/>
                <w:lang w:val="zh-CN" w:eastAsia="zh-CN" w:bidi="ar"/>
              </w:rPr>
            </w:pPr>
            <w:r>
              <w:rPr>
                <w:rFonts w:hint="eastAsia" w:ascii="宋体" w:hAnsi="宋体" w:eastAsia="宋体" w:cs="宋体"/>
                <w:color w:val="auto"/>
                <w:sz w:val="21"/>
                <w:szCs w:val="21"/>
                <w:highlight w:val="none"/>
                <w:lang w:val="zh-CN" w:eastAsia="zh-CN" w:bidi="ar"/>
              </w:rPr>
              <w:t>②每具有1名</w:t>
            </w:r>
            <w:r>
              <w:rPr>
                <w:rFonts w:hint="eastAsia" w:ascii="宋体" w:hAnsi="宋体" w:eastAsia="宋体" w:cs="宋体"/>
                <w:color w:val="auto"/>
                <w:kern w:val="2"/>
                <w:sz w:val="21"/>
                <w:szCs w:val="21"/>
                <w:highlight w:val="none"/>
                <w:lang w:val="zh-CN" w:eastAsia="zh-CN"/>
              </w:rPr>
              <w:t>通信或自动化工程类</w:t>
            </w:r>
            <w:r>
              <w:rPr>
                <w:rFonts w:hint="eastAsia" w:ascii="宋体" w:hAnsi="宋体" w:eastAsia="宋体" w:cs="宋体"/>
                <w:color w:val="auto"/>
                <w:szCs w:val="21"/>
                <w:highlight w:val="none"/>
                <w:lang w:val="zh-CN" w:eastAsia="zh-CN" w:bidi="ar"/>
              </w:rPr>
              <w:t>中级或以上职称的</w:t>
            </w:r>
            <w:r>
              <w:rPr>
                <w:rFonts w:hint="eastAsia" w:ascii="宋体" w:hAnsi="宋体" w:eastAsia="宋体" w:cs="宋体"/>
                <w:color w:val="auto"/>
                <w:szCs w:val="21"/>
                <w:highlight w:val="none"/>
                <w:lang w:val="zh-CN" w:bidi="ar"/>
              </w:rPr>
              <w:t>得</w:t>
            </w:r>
            <w:r>
              <w:rPr>
                <w:rFonts w:hint="eastAsia" w:ascii="宋体" w:hAnsi="宋体" w:eastAsia="宋体" w:cs="宋体"/>
                <w:color w:val="auto"/>
                <w:szCs w:val="21"/>
                <w:highlight w:val="none"/>
                <w:lang w:val="zh-CN" w:eastAsia="zh-CN" w:bidi="ar"/>
              </w:rPr>
              <w:t>4.5</w:t>
            </w:r>
            <w:r>
              <w:rPr>
                <w:rFonts w:hint="eastAsia" w:ascii="宋体" w:hAnsi="宋体" w:eastAsia="宋体" w:cs="宋体"/>
                <w:color w:val="auto"/>
                <w:szCs w:val="21"/>
                <w:highlight w:val="none"/>
                <w:lang w:val="zh-CN" w:bidi="ar"/>
              </w:rPr>
              <w:t>分</w:t>
            </w:r>
            <w:r>
              <w:rPr>
                <w:rFonts w:hint="eastAsia" w:ascii="宋体" w:hAnsi="宋体" w:eastAsia="宋体" w:cs="宋体"/>
                <w:color w:val="auto"/>
                <w:szCs w:val="21"/>
                <w:highlight w:val="none"/>
                <w:lang w:val="zh-CN" w:eastAsia="zh-CN" w:bidi="ar"/>
              </w:rPr>
              <w:t>，</w:t>
            </w:r>
            <w:r>
              <w:rPr>
                <w:rFonts w:hint="eastAsia" w:ascii="宋体" w:hAnsi="宋体" w:eastAsia="宋体" w:cs="宋体"/>
                <w:color w:val="auto"/>
                <w:szCs w:val="21"/>
                <w:highlight w:val="none"/>
                <w:lang w:val="zh-CN" w:bidi="ar"/>
              </w:rPr>
              <w:t>最高得</w:t>
            </w:r>
            <w:r>
              <w:rPr>
                <w:rFonts w:hint="eastAsia" w:ascii="宋体" w:hAnsi="宋体" w:eastAsia="宋体" w:cs="宋体"/>
                <w:color w:val="auto"/>
                <w:szCs w:val="21"/>
                <w:highlight w:val="none"/>
                <w:lang w:val="zh-CN" w:eastAsia="zh-CN" w:bidi="ar"/>
              </w:rPr>
              <w:t>9</w:t>
            </w:r>
            <w:r>
              <w:rPr>
                <w:rFonts w:hint="eastAsia" w:ascii="宋体" w:hAnsi="宋体" w:eastAsia="宋体" w:cs="宋体"/>
                <w:color w:val="auto"/>
                <w:szCs w:val="21"/>
                <w:highlight w:val="none"/>
                <w:lang w:val="zh-CN" w:bidi="ar"/>
              </w:rPr>
              <w:t>分</w:t>
            </w:r>
            <w:r>
              <w:rPr>
                <w:rFonts w:hint="eastAsia" w:ascii="宋体" w:hAnsi="宋体" w:eastAsia="宋体" w:cs="宋体"/>
                <w:color w:val="auto"/>
                <w:szCs w:val="21"/>
                <w:highlight w:val="none"/>
                <w:lang w:val="zh-CN" w:eastAsia="zh-CN" w:bidi="ar"/>
              </w:rPr>
              <w:t>。</w:t>
            </w:r>
          </w:p>
          <w:p>
            <w:pPr>
              <w:numPr>
                <w:ilvl w:val="0"/>
                <w:numId w:val="0"/>
              </w:numPr>
              <w:adjustRightInd w:val="0"/>
              <w:snapToGrid w:val="0"/>
              <w:jc w:val="left"/>
              <w:rPr>
                <w:rFonts w:hint="eastAsia" w:ascii="宋体" w:hAnsi="宋体" w:eastAsia="宋体" w:cs="宋体"/>
                <w:color w:val="auto"/>
                <w:szCs w:val="21"/>
                <w:highlight w:val="none"/>
                <w:lang w:val="zh-CN" w:eastAsia="zh-CN" w:bidi="ar"/>
              </w:rPr>
            </w:pPr>
          </w:p>
          <w:p>
            <w:pPr>
              <w:numPr>
                <w:ilvl w:val="0"/>
                <w:numId w:val="0"/>
              </w:numPr>
              <w:adjustRightInd w:val="0"/>
              <w:snapToGrid w:val="0"/>
              <w:spacing w:after="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注：</w:t>
            </w:r>
            <w:r>
              <w:rPr>
                <w:rFonts w:hint="eastAsia" w:ascii="宋体" w:hAnsi="宋体" w:eastAsia="宋体" w:cs="宋体"/>
                <w:color w:val="auto"/>
                <w:w w:val="100"/>
                <w:szCs w:val="21"/>
                <w:highlight w:val="none"/>
                <w:lang w:val="zh-CN"/>
              </w:rPr>
              <w:t>上述人员均为本单位的正式职工，施工</w:t>
            </w:r>
            <w:r>
              <w:rPr>
                <w:rFonts w:hint="eastAsia" w:ascii="宋体" w:hAnsi="宋体" w:eastAsia="宋体" w:cs="宋体"/>
                <w:color w:val="auto"/>
                <w:w w:val="100"/>
                <w:szCs w:val="21"/>
                <w:highlight w:val="none"/>
                <w:lang w:val="zh-CN" w:eastAsia="zh-CN"/>
              </w:rPr>
              <w:t>项目</w:t>
            </w:r>
            <w:r>
              <w:rPr>
                <w:rFonts w:hint="eastAsia" w:ascii="宋体" w:hAnsi="宋体" w:eastAsia="宋体" w:cs="宋体"/>
                <w:color w:val="auto"/>
                <w:w w:val="100"/>
                <w:szCs w:val="21"/>
                <w:highlight w:val="none"/>
                <w:lang w:val="zh-CN"/>
              </w:rPr>
              <w:t>负责人、技术负责人、安全主管（安全管理负责人）、专职安全员</w:t>
            </w:r>
            <w:r>
              <w:rPr>
                <w:rFonts w:hint="eastAsia" w:ascii="宋体" w:hAnsi="宋体" w:eastAsia="宋体" w:cs="宋体"/>
                <w:color w:val="auto"/>
                <w:w w:val="100"/>
                <w:szCs w:val="21"/>
                <w:highlight w:val="none"/>
                <w:lang w:val="zh-CN" w:eastAsia="zh-CN"/>
              </w:rPr>
              <w:t>、施工技术管理人员</w:t>
            </w:r>
            <w:r>
              <w:rPr>
                <w:rFonts w:hint="eastAsia" w:ascii="宋体" w:hAnsi="宋体" w:eastAsia="宋体" w:cs="宋体"/>
                <w:color w:val="auto"/>
                <w:w w:val="100"/>
                <w:szCs w:val="21"/>
                <w:highlight w:val="none"/>
                <w:lang w:val="zh-CN"/>
              </w:rPr>
              <w:t>不得兼任，</w:t>
            </w:r>
            <w:r>
              <w:rPr>
                <w:rFonts w:hint="eastAsia" w:ascii="宋体" w:hAnsi="宋体" w:eastAsia="宋体" w:cs="宋体"/>
                <w:color w:val="auto"/>
                <w:szCs w:val="21"/>
                <w:highlight w:val="none"/>
                <w:lang w:val="zh-CN"/>
              </w:rPr>
              <w:t>需提供相关证书证明文件（职称证、身份证复印件等）和最近</w:t>
            </w:r>
            <w:r>
              <w:rPr>
                <w:rFonts w:hint="eastAsia" w:ascii="宋体" w:hAnsi="宋体" w:eastAsia="宋体" w:cs="宋体"/>
                <w:color w:val="auto"/>
                <w:szCs w:val="21"/>
                <w:highlight w:val="none"/>
                <w:lang w:val="zh-CN" w:eastAsia="zh-CN"/>
              </w:rPr>
              <w:t>1</w:t>
            </w:r>
            <w:r>
              <w:rPr>
                <w:rFonts w:hint="eastAsia" w:ascii="宋体" w:hAnsi="宋体" w:eastAsia="宋体" w:cs="宋体"/>
                <w:color w:val="auto"/>
                <w:szCs w:val="21"/>
                <w:highlight w:val="none"/>
                <w:lang w:val="zh-CN"/>
              </w:rPr>
              <w:t>个月（时间为：20</w:t>
            </w:r>
            <w:r>
              <w:rPr>
                <w:rFonts w:hint="eastAsia" w:ascii="宋体" w:hAnsi="宋体" w:eastAsia="宋体" w:cs="宋体"/>
                <w:color w:val="auto"/>
                <w:szCs w:val="21"/>
                <w:highlight w:val="none"/>
                <w:lang w:val="zh-CN" w:eastAsia="zh-CN"/>
              </w:rPr>
              <w:t xml:space="preserve"> </w:t>
            </w:r>
            <w:r>
              <w:rPr>
                <w:rFonts w:hint="eastAsia" w:ascii="宋体" w:hAnsi="宋体" w:eastAsia="宋体" w:cs="宋体"/>
                <w:color w:val="auto"/>
                <w:szCs w:val="21"/>
                <w:highlight w:val="none"/>
                <w:lang w:val="zh-CN"/>
              </w:rPr>
              <w:t>年</w:t>
            </w:r>
            <w:r>
              <w:rPr>
                <w:rFonts w:hint="eastAsia" w:ascii="宋体" w:hAnsi="宋体" w:eastAsia="宋体" w:cs="宋体"/>
                <w:color w:val="auto"/>
                <w:szCs w:val="21"/>
                <w:highlight w:val="none"/>
                <w:lang w:val="zh-CN" w:eastAsia="zh-CN"/>
              </w:rPr>
              <w:t xml:space="preserve">  </w:t>
            </w:r>
            <w:r>
              <w:rPr>
                <w:rFonts w:hint="eastAsia" w:ascii="宋体" w:hAnsi="宋体" w:eastAsia="宋体" w:cs="宋体"/>
                <w:color w:val="auto"/>
                <w:szCs w:val="21"/>
                <w:highlight w:val="none"/>
                <w:lang w:val="zh-CN"/>
              </w:rPr>
              <w:t>月）在本单位交纳的社保证明。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72" w:hRule="atLeast"/>
        </w:trPr>
        <w:tc>
          <w:tcPr>
            <w:tcW w:w="880" w:type="dxa"/>
            <w:vMerge w:val="continue"/>
            <w:tcBorders>
              <w:right w:val="single" w:color="auto" w:sz="4" w:space="0"/>
            </w:tcBorders>
            <w:noWrap w:val="0"/>
            <w:vAlign w:val="top"/>
          </w:tcPr>
          <w:p>
            <w:pPr>
              <w:spacing w:line="360" w:lineRule="auto"/>
              <w:jc w:val="center"/>
              <w:rPr>
                <w:rFonts w:hint="eastAsia" w:ascii="宋体" w:hAnsi="宋体" w:eastAsia="宋体" w:cs="宋体"/>
                <w:color w:val="auto"/>
                <w:szCs w:val="21"/>
                <w:highlight w:val="none"/>
              </w:rPr>
            </w:pPr>
          </w:p>
        </w:tc>
        <w:tc>
          <w:tcPr>
            <w:tcW w:w="951" w:type="dxa"/>
            <w:vMerge w:val="continue"/>
            <w:tcBorders>
              <w:right w:val="single" w:color="auto" w:sz="4" w:space="0"/>
            </w:tcBorders>
            <w:noWrap w:val="0"/>
            <w:vAlign w:val="top"/>
          </w:tcPr>
          <w:p>
            <w:pPr>
              <w:spacing w:line="360" w:lineRule="auto"/>
              <w:jc w:val="center"/>
              <w:rPr>
                <w:rFonts w:hint="eastAsia" w:ascii="宋体" w:hAnsi="宋体" w:eastAsia="宋体" w:cs="宋体"/>
                <w:color w:val="auto"/>
                <w:szCs w:val="21"/>
                <w:highlight w:val="none"/>
              </w:rPr>
            </w:pPr>
          </w:p>
        </w:tc>
        <w:tc>
          <w:tcPr>
            <w:tcW w:w="1827" w:type="dxa"/>
            <w:tcBorders>
              <w:top w:val="single" w:color="auto" w:sz="4" w:space="0"/>
              <w:left w:val="single" w:color="auto" w:sz="4" w:space="0"/>
              <w:right w:val="single" w:color="auto" w:sz="4" w:space="0"/>
            </w:tcBorders>
            <w:noWrap w:val="0"/>
            <w:vAlign w:val="center"/>
          </w:tcPr>
          <w:p>
            <w:pPr>
              <w:numPr>
                <w:ilvl w:val="0"/>
                <w:numId w:val="0"/>
              </w:numPr>
              <w:adjustRightInd w:val="0"/>
              <w:snapToGrid w:val="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投标人的业绩、类似工程经历</w:t>
            </w:r>
          </w:p>
          <w:p>
            <w:pPr>
              <w:numPr>
                <w:ilvl w:val="0"/>
                <w:numId w:val="0"/>
              </w:numPr>
              <w:adjustRightInd w:val="0"/>
              <w:snapToGrid w:val="0"/>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eastAsia="zh-CN"/>
              </w:rPr>
              <w:t>(48</w:t>
            </w:r>
            <w:r>
              <w:rPr>
                <w:rFonts w:hint="eastAsia" w:ascii="宋体" w:hAnsi="宋体" w:eastAsia="宋体" w:cs="宋体"/>
                <w:color w:val="auto"/>
                <w:szCs w:val="21"/>
                <w:highlight w:val="none"/>
                <w:lang w:val="zh-CN"/>
              </w:rPr>
              <w:t>分）</w:t>
            </w:r>
          </w:p>
          <w:p>
            <w:pPr>
              <w:numPr>
                <w:ilvl w:val="0"/>
                <w:numId w:val="0"/>
              </w:numPr>
              <w:adjustRightInd w:val="0"/>
              <w:snapToGrid w:val="0"/>
              <w:jc w:val="left"/>
              <w:rPr>
                <w:rFonts w:hint="eastAsia" w:ascii="宋体" w:hAnsi="宋体" w:eastAsia="宋体" w:cs="宋体"/>
                <w:color w:val="auto"/>
                <w:szCs w:val="21"/>
                <w:highlight w:val="none"/>
                <w:lang w:val="zh-CN"/>
              </w:rPr>
            </w:pPr>
          </w:p>
          <w:p>
            <w:pPr>
              <w:adjustRightInd w:val="0"/>
              <w:snapToGrid w:val="0"/>
              <w:spacing w:line="240" w:lineRule="auto"/>
              <w:jc w:val="left"/>
              <w:rPr>
                <w:rFonts w:hint="eastAsia" w:ascii="宋体" w:hAnsi="宋体" w:eastAsia="宋体" w:cs="宋体"/>
                <w:color w:val="auto"/>
                <w:szCs w:val="21"/>
                <w:highlight w:val="none"/>
                <w:lang w:val="zh-CN"/>
              </w:rPr>
            </w:pPr>
          </w:p>
        </w:tc>
        <w:tc>
          <w:tcPr>
            <w:tcW w:w="4229"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adjustRightInd w:val="0"/>
              <w:snapToGrid w:val="0"/>
              <w:jc w:val="left"/>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lang w:val="zh-CN" w:bidi="ar"/>
              </w:rPr>
              <w:t>投标人自20</w:t>
            </w:r>
            <w:r>
              <w:rPr>
                <w:rFonts w:hint="eastAsia" w:ascii="宋体" w:hAnsi="宋体" w:eastAsia="宋体" w:cs="宋体"/>
                <w:color w:val="auto"/>
                <w:szCs w:val="21"/>
                <w:highlight w:val="none"/>
                <w:lang w:val="zh-CN" w:eastAsia="zh-CN" w:bidi="ar"/>
              </w:rPr>
              <w:t>22</w:t>
            </w:r>
            <w:r>
              <w:rPr>
                <w:rFonts w:hint="eastAsia" w:ascii="宋体" w:hAnsi="宋体" w:eastAsia="宋体" w:cs="宋体"/>
                <w:color w:val="auto"/>
                <w:szCs w:val="21"/>
                <w:highlight w:val="none"/>
                <w:lang w:val="zh-CN" w:bidi="ar"/>
              </w:rPr>
              <w:t>年1月1日至今，完成过质量合格的</w:t>
            </w:r>
            <w:r>
              <w:rPr>
                <w:rFonts w:hint="eastAsia" w:ascii="宋体" w:hAnsi="宋体" w:eastAsia="宋体" w:cs="宋体"/>
                <w:color w:val="auto"/>
                <w:szCs w:val="21"/>
                <w:highlight w:val="none"/>
                <w:lang w:val="zh-CN" w:eastAsia="zh-CN" w:bidi="ar"/>
              </w:rPr>
              <w:t>，</w:t>
            </w:r>
            <w:r>
              <w:rPr>
                <w:rFonts w:hint="eastAsia" w:ascii="宋体" w:hAnsi="宋体" w:eastAsia="宋体" w:cs="宋体"/>
                <w:color w:val="auto"/>
                <w:szCs w:val="21"/>
                <w:highlight w:val="none"/>
                <w:lang w:val="zh-CN" w:eastAsia="zh-CN"/>
              </w:rPr>
              <w:t>单项合同造价为350万元或以上的</w:t>
            </w:r>
            <w:r>
              <w:rPr>
                <w:rFonts w:hint="eastAsia" w:ascii="宋体" w:hAnsi="宋体" w:eastAsia="宋体" w:cs="宋体"/>
                <w:color w:val="auto"/>
                <w:szCs w:val="21"/>
                <w:highlight w:val="none"/>
                <w:lang w:val="zh-CN" w:bidi="ar"/>
              </w:rPr>
              <w:t>类似</w:t>
            </w:r>
            <w:r>
              <w:rPr>
                <w:rFonts w:hint="eastAsia" w:ascii="宋体" w:hAnsi="宋体" w:eastAsia="宋体" w:cs="宋体"/>
                <w:color w:val="auto"/>
                <w:szCs w:val="21"/>
                <w:highlight w:val="none"/>
                <w:lang w:val="zh-CN" w:eastAsia="zh-CN" w:bidi="ar"/>
              </w:rPr>
              <w:t>工程</w:t>
            </w:r>
            <w:r>
              <w:rPr>
                <w:rFonts w:hint="eastAsia" w:ascii="宋体" w:hAnsi="宋体" w:eastAsia="宋体" w:cs="宋体"/>
                <w:color w:val="auto"/>
                <w:szCs w:val="21"/>
                <w:highlight w:val="none"/>
                <w:lang w:val="zh-CN" w:bidi="ar"/>
              </w:rPr>
              <w:t>业绩</w:t>
            </w:r>
            <w:r>
              <w:rPr>
                <w:rFonts w:hint="eastAsia" w:ascii="宋体" w:hAnsi="宋体" w:eastAsia="宋体" w:cs="宋体"/>
                <w:color w:val="auto"/>
                <w:szCs w:val="21"/>
                <w:highlight w:val="none"/>
                <w:lang w:val="zh-CN" w:eastAsia="zh-CN" w:bidi="ar"/>
              </w:rPr>
              <w:t>的，</w:t>
            </w:r>
            <w:r>
              <w:rPr>
                <w:rFonts w:hint="eastAsia" w:ascii="宋体" w:hAnsi="宋体" w:eastAsia="宋体" w:cs="宋体"/>
                <w:color w:val="auto"/>
                <w:szCs w:val="21"/>
                <w:highlight w:val="none"/>
                <w:lang w:val="zh-CN" w:bidi="ar"/>
              </w:rPr>
              <w:t>每项得</w:t>
            </w:r>
            <w:r>
              <w:rPr>
                <w:rFonts w:hint="eastAsia" w:ascii="宋体" w:hAnsi="宋体" w:eastAsia="宋体" w:cs="宋体"/>
                <w:color w:val="auto"/>
                <w:szCs w:val="21"/>
                <w:highlight w:val="none"/>
                <w:lang w:val="zh-CN" w:eastAsia="zh-CN" w:bidi="ar"/>
              </w:rPr>
              <w:t>16</w:t>
            </w:r>
            <w:r>
              <w:rPr>
                <w:rFonts w:hint="eastAsia" w:ascii="宋体" w:hAnsi="宋体" w:eastAsia="宋体" w:cs="宋体"/>
                <w:color w:val="auto"/>
                <w:szCs w:val="21"/>
                <w:highlight w:val="none"/>
                <w:lang w:val="zh-CN" w:bidi="ar"/>
              </w:rPr>
              <w:t>分，最高得</w:t>
            </w:r>
            <w:r>
              <w:rPr>
                <w:rFonts w:hint="eastAsia" w:ascii="宋体" w:hAnsi="宋体" w:eastAsia="宋体" w:cs="宋体"/>
                <w:color w:val="auto"/>
                <w:szCs w:val="21"/>
                <w:highlight w:val="none"/>
                <w:lang w:val="zh-CN" w:eastAsia="zh-CN" w:bidi="ar"/>
              </w:rPr>
              <w:t>48</w:t>
            </w:r>
            <w:r>
              <w:rPr>
                <w:rFonts w:hint="eastAsia" w:ascii="宋体" w:hAnsi="宋体" w:eastAsia="宋体" w:cs="宋体"/>
                <w:color w:val="auto"/>
                <w:szCs w:val="21"/>
                <w:highlight w:val="none"/>
                <w:lang w:val="zh-CN" w:bidi="ar"/>
              </w:rPr>
              <w:t>分</w:t>
            </w:r>
            <w:r>
              <w:rPr>
                <w:rFonts w:hint="eastAsia" w:ascii="宋体" w:hAnsi="宋体" w:eastAsia="宋体" w:cs="宋体"/>
                <w:bCs w:val="0"/>
                <w:color w:val="auto"/>
                <w:sz w:val="21"/>
                <w:szCs w:val="21"/>
                <w:highlight w:val="none"/>
                <w:lang w:val="zh-CN" w:eastAsia="zh-CN" w:bidi="ar"/>
              </w:rPr>
              <w:t>。</w:t>
            </w:r>
          </w:p>
          <w:p>
            <w:pPr>
              <w:keepNext w:val="0"/>
              <w:keepLines w:val="0"/>
              <w:widowControl/>
              <w:numPr>
                <w:ilvl w:val="0"/>
                <w:numId w:val="0"/>
              </w:numPr>
              <w:suppressLineNumbers w:val="0"/>
              <w:adjustRightInd w:val="0"/>
              <w:snapToGrid w:val="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注：1）</w:t>
            </w:r>
            <w:r>
              <w:rPr>
                <w:rFonts w:hint="eastAsia" w:ascii="宋体" w:hAnsi="宋体" w:eastAsia="宋体" w:cs="宋体"/>
                <w:color w:val="auto"/>
                <w:sz w:val="21"/>
                <w:szCs w:val="21"/>
                <w:highlight w:val="none"/>
                <w:lang w:val="zh-CN" w:bidi="ar"/>
              </w:rPr>
              <w:t>业绩完成时间以竣工验收时间为准</w:t>
            </w:r>
            <w:r>
              <w:rPr>
                <w:rFonts w:hint="eastAsia" w:ascii="宋体" w:hAnsi="宋体" w:eastAsia="宋体" w:cs="宋体"/>
                <w:color w:val="auto"/>
                <w:kern w:val="2"/>
                <w:sz w:val="21"/>
                <w:szCs w:val="21"/>
                <w:highlight w:val="none"/>
                <w:lang w:val="zh-CN" w:eastAsia="zh-CN" w:bidi="ar"/>
              </w:rPr>
              <w:t>，</w:t>
            </w:r>
            <w:r>
              <w:rPr>
                <w:rFonts w:hint="eastAsia" w:ascii="宋体" w:hAnsi="宋体" w:eastAsia="宋体" w:cs="宋体"/>
                <w:color w:val="auto"/>
                <w:szCs w:val="21"/>
                <w:highlight w:val="none"/>
                <w:lang w:val="zh-CN" w:eastAsia="zh-CN"/>
              </w:rPr>
              <w:t>造价规模以</w:t>
            </w:r>
            <w:r>
              <w:rPr>
                <w:rFonts w:hint="eastAsia" w:ascii="宋体" w:hAnsi="宋体" w:eastAsia="宋体" w:cs="宋体"/>
                <w:color w:val="auto"/>
                <w:szCs w:val="21"/>
                <w:highlight w:val="none"/>
                <w:lang w:val="zh-CN"/>
              </w:rPr>
              <w:t>自动化控制系统</w:t>
            </w:r>
            <w:r>
              <w:rPr>
                <w:rFonts w:hint="eastAsia" w:ascii="宋体" w:hAnsi="宋体" w:eastAsia="宋体" w:cs="宋体"/>
                <w:color w:val="auto"/>
                <w:szCs w:val="21"/>
                <w:highlight w:val="none"/>
                <w:lang w:val="zh-CN" w:eastAsia="zh-CN"/>
              </w:rPr>
              <w:t>部分的造价金额为准。</w:t>
            </w:r>
          </w:p>
          <w:p>
            <w:pPr>
              <w:keepNext w:val="0"/>
              <w:keepLines w:val="0"/>
              <w:widowControl/>
              <w:numPr>
                <w:ilvl w:val="0"/>
                <w:numId w:val="0"/>
              </w:numPr>
              <w:suppressLineNumbers w:val="0"/>
              <w:adjustRightInd w:val="0"/>
              <w:snapToGrid w:val="0"/>
              <w:jc w:val="left"/>
              <w:rPr>
                <w:rFonts w:hint="eastAsia" w:ascii="宋体" w:hAnsi="宋体" w:eastAsia="宋体" w:cs="宋体"/>
                <w:color w:val="auto"/>
                <w:szCs w:val="21"/>
                <w:highlight w:val="none"/>
                <w:lang w:val="zh-CN"/>
              </w:rPr>
            </w:pPr>
            <w:r>
              <w:rPr>
                <w:rFonts w:hint="eastAsia" w:ascii="宋体" w:hAnsi="宋体" w:eastAsia="宋体" w:cs="宋体"/>
                <w:color w:val="auto"/>
                <w:sz w:val="21"/>
                <w:szCs w:val="21"/>
                <w:highlight w:val="none"/>
                <w:lang w:val="zh-CN" w:eastAsia="zh-CN" w:bidi="ar"/>
              </w:rPr>
              <w:t>2）</w:t>
            </w:r>
            <w:r>
              <w:rPr>
                <w:rFonts w:hint="eastAsia" w:ascii="宋体" w:hAnsi="宋体" w:eastAsia="宋体" w:cs="宋体"/>
                <w:color w:val="auto"/>
                <w:szCs w:val="21"/>
                <w:highlight w:val="none"/>
                <w:lang w:val="zh-CN"/>
              </w:rPr>
              <w:t>类似工程是指采用的资质类别与本招标项目采用的资质类别相同的，自来水厂或（污）净水厂自动化控制系统施工</w:t>
            </w:r>
            <w:r>
              <w:rPr>
                <w:rFonts w:hint="eastAsia" w:ascii="宋体" w:hAnsi="宋体" w:eastAsia="宋体" w:cs="宋体"/>
                <w:color w:val="auto"/>
                <w:szCs w:val="21"/>
                <w:highlight w:val="none"/>
                <w:lang w:val="zh-CN" w:eastAsia="zh-CN"/>
              </w:rPr>
              <w:t>业绩</w:t>
            </w:r>
            <w:r>
              <w:rPr>
                <w:rFonts w:hint="eastAsia" w:ascii="宋体" w:hAnsi="宋体" w:eastAsia="宋体" w:cs="宋体"/>
                <w:color w:val="auto"/>
                <w:szCs w:val="21"/>
                <w:highlight w:val="none"/>
                <w:lang w:val="zh-CN"/>
              </w:rPr>
              <w:t>。</w:t>
            </w:r>
          </w:p>
          <w:p>
            <w:pPr>
              <w:adjustRightInd w:val="0"/>
              <w:snapToGrid w:val="0"/>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eastAsia="zh-CN"/>
              </w:rPr>
              <w:t>3</w:t>
            </w:r>
            <w:r>
              <w:rPr>
                <w:rFonts w:hint="eastAsia" w:ascii="宋体" w:hAnsi="宋体" w:eastAsia="宋体" w:cs="宋体"/>
                <w:color w:val="auto"/>
                <w:szCs w:val="21"/>
                <w:highlight w:val="none"/>
                <w:lang w:val="zh-CN"/>
              </w:rPr>
              <w:t>）需同时提供中标通知书或免招标的相关证明、施工合同、竣工验收报告或竣工验收证明。类似业绩证明的信息须明确显示该业绩项目名称、中标价、规模等信息。如以上资料不能证明业绩规模的，须另提供可证明业绩</w:t>
            </w:r>
            <w:r>
              <w:rPr>
                <w:rFonts w:hint="eastAsia" w:ascii="宋体" w:hAnsi="宋体" w:eastAsia="宋体" w:cs="宋体"/>
                <w:color w:val="auto"/>
                <w:szCs w:val="21"/>
                <w:highlight w:val="none"/>
                <w:lang w:val="zh-CN" w:eastAsia="zh-CN"/>
              </w:rPr>
              <w:t>规模</w:t>
            </w:r>
            <w:r>
              <w:rPr>
                <w:rFonts w:hint="eastAsia" w:ascii="宋体" w:hAnsi="宋体" w:eastAsia="宋体" w:cs="宋体"/>
                <w:color w:val="auto"/>
                <w:szCs w:val="21"/>
                <w:highlight w:val="none"/>
                <w:lang w:val="zh-CN"/>
              </w:rPr>
              <w:t>的其他资料。由总承包单位依法分包的专业工程业绩，需同时提供总承包单位的中标通知书（扫描件）、经业主和总承包单位确认的分包合同、竣工验收报告或竣工验收证明。</w:t>
            </w:r>
          </w:p>
          <w:p>
            <w:pPr>
              <w:adjustRightInd w:val="0"/>
              <w:snapToGrid w:val="0"/>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eastAsia="zh-CN"/>
              </w:rPr>
              <w:t>4）类似业绩在中标候选人公示期间一并进行公示。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0" w:type="dxa"/>
            <w:vMerge w:val="continue"/>
            <w:tcBorders>
              <w:bottom w:val="single" w:color="auto" w:sz="4" w:space="0"/>
              <w:right w:val="single" w:color="auto" w:sz="4" w:space="0"/>
            </w:tcBorders>
            <w:noWrap w:val="0"/>
            <w:vAlign w:val="top"/>
          </w:tcPr>
          <w:p>
            <w:pPr>
              <w:spacing w:line="360" w:lineRule="auto"/>
              <w:jc w:val="center"/>
              <w:rPr>
                <w:color w:val="auto"/>
                <w:szCs w:val="21"/>
                <w:highlight w:val="none"/>
              </w:rPr>
            </w:pPr>
          </w:p>
        </w:tc>
        <w:tc>
          <w:tcPr>
            <w:tcW w:w="951" w:type="dxa"/>
            <w:vMerge w:val="continue"/>
            <w:tcBorders>
              <w:right w:val="single" w:color="auto" w:sz="4" w:space="0"/>
            </w:tcBorders>
            <w:noWrap w:val="0"/>
            <w:vAlign w:val="top"/>
          </w:tcPr>
          <w:p>
            <w:pPr>
              <w:spacing w:line="360" w:lineRule="auto"/>
              <w:jc w:val="center"/>
              <w:rPr>
                <w:rFonts w:hint="eastAsia" w:ascii="宋体" w:hAnsi="宋体" w:eastAsia="宋体" w:cs="宋体"/>
                <w:color w:val="auto"/>
                <w:szCs w:val="21"/>
                <w:highlight w:val="none"/>
              </w:rPr>
            </w:pPr>
          </w:p>
        </w:tc>
        <w:tc>
          <w:tcPr>
            <w:tcW w:w="1827" w:type="dxa"/>
            <w:tcBorders>
              <w:top w:val="single" w:color="auto" w:sz="4" w:space="0"/>
              <w:left w:val="single" w:color="auto" w:sz="4" w:space="0"/>
              <w:right w:val="single" w:color="auto" w:sz="4" w:space="0"/>
            </w:tcBorders>
            <w:noWrap w:val="0"/>
            <w:vAlign w:val="center"/>
          </w:tcPr>
          <w:p>
            <w:pPr>
              <w:numPr>
                <w:ilvl w:val="0"/>
                <w:numId w:val="0"/>
              </w:numPr>
              <w:adjustRightInd w:val="0"/>
              <w:snapToGrid w:val="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企业资信</w:t>
            </w:r>
            <w:r>
              <w:rPr>
                <w:rFonts w:hint="eastAsia" w:ascii="宋体" w:hAnsi="宋体" w:eastAsia="宋体" w:cs="宋体"/>
                <w:color w:val="auto"/>
                <w:szCs w:val="21"/>
                <w:highlight w:val="none"/>
                <w:lang w:val="zh-CN" w:eastAsia="zh-CN"/>
              </w:rPr>
              <w:t>(25</w:t>
            </w:r>
            <w:r>
              <w:rPr>
                <w:rFonts w:hint="eastAsia" w:ascii="宋体" w:hAnsi="宋体" w:eastAsia="宋体" w:cs="宋体"/>
                <w:color w:val="auto"/>
                <w:szCs w:val="21"/>
                <w:highlight w:val="none"/>
                <w:lang w:val="zh-CN"/>
              </w:rPr>
              <w:t>分）</w:t>
            </w:r>
          </w:p>
          <w:p>
            <w:pPr>
              <w:numPr>
                <w:ilvl w:val="0"/>
                <w:numId w:val="0"/>
              </w:numPr>
              <w:adjustRightInd w:val="0"/>
              <w:snapToGrid w:val="0"/>
              <w:jc w:val="left"/>
              <w:rPr>
                <w:rFonts w:hint="eastAsia" w:ascii="宋体" w:hAnsi="宋体" w:eastAsia="宋体" w:cs="宋体"/>
                <w:color w:val="auto"/>
                <w:szCs w:val="21"/>
                <w:highlight w:val="none"/>
                <w:lang w:val="zh-CN"/>
              </w:rPr>
            </w:pPr>
          </w:p>
        </w:tc>
        <w:tc>
          <w:tcPr>
            <w:tcW w:w="422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投标人具有：</w:t>
            </w:r>
          </w:p>
          <w:p>
            <w:pPr>
              <w:adjustRightInd w:val="0"/>
              <w:snapToGrid w:val="0"/>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质量管理体系认证证书（ISO9001）；</w:t>
            </w:r>
          </w:p>
          <w:p>
            <w:pPr>
              <w:adjustRightInd w:val="0"/>
              <w:snapToGrid w:val="0"/>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环境管理体系认证证书（ISO14001)；</w:t>
            </w:r>
          </w:p>
          <w:p>
            <w:pPr>
              <w:adjustRightInd w:val="0"/>
              <w:snapToGrid w:val="0"/>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职业健康安全管理体系认证证书(ISO45001)；</w:t>
            </w:r>
          </w:p>
          <w:p>
            <w:pPr>
              <w:adjustRightInd w:val="0"/>
              <w:snapToGrid w:val="0"/>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信息技术服务管理体系认证证书（ISO20000）；</w:t>
            </w:r>
          </w:p>
          <w:p>
            <w:pPr>
              <w:adjustRightInd w:val="0"/>
              <w:snapToGrid w:val="0"/>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信息安全管理体系认证证书（ISO27001）；</w:t>
            </w:r>
          </w:p>
          <w:p>
            <w:pPr>
              <w:numPr>
                <w:ilvl w:val="0"/>
                <w:numId w:val="0"/>
              </w:numPr>
              <w:adjustRightInd w:val="0"/>
              <w:snapToGrid w:val="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以上证书全部提供得</w:t>
            </w:r>
            <w:r>
              <w:rPr>
                <w:rFonts w:hint="eastAsia" w:ascii="宋体" w:hAnsi="宋体" w:eastAsia="宋体" w:cs="宋体"/>
                <w:color w:val="auto"/>
                <w:szCs w:val="21"/>
                <w:highlight w:val="none"/>
                <w:lang w:val="zh-CN" w:eastAsia="zh-CN"/>
              </w:rPr>
              <w:t>25</w:t>
            </w:r>
            <w:r>
              <w:rPr>
                <w:rFonts w:hint="eastAsia" w:ascii="宋体" w:hAnsi="宋体" w:eastAsia="宋体" w:cs="宋体"/>
                <w:color w:val="auto"/>
                <w:szCs w:val="21"/>
                <w:highlight w:val="none"/>
                <w:lang w:val="zh-CN"/>
              </w:rPr>
              <w:t>分，每缺一个扣</w:t>
            </w:r>
            <w:r>
              <w:rPr>
                <w:rFonts w:hint="eastAsia" w:ascii="宋体" w:hAnsi="宋体" w:eastAsia="宋体" w:cs="宋体"/>
                <w:color w:val="auto"/>
                <w:szCs w:val="21"/>
                <w:highlight w:val="none"/>
                <w:lang w:val="zh-CN" w:eastAsia="zh-CN"/>
              </w:rPr>
              <w:t>5</w:t>
            </w:r>
            <w:r>
              <w:rPr>
                <w:rFonts w:hint="eastAsia" w:ascii="宋体" w:hAnsi="宋体" w:eastAsia="宋体" w:cs="宋体"/>
                <w:color w:val="auto"/>
                <w:szCs w:val="21"/>
                <w:highlight w:val="none"/>
                <w:lang w:val="zh-CN"/>
              </w:rPr>
              <w:t>分，扣完为止。（证书要求须在有效期内，投标人需提供证书复印件并加盖公章否则不得分。)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09" w:hRule="atLeast"/>
        </w:trPr>
        <w:tc>
          <w:tcPr>
            <w:tcW w:w="8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val="en-US" w:eastAsia="zh-CN"/>
              </w:rPr>
              <w:t>2</w:t>
            </w:r>
            <w:r>
              <w:rPr>
                <w:rFonts w:hint="eastAsia"/>
                <w:color w:val="auto"/>
                <w:szCs w:val="21"/>
                <w:highlight w:val="none"/>
              </w:rPr>
              <w:t>.2.</w:t>
            </w:r>
            <w:r>
              <w:rPr>
                <w:rFonts w:hint="eastAsia"/>
                <w:color w:val="auto"/>
                <w:szCs w:val="21"/>
                <w:highlight w:val="none"/>
                <w:lang w:val="en-US" w:eastAsia="zh-CN"/>
              </w:rPr>
              <w:t>5（3）</w:t>
            </w:r>
          </w:p>
        </w:tc>
        <w:tc>
          <w:tcPr>
            <w:tcW w:w="95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投标报价评审</w:t>
            </w:r>
          </w:p>
        </w:tc>
        <w:tc>
          <w:tcPr>
            <w:tcW w:w="6056"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投标报价</w:t>
            </w:r>
            <w:r>
              <w:rPr>
                <w:rFonts w:hint="eastAsia" w:ascii="宋体" w:hAnsi="宋体" w:eastAsia="宋体" w:cs="宋体"/>
                <w:color w:val="auto"/>
                <w:szCs w:val="21"/>
                <w:highlight w:val="none"/>
                <w:lang w:val="en-US" w:eastAsia="zh-CN"/>
              </w:rPr>
              <w:t>评审</w:t>
            </w:r>
            <w:r>
              <w:rPr>
                <w:rFonts w:hint="eastAsia" w:ascii="宋体" w:hAnsi="宋体" w:eastAsia="宋体" w:cs="宋体"/>
                <w:color w:val="auto"/>
                <w:szCs w:val="21"/>
                <w:highlight w:val="none"/>
              </w:rPr>
              <w:t>分:投标报价等于评标基准价的得100分。投标报价比评标基准价每高1%扣</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分，每低1%扣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分，扣至0分为止，投标报价偏差率=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投标报价-评标基准价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评标基准价×100%。本项目投标报价得分=投标报价评审分×</w:t>
            </w:r>
            <w:r>
              <w:rPr>
                <w:rFonts w:hint="eastAsia" w:ascii="宋体" w:hAnsi="宋体" w:eastAsia="宋体" w:cs="宋体"/>
                <w:color w:val="auto"/>
                <w:szCs w:val="21"/>
                <w:highlight w:val="none"/>
                <w:lang w:eastAsia="zh-CN"/>
              </w:rPr>
              <w:t>8</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w:t>
            </w:r>
          </w:p>
        </w:tc>
      </w:tr>
    </w:tbl>
    <w:p>
      <w:pPr>
        <w:pStyle w:val="17"/>
        <w:spacing w:after="0" w:line="360" w:lineRule="auto"/>
        <w:ind w:firstLine="482" w:firstLineChars="200"/>
        <w:rPr>
          <w:rFonts w:ascii="宋体" w:hAnsi="宋体" w:eastAsia="宋体"/>
          <w:b/>
          <w:bCs/>
          <w:color w:val="auto"/>
          <w:sz w:val="24"/>
          <w:szCs w:val="24"/>
          <w:highlight w:val="none"/>
        </w:rPr>
      </w:pPr>
      <w:bookmarkStart w:id="300" w:name="_Toc179632618"/>
      <w:bookmarkStart w:id="301" w:name="_Toc144974567"/>
      <w:bookmarkStart w:id="302" w:name="_Toc152042377"/>
      <w:bookmarkStart w:id="303" w:name="_Toc152045600"/>
    </w:p>
    <w:p>
      <w:pPr>
        <w:pStyle w:val="17"/>
        <w:spacing w:after="0" w:line="360" w:lineRule="auto"/>
        <w:ind w:firstLine="482" w:firstLineChars="200"/>
        <w:rPr>
          <w:rFonts w:hint="eastAsia" w:ascii="宋体" w:hAnsi="宋体" w:eastAsia="宋体"/>
          <w:b/>
          <w:bCs/>
          <w:color w:val="auto"/>
          <w:sz w:val="24"/>
          <w:szCs w:val="24"/>
          <w:highlight w:val="none"/>
        </w:rPr>
        <w:sectPr>
          <w:footerReference r:id="rId3" w:type="default"/>
          <w:pgSz w:w="11906" w:h="16838"/>
          <w:pgMar w:top="1440" w:right="1797" w:bottom="1440" w:left="1797" w:header="851" w:footer="992" w:gutter="0"/>
          <w:pgNumType w:fmt="decimal" w:start="1"/>
          <w:cols w:space="720" w:num="1"/>
          <w:docGrid w:linePitch="312" w:charSpace="0"/>
        </w:sectPr>
      </w:pPr>
    </w:p>
    <w:p>
      <w:pPr>
        <w:pStyle w:val="17"/>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 评标方法</w:t>
      </w:r>
      <w:bookmarkEnd w:id="300"/>
      <w:bookmarkEnd w:id="301"/>
      <w:bookmarkEnd w:id="302"/>
      <w:bookmarkEnd w:id="303"/>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本次评标采用综合评估法</w:t>
      </w:r>
      <w:r>
        <w:rPr>
          <w:rFonts w:hint="eastAsia" w:ascii="宋体" w:hAnsi="宋体"/>
          <w:color w:val="auto"/>
          <w:sz w:val="24"/>
          <w:highlight w:val="none"/>
          <w:lang w:val="en-US" w:eastAsia="zh-CN"/>
        </w:rPr>
        <w:t>一</w:t>
      </w:r>
      <w:r>
        <w:rPr>
          <w:rFonts w:hint="eastAsia" w:ascii="宋体" w:hAnsi="宋体"/>
          <w:color w:val="auto"/>
          <w:sz w:val="24"/>
          <w:highlight w:val="none"/>
        </w:rPr>
        <w:t>。评标委员会对满足招标文件实质性要求的投标文件，按照本章第2.2款规定的评分标准进行打分，并按得分由高到低顺序推荐中标候选人，或根据招标人授权直接确定中标人，但投标报价低于其成本的除外。</w:t>
      </w:r>
      <w:r>
        <w:rPr>
          <w:rFonts w:hint="eastAsia" w:ascii="宋体" w:hAnsi="宋体" w:eastAsia="宋体"/>
          <w:color w:val="auto"/>
          <w:sz w:val="24"/>
          <w:szCs w:val="24"/>
          <w:highlight w:val="none"/>
          <w:u w:val="single"/>
          <w:lang w:eastAsia="zh-CN"/>
        </w:rPr>
        <w:t>总得</w:t>
      </w:r>
      <w:r>
        <w:rPr>
          <w:rFonts w:hint="eastAsia" w:ascii="宋体" w:hAnsi="宋体"/>
          <w:color w:val="auto"/>
          <w:sz w:val="24"/>
          <w:szCs w:val="24"/>
          <w:highlight w:val="none"/>
          <w:u w:val="single"/>
        </w:rPr>
        <w:t>分相</w:t>
      </w:r>
      <w:r>
        <w:rPr>
          <w:rFonts w:hint="eastAsia" w:ascii="宋体" w:hAnsi="宋体" w:eastAsia="宋体"/>
          <w:color w:val="auto"/>
          <w:sz w:val="24"/>
          <w:szCs w:val="24"/>
          <w:highlight w:val="none"/>
          <w:u w:val="single"/>
          <w:lang w:eastAsia="zh-CN"/>
        </w:rPr>
        <w:t>同的投标文件</w:t>
      </w:r>
      <w:r>
        <w:rPr>
          <w:rFonts w:hint="eastAsia" w:ascii="宋体" w:hAnsi="宋体"/>
          <w:color w:val="auto"/>
          <w:sz w:val="24"/>
          <w:szCs w:val="24"/>
          <w:highlight w:val="none"/>
          <w:u w:val="single"/>
        </w:rPr>
        <w:t>，</w:t>
      </w:r>
      <w:r>
        <w:rPr>
          <w:rFonts w:hint="eastAsia" w:ascii="宋体" w:hAnsi="宋体" w:eastAsia="宋体"/>
          <w:color w:val="auto"/>
          <w:sz w:val="24"/>
          <w:szCs w:val="24"/>
          <w:highlight w:val="none"/>
          <w:u w:val="single"/>
          <w:lang w:eastAsia="zh-CN"/>
        </w:rPr>
        <w:t>以报价较低的排前；总得分与报价均相同的投标文件，以</w:t>
      </w:r>
      <w:r>
        <w:rPr>
          <w:rFonts w:hint="eastAsia"/>
          <w:color w:val="auto"/>
          <w:sz w:val="24"/>
          <w:szCs w:val="24"/>
          <w:highlight w:val="none"/>
          <w:u w:val="single"/>
          <w:lang w:eastAsia="zh-CN"/>
        </w:rPr>
        <w:t>技术</w:t>
      </w:r>
      <w:r>
        <w:rPr>
          <w:rFonts w:hint="eastAsia"/>
          <w:color w:val="auto"/>
          <w:sz w:val="24"/>
          <w:szCs w:val="24"/>
          <w:highlight w:val="none"/>
          <w:u w:val="single"/>
        </w:rPr>
        <w:t>评审得分</w:t>
      </w:r>
      <w:r>
        <w:rPr>
          <w:rFonts w:hint="eastAsia" w:eastAsia="宋体"/>
          <w:color w:val="auto"/>
          <w:sz w:val="24"/>
          <w:szCs w:val="24"/>
          <w:highlight w:val="none"/>
          <w:u w:val="single"/>
          <w:lang w:eastAsia="zh-CN"/>
        </w:rPr>
        <w:t>较</w:t>
      </w:r>
      <w:r>
        <w:rPr>
          <w:rFonts w:hint="eastAsia"/>
          <w:color w:val="auto"/>
          <w:sz w:val="24"/>
          <w:szCs w:val="24"/>
          <w:highlight w:val="none"/>
          <w:u w:val="single"/>
        </w:rPr>
        <w:t>高的</w:t>
      </w:r>
      <w:r>
        <w:rPr>
          <w:rFonts w:hint="eastAsia" w:eastAsia="宋体"/>
          <w:color w:val="auto"/>
          <w:sz w:val="24"/>
          <w:szCs w:val="24"/>
          <w:highlight w:val="none"/>
          <w:u w:val="single"/>
          <w:lang w:eastAsia="zh-CN"/>
        </w:rPr>
        <w:t>排前</w:t>
      </w:r>
      <w:r>
        <w:rPr>
          <w:rFonts w:hint="eastAsia"/>
          <w:color w:val="auto"/>
          <w:sz w:val="24"/>
          <w:szCs w:val="24"/>
          <w:highlight w:val="none"/>
          <w:u w:val="single"/>
        </w:rPr>
        <w:t>；</w:t>
      </w:r>
      <w:r>
        <w:rPr>
          <w:rFonts w:hint="eastAsia" w:eastAsia="宋体"/>
          <w:color w:val="auto"/>
          <w:sz w:val="24"/>
          <w:szCs w:val="24"/>
          <w:highlight w:val="none"/>
          <w:u w:val="single"/>
          <w:lang w:eastAsia="zh-CN"/>
        </w:rPr>
        <w:t>如仍存在相同情况，则对具有相同情况的投标人</w:t>
      </w:r>
      <w:r>
        <w:rPr>
          <w:rFonts w:hint="eastAsia"/>
          <w:color w:val="auto"/>
          <w:sz w:val="24"/>
          <w:szCs w:val="24"/>
          <w:highlight w:val="none"/>
          <w:u w:val="single"/>
        </w:rPr>
        <w:t>，</w:t>
      </w:r>
      <w:r>
        <w:rPr>
          <w:rFonts w:hint="eastAsia"/>
          <w:color w:val="auto"/>
          <w:sz w:val="24"/>
          <w:highlight w:val="none"/>
          <w:u w:val="single"/>
        </w:rPr>
        <w:t>由评委通过记名投标表决（不得弃权），以“少数服从多数”的原则确定排序。</w:t>
      </w:r>
    </w:p>
    <w:p>
      <w:pPr>
        <w:pStyle w:val="17"/>
        <w:spacing w:after="0" w:line="360" w:lineRule="auto"/>
        <w:ind w:firstLine="482" w:firstLineChars="200"/>
        <w:rPr>
          <w:rFonts w:ascii="宋体" w:hAnsi="宋体" w:eastAsia="宋体"/>
          <w:b/>
          <w:bCs/>
          <w:color w:val="auto"/>
          <w:sz w:val="24"/>
          <w:szCs w:val="24"/>
          <w:highlight w:val="none"/>
        </w:rPr>
      </w:pPr>
      <w:bookmarkStart w:id="304" w:name="_Toc152042378"/>
      <w:bookmarkStart w:id="305" w:name="_Toc144974568"/>
      <w:bookmarkStart w:id="306" w:name="_Toc152045601"/>
      <w:bookmarkStart w:id="307" w:name="_Toc179632619"/>
      <w:r>
        <w:rPr>
          <w:rFonts w:hint="eastAsia" w:ascii="宋体" w:hAnsi="宋体" w:eastAsia="宋体"/>
          <w:b/>
          <w:bCs/>
          <w:color w:val="auto"/>
          <w:sz w:val="24"/>
          <w:szCs w:val="24"/>
          <w:highlight w:val="none"/>
        </w:rPr>
        <w:t>2. 评审标准</w:t>
      </w:r>
      <w:bookmarkEnd w:id="304"/>
      <w:bookmarkEnd w:id="305"/>
      <w:bookmarkEnd w:id="306"/>
      <w:bookmarkEnd w:id="307"/>
    </w:p>
    <w:p>
      <w:pPr>
        <w:spacing w:line="360" w:lineRule="auto"/>
        <w:ind w:firstLine="480" w:firstLineChars="200"/>
        <w:rPr>
          <w:rFonts w:ascii="宋体" w:hAnsi="宋体"/>
          <w:color w:val="auto"/>
          <w:sz w:val="24"/>
          <w:highlight w:val="none"/>
        </w:rPr>
      </w:pPr>
      <w:bookmarkStart w:id="308" w:name="_Toc144974569"/>
      <w:bookmarkStart w:id="309" w:name="_Toc152042379"/>
      <w:bookmarkStart w:id="310" w:name="_Toc152045602"/>
      <w:bookmarkStart w:id="311" w:name="_Toc179632620"/>
      <w:r>
        <w:rPr>
          <w:rFonts w:hint="eastAsia" w:ascii="宋体" w:hAnsi="宋体"/>
          <w:color w:val="auto"/>
          <w:sz w:val="24"/>
          <w:highlight w:val="none"/>
        </w:rPr>
        <w:t>2.1 初步评审标准</w:t>
      </w:r>
      <w:bookmarkEnd w:id="308"/>
      <w:bookmarkEnd w:id="309"/>
      <w:bookmarkEnd w:id="310"/>
      <w:bookmarkEnd w:id="311"/>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2.1.1 资格评审标准：见评标办法前附表。</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2.1.2 形式评审标准：见评标办法前附表。</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2.1.3 响应性评审标准：见评标办法前附表。</w:t>
      </w:r>
    </w:p>
    <w:p>
      <w:pPr>
        <w:spacing w:line="360" w:lineRule="auto"/>
        <w:ind w:firstLine="480" w:firstLineChars="200"/>
        <w:rPr>
          <w:rFonts w:hint="eastAsia" w:ascii="宋体" w:hAnsi="宋体"/>
          <w:color w:val="auto"/>
          <w:sz w:val="24"/>
          <w:highlight w:val="none"/>
          <w:u w:val="none"/>
        </w:rPr>
      </w:pPr>
      <w:bookmarkStart w:id="312" w:name="_Toc152045603"/>
      <w:bookmarkStart w:id="313" w:name="_Toc152042380"/>
      <w:bookmarkStart w:id="314" w:name="_Toc179632621"/>
      <w:bookmarkStart w:id="315" w:name="_Toc144974570"/>
      <w:r>
        <w:rPr>
          <w:rFonts w:hint="eastAsia" w:ascii="Calibri" w:hAnsi="Calibri" w:eastAsia="宋体" w:cs="Times New Roman"/>
          <w:color w:val="auto"/>
          <w:kern w:val="2"/>
          <w:sz w:val="24"/>
          <w:highlight w:val="none"/>
          <w:u w:val="none"/>
          <w:lang w:val="en-US" w:eastAsia="zh-CN"/>
        </w:rPr>
        <w:t>注：</w:t>
      </w:r>
      <w:r>
        <w:rPr>
          <w:rFonts w:hint="eastAsia" w:ascii="Calibri" w:hAnsi="Calibri" w:eastAsia="宋体" w:cs="Times New Roman"/>
          <w:b w:val="0"/>
          <w:bCs w:val="0"/>
          <w:color w:val="auto"/>
          <w:kern w:val="2"/>
          <w:sz w:val="24"/>
          <w:highlight w:val="none"/>
          <w:u w:val="none"/>
        </w:rPr>
        <w:t>不得将文件顺序、明显的文字错误等列为否决投标的情形。评委发现</w:t>
      </w:r>
      <w:r>
        <w:rPr>
          <w:rFonts w:hint="eastAsia" w:ascii="Calibri" w:hAnsi="Calibri" w:eastAsia="宋体" w:cs="Times New Roman"/>
          <w:b w:val="0"/>
          <w:bCs w:val="0"/>
          <w:color w:val="auto"/>
          <w:kern w:val="2"/>
          <w:sz w:val="24"/>
          <w:highlight w:val="none"/>
          <w:u w:val="none"/>
          <w:lang w:eastAsia="zh-CN"/>
        </w:rPr>
        <w:t>投标</w:t>
      </w:r>
      <w:r>
        <w:rPr>
          <w:rFonts w:hint="eastAsia" w:ascii="Calibri" w:hAnsi="Calibri" w:eastAsia="宋体" w:cs="Times New Roman"/>
          <w:b w:val="0"/>
          <w:bCs w:val="0"/>
          <w:color w:val="auto"/>
          <w:kern w:val="2"/>
          <w:sz w:val="24"/>
          <w:highlight w:val="none"/>
          <w:u w:val="none"/>
        </w:rPr>
        <w:t>文件中含义不明确、对同类问题表述不一致、有明显文字和计算错误</w:t>
      </w:r>
      <w:r>
        <w:rPr>
          <w:rFonts w:hint="eastAsia" w:ascii="Calibri" w:hAnsi="Calibri" w:eastAsia="宋体" w:cs="Times New Roman"/>
          <w:b w:val="0"/>
          <w:bCs w:val="0"/>
          <w:color w:val="auto"/>
          <w:kern w:val="2"/>
          <w:sz w:val="24"/>
          <w:highlight w:val="none"/>
          <w:u w:val="none"/>
          <w:lang w:eastAsia="zh-CN"/>
        </w:rPr>
        <w:t>、投标报价可能低于成本影响履约的，</w:t>
      </w:r>
      <w:r>
        <w:rPr>
          <w:rFonts w:hint="eastAsia" w:ascii="Calibri" w:hAnsi="Calibri" w:eastAsia="宋体" w:cs="Times New Roman"/>
          <w:b w:val="0"/>
          <w:bCs w:val="0"/>
          <w:color w:val="auto"/>
          <w:kern w:val="2"/>
          <w:sz w:val="24"/>
          <w:highlight w:val="none"/>
          <w:u w:val="none"/>
        </w:rPr>
        <w:t>应当要求投标人作必要的澄清、说明后再判定投标人是否通过</w:t>
      </w:r>
      <w:r>
        <w:rPr>
          <w:rFonts w:hint="eastAsia" w:ascii="Calibri" w:hAnsi="Calibri" w:eastAsia="宋体" w:cs="Times New Roman"/>
          <w:b w:val="0"/>
          <w:bCs w:val="0"/>
          <w:color w:val="auto"/>
          <w:kern w:val="2"/>
          <w:sz w:val="24"/>
          <w:highlight w:val="none"/>
          <w:u w:val="none"/>
          <w:lang w:eastAsia="zh-CN"/>
        </w:rPr>
        <w:t>初步评审</w:t>
      </w:r>
      <w:r>
        <w:rPr>
          <w:rFonts w:hint="eastAsia" w:ascii="Calibri" w:hAnsi="Calibri" w:eastAsia="宋体" w:cs="Times New Roman"/>
          <w:b w:val="0"/>
          <w:bCs w:val="0"/>
          <w:color w:val="auto"/>
          <w:kern w:val="2"/>
          <w:sz w:val="24"/>
          <w:highlight w:val="none"/>
          <w:u w:val="none"/>
        </w:rPr>
        <w:t>，不得直接认定其不通过</w:t>
      </w:r>
      <w:r>
        <w:rPr>
          <w:rFonts w:hint="eastAsia" w:ascii="Calibri" w:hAnsi="Calibri" w:eastAsia="宋体" w:cs="Times New Roman"/>
          <w:b w:val="0"/>
          <w:bCs w:val="0"/>
          <w:color w:val="auto"/>
          <w:kern w:val="2"/>
          <w:sz w:val="24"/>
          <w:highlight w:val="none"/>
          <w:u w:val="none"/>
          <w:lang w:eastAsia="zh-CN"/>
        </w:rPr>
        <w:t>初步评审</w:t>
      </w:r>
      <w:r>
        <w:rPr>
          <w:rFonts w:hint="eastAsia" w:ascii="Calibri" w:hAnsi="Calibri" w:eastAsia="宋体" w:cs="Times New Roman"/>
          <w:b w:val="0"/>
          <w:bCs w:val="0"/>
          <w:color w:val="auto"/>
          <w:kern w:val="2"/>
          <w:sz w:val="24"/>
          <w:highlight w:val="none"/>
          <w:u w:val="none"/>
        </w:rPr>
        <w:t>。</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 分值构成与评分标准</w:t>
      </w:r>
      <w:bookmarkEnd w:id="312"/>
      <w:bookmarkEnd w:id="313"/>
      <w:bookmarkEnd w:id="314"/>
      <w:bookmarkEnd w:id="315"/>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2.2.1 分值构成</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（1）技术部分：见评标办法前附表；</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（2）商务部分：见评标办法前附表；</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（3）投标报价：见评标办法前附表；</w:t>
      </w:r>
    </w:p>
    <w:p>
      <w:pPr>
        <w:spacing w:line="360" w:lineRule="auto"/>
        <w:ind w:firstLine="480" w:firstLineChars="200"/>
        <w:rPr>
          <w:rFonts w:ascii="宋体" w:hAnsi="宋体"/>
          <w:color w:val="auto"/>
          <w:sz w:val="24"/>
          <w:highlight w:val="none"/>
        </w:rPr>
      </w:pP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2.2.2</w:t>
      </w:r>
      <w:r>
        <w:rPr>
          <w:rFonts w:ascii="宋体" w:hAnsi="宋体"/>
          <w:color w:val="auto"/>
          <w:sz w:val="24"/>
          <w:highlight w:val="none"/>
        </w:rPr>
        <w:t xml:space="preserve"> </w:t>
      </w:r>
      <w:r>
        <w:rPr>
          <w:rFonts w:hint="eastAsia" w:ascii="宋体" w:hAnsi="宋体"/>
          <w:color w:val="auto"/>
          <w:sz w:val="24"/>
          <w:highlight w:val="none"/>
        </w:rPr>
        <w:t>有效投标报价</w:t>
      </w:r>
    </w:p>
    <w:p>
      <w:pPr>
        <w:spacing w:line="360" w:lineRule="auto"/>
        <w:ind w:firstLine="480" w:firstLineChars="200"/>
        <w:rPr>
          <w:rFonts w:hint="eastAsia" w:ascii="宋体" w:hAnsi="宋体" w:eastAsia="宋体" w:cs="宋体"/>
          <w:strike w:val="0"/>
          <w:color w:val="auto"/>
          <w:sz w:val="24"/>
          <w:highlight w:val="none"/>
        </w:rPr>
      </w:pPr>
      <w:r>
        <w:rPr>
          <w:rFonts w:hint="eastAsia" w:ascii="宋体" w:hAnsi="宋体"/>
          <w:color w:val="auto"/>
          <w:sz w:val="24"/>
          <w:highlight w:val="none"/>
        </w:rPr>
        <w:t>通过初步评审的投标报价为有效投标报价，</w:t>
      </w:r>
      <w:r>
        <w:rPr>
          <w:rFonts w:hint="eastAsia" w:ascii="宋体" w:hAnsi="宋体"/>
          <w:color w:val="auto"/>
          <w:sz w:val="24"/>
          <w:highlight w:val="none"/>
          <w:lang w:val="en-US" w:eastAsia="zh-CN"/>
        </w:rPr>
        <w:t>且</w:t>
      </w:r>
      <w:r>
        <w:rPr>
          <w:rFonts w:hint="eastAsia" w:ascii="宋体" w:hAnsi="宋体"/>
          <w:color w:val="auto"/>
          <w:sz w:val="24"/>
          <w:highlight w:val="none"/>
        </w:rPr>
        <w:t>投标报价不得低于成本价，否则投标报价为无效投标报价。</w:t>
      </w:r>
      <w:r>
        <w:rPr>
          <w:rFonts w:hint="eastAsia" w:ascii="宋体" w:hAnsi="宋体" w:eastAsia="宋体" w:cs="宋体"/>
          <w:color w:val="auto"/>
          <w:sz w:val="24"/>
          <w:highlight w:val="none"/>
        </w:rPr>
        <w:t>非竞争性费用须与招标人发布的金额一致，不一致的投标报价无效。</w:t>
      </w:r>
      <w:r>
        <w:rPr>
          <w:rFonts w:hint="eastAsia" w:ascii="宋体" w:hAnsi="宋体" w:eastAsia="宋体" w:cs="宋体"/>
          <w:strike w:val="0"/>
          <w:color w:val="auto"/>
          <w:sz w:val="24"/>
          <w:highlight w:val="none"/>
        </w:rPr>
        <w:t>评标时，评标委员会发现投标人的报价明显低于其他投标报价，或者低于成本警示价的报价，使得其投标报价可能低于其成本的，应当要求该投标人作出书面说明并提供相应的证明材料。投标人不能合理说明或者不能提供相应证明材料的，由评标委员会认定该投标人以低于成本报价竞标，评标委员会应当否决其投标。</w:t>
      </w:r>
    </w:p>
    <w:p>
      <w:pPr>
        <w:spacing w:line="360" w:lineRule="auto"/>
        <w:ind w:firstLine="480" w:firstLineChars="200"/>
        <w:rPr>
          <w:rFonts w:ascii="宋体" w:hAnsi="宋体"/>
          <w:color w:val="auto"/>
          <w:sz w:val="24"/>
          <w:highlight w:val="none"/>
        </w:rPr>
      </w:pP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w:t>
      </w:r>
      <w:r>
        <w:rPr>
          <w:rFonts w:ascii="宋体" w:hAnsi="宋体"/>
          <w:color w:val="auto"/>
          <w:sz w:val="24"/>
          <w:highlight w:val="none"/>
        </w:rPr>
        <w:t>3</w:t>
      </w:r>
      <w:r>
        <w:rPr>
          <w:rFonts w:hint="eastAsia" w:ascii="宋体" w:hAnsi="宋体"/>
          <w:color w:val="auto"/>
          <w:sz w:val="24"/>
          <w:highlight w:val="none"/>
        </w:rPr>
        <w:t xml:space="preserve"> 评标基准价计算</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评标基准价可按以下方式确定：</w:t>
      </w:r>
    </w:p>
    <w:p>
      <w:pPr>
        <w:spacing w:beforeLines="0" w:afterLines="0"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方式</w:t>
      </w:r>
      <w:r>
        <w:rPr>
          <w:rFonts w:hint="eastAsia" w:ascii="宋体" w:hAnsi="宋体" w:eastAsia="宋体" w:cs="宋体"/>
          <w:b/>
          <w:color w:val="auto"/>
          <w:sz w:val="24"/>
          <w:szCs w:val="24"/>
          <w:highlight w:val="none"/>
          <w:lang w:eastAsia="zh-CN"/>
        </w:rPr>
        <w:t>四</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rPr>
        <w:t>将技术评审排序</w:t>
      </w:r>
      <w:r>
        <w:rPr>
          <w:rFonts w:hint="eastAsia" w:ascii="宋体" w:hAnsi="宋体" w:eastAsia="宋体" w:cs="宋体"/>
          <w:color w:val="auto"/>
          <w:sz w:val="24"/>
          <w:szCs w:val="24"/>
          <w:highlight w:val="none"/>
          <w:lang w:eastAsia="zh-CN"/>
        </w:rPr>
        <w:t>。</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a、当有效投标报价的投标人少于或等于7个时，取全部有效投标报价的算术平均按随机抽取的评标基准价下浮率（2～5%，0.5一个级别）下浮作为评标基准价。</w:t>
      </w:r>
    </w:p>
    <w:p>
      <w:pPr>
        <w:pBdr>
          <w:top w:val="none" w:color="auto" w:sz="0" w:space="0"/>
          <w:left w:val="none" w:color="auto" w:sz="0" w:space="0"/>
          <w:bottom w:val="none" w:color="auto" w:sz="0" w:space="0"/>
          <w:right w:val="none" w:color="auto" w:sz="0" w:space="0"/>
          <w:between w:val="none" w:color="auto" w:sz="0" w:space="0"/>
        </w:pBd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b、当有效投标报价的投标人大于7个小于10个时，从全部有效投标报价中去掉一个最大值和最小值，其他有效投标报价的算术平均值按随机抽取的评标基准价下浮率（2～5%，0.5一个级别）下浮作为评标基准价。</w:t>
      </w:r>
    </w:p>
    <w:p>
      <w:pPr>
        <w:spacing w:beforeLines="0" w:afterLines="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c、当有效投标报价的投标人数量大于或等于10时，随机从前</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名抽取</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个有效投标报价并从中去掉一个最大值和最小值后计算算术平均值，该平均值按随机抽取的评标基准价下浮率（2～5%，0.5一个级别）下浮作为评标基准价。</w:t>
      </w:r>
    </w:p>
    <w:p>
      <w:pPr>
        <w:pStyle w:val="25"/>
        <w:rPr>
          <w:rFonts w:hint="eastAsia" w:eastAsia="宋体"/>
          <w:color w:val="auto"/>
          <w:highlight w:val="none"/>
          <w:lang w:val="en-US" w:eastAsia="zh-CN"/>
        </w:rPr>
      </w:pPr>
      <w:r>
        <w:rPr>
          <w:rFonts w:hint="eastAsia" w:ascii="宋体" w:hAnsi="宋体" w:eastAsia="宋体" w:cs="宋体"/>
          <w:color w:val="auto"/>
          <w:sz w:val="24"/>
          <w:szCs w:val="24"/>
          <w:highlight w:val="none"/>
          <w:lang w:eastAsia="zh-CN"/>
        </w:rPr>
        <w:t>技术评审相同的，由评标委员会采用记名投票方式，确定投标人的排序。</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2.2.4投标报价偏差率计算</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投标报价的偏差率计算公式：见评标办法前附表；</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w:t>
      </w:r>
      <w:r>
        <w:rPr>
          <w:rFonts w:ascii="宋体" w:hAnsi="宋体"/>
          <w:color w:val="auto"/>
          <w:sz w:val="24"/>
          <w:highlight w:val="none"/>
        </w:rPr>
        <w:t>5</w:t>
      </w:r>
      <w:r>
        <w:rPr>
          <w:rFonts w:hint="eastAsia" w:ascii="宋体" w:hAnsi="宋体"/>
          <w:color w:val="auto"/>
          <w:sz w:val="24"/>
          <w:highlight w:val="none"/>
        </w:rPr>
        <w:t xml:space="preserve"> 评分标准</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（1）技术部分评分标准：见评标办法前附表；</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（2）商务部分评分标准：见评标办法前附表；</w:t>
      </w:r>
    </w:p>
    <w:p>
      <w:pPr>
        <w:spacing w:line="360" w:lineRule="auto"/>
        <w:ind w:firstLine="420" w:firstLineChars="200"/>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注：</w:t>
      </w:r>
      <w:r>
        <w:rPr>
          <w:rFonts w:hint="eastAsia"/>
          <w:color w:val="auto"/>
          <w:sz w:val="21"/>
          <w:szCs w:val="21"/>
          <w:highlight w:val="none"/>
        </w:rPr>
        <w:t>投标人的诚信评价总分取自本项目招标公告发布第1天所在季度的上一季度</w:t>
      </w:r>
      <w:r>
        <w:rPr>
          <w:rFonts w:hint="eastAsia"/>
          <w:color w:val="auto"/>
          <w:sz w:val="21"/>
          <w:szCs w:val="21"/>
          <w:highlight w:val="none"/>
          <w:lang w:val="en-US" w:eastAsia="zh-CN"/>
        </w:rPr>
        <w:t>的</w:t>
      </w:r>
      <w:r>
        <w:rPr>
          <w:rFonts w:hint="eastAsia"/>
          <w:color w:val="auto"/>
          <w:sz w:val="21"/>
          <w:szCs w:val="21"/>
          <w:highlight w:val="none"/>
        </w:rPr>
        <w:t>诚信综合评价分。</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（3）投标报价评分标准：见评标办法前附表；</w:t>
      </w:r>
    </w:p>
    <w:p>
      <w:pPr>
        <w:spacing w:line="360" w:lineRule="auto"/>
        <w:ind w:firstLine="480" w:firstLineChars="200"/>
        <w:rPr>
          <w:rFonts w:ascii="宋体" w:hAnsi="宋体"/>
          <w:color w:val="auto"/>
          <w:sz w:val="24"/>
          <w:highlight w:val="none"/>
        </w:rPr>
      </w:pPr>
    </w:p>
    <w:p>
      <w:pPr>
        <w:pStyle w:val="17"/>
        <w:spacing w:after="0" w:line="360" w:lineRule="auto"/>
        <w:ind w:firstLine="482" w:firstLineChars="200"/>
        <w:rPr>
          <w:rFonts w:ascii="宋体" w:hAnsi="宋体" w:eastAsia="宋体"/>
          <w:b/>
          <w:bCs/>
          <w:color w:val="auto"/>
          <w:sz w:val="24"/>
          <w:szCs w:val="24"/>
          <w:highlight w:val="none"/>
        </w:rPr>
      </w:pPr>
      <w:bookmarkStart w:id="316" w:name="_Toc144974571"/>
      <w:bookmarkStart w:id="317" w:name="_Toc179632622"/>
      <w:bookmarkStart w:id="318" w:name="_Toc152042381"/>
      <w:bookmarkStart w:id="319" w:name="_Toc152045604"/>
      <w:r>
        <w:rPr>
          <w:rFonts w:hint="eastAsia" w:ascii="宋体" w:hAnsi="宋体" w:eastAsia="宋体"/>
          <w:b/>
          <w:bCs/>
          <w:color w:val="auto"/>
          <w:sz w:val="24"/>
          <w:szCs w:val="24"/>
          <w:highlight w:val="none"/>
        </w:rPr>
        <w:t>3. 评标程序</w:t>
      </w:r>
      <w:bookmarkEnd w:id="316"/>
      <w:bookmarkEnd w:id="317"/>
      <w:bookmarkEnd w:id="318"/>
      <w:bookmarkEnd w:id="319"/>
    </w:p>
    <w:p>
      <w:pPr>
        <w:spacing w:line="360" w:lineRule="auto"/>
        <w:ind w:firstLine="480" w:firstLineChars="200"/>
        <w:rPr>
          <w:rFonts w:ascii="宋体" w:hAnsi="宋体"/>
          <w:color w:val="auto"/>
          <w:sz w:val="24"/>
          <w:highlight w:val="none"/>
        </w:rPr>
      </w:pPr>
      <w:bookmarkStart w:id="320" w:name="_Toc144974572"/>
      <w:bookmarkStart w:id="321" w:name="_Toc179632623"/>
      <w:bookmarkStart w:id="322" w:name="_Toc152042382"/>
      <w:bookmarkStart w:id="323" w:name="_Toc152045605"/>
      <w:r>
        <w:rPr>
          <w:rFonts w:hint="eastAsia" w:ascii="宋体" w:hAnsi="宋体"/>
          <w:color w:val="auto"/>
          <w:sz w:val="24"/>
          <w:highlight w:val="none"/>
        </w:rPr>
        <w:t>3.1 初步评审</w:t>
      </w:r>
      <w:bookmarkEnd w:id="320"/>
      <w:bookmarkEnd w:id="321"/>
      <w:bookmarkEnd w:id="322"/>
      <w:bookmarkEnd w:id="323"/>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3.1.1 评标委员会可以要求投标人提交第二章“投标人须知”第3.5节规定的有关证明和证件的原件，以便核验。评标委员会依据本章第2.1节规定的标准对投标文件进行初步评审。有一项不符合评审标准的，评标委员会应当否决其投标。通过资格审查的单位少于3家的或通过初步评审的单位少于3家的，重新招标。</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3.1.2 投标人有以下情形之一的，评标委员会应当否决其投标。：</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（1）第二章“投标人须知”第</w:t>
      </w:r>
      <w:r>
        <w:rPr>
          <w:rFonts w:hint="eastAsia" w:ascii="宋体" w:hAnsi="宋体"/>
          <w:color w:val="auto"/>
          <w:sz w:val="24"/>
          <w:highlight w:val="none"/>
          <w:lang w:val="en-US" w:eastAsia="zh-CN"/>
        </w:rPr>
        <w:t>1.4.3</w:t>
      </w:r>
      <w:r>
        <w:rPr>
          <w:rFonts w:hint="eastAsia" w:ascii="宋体" w:hAnsi="宋体"/>
          <w:color w:val="auto"/>
          <w:sz w:val="24"/>
          <w:highlight w:val="none"/>
        </w:rPr>
        <w:t>项规定的任何一种情形的；</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（2）串通投标或弄虚作假或有其他违法行为的；</w:t>
      </w:r>
    </w:p>
    <w:p>
      <w:pPr>
        <w:spacing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（3）不按评标委员会要求澄清、说明或补正的。</w:t>
      </w:r>
    </w:p>
    <w:p>
      <w:pPr>
        <w:numPr>
          <w:ilvl w:val="0"/>
          <w:numId w:val="0"/>
        </w:numPr>
        <w:snapToGrid w:val="0"/>
        <w:spacing w:line="360" w:lineRule="auto"/>
        <w:ind w:firstLine="480" w:firstLineChars="200"/>
        <w:rPr>
          <w:rFonts w:hint="eastAsia" w:ascii="宋体" w:hAnsi="宋体" w:eastAsia="宋体" w:cs="Times New Roman"/>
          <w:color w:val="auto"/>
          <w:sz w:val="24"/>
          <w:highlight w:val="none"/>
          <w:u w:val="single"/>
        </w:rPr>
      </w:pPr>
      <w:r>
        <w:rPr>
          <w:rFonts w:hint="eastAsia" w:ascii="宋体" w:hAnsi="宋体" w:eastAsia="宋体" w:cs="Times New Roman"/>
          <w:color w:val="auto"/>
          <w:kern w:val="2"/>
          <w:sz w:val="24"/>
          <w:szCs w:val="22"/>
          <w:highlight w:val="none"/>
          <w:u w:val="single"/>
          <w:lang w:val="en-US" w:eastAsia="zh-CN" w:bidi="ar-SA"/>
        </w:rPr>
        <w:t>（4）</w:t>
      </w:r>
      <w:r>
        <w:rPr>
          <w:rFonts w:hint="eastAsia" w:ascii="宋体" w:hAnsi="宋体" w:eastAsia="宋体" w:cs="Times New Roman"/>
          <w:color w:val="auto"/>
          <w:sz w:val="24"/>
          <w:highlight w:val="none"/>
          <w:u w:val="single"/>
        </w:rPr>
        <w:t>投标文件不符合招标文件评标办法中形式评审标准、资格评审标准、响应性评审标准的要求；</w:t>
      </w:r>
    </w:p>
    <w:p>
      <w:pPr>
        <w:snapToGrid/>
        <w:spacing w:line="360" w:lineRule="auto"/>
        <w:ind w:firstLine="480" w:firstLineChars="200"/>
        <w:rPr>
          <w:rFonts w:hint="eastAsia" w:ascii="宋体" w:hAnsi="宋体" w:eastAsia="宋体" w:cs="Times New Roman"/>
          <w:color w:val="auto"/>
          <w:sz w:val="24"/>
          <w:szCs w:val="22"/>
          <w:highlight w:val="none"/>
          <w:u w:val="single"/>
        </w:rPr>
      </w:pPr>
      <w:r>
        <w:rPr>
          <w:rFonts w:hint="eastAsia" w:ascii="宋体" w:hAnsi="宋体" w:eastAsia="宋体" w:cs="Times New Roman"/>
          <w:color w:val="auto"/>
          <w:kern w:val="2"/>
          <w:sz w:val="24"/>
          <w:szCs w:val="22"/>
          <w:highlight w:val="none"/>
          <w:u w:val="single"/>
          <w:lang w:val="en-US" w:eastAsia="zh-CN" w:bidi="ar-SA"/>
        </w:rPr>
        <w:t>（5）</w:t>
      </w:r>
      <w:r>
        <w:rPr>
          <w:rFonts w:hint="eastAsia" w:ascii="宋体" w:hAnsi="宋体" w:eastAsia="宋体" w:cs="Times New Roman"/>
          <w:color w:val="auto"/>
          <w:sz w:val="24"/>
          <w:highlight w:val="none"/>
          <w:u w:val="single"/>
        </w:rPr>
        <w:t>不对评标委员会修正后的价格进行书面确认。</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3.1.3投标报价有算术错误的，评标委员会按以下原则对投标报价进行修正，修正的价格经投标人书面确认后具有约束力。投标人不接受修正价格的，评标委员会应当否决其投标。</w:t>
      </w:r>
    </w:p>
    <w:p>
      <w:pPr>
        <w:spacing w:line="360" w:lineRule="auto"/>
        <w:ind w:firstLine="480" w:firstLineChars="200"/>
        <w:rPr>
          <w:rFonts w:ascii="宋体" w:hAnsi="宋体"/>
          <w:color w:val="auto"/>
          <w:sz w:val="24"/>
          <w:highlight w:val="none"/>
        </w:rPr>
      </w:pPr>
      <w:bookmarkStart w:id="324" w:name="_Toc152042383"/>
      <w:r>
        <w:rPr>
          <w:rFonts w:hint="eastAsia" w:ascii="宋体" w:hAnsi="宋体"/>
          <w:color w:val="auto"/>
          <w:sz w:val="24"/>
          <w:highlight w:val="none"/>
        </w:rPr>
        <w:t>（1）投标文件中的大写金额与小写金额不一致的，以大写金额为准；</w:t>
      </w:r>
      <w:bookmarkEnd w:id="324"/>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（2）总价金额与依据单价计算出的结果不一致的，以单价金额为准修正总价，但单价金额小数点有明显错误的除外。</w:t>
      </w:r>
    </w:p>
    <w:p>
      <w:pPr>
        <w:spacing w:line="360" w:lineRule="auto"/>
        <w:ind w:firstLine="480" w:firstLineChars="200"/>
        <w:rPr>
          <w:rFonts w:ascii="宋体" w:hAnsi="宋体"/>
          <w:color w:val="auto"/>
          <w:sz w:val="24"/>
          <w:highlight w:val="none"/>
        </w:rPr>
      </w:pPr>
      <w:bookmarkStart w:id="325" w:name="_Toc152042384"/>
      <w:bookmarkStart w:id="326" w:name="_Toc144974573"/>
      <w:bookmarkStart w:id="327" w:name="_Toc152045606"/>
      <w:bookmarkStart w:id="328" w:name="_Toc179632624"/>
      <w:r>
        <w:rPr>
          <w:rFonts w:hint="eastAsia" w:ascii="宋体" w:hAnsi="宋体"/>
          <w:color w:val="auto"/>
          <w:sz w:val="24"/>
          <w:highlight w:val="none"/>
        </w:rPr>
        <w:t>3.2 详细评审</w:t>
      </w:r>
      <w:bookmarkEnd w:id="325"/>
      <w:bookmarkEnd w:id="326"/>
      <w:bookmarkEnd w:id="327"/>
      <w:bookmarkEnd w:id="328"/>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3.2.1 评标委员会按本章第2.2款规定的量化因素和分值进行打分，并计算出综合评估得分。</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（1）按本章第2.2.5（1）目规定的评审因素和分值对技术部分计算出得分A；</w:t>
      </w:r>
      <w:r>
        <w:rPr>
          <w:rFonts w:hint="eastAsia" w:ascii="宋体" w:hAnsi="宋体"/>
          <w:color w:val="auto"/>
          <w:sz w:val="24"/>
          <w:szCs w:val="24"/>
          <w:highlight w:val="none"/>
          <w:u w:val="single"/>
          <w:lang w:eastAsia="zh-CN"/>
        </w:rPr>
        <w:fldChar w:fldCharType="begin"/>
      </w:r>
      <w:r>
        <w:rPr>
          <w:rFonts w:hint="eastAsia" w:ascii="宋体" w:hAnsi="宋体"/>
          <w:color w:val="auto"/>
          <w:sz w:val="24"/>
          <w:szCs w:val="24"/>
          <w:highlight w:val="none"/>
          <w:u w:val="single"/>
          <w:lang w:eastAsia="zh-CN"/>
        </w:rPr>
        <w:instrText xml:space="preserve"> = 1 \* GB3 \* MERGEFORMAT </w:instrText>
      </w:r>
      <w:r>
        <w:rPr>
          <w:rFonts w:hint="eastAsia" w:ascii="宋体" w:hAnsi="宋体"/>
          <w:color w:val="auto"/>
          <w:sz w:val="24"/>
          <w:szCs w:val="24"/>
          <w:highlight w:val="none"/>
          <w:u w:val="single"/>
          <w:lang w:eastAsia="zh-CN"/>
        </w:rPr>
        <w:fldChar w:fldCharType="separate"/>
      </w:r>
      <w:r>
        <w:rPr>
          <w:color w:val="auto"/>
          <w:highlight w:val="none"/>
          <w:u w:val="single"/>
        </w:rPr>
        <w:t>①</w:t>
      </w:r>
      <w:r>
        <w:rPr>
          <w:rFonts w:hint="eastAsia" w:ascii="宋体" w:hAnsi="宋体"/>
          <w:color w:val="auto"/>
          <w:sz w:val="24"/>
          <w:szCs w:val="24"/>
          <w:highlight w:val="none"/>
          <w:u w:val="single"/>
          <w:lang w:eastAsia="zh-CN"/>
        </w:rPr>
        <w:fldChar w:fldCharType="end"/>
      </w:r>
      <w:r>
        <w:rPr>
          <w:rFonts w:hint="eastAsia" w:ascii="宋体" w:hAnsi="宋体"/>
          <w:color w:val="auto"/>
          <w:sz w:val="24"/>
          <w:szCs w:val="24"/>
          <w:highlight w:val="none"/>
          <w:u w:val="single"/>
          <w:lang w:eastAsia="zh-CN"/>
        </w:rPr>
        <w:t>技术部分</w:t>
      </w:r>
      <w:r>
        <w:rPr>
          <w:rFonts w:hint="eastAsia"/>
          <w:color w:val="auto"/>
          <w:sz w:val="24"/>
          <w:szCs w:val="24"/>
          <w:highlight w:val="none"/>
          <w:u w:val="single"/>
        </w:rPr>
        <w:t>评审得分</w:t>
      </w:r>
      <w:r>
        <w:rPr>
          <w:rFonts w:hint="eastAsia" w:ascii="宋体" w:hAnsi="宋体"/>
          <w:color w:val="auto"/>
          <w:sz w:val="24"/>
          <w:szCs w:val="24"/>
          <w:highlight w:val="none"/>
          <w:u w:val="single"/>
        </w:rPr>
        <w:t>A</w:t>
      </w:r>
      <w:r>
        <w:rPr>
          <w:rFonts w:hint="eastAsia"/>
          <w:color w:val="auto"/>
          <w:sz w:val="24"/>
          <w:szCs w:val="24"/>
          <w:highlight w:val="none"/>
          <w:u w:val="single"/>
        </w:rPr>
        <w:t>为从各评标专家打分中去掉一个最高分和去掉一个最低分后的剩余评标专家打分的算术平均值</w:t>
      </w:r>
      <w:r>
        <w:rPr>
          <w:rFonts w:hint="eastAsia" w:ascii="宋体" w:hAnsi="宋体"/>
          <w:color w:val="auto"/>
          <w:sz w:val="24"/>
          <w:highlight w:val="none"/>
          <w:u w:val="single"/>
        </w:rPr>
        <w:t>。</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（2）按本章第2.2.5（2）目规定的评审因素和分值对商务部分计算出得分B；</w:t>
      </w:r>
      <w:r>
        <w:rPr>
          <w:rFonts w:hint="eastAsia" w:ascii="宋体" w:hAnsi="宋体"/>
          <w:color w:val="auto"/>
          <w:sz w:val="24"/>
          <w:highlight w:val="none"/>
          <w:u w:val="single"/>
        </w:rPr>
        <w:t>商务部分评审得分B</w:t>
      </w:r>
      <w:r>
        <w:rPr>
          <w:rFonts w:hint="eastAsia"/>
          <w:color w:val="auto"/>
          <w:sz w:val="24"/>
          <w:szCs w:val="24"/>
          <w:highlight w:val="none"/>
          <w:u w:val="single"/>
        </w:rPr>
        <w:t>为各评标专家打分的算术平均值</w:t>
      </w:r>
      <w:r>
        <w:rPr>
          <w:rFonts w:hint="eastAsia" w:ascii="宋体" w:hAnsi="宋体"/>
          <w:color w:val="auto"/>
          <w:sz w:val="24"/>
          <w:highlight w:val="none"/>
          <w:u w:val="single"/>
        </w:rPr>
        <w:t>。</w:t>
      </w:r>
    </w:p>
    <w:p>
      <w:pPr>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（3）按本章第2.2.5（3）目规定的评审因素和分值对投标报价计算出得分C</w:t>
      </w:r>
      <w:r>
        <w:rPr>
          <w:rFonts w:hint="eastAsia" w:ascii="宋体" w:hAnsi="宋体"/>
          <w:color w:val="auto"/>
          <w:sz w:val="24"/>
          <w:highlight w:val="none"/>
          <w:lang w:val="en-US" w:eastAsia="zh-CN"/>
        </w:rPr>
        <w:t>。</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3.2.2 评分分值计算保留小数点后两位，小数点后第三位“四舍五入”。</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3.2.3</w:t>
      </w:r>
      <w:r>
        <w:rPr>
          <w:rFonts w:ascii="宋体" w:hAnsi="宋体"/>
          <w:color w:val="auto"/>
          <w:sz w:val="24"/>
          <w:highlight w:val="none"/>
        </w:rPr>
        <w:t xml:space="preserve"> </w:t>
      </w:r>
      <w:r>
        <w:rPr>
          <w:rFonts w:hint="eastAsia" w:ascii="宋体" w:hAnsi="宋体"/>
          <w:color w:val="auto"/>
          <w:sz w:val="24"/>
          <w:highlight w:val="none"/>
        </w:rPr>
        <w:t>投标人的得分为技术部分得分、商务部分得分、投标报价得分之和。评标委员会应按照得分从高至低的顺序，确定得分前三名的投标人为第一中标候选人、第二中标候选人和第三中标候选人。计分采用百分制，得分计算方法：评标总得分=技术部分得分（A）×得分权重+商务部分得分（B</w:t>
      </w:r>
      <w:r>
        <w:rPr>
          <w:rFonts w:ascii="宋体" w:hAnsi="宋体"/>
          <w:color w:val="auto"/>
          <w:sz w:val="24"/>
          <w:highlight w:val="none"/>
        </w:rPr>
        <w:t>）</w:t>
      </w:r>
      <w:r>
        <w:rPr>
          <w:rFonts w:hint="eastAsia" w:ascii="宋体" w:hAnsi="宋体"/>
          <w:color w:val="auto"/>
          <w:sz w:val="24"/>
          <w:highlight w:val="none"/>
        </w:rPr>
        <w:t>×得分权重+投标报价得分(C)×得分权重。</w:t>
      </w:r>
    </w:p>
    <w:p>
      <w:pPr>
        <w:spacing w:line="360" w:lineRule="auto"/>
        <w:ind w:firstLine="480" w:firstLineChars="200"/>
        <w:rPr>
          <w:rFonts w:ascii="宋体" w:hAnsi="宋体"/>
          <w:color w:val="auto"/>
          <w:sz w:val="24"/>
          <w:highlight w:val="none"/>
        </w:rPr>
      </w:pPr>
      <w:bookmarkStart w:id="329" w:name="_Toc144974575"/>
      <w:bookmarkStart w:id="330" w:name="_Toc152042385"/>
      <w:bookmarkStart w:id="331" w:name="_Toc179632625"/>
      <w:bookmarkStart w:id="332" w:name="_Toc152045607"/>
      <w:r>
        <w:rPr>
          <w:rFonts w:hint="eastAsia" w:ascii="宋体" w:hAnsi="宋体"/>
          <w:color w:val="auto"/>
          <w:sz w:val="24"/>
          <w:highlight w:val="none"/>
        </w:rPr>
        <w:t>3.3 投标文件的澄清</w:t>
      </w:r>
      <w:bookmarkEnd w:id="329"/>
      <w:r>
        <w:rPr>
          <w:rFonts w:hint="eastAsia" w:ascii="宋体" w:hAnsi="宋体"/>
          <w:color w:val="auto"/>
          <w:sz w:val="24"/>
          <w:highlight w:val="none"/>
        </w:rPr>
        <w:t>和补正</w:t>
      </w:r>
      <w:bookmarkEnd w:id="330"/>
      <w:bookmarkEnd w:id="331"/>
      <w:bookmarkEnd w:id="332"/>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3.3.1在评标过程中，经评标委员会中两人以上（含两人）以书面形式提出动议，评标委员会可以书面形式要求投标人对所提交投标文件中不明确的内容进行书面澄清或说明，或者对细微偏差进行补正。评标委员会不接受投标人主动提出的澄清、说明或补正。</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3.3.2 澄清、说明和补正不得改变投标文件的实质性内容（算术性错误修正的除外）。投标人的书面澄清、说明和补正属于投标文件的组成部分。</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3.3.3 评标委员会对投标人提交的澄清、说明或补正有疑问的，可以要求投标人进一步澄清、说明或补正，直至满足评标委员会的要求。</w:t>
      </w:r>
    </w:p>
    <w:p>
      <w:pPr>
        <w:spacing w:line="360" w:lineRule="auto"/>
        <w:ind w:firstLine="480" w:firstLineChars="200"/>
        <w:rPr>
          <w:rFonts w:ascii="宋体" w:hAnsi="宋体"/>
          <w:color w:val="auto"/>
          <w:sz w:val="24"/>
          <w:highlight w:val="none"/>
        </w:rPr>
      </w:pPr>
      <w:bookmarkStart w:id="333" w:name="_Toc152042386"/>
      <w:bookmarkStart w:id="334" w:name="_Toc152045608"/>
      <w:bookmarkStart w:id="335" w:name="_Toc144974576"/>
      <w:bookmarkStart w:id="336" w:name="_Toc179632626"/>
      <w:r>
        <w:rPr>
          <w:rFonts w:hint="eastAsia" w:ascii="宋体" w:hAnsi="宋体"/>
          <w:color w:val="auto"/>
          <w:sz w:val="24"/>
          <w:highlight w:val="none"/>
        </w:rPr>
        <w:t>3.4 评标结果</w:t>
      </w:r>
      <w:bookmarkEnd w:id="333"/>
      <w:bookmarkEnd w:id="334"/>
      <w:bookmarkEnd w:id="335"/>
      <w:bookmarkEnd w:id="336"/>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3.4.1 评标委员会依据本章第2.2条评分标准进行评分，按评标办法前附表的约定计算投标人最终得分，评标委员会应按照得分从高至低的顺序，确定得分前三名的投标人为第一中标候选人、第二中标候选人和第三中标候选人。出现中标候选人得分相同的，以记名投票表决等其他可行的方式确定排序。</w:t>
      </w:r>
    </w:p>
    <w:p>
      <w:pPr>
        <w:widowControl/>
        <w:spacing w:line="360" w:lineRule="auto"/>
        <w:ind w:firstLine="482" w:firstLineChars="200"/>
        <w:jc w:val="left"/>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lang w:val="en-US" w:eastAsia="zh-CN"/>
        </w:rPr>
        <w:t>4</w:t>
      </w:r>
      <w:r>
        <w:rPr>
          <w:rFonts w:hint="eastAsia" w:ascii="宋体" w:hAnsi="宋体" w:cs="宋体"/>
          <w:b/>
          <w:color w:val="auto"/>
          <w:kern w:val="0"/>
          <w:sz w:val="24"/>
          <w:szCs w:val="24"/>
          <w:highlight w:val="none"/>
        </w:rPr>
        <w:t>.评标应急预案</w:t>
      </w:r>
    </w:p>
    <w:p>
      <w:pPr>
        <w:widowControl/>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4</w:t>
      </w:r>
      <w:r>
        <w:rPr>
          <w:rFonts w:hint="eastAsia" w:ascii="宋体" w:hAnsi="宋体" w:cs="宋体"/>
          <w:color w:val="auto"/>
          <w:kern w:val="0"/>
          <w:sz w:val="24"/>
          <w:szCs w:val="24"/>
          <w:highlight w:val="none"/>
        </w:rPr>
        <w:t>.1</w:t>
      </w:r>
      <w:r>
        <w:rPr>
          <w:rFonts w:ascii="宋体" w:hAnsi="宋体" w:cs="宋体"/>
          <w:color w:val="auto"/>
          <w:kern w:val="0"/>
          <w:sz w:val="24"/>
          <w:szCs w:val="24"/>
          <w:highlight w:val="none"/>
        </w:rPr>
        <w:t>在评标过程中，当采用电子评标系统评标发生评审故障时，若</w:t>
      </w:r>
      <w:r>
        <w:rPr>
          <w:rFonts w:hint="eastAsia" w:ascii="宋体" w:hAnsi="宋体" w:cs="宋体"/>
          <w:color w:val="auto"/>
          <w:kern w:val="0"/>
          <w:sz w:val="24"/>
          <w:szCs w:val="24"/>
          <w:highlight w:val="none"/>
          <w:lang w:eastAsia="zh-CN"/>
        </w:rPr>
        <w:t>广州交易集团有限公司（广州公共资源交易中心）</w:t>
      </w:r>
      <w:r>
        <w:rPr>
          <w:rFonts w:ascii="宋体" w:hAnsi="宋体" w:cs="宋体"/>
          <w:color w:val="auto"/>
          <w:kern w:val="0"/>
          <w:sz w:val="24"/>
          <w:szCs w:val="24"/>
          <w:highlight w:val="none"/>
        </w:rPr>
        <w:t>当天可解除评审故障，则继续采用电子评标系统评标；若</w:t>
      </w:r>
      <w:r>
        <w:rPr>
          <w:rFonts w:hint="eastAsia" w:ascii="宋体" w:hAnsi="宋体" w:cs="宋体"/>
          <w:color w:val="auto"/>
          <w:kern w:val="0"/>
          <w:sz w:val="24"/>
          <w:szCs w:val="24"/>
          <w:highlight w:val="none"/>
          <w:lang w:eastAsia="zh-CN"/>
        </w:rPr>
        <w:t>广州交易集团有限公司（广州公共资源交易中心）</w:t>
      </w:r>
      <w:r>
        <w:rPr>
          <w:rFonts w:ascii="宋体" w:hAnsi="宋体" w:cs="宋体"/>
          <w:color w:val="auto"/>
          <w:kern w:val="0"/>
          <w:sz w:val="24"/>
          <w:szCs w:val="24"/>
          <w:highlight w:val="none"/>
        </w:rPr>
        <w:t>当天无法解除评审故障，则评标委员会依据电子投标文件对未完成的评标活动采用手动评审，提交包含已完成电子评审成果在内的纸质评标报告。评审故障以</w:t>
      </w:r>
      <w:r>
        <w:rPr>
          <w:rFonts w:hint="eastAsia" w:ascii="宋体" w:hAnsi="宋体" w:cs="宋体"/>
          <w:color w:val="auto"/>
          <w:kern w:val="0"/>
          <w:sz w:val="24"/>
          <w:szCs w:val="24"/>
          <w:highlight w:val="none"/>
          <w:lang w:eastAsia="zh-CN"/>
        </w:rPr>
        <w:t>广州交易集团有限公司（广州公共资源交易中心）</w:t>
      </w:r>
      <w:r>
        <w:rPr>
          <w:rFonts w:ascii="宋体" w:hAnsi="宋体" w:cs="宋体"/>
          <w:color w:val="auto"/>
          <w:kern w:val="0"/>
          <w:sz w:val="24"/>
          <w:szCs w:val="24"/>
          <w:highlight w:val="none"/>
        </w:rPr>
        <w:t>的认定为准。当</w:t>
      </w:r>
      <w:r>
        <w:rPr>
          <w:rFonts w:hint="eastAsia" w:ascii="宋体" w:hAnsi="宋体" w:cs="宋体"/>
          <w:color w:val="auto"/>
          <w:kern w:val="0"/>
          <w:sz w:val="24"/>
          <w:szCs w:val="24"/>
          <w:highlight w:val="none"/>
          <w:lang w:eastAsia="zh-CN"/>
        </w:rPr>
        <w:t>广州交易集团有限公司（广州公共资源交易中心）</w:t>
      </w:r>
      <w:r>
        <w:rPr>
          <w:rFonts w:ascii="宋体" w:hAnsi="宋体" w:cs="宋体"/>
          <w:color w:val="auto"/>
          <w:kern w:val="0"/>
          <w:sz w:val="24"/>
          <w:szCs w:val="24"/>
          <w:highlight w:val="none"/>
        </w:rPr>
        <w:t>的系统维护人员在评标室告知评标委员会当天无法解除评审故障后，评标委员会即可对未完成的评标活动启动手动评审。</w:t>
      </w:r>
    </w:p>
    <w:p>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4</w:t>
      </w: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在电子评标过程中，无论遇到任何系统异常或故障，评标委员会均应出具评标报告。</w:t>
      </w:r>
    </w:p>
    <w:p>
      <w:pPr>
        <w:spacing w:line="360" w:lineRule="auto"/>
        <w:rPr>
          <w:rFonts w:ascii="宋体" w:hAnsi="宋体"/>
          <w:color w:val="auto"/>
          <w:sz w:val="24"/>
          <w:highlight w:val="none"/>
        </w:rPr>
      </w:pPr>
    </w:p>
    <w:p>
      <w:pPr>
        <w:spacing w:line="360" w:lineRule="auto"/>
        <w:jc w:val="center"/>
        <w:outlineLvl w:val="2"/>
        <w:rPr>
          <w:rFonts w:hint="eastAsia" w:ascii="黑体" w:hAnsi="黑体" w:eastAsia="黑体" w:cs="Times New Roman"/>
          <w:color w:val="auto"/>
          <w:sz w:val="28"/>
          <w:szCs w:val="27"/>
          <w:highlight w:val="none"/>
        </w:rPr>
        <w:sectPr>
          <w:pgSz w:w="11906" w:h="16838"/>
          <w:pgMar w:top="1440" w:right="1797" w:bottom="1440" w:left="1797" w:header="851" w:footer="992" w:gutter="0"/>
          <w:pgNumType w:fmt="decimal"/>
          <w:cols w:space="720" w:num="1"/>
          <w:docGrid w:linePitch="312" w:charSpace="0"/>
        </w:sectPr>
      </w:pPr>
      <w:bookmarkStart w:id="337" w:name="_Toc17556886"/>
      <w:bookmarkStart w:id="338" w:name="_Toc17451633"/>
      <w:bookmarkStart w:id="339" w:name="_Toc17451111"/>
      <w:bookmarkStart w:id="340" w:name="_Toc17451588"/>
      <w:bookmarkStart w:id="341" w:name="_Toc17454932"/>
      <w:bookmarkStart w:id="342" w:name="_Toc17452674"/>
      <w:bookmarkStart w:id="343" w:name="_Toc17454881"/>
      <w:bookmarkStart w:id="344" w:name="_Toc6325"/>
    </w:p>
    <w:bookmarkEnd w:id="337"/>
    <w:bookmarkEnd w:id="338"/>
    <w:bookmarkEnd w:id="339"/>
    <w:bookmarkEnd w:id="340"/>
    <w:bookmarkEnd w:id="341"/>
    <w:bookmarkEnd w:id="342"/>
    <w:bookmarkEnd w:id="343"/>
    <w:bookmarkEnd w:id="344"/>
    <w:p>
      <w:pPr>
        <w:pageBreakBefore w:val="0"/>
        <w:spacing w:line="240" w:lineRule="auto"/>
        <w:ind w:firstLine="480"/>
        <w:jc w:val="center"/>
        <w:rPr>
          <w:rFonts w:ascii="宋体" w:hAnsi="宋体"/>
          <w:b/>
          <w:color w:val="auto"/>
          <w:sz w:val="36"/>
          <w:szCs w:val="36"/>
          <w:highlight w:val="none"/>
        </w:rPr>
      </w:pPr>
      <w:r>
        <w:rPr>
          <w:rFonts w:hint="eastAsia" w:ascii="宋体" w:hAnsi="宋体"/>
          <w:b/>
          <w:color w:val="auto"/>
          <w:sz w:val="36"/>
          <w:szCs w:val="36"/>
          <w:highlight w:val="none"/>
        </w:rPr>
        <w:t>平均值法评标基准价计算表（适用于随机抽取）</w:t>
      </w:r>
    </w:p>
    <w:p>
      <w:pPr>
        <w:spacing w:line="360" w:lineRule="auto"/>
        <w:rPr>
          <w:rFonts w:ascii="宋体" w:hAnsi="宋体"/>
          <w:b/>
          <w:color w:val="auto"/>
          <w:szCs w:val="21"/>
          <w:highlight w:val="none"/>
        </w:rPr>
      </w:pPr>
      <w:r>
        <w:rPr>
          <w:rFonts w:hint="eastAsia" w:ascii="宋体" w:hAnsi="宋体"/>
          <w:b/>
          <w:color w:val="auto"/>
          <w:szCs w:val="21"/>
          <w:highlight w:val="none"/>
        </w:rPr>
        <w:t>工程名称：                                                                                    最高投标限价：</w:t>
      </w:r>
      <w:r>
        <w:rPr>
          <w:rFonts w:hint="eastAsia" w:ascii="宋体" w:hAnsi="宋体"/>
          <w:b/>
          <w:color w:val="auto"/>
          <w:szCs w:val="21"/>
          <w:highlight w:val="none"/>
          <w:u w:val="single"/>
        </w:rPr>
        <w:t xml:space="preserve">           </w:t>
      </w:r>
      <w:r>
        <w:rPr>
          <w:rFonts w:hint="eastAsia" w:ascii="宋体" w:hAnsi="宋体"/>
          <w:b/>
          <w:color w:val="auto"/>
          <w:szCs w:val="21"/>
          <w:highlight w:val="none"/>
        </w:rPr>
        <w:t>元</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893"/>
        <w:gridCol w:w="1621"/>
        <w:gridCol w:w="745"/>
        <w:gridCol w:w="900"/>
        <w:gridCol w:w="1800"/>
        <w:gridCol w:w="1836"/>
        <w:gridCol w:w="5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29" w:type="dxa"/>
            <w:vMerge w:val="restart"/>
            <w:noWrap w:val="0"/>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893" w:type="dxa"/>
            <w:vMerge w:val="restart"/>
            <w:noWrap w:val="0"/>
            <w:vAlign w:val="center"/>
          </w:tcPr>
          <w:p>
            <w:pPr>
              <w:jc w:val="center"/>
              <w:rPr>
                <w:rFonts w:ascii="宋体" w:hAnsi="宋体"/>
                <w:color w:val="auto"/>
                <w:szCs w:val="21"/>
                <w:highlight w:val="none"/>
              </w:rPr>
            </w:pPr>
            <w:r>
              <w:rPr>
                <w:rFonts w:hint="eastAsia" w:ascii="宋体" w:hAnsi="宋体"/>
                <w:color w:val="auto"/>
                <w:szCs w:val="21"/>
                <w:highlight w:val="none"/>
              </w:rPr>
              <w:t>投标人名称</w:t>
            </w:r>
          </w:p>
        </w:tc>
        <w:tc>
          <w:tcPr>
            <w:tcW w:w="1621" w:type="dxa"/>
            <w:vMerge w:val="restart"/>
            <w:noWrap w:val="0"/>
            <w:vAlign w:val="center"/>
          </w:tcPr>
          <w:p>
            <w:pPr>
              <w:jc w:val="center"/>
              <w:rPr>
                <w:rFonts w:ascii="宋体" w:hAnsi="宋体"/>
                <w:color w:val="auto"/>
                <w:szCs w:val="21"/>
                <w:highlight w:val="none"/>
              </w:rPr>
            </w:pPr>
            <w:r>
              <w:rPr>
                <w:rFonts w:hint="eastAsia" w:ascii="宋体" w:hAnsi="宋体"/>
                <w:color w:val="auto"/>
                <w:szCs w:val="21"/>
                <w:highlight w:val="none"/>
              </w:rPr>
              <w:t>投标价C</w:t>
            </w:r>
          </w:p>
        </w:tc>
        <w:tc>
          <w:tcPr>
            <w:tcW w:w="1645" w:type="dxa"/>
            <w:gridSpan w:val="2"/>
            <w:noWrap w:val="0"/>
            <w:vAlign w:val="center"/>
          </w:tcPr>
          <w:p>
            <w:pPr>
              <w:jc w:val="center"/>
              <w:rPr>
                <w:rFonts w:ascii="宋体" w:hAnsi="宋体"/>
                <w:color w:val="auto"/>
                <w:szCs w:val="21"/>
                <w:highlight w:val="none"/>
              </w:rPr>
            </w:pPr>
            <w:r>
              <w:rPr>
                <w:rFonts w:hint="eastAsia" w:ascii="宋体" w:hAnsi="宋体"/>
                <w:color w:val="auto"/>
                <w:szCs w:val="21"/>
                <w:highlight w:val="none"/>
              </w:rPr>
              <w:t>摇珠结果</w:t>
            </w:r>
          </w:p>
        </w:tc>
        <w:tc>
          <w:tcPr>
            <w:tcW w:w="1800" w:type="dxa"/>
            <w:vMerge w:val="restart"/>
            <w:noWrap w:val="0"/>
            <w:vAlign w:val="top"/>
          </w:tcPr>
          <w:p>
            <w:pPr>
              <w:jc w:val="center"/>
              <w:rPr>
                <w:rFonts w:ascii="宋体" w:hAnsi="宋体"/>
                <w:color w:val="auto"/>
                <w:szCs w:val="21"/>
                <w:highlight w:val="none"/>
              </w:rPr>
            </w:pPr>
            <w:r>
              <w:rPr>
                <w:rFonts w:hint="eastAsia" w:ascii="宋体" w:hAnsi="宋体"/>
                <w:color w:val="auto"/>
                <w:szCs w:val="21"/>
                <w:highlight w:val="none"/>
              </w:rPr>
              <w:t>是否参与基准价计算【去掉最低及最高】</w:t>
            </w:r>
          </w:p>
          <w:p>
            <w:pPr>
              <w:jc w:val="center"/>
              <w:rPr>
                <w:rFonts w:ascii="宋体" w:hAnsi="宋体"/>
                <w:color w:val="auto"/>
                <w:szCs w:val="21"/>
                <w:highlight w:val="none"/>
              </w:rPr>
            </w:pPr>
          </w:p>
        </w:tc>
        <w:tc>
          <w:tcPr>
            <w:tcW w:w="1836" w:type="dxa"/>
            <w:vMerge w:val="restart"/>
            <w:noWrap w:val="0"/>
            <w:vAlign w:val="top"/>
          </w:tcPr>
          <w:p>
            <w:pPr>
              <w:jc w:val="center"/>
              <w:rPr>
                <w:rFonts w:ascii="宋体" w:hAnsi="宋体"/>
                <w:color w:val="auto"/>
                <w:szCs w:val="21"/>
                <w:highlight w:val="none"/>
              </w:rPr>
            </w:pPr>
            <w:r>
              <w:rPr>
                <w:rFonts w:hint="eastAsia" w:ascii="宋体" w:hAnsi="宋体"/>
                <w:color w:val="auto"/>
                <w:szCs w:val="21"/>
                <w:highlight w:val="none"/>
              </w:rPr>
              <w:t>计算评标基准价的下浮率X</w:t>
            </w:r>
          </w:p>
        </w:tc>
        <w:tc>
          <w:tcPr>
            <w:tcW w:w="5462" w:type="dxa"/>
            <w:vMerge w:val="restart"/>
            <w:noWrap w:val="0"/>
            <w:vAlign w:val="center"/>
          </w:tcPr>
          <w:p>
            <w:pPr>
              <w:jc w:val="center"/>
              <w:rPr>
                <w:rFonts w:ascii="宋体" w:hAnsi="宋体"/>
                <w:color w:val="auto"/>
                <w:szCs w:val="21"/>
                <w:highlight w:val="none"/>
              </w:rPr>
            </w:pPr>
            <w:r>
              <w:rPr>
                <w:rFonts w:hint="eastAsia" w:ascii="宋体" w:hAnsi="宋体"/>
                <w:color w:val="auto"/>
                <w:szCs w:val="21"/>
                <w:highlight w:val="none"/>
              </w:rPr>
              <w:t>评标基准价（元）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529" w:type="dxa"/>
            <w:vMerge w:val="continue"/>
            <w:noWrap w:val="0"/>
            <w:vAlign w:val="center"/>
          </w:tcPr>
          <w:p>
            <w:pPr>
              <w:jc w:val="center"/>
              <w:rPr>
                <w:rFonts w:ascii="宋体" w:hAnsi="宋体"/>
                <w:color w:val="auto"/>
                <w:szCs w:val="21"/>
                <w:highlight w:val="none"/>
              </w:rPr>
            </w:pPr>
          </w:p>
        </w:tc>
        <w:tc>
          <w:tcPr>
            <w:tcW w:w="1893" w:type="dxa"/>
            <w:vMerge w:val="continue"/>
            <w:noWrap w:val="0"/>
            <w:vAlign w:val="center"/>
          </w:tcPr>
          <w:p>
            <w:pPr>
              <w:jc w:val="center"/>
              <w:rPr>
                <w:rFonts w:ascii="宋体" w:hAnsi="宋体"/>
                <w:color w:val="auto"/>
                <w:szCs w:val="21"/>
                <w:highlight w:val="none"/>
              </w:rPr>
            </w:pPr>
          </w:p>
        </w:tc>
        <w:tc>
          <w:tcPr>
            <w:tcW w:w="1621" w:type="dxa"/>
            <w:vMerge w:val="continue"/>
            <w:noWrap w:val="0"/>
            <w:vAlign w:val="center"/>
          </w:tcPr>
          <w:p>
            <w:pPr>
              <w:jc w:val="center"/>
              <w:rPr>
                <w:rFonts w:ascii="宋体" w:hAnsi="宋体"/>
                <w:color w:val="auto"/>
                <w:szCs w:val="21"/>
                <w:highlight w:val="none"/>
              </w:rPr>
            </w:pPr>
          </w:p>
        </w:tc>
        <w:tc>
          <w:tcPr>
            <w:tcW w:w="745"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号球号码</w:t>
            </w:r>
          </w:p>
        </w:tc>
        <w:tc>
          <w:tcPr>
            <w:tcW w:w="90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是否被摇中</w:t>
            </w:r>
          </w:p>
        </w:tc>
        <w:tc>
          <w:tcPr>
            <w:tcW w:w="1800" w:type="dxa"/>
            <w:vMerge w:val="continue"/>
            <w:noWrap w:val="0"/>
            <w:vAlign w:val="top"/>
          </w:tcPr>
          <w:p>
            <w:pPr>
              <w:jc w:val="center"/>
              <w:rPr>
                <w:rFonts w:ascii="宋体" w:hAnsi="宋体"/>
                <w:color w:val="auto"/>
                <w:szCs w:val="21"/>
                <w:highlight w:val="none"/>
              </w:rPr>
            </w:pPr>
          </w:p>
        </w:tc>
        <w:tc>
          <w:tcPr>
            <w:tcW w:w="1836" w:type="dxa"/>
            <w:vMerge w:val="continue"/>
            <w:noWrap w:val="0"/>
            <w:vAlign w:val="top"/>
          </w:tcPr>
          <w:p>
            <w:pPr>
              <w:jc w:val="center"/>
              <w:rPr>
                <w:rFonts w:ascii="宋体" w:hAnsi="宋体"/>
                <w:color w:val="auto"/>
                <w:szCs w:val="21"/>
                <w:highlight w:val="none"/>
              </w:rPr>
            </w:pPr>
          </w:p>
        </w:tc>
        <w:tc>
          <w:tcPr>
            <w:tcW w:w="5462" w:type="dxa"/>
            <w:vMerge w:val="continue"/>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pPr>
              <w:spacing w:line="560" w:lineRule="exact"/>
              <w:rPr>
                <w:rFonts w:ascii="黑体" w:eastAsia="黑体"/>
                <w:color w:val="auto"/>
                <w:szCs w:val="21"/>
                <w:highlight w:val="none"/>
              </w:rPr>
            </w:pPr>
          </w:p>
        </w:tc>
        <w:tc>
          <w:tcPr>
            <w:tcW w:w="1893" w:type="dxa"/>
            <w:noWrap w:val="0"/>
            <w:vAlign w:val="top"/>
          </w:tcPr>
          <w:p>
            <w:pPr>
              <w:spacing w:line="560" w:lineRule="exact"/>
              <w:rPr>
                <w:rFonts w:ascii="黑体" w:eastAsia="黑体"/>
                <w:color w:val="auto"/>
                <w:szCs w:val="21"/>
                <w:highlight w:val="none"/>
              </w:rPr>
            </w:pPr>
          </w:p>
        </w:tc>
        <w:tc>
          <w:tcPr>
            <w:tcW w:w="1621" w:type="dxa"/>
            <w:noWrap w:val="0"/>
            <w:vAlign w:val="top"/>
          </w:tcPr>
          <w:p>
            <w:pPr>
              <w:spacing w:line="560" w:lineRule="exact"/>
              <w:rPr>
                <w:rFonts w:ascii="黑体" w:eastAsia="黑体"/>
                <w:color w:val="auto"/>
                <w:szCs w:val="21"/>
                <w:highlight w:val="none"/>
              </w:rPr>
            </w:pPr>
          </w:p>
        </w:tc>
        <w:tc>
          <w:tcPr>
            <w:tcW w:w="745" w:type="dxa"/>
            <w:vMerge w:val="restart"/>
            <w:noWrap w:val="0"/>
            <w:vAlign w:val="top"/>
          </w:tcPr>
          <w:p>
            <w:pPr>
              <w:spacing w:line="560" w:lineRule="exact"/>
              <w:rPr>
                <w:rFonts w:ascii="黑体" w:eastAsia="黑体"/>
                <w:color w:val="auto"/>
                <w:szCs w:val="21"/>
                <w:highlight w:val="none"/>
              </w:rPr>
            </w:pPr>
          </w:p>
        </w:tc>
        <w:tc>
          <w:tcPr>
            <w:tcW w:w="900" w:type="dxa"/>
            <w:noWrap w:val="0"/>
            <w:vAlign w:val="top"/>
          </w:tcPr>
          <w:p>
            <w:pPr>
              <w:spacing w:line="560" w:lineRule="exact"/>
              <w:rPr>
                <w:rFonts w:ascii="黑体" w:eastAsia="黑体"/>
                <w:color w:val="auto"/>
                <w:szCs w:val="21"/>
                <w:highlight w:val="none"/>
              </w:rPr>
            </w:pPr>
          </w:p>
        </w:tc>
        <w:tc>
          <w:tcPr>
            <w:tcW w:w="1800" w:type="dxa"/>
            <w:noWrap w:val="0"/>
            <w:vAlign w:val="top"/>
          </w:tcPr>
          <w:p>
            <w:pPr>
              <w:spacing w:line="560" w:lineRule="exact"/>
              <w:rPr>
                <w:rFonts w:ascii="黑体" w:eastAsia="黑体"/>
                <w:color w:val="auto"/>
                <w:szCs w:val="21"/>
                <w:highlight w:val="none"/>
              </w:rPr>
            </w:pPr>
          </w:p>
        </w:tc>
        <w:tc>
          <w:tcPr>
            <w:tcW w:w="1836" w:type="dxa"/>
            <w:vMerge w:val="restart"/>
            <w:noWrap w:val="0"/>
            <w:vAlign w:val="top"/>
          </w:tcPr>
          <w:p>
            <w:pPr>
              <w:spacing w:line="560" w:lineRule="exact"/>
              <w:rPr>
                <w:rFonts w:ascii="黑体" w:eastAsia="黑体"/>
                <w:color w:val="auto"/>
                <w:szCs w:val="21"/>
                <w:highlight w:val="none"/>
              </w:rPr>
            </w:pPr>
          </w:p>
        </w:tc>
        <w:tc>
          <w:tcPr>
            <w:tcW w:w="5462" w:type="dxa"/>
            <w:vMerge w:val="restart"/>
            <w:noWrap w:val="0"/>
            <w:vAlign w:val="top"/>
          </w:tcPr>
          <w:p>
            <w:pPr>
              <w:spacing w:line="560" w:lineRule="exact"/>
              <w:rPr>
                <w:rFonts w:ascii="黑体"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pPr>
              <w:spacing w:line="560" w:lineRule="exact"/>
              <w:rPr>
                <w:rFonts w:ascii="黑体" w:eastAsia="黑体"/>
                <w:color w:val="auto"/>
                <w:szCs w:val="21"/>
                <w:highlight w:val="none"/>
              </w:rPr>
            </w:pPr>
          </w:p>
        </w:tc>
        <w:tc>
          <w:tcPr>
            <w:tcW w:w="1893" w:type="dxa"/>
            <w:noWrap w:val="0"/>
            <w:vAlign w:val="top"/>
          </w:tcPr>
          <w:p>
            <w:pPr>
              <w:spacing w:line="560" w:lineRule="exact"/>
              <w:rPr>
                <w:rFonts w:ascii="黑体" w:eastAsia="黑体"/>
                <w:color w:val="auto"/>
                <w:szCs w:val="21"/>
                <w:highlight w:val="none"/>
              </w:rPr>
            </w:pPr>
          </w:p>
        </w:tc>
        <w:tc>
          <w:tcPr>
            <w:tcW w:w="1621" w:type="dxa"/>
            <w:noWrap w:val="0"/>
            <w:vAlign w:val="top"/>
          </w:tcPr>
          <w:p>
            <w:pPr>
              <w:spacing w:line="560" w:lineRule="exact"/>
              <w:rPr>
                <w:rFonts w:ascii="黑体" w:eastAsia="黑体"/>
                <w:color w:val="auto"/>
                <w:szCs w:val="21"/>
                <w:highlight w:val="none"/>
              </w:rPr>
            </w:pPr>
          </w:p>
        </w:tc>
        <w:tc>
          <w:tcPr>
            <w:tcW w:w="745" w:type="dxa"/>
            <w:vMerge w:val="continue"/>
            <w:noWrap w:val="0"/>
            <w:vAlign w:val="top"/>
          </w:tcPr>
          <w:p>
            <w:pPr>
              <w:spacing w:line="560" w:lineRule="exact"/>
              <w:rPr>
                <w:rFonts w:ascii="黑体" w:eastAsia="黑体"/>
                <w:color w:val="auto"/>
                <w:szCs w:val="21"/>
                <w:highlight w:val="none"/>
              </w:rPr>
            </w:pPr>
          </w:p>
        </w:tc>
        <w:tc>
          <w:tcPr>
            <w:tcW w:w="900" w:type="dxa"/>
            <w:noWrap w:val="0"/>
            <w:vAlign w:val="top"/>
          </w:tcPr>
          <w:p>
            <w:pPr>
              <w:spacing w:line="560" w:lineRule="exact"/>
              <w:rPr>
                <w:rFonts w:ascii="黑体" w:eastAsia="黑体"/>
                <w:color w:val="auto"/>
                <w:szCs w:val="21"/>
                <w:highlight w:val="none"/>
              </w:rPr>
            </w:pPr>
          </w:p>
        </w:tc>
        <w:tc>
          <w:tcPr>
            <w:tcW w:w="1800" w:type="dxa"/>
            <w:noWrap w:val="0"/>
            <w:vAlign w:val="top"/>
          </w:tcPr>
          <w:p>
            <w:pPr>
              <w:spacing w:line="560" w:lineRule="exact"/>
              <w:rPr>
                <w:rFonts w:ascii="黑体" w:eastAsia="黑体"/>
                <w:color w:val="auto"/>
                <w:szCs w:val="21"/>
                <w:highlight w:val="none"/>
              </w:rPr>
            </w:pPr>
          </w:p>
        </w:tc>
        <w:tc>
          <w:tcPr>
            <w:tcW w:w="1836" w:type="dxa"/>
            <w:vMerge w:val="continue"/>
            <w:noWrap w:val="0"/>
            <w:vAlign w:val="top"/>
          </w:tcPr>
          <w:p>
            <w:pPr>
              <w:spacing w:line="560" w:lineRule="exact"/>
              <w:rPr>
                <w:rFonts w:ascii="黑体" w:eastAsia="黑体"/>
                <w:color w:val="auto"/>
                <w:szCs w:val="21"/>
                <w:highlight w:val="none"/>
              </w:rPr>
            </w:pPr>
          </w:p>
        </w:tc>
        <w:tc>
          <w:tcPr>
            <w:tcW w:w="5462" w:type="dxa"/>
            <w:vMerge w:val="continue"/>
            <w:noWrap w:val="0"/>
            <w:vAlign w:val="top"/>
          </w:tcPr>
          <w:p>
            <w:pPr>
              <w:spacing w:line="560" w:lineRule="exact"/>
              <w:rPr>
                <w:rFonts w:ascii="黑体"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pPr>
              <w:spacing w:line="560" w:lineRule="exact"/>
              <w:rPr>
                <w:rFonts w:ascii="黑体" w:eastAsia="黑体"/>
                <w:color w:val="auto"/>
                <w:szCs w:val="21"/>
                <w:highlight w:val="none"/>
              </w:rPr>
            </w:pPr>
          </w:p>
        </w:tc>
        <w:tc>
          <w:tcPr>
            <w:tcW w:w="1893" w:type="dxa"/>
            <w:noWrap w:val="0"/>
            <w:vAlign w:val="top"/>
          </w:tcPr>
          <w:p>
            <w:pPr>
              <w:spacing w:line="560" w:lineRule="exact"/>
              <w:rPr>
                <w:rFonts w:ascii="黑体" w:eastAsia="黑体"/>
                <w:color w:val="auto"/>
                <w:szCs w:val="21"/>
                <w:highlight w:val="none"/>
              </w:rPr>
            </w:pPr>
          </w:p>
        </w:tc>
        <w:tc>
          <w:tcPr>
            <w:tcW w:w="1621" w:type="dxa"/>
            <w:noWrap w:val="0"/>
            <w:vAlign w:val="top"/>
          </w:tcPr>
          <w:p>
            <w:pPr>
              <w:spacing w:line="560" w:lineRule="exact"/>
              <w:rPr>
                <w:rFonts w:ascii="黑体" w:eastAsia="黑体"/>
                <w:color w:val="auto"/>
                <w:szCs w:val="21"/>
                <w:highlight w:val="none"/>
              </w:rPr>
            </w:pPr>
          </w:p>
        </w:tc>
        <w:tc>
          <w:tcPr>
            <w:tcW w:w="745" w:type="dxa"/>
            <w:vMerge w:val="continue"/>
            <w:noWrap w:val="0"/>
            <w:vAlign w:val="top"/>
          </w:tcPr>
          <w:p>
            <w:pPr>
              <w:spacing w:line="560" w:lineRule="exact"/>
              <w:rPr>
                <w:rFonts w:ascii="黑体" w:eastAsia="黑体"/>
                <w:color w:val="auto"/>
                <w:szCs w:val="21"/>
                <w:highlight w:val="none"/>
              </w:rPr>
            </w:pPr>
          </w:p>
        </w:tc>
        <w:tc>
          <w:tcPr>
            <w:tcW w:w="900" w:type="dxa"/>
            <w:noWrap w:val="0"/>
            <w:vAlign w:val="top"/>
          </w:tcPr>
          <w:p>
            <w:pPr>
              <w:spacing w:line="560" w:lineRule="exact"/>
              <w:rPr>
                <w:rFonts w:ascii="黑体" w:eastAsia="黑体"/>
                <w:color w:val="auto"/>
                <w:szCs w:val="21"/>
                <w:highlight w:val="none"/>
              </w:rPr>
            </w:pPr>
          </w:p>
        </w:tc>
        <w:tc>
          <w:tcPr>
            <w:tcW w:w="1800" w:type="dxa"/>
            <w:noWrap w:val="0"/>
            <w:vAlign w:val="top"/>
          </w:tcPr>
          <w:p>
            <w:pPr>
              <w:spacing w:line="560" w:lineRule="exact"/>
              <w:rPr>
                <w:rFonts w:ascii="黑体" w:eastAsia="黑体"/>
                <w:color w:val="auto"/>
                <w:szCs w:val="21"/>
                <w:highlight w:val="none"/>
              </w:rPr>
            </w:pPr>
          </w:p>
        </w:tc>
        <w:tc>
          <w:tcPr>
            <w:tcW w:w="1836" w:type="dxa"/>
            <w:vMerge w:val="continue"/>
            <w:noWrap w:val="0"/>
            <w:vAlign w:val="top"/>
          </w:tcPr>
          <w:p>
            <w:pPr>
              <w:spacing w:line="560" w:lineRule="exact"/>
              <w:rPr>
                <w:rFonts w:ascii="黑体" w:eastAsia="黑体"/>
                <w:color w:val="auto"/>
                <w:szCs w:val="21"/>
                <w:highlight w:val="none"/>
              </w:rPr>
            </w:pPr>
          </w:p>
        </w:tc>
        <w:tc>
          <w:tcPr>
            <w:tcW w:w="5462" w:type="dxa"/>
            <w:vMerge w:val="continue"/>
            <w:noWrap w:val="0"/>
            <w:vAlign w:val="top"/>
          </w:tcPr>
          <w:p>
            <w:pPr>
              <w:spacing w:line="560" w:lineRule="exact"/>
              <w:rPr>
                <w:rFonts w:ascii="黑体"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pPr>
              <w:spacing w:line="560" w:lineRule="exact"/>
              <w:rPr>
                <w:rFonts w:ascii="黑体" w:eastAsia="黑体"/>
                <w:color w:val="auto"/>
                <w:szCs w:val="21"/>
                <w:highlight w:val="none"/>
              </w:rPr>
            </w:pPr>
          </w:p>
        </w:tc>
        <w:tc>
          <w:tcPr>
            <w:tcW w:w="1893" w:type="dxa"/>
            <w:noWrap w:val="0"/>
            <w:vAlign w:val="top"/>
          </w:tcPr>
          <w:p>
            <w:pPr>
              <w:spacing w:line="560" w:lineRule="exact"/>
              <w:rPr>
                <w:rFonts w:ascii="黑体" w:eastAsia="黑体"/>
                <w:color w:val="auto"/>
                <w:szCs w:val="21"/>
                <w:highlight w:val="none"/>
              </w:rPr>
            </w:pPr>
          </w:p>
        </w:tc>
        <w:tc>
          <w:tcPr>
            <w:tcW w:w="1621" w:type="dxa"/>
            <w:noWrap w:val="0"/>
            <w:vAlign w:val="top"/>
          </w:tcPr>
          <w:p>
            <w:pPr>
              <w:spacing w:line="560" w:lineRule="exact"/>
              <w:rPr>
                <w:rFonts w:ascii="黑体" w:eastAsia="黑体"/>
                <w:color w:val="auto"/>
                <w:szCs w:val="21"/>
                <w:highlight w:val="none"/>
              </w:rPr>
            </w:pPr>
          </w:p>
        </w:tc>
        <w:tc>
          <w:tcPr>
            <w:tcW w:w="745" w:type="dxa"/>
            <w:vMerge w:val="continue"/>
            <w:noWrap w:val="0"/>
            <w:vAlign w:val="top"/>
          </w:tcPr>
          <w:p>
            <w:pPr>
              <w:spacing w:line="560" w:lineRule="exact"/>
              <w:rPr>
                <w:rFonts w:ascii="黑体" w:eastAsia="黑体"/>
                <w:color w:val="auto"/>
                <w:szCs w:val="21"/>
                <w:highlight w:val="none"/>
              </w:rPr>
            </w:pPr>
          </w:p>
        </w:tc>
        <w:tc>
          <w:tcPr>
            <w:tcW w:w="900" w:type="dxa"/>
            <w:noWrap w:val="0"/>
            <w:vAlign w:val="top"/>
          </w:tcPr>
          <w:p>
            <w:pPr>
              <w:spacing w:line="560" w:lineRule="exact"/>
              <w:rPr>
                <w:rFonts w:ascii="黑体" w:eastAsia="黑体"/>
                <w:color w:val="auto"/>
                <w:szCs w:val="21"/>
                <w:highlight w:val="none"/>
              </w:rPr>
            </w:pPr>
          </w:p>
        </w:tc>
        <w:tc>
          <w:tcPr>
            <w:tcW w:w="1800" w:type="dxa"/>
            <w:noWrap w:val="0"/>
            <w:vAlign w:val="top"/>
          </w:tcPr>
          <w:p>
            <w:pPr>
              <w:spacing w:line="560" w:lineRule="exact"/>
              <w:rPr>
                <w:rFonts w:ascii="黑体" w:eastAsia="黑体"/>
                <w:color w:val="auto"/>
                <w:szCs w:val="21"/>
                <w:highlight w:val="none"/>
              </w:rPr>
            </w:pPr>
          </w:p>
        </w:tc>
        <w:tc>
          <w:tcPr>
            <w:tcW w:w="1836" w:type="dxa"/>
            <w:vMerge w:val="continue"/>
            <w:noWrap w:val="0"/>
            <w:vAlign w:val="top"/>
          </w:tcPr>
          <w:p>
            <w:pPr>
              <w:spacing w:line="560" w:lineRule="exact"/>
              <w:rPr>
                <w:rFonts w:ascii="黑体" w:eastAsia="黑体"/>
                <w:color w:val="auto"/>
                <w:szCs w:val="21"/>
                <w:highlight w:val="none"/>
              </w:rPr>
            </w:pPr>
          </w:p>
        </w:tc>
        <w:tc>
          <w:tcPr>
            <w:tcW w:w="5462" w:type="dxa"/>
            <w:vMerge w:val="continue"/>
            <w:noWrap w:val="0"/>
            <w:vAlign w:val="top"/>
          </w:tcPr>
          <w:p>
            <w:pPr>
              <w:spacing w:line="560" w:lineRule="exact"/>
              <w:rPr>
                <w:rFonts w:ascii="黑体"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pPr>
              <w:spacing w:line="560" w:lineRule="exact"/>
              <w:rPr>
                <w:rFonts w:ascii="黑体" w:eastAsia="黑体"/>
                <w:color w:val="auto"/>
                <w:szCs w:val="21"/>
                <w:highlight w:val="none"/>
              </w:rPr>
            </w:pPr>
          </w:p>
        </w:tc>
        <w:tc>
          <w:tcPr>
            <w:tcW w:w="1893" w:type="dxa"/>
            <w:noWrap w:val="0"/>
            <w:vAlign w:val="top"/>
          </w:tcPr>
          <w:p>
            <w:pPr>
              <w:spacing w:line="560" w:lineRule="exact"/>
              <w:rPr>
                <w:rFonts w:ascii="黑体" w:eastAsia="黑体"/>
                <w:color w:val="auto"/>
                <w:szCs w:val="21"/>
                <w:highlight w:val="none"/>
              </w:rPr>
            </w:pPr>
          </w:p>
        </w:tc>
        <w:tc>
          <w:tcPr>
            <w:tcW w:w="1621" w:type="dxa"/>
            <w:noWrap w:val="0"/>
            <w:vAlign w:val="top"/>
          </w:tcPr>
          <w:p>
            <w:pPr>
              <w:spacing w:line="560" w:lineRule="exact"/>
              <w:rPr>
                <w:rFonts w:ascii="黑体" w:eastAsia="黑体"/>
                <w:color w:val="auto"/>
                <w:szCs w:val="21"/>
                <w:highlight w:val="none"/>
              </w:rPr>
            </w:pPr>
          </w:p>
        </w:tc>
        <w:tc>
          <w:tcPr>
            <w:tcW w:w="745" w:type="dxa"/>
            <w:vMerge w:val="continue"/>
            <w:noWrap w:val="0"/>
            <w:vAlign w:val="top"/>
          </w:tcPr>
          <w:p>
            <w:pPr>
              <w:spacing w:line="560" w:lineRule="exact"/>
              <w:rPr>
                <w:rFonts w:ascii="黑体" w:eastAsia="黑体"/>
                <w:color w:val="auto"/>
                <w:szCs w:val="21"/>
                <w:highlight w:val="none"/>
              </w:rPr>
            </w:pPr>
          </w:p>
        </w:tc>
        <w:tc>
          <w:tcPr>
            <w:tcW w:w="900" w:type="dxa"/>
            <w:noWrap w:val="0"/>
            <w:vAlign w:val="top"/>
          </w:tcPr>
          <w:p>
            <w:pPr>
              <w:spacing w:line="560" w:lineRule="exact"/>
              <w:rPr>
                <w:rFonts w:ascii="黑体" w:eastAsia="黑体"/>
                <w:color w:val="auto"/>
                <w:szCs w:val="21"/>
                <w:highlight w:val="none"/>
              </w:rPr>
            </w:pPr>
          </w:p>
        </w:tc>
        <w:tc>
          <w:tcPr>
            <w:tcW w:w="1800" w:type="dxa"/>
            <w:noWrap w:val="0"/>
            <w:vAlign w:val="top"/>
          </w:tcPr>
          <w:p>
            <w:pPr>
              <w:spacing w:line="560" w:lineRule="exact"/>
              <w:rPr>
                <w:rFonts w:ascii="黑体" w:eastAsia="黑体"/>
                <w:color w:val="auto"/>
                <w:szCs w:val="21"/>
                <w:highlight w:val="none"/>
              </w:rPr>
            </w:pPr>
          </w:p>
        </w:tc>
        <w:tc>
          <w:tcPr>
            <w:tcW w:w="1836" w:type="dxa"/>
            <w:vMerge w:val="continue"/>
            <w:noWrap w:val="0"/>
            <w:vAlign w:val="top"/>
          </w:tcPr>
          <w:p>
            <w:pPr>
              <w:spacing w:line="560" w:lineRule="exact"/>
              <w:rPr>
                <w:rFonts w:ascii="黑体" w:eastAsia="黑体"/>
                <w:color w:val="auto"/>
                <w:szCs w:val="21"/>
                <w:highlight w:val="none"/>
              </w:rPr>
            </w:pPr>
          </w:p>
        </w:tc>
        <w:tc>
          <w:tcPr>
            <w:tcW w:w="5462" w:type="dxa"/>
            <w:vMerge w:val="continue"/>
            <w:noWrap w:val="0"/>
            <w:vAlign w:val="top"/>
          </w:tcPr>
          <w:p>
            <w:pPr>
              <w:spacing w:line="560" w:lineRule="exact"/>
              <w:rPr>
                <w:rFonts w:ascii="黑体"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pPr>
              <w:spacing w:line="560" w:lineRule="exact"/>
              <w:rPr>
                <w:rFonts w:ascii="黑体" w:eastAsia="黑体"/>
                <w:color w:val="auto"/>
                <w:szCs w:val="21"/>
                <w:highlight w:val="none"/>
              </w:rPr>
            </w:pPr>
          </w:p>
        </w:tc>
        <w:tc>
          <w:tcPr>
            <w:tcW w:w="1893" w:type="dxa"/>
            <w:noWrap w:val="0"/>
            <w:vAlign w:val="top"/>
          </w:tcPr>
          <w:p>
            <w:pPr>
              <w:spacing w:line="560" w:lineRule="exact"/>
              <w:rPr>
                <w:rFonts w:ascii="黑体" w:eastAsia="黑体"/>
                <w:color w:val="auto"/>
                <w:szCs w:val="21"/>
                <w:highlight w:val="none"/>
              </w:rPr>
            </w:pPr>
          </w:p>
        </w:tc>
        <w:tc>
          <w:tcPr>
            <w:tcW w:w="1621" w:type="dxa"/>
            <w:noWrap w:val="0"/>
            <w:vAlign w:val="top"/>
          </w:tcPr>
          <w:p>
            <w:pPr>
              <w:spacing w:line="560" w:lineRule="exact"/>
              <w:rPr>
                <w:rFonts w:ascii="黑体" w:eastAsia="黑体"/>
                <w:color w:val="auto"/>
                <w:szCs w:val="21"/>
                <w:highlight w:val="none"/>
              </w:rPr>
            </w:pPr>
          </w:p>
        </w:tc>
        <w:tc>
          <w:tcPr>
            <w:tcW w:w="745" w:type="dxa"/>
            <w:vMerge w:val="continue"/>
            <w:noWrap w:val="0"/>
            <w:vAlign w:val="top"/>
          </w:tcPr>
          <w:p>
            <w:pPr>
              <w:spacing w:line="560" w:lineRule="exact"/>
              <w:rPr>
                <w:rFonts w:ascii="黑体" w:eastAsia="黑体"/>
                <w:color w:val="auto"/>
                <w:szCs w:val="21"/>
                <w:highlight w:val="none"/>
              </w:rPr>
            </w:pPr>
          </w:p>
        </w:tc>
        <w:tc>
          <w:tcPr>
            <w:tcW w:w="900" w:type="dxa"/>
            <w:noWrap w:val="0"/>
            <w:vAlign w:val="top"/>
          </w:tcPr>
          <w:p>
            <w:pPr>
              <w:spacing w:line="560" w:lineRule="exact"/>
              <w:rPr>
                <w:rFonts w:ascii="黑体" w:eastAsia="黑体"/>
                <w:color w:val="auto"/>
                <w:szCs w:val="21"/>
                <w:highlight w:val="none"/>
              </w:rPr>
            </w:pPr>
          </w:p>
        </w:tc>
        <w:tc>
          <w:tcPr>
            <w:tcW w:w="1800" w:type="dxa"/>
            <w:noWrap w:val="0"/>
            <w:vAlign w:val="top"/>
          </w:tcPr>
          <w:p>
            <w:pPr>
              <w:spacing w:line="560" w:lineRule="exact"/>
              <w:rPr>
                <w:rFonts w:ascii="黑体" w:eastAsia="黑体"/>
                <w:color w:val="auto"/>
                <w:szCs w:val="21"/>
                <w:highlight w:val="none"/>
              </w:rPr>
            </w:pPr>
          </w:p>
        </w:tc>
        <w:tc>
          <w:tcPr>
            <w:tcW w:w="1836" w:type="dxa"/>
            <w:vMerge w:val="continue"/>
            <w:noWrap w:val="0"/>
            <w:vAlign w:val="top"/>
          </w:tcPr>
          <w:p>
            <w:pPr>
              <w:spacing w:line="560" w:lineRule="exact"/>
              <w:rPr>
                <w:rFonts w:ascii="黑体" w:eastAsia="黑体"/>
                <w:color w:val="auto"/>
                <w:szCs w:val="21"/>
                <w:highlight w:val="none"/>
              </w:rPr>
            </w:pPr>
          </w:p>
        </w:tc>
        <w:tc>
          <w:tcPr>
            <w:tcW w:w="5462" w:type="dxa"/>
            <w:vMerge w:val="continue"/>
            <w:noWrap w:val="0"/>
            <w:vAlign w:val="top"/>
          </w:tcPr>
          <w:p>
            <w:pPr>
              <w:spacing w:line="560" w:lineRule="exact"/>
              <w:rPr>
                <w:rFonts w:ascii="黑体"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pPr>
              <w:spacing w:line="560" w:lineRule="exact"/>
              <w:rPr>
                <w:rFonts w:ascii="黑体" w:eastAsia="黑体"/>
                <w:color w:val="auto"/>
                <w:szCs w:val="21"/>
                <w:highlight w:val="none"/>
              </w:rPr>
            </w:pPr>
          </w:p>
        </w:tc>
        <w:tc>
          <w:tcPr>
            <w:tcW w:w="1893" w:type="dxa"/>
            <w:noWrap w:val="0"/>
            <w:vAlign w:val="top"/>
          </w:tcPr>
          <w:p>
            <w:pPr>
              <w:spacing w:line="560" w:lineRule="exact"/>
              <w:rPr>
                <w:rFonts w:ascii="黑体" w:eastAsia="黑体"/>
                <w:color w:val="auto"/>
                <w:szCs w:val="21"/>
                <w:highlight w:val="none"/>
              </w:rPr>
            </w:pPr>
          </w:p>
        </w:tc>
        <w:tc>
          <w:tcPr>
            <w:tcW w:w="1621" w:type="dxa"/>
            <w:noWrap w:val="0"/>
            <w:vAlign w:val="top"/>
          </w:tcPr>
          <w:p>
            <w:pPr>
              <w:spacing w:line="560" w:lineRule="exact"/>
              <w:rPr>
                <w:rFonts w:ascii="黑体" w:eastAsia="黑体"/>
                <w:color w:val="auto"/>
                <w:szCs w:val="21"/>
                <w:highlight w:val="none"/>
              </w:rPr>
            </w:pPr>
          </w:p>
        </w:tc>
        <w:tc>
          <w:tcPr>
            <w:tcW w:w="745" w:type="dxa"/>
            <w:vMerge w:val="continue"/>
            <w:noWrap w:val="0"/>
            <w:vAlign w:val="top"/>
          </w:tcPr>
          <w:p>
            <w:pPr>
              <w:spacing w:line="560" w:lineRule="exact"/>
              <w:rPr>
                <w:rFonts w:ascii="黑体" w:eastAsia="黑体"/>
                <w:color w:val="auto"/>
                <w:szCs w:val="21"/>
                <w:highlight w:val="none"/>
              </w:rPr>
            </w:pPr>
          </w:p>
        </w:tc>
        <w:tc>
          <w:tcPr>
            <w:tcW w:w="900" w:type="dxa"/>
            <w:noWrap w:val="0"/>
            <w:vAlign w:val="top"/>
          </w:tcPr>
          <w:p>
            <w:pPr>
              <w:spacing w:line="560" w:lineRule="exact"/>
              <w:rPr>
                <w:rFonts w:ascii="黑体" w:eastAsia="黑体"/>
                <w:color w:val="auto"/>
                <w:szCs w:val="21"/>
                <w:highlight w:val="none"/>
              </w:rPr>
            </w:pPr>
          </w:p>
        </w:tc>
        <w:tc>
          <w:tcPr>
            <w:tcW w:w="1800" w:type="dxa"/>
            <w:noWrap w:val="0"/>
            <w:vAlign w:val="top"/>
          </w:tcPr>
          <w:p>
            <w:pPr>
              <w:spacing w:line="560" w:lineRule="exact"/>
              <w:rPr>
                <w:rFonts w:ascii="黑体" w:eastAsia="黑体"/>
                <w:color w:val="auto"/>
                <w:szCs w:val="21"/>
                <w:highlight w:val="none"/>
              </w:rPr>
            </w:pPr>
          </w:p>
        </w:tc>
        <w:tc>
          <w:tcPr>
            <w:tcW w:w="1836" w:type="dxa"/>
            <w:vMerge w:val="continue"/>
            <w:noWrap w:val="0"/>
            <w:vAlign w:val="top"/>
          </w:tcPr>
          <w:p>
            <w:pPr>
              <w:spacing w:line="560" w:lineRule="exact"/>
              <w:rPr>
                <w:rFonts w:ascii="黑体" w:eastAsia="黑体"/>
                <w:color w:val="auto"/>
                <w:szCs w:val="21"/>
                <w:highlight w:val="none"/>
              </w:rPr>
            </w:pPr>
          </w:p>
        </w:tc>
        <w:tc>
          <w:tcPr>
            <w:tcW w:w="5462" w:type="dxa"/>
            <w:vMerge w:val="continue"/>
            <w:noWrap w:val="0"/>
            <w:vAlign w:val="top"/>
          </w:tcPr>
          <w:p>
            <w:pPr>
              <w:spacing w:line="560" w:lineRule="exact"/>
              <w:rPr>
                <w:rFonts w:ascii="黑体"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pPr>
              <w:spacing w:line="560" w:lineRule="exact"/>
              <w:rPr>
                <w:rFonts w:ascii="黑体" w:eastAsia="黑体"/>
                <w:color w:val="auto"/>
                <w:szCs w:val="21"/>
                <w:highlight w:val="none"/>
              </w:rPr>
            </w:pPr>
          </w:p>
        </w:tc>
        <w:tc>
          <w:tcPr>
            <w:tcW w:w="1893" w:type="dxa"/>
            <w:noWrap w:val="0"/>
            <w:vAlign w:val="top"/>
          </w:tcPr>
          <w:p>
            <w:pPr>
              <w:spacing w:line="560" w:lineRule="exact"/>
              <w:rPr>
                <w:rFonts w:ascii="黑体" w:eastAsia="黑体"/>
                <w:color w:val="auto"/>
                <w:szCs w:val="21"/>
                <w:highlight w:val="none"/>
              </w:rPr>
            </w:pPr>
          </w:p>
        </w:tc>
        <w:tc>
          <w:tcPr>
            <w:tcW w:w="1621" w:type="dxa"/>
            <w:noWrap w:val="0"/>
            <w:vAlign w:val="top"/>
          </w:tcPr>
          <w:p>
            <w:pPr>
              <w:spacing w:line="560" w:lineRule="exact"/>
              <w:rPr>
                <w:rFonts w:ascii="黑体" w:eastAsia="黑体"/>
                <w:color w:val="auto"/>
                <w:szCs w:val="21"/>
                <w:highlight w:val="none"/>
              </w:rPr>
            </w:pPr>
          </w:p>
        </w:tc>
        <w:tc>
          <w:tcPr>
            <w:tcW w:w="745" w:type="dxa"/>
            <w:vMerge w:val="continue"/>
            <w:noWrap w:val="0"/>
            <w:vAlign w:val="top"/>
          </w:tcPr>
          <w:p>
            <w:pPr>
              <w:spacing w:line="560" w:lineRule="exact"/>
              <w:rPr>
                <w:rFonts w:ascii="黑体" w:eastAsia="黑体"/>
                <w:color w:val="auto"/>
                <w:szCs w:val="21"/>
                <w:highlight w:val="none"/>
              </w:rPr>
            </w:pPr>
          </w:p>
        </w:tc>
        <w:tc>
          <w:tcPr>
            <w:tcW w:w="900" w:type="dxa"/>
            <w:noWrap w:val="0"/>
            <w:vAlign w:val="top"/>
          </w:tcPr>
          <w:p>
            <w:pPr>
              <w:spacing w:line="560" w:lineRule="exact"/>
              <w:rPr>
                <w:rFonts w:ascii="黑体" w:eastAsia="黑体"/>
                <w:color w:val="auto"/>
                <w:szCs w:val="21"/>
                <w:highlight w:val="none"/>
              </w:rPr>
            </w:pPr>
          </w:p>
        </w:tc>
        <w:tc>
          <w:tcPr>
            <w:tcW w:w="1800" w:type="dxa"/>
            <w:noWrap w:val="0"/>
            <w:vAlign w:val="top"/>
          </w:tcPr>
          <w:p>
            <w:pPr>
              <w:spacing w:line="560" w:lineRule="exact"/>
              <w:rPr>
                <w:rFonts w:ascii="黑体" w:eastAsia="黑体"/>
                <w:color w:val="auto"/>
                <w:szCs w:val="21"/>
                <w:highlight w:val="none"/>
              </w:rPr>
            </w:pPr>
          </w:p>
        </w:tc>
        <w:tc>
          <w:tcPr>
            <w:tcW w:w="1836" w:type="dxa"/>
            <w:vMerge w:val="continue"/>
            <w:noWrap w:val="0"/>
            <w:vAlign w:val="top"/>
          </w:tcPr>
          <w:p>
            <w:pPr>
              <w:spacing w:line="560" w:lineRule="exact"/>
              <w:rPr>
                <w:rFonts w:ascii="黑体" w:eastAsia="黑体"/>
                <w:color w:val="auto"/>
                <w:szCs w:val="21"/>
                <w:highlight w:val="none"/>
              </w:rPr>
            </w:pPr>
          </w:p>
        </w:tc>
        <w:tc>
          <w:tcPr>
            <w:tcW w:w="5462" w:type="dxa"/>
            <w:vMerge w:val="continue"/>
            <w:noWrap w:val="0"/>
            <w:vAlign w:val="top"/>
          </w:tcPr>
          <w:p>
            <w:pPr>
              <w:spacing w:line="560" w:lineRule="exact"/>
              <w:rPr>
                <w:rFonts w:ascii="黑体" w:eastAsia="黑体"/>
                <w:color w:val="auto"/>
                <w:szCs w:val="21"/>
                <w:highlight w:val="none"/>
              </w:rPr>
            </w:pPr>
          </w:p>
        </w:tc>
      </w:tr>
    </w:tbl>
    <w:p>
      <w:pPr>
        <w:rPr>
          <w:rFonts w:hint="eastAsia" w:ascii="宋体" w:hAnsi="宋体"/>
          <w:color w:val="auto"/>
          <w:szCs w:val="21"/>
          <w:highlight w:val="none"/>
        </w:rPr>
      </w:pPr>
      <w:r>
        <w:rPr>
          <w:rFonts w:hint="eastAsia" w:ascii="宋体" w:hAnsi="宋体"/>
          <w:color w:val="auto"/>
          <w:szCs w:val="21"/>
          <w:highlight w:val="none"/>
        </w:rPr>
        <w:t xml:space="preserve"> 注：</w:t>
      </w:r>
      <w:r>
        <w:rPr>
          <w:rFonts w:hint="eastAsia" w:ascii="宋体" w:hAnsi="宋体"/>
          <w:b/>
          <w:color w:val="auto"/>
          <w:szCs w:val="21"/>
          <w:highlight w:val="none"/>
        </w:rPr>
        <w:t>1.</w:t>
      </w:r>
      <w:r>
        <w:rPr>
          <w:rFonts w:ascii="宋体" w:hAnsi="宋体"/>
          <w:b/>
          <w:color w:val="auto"/>
          <w:szCs w:val="21"/>
          <w:highlight w:val="none"/>
        </w:rPr>
        <w:t xml:space="preserve"> </w:t>
      </w:r>
      <w:r>
        <w:rPr>
          <w:rFonts w:hint="eastAsia" w:ascii="宋体" w:hAnsi="宋体"/>
          <w:b/>
          <w:color w:val="auto"/>
          <w:szCs w:val="21"/>
          <w:highlight w:val="none"/>
        </w:rPr>
        <w:t>该表格适用于</w:t>
      </w:r>
      <w:r>
        <w:rPr>
          <w:rFonts w:ascii="宋体" w:hAnsi="宋体"/>
          <w:b/>
          <w:color w:val="auto"/>
          <w:szCs w:val="21"/>
          <w:highlight w:val="none"/>
        </w:rPr>
        <w:t>以</w:t>
      </w:r>
      <w:r>
        <w:rPr>
          <w:rFonts w:hint="eastAsia" w:ascii="宋体" w:hAnsi="宋体"/>
          <w:b/>
          <w:color w:val="auto"/>
          <w:szCs w:val="21"/>
          <w:highlight w:val="none"/>
        </w:rPr>
        <w:t>有效</w:t>
      </w:r>
      <w:r>
        <w:rPr>
          <w:rFonts w:ascii="宋体" w:hAnsi="宋体"/>
          <w:b/>
          <w:color w:val="auto"/>
          <w:szCs w:val="21"/>
          <w:highlight w:val="none"/>
        </w:rPr>
        <w:t>投标价为基础计算并</w:t>
      </w:r>
      <w:r>
        <w:rPr>
          <w:rFonts w:hint="eastAsia" w:ascii="宋体" w:hAnsi="宋体"/>
          <w:b/>
          <w:color w:val="auto"/>
          <w:szCs w:val="21"/>
          <w:highlight w:val="none"/>
        </w:rPr>
        <w:t>根据抽取的计算评标基准价的下浮率下浮后</w:t>
      </w:r>
      <w:r>
        <w:rPr>
          <w:rFonts w:ascii="宋体" w:hAnsi="宋体"/>
          <w:b/>
          <w:color w:val="auto"/>
          <w:szCs w:val="21"/>
          <w:highlight w:val="none"/>
        </w:rPr>
        <w:t>确定评标基准价</w:t>
      </w:r>
      <w:r>
        <w:rPr>
          <w:rFonts w:hint="eastAsia" w:ascii="宋体" w:hAnsi="宋体"/>
          <w:b/>
          <w:color w:val="auto"/>
          <w:szCs w:val="21"/>
          <w:highlight w:val="none"/>
        </w:rPr>
        <w:t>。</w:t>
      </w:r>
    </w:p>
    <w:p>
      <w:pPr>
        <w:ind w:firstLine="525" w:firstLineChars="250"/>
        <w:rPr>
          <w:rFonts w:ascii="宋体" w:hAnsi="宋体"/>
          <w:color w:val="auto"/>
          <w:szCs w:val="21"/>
          <w:highlight w:val="none"/>
        </w:rPr>
      </w:pPr>
      <w:r>
        <w:rPr>
          <w:rFonts w:hint="eastAsia" w:ascii="宋体" w:hAnsi="宋体"/>
          <w:color w:val="auto"/>
          <w:szCs w:val="21"/>
          <w:highlight w:val="none"/>
        </w:rPr>
        <w:t>2.</w:t>
      </w:r>
      <w:r>
        <w:rPr>
          <w:rFonts w:hint="eastAsia" w:ascii="宋体" w:hAnsi="宋体"/>
          <w:b/>
          <w:color w:val="auto"/>
          <w:szCs w:val="21"/>
          <w:highlight w:val="none"/>
        </w:rPr>
        <w:t>使用此表时，对于已经确定为无效报价的，不得在本计算表中列出。投标单位的序号按开标时的顺序从小到大排列。</w:t>
      </w:r>
    </w:p>
    <w:p>
      <w:pPr>
        <w:rPr>
          <w:rFonts w:ascii="宋体" w:hAnsi="宋体"/>
          <w:color w:val="auto"/>
          <w:szCs w:val="21"/>
          <w:highlight w:val="none"/>
        </w:rPr>
      </w:pPr>
      <w:r>
        <w:rPr>
          <w:rFonts w:hint="eastAsia" w:ascii="宋体" w:hAnsi="宋体"/>
          <w:color w:val="auto"/>
          <w:szCs w:val="21"/>
          <w:highlight w:val="none"/>
        </w:rPr>
        <w:t>评标委员会全体评委签名：</w:t>
      </w:r>
    </w:p>
    <w:p>
      <w:pPr>
        <w:spacing w:line="240" w:lineRule="auto"/>
        <w:ind w:right="-722" w:rightChars="-344"/>
        <w:jc w:val="left"/>
        <w:rPr>
          <w:rFonts w:ascii="宋体" w:hAnsi="宋体"/>
          <w:b/>
          <w:color w:val="auto"/>
          <w:sz w:val="36"/>
          <w:szCs w:val="36"/>
          <w:highlight w:val="none"/>
        </w:rPr>
      </w:pPr>
      <w:r>
        <w:rPr>
          <w:rFonts w:hint="eastAsia" w:ascii="宋体" w:hAnsi="宋体"/>
          <w:color w:val="auto"/>
          <w:szCs w:val="21"/>
          <w:highlight w:val="none"/>
        </w:rPr>
        <w:t xml:space="preserve">招标代理记录：            监督人：           见证人:            </w:t>
      </w:r>
      <w:r>
        <w:rPr>
          <w:rFonts w:hint="eastAsia" w:ascii="宋体" w:hAnsi="宋体"/>
          <w:color w:val="auto"/>
          <w:kern w:val="0"/>
          <w:highlight w:val="none"/>
        </w:rPr>
        <w:t>日期：   年   月  日</w:t>
      </w:r>
    </w:p>
    <w:p>
      <w:pPr>
        <w:rPr>
          <w:rFonts w:ascii="黑体" w:hAnsi="黑体" w:eastAsia="黑体"/>
          <w:color w:val="auto"/>
          <w:sz w:val="32"/>
          <w:szCs w:val="27"/>
          <w:highlight w:val="none"/>
        </w:rPr>
        <w:sectPr>
          <w:pgSz w:w="16838" w:h="11906" w:orient="landscape"/>
          <w:pgMar w:top="1797" w:right="1440" w:bottom="1797" w:left="1440" w:header="851" w:footer="992" w:gutter="0"/>
          <w:pgNumType w:fmt="decimal"/>
          <w:cols w:space="720" w:num="1"/>
          <w:docGrid w:linePitch="312" w:charSpace="0"/>
        </w:sectPr>
      </w:pPr>
    </w:p>
    <w:p>
      <w:pPr>
        <w:pageBreakBefore/>
        <w:spacing w:line="360" w:lineRule="auto"/>
        <w:jc w:val="center"/>
        <w:outlineLvl w:val="1"/>
        <w:rPr>
          <w:rFonts w:ascii="黑体" w:hAnsi="黑体" w:eastAsia="黑体"/>
          <w:color w:val="auto"/>
          <w:sz w:val="32"/>
          <w:szCs w:val="27"/>
          <w:highlight w:val="none"/>
        </w:rPr>
      </w:pPr>
      <w:bookmarkStart w:id="345" w:name="_Toc262229174"/>
      <w:bookmarkStart w:id="346" w:name="_Toc17454885"/>
      <w:bookmarkStart w:id="347" w:name="_Toc25028"/>
      <w:bookmarkStart w:id="348" w:name="_Toc17454936"/>
      <w:bookmarkStart w:id="349" w:name="_Toc17556890"/>
      <w:bookmarkStart w:id="350" w:name="_Toc17452678"/>
      <w:bookmarkStart w:id="351" w:name="_Toc17451592"/>
      <w:bookmarkStart w:id="352" w:name="_Toc17451115"/>
      <w:bookmarkStart w:id="353" w:name="_Toc17451637"/>
      <w:r>
        <w:rPr>
          <w:rFonts w:hint="eastAsia" w:ascii="黑体" w:hAnsi="黑体" w:eastAsia="黑体"/>
          <w:color w:val="auto"/>
          <w:sz w:val="32"/>
          <w:szCs w:val="27"/>
          <w:highlight w:val="none"/>
        </w:rPr>
        <w:t>第四章 合同条款</w:t>
      </w:r>
      <w:bookmarkEnd w:id="345"/>
      <w:bookmarkEnd w:id="346"/>
      <w:bookmarkEnd w:id="347"/>
      <w:bookmarkEnd w:id="348"/>
      <w:bookmarkEnd w:id="349"/>
      <w:bookmarkEnd w:id="350"/>
      <w:bookmarkEnd w:id="351"/>
      <w:bookmarkEnd w:id="352"/>
      <w:bookmarkEnd w:id="353"/>
    </w:p>
    <w:p>
      <w:pPr>
        <w:rPr>
          <w:rFonts w:ascii="Calibri" w:hAnsi="Calibri" w:cs="Times New Roman"/>
          <w:color w:val="auto"/>
          <w:szCs w:val="21"/>
          <w:highlight w:val="none"/>
        </w:rPr>
      </w:pPr>
    </w:p>
    <w:p>
      <w:pPr>
        <w:widowControl/>
        <w:spacing w:line="640" w:lineRule="exact"/>
        <w:jc w:val="left"/>
        <w:rPr>
          <w:rFonts w:ascii="黑体" w:hAnsi="黑体" w:eastAsia="黑体" w:cs="黑体"/>
          <w:color w:val="auto"/>
          <w:sz w:val="32"/>
          <w:szCs w:val="32"/>
          <w:highlight w:val="none"/>
        </w:rPr>
      </w:pPr>
    </w:p>
    <w:p>
      <w:pPr>
        <w:widowControl/>
        <w:wordWrap/>
        <w:spacing w:line="640" w:lineRule="exact"/>
        <w:jc w:val="right"/>
        <w:rPr>
          <w:rFonts w:ascii="方正楷体_GBK" w:hAnsi="方正楷体_GBK" w:eastAsia="方正楷体_GBK" w:cs="方正楷体_GBK"/>
          <w:color w:val="auto"/>
          <w:sz w:val="28"/>
          <w:szCs w:val="28"/>
          <w:highlight w:val="none"/>
          <w:u w:val="single"/>
        </w:rPr>
      </w:pP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【标准文本】合同-SG-202405-01</w:t>
      </w:r>
      <w:r>
        <w:rPr>
          <w:rFonts w:hint="eastAsia" w:ascii="方正楷体_GBK" w:hAnsi="方正楷体_GBK" w:eastAsia="方正楷体_GBK" w:cs="方正楷体_GBK"/>
          <w:color w:val="auto"/>
          <w:sz w:val="28"/>
          <w:szCs w:val="28"/>
          <w:highlight w:val="none"/>
        </w:rPr>
        <w:t xml:space="preserve">          </w:t>
      </w:r>
    </w:p>
    <w:p>
      <w:pPr>
        <w:tabs>
          <w:tab w:val="left" w:pos="3900"/>
          <w:tab w:val="right" w:pos="10245"/>
        </w:tabs>
        <w:wordWrap w:val="0"/>
        <w:spacing w:line="360" w:lineRule="auto"/>
        <w:jc w:val="left"/>
        <w:rPr>
          <w:rFonts w:ascii="宋体" w:hAnsi="Calibri" w:cs="Times New Roman"/>
          <w:color w:val="auto"/>
          <w:sz w:val="32"/>
          <w:szCs w:val="32"/>
          <w:highlight w:val="none"/>
          <w:u w:val="single"/>
        </w:rPr>
      </w:pPr>
    </w:p>
    <w:p>
      <w:pPr>
        <w:spacing w:line="360" w:lineRule="auto"/>
        <w:jc w:val="right"/>
        <w:rPr>
          <w:rFonts w:ascii="宋体" w:hAnsi="Calibri" w:cs="Times New Roman"/>
          <w:color w:val="auto"/>
          <w:sz w:val="32"/>
          <w:szCs w:val="32"/>
          <w:highlight w:val="none"/>
          <w:u w:val="single"/>
        </w:rPr>
      </w:pPr>
    </w:p>
    <w:p>
      <w:pPr>
        <w:spacing w:line="960" w:lineRule="exact"/>
        <w:jc w:val="center"/>
        <w:rPr>
          <w:rFonts w:ascii="方正小标宋简体" w:hAnsi="方正小标宋简体" w:eastAsia="方正小标宋简体" w:cs="方正小标宋简体"/>
          <w:color w:val="auto"/>
          <w:spacing w:val="-40"/>
          <w:kern w:val="0"/>
          <w:sz w:val="72"/>
          <w:szCs w:val="72"/>
          <w:highlight w:val="none"/>
        </w:rPr>
      </w:pPr>
      <w:r>
        <w:rPr>
          <w:rFonts w:hint="eastAsia" w:ascii="方正小标宋简体" w:hAnsi="方正小标宋简体" w:eastAsia="方正小标宋简体" w:cs="方正小标宋简体"/>
          <w:color w:val="auto"/>
          <w:spacing w:val="-40"/>
          <w:kern w:val="0"/>
          <w:sz w:val="72"/>
          <w:szCs w:val="72"/>
          <w:highlight w:val="none"/>
        </w:rPr>
        <w:t>广州市自来水有限公司</w:t>
      </w:r>
    </w:p>
    <w:p>
      <w:pPr>
        <w:spacing w:line="960" w:lineRule="exact"/>
        <w:jc w:val="center"/>
        <w:rPr>
          <w:rFonts w:ascii="方正小标宋简体" w:hAnsi="方正小标宋简体" w:eastAsia="方正小标宋简体" w:cs="方正小标宋简体"/>
          <w:color w:val="auto"/>
          <w:spacing w:val="-40"/>
          <w:kern w:val="0"/>
          <w:sz w:val="72"/>
          <w:szCs w:val="72"/>
          <w:highlight w:val="none"/>
        </w:rPr>
      </w:pPr>
      <w:r>
        <w:rPr>
          <w:rFonts w:hint="eastAsia" w:ascii="方正小标宋简体" w:hAnsi="方正小标宋简体" w:eastAsia="方正小标宋简体" w:cs="方正小标宋简体"/>
          <w:color w:val="auto"/>
          <w:spacing w:val="-40"/>
          <w:kern w:val="0"/>
          <w:sz w:val="72"/>
          <w:szCs w:val="72"/>
          <w:highlight w:val="none"/>
        </w:rPr>
        <w:t>建设工程施工合同</w:t>
      </w:r>
    </w:p>
    <w:p>
      <w:pPr>
        <w:widowControl/>
        <w:spacing w:line="640" w:lineRule="exact"/>
        <w:jc w:val="center"/>
        <w:rPr>
          <w:rFonts w:ascii="方正楷体_GBK" w:hAnsi="方正楷体_GBK" w:eastAsia="方正楷体_GBK" w:cs="方正楷体_GBK"/>
          <w:color w:val="auto"/>
          <w:sz w:val="28"/>
          <w:szCs w:val="28"/>
          <w:highlight w:val="none"/>
        </w:rPr>
      </w:pPr>
      <w:r>
        <w:rPr>
          <w:rFonts w:hint="eastAsia" w:ascii="仿宋_GB2312" w:hAnsi="仿宋_GB2312" w:eastAsia="仿宋_GB2312" w:cs="仿宋_GB2312"/>
          <w:color w:val="auto"/>
          <w:sz w:val="28"/>
          <w:szCs w:val="28"/>
          <w:highlight w:val="none"/>
        </w:rPr>
        <w:t>（2024年修订版标准文本，适用于公开招标项目）</w:t>
      </w:r>
    </w:p>
    <w:p>
      <w:pPr>
        <w:tabs>
          <w:tab w:val="left" w:pos="1380"/>
        </w:tabs>
        <w:spacing w:line="360" w:lineRule="auto"/>
        <w:rPr>
          <w:rFonts w:ascii="宋体" w:hAnsi="Calibri" w:cs="Times New Roman"/>
          <w:color w:val="auto"/>
          <w:sz w:val="32"/>
          <w:szCs w:val="32"/>
          <w:highlight w:val="none"/>
        </w:rPr>
      </w:pPr>
    </w:p>
    <w:p>
      <w:pPr>
        <w:tabs>
          <w:tab w:val="left" w:pos="1380"/>
        </w:tabs>
        <w:spacing w:line="360" w:lineRule="auto"/>
        <w:rPr>
          <w:rFonts w:ascii="宋体" w:hAnsi="Calibri" w:cs="Times New Roman"/>
          <w:color w:val="auto"/>
          <w:sz w:val="32"/>
          <w:szCs w:val="32"/>
          <w:highlight w:val="none"/>
        </w:rPr>
      </w:pPr>
      <w:r>
        <w:rPr>
          <w:rFonts w:ascii="宋体" w:hAnsi="Calibri" w:cs="Times New Roman"/>
          <w:color w:val="auto"/>
          <w:sz w:val="32"/>
          <w:szCs w:val="32"/>
          <w:highlight w:val="none"/>
        </w:rPr>
        <w:tab/>
      </w:r>
    </w:p>
    <w:p>
      <w:pPr>
        <w:spacing w:line="640" w:lineRule="exact"/>
        <w:ind w:firstLine="1699" w:firstLineChars="531"/>
        <w:rPr>
          <w:rFonts w:ascii="仿宋" w:hAnsi="仿宋" w:eastAsia="仿宋" w:cs="Times New Roman"/>
          <w:color w:val="auto"/>
          <w:sz w:val="32"/>
          <w:szCs w:val="32"/>
          <w:highlight w:val="none"/>
          <w:u w:val="single"/>
        </w:rPr>
      </w:pPr>
    </w:p>
    <w:p>
      <w:pPr>
        <w:spacing w:line="640" w:lineRule="exact"/>
        <w:jc w:val="left"/>
        <w:rPr>
          <w:rFonts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工程名称：</w:t>
      </w:r>
      <w:permStart w:id="0" w:edGrp="everyone"/>
      <w:r>
        <w:rPr>
          <w:rFonts w:hint="eastAsia" w:ascii="仿宋_GB2312" w:hAnsi="仿宋_GB2312" w:eastAsia="仿宋_GB2312" w:cs="仿宋_GB2312"/>
          <w:color w:val="auto"/>
          <w:sz w:val="28"/>
          <w:szCs w:val="28"/>
          <w:highlight w:val="none"/>
          <w:u w:val="single"/>
        </w:rPr>
        <w:t xml:space="preserve">                                   </w:t>
      </w:r>
      <w:permEnd w:id="0"/>
    </w:p>
    <w:p>
      <w:pPr>
        <w:spacing w:before="240" w:beforeLines="100" w:after="120" w:afterLines="50"/>
        <w:jc w:val="left"/>
        <w:rPr>
          <w:rFonts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工程地点：</w:t>
      </w:r>
      <w:permStart w:id="1" w:edGrp="everyone"/>
      <w:r>
        <w:rPr>
          <w:rFonts w:hint="eastAsia" w:ascii="仿宋_GB2312" w:hAnsi="仿宋_GB2312" w:eastAsia="仿宋_GB2312" w:cs="仿宋_GB2312"/>
          <w:color w:val="auto"/>
          <w:sz w:val="28"/>
          <w:szCs w:val="28"/>
          <w:highlight w:val="none"/>
          <w:u w:val="single"/>
        </w:rPr>
        <w:t xml:space="preserve">                                   </w:t>
      </w:r>
      <w:permEnd w:id="1"/>
    </w:p>
    <w:p>
      <w:pPr>
        <w:spacing w:line="640" w:lineRule="exact"/>
        <w:jc w:val="lef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发 包 人：</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广州市自来水有限公司        </w:t>
      </w:r>
      <w:r>
        <w:rPr>
          <w:rFonts w:hint="eastAsia" w:ascii="仿宋_GB2312" w:hAnsi="仿宋_GB2312" w:eastAsia="仿宋_GB2312" w:cs="仿宋_GB2312"/>
          <w:color w:val="auto"/>
          <w:sz w:val="28"/>
          <w:szCs w:val="28"/>
          <w:highlight w:val="none"/>
        </w:rPr>
        <w:t xml:space="preserve">                                   </w:t>
      </w:r>
    </w:p>
    <w:p>
      <w:pPr>
        <w:spacing w:line="640" w:lineRule="exact"/>
        <w:jc w:val="lef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 包 人：</w:t>
      </w:r>
      <w:permStart w:id="2" w:edGrp="everyone"/>
      <w:r>
        <w:rPr>
          <w:rFonts w:hint="eastAsia" w:ascii="仿宋_GB2312" w:hAnsi="仿宋_GB2312" w:eastAsia="仿宋_GB2312" w:cs="仿宋_GB2312"/>
          <w:color w:val="auto"/>
          <w:sz w:val="28"/>
          <w:szCs w:val="28"/>
          <w:highlight w:val="none"/>
          <w:u w:val="single"/>
        </w:rPr>
        <w:t xml:space="preserve">                                   </w:t>
      </w:r>
      <w:permEnd w:id="2"/>
      <w:r>
        <w:rPr>
          <w:rFonts w:hint="eastAsia" w:ascii="仿宋_GB2312" w:hAnsi="仿宋_GB2312" w:eastAsia="仿宋_GB2312" w:cs="仿宋_GB2312"/>
          <w:color w:val="auto"/>
          <w:sz w:val="28"/>
          <w:szCs w:val="28"/>
          <w:highlight w:val="none"/>
        </w:rPr>
        <w:t xml:space="preserve">                                   </w:t>
      </w:r>
    </w:p>
    <w:p>
      <w:pPr>
        <w:spacing w:line="640" w:lineRule="exact"/>
        <w:jc w:val="left"/>
        <w:rPr>
          <w:rFonts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合同编号：</w:t>
      </w:r>
      <w:permStart w:id="3" w:edGrp="everyone"/>
      <w:r>
        <w:rPr>
          <w:rFonts w:hint="eastAsia" w:ascii="仿宋_GB2312" w:hAnsi="仿宋_GB2312" w:eastAsia="仿宋_GB2312" w:cs="仿宋_GB2312"/>
          <w:color w:val="auto"/>
          <w:sz w:val="28"/>
          <w:szCs w:val="28"/>
          <w:highlight w:val="none"/>
          <w:u w:val="single"/>
        </w:rPr>
        <w:t xml:space="preserve">                                   </w:t>
      </w:r>
      <w:permEnd w:id="3"/>
    </w:p>
    <w:p>
      <w:pPr>
        <w:spacing w:line="640" w:lineRule="exact"/>
        <w:ind w:firstLine="1680" w:firstLineChars="6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p>
    <w:p>
      <w:pPr>
        <w:spacing w:line="360" w:lineRule="auto"/>
        <w:ind w:left="708" w:leftChars="337" w:firstLine="840" w:firstLineChars="300"/>
        <w:rPr>
          <w:rFonts w:ascii="方正楷体_GBK" w:hAnsi="方正楷体_GBK" w:eastAsia="方正楷体_GBK" w:cs="方正楷体_GBK"/>
          <w:color w:val="auto"/>
          <w:sz w:val="28"/>
          <w:szCs w:val="28"/>
          <w:highlight w:val="none"/>
          <w:u w:val="single"/>
        </w:rPr>
      </w:pPr>
    </w:p>
    <w:p>
      <w:pPr>
        <w:spacing w:line="360" w:lineRule="auto"/>
        <w:ind w:firstLine="840" w:firstLineChars="300"/>
        <w:rPr>
          <w:rFonts w:ascii="方正楷体_GBK" w:hAnsi="方正楷体_GBK" w:eastAsia="方正楷体_GBK" w:cs="方正楷体_GBK"/>
          <w:color w:val="auto"/>
          <w:sz w:val="28"/>
          <w:szCs w:val="28"/>
          <w:highlight w:val="none"/>
          <w:u w:val="single"/>
        </w:rPr>
      </w:pPr>
    </w:p>
    <w:p>
      <w:pPr>
        <w:spacing w:line="240" w:lineRule="atLeast"/>
        <w:jc w:val="center"/>
        <w:rPr>
          <w:rFonts w:ascii="方正楷体_GBK" w:hAnsi="方正楷体_GBK" w:eastAsia="方正楷体_GBK" w:cs="方正楷体_GBK"/>
          <w:b/>
          <w:bCs/>
          <w:color w:val="auto"/>
          <w:spacing w:val="20"/>
          <w:sz w:val="28"/>
          <w:szCs w:val="28"/>
          <w:highlight w:val="none"/>
        </w:rPr>
      </w:pPr>
    </w:p>
    <w:p>
      <w:pPr>
        <w:widowControl/>
        <w:spacing w:line="360" w:lineRule="auto"/>
        <w:jc w:val="left"/>
        <w:rPr>
          <w:rFonts w:hint="eastAsia" w:ascii="宋体" w:cs="Times New Roman"/>
          <w:b/>
          <w:bCs/>
          <w:color w:val="auto"/>
          <w:spacing w:val="80"/>
          <w:kern w:val="0"/>
          <w:sz w:val="36"/>
          <w:szCs w:val="36"/>
          <w:highlight w:val="none"/>
        </w:rPr>
        <w:sectPr>
          <w:footerReference r:id="rId4" w:type="default"/>
          <w:endnotePr>
            <w:numFmt w:val="decimal"/>
          </w:endnotePr>
          <w:pgSz w:w="11905" w:h="16838"/>
          <w:pgMar w:top="1440" w:right="1800" w:bottom="1440" w:left="1800" w:header="0" w:footer="0" w:gutter="0"/>
          <w:pgNumType w:start="1"/>
          <w:cols w:space="0" w:num="1"/>
          <w:titlePg/>
          <w:rtlGutter w:val="0"/>
          <w:docGrid w:linePitch="0" w:charSpace="0"/>
        </w:sectPr>
      </w:pPr>
    </w:p>
    <w:p>
      <w:pPr>
        <w:widowControl/>
        <w:spacing w:line="420" w:lineRule="exact"/>
        <w:jc w:val="left"/>
        <w:rPr>
          <w:rFonts w:hint="eastAsia" w:ascii="宋体" w:hAnsi="宋体" w:cs="宋体"/>
          <w:color w:val="auto"/>
          <w:sz w:val="22"/>
          <w:szCs w:val="22"/>
          <w:highlight w:val="none"/>
        </w:rPr>
      </w:pPr>
      <w:bookmarkStart w:id="354" w:name="_Toc18985701"/>
      <w:bookmarkStart w:id="355" w:name="_Toc266892751"/>
      <w:bookmarkStart w:id="356" w:name="_Toc18985581"/>
      <w:bookmarkStart w:id="357" w:name="_Toc18985535"/>
      <w:bookmarkStart w:id="358" w:name="_Toc18984943"/>
    </w:p>
    <w:p>
      <w:pPr>
        <w:keepNext/>
        <w:keepLines/>
        <w:widowControl w:val="0"/>
        <w:spacing w:before="0" w:after="0" w:line="420" w:lineRule="exact"/>
        <w:ind w:left="0" w:firstLine="0"/>
        <w:jc w:val="center"/>
        <w:outlineLvl w:val="9"/>
        <w:rPr>
          <w:rFonts w:hint="eastAsia" w:ascii="方正小标宋简体" w:hAnsi="方正小标宋简体" w:eastAsia="方正小标宋简体" w:cs="方正小标宋简体"/>
          <w:b w:val="0"/>
          <w:bCs w:val="0"/>
          <w:color w:val="auto"/>
          <w:kern w:val="44"/>
          <w:sz w:val="32"/>
          <w:szCs w:val="32"/>
          <w:highlight w:val="none"/>
          <w:lang w:val="zh-CN" w:eastAsia="zh-CN" w:bidi="ar-SA"/>
        </w:rPr>
      </w:pPr>
      <w:r>
        <w:rPr>
          <w:rFonts w:hint="eastAsia" w:ascii="方正小标宋简体" w:hAnsi="方正小标宋简体" w:eastAsia="方正小标宋简体" w:cs="方正小标宋简体"/>
          <w:b w:val="0"/>
          <w:bCs w:val="0"/>
          <w:color w:val="auto"/>
          <w:kern w:val="44"/>
          <w:sz w:val="32"/>
          <w:szCs w:val="32"/>
          <w:highlight w:val="none"/>
          <w:lang w:val="zh-CN" w:eastAsia="zh-CN" w:bidi="ar-SA"/>
        </w:rPr>
        <w:t>总  说  明</w:t>
      </w:r>
    </w:p>
    <w:p>
      <w:pPr>
        <w:spacing w:line="420" w:lineRule="exact"/>
        <w:rPr>
          <w:rFonts w:ascii="宋体" w:hAnsi="宋体" w:cs="宋体"/>
          <w:color w:val="auto"/>
          <w:sz w:val="22"/>
          <w:szCs w:val="22"/>
          <w:highlight w:val="none"/>
          <w:lang w:val="zh-CN"/>
        </w:rPr>
      </w:pP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了指导建设工程施工合同当事人的签约行为，维护合同当事人的合法权益，依据《中华人民共和国民法典》《中华人民共和国建筑法》《中华人民共和国招标投标法》以及相关法律法规，参照《建设工程施工合同（示范文本）》（GF—2017—0201）《广东省建设工程标准施工合同（2009年版）》《广州市建设工程施工合同》（SF-2019-0204）等合同范本，制定了广州市自来水有限公司施工合同示范文本。为了便于合同当事人使用《广州市自来水有限公司建设工程施工合同（2024年修订版标准文本，适用于公开招标项目）》（【标准文本】合同-SG-202405-01），现就有关问题说明如下：</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一、《广州市自来水有限公司建设工程施工合同（2024年修订版标准文本，适用于公开招标项目）》（【标准文本】合同-SG-202405-01）由协议书、通用条款和专用条款三部分组成。</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（一）协议书</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协议书集中约定了合同当事人基本的合同权利义务。</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（二）通用条款</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通用条款是合同当事人根据《中华人民共和国民法典》《中华人民共和国建筑法》等法律法规的规定，就工程施工的实施及相关事项，对合同当事人的权利义务作出的原则性约定。</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通用条款既考虑了现行法律法规对工程发承包计价的有关要求，也考虑了工程施工管理的特殊需要。</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（三）专用条款</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专用条款是对通用条款原则性约定的细化、完善、补充、修改或另行约定的条款。合同承办单位可以根据不同建设工程的特点及发承包计价的具体情况，通过双方的谈判、协商对相应的专用条款进行修改补充。在使用专用条款时，应注意以下事项：</w:t>
      </w:r>
    </w:p>
    <w:p>
      <w:pPr>
        <w:spacing w:line="420" w:lineRule="exact"/>
        <w:ind w:right="25" w:rightChars="12"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1.专用条款的编号应与相应的通用条款的编号一致；</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2.合同当事人可以通过对专用条款的修改，满足具体工程的特殊要求，避免直接修改通用条款；</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3.在专用条款中有横道线的地方，合同当事人可针对相应的通用条款进行细化、完善、补充、修改或另行约定；如无细化、完善、补充、修改或另行约定，则填写“无”或划“/”。</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4.文本开头带“</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rPr>
        <w:t>”的条款为选择性条款，由合同承办单位根据工程项目的具体特点和实际在“</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rPr>
        <w:t>”内打“√”或打“×”。</w:t>
      </w:r>
    </w:p>
    <w:p>
      <w:pPr>
        <w:spacing w:line="420" w:lineRule="exact"/>
        <w:ind w:firstLine="480"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二、《广州市自来水有限公司建设工程施工合同（2024年修订版标准文本，适用于公开招标项目）》（【标准文本】合同-SG-202405-01）的适用范围</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广州市自来水有限公司建设工程施工合同（2024年修订版标准文本，适用于公开招标项目）》（【标准文本】合同-SG-202405-01）适用于公司建设工程（非EPC)的新建、扩建、改建、装修、修缮等施工项目的合同订立。其中，通用条款中带</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sz w:val="24"/>
          <w:szCs w:val="24"/>
          <w:highlight w:val="none"/>
        </w:rPr>
        <w:t>号的条文，其内容是完整不可分割的，与法律、法规、规范有关联的条款，原则上应不进行删减，只能在专用条款中根据实际情况选择或在不违反原条款实质的前提下增加细化内容。其他内容合同当事人可结合建设工程具体情况，按照法律法规规定，根据《广州市自来水有限公司建设工程施工合同（2024年修订版标准文本，适用于公开招标项目）》（【标准文本】合同-SG-202405-01）的内容，约定双方具体的权利义务。</w:t>
      </w:r>
    </w:p>
    <w:p>
      <w:pPr>
        <w:spacing w:line="420" w:lineRule="exact"/>
        <w:ind w:firstLine="616" w:firstLineChars="25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三、其他事项</w:t>
      </w:r>
    </w:p>
    <w:p>
      <w:pPr>
        <w:spacing w:line="420" w:lineRule="exact"/>
        <w:ind w:firstLine="616" w:firstLineChars="25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广州市自来水有限公司建设工程施工合同（2024年修订版标准文本，适用于公开招标项目）》（【标准文本】合同-SG-202405-01）专用条款中的“预付款”、“进度款”、“竣工结算”条款，在签订合同时优先选择本合同中已列的支付条件、支付方式，如选择“其它方式”或“另作约定”形式的，需以合同附件的形式予以说明原因。</w:t>
      </w:r>
    </w:p>
    <w:p>
      <w:pPr>
        <w:spacing w:line="420" w:lineRule="exact"/>
        <w:ind w:firstLine="616" w:firstLineChars="25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广州市自来水有限公司建设工程施工合同（2024年修订版标准文本，适用于公开招标项目）》（【标准文本】合同-SG-202405-01）附件格式为通用表格，如为公司市政工程项目的，须统一使用广东省市政行业协议组织编写的《广东省市政基础设施工程竣工验收技术资料统一用表(2019版)》及其最新印发版本。</w:t>
      </w:r>
    </w:p>
    <w:p>
      <w:pPr>
        <w:rPr>
          <w:rFonts w:ascii="Calibri" w:hAnsi="Calibri" w:cs="Calibri"/>
          <w:color w:val="auto"/>
          <w:szCs w:val="21"/>
          <w:highlight w:val="none"/>
        </w:rPr>
      </w:pPr>
    </w:p>
    <w:p>
      <w:pPr>
        <w:widowControl/>
        <w:spacing w:beforeAutospacing="1" w:afterAutospacing="1" w:line="420" w:lineRule="exact"/>
        <w:jc w:val="left"/>
        <w:rPr>
          <w:rFonts w:ascii="宋体" w:hAnsi="宋体" w:cs="宋体"/>
          <w:color w:val="auto"/>
          <w:kern w:val="0"/>
          <w:sz w:val="22"/>
          <w:szCs w:val="22"/>
          <w:highlight w:val="none"/>
        </w:rPr>
        <w:sectPr>
          <w:footerReference r:id="rId5" w:type="default"/>
          <w:endnotePr>
            <w:numFmt w:val="decimal"/>
          </w:endnotePr>
          <w:pgSz w:w="11905" w:h="16838"/>
          <w:pgMar w:top="1440" w:right="1800" w:bottom="1440" w:left="1800" w:header="0" w:footer="0" w:gutter="0"/>
          <w:pgNumType w:start="1"/>
          <w:cols w:space="0" w:num="1"/>
          <w:titlePg/>
          <w:rtlGutter w:val="0"/>
          <w:docGrid w:linePitch="286" w:charSpace="0"/>
        </w:sectPr>
      </w:pPr>
    </w:p>
    <w:p>
      <w:pPr>
        <w:widowControl/>
        <w:spacing w:line="420" w:lineRule="exact"/>
        <w:jc w:val="left"/>
        <w:rPr>
          <w:rFonts w:ascii="宋体" w:hAnsi="宋体" w:cs="宋体"/>
          <w:color w:val="auto"/>
          <w:sz w:val="22"/>
          <w:szCs w:val="22"/>
          <w:highlight w:val="none"/>
        </w:rPr>
      </w:pPr>
    </w:p>
    <w:bookmarkEnd w:id="354"/>
    <w:bookmarkEnd w:id="355"/>
    <w:bookmarkEnd w:id="356"/>
    <w:bookmarkEnd w:id="357"/>
    <w:bookmarkEnd w:id="358"/>
    <w:p>
      <w:pPr>
        <w:spacing w:line="420" w:lineRule="exact"/>
        <w:jc w:val="center"/>
        <w:outlineLvl w:val="0"/>
        <w:rPr>
          <w:rFonts w:hint="eastAsia" w:ascii="方正小标宋简体" w:hAnsi="方正小标宋简体" w:eastAsia="方正小标宋简体" w:cs="方正小标宋简体"/>
          <w:b w:val="0"/>
          <w:bCs w:val="0"/>
          <w:color w:val="auto"/>
          <w:sz w:val="32"/>
          <w:szCs w:val="32"/>
          <w:highlight w:val="none"/>
        </w:rPr>
      </w:pPr>
      <w:bookmarkStart w:id="359" w:name="_Toc10624807"/>
      <w:bookmarkStart w:id="360" w:name="_Toc469383967"/>
      <w:r>
        <w:rPr>
          <w:rFonts w:hint="eastAsia" w:ascii="方正小标宋简体" w:hAnsi="方正小标宋简体" w:eastAsia="方正小标宋简体" w:cs="方正小标宋简体"/>
          <w:b w:val="0"/>
          <w:bCs w:val="0"/>
          <w:color w:val="auto"/>
          <w:sz w:val="32"/>
          <w:szCs w:val="32"/>
          <w:highlight w:val="none"/>
        </w:rPr>
        <w:t>第一部分  协  议  书</w:t>
      </w:r>
      <w:bookmarkEnd w:id="359"/>
      <w:bookmarkEnd w:id="360"/>
    </w:p>
    <w:p>
      <w:pPr>
        <w:spacing w:line="420" w:lineRule="exact"/>
        <w:jc w:val="center"/>
        <w:rPr>
          <w:rFonts w:ascii="宋体" w:hAnsi="宋体" w:cs="宋体"/>
          <w:color w:val="auto"/>
          <w:sz w:val="22"/>
          <w:szCs w:val="22"/>
          <w:highlight w:val="none"/>
        </w:rPr>
      </w:pPr>
    </w:p>
    <w:p>
      <w:pPr>
        <w:spacing w:line="420" w:lineRule="exact"/>
        <w:jc w:val="center"/>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发包人:（全称）</w:t>
      </w:r>
      <w:r>
        <w:rPr>
          <w:rFonts w:hint="eastAsia" w:ascii="仿宋_GB2312" w:hAnsi="仿宋_GB2312" w:eastAsia="仿宋_GB2312" w:cs="仿宋_GB2312"/>
          <w:color w:val="auto"/>
          <w:sz w:val="24"/>
          <w:szCs w:val="24"/>
          <w:highlight w:val="none"/>
          <w:u w:val="single"/>
        </w:rPr>
        <w:t xml:space="preserve">  广州市自来水有限公司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承包人:（全称）</w:t>
      </w:r>
      <w:permStart w:id="4" w:edGrp="everyone"/>
      <w:r>
        <w:rPr>
          <w:rFonts w:hint="eastAsia" w:ascii="仿宋_GB2312" w:hAnsi="仿宋_GB2312" w:eastAsia="仿宋_GB2312" w:cs="仿宋_GB2312"/>
          <w:color w:val="auto"/>
          <w:sz w:val="24"/>
          <w:szCs w:val="24"/>
          <w:highlight w:val="none"/>
          <w:u w:val="single"/>
        </w:rPr>
        <w:t xml:space="preserve">                        </w:t>
      </w:r>
      <w:permEnd w:id="4"/>
    </w:p>
    <w:p>
      <w:pPr>
        <w:spacing w:line="420" w:lineRule="exact"/>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依照《中华人民共和国民法典》、《中华人民共和国建筑法》及其他有关法律法规，遵循平等、自愿、公平和诚实信用的原则，双方就合同工程施工有关事项达成一致意见，订立本合同。</w:t>
      </w:r>
    </w:p>
    <w:p>
      <w:pPr>
        <w:spacing w:line="420" w:lineRule="exact"/>
        <w:outlineLvl w:val="1"/>
        <w:rPr>
          <w:rFonts w:hint="eastAsia" w:ascii="仿宋_GB2312" w:hAnsi="仿宋_GB2312" w:eastAsia="仿宋_GB2312" w:cs="仿宋_GB2312"/>
          <w:b/>
          <w:bCs/>
          <w:color w:val="auto"/>
          <w:sz w:val="24"/>
          <w:szCs w:val="24"/>
          <w:highlight w:val="none"/>
        </w:rPr>
      </w:pPr>
      <w:bookmarkStart w:id="361" w:name="_Toc469383968"/>
      <w:bookmarkStart w:id="362" w:name="_Toc10624808"/>
      <w:bookmarkStart w:id="363" w:name="_Toc266892752"/>
    </w:p>
    <w:p>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一、工程概况</w:t>
      </w:r>
      <w:bookmarkEnd w:id="361"/>
      <w:bookmarkEnd w:id="362"/>
      <w:bookmarkEnd w:id="363"/>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1.1立项批文编号或广东省企业基本建设投资项目备案证备案项目编号：</w:t>
      </w:r>
      <w:permStart w:id="5" w:edGrp="everyone"/>
      <w:r>
        <w:rPr>
          <w:rFonts w:hint="eastAsia" w:ascii="仿宋_GB2312" w:hAnsi="仿宋_GB2312" w:eastAsia="仿宋_GB2312" w:cs="仿宋_GB2312"/>
          <w:color w:val="auto"/>
          <w:sz w:val="24"/>
          <w:szCs w:val="24"/>
          <w:highlight w:val="none"/>
          <w:u w:val="single"/>
        </w:rPr>
        <w:t xml:space="preserve">  </w:t>
      </w:r>
      <w:permEnd w:id="5"/>
      <w:r>
        <w:rPr>
          <w:rFonts w:hint="eastAsia" w:ascii="仿宋_GB2312" w:hAnsi="仿宋_GB2312" w:eastAsia="仿宋_GB2312" w:cs="仿宋_GB2312"/>
          <w:color w:val="auto"/>
          <w:sz w:val="24"/>
          <w:szCs w:val="24"/>
          <w:highlight w:val="none"/>
          <w:u w:val="single"/>
        </w:rPr>
        <w:t xml:space="preserve">         </w:t>
      </w:r>
    </w:p>
    <w:p>
      <w:pPr>
        <w:spacing w:line="420" w:lineRule="exact"/>
        <w:ind w:firstLine="46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1.2项目名称：</w:t>
      </w:r>
      <w:permStart w:id="6" w:edGrp="everyone"/>
      <w:r>
        <w:rPr>
          <w:rFonts w:hint="eastAsia" w:ascii="仿宋_GB2312" w:hAnsi="仿宋_GB2312" w:eastAsia="仿宋_GB2312" w:cs="仿宋_GB2312"/>
          <w:color w:val="auto"/>
          <w:sz w:val="24"/>
          <w:szCs w:val="24"/>
          <w:highlight w:val="none"/>
          <w:u w:val="single"/>
        </w:rPr>
        <w:t xml:space="preserve">                                                    </w:t>
      </w:r>
      <w:permEnd w:id="6"/>
      <w:r>
        <w:rPr>
          <w:rFonts w:hint="eastAsia" w:ascii="仿宋_GB2312" w:hAnsi="仿宋_GB2312" w:eastAsia="仿宋_GB2312" w:cs="仿宋_GB2312"/>
          <w:color w:val="auto"/>
          <w:sz w:val="24"/>
          <w:szCs w:val="24"/>
          <w:highlight w:val="none"/>
          <w:u w:val="single"/>
        </w:rPr>
        <w:t xml:space="preserve">         </w:t>
      </w:r>
    </w:p>
    <w:p>
      <w:pPr>
        <w:spacing w:line="420" w:lineRule="exact"/>
        <w:ind w:firstLine="48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1.3工程规模：</w:t>
      </w:r>
      <w:permStart w:id="7" w:edGrp="everyone"/>
      <w:r>
        <w:rPr>
          <w:rFonts w:hint="eastAsia" w:ascii="仿宋_GB2312" w:hAnsi="仿宋_GB2312" w:eastAsia="仿宋_GB2312" w:cs="仿宋_GB2312"/>
          <w:color w:val="auto"/>
          <w:sz w:val="24"/>
          <w:szCs w:val="24"/>
          <w:highlight w:val="none"/>
          <w:u w:val="single"/>
        </w:rPr>
        <w:t xml:space="preserve">                                                    </w:t>
      </w:r>
      <w:permEnd w:id="7"/>
      <w:r>
        <w:rPr>
          <w:rFonts w:hint="eastAsia" w:ascii="仿宋_GB2312" w:hAnsi="仿宋_GB2312" w:eastAsia="仿宋_GB2312" w:cs="仿宋_GB2312"/>
          <w:color w:val="auto"/>
          <w:sz w:val="24"/>
          <w:szCs w:val="24"/>
          <w:highlight w:val="none"/>
          <w:u w:val="single"/>
        </w:rPr>
        <w:t xml:space="preserve">         </w:t>
      </w:r>
    </w:p>
    <w:p>
      <w:pPr>
        <w:spacing w:line="42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1.4资金来源：</w:t>
      </w:r>
      <w:permStart w:id="8" w:edGrp="everyone"/>
      <w:r>
        <w:rPr>
          <w:rFonts w:hint="eastAsia" w:ascii="仿宋_GB2312" w:hAnsi="仿宋_GB2312" w:eastAsia="仿宋_GB2312" w:cs="仿宋_GB2312"/>
          <w:color w:val="auto"/>
          <w:sz w:val="24"/>
          <w:szCs w:val="24"/>
          <w:highlight w:val="none"/>
          <w:u w:val="single"/>
        </w:rPr>
        <w:t xml:space="preserve">                                                    </w:t>
      </w:r>
      <w:permEnd w:id="8"/>
      <w:r>
        <w:rPr>
          <w:rFonts w:hint="eastAsia" w:ascii="仿宋_GB2312" w:hAnsi="仿宋_GB2312" w:eastAsia="仿宋_GB2312" w:cs="仿宋_GB2312"/>
          <w:color w:val="auto"/>
          <w:sz w:val="24"/>
          <w:szCs w:val="24"/>
          <w:highlight w:val="none"/>
          <w:u w:val="single"/>
        </w:rPr>
        <w:t xml:space="preserve">         </w:t>
      </w:r>
    </w:p>
    <w:p>
      <w:pPr>
        <w:spacing w:line="420" w:lineRule="exact"/>
        <w:ind w:firstLine="48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1.5其他：</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
    <w:p>
      <w:pPr>
        <w:spacing w:line="420" w:lineRule="exact"/>
        <w:outlineLvl w:val="1"/>
        <w:rPr>
          <w:rFonts w:hint="eastAsia" w:ascii="仿宋_GB2312" w:hAnsi="仿宋_GB2312" w:eastAsia="仿宋_GB2312" w:cs="仿宋_GB2312"/>
          <w:b/>
          <w:bCs/>
          <w:color w:val="auto"/>
          <w:sz w:val="24"/>
          <w:szCs w:val="24"/>
          <w:highlight w:val="none"/>
        </w:rPr>
      </w:pPr>
      <w:bookmarkStart w:id="364" w:name="_Toc10624809"/>
      <w:bookmarkStart w:id="365" w:name="_Toc266892753"/>
      <w:bookmarkStart w:id="366" w:name="_Toc469383969"/>
    </w:p>
    <w:p>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二、工程内容、承包范围</w:t>
      </w:r>
      <w:bookmarkEnd w:id="364"/>
      <w:bookmarkEnd w:id="365"/>
      <w:bookmarkEnd w:id="366"/>
      <w:r>
        <w:rPr>
          <w:rFonts w:hint="eastAsia" w:ascii="黑体" w:hAnsi="黑体" w:eastAsia="黑体" w:cs="黑体"/>
          <w:b w:val="0"/>
          <w:bCs w:val="0"/>
          <w:color w:val="auto"/>
          <w:sz w:val="24"/>
          <w:szCs w:val="24"/>
          <w:highlight w:val="none"/>
        </w:rPr>
        <w:t>与承包方式</w:t>
      </w:r>
    </w:p>
    <w:p>
      <w:pPr>
        <w:spacing w:line="420" w:lineRule="exact"/>
        <w:ind w:firstLine="523" w:firstLineChars="218"/>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2.1工程内容与承包范围:</w:t>
      </w:r>
      <w:permStart w:id="9" w:edGrp="everyone"/>
      <w:r>
        <w:rPr>
          <w:rFonts w:hint="eastAsia" w:ascii="仿宋_GB2312" w:hAnsi="仿宋_GB2312" w:eastAsia="仿宋_GB2312" w:cs="仿宋_GB2312"/>
          <w:color w:val="auto"/>
          <w:sz w:val="24"/>
          <w:szCs w:val="24"/>
          <w:highlight w:val="none"/>
          <w:u w:val="single"/>
        </w:rPr>
        <w:t xml:space="preserve">                                           </w:t>
      </w:r>
      <w:permEnd w:id="9"/>
      <w:r>
        <w:rPr>
          <w:rFonts w:hint="eastAsia" w:ascii="仿宋_GB2312" w:hAnsi="仿宋_GB2312" w:eastAsia="仿宋_GB2312" w:cs="仿宋_GB2312"/>
          <w:color w:val="auto"/>
          <w:sz w:val="24"/>
          <w:szCs w:val="24"/>
          <w:highlight w:val="none"/>
          <w:u w:val="single"/>
        </w:rPr>
        <w:t xml:space="preserve"> </w:t>
      </w:r>
    </w:p>
    <w:p>
      <w:pPr>
        <w:spacing w:line="420" w:lineRule="exact"/>
        <w:ind w:left="0" w:leftChars="0" w:firstLine="523" w:firstLineChars="218"/>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2.2承包方式：</w:t>
      </w:r>
      <w:r>
        <w:rPr>
          <w:rFonts w:hint="eastAsia" w:ascii="仿宋_GB2312" w:hAnsi="仿宋_GB2312" w:eastAsia="仿宋_GB2312" w:cs="仿宋_GB2312"/>
          <w:color w:val="auto"/>
          <w:sz w:val="24"/>
          <w:szCs w:val="24"/>
          <w:highlight w:val="none"/>
          <w:u w:val="single"/>
        </w:rPr>
        <w:t>按施工图内容，包人工、包材料（</w:t>
      </w:r>
      <w:permStart w:id="10" w:edGrp="everyone"/>
      <w:r>
        <w:rPr>
          <w:rFonts w:hint="eastAsia" w:ascii="仿宋_GB2312" w:hAnsi="仿宋_GB2312" w:eastAsia="仿宋_GB2312" w:cs="仿宋_GB2312"/>
          <w:color w:val="auto"/>
          <w:sz w:val="24"/>
          <w:szCs w:val="24"/>
          <w:highlight w:val="none"/>
          <w:u w:val="single"/>
        </w:rPr>
        <w:sym w:font="Wingdings 2" w:char="0052"/>
      </w:r>
      <w:permEnd w:id="10"/>
      <w:r>
        <w:rPr>
          <w:rFonts w:hint="eastAsia" w:ascii="仿宋_GB2312" w:hAnsi="仿宋_GB2312" w:eastAsia="仿宋_GB2312" w:cs="仿宋_GB2312"/>
          <w:color w:val="auto"/>
          <w:sz w:val="24"/>
          <w:szCs w:val="24"/>
          <w:highlight w:val="none"/>
          <w:u w:val="single"/>
        </w:rPr>
        <w:t>由发包人供应的材料除</w:t>
      </w:r>
    </w:p>
    <w:p>
      <w:pPr>
        <w:spacing w:line="420" w:lineRule="exact"/>
        <w:rPr>
          <w:rFonts w:hint="eastAsia" w:ascii="仿宋_GB2312" w:hAnsi="仿宋_GB2312" w:eastAsia="仿宋_GB2312" w:cs="仿宋_GB2312"/>
          <w:color w:val="auto"/>
          <w:sz w:val="24"/>
          <w:szCs w:val="24"/>
          <w:highlight w:val="none"/>
          <w:u w:val="single"/>
          <w:lang w:eastAsia="zh-CN"/>
        </w:rPr>
      </w:pPr>
      <w:r>
        <w:rPr>
          <w:rFonts w:hint="eastAsia" w:ascii="仿宋_GB2312" w:hAnsi="仿宋_GB2312" w:eastAsia="仿宋_GB2312" w:cs="仿宋_GB2312"/>
          <w:color w:val="auto"/>
          <w:sz w:val="24"/>
          <w:szCs w:val="24"/>
          <w:highlight w:val="none"/>
          <w:u w:val="single"/>
        </w:rPr>
        <w:t>外）、包安装、包质量、包工期、包文明施工，以及采取有效措施，不发生安全事故；包劳保、包验收、包保修；包承包范围内工程验收通过、包移交、包结算、包资料整理、包施工承包管理和现场整体组织、包专业协调及配合</w:t>
      </w:r>
      <w:r>
        <w:rPr>
          <w:rFonts w:hint="eastAsia" w:ascii="仿宋_GB2312" w:hAnsi="仿宋_GB2312" w:eastAsia="仿宋_GB2312" w:cs="仿宋_GB2312"/>
          <w:color w:val="auto"/>
          <w:sz w:val="24"/>
          <w:szCs w:val="24"/>
          <w:highlight w:val="none"/>
          <w:u w:val="single"/>
          <w:lang w:eastAsia="zh-CN"/>
        </w:rPr>
        <w:t>。</w:t>
      </w:r>
    </w:p>
    <w:p>
      <w:pPr>
        <w:spacing w:line="420" w:lineRule="exact"/>
        <w:ind w:left="437" w:leftChars="208"/>
        <w:rPr>
          <w:rFonts w:hint="eastAsia" w:ascii="仿宋_GB2312" w:hAnsi="仿宋_GB2312" w:eastAsia="仿宋_GB2312" w:cs="仿宋_GB2312"/>
          <w:color w:val="auto"/>
          <w:sz w:val="24"/>
          <w:szCs w:val="24"/>
          <w:highlight w:val="none"/>
          <w:u w:val="single"/>
        </w:rPr>
      </w:pPr>
      <w:permStart w:id="11" w:edGrp="everyone"/>
      <w:r>
        <w:rPr>
          <w:rFonts w:hint="eastAsia" w:ascii="仿宋_GB2312" w:hAnsi="仿宋_GB2312" w:eastAsia="仿宋_GB2312" w:cs="仿宋_GB2312"/>
          <w:color w:val="auto"/>
          <w:sz w:val="24"/>
          <w:szCs w:val="24"/>
          <w:highlight w:val="none"/>
        </w:rPr>
        <w:sym w:font="Wingdings 2" w:char="0052"/>
      </w:r>
      <w:permEnd w:id="11"/>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u w:val="single"/>
        </w:rPr>
        <w:t>包路面修复；</w:t>
      </w:r>
      <w:permStart w:id="12" w:edGrp="everyone"/>
      <w:r>
        <w:rPr>
          <w:rFonts w:hint="eastAsia" w:ascii="仿宋_GB2312" w:hAnsi="仿宋_GB2312" w:eastAsia="仿宋_GB2312" w:cs="仿宋_GB2312"/>
          <w:color w:val="auto"/>
          <w:sz w:val="24"/>
          <w:szCs w:val="24"/>
          <w:highlight w:val="none"/>
          <w:u w:val="single"/>
          <w:lang w:val="en-US" w:eastAsia="zh-CN"/>
        </w:rPr>
        <w:t>☒</w:t>
      </w:r>
      <w:permEnd w:id="12"/>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u w:val="single"/>
        </w:rPr>
        <w:t>包交通疏解。</w:t>
      </w:r>
    </w:p>
    <w:p>
      <w:pPr>
        <w:spacing w:line="420" w:lineRule="exact"/>
        <w:outlineLvl w:val="1"/>
        <w:rPr>
          <w:rFonts w:hint="eastAsia" w:ascii="仿宋_GB2312" w:hAnsi="仿宋_GB2312" w:eastAsia="仿宋_GB2312" w:cs="仿宋_GB2312"/>
          <w:b/>
          <w:bCs/>
          <w:color w:val="auto"/>
          <w:sz w:val="24"/>
          <w:szCs w:val="24"/>
          <w:highlight w:val="none"/>
        </w:rPr>
      </w:pPr>
      <w:bookmarkStart w:id="367" w:name="_Toc469383970"/>
      <w:bookmarkStart w:id="368" w:name="_Toc10624810"/>
      <w:bookmarkStart w:id="369" w:name="_Toc266892754"/>
    </w:p>
    <w:p>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三、合同工期</w:t>
      </w:r>
      <w:bookmarkEnd w:id="367"/>
      <w:bookmarkEnd w:id="368"/>
      <w:bookmarkEnd w:id="369"/>
    </w:p>
    <w:p>
      <w:pPr>
        <w:spacing w:line="420" w:lineRule="exact"/>
        <w:ind w:left="1199" w:leftChars="250" w:hanging="674" w:hangingChars="281"/>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3.1工程合同工期总日历天数：</w:t>
      </w:r>
      <w:permStart w:id="13" w:edGrp="everyone"/>
      <w:r>
        <w:rPr>
          <w:rFonts w:hint="eastAsia" w:ascii="仿宋_GB2312" w:hAnsi="仿宋_GB2312" w:eastAsia="仿宋_GB2312" w:cs="仿宋_GB2312"/>
          <w:color w:val="auto"/>
          <w:sz w:val="24"/>
          <w:szCs w:val="24"/>
          <w:highlight w:val="none"/>
          <w:u w:val="single"/>
        </w:rPr>
        <w:t xml:space="preserve">        </w:t>
      </w:r>
      <w:permEnd w:id="13"/>
      <w:r>
        <w:rPr>
          <w:rFonts w:hint="eastAsia" w:ascii="仿宋_GB2312" w:hAnsi="仿宋_GB2312" w:eastAsia="仿宋_GB2312" w:cs="仿宋_GB2312"/>
          <w:color w:val="auto"/>
          <w:sz w:val="24"/>
          <w:szCs w:val="24"/>
          <w:highlight w:val="none"/>
        </w:rPr>
        <w:t>天。</w:t>
      </w:r>
    </w:p>
    <w:p>
      <w:pPr>
        <w:spacing w:line="420" w:lineRule="exact"/>
        <w:ind w:left="1199" w:leftChars="250" w:hanging="674" w:hangingChars="281"/>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3.2暂定从 </w:t>
      </w:r>
      <w:permStart w:id="14" w:edGrp="everyone"/>
      <w:r>
        <w:rPr>
          <w:rFonts w:hint="eastAsia" w:ascii="仿宋_GB2312" w:hAnsi="仿宋_GB2312" w:eastAsia="仿宋_GB2312" w:cs="仿宋_GB2312"/>
          <w:color w:val="auto"/>
          <w:sz w:val="24"/>
          <w:szCs w:val="24"/>
          <w:highlight w:val="none"/>
          <w:u w:val="single"/>
        </w:rPr>
        <w:t xml:space="preserve">         </w:t>
      </w:r>
      <w:permEnd w:id="14"/>
      <w:r>
        <w:rPr>
          <w:rFonts w:hint="eastAsia" w:ascii="仿宋_GB2312" w:hAnsi="仿宋_GB2312" w:eastAsia="仿宋_GB2312" w:cs="仿宋_GB2312"/>
          <w:color w:val="auto"/>
          <w:sz w:val="24"/>
          <w:szCs w:val="24"/>
          <w:highlight w:val="none"/>
        </w:rPr>
        <w:t>年</w:t>
      </w:r>
      <w:permStart w:id="15" w:edGrp="everyone"/>
      <w:r>
        <w:rPr>
          <w:rFonts w:hint="eastAsia" w:ascii="仿宋_GB2312" w:hAnsi="仿宋_GB2312" w:eastAsia="仿宋_GB2312" w:cs="仿宋_GB2312"/>
          <w:color w:val="auto"/>
          <w:sz w:val="24"/>
          <w:szCs w:val="24"/>
          <w:highlight w:val="none"/>
          <w:u w:val="single"/>
        </w:rPr>
        <w:t xml:space="preserve">    </w:t>
      </w:r>
      <w:permEnd w:id="15"/>
      <w:r>
        <w:rPr>
          <w:rFonts w:hint="eastAsia" w:ascii="仿宋_GB2312" w:hAnsi="仿宋_GB2312" w:eastAsia="仿宋_GB2312" w:cs="仿宋_GB2312"/>
          <w:color w:val="auto"/>
          <w:sz w:val="24"/>
          <w:szCs w:val="24"/>
          <w:highlight w:val="none"/>
        </w:rPr>
        <w:t>月</w:t>
      </w:r>
      <w:permStart w:id="16" w:edGrp="everyone"/>
      <w:r>
        <w:rPr>
          <w:rFonts w:hint="eastAsia" w:ascii="仿宋_GB2312" w:hAnsi="仿宋_GB2312" w:eastAsia="仿宋_GB2312" w:cs="仿宋_GB2312"/>
          <w:color w:val="auto"/>
          <w:sz w:val="24"/>
          <w:szCs w:val="24"/>
          <w:highlight w:val="none"/>
          <w:u w:val="single"/>
        </w:rPr>
        <w:t xml:space="preserve">    </w:t>
      </w:r>
      <w:permEnd w:id="16"/>
      <w:r>
        <w:rPr>
          <w:rFonts w:hint="eastAsia" w:ascii="仿宋_GB2312" w:hAnsi="仿宋_GB2312" w:eastAsia="仿宋_GB2312" w:cs="仿宋_GB2312"/>
          <w:color w:val="auto"/>
          <w:sz w:val="24"/>
          <w:szCs w:val="24"/>
          <w:highlight w:val="none"/>
        </w:rPr>
        <w:t>日开始施工，至</w:t>
      </w:r>
      <w:permStart w:id="17" w:edGrp="everyone"/>
      <w:r>
        <w:rPr>
          <w:rFonts w:hint="eastAsia" w:ascii="仿宋_GB2312" w:hAnsi="仿宋_GB2312" w:eastAsia="仿宋_GB2312" w:cs="仿宋_GB2312"/>
          <w:color w:val="auto"/>
          <w:sz w:val="24"/>
          <w:szCs w:val="24"/>
          <w:highlight w:val="none"/>
          <w:u w:val="single"/>
        </w:rPr>
        <w:t xml:space="preserve">    </w:t>
      </w:r>
      <w:permEnd w:id="17"/>
      <w:r>
        <w:rPr>
          <w:rFonts w:hint="eastAsia" w:ascii="仿宋_GB2312" w:hAnsi="仿宋_GB2312" w:eastAsia="仿宋_GB2312" w:cs="仿宋_GB2312"/>
          <w:color w:val="auto"/>
          <w:sz w:val="24"/>
          <w:szCs w:val="24"/>
          <w:highlight w:val="none"/>
        </w:rPr>
        <w:t>年</w:t>
      </w:r>
      <w:permStart w:id="18" w:edGrp="everyone"/>
      <w:r>
        <w:rPr>
          <w:rFonts w:hint="eastAsia" w:ascii="仿宋_GB2312" w:hAnsi="仿宋_GB2312" w:eastAsia="仿宋_GB2312" w:cs="仿宋_GB2312"/>
          <w:color w:val="auto"/>
          <w:sz w:val="24"/>
          <w:szCs w:val="24"/>
          <w:highlight w:val="none"/>
          <w:u w:val="single"/>
        </w:rPr>
        <w:t xml:space="preserve">    </w:t>
      </w:r>
      <w:permEnd w:id="18"/>
      <w:r>
        <w:rPr>
          <w:rFonts w:hint="eastAsia" w:ascii="仿宋_GB2312" w:hAnsi="仿宋_GB2312" w:eastAsia="仿宋_GB2312" w:cs="仿宋_GB2312"/>
          <w:color w:val="auto"/>
          <w:sz w:val="24"/>
          <w:szCs w:val="24"/>
          <w:highlight w:val="none"/>
        </w:rPr>
        <w:t>月</w:t>
      </w:r>
      <w:permStart w:id="19" w:edGrp="everyone"/>
      <w:r>
        <w:rPr>
          <w:rFonts w:hint="eastAsia" w:ascii="仿宋_GB2312" w:hAnsi="仿宋_GB2312" w:eastAsia="仿宋_GB2312" w:cs="仿宋_GB2312"/>
          <w:color w:val="auto"/>
          <w:sz w:val="24"/>
          <w:szCs w:val="24"/>
          <w:highlight w:val="none"/>
          <w:u w:val="single"/>
        </w:rPr>
        <w:t xml:space="preserve">    </w:t>
      </w:r>
      <w:permEnd w:id="19"/>
      <w:r>
        <w:rPr>
          <w:rFonts w:hint="eastAsia" w:ascii="仿宋_GB2312" w:hAnsi="仿宋_GB2312" w:eastAsia="仿宋_GB2312" w:cs="仿宋_GB2312"/>
          <w:color w:val="auto"/>
          <w:sz w:val="24"/>
          <w:szCs w:val="24"/>
          <w:highlight w:val="none"/>
        </w:rPr>
        <w:t>日竣</w:t>
      </w:r>
    </w:p>
    <w:p>
      <w:pPr>
        <w:spacing w:line="420" w:lineRule="exact"/>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工完成，具体开工日</w:t>
      </w:r>
      <w:r>
        <w:rPr>
          <w:rFonts w:hint="eastAsia" w:ascii="仿宋_GB2312" w:hAnsi="仿宋_GB2312" w:eastAsia="仿宋_GB2312" w:cs="仿宋_GB2312"/>
          <w:color w:val="auto"/>
          <w:kern w:val="2"/>
          <w:sz w:val="24"/>
          <w:szCs w:val="24"/>
          <w:highlight w:val="none"/>
          <w:lang w:val="en-US" w:eastAsia="zh-CN" w:bidi="ar-SA"/>
        </w:rPr>
        <w:t>期以现场具备施工条件且在项目依法领取施工许可证后，</w:t>
      </w:r>
      <w:permStart w:id="20" w:edGrp="everyone"/>
      <w:r>
        <w:rPr>
          <w:rFonts w:hint="eastAsia" w:ascii="仿宋_GB2312" w:hAnsi="仿宋_GB2312" w:eastAsia="仿宋_GB2312" w:cs="仿宋_GB2312"/>
          <w:color w:val="auto"/>
          <w:kern w:val="2"/>
          <w:sz w:val="24"/>
          <w:szCs w:val="24"/>
          <w:highlight w:val="none"/>
          <w:u w:val="single"/>
          <w:lang w:val="en-US" w:eastAsia="zh-CN" w:bidi="ar-SA"/>
        </w:rPr>
        <w:t xml:space="preserve"> 以经发包人批准、监理工程师  </w:t>
      </w:r>
      <w:permEnd w:id="20"/>
      <w:r>
        <w:rPr>
          <w:rFonts w:hint="eastAsia" w:ascii="仿宋_GB2312" w:hAnsi="仿宋_GB2312" w:eastAsia="仿宋_GB2312" w:cs="仿宋_GB2312"/>
          <w:color w:val="auto"/>
          <w:kern w:val="2"/>
          <w:sz w:val="24"/>
          <w:szCs w:val="24"/>
          <w:highlight w:val="none"/>
          <w:lang w:val="en-US" w:eastAsia="zh-CN" w:bidi="ar-SA"/>
        </w:rPr>
        <w:t>签发的开工令日期为准。</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工期总日历天数与根据前述计划开竣工日期计算的工期天数不一致的，以工期总日历天数为准。</w:t>
      </w:r>
    </w:p>
    <w:p>
      <w:pPr>
        <w:spacing w:line="420" w:lineRule="exact"/>
        <w:outlineLvl w:val="1"/>
        <w:rPr>
          <w:rFonts w:hint="eastAsia" w:ascii="仿宋_GB2312" w:hAnsi="仿宋_GB2312" w:eastAsia="仿宋_GB2312" w:cs="仿宋_GB2312"/>
          <w:b/>
          <w:bCs/>
          <w:color w:val="auto"/>
          <w:sz w:val="24"/>
          <w:szCs w:val="24"/>
          <w:highlight w:val="none"/>
        </w:rPr>
      </w:pPr>
      <w:bookmarkStart w:id="370" w:name="_Toc10624811"/>
      <w:bookmarkStart w:id="371" w:name="_Toc469383971"/>
      <w:bookmarkStart w:id="372" w:name="_Toc266892755"/>
    </w:p>
    <w:p>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★四、质量标准</w:t>
      </w:r>
      <w:bookmarkEnd w:id="370"/>
      <w:bookmarkEnd w:id="371"/>
      <w:bookmarkEnd w:id="372"/>
    </w:p>
    <w:p>
      <w:pPr>
        <w:spacing w:line="420" w:lineRule="exact"/>
        <w:ind w:left="479" w:leftChars="228" w:firstLine="43" w:firstLineChars="1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4.1工程质量标准：</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sym w:font="Wingdings 2" w:char="0052"/>
      </w:r>
      <w:r>
        <w:rPr>
          <w:rFonts w:hint="eastAsia" w:ascii="仿宋_GB2312" w:hAnsi="仿宋_GB2312" w:eastAsia="仿宋_GB2312" w:cs="仿宋_GB2312"/>
          <w:color w:val="auto"/>
          <w:sz w:val="24"/>
          <w:szCs w:val="24"/>
          <w:highlight w:val="none"/>
        </w:rPr>
        <w:t xml:space="preserve"> 确保符合国家、省、市</w:t>
      </w:r>
      <w:r>
        <w:rPr>
          <w:rFonts w:hint="eastAsia" w:ascii="仿宋_GB2312" w:hAnsi="仿宋_GB2312" w:eastAsia="仿宋_GB2312" w:cs="仿宋_GB2312"/>
          <w:color w:val="auto"/>
          <w:sz w:val="24"/>
          <w:szCs w:val="24"/>
          <w:highlight w:val="none"/>
          <w:u w:val="single"/>
        </w:rPr>
        <w:t>《建筑工程施工质量验收统一标准》（GB50300-2013）；《给水排水管道工程施工及验收规范》（GB50268-2008）、《水利水电建设工程验收规程》（SL223-2008）等</w:t>
      </w:r>
      <w:r>
        <w:rPr>
          <w:rFonts w:hint="eastAsia" w:ascii="仿宋_GB2312" w:hAnsi="仿宋_GB2312" w:eastAsia="仿宋_GB2312" w:cs="仿宋_GB2312"/>
          <w:color w:val="auto"/>
          <w:sz w:val="24"/>
          <w:szCs w:val="24"/>
          <w:highlight w:val="none"/>
        </w:rPr>
        <w:t>质量验收标准，并达到合格或以上标准。</w:t>
      </w:r>
    </w:p>
    <w:p>
      <w:pPr>
        <w:spacing w:line="420" w:lineRule="exact"/>
        <w:ind w:left="479" w:leftChars="228" w:firstLine="43" w:firstLineChars="18"/>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 xml:space="preserve"> 以及符合优质工程</w:t>
      </w:r>
      <w:permStart w:id="21"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ermEnd w:id="21"/>
      <w:r>
        <w:rPr>
          <w:rFonts w:hint="eastAsia" w:ascii="仿宋_GB2312" w:hAnsi="仿宋_GB2312" w:eastAsia="仿宋_GB2312" w:cs="仿宋_GB2312"/>
          <w:color w:val="auto"/>
          <w:sz w:val="24"/>
          <w:szCs w:val="24"/>
          <w:highlight w:val="none"/>
        </w:rPr>
        <w:t>质量验收标准。</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4.2创优目标：</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2" w:edGrp="everyone"/>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22"/>
      <w:r>
        <w:rPr>
          <w:rFonts w:hint="eastAsia" w:ascii="仿宋_GB2312" w:hAnsi="仿宋_GB2312" w:eastAsia="仿宋_GB2312" w:cs="仿宋_GB2312"/>
          <w:color w:val="auto"/>
          <w:sz w:val="24"/>
          <w:szCs w:val="24"/>
          <w:highlight w:val="none"/>
        </w:rPr>
        <w:t>市级工程优质奖</w:t>
      </w:r>
      <w:r>
        <w:rPr>
          <w:rFonts w:hint="eastAsia" w:ascii="仿宋_GB2312" w:hAnsi="仿宋_GB2312" w:eastAsia="仿宋_GB2312" w:cs="仿宋_GB2312"/>
          <w:color w:val="auto"/>
          <w:kern w:val="0"/>
          <w:sz w:val="24"/>
          <w:szCs w:val="24"/>
          <w:highlight w:val="none"/>
        </w:rPr>
        <w:t>；</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3" w:edGrp="everyone"/>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23"/>
      <w:r>
        <w:rPr>
          <w:rFonts w:hint="eastAsia" w:ascii="仿宋_GB2312" w:hAnsi="仿宋_GB2312" w:eastAsia="仿宋_GB2312" w:cs="仿宋_GB2312"/>
          <w:color w:val="auto"/>
          <w:sz w:val="24"/>
          <w:szCs w:val="24"/>
          <w:highlight w:val="none"/>
        </w:rPr>
        <w:t>省级工程优质奖</w:t>
      </w:r>
      <w:r>
        <w:rPr>
          <w:rFonts w:hint="eastAsia" w:ascii="仿宋_GB2312" w:hAnsi="仿宋_GB2312" w:eastAsia="仿宋_GB2312" w:cs="仿宋_GB2312"/>
          <w:color w:val="auto"/>
          <w:kern w:val="0"/>
          <w:sz w:val="24"/>
          <w:szCs w:val="24"/>
          <w:highlight w:val="none"/>
        </w:rPr>
        <w:t>；</w:t>
      </w:r>
    </w:p>
    <w:p>
      <w:pPr>
        <w:widowControl w:val="0"/>
        <w:spacing w:line="42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SA"/>
        </w:rPr>
      </w:pPr>
      <w:permStart w:id="24" w:edGrp="everyone"/>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kern w:val="0"/>
          <w:sz w:val="24"/>
          <w:szCs w:val="24"/>
          <w:highlight w:val="none"/>
          <w:lang w:val="en-US" w:eastAsia="zh-CN" w:bidi="ar-SA"/>
        </w:rPr>
        <w:t xml:space="preserve"> </w:t>
      </w:r>
      <w:permEnd w:id="24"/>
      <w:r>
        <w:rPr>
          <w:rFonts w:hint="eastAsia" w:ascii="仿宋_GB2312" w:hAnsi="仿宋_GB2312" w:eastAsia="仿宋_GB2312" w:cs="仿宋_GB2312"/>
          <w:color w:val="auto"/>
          <w:kern w:val="2"/>
          <w:sz w:val="24"/>
          <w:szCs w:val="24"/>
          <w:highlight w:val="none"/>
          <w:lang w:val="en-US" w:eastAsia="zh-CN" w:bidi="ar-SA"/>
        </w:rPr>
        <w:t>国家级工程优质奖</w:t>
      </w:r>
      <w:r>
        <w:rPr>
          <w:rFonts w:hint="eastAsia" w:ascii="仿宋_GB2312" w:hAnsi="仿宋_GB2312" w:eastAsia="仿宋_GB2312" w:cs="仿宋_GB2312"/>
          <w:color w:val="auto"/>
          <w:kern w:val="0"/>
          <w:sz w:val="24"/>
          <w:szCs w:val="24"/>
          <w:highlight w:val="none"/>
          <w:lang w:val="en-US" w:eastAsia="zh-CN" w:bidi="ar-SA"/>
        </w:rPr>
        <w:t>；</w:t>
      </w:r>
    </w:p>
    <w:p>
      <w:pPr>
        <w:spacing w:line="420" w:lineRule="exact"/>
        <w:ind w:firstLine="480" w:firstLineChars="200"/>
        <w:rPr>
          <w:rFonts w:hint="default" w:ascii="仿宋_GB2312" w:hAnsi="仿宋_GB2312" w:eastAsia="仿宋_GB2312" w:cs="仿宋_GB2312"/>
          <w:color w:val="auto"/>
          <w:kern w:val="0"/>
          <w:sz w:val="24"/>
          <w:szCs w:val="24"/>
          <w:highlight w:val="none"/>
          <w:lang w:val="en-US" w:eastAsia="zh-CN"/>
        </w:rPr>
      </w:pPr>
      <w:permStart w:id="25" w:edGrp="everyone"/>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25"/>
      <w:r>
        <w:rPr>
          <w:rFonts w:hint="eastAsia" w:ascii="仿宋_GB2312" w:hAnsi="仿宋_GB2312" w:eastAsia="仿宋_GB2312" w:cs="仿宋_GB2312"/>
          <w:color w:val="auto"/>
          <w:kern w:val="0"/>
          <w:sz w:val="24"/>
          <w:szCs w:val="24"/>
          <w:highlight w:val="none"/>
        </w:rPr>
        <w:t>其它</w:t>
      </w:r>
      <w:permStart w:id="26" w:edGrp="everyone"/>
      <w:r>
        <w:rPr>
          <w:rFonts w:hint="eastAsia" w:ascii="仿宋_GB2312" w:hAnsi="仿宋_GB2312" w:eastAsia="仿宋_GB2312" w:cs="仿宋_GB2312"/>
          <w:color w:val="auto"/>
          <w:kern w:val="0"/>
          <w:sz w:val="24"/>
          <w:szCs w:val="24"/>
          <w:highlight w:val="none"/>
          <w:u w:val="single"/>
          <w:lang w:eastAsia="zh-CN"/>
        </w:rPr>
        <w:t>：</w:t>
      </w:r>
      <w:r>
        <w:rPr>
          <w:rFonts w:hint="eastAsia" w:ascii="仿宋_GB2312" w:hAnsi="仿宋_GB2312" w:eastAsia="仿宋_GB2312" w:cs="仿宋_GB2312"/>
          <w:color w:val="auto"/>
          <w:kern w:val="0"/>
          <w:sz w:val="24"/>
          <w:szCs w:val="24"/>
          <w:highlight w:val="none"/>
          <w:u w:val="single"/>
          <w:lang w:val="en-US" w:eastAsia="zh-CN"/>
        </w:rPr>
        <w:t xml:space="preserve"> /  </w:t>
      </w:r>
    </w:p>
    <w:permEnd w:id="26"/>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4.3创文明工地目标：</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7" w:edGrp="everyone"/>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27"/>
      <w:r>
        <w:rPr>
          <w:rFonts w:hint="eastAsia" w:ascii="仿宋_GB2312" w:hAnsi="仿宋_GB2312" w:eastAsia="仿宋_GB2312" w:cs="仿宋_GB2312"/>
          <w:color w:val="auto"/>
          <w:sz w:val="24"/>
          <w:szCs w:val="24"/>
          <w:highlight w:val="none"/>
        </w:rPr>
        <w:t>市级安全文明绿色施工样板工地</w:t>
      </w:r>
      <w:r>
        <w:rPr>
          <w:rFonts w:hint="eastAsia" w:ascii="仿宋_GB2312" w:hAnsi="仿宋_GB2312" w:eastAsia="仿宋_GB2312" w:cs="仿宋_GB2312"/>
          <w:color w:val="auto"/>
          <w:kern w:val="0"/>
          <w:sz w:val="24"/>
          <w:szCs w:val="24"/>
          <w:highlight w:val="none"/>
        </w:rPr>
        <w:t>；</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sz w:val="24"/>
          <w:szCs w:val="24"/>
          <w:highlight w:val="none"/>
        </w:rPr>
      </w:pPr>
      <w:permStart w:id="28" w:edGrp="everyone"/>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28"/>
      <w:r>
        <w:rPr>
          <w:rFonts w:hint="eastAsia" w:ascii="仿宋_GB2312" w:hAnsi="仿宋_GB2312" w:eastAsia="仿宋_GB2312" w:cs="仿宋_GB2312"/>
          <w:color w:val="auto"/>
          <w:sz w:val="24"/>
          <w:szCs w:val="24"/>
          <w:highlight w:val="none"/>
        </w:rPr>
        <w:t>省级安全文明示范工地；</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9" w:edGrp="everyone"/>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29"/>
      <w:r>
        <w:rPr>
          <w:rFonts w:hint="eastAsia" w:ascii="仿宋_GB2312" w:hAnsi="仿宋_GB2312" w:eastAsia="仿宋_GB2312" w:cs="仿宋_GB2312"/>
          <w:color w:val="auto"/>
          <w:sz w:val="24"/>
          <w:szCs w:val="24"/>
          <w:highlight w:val="none"/>
        </w:rPr>
        <w:t>国家级安全文明工地</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0" w:edGrp="everyone"/>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30"/>
      <w:r>
        <w:rPr>
          <w:rFonts w:hint="eastAsia" w:ascii="仿宋_GB2312" w:hAnsi="仿宋_GB2312" w:eastAsia="仿宋_GB2312" w:cs="仿宋_GB2312"/>
          <w:color w:val="auto"/>
          <w:kern w:val="0"/>
          <w:sz w:val="24"/>
          <w:szCs w:val="24"/>
          <w:highlight w:val="none"/>
        </w:rPr>
        <w:t>广州市建筑业绿色施工示范工程；</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1" w:edGrp="everyone"/>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31"/>
      <w:r>
        <w:rPr>
          <w:rFonts w:hint="eastAsia" w:ascii="仿宋_GB2312" w:hAnsi="仿宋_GB2312" w:eastAsia="仿宋_GB2312" w:cs="仿宋_GB2312"/>
          <w:color w:val="auto"/>
          <w:kern w:val="0"/>
          <w:sz w:val="24"/>
          <w:szCs w:val="24"/>
          <w:highlight w:val="none"/>
        </w:rPr>
        <w:t>广东省建筑业绿色施工示范工程；</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2" w:edGrp="everyone"/>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32"/>
      <w:r>
        <w:rPr>
          <w:rFonts w:hint="eastAsia" w:ascii="仿宋_GB2312" w:hAnsi="仿宋_GB2312" w:eastAsia="仿宋_GB2312" w:cs="仿宋_GB2312"/>
          <w:color w:val="auto"/>
          <w:kern w:val="0"/>
          <w:sz w:val="24"/>
          <w:szCs w:val="24"/>
          <w:highlight w:val="none"/>
        </w:rPr>
        <w:t>全国建筑业绿色施工示范工程；</w:t>
      </w:r>
    </w:p>
    <w:p>
      <w:pPr>
        <w:spacing w:line="420" w:lineRule="exact"/>
        <w:ind w:firstLine="480" w:firstLineChars="200"/>
        <w:rPr>
          <w:rFonts w:hint="default" w:ascii="仿宋_GB2312" w:hAnsi="仿宋_GB2312" w:eastAsia="仿宋_GB2312" w:cs="仿宋_GB2312"/>
          <w:color w:val="auto"/>
          <w:kern w:val="0"/>
          <w:sz w:val="24"/>
          <w:szCs w:val="24"/>
          <w:highlight w:val="none"/>
          <w:lang w:val="en-US" w:eastAsia="zh-CN"/>
        </w:rPr>
      </w:pPr>
      <w:permStart w:id="33" w:edGrp="everyone"/>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33"/>
      <w:r>
        <w:rPr>
          <w:rFonts w:hint="eastAsia" w:ascii="仿宋_GB2312" w:hAnsi="仿宋_GB2312" w:eastAsia="仿宋_GB2312" w:cs="仿宋_GB2312"/>
          <w:color w:val="auto"/>
          <w:kern w:val="0"/>
          <w:sz w:val="24"/>
          <w:szCs w:val="24"/>
          <w:highlight w:val="none"/>
        </w:rPr>
        <w:t>其它</w:t>
      </w:r>
      <w:permStart w:id="34" w:edGrp="everyone"/>
      <w:r>
        <w:rPr>
          <w:rFonts w:hint="eastAsia" w:ascii="仿宋_GB2312" w:hAnsi="仿宋_GB2312" w:eastAsia="仿宋_GB2312" w:cs="仿宋_GB2312"/>
          <w:color w:val="auto"/>
          <w:kern w:val="0"/>
          <w:sz w:val="24"/>
          <w:szCs w:val="24"/>
          <w:highlight w:val="none"/>
          <w:u w:val="single"/>
          <w:lang w:eastAsia="zh-CN"/>
        </w:rPr>
        <w:t>：</w:t>
      </w:r>
      <w:r>
        <w:rPr>
          <w:rFonts w:hint="eastAsia" w:ascii="仿宋_GB2312" w:hAnsi="仿宋_GB2312" w:eastAsia="仿宋_GB2312" w:cs="仿宋_GB2312"/>
          <w:color w:val="auto"/>
          <w:kern w:val="0"/>
          <w:sz w:val="24"/>
          <w:szCs w:val="24"/>
          <w:highlight w:val="none"/>
          <w:u w:val="single"/>
          <w:lang w:val="en-US" w:eastAsia="zh-CN"/>
        </w:rPr>
        <w:t xml:space="preserve"> /   </w:t>
      </w:r>
    </w:p>
    <w:permEnd w:id="34"/>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kern w:val="0"/>
          <w:sz w:val="24"/>
          <w:szCs w:val="24"/>
          <w:highlight w:val="none"/>
        </w:rPr>
        <w:t>4.4以上所涉规范、标准、规定若在合同履行期间发生变更的，以合同履行期间有效适用的规定为准。若承包人投标时承诺的质量标准目标优于招标文件要求的，应按承包人投标时承诺的质量标准执行。</w:t>
      </w:r>
    </w:p>
    <w:p>
      <w:pPr>
        <w:spacing w:line="420" w:lineRule="exact"/>
        <w:jc w:val="left"/>
        <w:outlineLvl w:val="1"/>
        <w:rPr>
          <w:rFonts w:hint="eastAsia" w:ascii="仿宋_GB2312" w:hAnsi="仿宋_GB2312" w:eastAsia="仿宋_GB2312" w:cs="仿宋_GB2312"/>
          <w:b/>
          <w:bCs/>
          <w:color w:val="auto"/>
          <w:sz w:val="24"/>
          <w:szCs w:val="24"/>
          <w:highlight w:val="none"/>
        </w:rPr>
      </w:pPr>
      <w:bookmarkStart w:id="373" w:name="_Toc469383972"/>
      <w:bookmarkStart w:id="374" w:name="_Toc266892756"/>
      <w:bookmarkStart w:id="375" w:name="_Toc10624812"/>
    </w:p>
    <w:p>
      <w:pPr>
        <w:spacing w:line="420" w:lineRule="exact"/>
        <w:jc w:val="lef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五、合同价款</w:t>
      </w:r>
      <w:bookmarkEnd w:id="373"/>
      <w:bookmarkEnd w:id="374"/>
      <w:bookmarkEnd w:id="375"/>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5.1含税合同总价（大写）：</w:t>
      </w:r>
      <w:permStart w:id="35" w:edGrp="everyone"/>
      <w:r>
        <w:rPr>
          <w:rFonts w:hint="eastAsia" w:ascii="仿宋_GB2312" w:hAnsi="仿宋_GB2312" w:eastAsia="仿宋_GB2312" w:cs="仿宋_GB2312"/>
          <w:color w:val="auto"/>
          <w:sz w:val="24"/>
          <w:szCs w:val="24"/>
          <w:highlight w:val="none"/>
          <w:u w:val="single"/>
        </w:rPr>
        <w:t xml:space="preserve">               </w:t>
      </w:r>
      <w:permEnd w:id="35"/>
      <w:r>
        <w:rPr>
          <w:rFonts w:hint="eastAsia" w:ascii="仿宋_GB2312" w:hAnsi="仿宋_GB2312" w:eastAsia="仿宋_GB2312" w:cs="仿宋_GB2312"/>
          <w:color w:val="auto"/>
          <w:sz w:val="24"/>
          <w:szCs w:val="24"/>
          <w:highlight w:val="none"/>
        </w:rPr>
        <w:t>；</w:t>
      </w:r>
    </w:p>
    <w:p>
      <w:pPr>
        <w:spacing w:line="420" w:lineRule="exact"/>
        <w:ind w:firstLine="2440" w:firstLineChars="1017"/>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u w:val="single"/>
        </w:rPr>
        <w:t>￥</w:t>
      </w:r>
      <w:permStart w:id="36" w:edGrp="everyone"/>
      <w:r>
        <w:rPr>
          <w:rFonts w:hint="eastAsia" w:ascii="仿宋_GB2312" w:hAnsi="仿宋_GB2312" w:eastAsia="仿宋_GB2312" w:cs="仿宋_GB2312"/>
          <w:color w:val="auto"/>
          <w:sz w:val="24"/>
          <w:szCs w:val="24"/>
          <w:highlight w:val="none"/>
          <w:u w:val="single"/>
        </w:rPr>
        <w:t xml:space="preserve">          </w:t>
      </w:r>
      <w:permEnd w:id="36"/>
      <w:r>
        <w:rPr>
          <w:rFonts w:hint="eastAsia" w:ascii="仿宋_GB2312" w:hAnsi="仿宋_GB2312" w:eastAsia="仿宋_GB2312" w:cs="仿宋_GB2312"/>
          <w:color w:val="auto"/>
          <w:sz w:val="24"/>
          <w:szCs w:val="24"/>
          <w:highlight w:val="none"/>
        </w:rPr>
        <w:t>元。</w:t>
      </w:r>
    </w:p>
    <w:p>
      <w:pPr>
        <w:autoSpaceDE w:val="0"/>
        <w:autoSpaceDN w:val="0"/>
        <w:adjustRightInd w:val="0"/>
        <w:spacing w:line="420" w:lineRule="exact"/>
        <w:ind w:firstLine="960" w:firstLineChars="4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其中：暂列金额</w:t>
      </w:r>
      <w:r>
        <w:rPr>
          <w:rFonts w:hint="eastAsia" w:ascii="仿宋_GB2312" w:hAnsi="仿宋_GB2312" w:eastAsia="仿宋_GB2312" w:cs="仿宋_GB2312"/>
          <w:color w:val="auto"/>
          <w:sz w:val="24"/>
          <w:szCs w:val="24"/>
          <w:highlight w:val="none"/>
        </w:rPr>
        <w:t>（大写）：</w:t>
      </w:r>
      <w:permStart w:id="37"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permEnd w:id="37"/>
      <w:r>
        <w:rPr>
          <w:rFonts w:hint="eastAsia" w:ascii="仿宋_GB2312" w:hAnsi="仿宋_GB2312" w:eastAsia="仿宋_GB2312" w:cs="仿宋_GB2312"/>
          <w:color w:val="auto"/>
          <w:kern w:val="0"/>
          <w:sz w:val="24"/>
          <w:szCs w:val="24"/>
          <w:highlight w:val="none"/>
        </w:rPr>
        <w:t>；</w:t>
      </w:r>
    </w:p>
    <w:p>
      <w:pPr>
        <w:autoSpaceDE w:val="0"/>
        <w:autoSpaceDN w:val="0"/>
        <w:adjustRightInd w:val="0"/>
        <w:spacing w:line="420" w:lineRule="exact"/>
        <w:ind w:firstLine="2640" w:firstLineChars="11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（小写）：</w:t>
      </w:r>
      <w:r>
        <w:rPr>
          <w:rFonts w:hint="eastAsia" w:ascii="仿宋_GB2312" w:hAnsi="仿宋_GB2312" w:eastAsia="仿宋_GB2312" w:cs="仿宋_GB2312"/>
          <w:color w:val="auto"/>
          <w:sz w:val="24"/>
          <w:szCs w:val="24"/>
          <w:highlight w:val="none"/>
          <w:u w:val="single"/>
        </w:rPr>
        <w:t>￥</w:t>
      </w:r>
      <w:permStart w:id="38" w:edGrp="everyone"/>
      <w:r>
        <w:rPr>
          <w:rFonts w:hint="eastAsia" w:ascii="仿宋_GB2312" w:hAnsi="仿宋_GB2312" w:eastAsia="仿宋_GB2312" w:cs="仿宋_GB2312"/>
          <w:color w:val="auto"/>
          <w:kern w:val="0"/>
          <w:sz w:val="24"/>
          <w:szCs w:val="24"/>
          <w:highlight w:val="none"/>
          <w:u w:val="single"/>
        </w:rPr>
        <w:t xml:space="preserve">          </w:t>
      </w:r>
      <w:permEnd w:id="38"/>
      <w:r>
        <w:rPr>
          <w:rFonts w:hint="eastAsia" w:ascii="仿宋_GB2312" w:hAnsi="仿宋_GB2312" w:eastAsia="仿宋_GB2312" w:cs="仿宋_GB2312"/>
          <w:color w:val="auto"/>
          <w:kern w:val="0"/>
          <w:sz w:val="24"/>
          <w:szCs w:val="24"/>
          <w:highlight w:val="none"/>
        </w:rPr>
        <w:t>元。</w:t>
      </w:r>
    </w:p>
    <w:p>
      <w:pPr>
        <w:spacing w:line="420" w:lineRule="exact"/>
        <w:ind w:firstLine="960" w:firstLineChars="4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按系数计算的绿色施工安全防护措施费用</w:t>
      </w:r>
      <w:r>
        <w:rPr>
          <w:rFonts w:hint="eastAsia" w:ascii="仿宋_GB2312" w:hAnsi="仿宋_GB2312" w:eastAsia="仿宋_GB2312" w:cs="仿宋_GB2312"/>
          <w:color w:val="auto"/>
          <w:sz w:val="24"/>
          <w:szCs w:val="24"/>
          <w:highlight w:val="none"/>
        </w:rPr>
        <w:t>（大写）：</w:t>
      </w:r>
      <w:permStart w:id="39" w:edGrp="everyone"/>
      <w:r>
        <w:rPr>
          <w:rFonts w:hint="eastAsia" w:ascii="仿宋_GB2312" w:hAnsi="仿宋_GB2312" w:eastAsia="仿宋_GB2312" w:cs="仿宋_GB2312"/>
          <w:color w:val="auto"/>
          <w:kern w:val="0"/>
          <w:sz w:val="24"/>
          <w:szCs w:val="24"/>
          <w:highlight w:val="none"/>
          <w:u w:val="single"/>
        </w:rPr>
        <w:t xml:space="preserve">              </w:t>
      </w:r>
      <w:permEnd w:id="39"/>
      <w:r>
        <w:rPr>
          <w:rFonts w:hint="eastAsia" w:ascii="仿宋_GB2312" w:hAnsi="仿宋_GB2312" w:eastAsia="仿宋_GB2312" w:cs="仿宋_GB2312"/>
          <w:color w:val="auto"/>
          <w:kern w:val="0"/>
          <w:sz w:val="24"/>
          <w:szCs w:val="24"/>
          <w:highlight w:val="none"/>
        </w:rPr>
        <w:t>；</w:t>
      </w:r>
    </w:p>
    <w:p>
      <w:pPr>
        <w:spacing w:line="420" w:lineRule="exact"/>
        <w:ind w:firstLine="5280" w:firstLineChars="2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（小写）：</w:t>
      </w:r>
      <w:r>
        <w:rPr>
          <w:rFonts w:hint="eastAsia" w:ascii="仿宋_GB2312" w:hAnsi="仿宋_GB2312" w:eastAsia="仿宋_GB2312" w:cs="仿宋_GB2312"/>
          <w:color w:val="auto"/>
          <w:sz w:val="24"/>
          <w:szCs w:val="24"/>
          <w:highlight w:val="none"/>
          <w:u w:val="single"/>
        </w:rPr>
        <w:t>￥</w:t>
      </w:r>
      <w:permStart w:id="40" w:edGrp="everyone"/>
      <w:r>
        <w:rPr>
          <w:rFonts w:hint="eastAsia" w:ascii="仿宋_GB2312" w:hAnsi="仿宋_GB2312" w:eastAsia="仿宋_GB2312" w:cs="仿宋_GB2312"/>
          <w:color w:val="auto"/>
          <w:kern w:val="0"/>
          <w:sz w:val="24"/>
          <w:szCs w:val="24"/>
          <w:highlight w:val="none"/>
          <w:u w:val="single"/>
        </w:rPr>
        <w:t xml:space="preserve">          </w:t>
      </w:r>
      <w:permEnd w:id="40"/>
      <w:r>
        <w:rPr>
          <w:rFonts w:hint="eastAsia" w:ascii="仿宋_GB2312" w:hAnsi="仿宋_GB2312" w:eastAsia="仿宋_GB2312" w:cs="仿宋_GB2312"/>
          <w:color w:val="auto"/>
          <w:kern w:val="0"/>
          <w:sz w:val="24"/>
          <w:szCs w:val="24"/>
          <w:highlight w:val="none"/>
        </w:rPr>
        <w:t>元。</w:t>
      </w:r>
    </w:p>
    <w:p>
      <w:pPr>
        <w:spacing w:line="420" w:lineRule="exact"/>
        <w:ind w:firstLine="960" w:firstLineChars="4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专业工程暂估价（大写）：</w:t>
      </w:r>
      <w:permStart w:id="41" w:edGrp="everyone"/>
      <w:r>
        <w:rPr>
          <w:rFonts w:hint="eastAsia" w:ascii="仿宋_GB2312" w:hAnsi="仿宋_GB2312" w:eastAsia="仿宋_GB2312" w:cs="仿宋_GB2312"/>
          <w:color w:val="auto"/>
          <w:kern w:val="0"/>
          <w:sz w:val="24"/>
          <w:szCs w:val="24"/>
          <w:highlight w:val="none"/>
          <w:u w:val="single"/>
        </w:rPr>
        <w:t xml:space="preserve">                   </w:t>
      </w:r>
      <w:permEnd w:id="41"/>
      <w:r>
        <w:rPr>
          <w:rFonts w:hint="eastAsia" w:ascii="仿宋_GB2312" w:hAnsi="仿宋_GB2312" w:eastAsia="仿宋_GB2312" w:cs="仿宋_GB2312"/>
          <w:color w:val="auto"/>
          <w:kern w:val="0"/>
          <w:sz w:val="24"/>
          <w:szCs w:val="24"/>
          <w:highlight w:val="none"/>
        </w:rPr>
        <w:t>；</w:t>
      </w:r>
    </w:p>
    <w:p>
      <w:pPr>
        <w:spacing w:line="420" w:lineRule="exact"/>
        <w:ind w:firstLine="2640" w:firstLineChars="11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（小写）：</w:t>
      </w:r>
      <w:r>
        <w:rPr>
          <w:rFonts w:hint="eastAsia" w:ascii="仿宋_GB2312" w:hAnsi="仿宋_GB2312" w:eastAsia="仿宋_GB2312" w:cs="仿宋_GB2312"/>
          <w:color w:val="auto"/>
          <w:sz w:val="24"/>
          <w:szCs w:val="24"/>
          <w:highlight w:val="none"/>
          <w:u w:val="single"/>
        </w:rPr>
        <w:t>￥</w:t>
      </w:r>
      <w:permStart w:id="42"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permEnd w:id="42"/>
      <w:r>
        <w:rPr>
          <w:rFonts w:hint="eastAsia" w:ascii="仿宋_GB2312" w:hAnsi="仿宋_GB2312" w:eastAsia="仿宋_GB2312" w:cs="仿宋_GB2312"/>
          <w:color w:val="auto"/>
          <w:kern w:val="0"/>
          <w:sz w:val="24"/>
          <w:szCs w:val="24"/>
          <w:highlight w:val="none"/>
        </w:rPr>
        <w:t>元；</w:t>
      </w:r>
    </w:p>
    <w:p>
      <w:pPr>
        <w:spacing w:line="420" w:lineRule="exact"/>
        <w:ind w:firstLine="960" w:firstLineChars="4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耗水费（大写）：</w:t>
      </w:r>
      <w:permStart w:id="43" w:edGrp="everyone"/>
      <w:r>
        <w:rPr>
          <w:rFonts w:hint="eastAsia" w:ascii="仿宋_GB2312" w:hAnsi="仿宋_GB2312" w:eastAsia="仿宋_GB2312" w:cs="仿宋_GB2312"/>
          <w:color w:val="auto"/>
          <w:kern w:val="0"/>
          <w:sz w:val="24"/>
          <w:szCs w:val="24"/>
          <w:highlight w:val="none"/>
          <w:u w:val="single"/>
        </w:rPr>
        <w:t xml:space="preserve">                 </w:t>
      </w:r>
      <w:permEnd w:id="43"/>
      <w:r>
        <w:rPr>
          <w:rFonts w:hint="eastAsia" w:ascii="仿宋_GB2312" w:hAnsi="仿宋_GB2312" w:eastAsia="仿宋_GB2312" w:cs="仿宋_GB2312"/>
          <w:color w:val="auto"/>
          <w:kern w:val="0"/>
          <w:sz w:val="24"/>
          <w:szCs w:val="24"/>
          <w:highlight w:val="none"/>
        </w:rPr>
        <w:t>；</w:t>
      </w:r>
    </w:p>
    <w:p>
      <w:pPr>
        <w:spacing w:line="420" w:lineRule="exact"/>
        <w:ind w:firstLine="1680" w:firstLineChars="7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（小写）：</w:t>
      </w:r>
      <w:r>
        <w:rPr>
          <w:rFonts w:hint="eastAsia" w:ascii="仿宋_GB2312" w:hAnsi="仿宋_GB2312" w:eastAsia="仿宋_GB2312" w:cs="仿宋_GB2312"/>
          <w:color w:val="auto"/>
          <w:sz w:val="24"/>
          <w:szCs w:val="24"/>
          <w:highlight w:val="none"/>
          <w:u w:val="single"/>
        </w:rPr>
        <w:t>￥</w:t>
      </w:r>
      <w:permStart w:id="44"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permEnd w:id="44"/>
      <w:r>
        <w:rPr>
          <w:rFonts w:hint="eastAsia" w:ascii="仿宋_GB2312" w:hAnsi="仿宋_GB2312" w:eastAsia="仿宋_GB2312" w:cs="仿宋_GB2312"/>
          <w:color w:val="auto"/>
          <w:kern w:val="0"/>
          <w:sz w:val="24"/>
          <w:szCs w:val="24"/>
          <w:highlight w:val="none"/>
        </w:rPr>
        <w:t>元；</w:t>
      </w:r>
    </w:p>
    <w:p>
      <w:pPr>
        <w:spacing w:line="420" w:lineRule="exact"/>
        <w:ind w:firstLine="960" w:firstLineChars="4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发包人供应材料运输费（大写）：</w:t>
      </w:r>
      <w:permStart w:id="45" w:edGrp="everyone"/>
      <w:r>
        <w:rPr>
          <w:rFonts w:hint="eastAsia" w:ascii="仿宋_GB2312" w:hAnsi="仿宋_GB2312" w:eastAsia="仿宋_GB2312" w:cs="仿宋_GB2312"/>
          <w:color w:val="auto"/>
          <w:kern w:val="0"/>
          <w:sz w:val="24"/>
          <w:szCs w:val="24"/>
          <w:highlight w:val="none"/>
          <w:u w:val="single"/>
        </w:rPr>
        <w:t xml:space="preserve">           </w:t>
      </w:r>
      <w:permEnd w:id="45"/>
      <w:r>
        <w:rPr>
          <w:rFonts w:hint="eastAsia" w:ascii="仿宋_GB2312" w:hAnsi="仿宋_GB2312" w:eastAsia="仿宋_GB2312" w:cs="仿宋_GB2312"/>
          <w:color w:val="auto"/>
          <w:kern w:val="0"/>
          <w:sz w:val="24"/>
          <w:szCs w:val="24"/>
          <w:highlight w:val="none"/>
        </w:rPr>
        <w:t>；</w:t>
      </w:r>
    </w:p>
    <w:p>
      <w:pPr>
        <w:spacing w:line="420" w:lineRule="exact"/>
        <w:ind w:firstLine="3360" w:firstLineChars="14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（小写）：</w:t>
      </w:r>
      <w:r>
        <w:rPr>
          <w:rFonts w:hint="eastAsia" w:ascii="仿宋_GB2312" w:hAnsi="仿宋_GB2312" w:eastAsia="仿宋_GB2312" w:cs="仿宋_GB2312"/>
          <w:color w:val="auto"/>
          <w:sz w:val="24"/>
          <w:szCs w:val="24"/>
          <w:highlight w:val="none"/>
          <w:u w:val="single"/>
        </w:rPr>
        <w:t>￥</w:t>
      </w:r>
      <w:permStart w:id="46" w:edGrp="everyone"/>
      <w:r>
        <w:rPr>
          <w:rFonts w:hint="eastAsia" w:ascii="仿宋_GB2312" w:hAnsi="仿宋_GB2312" w:eastAsia="仿宋_GB2312" w:cs="仿宋_GB2312"/>
          <w:color w:val="auto"/>
          <w:kern w:val="0"/>
          <w:sz w:val="24"/>
          <w:szCs w:val="24"/>
          <w:highlight w:val="none"/>
          <w:u w:val="single"/>
        </w:rPr>
        <w:t xml:space="preserve">       </w:t>
      </w:r>
      <w:permEnd w:id="46"/>
      <w:r>
        <w:rPr>
          <w:rFonts w:hint="eastAsia" w:ascii="仿宋_GB2312" w:hAnsi="仿宋_GB2312" w:eastAsia="仿宋_GB2312" w:cs="仿宋_GB2312"/>
          <w:color w:val="auto"/>
          <w:kern w:val="0"/>
          <w:sz w:val="24"/>
          <w:szCs w:val="24"/>
          <w:highlight w:val="none"/>
        </w:rPr>
        <w:t>元；</w:t>
      </w:r>
    </w:p>
    <w:p>
      <w:pPr>
        <w:spacing w:line="420" w:lineRule="exact"/>
        <w:ind w:firstLine="960" w:firstLineChars="4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人工费（大写）：</w:t>
      </w:r>
      <w:permStart w:id="47" w:edGrp="everyone"/>
      <w:r>
        <w:rPr>
          <w:rFonts w:hint="eastAsia" w:ascii="仿宋_GB2312" w:hAnsi="仿宋_GB2312" w:eastAsia="仿宋_GB2312" w:cs="仿宋_GB2312"/>
          <w:color w:val="auto"/>
          <w:kern w:val="0"/>
          <w:sz w:val="24"/>
          <w:szCs w:val="24"/>
          <w:highlight w:val="none"/>
          <w:u w:val="single"/>
        </w:rPr>
        <w:t xml:space="preserve">                         </w:t>
      </w:r>
      <w:permEnd w:id="47"/>
      <w:r>
        <w:rPr>
          <w:rFonts w:hint="eastAsia" w:ascii="仿宋_GB2312" w:hAnsi="仿宋_GB2312" w:eastAsia="仿宋_GB2312" w:cs="仿宋_GB2312"/>
          <w:color w:val="auto"/>
          <w:kern w:val="0"/>
          <w:sz w:val="24"/>
          <w:szCs w:val="24"/>
          <w:highlight w:val="none"/>
        </w:rPr>
        <w:t>；</w:t>
      </w:r>
    </w:p>
    <w:p>
      <w:pPr>
        <w:spacing w:line="420" w:lineRule="exact"/>
        <w:ind w:firstLine="1680" w:firstLineChars="7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（小写）：</w:t>
      </w:r>
      <w:r>
        <w:rPr>
          <w:rFonts w:hint="eastAsia" w:ascii="仿宋_GB2312" w:hAnsi="仿宋_GB2312" w:eastAsia="仿宋_GB2312" w:cs="仿宋_GB2312"/>
          <w:color w:val="auto"/>
          <w:sz w:val="24"/>
          <w:szCs w:val="24"/>
          <w:highlight w:val="none"/>
          <w:u w:val="single"/>
        </w:rPr>
        <w:t>￥</w:t>
      </w:r>
      <w:permStart w:id="48" w:edGrp="everyone"/>
      <w:r>
        <w:rPr>
          <w:rFonts w:hint="eastAsia" w:ascii="仿宋_GB2312" w:hAnsi="仿宋_GB2312" w:eastAsia="仿宋_GB2312" w:cs="仿宋_GB2312"/>
          <w:color w:val="auto"/>
          <w:kern w:val="0"/>
          <w:sz w:val="24"/>
          <w:szCs w:val="24"/>
          <w:highlight w:val="none"/>
          <w:u w:val="single"/>
        </w:rPr>
        <w:t xml:space="preserve">                     </w:t>
      </w:r>
      <w:permEnd w:id="48"/>
      <w:r>
        <w:rPr>
          <w:rFonts w:hint="eastAsia" w:ascii="仿宋_GB2312" w:hAnsi="仿宋_GB2312" w:eastAsia="仿宋_GB2312" w:cs="仿宋_GB2312"/>
          <w:color w:val="auto"/>
          <w:kern w:val="0"/>
          <w:sz w:val="24"/>
          <w:szCs w:val="24"/>
          <w:highlight w:val="none"/>
        </w:rPr>
        <w:t>元；</w:t>
      </w:r>
    </w:p>
    <w:p>
      <w:pPr>
        <w:spacing w:line="420" w:lineRule="exact"/>
        <w:ind w:firstLine="480" w:firstLineChars="200"/>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color w:val="auto"/>
          <w:sz w:val="24"/>
          <w:szCs w:val="24"/>
          <w:highlight w:val="none"/>
        </w:rPr>
        <w:t>5.2项目单价：详见承包人的投标报价书；</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5.3投标下浮率：</w:t>
      </w:r>
      <w:permStart w:id="49" w:edGrp="everyone"/>
      <w:r>
        <w:rPr>
          <w:rFonts w:hint="eastAsia" w:ascii="仿宋_GB2312" w:hAnsi="仿宋_GB2312" w:eastAsia="仿宋_GB2312" w:cs="仿宋_GB2312"/>
          <w:color w:val="auto"/>
          <w:kern w:val="0"/>
          <w:sz w:val="24"/>
          <w:szCs w:val="24"/>
          <w:highlight w:val="none"/>
          <w:u w:val="single"/>
        </w:rPr>
        <w:t xml:space="preserve">   </w:t>
      </w:r>
      <w:permEnd w:id="49"/>
      <w:r>
        <w:rPr>
          <w:rFonts w:hint="eastAsia" w:ascii="仿宋_GB2312" w:hAnsi="仿宋_GB2312" w:eastAsia="仿宋_GB2312" w:cs="仿宋_GB2312"/>
          <w:color w:val="auto"/>
          <w:kern w:val="0"/>
          <w:sz w:val="24"/>
          <w:szCs w:val="24"/>
          <w:highlight w:val="none"/>
        </w:rPr>
        <w:t>%，投标下浮率=1-投标报价（扣除包括但不限于绿色施工安全防护措施费、暂列金、耗水费、发包人供应材料运输费、暂估价等非竞争性费用）/最高投标限价（扣除包括但不限于绿色施工安全防护措施费、暂列金、耗水费、发包人供应材料运输费、暂估价等非竞争性费用），投标下浮率保留小数点后两位有效数字。</w:t>
      </w:r>
    </w:p>
    <w:p>
      <w:pPr>
        <w:spacing w:line="420" w:lineRule="exact"/>
        <w:outlineLvl w:val="1"/>
        <w:rPr>
          <w:rFonts w:hint="eastAsia" w:ascii="仿宋_GB2312" w:hAnsi="仿宋_GB2312" w:eastAsia="仿宋_GB2312" w:cs="仿宋_GB2312"/>
          <w:b/>
          <w:bCs/>
          <w:color w:val="auto"/>
          <w:sz w:val="24"/>
          <w:szCs w:val="24"/>
          <w:highlight w:val="none"/>
        </w:rPr>
      </w:pPr>
    </w:p>
    <w:p>
      <w:pPr>
        <w:spacing w:line="420" w:lineRule="exact"/>
        <w:outlineLvl w:val="1"/>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sz w:val="24"/>
          <w:szCs w:val="24"/>
          <w:highlight w:val="none"/>
        </w:rPr>
        <w:t>六、结算方式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6.1分部分项工程和单项措施项目综合单价包干，</w:t>
      </w:r>
      <w:permStart w:id="50" w:edGrp="everyone"/>
      <w:r>
        <w:rPr>
          <w:rFonts w:hint="eastAsia" w:ascii="仿宋_GB2312" w:hAnsi="仿宋_GB2312" w:eastAsia="仿宋_GB2312" w:cs="仿宋_GB2312"/>
          <w:color w:val="auto"/>
          <w:kern w:val="0"/>
          <w:sz w:val="24"/>
          <w:szCs w:val="24"/>
          <w:highlight w:val="none"/>
        </w:rPr>
        <w:sym w:font="Wingdings" w:char="00FE"/>
      </w:r>
      <w:permEnd w:id="50"/>
      <w:r>
        <w:rPr>
          <w:rFonts w:hint="eastAsia" w:ascii="仿宋_GB2312" w:hAnsi="仿宋_GB2312" w:eastAsia="仿宋_GB2312" w:cs="仿宋_GB2312"/>
          <w:color w:val="auto"/>
          <w:kern w:val="0"/>
          <w:sz w:val="24"/>
          <w:szCs w:val="24"/>
          <w:highlight w:val="none"/>
        </w:rPr>
        <w:t>总价措施项目、预算包干费、总承包服务费、发包人供应材料保管费合价包干；</w:t>
      </w:r>
      <w:permStart w:id="51" w:edGrp="everyone"/>
      <w:r>
        <w:rPr>
          <w:rFonts w:hint="eastAsia" w:ascii="仿宋_GB2312" w:hAnsi="仿宋_GB2312" w:eastAsia="仿宋_GB2312" w:cs="仿宋_GB2312"/>
          <w:color w:val="auto"/>
          <w:kern w:val="0"/>
          <w:sz w:val="24"/>
          <w:szCs w:val="24"/>
          <w:highlight w:val="none"/>
          <w:lang w:val="en-US" w:eastAsia="zh-CN"/>
        </w:rPr>
        <w:t>☒</w:t>
      </w:r>
      <w:permEnd w:id="51"/>
      <w:r>
        <w:rPr>
          <w:rFonts w:hint="eastAsia" w:ascii="仿宋_GB2312" w:hAnsi="仿宋_GB2312" w:eastAsia="仿宋_GB2312" w:cs="仿宋_GB2312"/>
          <w:color w:val="auto"/>
          <w:kern w:val="0"/>
          <w:sz w:val="24"/>
          <w:szCs w:val="24"/>
          <w:highlight w:val="none"/>
        </w:rPr>
        <w:t>按系数计算的绿色施工安全防护措施费按实结算，其他总价措施项目、预算包干费、总承包服务费、发包人供应材料保管费合价包干；</w:t>
      </w:r>
      <w:permStart w:id="52" w:edGrp="everyone"/>
      <w:r>
        <w:rPr>
          <w:rFonts w:hint="eastAsia" w:ascii="仿宋_GB2312" w:hAnsi="仿宋_GB2312" w:eastAsia="仿宋_GB2312" w:cs="仿宋_GB2312"/>
          <w:color w:val="auto"/>
          <w:kern w:val="0"/>
          <w:sz w:val="24"/>
          <w:szCs w:val="24"/>
          <w:highlight w:val="none"/>
          <w:lang w:val="en-US" w:eastAsia="zh-CN"/>
        </w:rPr>
        <w:t>☒</w:t>
      </w:r>
      <w:permEnd w:id="52"/>
      <w:r>
        <w:rPr>
          <w:rFonts w:hint="eastAsia" w:ascii="仿宋_GB2312" w:hAnsi="仿宋_GB2312" w:eastAsia="仿宋_GB2312" w:cs="仿宋_GB2312"/>
          <w:color w:val="auto"/>
          <w:kern w:val="0"/>
          <w:sz w:val="24"/>
          <w:szCs w:val="24"/>
          <w:highlight w:val="none"/>
        </w:rPr>
        <w:t>装修、修缮工程：若实际采用材料品牌档次高于附件十五材料表中“投标单位拟使用品牌”的，按中标单价结算；若实际采用材料品牌档次低于附件十五材料表中“投标单位拟使用品牌”的，结算综合单价=中标综合单价-（最高限价中对应综合单价的主材费单价-实际采用材料市场价）。如存在二次深化设计内容(包括但不限于设备型号规格及数量变化等)，该部分二次深化设计后的结算金额不应超过对应投标报价。</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6.2 总价措施项目：</w:t>
      </w:r>
      <w:permStart w:id="53" w:edGrp="everyone"/>
      <w:r>
        <w:rPr>
          <w:rFonts w:hint="eastAsia" w:ascii="仿宋_GB2312" w:hAnsi="仿宋_GB2312" w:eastAsia="仿宋_GB2312" w:cs="仿宋_GB2312"/>
          <w:color w:val="auto"/>
          <w:kern w:val="0"/>
          <w:sz w:val="24"/>
          <w:szCs w:val="24"/>
          <w:highlight w:val="none"/>
        </w:rPr>
        <w:sym w:font="Wingdings" w:char="00FE"/>
      </w:r>
      <w:permEnd w:id="53"/>
      <w:r>
        <w:rPr>
          <w:rFonts w:hint="eastAsia" w:ascii="仿宋_GB2312" w:hAnsi="仿宋_GB2312" w:eastAsia="仿宋_GB2312" w:cs="仿宋_GB2312"/>
          <w:color w:val="auto"/>
          <w:kern w:val="0"/>
          <w:sz w:val="24"/>
          <w:szCs w:val="24"/>
          <w:highlight w:val="none"/>
        </w:rPr>
        <w:t>按系数计算的绿色施工安全防护措施费；</w:t>
      </w:r>
      <w:permStart w:id="54" w:edGrp="everyone"/>
      <w:r>
        <w:rPr>
          <w:rFonts w:hint="eastAsia" w:ascii="仿宋_GB2312" w:hAnsi="仿宋_GB2312" w:eastAsia="仿宋_GB2312" w:cs="仿宋_GB2312"/>
          <w:color w:val="auto"/>
          <w:kern w:val="0"/>
          <w:sz w:val="24"/>
          <w:szCs w:val="24"/>
          <w:highlight w:val="none"/>
          <w:lang w:val="en-US" w:eastAsia="zh-CN"/>
        </w:rPr>
        <w:t>☒</w:t>
      </w:r>
      <w:permEnd w:id="54"/>
      <w:r>
        <w:rPr>
          <w:rFonts w:hint="eastAsia" w:ascii="仿宋_GB2312" w:hAnsi="仿宋_GB2312" w:eastAsia="仿宋_GB2312" w:cs="仿宋_GB2312"/>
          <w:color w:val="auto"/>
          <w:kern w:val="0"/>
          <w:sz w:val="24"/>
          <w:szCs w:val="24"/>
          <w:highlight w:val="none"/>
        </w:rPr>
        <w:t>地下管线交叉降效费；</w:t>
      </w:r>
      <w:permStart w:id="55" w:edGrp="everyone"/>
      <w:r>
        <w:rPr>
          <w:rFonts w:hint="eastAsia" w:ascii="仿宋_GB2312" w:hAnsi="仿宋_GB2312" w:eastAsia="仿宋_GB2312" w:cs="仿宋_GB2312"/>
          <w:color w:val="auto"/>
          <w:kern w:val="0"/>
          <w:sz w:val="24"/>
          <w:szCs w:val="24"/>
          <w:highlight w:val="none"/>
          <w:lang w:val="en-US" w:eastAsia="zh-CN"/>
        </w:rPr>
        <w:t>☒</w:t>
      </w:r>
      <w:permEnd w:id="55"/>
      <w:r>
        <w:rPr>
          <w:rFonts w:hint="eastAsia" w:ascii="仿宋_GB2312" w:hAnsi="仿宋_GB2312" w:eastAsia="仿宋_GB2312" w:cs="仿宋_GB2312"/>
          <w:color w:val="auto"/>
          <w:kern w:val="0"/>
          <w:sz w:val="24"/>
          <w:szCs w:val="24"/>
          <w:highlight w:val="none"/>
        </w:rPr>
        <w:t>夜间施工增加费；</w:t>
      </w:r>
      <w:permStart w:id="56" w:edGrp="everyone"/>
      <w:r>
        <w:rPr>
          <w:rFonts w:hint="eastAsia" w:ascii="仿宋_GB2312" w:hAnsi="仿宋_GB2312" w:eastAsia="仿宋_GB2312" w:cs="仿宋_GB2312"/>
          <w:color w:val="auto"/>
          <w:kern w:val="0"/>
          <w:sz w:val="24"/>
          <w:szCs w:val="24"/>
          <w:highlight w:val="none"/>
          <w:lang w:val="en-US" w:eastAsia="zh-CN"/>
        </w:rPr>
        <w:t>☒</w:t>
      </w:r>
      <w:permEnd w:id="56"/>
      <w:r>
        <w:rPr>
          <w:rFonts w:hint="eastAsia" w:ascii="仿宋_GB2312" w:hAnsi="仿宋_GB2312" w:eastAsia="仿宋_GB2312" w:cs="仿宋_GB2312"/>
          <w:color w:val="auto"/>
          <w:kern w:val="0"/>
          <w:sz w:val="24"/>
          <w:szCs w:val="24"/>
          <w:highlight w:val="none"/>
        </w:rPr>
        <w:t>排水、降水；</w:t>
      </w:r>
      <w:permStart w:id="57" w:edGrp="everyone"/>
      <w:r>
        <w:rPr>
          <w:rFonts w:hint="eastAsia" w:ascii="仿宋_GB2312" w:hAnsi="仿宋_GB2312" w:eastAsia="仿宋_GB2312" w:cs="仿宋_GB2312"/>
          <w:color w:val="auto"/>
          <w:kern w:val="0"/>
          <w:sz w:val="24"/>
          <w:szCs w:val="24"/>
          <w:highlight w:val="none"/>
          <w:lang w:val="en-US" w:eastAsia="zh-CN"/>
        </w:rPr>
        <w:t>☒</w:t>
      </w:r>
      <w:permEnd w:id="57"/>
      <w:r>
        <w:rPr>
          <w:rFonts w:hint="eastAsia" w:ascii="仿宋_GB2312" w:hAnsi="仿宋_GB2312" w:eastAsia="仿宋_GB2312" w:cs="仿宋_GB2312"/>
          <w:color w:val="auto"/>
          <w:kern w:val="0"/>
          <w:sz w:val="24"/>
          <w:szCs w:val="24"/>
          <w:highlight w:val="none"/>
        </w:rPr>
        <w:t>设备材料二次运输费；</w:t>
      </w:r>
      <w:permStart w:id="58" w:edGrp="everyone"/>
      <w:r>
        <w:rPr>
          <w:rFonts w:hint="eastAsia" w:ascii="仿宋_GB2312" w:hAnsi="仿宋_GB2312" w:eastAsia="仿宋_GB2312" w:cs="仿宋_GB2312"/>
          <w:color w:val="auto"/>
          <w:kern w:val="0"/>
          <w:sz w:val="24"/>
          <w:szCs w:val="24"/>
          <w:highlight w:val="none"/>
          <w:lang w:val="en-US" w:eastAsia="zh-CN"/>
        </w:rPr>
        <w:t>☒</w:t>
      </w:r>
      <w:permEnd w:id="58"/>
      <w:r>
        <w:rPr>
          <w:rFonts w:hint="eastAsia" w:ascii="仿宋_GB2312" w:hAnsi="仿宋_GB2312" w:eastAsia="仿宋_GB2312" w:cs="仿宋_GB2312"/>
          <w:color w:val="auto"/>
          <w:kern w:val="0"/>
          <w:sz w:val="24"/>
          <w:szCs w:val="24"/>
          <w:highlight w:val="none"/>
        </w:rPr>
        <w:t>拆除废料的垂直运输；</w:t>
      </w:r>
      <w:permStart w:id="59" w:edGrp="everyone"/>
      <w:r>
        <w:rPr>
          <w:rFonts w:hint="eastAsia" w:ascii="仿宋_GB2312" w:hAnsi="仿宋_GB2312" w:eastAsia="仿宋_GB2312" w:cs="仿宋_GB2312"/>
          <w:color w:val="auto"/>
          <w:kern w:val="0"/>
          <w:sz w:val="24"/>
          <w:szCs w:val="24"/>
          <w:highlight w:val="none"/>
          <w:lang w:val="en-US" w:eastAsia="zh-CN"/>
        </w:rPr>
        <w:t>☒</w:t>
      </w:r>
      <w:permEnd w:id="59"/>
      <w:r>
        <w:rPr>
          <w:rFonts w:hint="eastAsia" w:ascii="仿宋_GB2312" w:hAnsi="仿宋_GB2312" w:eastAsia="仿宋_GB2312" w:cs="仿宋_GB2312"/>
          <w:color w:val="auto"/>
          <w:kern w:val="0"/>
          <w:sz w:val="24"/>
          <w:szCs w:val="24"/>
          <w:highlight w:val="none"/>
        </w:rPr>
        <w:t>单独装饰装修工程垂直运输；</w:t>
      </w:r>
      <w:permStart w:id="60" w:edGrp="everyone"/>
      <w:r>
        <w:rPr>
          <w:rFonts w:hint="eastAsia" w:ascii="仿宋_GB2312" w:hAnsi="仿宋_GB2312" w:eastAsia="仿宋_GB2312" w:cs="仿宋_GB2312"/>
          <w:color w:val="auto"/>
          <w:kern w:val="0"/>
          <w:sz w:val="24"/>
          <w:szCs w:val="24"/>
          <w:highlight w:val="none"/>
          <w:lang w:val="en-US" w:eastAsia="zh-CN"/>
        </w:rPr>
        <w:t>☒</w:t>
      </w:r>
      <w:permEnd w:id="60"/>
      <w:r>
        <w:rPr>
          <w:rFonts w:hint="eastAsia" w:ascii="仿宋_GB2312" w:hAnsi="仿宋_GB2312" w:eastAsia="仿宋_GB2312" w:cs="仿宋_GB2312"/>
          <w:color w:val="auto"/>
          <w:kern w:val="0"/>
          <w:sz w:val="24"/>
          <w:szCs w:val="24"/>
          <w:highlight w:val="none"/>
        </w:rPr>
        <w:t>已完工程及设备保护；</w:t>
      </w:r>
      <w:permStart w:id="61" w:edGrp="everyone"/>
      <w:r>
        <w:rPr>
          <w:rFonts w:hint="eastAsia" w:ascii="仿宋_GB2312" w:hAnsi="仿宋_GB2312" w:eastAsia="仿宋_GB2312" w:cs="仿宋_GB2312"/>
          <w:color w:val="auto"/>
          <w:kern w:val="0"/>
          <w:sz w:val="24"/>
          <w:szCs w:val="24"/>
          <w:highlight w:val="none"/>
        </w:rPr>
        <w:sym w:font="Wingdings" w:char="00FE"/>
      </w:r>
      <w:permEnd w:id="61"/>
      <w:r>
        <w:rPr>
          <w:rFonts w:hint="eastAsia" w:ascii="仿宋_GB2312" w:hAnsi="仿宋_GB2312" w:eastAsia="仿宋_GB2312" w:cs="仿宋_GB2312"/>
          <w:color w:val="auto"/>
          <w:kern w:val="0"/>
          <w:sz w:val="24"/>
          <w:szCs w:val="24"/>
          <w:highlight w:val="none"/>
        </w:rPr>
        <w:t>其他费用（如有）；</w:t>
      </w:r>
      <w:permStart w:id="62" w:edGrp="everyone"/>
      <w:r>
        <w:rPr>
          <w:rFonts w:hint="eastAsia" w:ascii="仿宋_GB2312" w:hAnsi="仿宋_GB2312" w:eastAsia="仿宋_GB2312" w:cs="仿宋_GB2312"/>
          <w:color w:val="auto"/>
          <w:kern w:val="0"/>
          <w:sz w:val="24"/>
          <w:szCs w:val="24"/>
          <w:highlight w:val="none"/>
          <w:lang w:val="en-US" w:eastAsia="zh-CN"/>
        </w:rPr>
        <w:t>☒</w:t>
      </w:r>
      <w:permEnd w:id="62"/>
      <w:r>
        <w:rPr>
          <w:rFonts w:hint="eastAsia" w:ascii="仿宋_GB2312" w:hAnsi="仿宋_GB2312" w:eastAsia="仿宋_GB2312" w:cs="仿宋_GB2312"/>
          <w:color w:val="auto"/>
          <w:kern w:val="0"/>
          <w:sz w:val="24"/>
          <w:szCs w:val="24"/>
          <w:highlight w:val="none"/>
        </w:rPr>
        <w:t>二次搬运（管廊）；</w:t>
      </w:r>
      <w:permStart w:id="63" w:edGrp="everyone"/>
      <w:r>
        <w:rPr>
          <w:rFonts w:hint="eastAsia" w:ascii="仿宋_GB2312" w:hAnsi="仿宋_GB2312" w:eastAsia="仿宋_GB2312" w:cs="仿宋_GB2312"/>
          <w:color w:val="auto"/>
          <w:kern w:val="0"/>
          <w:sz w:val="24"/>
          <w:szCs w:val="24"/>
          <w:highlight w:val="none"/>
          <w:lang w:val="en-US" w:eastAsia="zh-CN"/>
        </w:rPr>
        <w:t>☒</w:t>
      </w:r>
      <w:permEnd w:id="63"/>
      <w:r>
        <w:rPr>
          <w:rFonts w:hint="eastAsia" w:ascii="仿宋_GB2312" w:hAnsi="仿宋_GB2312" w:eastAsia="仿宋_GB2312" w:cs="仿宋_GB2312"/>
          <w:color w:val="auto"/>
          <w:kern w:val="0"/>
          <w:sz w:val="24"/>
          <w:szCs w:val="24"/>
          <w:highlight w:val="none"/>
        </w:rPr>
        <w:t>垂直运输（管廊）；</w:t>
      </w:r>
      <w:permStart w:id="64" w:edGrp="everyone"/>
      <w:r>
        <w:rPr>
          <w:rFonts w:hint="eastAsia" w:ascii="仿宋_GB2312" w:hAnsi="仿宋_GB2312" w:eastAsia="仿宋_GB2312" w:cs="仿宋_GB2312"/>
          <w:color w:val="auto"/>
          <w:kern w:val="0"/>
          <w:sz w:val="24"/>
          <w:szCs w:val="24"/>
          <w:highlight w:val="none"/>
          <w:lang w:val="en-US" w:eastAsia="zh-CN"/>
        </w:rPr>
        <w:t>☒</w:t>
      </w:r>
      <w:permEnd w:id="64"/>
      <w:r>
        <w:rPr>
          <w:rFonts w:hint="eastAsia" w:ascii="仿宋_GB2312" w:hAnsi="仿宋_GB2312" w:eastAsia="仿宋_GB2312" w:cs="仿宋_GB2312"/>
          <w:color w:val="auto"/>
          <w:kern w:val="0"/>
          <w:sz w:val="24"/>
          <w:szCs w:val="24"/>
          <w:highlight w:val="none"/>
        </w:rPr>
        <w:t>盾构段钢结构工作平台（管廊）</w:t>
      </w:r>
      <w:r>
        <w:rPr>
          <w:rFonts w:hint="eastAsia" w:ascii="仿宋_GB2312" w:hAnsi="仿宋_GB2312" w:eastAsia="仿宋_GB2312" w:cs="仿宋_GB2312"/>
          <w:color w:val="auto"/>
          <w:kern w:val="0"/>
          <w:sz w:val="24"/>
          <w:szCs w:val="24"/>
          <w:highlight w:val="none"/>
          <w:lang w:eastAsia="zh-CN"/>
        </w:rPr>
        <w:t>；</w:t>
      </w:r>
      <w:r>
        <w:rPr>
          <w:rFonts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rPr>
        <w:t>人工降效（管廊）；</w:t>
      </w:r>
      <w:r>
        <w:rPr>
          <w:rFonts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rPr>
        <w:t>通风（管廊）</w:t>
      </w:r>
      <w:r>
        <w:rPr>
          <w:rFonts w:hint="eastAsia" w:ascii="宋体" w:hAnsi="宋体" w:cs="宋体"/>
          <w:color w:val="auto"/>
          <w:kern w:val="0"/>
          <w:sz w:val="22"/>
          <w:highlight w:val="none"/>
        </w:rPr>
        <w:t>。</w:t>
      </w:r>
      <w:r>
        <w:rPr>
          <w:rFonts w:hint="eastAsia" w:ascii="仿宋_GB2312" w:hAnsi="仿宋_GB2312" w:eastAsia="仿宋_GB2312" w:cs="仿宋_GB2312"/>
          <w:color w:val="auto"/>
          <w:kern w:val="0"/>
          <w:sz w:val="24"/>
          <w:szCs w:val="24"/>
          <w:highlight w:val="none"/>
        </w:rPr>
        <w:t>。</w:t>
      </w:r>
    </w:p>
    <w:p>
      <w:pPr>
        <w:spacing w:line="420" w:lineRule="exact"/>
        <w:ind w:left="0" w:leftChars="0"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6.3耗水费结算时凭计算依据及有效增值税普通发票按实支付。</w:t>
      </w:r>
    </w:p>
    <w:p>
      <w:pPr>
        <w:spacing w:line="420" w:lineRule="exact"/>
        <w:ind w:left="0" w:leftChars="0"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6.4建筑垃圾消纳费按专用条款65.2以及现场签证资料、有效资质的消纳合同，按实进行结算。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6.5若中标的综合单价高于最高投标限价报告中对应清单子目的综合单价，发包人有权在结算阶段调整该中标综合单价，调整方式为：结算综合单价＝最高投标限价对应清单子目的综合单价×（1-投标下浮率），并按调整后的综合单价作为结算综合单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6.6各单项工程中相同的清单子目，中标的投标单价必须一致，若不一致，发包人有权在结算阶段按就低不就高的原则调整，调整方式为：结算综合单价＝最高投标限价对应清单子目综合单价×（1-投标下浮率）与中标的综合单价对比低值，并按调整后的综合单价作为结算综合单价。</w:t>
      </w:r>
    </w:p>
    <w:p>
      <w:pPr>
        <w:spacing w:line="420" w:lineRule="exact"/>
        <w:ind w:left="0" w:leftChars="0"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6.7 ☒结算时，若试压消毒冲洗临时管安拆单独计价，发包人有权调整相关清单的中标综合单价，包括但不限于“管道试压”子目，剔除：⑴钢板⑵石棉橡胶板⑶六角螺栓⑷低碳钢焊条⑸氧气⑹乙炔气⑺镀锌钢管⑻法兰截止阀⑼碳钢平焊法兰⑽水⑾试压泵中的”安拆费“⑿直流弧焊机⒀电焊条烘干箱。</w:t>
      </w:r>
    </w:p>
    <w:p>
      <w:pPr>
        <w:spacing w:line="420" w:lineRule="exact"/>
        <w:ind w:left="900" w:leftChars="200" w:hanging="480" w:hanging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本工程采用</w:t>
      </w:r>
      <w:permStart w:id="65" w:edGrp="everyone"/>
      <w:r>
        <w:rPr>
          <w:rFonts w:hint="eastAsia" w:ascii="仿宋_GB2312" w:hAnsi="仿宋_GB2312" w:eastAsia="仿宋_GB2312" w:cs="仿宋_GB2312"/>
          <w:color w:val="auto"/>
          <w:kern w:val="0"/>
          <w:sz w:val="24"/>
          <w:szCs w:val="24"/>
          <w:highlight w:val="none"/>
        </w:rPr>
        <w:sym w:font="Wingdings" w:char="00FE"/>
      </w:r>
      <w:r>
        <w:rPr>
          <w:rFonts w:hint="eastAsia" w:ascii="仿宋_GB2312" w:hAnsi="仿宋_GB2312" w:eastAsia="仿宋_GB2312" w:cs="仿宋_GB2312"/>
          <w:color w:val="auto"/>
          <w:kern w:val="0"/>
          <w:sz w:val="24"/>
          <w:szCs w:val="24"/>
          <w:highlight w:val="none"/>
        </w:rPr>
        <w:t>简易计税，☒一般计税</w:t>
      </w:r>
      <w:permEnd w:id="65"/>
    </w:p>
    <w:p>
      <w:pPr>
        <w:widowControl w:val="0"/>
        <w:adjustRightInd w:val="0"/>
        <w:spacing w:line="420" w:lineRule="exact"/>
        <w:ind w:firstLine="0"/>
        <w:jc w:val="both"/>
        <w:textAlignment w:val="baseline"/>
        <w:rPr>
          <w:rFonts w:hint="eastAsia" w:ascii="仿宋_GB2312" w:hAnsi="仿宋_GB2312" w:eastAsia="仿宋_GB2312" w:cs="仿宋_GB2312"/>
          <w:b/>
          <w:bCs/>
          <w:color w:val="auto"/>
          <w:kern w:val="2"/>
          <w:sz w:val="24"/>
          <w:szCs w:val="24"/>
          <w:highlight w:val="none"/>
          <w:lang w:val="en-US" w:eastAsia="zh-CN" w:bidi="ar-SA"/>
        </w:rPr>
      </w:pPr>
    </w:p>
    <w:p>
      <w:pPr>
        <w:widowControl w:val="0"/>
        <w:adjustRightInd w:val="0"/>
        <w:spacing w:line="420" w:lineRule="exact"/>
        <w:ind w:firstLine="0"/>
        <w:jc w:val="both"/>
        <w:textAlignment w:val="baseline"/>
        <w:rPr>
          <w:rFonts w:hint="eastAsia" w:ascii="黑体" w:hAnsi="黑体" w:eastAsia="黑体" w:cs="黑体"/>
          <w:b w:val="0"/>
          <w:bCs w:val="0"/>
          <w:color w:val="auto"/>
          <w:kern w:val="2"/>
          <w:sz w:val="24"/>
          <w:szCs w:val="24"/>
          <w:highlight w:val="none"/>
          <w:lang w:val="en-US" w:eastAsia="zh-CN" w:bidi="ar-SA"/>
        </w:rPr>
      </w:pPr>
      <w:r>
        <w:rPr>
          <w:rFonts w:hint="eastAsia" w:ascii="黑体" w:hAnsi="黑体" w:eastAsia="黑体" w:cs="黑体"/>
          <w:b w:val="0"/>
          <w:bCs w:val="0"/>
          <w:color w:val="auto"/>
          <w:kern w:val="2"/>
          <w:sz w:val="24"/>
          <w:szCs w:val="24"/>
          <w:highlight w:val="none"/>
          <w:lang w:val="en-US" w:eastAsia="zh-CN" w:bidi="ar-SA"/>
        </w:rPr>
        <w:t>七、承包人代表（项目经理）及其他主要管理人员</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7.1 承包人代表（项目经理）：姓名：</w:t>
      </w:r>
      <w:permStart w:id="66" w:edGrp="everyone"/>
      <w:r>
        <w:rPr>
          <w:rFonts w:hint="eastAsia" w:ascii="仿宋_GB2312" w:hAnsi="仿宋_GB2312" w:eastAsia="仿宋_GB2312" w:cs="仿宋_GB2312"/>
          <w:color w:val="auto"/>
          <w:sz w:val="24"/>
          <w:szCs w:val="24"/>
          <w:highlight w:val="none"/>
          <w:u w:val="single"/>
        </w:rPr>
        <w:t xml:space="preserve">           </w:t>
      </w:r>
      <w:permEnd w:id="66"/>
      <w:r>
        <w:rPr>
          <w:rFonts w:hint="eastAsia" w:ascii="仿宋_GB2312" w:hAnsi="仿宋_GB2312" w:eastAsia="仿宋_GB2312" w:cs="仿宋_GB2312"/>
          <w:color w:val="auto"/>
          <w:sz w:val="24"/>
          <w:szCs w:val="24"/>
          <w:highlight w:val="none"/>
        </w:rPr>
        <w:t>；职称：</w:t>
      </w:r>
      <w:permStart w:id="67" w:edGrp="everyone"/>
      <w:r>
        <w:rPr>
          <w:rFonts w:hint="eastAsia" w:ascii="仿宋_GB2312" w:hAnsi="仿宋_GB2312" w:eastAsia="仿宋_GB2312" w:cs="仿宋_GB2312"/>
          <w:color w:val="auto"/>
          <w:sz w:val="24"/>
          <w:szCs w:val="24"/>
          <w:highlight w:val="none"/>
          <w:u w:val="single"/>
        </w:rPr>
        <w:t xml:space="preserve">          </w:t>
      </w:r>
      <w:permEnd w:id="67"/>
      <w:r>
        <w:rPr>
          <w:rFonts w:hint="eastAsia" w:ascii="仿宋_GB2312" w:hAnsi="仿宋_GB2312" w:eastAsia="仿宋_GB2312" w:cs="仿宋_GB2312"/>
          <w:color w:val="auto"/>
          <w:sz w:val="24"/>
          <w:szCs w:val="24"/>
          <w:highlight w:val="none"/>
        </w:rPr>
        <w:t>；身份证号：</w:t>
      </w:r>
      <w:permStart w:id="68" w:edGrp="everyone"/>
      <w:r>
        <w:rPr>
          <w:rFonts w:hint="eastAsia" w:ascii="仿宋_GB2312" w:hAnsi="仿宋_GB2312" w:eastAsia="仿宋_GB2312" w:cs="仿宋_GB2312"/>
          <w:color w:val="auto"/>
          <w:sz w:val="24"/>
          <w:szCs w:val="24"/>
          <w:highlight w:val="none"/>
          <w:u w:val="single"/>
        </w:rPr>
        <w:t xml:space="preserve">                 </w:t>
      </w:r>
      <w:permEnd w:id="68"/>
      <w:r>
        <w:rPr>
          <w:rFonts w:hint="eastAsia" w:ascii="仿宋_GB2312" w:hAnsi="仿宋_GB2312" w:eastAsia="仿宋_GB2312" w:cs="仿宋_GB2312"/>
          <w:color w:val="auto"/>
          <w:sz w:val="24"/>
          <w:szCs w:val="24"/>
          <w:highlight w:val="none"/>
        </w:rPr>
        <w:t>；建造师执业资格证书号：</w:t>
      </w:r>
      <w:permStart w:id="69" w:edGrp="everyone"/>
      <w:r>
        <w:rPr>
          <w:rFonts w:hint="eastAsia" w:ascii="仿宋_GB2312" w:hAnsi="仿宋_GB2312" w:eastAsia="仿宋_GB2312" w:cs="仿宋_GB2312"/>
          <w:color w:val="auto"/>
          <w:sz w:val="24"/>
          <w:szCs w:val="24"/>
          <w:highlight w:val="none"/>
          <w:u w:val="single"/>
        </w:rPr>
        <w:t xml:space="preserve">              </w:t>
      </w:r>
      <w:permEnd w:id="69"/>
      <w:r>
        <w:rPr>
          <w:rFonts w:hint="eastAsia" w:ascii="仿宋_GB2312" w:hAnsi="仿宋_GB2312" w:eastAsia="仿宋_GB2312" w:cs="仿宋_GB2312"/>
          <w:color w:val="auto"/>
          <w:sz w:val="24"/>
          <w:szCs w:val="24"/>
          <w:highlight w:val="none"/>
        </w:rPr>
        <w:t>；建造师注册证书号：</w:t>
      </w:r>
      <w:permStart w:id="70" w:edGrp="everyone"/>
      <w:r>
        <w:rPr>
          <w:rFonts w:hint="eastAsia" w:ascii="仿宋_GB2312" w:hAnsi="仿宋_GB2312" w:eastAsia="仿宋_GB2312" w:cs="仿宋_GB2312"/>
          <w:color w:val="auto"/>
          <w:sz w:val="24"/>
          <w:szCs w:val="24"/>
          <w:highlight w:val="none"/>
          <w:u w:val="single"/>
        </w:rPr>
        <w:t xml:space="preserve">              </w:t>
      </w:r>
      <w:permEnd w:id="70"/>
      <w:r>
        <w:rPr>
          <w:rFonts w:hint="eastAsia" w:ascii="仿宋_GB2312" w:hAnsi="仿宋_GB2312" w:eastAsia="仿宋_GB2312" w:cs="仿宋_GB2312"/>
          <w:color w:val="auto"/>
          <w:sz w:val="24"/>
          <w:szCs w:val="24"/>
          <w:highlight w:val="none"/>
        </w:rPr>
        <w:t>；建造师执业印章号：</w:t>
      </w:r>
      <w:permStart w:id="71" w:edGrp="everyone"/>
      <w:r>
        <w:rPr>
          <w:rFonts w:hint="eastAsia" w:ascii="仿宋_GB2312" w:hAnsi="仿宋_GB2312" w:eastAsia="仿宋_GB2312" w:cs="仿宋_GB2312"/>
          <w:color w:val="auto"/>
          <w:sz w:val="24"/>
          <w:szCs w:val="24"/>
          <w:highlight w:val="none"/>
          <w:u w:val="single"/>
        </w:rPr>
        <w:t xml:space="preserve">            </w:t>
      </w:r>
      <w:permEnd w:id="71"/>
      <w:r>
        <w:rPr>
          <w:rFonts w:hint="eastAsia" w:ascii="仿宋_GB2312" w:hAnsi="仿宋_GB2312" w:eastAsia="仿宋_GB2312" w:cs="仿宋_GB2312"/>
          <w:color w:val="auto"/>
          <w:sz w:val="24"/>
          <w:szCs w:val="24"/>
          <w:highlight w:val="none"/>
        </w:rPr>
        <w:t>；安全生产考核合格证书号：</w:t>
      </w:r>
      <w:permStart w:id="72" w:edGrp="everyone"/>
      <w:r>
        <w:rPr>
          <w:rFonts w:hint="eastAsia" w:ascii="仿宋_GB2312" w:hAnsi="仿宋_GB2312" w:eastAsia="仿宋_GB2312" w:cs="仿宋_GB2312"/>
          <w:color w:val="auto"/>
          <w:sz w:val="24"/>
          <w:szCs w:val="24"/>
          <w:highlight w:val="none"/>
          <w:u w:val="single"/>
        </w:rPr>
        <w:t xml:space="preserve">                </w:t>
      </w:r>
      <w:permEnd w:id="72"/>
      <w:r>
        <w:rPr>
          <w:rFonts w:hint="eastAsia" w:ascii="仿宋_GB2312" w:hAnsi="仿宋_GB2312" w:eastAsia="仿宋_GB2312" w:cs="仿宋_GB2312"/>
          <w:color w:val="auto"/>
          <w:sz w:val="24"/>
          <w:szCs w:val="24"/>
          <w:highlight w:val="none"/>
        </w:rPr>
        <w:t>；建</w:t>
      </w:r>
      <w:r>
        <w:rPr>
          <w:rFonts w:hint="eastAsia" w:ascii="仿宋_GB2312" w:hAnsi="仿宋_GB2312" w:eastAsia="仿宋_GB2312" w:cs="仿宋_GB2312"/>
          <w:color w:val="auto"/>
          <w:sz w:val="24"/>
          <w:szCs w:val="24"/>
          <w:highlight w:val="none"/>
          <w:lang w:val="en-US" w:eastAsia="zh-CN"/>
        </w:rPr>
        <w:t>造</w:t>
      </w:r>
      <w:r>
        <w:rPr>
          <w:rFonts w:hint="eastAsia" w:ascii="仿宋_GB2312" w:hAnsi="仿宋_GB2312" w:eastAsia="仿宋_GB2312" w:cs="仿宋_GB2312"/>
          <w:color w:val="auto"/>
          <w:sz w:val="24"/>
          <w:szCs w:val="24"/>
          <w:highlight w:val="none"/>
        </w:rPr>
        <w:t>师等级：</w:t>
      </w:r>
      <w:permStart w:id="73" w:edGrp="everyone"/>
      <w:r>
        <w:rPr>
          <w:rFonts w:hint="eastAsia" w:ascii="仿宋_GB2312" w:hAnsi="仿宋_GB2312" w:eastAsia="仿宋_GB2312" w:cs="仿宋_GB2312"/>
          <w:color w:val="auto"/>
          <w:sz w:val="24"/>
          <w:szCs w:val="24"/>
          <w:highlight w:val="none"/>
          <w:u w:val="single"/>
        </w:rPr>
        <w:t xml:space="preserve">           </w:t>
      </w:r>
      <w:permEnd w:id="73"/>
      <w:r>
        <w:rPr>
          <w:rFonts w:hint="eastAsia" w:ascii="仿宋_GB2312" w:hAnsi="仿宋_GB2312" w:eastAsia="仿宋_GB2312" w:cs="仿宋_GB2312"/>
          <w:color w:val="auto"/>
          <w:sz w:val="24"/>
          <w:szCs w:val="24"/>
          <w:highlight w:val="none"/>
        </w:rPr>
        <w:t>；建造师专业：</w:t>
      </w:r>
      <w:permStart w:id="74" w:edGrp="everyone"/>
      <w:r>
        <w:rPr>
          <w:rFonts w:hint="eastAsia" w:ascii="仿宋_GB2312" w:hAnsi="仿宋_GB2312" w:eastAsia="仿宋_GB2312" w:cs="仿宋_GB2312"/>
          <w:color w:val="auto"/>
          <w:sz w:val="24"/>
          <w:szCs w:val="24"/>
          <w:highlight w:val="none"/>
          <w:u w:val="single"/>
        </w:rPr>
        <w:t xml:space="preserve">                   </w:t>
      </w:r>
      <w:permEnd w:id="74"/>
      <w:r>
        <w:rPr>
          <w:rFonts w:hint="eastAsia" w:ascii="仿宋_GB2312" w:hAnsi="仿宋_GB2312" w:eastAsia="仿宋_GB2312" w:cs="仿宋_GB2312"/>
          <w:color w:val="auto"/>
          <w:sz w:val="24"/>
          <w:szCs w:val="24"/>
          <w:highlight w:val="none"/>
        </w:rPr>
        <w:t>。</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7.2 承包人项目技术负责人：姓名：</w:t>
      </w:r>
      <w:permStart w:id="75" w:edGrp="everyone"/>
      <w:r>
        <w:rPr>
          <w:rFonts w:hint="eastAsia" w:ascii="仿宋_GB2312" w:hAnsi="仿宋_GB2312" w:eastAsia="仿宋_GB2312" w:cs="仿宋_GB2312"/>
          <w:color w:val="auto"/>
          <w:sz w:val="24"/>
          <w:szCs w:val="24"/>
          <w:highlight w:val="none"/>
          <w:u w:val="single"/>
        </w:rPr>
        <w:t xml:space="preserve">          </w:t>
      </w:r>
      <w:permEnd w:id="75"/>
      <w:r>
        <w:rPr>
          <w:rFonts w:hint="eastAsia" w:ascii="仿宋_GB2312" w:hAnsi="仿宋_GB2312" w:eastAsia="仿宋_GB2312" w:cs="仿宋_GB2312"/>
          <w:color w:val="auto"/>
          <w:sz w:val="24"/>
          <w:szCs w:val="24"/>
          <w:highlight w:val="none"/>
        </w:rPr>
        <w:t>；职称：</w:t>
      </w:r>
      <w:permStart w:id="76" w:edGrp="everyone"/>
      <w:r>
        <w:rPr>
          <w:rFonts w:hint="eastAsia" w:ascii="仿宋_GB2312" w:hAnsi="仿宋_GB2312" w:eastAsia="仿宋_GB2312" w:cs="仿宋_GB2312"/>
          <w:color w:val="auto"/>
          <w:sz w:val="24"/>
          <w:szCs w:val="24"/>
          <w:highlight w:val="none"/>
          <w:u w:val="single"/>
        </w:rPr>
        <w:t xml:space="preserve">          </w:t>
      </w:r>
      <w:permEnd w:id="76"/>
      <w:r>
        <w:rPr>
          <w:rFonts w:hint="eastAsia" w:ascii="仿宋_GB2312" w:hAnsi="仿宋_GB2312" w:eastAsia="仿宋_GB2312" w:cs="仿宋_GB2312"/>
          <w:color w:val="auto"/>
          <w:sz w:val="24"/>
          <w:szCs w:val="24"/>
          <w:highlight w:val="none"/>
        </w:rPr>
        <w:t>；身份证号：</w:t>
      </w:r>
      <w:permStart w:id="77" w:edGrp="everyone"/>
      <w:r>
        <w:rPr>
          <w:rFonts w:hint="eastAsia" w:ascii="仿宋_GB2312" w:hAnsi="仿宋_GB2312" w:eastAsia="仿宋_GB2312" w:cs="仿宋_GB2312"/>
          <w:color w:val="auto"/>
          <w:sz w:val="24"/>
          <w:szCs w:val="24"/>
          <w:highlight w:val="none"/>
          <w:u w:val="single"/>
        </w:rPr>
        <w:t xml:space="preserve">                 </w:t>
      </w:r>
      <w:permEnd w:id="77"/>
      <w:r>
        <w:rPr>
          <w:rFonts w:hint="eastAsia" w:ascii="仿宋_GB2312" w:hAnsi="仿宋_GB2312" w:eastAsia="仿宋_GB2312" w:cs="仿宋_GB2312"/>
          <w:color w:val="auto"/>
          <w:sz w:val="24"/>
          <w:szCs w:val="24"/>
          <w:highlight w:val="none"/>
        </w:rPr>
        <w:t>；建造师执业资格证书号：</w:t>
      </w:r>
      <w:permStart w:id="78" w:edGrp="everyone"/>
      <w:r>
        <w:rPr>
          <w:rFonts w:hint="eastAsia" w:ascii="仿宋_GB2312" w:hAnsi="仿宋_GB2312" w:eastAsia="仿宋_GB2312" w:cs="仿宋_GB2312"/>
          <w:color w:val="auto"/>
          <w:sz w:val="24"/>
          <w:szCs w:val="24"/>
          <w:highlight w:val="none"/>
          <w:u w:val="single"/>
        </w:rPr>
        <w:t xml:space="preserve">              </w:t>
      </w:r>
      <w:permEnd w:id="78"/>
      <w:r>
        <w:rPr>
          <w:rFonts w:hint="eastAsia" w:ascii="仿宋_GB2312" w:hAnsi="仿宋_GB2312" w:eastAsia="仿宋_GB2312" w:cs="仿宋_GB2312"/>
          <w:color w:val="auto"/>
          <w:sz w:val="24"/>
          <w:szCs w:val="24"/>
          <w:highlight w:val="none"/>
        </w:rPr>
        <w:t>；建造师注册证书号：</w:t>
      </w:r>
      <w:permStart w:id="79" w:edGrp="everyone"/>
      <w:r>
        <w:rPr>
          <w:rFonts w:hint="eastAsia" w:ascii="仿宋_GB2312" w:hAnsi="仿宋_GB2312" w:eastAsia="仿宋_GB2312" w:cs="仿宋_GB2312"/>
          <w:color w:val="auto"/>
          <w:sz w:val="24"/>
          <w:szCs w:val="24"/>
          <w:highlight w:val="none"/>
          <w:u w:val="single"/>
        </w:rPr>
        <w:t xml:space="preserve">              </w:t>
      </w:r>
      <w:permEnd w:id="79"/>
      <w:r>
        <w:rPr>
          <w:rFonts w:hint="eastAsia" w:ascii="仿宋_GB2312" w:hAnsi="仿宋_GB2312" w:eastAsia="仿宋_GB2312" w:cs="仿宋_GB2312"/>
          <w:color w:val="auto"/>
          <w:sz w:val="24"/>
          <w:szCs w:val="24"/>
          <w:highlight w:val="none"/>
        </w:rPr>
        <w:t>；建造师执业印章号：</w:t>
      </w:r>
      <w:permStart w:id="80" w:edGrp="everyone"/>
      <w:r>
        <w:rPr>
          <w:rFonts w:hint="eastAsia" w:ascii="仿宋_GB2312" w:hAnsi="仿宋_GB2312" w:eastAsia="仿宋_GB2312" w:cs="仿宋_GB2312"/>
          <w:color w:val="auto"/>
          <w:sz w:val="24"/>
          <w:szCs w:val="24"/>
          <w:highlight w:val="none"/>
          <w:u w:val="single"/>
        </w:rPr>
        <w:t xml:space="preserve">            </w:t>
      </w:r>
      <w:permEnd w:id="80"/>
      <w:r>
        <w:rPr>
          <w:rFonts w:hint="eastAsia" w:ascii="仿宋_GB2312" w:hAnsi="仿宋_GB2312" w:eastAsia="仿宋_GB2312" w:cs="仿宋_GB2312"/>
          <w:color w:val="auto"/>
          <w:sz w:val="24"/>
          <w:szCs w:val="24"/>
          <w:highlight w:val="none"/>
        </w:rPr>
        <w:t>；安全生产考核合格证书号：</w:t>
      </w:r>
      <w:permStart w:id="81" w:edGrp="everyone"/>
      <w:r>
        <w:rPr>
          <w:rFonts w:hint="eastAsia" w:ascii="仿宋_GB2312" w:hAnsi="仿宋_GB2312" w:eastAsia="仿宋_GB2312" w:cs="仿宋_GB2312"/>
          <w:color w:val="auto"/>
          <w:sz w:val="24"/>
          <w:szCs w:val="24"/>
          <w:highlight w:val="none"/>
          <w:u w:val="single"/>
        </w:rPr>
        <w:t xml:space="preserve">                 </w:t>
      </w:r>
      <w:permEnd w:id="81"/>
      <w:r>
        <w:rPr>
          <w:rFonts w:hint="eastAsia" w:ascii="仿宋_GB2312" w:hAnsi="仿宋_GB2312" w:eastAsia="仿宋_GB2312" w:cs="仿宋_GB2312"/>
          <w:color w:val="auto"/>
          <w:sz w:val="24"/>
          <w:szCs w:val="24"/>
          <w:highlight w:val="none"/>
        </w:rPr>
        <w:t>；建</w:t>
      </w:r>
      <w:r>
        <w:rPr>
          <w:rFonts w:hint="eastAsia" w:ascii="仿宋_GB2312" w:hAnsi="仿宋_GB2312" w:eastAsia="仿宋_GB2312" w:cs="仿宋_GB2312"/>
          <w:color w:val="auto"/>
          <w:sz w:val="24"/>
          <w:szCs w:val="24"/>
          <w:highlight w:val="none"/>
          <w:lang w:val="en-US" w:eastAsia="zh-CN"/>
        </w:rPr>
        <w:t>造</w:t>
      </w:r>
      <w:r>
        <w:rPr>
          <w:rFonts w:hint="eastAsia" w:ascii="仿宋_GB2312" w:hAnsi="仿宋_GB2312" w:eastAsia="仿宋_GB2312" w:cs="仿宋_GB2312"/>
          <w:color w:val="auto"/>
          <w:sz w:val="24"/>
          <w:szCs w:val="24"/>
          <w:highlight w:val="none"/>
        </w:rPr>
        <w:t>师等级：</w:t>
      </w:r>
      <w:permStart w:id="82" w:edGrp="everyone"/>
      <w:r>
        <w:rPr>
          <w:rFonts w:hint="eastAsia" w:ascii="仿宋_GB2312" w:hAnsi="仿宋_GB2312" w:eastAsia="仿宋_GB2312" w:cs="仿宋_GB2312"/>
          <w:color w:val="auto"/>
          <w:sz w:val="24"/>
          <w:szCs w:val="24"/>
          <w:highlight w:val="none"/>
          <w:u w:val="single"/>
        </w:rPr>
        <w:t xml:space="preserve">           </w:t>
      </w:r>
      <w:permEnd w:id="82"/>
      <w:r>
        <w:rPr>
          <w:rFonts w:hint="eastAsia" w:ascii="仿宋_GB2312" w:hAnsi="仿宋_GB2312" w:eastAsia="仿宋_GB2312" w:cs="仿宋_GB2312"/>
          <w:color w:val="auto"/>
          <w:sz w:val="24"/>
          <w:szCs w:val="24"/>
          <w:highlight w:val="none"/>
        </w:rPr>
        <w:t>；建造师专业：</w:t>
      </w:r>
      <w:permStart w:id="83" w:edGrp="everyone"/>
      <w:r>
        <w:rPr>
          <w:rFonts w:hint="eastAsia" w:ascii="仿宋_GB2312" w:hAnsi="仿宋_GB2312" w:eastAsia="仿宋_GB2312" w:cs="仿宋_GB2312"/>
          <w:color w:val="auto"/>
          <w:sz w:val="24"/>
          <w:szCs w:val="24"/>
          <w:highlight w:val="none"/>
          <w:u w:val="single"/>
        </w:rPr>
        <w:t xml:space="preserve">                 </w:t>
      </w:r>
      <w:permEnd w:id="83"/>
      <w:r>
        <w:rPr>
          <w:rFonts w:hint="eastAsia" w:ascii="仿宋_GB2312" w:hAnsi="仿宋_GB2312" w:eastAsia="仿宋_GB2312" w:cs="仿宋_GB2312"/>
          <w:color w:val="auto"/>
          <w:sz w:val="24"/>
          <w:szCs w:val="24"/>
          <w:highlight w:val="none"/>
        </w:rPr>
        <w:t>。</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7.3专职安全员：姓名：</w:t>
      </w:r>
      <w:permStart w:id="84" w:edGrp="everyone"/>
      <w:r>
        <w:rPr>
          <w:rFonts w:hint="eastAsia" w:ascii="仿宋_GB2312" w:hAnsi="仿宋_GB2312" w:eastAsia="仿宋_GB2312" w:cs="仿宋_GB2312"/>
          <w:color w:val="auto"/>
          <w:sz w:val="24"/>
          <w:szCs w:val="24"/>
          <w:highlight w:val="none"/>
          <w:u w:val="single"/>
        </w:rPr>
        <w:t xml:space="preserve">          </w:t>
      </w:r>
      <w:permEnd w:id="84"/>
      <w:r>
        <w:rPr>
          <w:rFonts w:hint="eastAsia" w:ascii="仿宋_GB2312" w:hAnsi="仿宋_GB2312" w:eastAsia="仿宋_GB2312" w:cs="仿宋_GB2312"/>
          <w:color w:val="auto"/>
          <w:sz w:val="24"/>
          <w:szCs w:val="24"/>
          <w:highlight w:val="none"/>
        </w:rPr>
        <w:t>；职称：</w:t>
      </w:r>
      <w:permStart w:id="85" w:edGrp="everyone"/>
      <w:r>
        <w:rPr>
          <w:rFonts w:hint="eastAsia" w:ascii="仿宋_GB2312" w:hAnsi="仿宋_GB2312" w:eastAsia="仿宋_GB2312" w:cs="仿宋_GB2312"/>
          <w:color w:val="auto"/>
          <w:sz w:val="24"/>
          <w:szCs w:val="24"/>
          <w:highlight w:val="none"/>
          <w:u w:val="single"/>
        </w:rPr>
        <w:t xml:space="preserve">         </w:t>
      </w:r>
      <w:permEnd w:id="85"/>
      <w:r>
        <w:rPr>
          <w:rFonts w:hint="eastAsia" w:ascii="仿宋_GB2312" w:hAnsi="仿宋_GB2312" w:eastAsia="仿宋_GB2312" w:cs="仿宋_GB2312"/>
          <w:color w:val="auto"/>
          <w:sz w:val="24"/>
          <w:szCs w:val="24"/>
          <w:highlight w:val="none"/>
        </w:rPr>
        <w:t>；身份证号：</w:t>
      </w:r>
      <w:permStart w:id="86" w:edGrp="everyone"/>
      <w:r>
        <w:rPr>
          <w:rFonts w:hint="eastAsia" w:ascii="仿宋_GB2312" w:hAnsi="仿宋_GB2312" w:eastAsia="仿宋_GB2312" w:cs="仿宋_GB2312"/>
          <w:color w:val="auto"/>
          <w:sz w:val="24"/>
          <w:szCs w:val="24"/>
          <w:highlight w:val="none"/>
          <w:u w:val="single"/>
        </w:rPr>
        <w:t xml:space="preserve">        </w:t>
      </w:r>
      <w:permEnd w:id="86"/>
      <w:r>
        <w:rPr>
          <w:rFonts w:hint="eastAsia" w:ascii="仿宋_GB2312" w:hAnsi="仿宋_GB2312" w:eastAsia="仿宋_GB2312" w:cs="仿宋_GB2312"/>
          <w:color w:val="auto"/>
          <w:sz w:val="24"/>
          <w:szCs w:val="24"/>
          <w:highlight w:val="none"/>
        </w:rPr>
        <w:t>；安全生产考核合格证书号：</w:t>
      </w:r>
      <w:permStart w:id="87" w:edGrp="everyone"/>
      <w:r>
        <w:rPr>
          <w:rFonts w:hint="eastAsia" w:ascii="仿宋_GB2312" w:hAnsi="仿宋_GB2312" w:eastAsia="仿宋_GB2312" w:cs="仿宋_GB2312"/>
          <w:color w:val="auto"/>
          <w:sz w:val="24"/>
          <w:szCs w:val="24"/>
          <w:highlight w:val="none"/>
          <w:u w:val="single"/>
        </w:rPr>
        <w:t xml:space="preserve">                 </w:t>
      </w:r>
      <w:permEnd w:id="87"/>
      <w:r>
        <w:rPr>
          <w:rFonts w:hint="eastAsia" w:ascii="仿宋_GB2312" w:hAnsi="仿宋_GB2312" w:eastAsia="仿宋_GB2312" w:cs="仿宋_GB2312"/>
          <w:color w:val="auto"/>
          <w:sz w:val="24"/>
          <w:szCs w:val="24"/>
          <w:highlight w:val="none"/>
        </w:rPr>
        <w:t xml:space="preserve">。         </w:t>
      </w:r>
    </w:p>
    <w:p>
      <w:pPr>
        <w:spacing w:line="420" w:lineRule="exact"/>
        <w:outlineLvl w:val="1"/>
        <w:rPr>
          <w:rFonts w:hint="eastAsia" w:ascii="仿宋_GB2312" w:hAnsi="仿宋_GB2312" w:eastAsia="仿宋_GB2312" w:cs="仿宋_GB2312"/>
          <w:b/>
          <w:bCs/>
          <w:color w:val="auto"/>
          <w:sz w:val="24"/>
          <w:szCs w:val="24"/>
          <w:highlight w:val="none"/>
        </w:rPr>
      </w:pPr>
    </w:p>
    <w:p>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★八、工人工资支付分账</w:t>
      </w:r>
    </w:p>
    <w:p>
      <w:pPr>
        <w:spacing w:line="420" w:lineRule="exact"/>
        <w:ind w:firstLine="480" w:firstLineChars="200"/>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color w:val="auto"/>
          <w:kern w:val="0"/>
          <w:sz w:val="24"/>
          <w:szCs w:val="24"/>
          <w:highlight w:val="none"/>
        </w:rPr>
        <w:t>工人工资款支付专用账户开设的约定内容：</w:t>
      </w:r>
      <w:permStart w:id="88" w:edGrp="everyone"/>
      <w:r>
        <w:rPr>
          <w:rFonts w:hint="eastAsia" w:ascii="仿宋_GB2312" w:hAnsi="仿宋_GB2312" w:eastAsia="仿宋_GB2312" w:cs="仿宋_GB2312"/>
          <w:color w:val="auto"/>
          <w:kern w:val="0"/>
          <w:sz w:val="24"/>
          <w:szCs w:val="24"/>
          <w:highlight w:val="none"/>
          <w:u w:val="single"/>
        </w:rPr>
        <w:t xml:space="preserve"> 按照《关于印发广州市建设领域工人工资支付分账管理实施细则的通知》(穗建规字[2020]37号)等有关规定执行。  </w:t>
      </w:r>
      <w:permEnd w:id="88"/>
      <w:r>
        <w:rPr>
          <w:rFonts w:hint="eastAsia" w:ascii="仿宋_GB2312" w:hAnsi="仿宋_GB2312" w:eastAsia="仿宋_GB2312" w:cs="仿宋_GB2312"/>
          <w:color w:val="auto"/>
          <w:kern w:val="0"/>
          <w:sz w:val="24"/>
          <w:szCs w:val="24"/>
          <w:highlight w:val="none"/>
        </w:rPr>
        <w:t>。</w:t>
      </w:r>
    </w:p>
    <w:p>
      <w:pPr>
        <w:spacing w:line="420" w:lineRule="exact"/>
        <w:ind w:firstLine="495"/>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工人工资款支付专用账户开户银行（如有）：</w:t>
      </w:r>
      <w:r>
        <w:rPr>
          <w:rFonts w:hint="eastAsia" w:ascii="仿宋_GB2312" w:hAnsi="仿宋_GB2312" w:eastAsia="仿宋_GB2312" w:cs="仿宋_GB2312"/>
          <w:color w:val="auto"/>
          <w:kern w:val="0"/>
          <w:sz w:val="24"/>
          <w:szCs w:val="24"/>
          <w:highlight w:val="none"/>
          <w:u w:val="single"/>
          <w:lang w:val="en-US" w:eastAsia="zh-CN"/>
        </w:rPr>
        <w:t xml:space="preserve">取得施工许可后办理          </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w:t>
      </w:r>
    </w:p>
    <w:p>
      <w:pPr>
        <w:spacing w:line="420" w:lineRule="exact"/>
        <w:ind w:firstLine="495"/>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工人工资款支付专用账户账号（如有）：</w:t>
      </w:r>
      <w:permStart w:id="89" w:edGrp="everyone"/>
      <w:r>
        <w:rPr>
          <w:rFonts w:hint="eastAsia" w:ascii="仿宋_GB2312" w:hAnsi="仿宋_GB2312" w:eastAsia="仿宋_GB2312" w:cs="仿宋_GB2312"/>
          <w:color w:val="auto"/>
          <w:kern w:val="0"/>
          <w:sz w:val="24"/>
          <w:szCs w:val="24"/>
          <w:highlight w:val="none"/>
          <w:u w:val="single"/>
          <w:lang w:val="en-US" w:eastAsia="zh-CN"/>
        </w:rPr>
        <w:t>取得施工许可后办理</w:t>
      </w:r>
      <w:r>
        <w:rPr>
          <w:rFonts w:hint="eastAsia" w:ascii="仿宋_GB2312" w:hAnsi="仿宋_GB2312" w:eastAsia="仿宋_GB2312" w:cs="仿宋_GB2312"/>
          <w:color w:val="auto"/>
          <w:kern w:val="0"/>
          <w:sz w:val="24"/>
          <w:szCs w:val="24"/>
          <w:highlight w:val="none"/>
          <w:u w:val="single"/>
        </w:rPr>
        <w:t xml:space="preserve">             </w:t>
      </w:r>
      <w:permEnd w:id="89"/>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工程款中的工人工资款比例：</w:t>
      </w:r>
      <w:permStart w:id="90" w:edGrp="everyone"/>
      <w:r>
        <w:rPr>
          <w:rFonts w:hint="eastAsia" w:ascii="仿宋_GB2312" w:hAnsi="仿宋_GB2312" w:eastAsia="仿宋_GB2312" w:cs="仿宋_GB2312"/>
          <w:color w:val="auto"/>
          <w:kern w:val="0"/>
          <w:sz w:val="24"/>
          <w:szCs w:val="24"/>
          <w:highlight w:val="none"/>
          <w:u w:val="single"/>
        </w:rPr>
        <w:t xml:space="preserve">                              </w:t>
      </w:r>
      <w:permEnd w:id="90"/>
      <w:r>
        <w:rPr>
          <w:rFonts w:hint="eastAsia" w:ascii="仿宋_GB2312" w:hAnsi="仿宋_GB2312" w:eastAsia="仿宋_GB2312" w:cs="仿宋_GB2312"/>
          <w:color w:val="auto"/>
          <w:kern w:val="0"/>
          <w:sz w:val="24"/>
          <w:szCs w:val="24"/>
          <w:highlight w:val="none"/>
        </w:rPr>
        <w:t>，其中：每一期工程进度款中的工人工资款比例：</w:t>
      </w:r>
      <w:permStart w:id="91" w:edGrp="everyone"/>
      <w:r>
        <w:rPr>
          <w:rFonts w:hint="eastAsia" w:ascii="仿宋_GB2312" w:hAnsi="仿宋_GB2312" w:eastAsia="仿宋_GB2312" w:cs="仿宋_GB2312"/>
          <w:color w:val="auto"/>
          <w:kern w:val="0"/>
          <w:sz w:val="24"/>
          <w:szCs w:val="24"/>
          <w:highlight w:val="none"/>
          <w:u w:val="single"/>
        </w:rPr>
        <w:t xml:space="preserve">                   </w:t>
      </w:r>
      <w:permEnd w:id="91"/>
      <w:r>
        <w:rPr>
          <w:rFonts w:hint="eastAsia" w:ascii="仿宋_GB2312" w:hAnsi="仿宋_GB2312" w:eastAsia="仿宋_GB2312" w:cs="仿宋_GB2312"/>
          <w:color w:val="auto"/>
          <w:kern w:val="0"/>
          <w:sz w:val="24"/>
          <w:szCs w:val="24"/>
          <w:highlight w:val="none"/>
        </w:rPr>
        <w:t>。</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工人工资支付周期：</w:t>
      </w:r>
      <w:permStart w:id="92"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在进度款中同期支付  </w:t>
      </w:r>
      <w:r>
        <w:rPr>
          <w:rFonts w:hint="eastAsia" w:ascii="仿宋_GB2312" w:hAnsi="仿宋_GB2312" w:eastAsia="仿宋_GB2312" w:cs="仿宋_GB2312"/>
          <w:color w:val="auto"/>
          <w:kern w:val="0"/>
          <w:sz w:val="24"/>
          <w:szCs w:val="24"/>
          <w:highlight w:val="none"/>
          <w:u w:val="single"/>
        </w:rPr>
        <w:t xml:space="preserve">       </w:t>
      </w:r>
      <w:permEnd w:id="92"/>
      <w:r>
        <w:rPr>
          <w:rFonts w:hint="eastAsia" w:ascii="仿宋_GB2312" w:hAnsi="仿宋_GB2312" w:eastAsia="仿宋_GB2312" w:cs="仿宋_GB2312"/>
          <w:color w:val="auto"/>
          <w:kern w:val="0"/>
          <w:sz w:val="24"/>
          <w:szCs w:val="24"/>
          <w:highlight w:val="none"/>
        </w:rPr>
        <w:t>。</w:t>
      </w:r>
    </w:p>
    <w:p>
      <w:pPr>
        <w:spacing w:line="420" w:lineRule="exact"/>
        <w:ind w:firstLine="46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承包人已确认上述约定工程款中的工人工资款比例能满足本工程项目的工人工资支付。</w:t>
      </w:r>
    </w:p>
    <w:p>
      <w:pPr>
        <w:spacing w:line="420" w:lineRule="exact"/>
        <w:outlineLvl w:val="1"/>
        <w:rPr>
          <w:rFonts w:hint="eastAsia" w:ascii="仿宋_GB2312" w:hAnsi="仿宋_GB2312" w:eastAsia="仿宋_GB2312" w:cs="仿宋_GB2312"/>
          <w:b/>
          <w:bCs/>
          <w:color w:val="auto"/>
          <w:sz w:val="24"/>
          <w:szCs w:val="24"/>
          <w:highlight w:val="none"/>
        </w:rPr>
      </w:pPr>
      <w:bookmarkStart w:id="376" w:name="_Toc266892757"/>
      <w:bookmarkStart w:id="377" w:name="_Toc10624813"/>
      <w:bookmarkStart w:id="378" w:name="_Toc469383973"/>
    </w:p>
    <w:p>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九、组成合同的文件</w:t>
      </w:r>
      <w:bookmarkEnd w:id="376"/>
      <w:bookmarkEnd w:id="377"/>
      <w:bookmarkEnd w:id="378"/>
    </w:p>
    <w:p>
      <w:pPr>
        <w:widowControl w:val="0"/>
        <w:tabs>
          <w:tab w:val="left" w:pos="1260"/>
        </w:tabs>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组成本合同的文件及其优先解释顺序与本合同第二部分《通用条款》第2.2款赋予的规定一致。</w:t>
      </w:r>
    </w:p>
    <w:p>
      <w:pPr>
        <w:spacing w:line="420" w:lineRule="exact"/>
        <w:outlineLvl w:val="1"/>
        <w:rPr>
          <w:rFonts w:hint="eastAsia" w:ascii="仿宋_GB2312" w:hAnsi="仿宋_GB2312" w:eastAsia="仿宋_GB2312" w:cs="仿宋_GB2312"/>
          <w:b/>
          <w:bCs/>
          <w:color w:val="auto"/>
          <w:sz w:val="24"/>
          <w:szCs w:val="24"/>
          <w:highlight w:val="none"/>
        </w:rPr>
      </w:pPr>
      <w:bookmarkStart w:id="379" w:name="_Toc266892758"/>
      <w:bookmarkStart w:id="380" w:name="_Toc10624814"/>
      <w:bookmarkStart w:id="381" w:name="_Toc469383974"/>
    </w:p>
    <w:p>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十、词语含义</w:t>
      </w:r>
      <w:bookmarkEnd w:id="379"/>
      <w:bookmarkEnd w:id="380"/>
      <w:bookmarkEnd w:id="381"/>
    </w:p>
    <w:p>
      <w:pPr>
        <w:widowControl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本协议书中有关词语含义与本合同第二部分《通用条款》第1条赋予它们的定义相同。</w:t>
      </w:r>
    </w:p>
    <w:p>
      <w:pPr>
        <w:spacing w:line="420" w:lineRule="exact"/>
        <w:outlineLvl w:val="1"/>
        <w:rPr>
          <w:rFonts w:hint="eastAsia" w:ascii="仿宋_GB2312" w:hAnsi="仿宋_GB2312" w:eastAsia="仿宋_GB2312" w:cs="仿宋_GB2312"/>
          <w:b/>
          <w:bCs/>
          <w:color w:val="auto"/>
          <w:sz w:val="24"/>
          <w:szCs w:val="24"/>
          <w:highlight w:val="none"/>
        </w:rPr>
      </w:pPr>
      <w:bookmarkStart w:id="382" w:name="_Toc469383975"/>
      <w:bookmarkStart w:id="383" w:name="_Toc10624815"/>
      <w:bookmarkStart w:id="384" w:name="_Toc266892759"/>
    </w:p>
    <w:p>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十一、承包人承诺</w:t>
      </w:r>
      <w:bookmarkEnd w:id="382"/>
      <w:bookmarkEnd w:id="383"/>
      <w:bookmarkEnd w:id="384"/>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承包人向发包人承诺已阅读、理解并接受本合同所有条款，按照本合同约定实施、完成并保修合同工程，履行本合同所约定的全部义务。</w:t>
      </w:r>
    </w:p>
    <w:p>
      <w:pPr>
        <w:spacing w:line="420" w:lineRule="exact"/>
        <w:outlineLvl w:val="1"/>
        <w:rPr>
          <w:rFonts w:hint="eastAsia" w:ascii="仿宋_GB2312" w:hAnsi="仿宋_GB2312" w:eastAsia="仿宋_GB2312" w:cs="仿宋_GB2312"/>
          <w:b/>
          <w:bCs/>
          <w:color w:val="auto"/>
          <w:sz w:val="24"/>
          <w:szCs w:val="24"/>
          <w:highlight w:val="none"/>
        </w:rPr>
      </w:pPr>
      <w:bookmarkStart w:id="385" w:name="_Toc10624816"/>
      <w:bookmarkStart w:id="386" w:name="_Toc469383976"/>
      <w:bookmarkStart w:id="387" w:name="_Toc266892760"/>
    </w:p>
    <w:p>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十二、发包人承诺</w:t>
      </w:r>
      <w:bookmarkEnd w:id="385"/>
      <w:bookmarkEnd w:id="386"/>
      <w:bookmarkEnd w:id="387"/>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发包人向承包人承诺已阅读、理解并接受本合同所有条款，按照本合同约定的时限和方法支付工程款及其他应当支付的款项，履行本合同所约定的全部义务。</w:t>
      </w:r>
    </w:p>
    <w:p>
      <w:pPr>
        <w:numPr>
          <w:ilvl w:val="255"/>
          <w:numId w:val="0"/>
        </w:numPr>
        <w:spacing w:line="420" w:lineRule="exact"/>
        <w:outlineLvl w:val="1"/>
        <w:rPr>
          <w:rFonts w:hint="eastAsia" w:ascii="仿宋_GB2312" w:hAnsi="仿宋_GB2312" w:eastAsia="仿宋_GB2312" w:cs="仿宋_GB2312"/>
          <w:b/>
          <w:bCs/>
          <w:color w:val="auto"/>
          <w:sz w:val="24"/>
          <w:szCs w:val="24"/>
          <w:highlight w:val="none"/>
        </w:rPr>
      </w:pPr>
      <w:bookmarkStart w:id="388" w:name="_Toc266892761"/>
      <w:bookmarkStart w:id="389" w:name="_Toc10624817"/>
      <w:bookmarkStart w:id="390" w:name="_Toc469383977"/>
    </w:p>
    <w:p>
      <w:pPr>
        <w:numPr>
          <w:ilvl w:val="255"/>
          <w:numId w:val="0"/>
        </w:num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十三、合同生效</w:t>
      </w:r>
      <w:bookmarkEnd w:id="388"/>
      <w:bookmarkEnd w:id="389"/>
      <w:bookmarkEnd w:id="390"/>
    </w:p>
    <w:p>
      <w:pPr>
        <w:spacing w:line="420" w:lineRule="exact"/>
        <w:ind w:left="52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本合同订立时间：</w:t>
      </w:r>
      <w:permStart w:id="93" w:edGrp="everyone"/>
      <w:r>
        <w:rPr>
          <w:rFonts w:hint="eastAsia" w:ascii="仿宋_GB2312" w:hAnsi="仿宋_GB2312" w:eastAsia="仿宋_GB2312" w:cs="仿宋_GB2312"/>
          <w:color w:val="auto"/>
          <w:sz w:val="24"/>
          <w:szCs w:val="24"/>
          <w:highlight w:val="none"/>
          <w:u w:val="single"/>
        </w:rPr>
        <w:t xml:space="preserve">            </w:t>
      </w:r>
      <w:permEnd w:id="93"/>
      <w:r>
        <w:rPr>
          <w:rFonts w:hint="eastAsia" w:ascii="仿宋_GB2312" w:hAnsi="仿宋_GB2312" w:eastAsia="仿宋_GB2312" w:cs="仿宋_GB2312"/>
          <w:color w:val="auto"/>
          <w:sz w:val="24"/>
          <w:szCs w:val="24"/>
          <w:highlight w:val="none"/>
        </w:rPr>
        <w:t>年</w:t>
      </w:r>
      <w:permStart w:id="94" w:edGrp="everyone"/>
      <w:r>
        <w:rPr>
          <w:rFonts w:hint="eastAsia" w:ascii="仿宋_GB2312" w:hAnsi="仿宋_GB2312" w:eastAsia="仿宋_GB2312" w:cs="仿宋_GB2312"/>
          <w:color w:val="auto"/>
          <w:sz w:val="24"/>
          <w:szCs w:val="24"/>
          <w:highlight w:val="none"/>
          <w:u w:val="single"/>
        </w:rPr>
        <w:t xml:space="preserve">           </w:t>
      </w:r>
      <w:permEnd w:id="94"/>
      <w:r>
        <w:rPr>
          <w:rFonts w:hint="eastAsia" w:ascii="仿宋_GB2312" w:hAnsi="仿宋_GB2312" w:eastAsia="仿宋_GB2312" w:cs="仿宋_GB2312"/>
          <w:color w:val="auto"/>
          <w:sz w:val="24"/>
          <w:szCs w:val="24"/>
          <w:highlight w:val="none"/>
        </w:rPr>
        <w:t>月</w:t>
      </w:r>
      <w:permStart w:id="95" w:edGrp="everyone"/>
      <w:r>
        <w:rPr>
          <w:rFonts w:hint="eastAsia" w:ascii="仿宋_GB2312" w:hAnsi="仿宋_GB2312" w:eastAsia="仿宋_GB2312" w:cs="仿宋_GB2312"/>
          <w:color w:val="auto"/>
          <w:sz w:val="24"/>
          <w:szCs w:val="24"/>
          <w:highlight w:val="none"/>
          <w:u w:val="single"/>
        </w:rPr>
        <w:t xml:space="preserve">           </w:t>
      </w:r>
      <w:permEnd w:id="95"/>
      <w:r>
        <w:rPr>
          <w:rFonts w:hint="eastAsia" w:ascii="仿宋_GB2312" w:hAnsi="仿宋_GB2312" w:eastAsia="仿宋_GB2312" w:cs="仿宋_GB2312"/>
          <w:color w:val="auto"/>
          <w:sz w:val="24"/>
          <w:szCs w:val="24"/>
          <w:highlight w:val="none"/>
        </w:rPr>
        <w:t>日</w:t>
      </w:r>
    </w:p>
    <w:p>
      <w:pPr>
        <w:spacing w:line="420" w:lineRule="exact"/>
        <w:ind w:left="52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本合同订立地点：</w:t>
      </w:r>
      <w:permStart w:id="96" w:edGrp="everyone"/>
      <w:r>
        <w:rPr>
          <w:rFonts w:hint="eastAsia" w:ascii="仿宋_GB2312" w:hAnsi="仿宋_GB2312" w:eastAsia="仿宋_GB2312" w:cs="仿宋_GB2312"/>
          <w:color w:val="auto"/>
          <w:sz w:val="24"/>
          <w:szCs w:val="24"/>
          <w:highlight w:val="none"/>
          <w:u w:val="single"/>
        </w:rPr>
        <w:t xml:space="preserve">                                        </w:t>
      </w:r>
      <w:permEnd w:id="96"/>
    </w:p>
    <w:p>
      <w:pPr>
        <w:numPr>
          <w:ilvl w:val="255"/>
          <w:numId w:val="0"/>
        </w:numPr>
        <w:spacing w:line="420" w:lineRule="exact"/>
        <w:outlineLvl w:val="1"/>
        <w:rPr>
          <w:rFonts w:hint="eastAsia" w:ascii="仿宋_GB2312" w:hAnsi="仿宋_GB2312" w:eastAsia="仿宋_GB2312" w:cs="仿宋_GB2312"/>
          <w:b/>
          <w:bCs/>
          <w:color w:val="auto"/>
          <w:sz w:val="24"/>
          <w:szCs w:val="24"/>
          <w:highlight w:val="none"/>
        </w:rPr>
      </w:pPr>
    </w:p>
    <w:p>
      <w:pPr>
        <w:numPr>
          <w:ilvl w:val="255"/>
          <w:numId w:val="0"/>
        </w:num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十四、合同份数</w:t>
      </w:r>
    </w:p>
    <w:p>
      <w:pPr>
        <w:spacing w:line="420" w:lineRule="exact"/>
        <w:ind w:firstLine="480"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本合同一式</w:t>
      </w:r>
      <w:permStart w:id="97"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柒</w:t>
      </w:r>
      <w:r>
        <w:rPr>
          <w:rFonts w:hint="eastAsia" w:ascii="仿宋_GB2312" w:hAnsi="仿宋_GB2312" w:eastAsia="仿宋_GB2312" w:cs="仿宋_GB2312"/>
          <w:color w:val="auto"/>
          <w:sz w:val="24"/>
          <w:szCs w:val="24"/>
          <w:highlight w:val="none"/>
          <w:u w:val="single"/>
        </w:rPr>
        <w:t xml:space="preserve">  </w:t>
      </w:r>
      <w:permEnd w:id="97"/>
      <w:r>
        <w:rPr>
          <w:rFonts w:hint="eastAsia" w:ascii="仿宋_GB2312" w:hAnsi="仿宋_GB2312" w:eastAsia="仿宋_GB2312" w:cs="仿宋_GB2312"/>
          <w:color w:val="auto"/>
          <w:sz w:val="24"/>
          <w:szCs w:val="24"/>
          <w:highlight w:val="none"/>
        </w:rPr>
        <w:t>份，具有同等法律效力，其中甲方执</w:t>
      </w:r>
      <w:permStart w:id="98"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肆 </w:t>
      </w:r>
      <w:r>
        <w:rPr>
          <w:rFonts w:hint="eastAsia" w:ascii="仿宋_GB2312" w:hAnsi="仿宋_GB2312" w:eastAsia="仿宋_GB2312" w:cs="仿宋_GB2312"/>
          <w:color w:val="auto"/>
          <w:sz w:val="24"/>
          <w:szCs w:val="24"/>
          <w:highlight w:val="none"/>
          <w:u w:val="single"/>
        </w:rPr>
        <w:t xml:space="preserve">  </w:t>
      </w:r>
      <w:permEnd w:id="98"/>
      <w:r>
        <w:rPr>
          <w:rFonts w:hint="eastAsia" w:ascii="仿宋_GB2312" w:hAnsi="仿宋_GB2312" w:eastAsia="仿宋_GB2312" w:cs="仿宋_GB2312"/>
          <w:color w:val="auto"/>
          <w:sz w:val="24"/>
          <w:szCs w:val="24"/>
          <w:highlight w:val="none"/>
        </w:rPr>
        <w:t>份，乙方执</w:t>
      </w:r>
      <w:permStart w:id="99"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叁</w:t>
      </w:r>
      <w:r>
        <w:rPr>
          <w:rFonts w:hint="eastAsia" w:ascii="仿宋_GB2312" w:hAnsi="仿宋_GB2312" w:eastAsia="仿宋_GB2312" w:cs="仿宋_GB2312"/>
          <w:color w:val="auto"/>
          <w:sz w:val="24"/>
          <w:szCs w:val="24"/>
          <w:highlight w:val="none"/>
          <w:u w:val="single"/>
        </w:rPr>
        <w:t xml:space="preserve">  </w:t>
      </w:r>
      <w:permEnd w:id="99"/>
      <w:r>
        <w:rPr>
          <w:rFonts w:hint="eastAsia" w:ascii="仿宋_GB2312" w:hAnsi="仿宋_GB2312" w:eastAsia="仿宋_GB2312" w:cs="仿宋_GB2312"/>
          <w:color w:val="auto"/>
          <w:sz w:val="24"/>
          <w:szCs w:val="24"/>
          <w:highlight w:val="none"/>
        </w:rPr>
        <w:t>份，其中一份在合同报送建设行政主管部门备案时留存。</w:t>
      </w:r>
    </w:p>
    <w:p>
      <w:pPr>
        <w:numPr>
          <w:ilvl w:val="255"/>
          <w:numId w:val="0"/>
        </w:numPr>
        <w:spacing w:line="420" w:lineRule="exact"/>
        <w:outlineLvl w:val="1"/>
        <w:rPr>
          <w:rFonts w:hint="eastAsia" w:ascii="仿宋_GB2312" w:hAnsi="仿宋_GB2312" w:eastAsia="仿宋_GB2312" w:cs="仿宋_GB2312"/>
          <w:b/>
          <w:bCs/>
          <w:color w:val="auto"/>
          <w:sz w:val="24"/>
          <w:szCs w:val="24"/>
          <w:highlight w:val="none"/>
        </w:rPr>
      </w:pPr>
    </w:p>
    <w:p>
      <w:pPr>
        <w:numPr>
          <w:ilvl w:val="255"/>
          <w:numId w:val="0"/>
        </w:num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十五、合同的生效及其他</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合同双方当事人约定本合同自双方签字、盖章后生效。合同未尽事宜，双方另行签订补充协议，但不得背离本合同第一部分《协议书》第九条所约定的合同文件的实质性内容。</w:t>
      </w:r>
    </w:p>
    <w:p>
      <w:pPr>
        <w:spacing w:line="420" w:lineRule="exact"/>
        <w:ind w:firstLine="523" w:firstLineChars="218"/>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本协议书中有关词语定义与合同条款中的定义相同。</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与发包人签订合同时使用的“开户银行名称、账户名称（简称户名，应当与本合同中承包人的名称一致）及账号”应当与投标文件中所填写的“开户银行名称、账户名称（简称户名）及账号”一致，且不得为临时账户，合同签定后原则上不得变更；如因特殊情况需要变更的，应提交发包人认可的证明文件，并征得发包人同意，否则发包人有权拒绝合同授予、有权停止工程款的拨付，所造成的一切后果由承包人承担。</w:t>
      </w:r>
    </w:p>
    <w:p>
      <w:pPr>
        <w:spacing w:line="420" w:lineRule="exact"/>
        <w:ind w:firstLine="480" w:firstLineChars="20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以下无正文</w:t>
      </w:r>
      <w:r>
        <w:rPr>
          <w:rFonts w:hint="eastAsia" w:ascii="仿宋_GB2312" w:hAnsi="仿宋_GB2312" w:eastAsia="仿宋_GB2312" w:cs="仿宋_GB2312"/>
          <w:color w:val="auto"/>
          <w:sz w:val="24"/>
          <w:szCs w:val="24"/>
          <w:highlight w:val="none"/>
          <w:lang w:eastAsia="zh-CN"/>
        </w:rPr>
        <w:t>）</w:t>
      </w:r>
    </w:p>
    <w:p>
      <w:pPr>
        <w:pStyle w:val="2"/>
        <w:rPr>
          <w:rFonts w:hint="eastAsia" w:ascii="仿宋_GB2312" w:hAnsi="仿宋_GB2312" w:eastAsia="仿宋_GB2312" w:cs="仿宋_GB2312"/>
          <w:color w:val="auto"/>
          <w:sz w:val="24"/>
          <w:szCs w:val="24"/>
          <w:highlight w:val="none"/>
          <w:lang w:eastAsia="zh-CN"/>
        </w:rPr>
        <w:sectPr>
          <w:footerReference r:id="rId7" w:type="first"/>
          <w:footerReference r:id="rId6" w:type="default"/>
          <w:endnotePr>
            <w:numFmt w:val="decimal"/>
          </w:endnotePr>
          <w:pgSz w:w="11905" w:h="16838"/>
          <w:pgMar w:top="1440" w:right="1800" w:bottom="1440" w:left="1800" w:header="0" w:footer="0" w:gutter="0"/>
          <w:pgNumType w:start="1"/>
          <w:cols w:space="0" w:num="1"/>
          <w:titlePg/>
          <w:rtlGutter w:val="0"/>
          <w:docGrid w:linePitch="0" w:charSpace="0"/>
        </w:sectPr>
      </w:pPr>
    </w:p>
    <w:p>
      <w:pPr>
        <w:rPr>
          <w:rFonts w:hint="eastAsia"/>
          <w:color w:val="auto"/>
          <w:highlight w:val="none"/>
        </w:rPr>
      </w:pPr>
    </w:p>
    <w:tbl>
      <w:tblPr>
        <w:tblStyle w:val="20"/>
        <w:tblpPr w:leftFromText="180" w:rightFromText="180" w:vertAnchor="text" w:horzAnchor="page" w:tblpX="2111" w:tblpY="964"/>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39"/>
        <w:gridCol w:w="37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pPr>
              <w:spacing w:line="420" w:lineRule="exact"/>
              <w:jc w:val="left"/>
              <w:rPr>
                <w:rFonts w:hint="eastAsia" w:ascii="宋体" w:hAnsi="宋体" w:cs="宋体"/>
                <w:color w:val="auto"/>
                <w:sz w:val="24"/>
                <w:szCs w:val="24"/>
                <w:highlight w:val="none"/>
                <w:vertAlign w:val="baseline"/>
              </w:rPr>
            </w:pPr>
            <w:permStart w:id="100" w:edGrp="everyone"/>
            <w:r>
              <w:rPr>
                <w:rFonts w:hint="eastAsia" w:ascii="仿宋_GB2312" w:hAnsi="仿宋_GB2312" w:eastAsia="仿宋_GB2312" w:cs="仿宋_GB2312"/>
                <w:color w:val="auto"/>
                <w:sz w:val="24"/>
                <w:szCs w:val="24"/>
                <w:highlight w:val="none"/>
              </w:rPr>
              <w:t>发包人：（盖章）</w:t>
            </w:r>
          </w:p>
        </w:tc>
        <w:tc>
          <w:tcPr>
            <w:tcW w:w="3740" w:type="dxa"/>
          </w:tcPr>
          <w:p>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承包人：（盖章）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地址：</w:t>
            </w:r>
          </w:p>
        </w:tc>
        <w:tc>
          <w:tcPr>
            <w:tcW w:w="3740" w:type="dxa"/>
            <w:vAlign w:val="top"/>
          </w:tcPr>
          <w:p>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法定代表人或委托代理人：</w:t>
            </w:r>
          </w:p>
        </w:tc>
        <w:tc>
          <w:tcPr>
            <w:tcW w:w="3740" w:type="dxa"/>
            <w:vAlign w:val="top"/>
          </w:tcPr>
          <w:p>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法定代表人或委托代理人：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电话：</w:t>
            </w:r>
          </w:p>
        </w:tc>
        <w:tc>
          <w:tcPr>
            <w:tcW w:w="3740" w:type="dxa"/>
            <w:vAlign w:val="top"/>
          </w:tcPr>
          <w:p>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 xml:space="preserve">传真： </w:t>
            </w:r>
          </w:p>
        </w:tc>
        <w:tc>
          <w:tcPr>
            <w:tcW w:w="3740" w:type="dxa"/>
            <w:vAlign w:val="top"/>
          </w:tcPr>
          <w:p>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 xml:space="preserve">传真：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账户名称：</w:t>
            </w:r>
          </w:p>
        </w:tc>
        <w:tc>
          <w:tcPr>
            <w:tcW w:w="3740" w:type="dxa"/>
            <w:vAlign w:val="top"/>
          </w:tcPr>
          <w:p>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账户名称：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开户银行：</w:t>
            </w:r>
          </w:p>
        </w:tc>
        <w:tc>
          <w:tcPr>
            <w:tcW w:w="3740" w:type="dxa"/>
            <w:vAlign w:val="top"/>
          </w:tcPr>
          <w:p>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账号：</w:t>
            </w:r>
          </w:p>
        </w:tc>
        <w:tc>
          <w:tcPr>
            <w:tcW w:w="3740" w:type="dxa"/>
            <w:vAlign w:val="top"/>
          </w:tcPr>
          <w:p>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 xml:space="preserve">邮政编码：  </w:t>
            </w:r>
          </w:p>
        </w:tc>
        <w:tc>
          <w:tcPr>
            <w:tcW w:w="3740" w:type="dxa"/>
            <w:vAlign w:val="top"/>
          </w:tcPr>
          <w:p>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 xml:space="preserve">邮政编码：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电子邮箱:</w:t>
            </w:r>
          </w:p>
        </w:tc>
        <w:tc>
          <w:tcPr>
            <w:tcW w:w="3740" w:type="dxa"/>
            <w:vAlign w:val="top"/>
          </w:tcPr>
          <w:p>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电子邮箱:</w:t>
            </w:r>
          </w:p>
        </w:tc>
      </w:tr>
    </w:tbl>
    <w:p>
      <w:pPr>
        <w:tabs>
          <w:tab w:val="left" w:pos="525"/>
          <w:tab w:val="left" w:pos="1155"/>
        </w:tabs>
        <w:spacing w:line="420" w:lineRule="exact"/>
        <w:jc w:val="center"/>
        <w:rPr>
          <w:rFonts w:hint="eastAsia" w:ascii="仿宋_GB2312" w:hAnsi="仿宋_GB2312" w:eastAsia="仿宋_GB2312" w:cs="仿宋_GB2312"/>
          <w:color w:val="auto"/>
          <w:sz w:val="24"/>
          <w:szCs w:val="24"/>
          <w:highlight w:val="none"/>
          <w:lang w:eastAsia="zh-CN"/>
        </w:rPr>
      </w:pPr>
    </w:p>
    <w:permEnd w:id="100"/>
    <w:p>
      <w:pPr>
        <w:spacing w:line="420" w:lineRule="exact"/>
        <w:jc w:val="left"/>
        <w:rPr>
          <w:rFonts w:hint="eastAsia" w:ascii="宋体" w:hAnsi="宋体" w:cs="宋体"/>
          <w:color w:val="auto"/>
          <w:sz w:val="24"/>
          <w:szCs w:val="24"/>
          <w:highlight w:val="none"/>
          <w:vertAlign w:val="baseline"/>
        </w:rPr>
      </w:pPr>
      <w:r>
        <w:rPr>
          <w:rFonts w:ascii="Calibri" w:hAnsi="Calibri" w:cs="Calibri"/>
          <w:color w:val="auto"/>
          <w:sz w:val="24"/>
          <w:szCs w:val="24"/>
          <w:highlight w:val="none"/>
        </w:rPr>
        <w:br w:type="page"/>
      </w:r>
    </w:p>
    <w:p>
      <w:pPr>
        <w:spacing w:line="420" w:lineRule="exact"/>
        <w:jc w:val="left"/>
        <w:rPr>
          <w:rFonts w:hint="eastAsia" w:ascii="宋体" w:hAnsi="宋体" w:cs="宋体"/>
          <w:color w:val="auto"/>
          <w:sz w:val="24"/>
          <w:szCs w:val="24"/>
          <w:highlight w:val="none"/>
        </w:rPr>
      </w:pPr>
    </w:p>
    <w:p>
      <w:pPr>
        <w:spacing w:line="420" w:lineRule="exact"/>
        <w:outlineLvl w:val="0"/>
        <w:rPr>
          <w:rFonts w:ascii="方正黑体_GBK" w:hAnsi="方正黑体_GBK" w:eastAsia="方正黑体_GBK" w:cs="方正黑体_GBK"/>
          <w:b/>
          <w:bCs/>
          <w:color w:val="auto"/>
          <w:sz w:val="28"/>
          <w:szCs w:val="28"/>
          <w:highlight w:val="none"/>
        </w:rPr>
      </w:pPr>
      <w:bookmarkStart w:id="391" w:name="_Toc469383978"/>
      <w:bookmarkStart w:id="392" w:name="_Toc10624818"/>
    </w:p>
    <w:p>
      <w:pPr>
        <w:spacing w:line="420" w:lineRule="exact"/>
        <w:jc w:val="center"/>
        <w:outlineLvl w:val="0"/>
        <w:rPr>
          <w:rFonts w:hint="eastAsia" w:ascii="方正小标宋简体" w:hAnsi="方正小标宋简体" w:eastAsia="方正小标宋简体" w:cs="方正小标宋简体"/>
          <w:b w:val="0"/>
          <w:bCs w:val="0"/>
          <w:color w:val="auto"/>
          <w:sz w:val="32"/>
          <w:szCs w:val="32"/>
          <w:highlight w:val="none"/>
        </w:rPr>
      </w:pPr>
      <w:r>
        <w:rPr>
          <w:rFonts w:hint="eastAsia" w:ascii="方正小标宋简体" w:hAnsi="方正小标宋简体" w:eastAsia="方正小标宋简体" w:cs="方正小标宋简体"/>
          <w:b w:val="0"/>
          <w:bCs w:val="0"/>
          <w:color w:val="auto"/>
          <w:sz w:val="32"/>
          <w:szCs w:val="32"/>
          <w:highlight w:val="none"/>
        </w:rPr>
        <w:t>第二部分  通用条款</w:t>
      </w:r>
      <w:bookmarkEnd w:id="391"/>
      <w:bookmarkEnd w:id="392"/>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p>
    <w:p>
      <w:pPr>
        <w:widowControl w:val="0"/>
        <w:adjustRightInd w:val="0"/>
        <w:snapToGrid w:val="0"/>
        <w:spacing w:line="420" w:lineRule="exact"/>
        <w:jc w:val="center"/>
        <w:outlineLvl w:val="1"/>
        <w:rPr>
          <w:rFonts w:hint="eastAsia" w:ascii="黑体" w:hAnsi="黑体" w:eastAsia="黑体" w:cs="黑体"/>
          <w:b w:val="0"/>
          <w:bCs w:val="0"/>
          <w:color w:val="auto"/>
          <w:kern w:val="2"/>
          <w:sz w:val="24"/>
          <w:szCs w:val="24"/>
          <w:highlight w:val="none"/>
          <w:lang w:val="en-US" w:eastAsia="zh-CN" w:bidi="ar-SA"/>
        </w:rPr>
      </w:pPr>
      <w:bookmarkStart w:id="393" w:name="_Toc469383979"/>
      <w:bookmarkStart w:id="394" w:name="_Toc10624819"/>
      <w:r>
        <w:rPr>
          <w:rFonts w:hint="eastAsia" w:ascii="黑体" w:hAnsi="黑体" w:eastAsia="黑体" w:cs="黑体"/>
          <w:b w:val="0"/>
          <w:bCs w:val="0"/>
          <w:color w:val="auto"/>
          <w:kern w:val="2"/>
          <w:sz w:val="24"/>
          <w:szCs w:val="24"/>
          <w:highlight w:val="none"/>
          <w:lang w:val="en-US" w:eastAsia="zh-CN" w:bidi="ar-SA"/>
        </w:rPr>
        <w:t>一、总  则</w:t>
      </w:r>
      <w:bookmarkEnd w:id="393"/>
      <w:bookmarkEnd w:id="394"/>
    </w:p>
    <w:p>
      <w:pPr>
        <w:widowControl w:val="0"/>
        <w:adjustRightInd w:val="0"/>
        <w:snapToGrid w:val="0"/>
        <w:spacing w:line="420" w:lineRule="exact"/>
        <w:jc w:val="center"/>
        <w:outlineLvl w:val="1"/>
        <w:rPr>
          <w:rFonts w:ascii="宋体" w:hAnsi="宋体" w:eastAsia="宋体" w:cs="宋体"/>
          <w:b/>
          <w:bCs/>
          <w:color w:val="auto"/>
          <w:kern w:val="2"/>
          <w:sz w:val="22"/>
          <w:szCs w:val="22"/>
          <w:highlight w:val="none"/>
          <w:lang w:val="en-US" w:eastAsia="zh-CN" w:bidi="ar-SA"/>
        </w:rPr>
      </w:pPr>
    </w:p>
    <w:p>
      <w:pPr>
        <w:widowControl w:val="0"/>
        <w:tabs>
          <w:tab w:val="left" w:pos="900"/>
          <w:tab w:val="left" w:pos="1080"/>
        </w:tabs>
        <w:spacing w:before="120" w:beforeLines="50" w:after="120" w:afterLines="50" w:line="420" w:lineRule="exact"/>
        <w:jc w:val="both"/>
        <w:outlineLvl w:val="2"/>
        <w:rPr>
          <w:rFonts w:hint="eastAsia" w:ascii="黑体" w:hAnsi="黑体" w:eastAsia="黑体" w:cs="黑体"/>
          <w:b w:val="0"/>
          <w:bCs w:val="0"/>
          <w:color w:val="auto"/>
          <w:kern w:val="2"/>
          <w:sz w:val="22"/>
          <w:szCs w:val="22"/>
          <w:highlight w:val="none"/>
          <w:lang w:val="en-US" w:eastAsia="zh-CN" w:bidi="ar-SA"/>
        </w:rPr>
      </w:pPr>
      <w:bookmarkStart w:id="395" w:name="_Toc10624820"/>
      <w:bookmarkStart w:id="396" w:name="_Toc469383980"/>
      <w:r>
        <w:rPr>
          <w:rFonts w:hint="eastAsia" w:ascii="黑体" w:hAnsi="黑体" w:eastAsia="黑体" w:cs="黑体"/>
          <w:b w:val="0"/>
          <w:bCs w:val="0"/>
          <w:color w:val="auto"/>
          <w:kern w:val="2"/>
          <w:sz w:val="22"/>
          <w:szCs w:val="22"/>
          <w:highlight w:val="none"/>
          <w:lang w:val="en-US" w:eastAsia="zh-CN" w:bidi="ar-SA"/>
        </w:rPr>
        <w:t>1  定义</w:t>
      </w:r>
      <w:bookmarkEnd w:id="395"/>
      <w:bookmarkEnd w:id="396"/>
    </w:p>
    <w:p>
      <w:pPr>
        <w:widowControl w:val="0"/>
        <w:tabs>
          <w:tab w:val="left" w:pos="900"/>
          <w:tab w:val="left" w:pos="1980"/>
        </w:tabs>
        <w:adjustRightInd w:val="0"/>
        <w:spacing w:line="420" w:lineRule="exact"/>
        <w:jc w:val="both"/>
        <w:rPr>
          <w:rFonts w:hint="eastAsia" w:ascii="仿宋_GB2312" w:hAnsi="仿宋_GB2312" w:eastAsia="仿宋_GB2312" w:cs="仿宋_GB2312"/>
          <w:color w:val="auto"/>
          <w:kern w:val="2"/>
          <w:sz w:val="24"/>
          <w:szCs w:val="24"/>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           </w:t>
      </w:r>
      <w:r>
        <w:rPr>
          <w:rFonts w:hint="eastAsia" w:ascii="仿宋_GB2312" w:hAnsi="仿宋_GB2312" w:eastAsia="仿宋_GB2312" w:cs="仿宋_GB2312"/>
          <w:color w:val="auto"/>
          <w:kern w:val="2"/>
          <w:sz w:val="24"/>
          <w:szCs w:val="24"/>
          <w:highlight w:val="none"/>
          <w:lang w:val="en-US" w:eastAsia="zh-CN" w:bidi="ar-SA"/>
        </w:rPr>
        <w:t>下列词语或措辞，除非特别说明，在本合同中均具有以下赋予的含义：</w:t>
      </w:r>
    </w:p>
    <w:p>
      <w:pPr>
        <w:widowControl w:val="0"/>
        <w:tabs>
          <w:tab w:val="left" w:pos="1260"/>
          <w:tab w:val="left" w:pos="2160"/>
        </w:tabs>
        <w:adjustRightInd w:val="0"/>
        <w:spacing w:before="120" w:beforeLines="50" w:line="420" w:lineRule="exact"/>
        <w:ind w:left="1310" w:leftChars="624" w:firstLine="0" w:firstLineChars="0"/>
        <w:jc w:val="both"/>
        <w:rPr>
          <w:rFonts w:hint="eastAsia" w:ascii="仿宋_GB2312" w:hAnsi="仿宋_GB2312" w:eastAsia="仿宋_GB2312" w:cs="仿宋_GB2312"/>
          <w:color w:val="auto"/>
          <w:kern w:val="2"/>
          <w:sz w:val="24"/>
          <w:szCs w:val="24"/>
          <w:highlight w:val="none"/>
          <w:u w:val="dotted"/>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  合同：</w:t>
      </w:r>
      <w:r>
        <w:rPr>
          <w:rFonts w:hint="eastAsia" w:ascii="仿宋_GB2312" w:hAnsi="仿宋_GB2312" w:eastAsia="仿宋_GB2312" w:cs="仿宋_GB2312"/>
          <w:color w:val="auto"/>
          <w:kern w:val="2"/>
          <w:sz w:val="24"/>
          <w:szCs w:val="24"/>
          <w:highlight w:val="none"/>
          <w:lang w:val="en-US" w:eastAsia="zh-CN" w:bidi="ar-SA"/>
        </w:rPr>
        <w:t>指合同双方当事人为实施、完成并保修合同工程所订立的合同文件。合同文件由第2.2款所列的文件组成。</w:t>
      </w:r>
    </w:p>
    <w:p>
      <w:pPr>
        <w:widowControl w:val="0"/>
        <w:tabs>
          <w:tab w:val="left" w:pos="2160"/>
          <w:tab w:val="left" w:pos="2520"/>
        </w:tabs>
        <w:adjustRightInd w:val="0"/>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u w:val="dotted"/>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  协议书：</w:t>
      </w:r>
      <w:r>
        <w:rPr>
          <w:rFonts w:hint="eastAsia" w:ascii="仿宋_GB2312" w:hAnsi="仿宋_GB2312" w:eastAsia="仿宋_GB2312" w:cs="仿宋_GB2312"/>
          <w:color w:val="auto"/>
          <w:kern w:val="2"/>
          <w:sz w:val="24"/>
          <w:szCs w:val="24"/>
          <w:highlight w:val="none"/>
          <w:lang w:val="en-US" w:eastAsia="zh-CN" w:bidi="ar-SA"/>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30天内签订。</w:t>
      </w:r>
    </w:p>
    <w:p>
      <w:pPr>
        <w:widowControl w:val="0"/>
        <w:tabs>
          <w:tab w:val="left" w:pos="2160"/>
        </w:tabs>
        <w:adjustRightInd w:val="0"/>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  通用条款：</w:t>
      </w:r>
      <w:r>
        <w:rPr>
          <w:rFonts w:hint="eastAsia" w:ascii="仿宋_GB2312" w:hAnsi="仿宋_GB2312" w:eastAsia="仿宋_GB2312" w:cs="仿宋_GB2312"/>
          <w:color w:val="auto"/>
          <w:kern w:val="2"/>
          <w:sz w:val="24"/>
          <w:szCs w:val="24"/>
          <w:highlight w:val="none"/>
          <w:lang w:val="en-US" w:eastAsia="zh-CN" w:bidi="ar-SA"/>
        </w:rPr>
        <w:t>指根据法律、法规和规章的规定以及建设工程施工的需要所订立的，通用于建设工程施工的条款。</w:t>
      </w:r>
    </w:p>
    <w:p>
      <w:pPr>
        <w:widowControl w:val="0"/>
        <w:tabs>
          <w:tab w:val="left" w:pos="2160"/>
          <w:tab w:val="left" w:pos="2520"/>
        </w:tabs>
        <w:adjustRightInd w:val="0"/>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u w:val="dotted"/>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  专用条款：</w:t>
      </w:r>
      <w:r>
        <w:rPr>
          <w:rFonts w:hint="eastAsia" w:ascii="仿宋_GB2312" w:hAnsi="仿宋_GB2312" w:eastAsia="仿宋_GB2312" w:cs="仿宋_GB2312"/>
          <w:color w:val="auto"/>
          <w:kern w:val="2"/>
          <w:sz w:val="24"/>
          <w:szCs w:val="24"/>
          <w:highlight w:val="none"/>
          <w:lang w:val="en-US" w:eastAsia="zh-CN" w:bidi="ar-SA"/>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pPr>
        <w:widowControl w:val="0"/>
        <w:tabs>
          <w:tab w:val="left" w:pos="2160"/>
        </w:tabs>
        <w:adjustRightInd w:val="0"/>
        <w:spacing w:before="192" w:beforeLines="80" w:line="420" w:lineRule="exact"/>
        <w:ind w:firstLine="1446" w:firstLineChars="600"/>
        <w:jc w:val="both"/>
        <w:rPr>
          <w:rFonts w:hint="eastAsia" w:ascii="仿宋_GB2312" w:hAnsi="仿宋_GB2312" w:eastAsia="仿宋_GB2312" w:cs="仿宋_GB2312"/>
          <w:color w:val="auto"/>
          <w:kern w:val="2"/>
          <w:sz w:val="24"/>
          <w:szCs w:val="24"/>
          <w:highlight w:val="none"/>
          <w:u w:val="dotted"/>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1.5  中标通知书：</w:t>
      </w:r>
      <w:r>
        <w:rPr>
          <w:rFonts w:hint="eastAsia" w:ascii="仿宋_GB2312" w:hAnsi="仿宋_GB2312" w:eastAsia="仿宋_GB2312" w:cs="仿宋_GB2312"/>
          <w:color w:val="auto"/>
          <w:kern w:val="2"/>
          <w:sz w:val="24"/>
          <w:szCs w:val="24"/>
          <w:highlight w:val="none"/>
          <w:lang w:val="en-US" w:eastAsia="zh-CN" w:bidi="ar-SA"/>
        </w:rPr>
        <w:t>指发包人正式接受中标人投标文件的书面文件。</w:t>
      </w:r>
    </w:p>
    <w:p>
      <w:pPr>
        <w:widowControl w:val="0"/>
        <w:tabs>
          <w:tab w:val="left" w:pos="2160"/>
        </w:tabs>
        <w:adjustRightInd w:val="0"/>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1.6  承包人投标文件：</w:t>
      </w:r>
      <w:r>
        <w:rPr>
          <w:rFonts w:hint="eastAsia" w:ascii="仿宋_GB2312" w:hAnsi="仿宋_GB2312" w:eastAsia="仿宋_GB2312" w:cs="仿宋_GB2312"/>
          <w:color w:val="auto"/>
          <w:kern w:val="2"/>
          <w:sz w:val="24"/>
          <w:szCs w:val="24"/>
          <w:highlight w:val="none"/>
          <w:lang w:val="en-US" w:eastAsia="zh-CN" w:bidi="ar-SA"/>
        </w:rPr>
        <w:t>指构成合同文件组成部分的，由承包人根据招标文件编制完成、签字并被中标通知书所接受的，承包人为实施、完成并保修合同工程向发包人提交的技术、经济文件。</w:t>
      </w:r>
    </w:p>
    <w:p>
      <w:pPr>
        <w:widowControl w:val="0"/>
        <w:tabs>
          <w:tab w:val="left" w:pos="2160"/>
          <w:tab w:val="left" w:pos="2520"/>
        </w:tabs>
        <w:adjustRightInd w:val="0"/>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1.7  标准、规范及有关技术文件：</w:t>
      </w:r>
      <w:r>
        <w:rPr>
          <w:rFonts w:hint="eastAsia" w:ascii="仿宋_GB2312" w:hAnsi="仿宋_GB2312" w:eastAsia="仿宋_GB2312" w:cs="仿宋_GB2312"/>
          <w:color w:val="auto"/>
          <w:kern w:val="2"/>
          <w:sz w:val="24"/>
          <w:szCs w:val="24"/>
          <w:highlight w:val="none"/>
          <w:lang w:val="en-US" w:eastAsia="zh-CN" w:bidi="ar-SA"/>
        </w:rPr>
        <w:t>指构成合同文件组成部分的，本合同所指明的和合同工程依法应适用的标准与规范，以及监理工程师、造价工程师对有关技术方面问题做出的补充、修改和批准文件。</w:t>
      </w:r>
    </w:p>
    <w:p>
      <w:pPr>
        <w:widowControl w:val="0"/>
        <w:tabs>
          <w:tab w:val="left" w:pos="2160"/>
          <w:tab w:val="left" w:pos="2520"/>
        </w:tabs>
        <w:adjustRightInd w:val="0"/>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1.8  施工设计图纸：</w:t>
      </w:r>
      <w:r>
        <w:rPr>
          <w:rFonts w:hint="eastAsia" w:ascii="仿宋_GB2312" w:hAnsi="仿宋_GB2312" w:eastAsia="仿宋_GB2312" w:cs="仿宋_GB2312"/>
          <w:color w:val="auto"/>
          <w:kern w:val="2"/>
          <w:sz w:val="24"/>
          <w:szCs w:val="24"/>
          <w:highlight w:val="none"/>
          <w:lang w:val="en-US" w:eastAsia="zh-CN" w:bidi="ar-SA"/>
        </w:rPr>
        <w:t>指构成合同文件组成部分的，按规定审批的由发包人提供或经发包人批准由承包人提供，满足承包人施工需要的所有设计文件</w:t>
      </w: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kern w:val="2"/>
          <w:sz w:val="24"/>
          <w:szCs w:val="24"/>
          <w:highlight w:val="none"/>
          <w:lang w:val="en-US" w:eastAsia="zh-CN" w:bidi="ar-SA"/>
        </w:rPr>
        <w:t>施工图纸、模型（包括任何补充和修改的施工图纸、配套说明和有关资料）。图纸应当按照法律规定审查合格。</w:t>
      </w:r>
    </w:p>
    <w:p>
      <w:pPr>
        <w:widowControl w:val="0"/>
        <w:tabs>
          <w:tab w:val="left" w:pos="2160"/>
        </w:tabs>
        <w:adjustRightInd w:val="0"/>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1.9  工程量清单：</w:t>
      </w:r>
      <w:r>
        <w:rPr>
          <w:rFonts w:hint="eastAsia" w:ascii="仿宋_GB2312" w:hAnsi="仿宋_GB2312" w:eastAsia="仿宋_GB2312" w:cs="仿宋_GB2312"/>
          <w:color w:val="auto"/>
          <w:kern w:val="2"/>
          <w:sz w:val="24"/>
          <w:szCs w:val="24"/>
          <w:highlight w:val="none"/>
          <w:lang w:val="en-US" w:eastAsia="zh-CN" w:bidi="ar-SA"/>
        </w:rPr>
        <w:t>指构成合同文件组成部分的,由发包人在招标文件中提供的,合同工程分部分项工程项目、措施项目、其他项目、规费项目和税金项目的名称和相应数量等的明细清单。</w:t>
      </w:r>
    </w:p>
    <w:p>
      <w:pPr>
        <w:widowControl w:val="0"/>
        <w:tabs>
          <w:tab w:val="left" w:pos="2160"/>
        </w:tabs>
        <w:adjustRightInd w:val="0"/>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1.10  发包人：</w:t>
      </w:r>
      <w:r>
        <w:rPr>
          <w:rFonts w:hint="eastAsia" w:ascii="仿宋_GB2312" w:hAnsi="仿宋_GB2312" w:eastAsia="仿宋_GB2312" w:cs="仿宋_GB2312"/>
          <w:color w:val="auto"/>
          <w:kern w:val="2"/>
          <w:sz w:val="24"/>
          <w:szCs w:val="24"/>
          <w:highlight w:val="none"/>
          <w:lang w:val="en-US" w:eastAsia="zh-CN" w:bidi="ar-SA"/>
        </w:rPr>
        <w:t>指在协议书中约定，具有工程发包主体资格和支付工程款能力的当事人，以及取得该当事人资格的合法继承人。</w:t>
      </w:r>
    </w:p>
    <w:p>
      <w:pPr>
        <w:widowControl w:val="0"/>
        <w:tabs>
          <w:tab w:val="left" w:pos="1980"/>
        </w:tabs>
        <w:adjustRightInd w:val="0"/>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1.11  承包人：</w:t>
      </w:r>
      <w:r>
        <w:rPr>
          <w:rFonts w:hint="eastAsia" w:ascii="仿宋_GB2312" w:hAnsi="仿宋_GB2312" w:eastAsia="仿宋_GB2312" w:cs="仿宋_GB2312"/>
          <w:color w:val="auto"/>
          <w:kern w:val="2"/>
          <w:sz w:val="24"/>
          <w:szCs w:val="24"/>
          <w:highlight w:val="none"/>
          <w:lang w:val="en-US" w:eastAsia="zh-CN" w:bidi="ar-SA"/>
        </w:rPr>
        <w:t>指在协议书中约定，被发包人接受且具有工程施工承包主体资格的当事人，以及取得该当事人资格的合法继承人。</w:t>
      </w:r>
    </w:p>
    <w:p>
      <w:pPr>
        <w:widowControl w:val="0"/>
        <w:tabs>
          <w:tab w:val="left" w:pos="198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1.12  分包人：</w:t>
      </w:r>
      <w:r>
        <w:rPr>
          <w:rFonts w:hint="eastAsia" w:ascii="仿宋_GB2312" w:hAnsi="仿宋_GB2312" w:eastAsia="仿宋_GB2312" w:cs="仿宋_GB2312"/>
          <w:color w:val="auto"/>
          <w:kern w:val="2"/>
          <w:sz w:val="24"/>
          <w:szCs w:val="24"/>
          <w:highlight w:val="none"/>
          <w:lang w:val="en-US" w:eastAsia="zh-CN" w:bidi="ar-SA"/>
        </w:rPr>
        <w:t>指被发包人接受且具有相应资格，并与承包人签订了分包合同，依法分包合同工程某一部分的当事人，以及取得该当事人资格的合法继承人。</w:t>
      </w:r>
    </w:p>
    <w:p>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1.13  第三方：</w:t>
      </w:r>
      <w:r>
        <w:rPr>
          <w:rFonts w:hint="eastAsia" w:ascii="仿宋_GB2312" w:hAnsi="仿宋_GB2312" w:eastAsia="仿宋_GB2312" w:cs="仿宋_GB2312"/>
          <w:color w:val="auto"/>
          <w:kern w:val="2"/>
          <w:sz w:val="24"/>
          <w:szCs w:val="24"/>
          <w:highlight w:val="none"/>
          <w:lang w:val="en-US" w:eastAsia="zh-CN" w:bidi="ar-SA"/>
        </w:rPr>
        <w:t>除合同双方当事人(含双方雇员及代表其工作的人员)以外的任何他人或组织。</w:t>
      </w:r>
    </w:p>
    <w:p>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1.14  设计人：</w:t>
      </w:r>
      <w:r>
        <w:rPr>
          <w:rFonts w:hint="eastAsia" w:ascii="仿宋_GB2312" w:hAnsi="仿宋_GB2312" w:eastAsia="仿宋_GB2312" w:cs="仿宋_GB2312"/>
          <w:color w:val="auto"/>
          <w:kern w:val="2"/>
          <w:sz w:val="24"/>
          <w:szCs w:val="24"/>
          <w:highlight w:val="none"/>
          <w:lang w:val="en-US" w:eastAsia="zh-CN" w:bidi="ar-SA"/>
        </w:rPr>
        <w:t>指受发包人委托的，负责合同工程的工程设计专业技术且具有相应工程设计资质的当事人，以及取得该当事人资格的合法继承人。</w:t>
      </w:r>
    </w:p>
    <w:p>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1.15  监理人：</w:t>
      </w:r>
      <w:r>
        <w:rPr>
          <w:rFonts w:hint="eastAsia" w:ascii="仿宋_GB2312" w:hAnsi="仿宋_GB2312" w:eastAsia="仿宋_GB2312" w:cs="仿宋_GB2312"/>
          <w:color w:val="auto"/>
          <w:kern w:val="2"/>
          <w:sz w:val="24"/>
          <w:szCs w:val="24"/>
          <w:highlight w:val="none"/>
          <w:lang w:val="en-US" w:eastAsia="zh-CN" w:bidi="ar-SA"/>
        </w:rPr>
        <w:t>指受发包人委托的，负责合同工程的工程监理专业技术且具有相应工程监理资质的当事人，以及取得该当事人资格的合法继承人。</w:t>
      </w:r>
    </w:p>
    <w:p>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1.16  工程造价咨询人：</w:t>
      </w:r>
      <w:r>
        <w:rPr>
          <w:rFonts w:hint="eastAsia" w:ascii="仿宋_GB2312" w:hAnsi="仿宋_GB2312" w:eastAsia="仿宋_GB2312" w:cs="仿宋_GB2312"/>
          <w:color w:val="auto"/>
          <w:kern w:val="2"/>
          <w:sz w:val="24"/>
          <w:szCs w:val="24"/>
          <w:highlight w:val="none"/>
          <w:lang w:val="en-US" w:eastAsia="zh-CN" w:bidi="ar-SA"/>
        </w:rPr>
        <w:t>指受发包人委托的，负责合同工程的工程造价专业技术且具有相应工程造价咨询资质的当事人，以及取得该当事人资格的合法继承人。</w:t>
      </w:r>
    </w:p>
    <w:p>
      <w:pPr>
        <w:widowControl w:val="0"/>
        <w:tabs>
          <w:tab w:val="left" w:pos="1980"/>
          <w:tab w:val="left" w:pos="2160"/>
          <w:tab w:val="left" w:pos="252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1.17  工程造价管理机构：</w:t>
      </w:r>
      <w:r>
        <w:rPr>
          <w:rFonts w:hint="eastAsia" w:ascii="仿宋_GB2312" w:hAnsi="仿宋_GB2312" w:eastAsia="仿宋_GB2312" w:cs="仿宋_GB2312"/>
          <w:color w:val="auto"/>
          <w:kern w:val="2"/>
          <w:sz w:val="24"/>
          <w:szCs w:val="24"/>
          <w:highlight w:val="none"/>
          <w:lang w:val="en-US" w:eastAsia="zh-CN" w:bidi="ar-SA"/>
        </w:rPr>
        <w:t>指国务院有关部门、县级以上人民政府建设行政主管部门或受其委托的工程造价管理机构。</w:t>
      </w:r>
    </w:p>
    <w:p>
      <w:pPr>
        <w:widowControl w:val="0"/>
        <w:tabs>
          <w:tab w:val="left" w:pos="1980"/>
          <w:tab w:val="left" w:pos="2160"/>
          <w:tab w:val="left" w:pos="252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1.18  发包人代表：</w:t>
      </w:r>
      <w:r>
        <w:rPr>
          <w:rFonts w:hint="eastAsia" w:ascii="仿宋_GB2312" w:hAnsi="仿宋_GB2312" w:eastAsia="仿宋_GB2312" w:cs="仿宋_GB2312"/>
          <w:color w:val="auto"/>
          <w:kern w:val="2"/>
          <w:sz w:val="24"/>
          <w:szCs w:val="24"/>
          <w:highlight w:val="none"/>
          <w:lang w:val="en-US" w:eastAsia="zh-CN" w:bidi="ar-SA"/>
        </w:rPr>
        <w:t>指发包人指定的，履行本合同的全权代表。发包人代表由发包人依据第22.1款规定任命并书面通知承包人。</w:t>
      </w:r>
    </w:p>
    <w:p>
      <w:pPr>
        <w:widowControl w:val="0"/>
        <w:tabs>
          <w:tab w:val="left" w:pos="1260"/>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1.19  监理工程师：</w:t>
      </w:r>
      <w:r>
        <w:rPr>
          <w:rFonts w:hint="eastAsia" w:ascii="仿宋_GB2312" w:hAnsi="仿宋_GB2312" w:eastAsia="仿宋_GB2312" w:cs="仿宋_GB2312"/>
          <w:color w:val="auto"/>
          <w:kern w:val="2"/>
          <w:sz w:val="24"/>
          <w:szCs w:val="24"/>
          <w:highlight w:val="none"/>
          <w:lang w:val="en-US" w:eastAsia="zh-CN" w:bidi="ar-SA"/>
        </w:rPr>
        <w:t>指监理人委派常驻施工现场负责合同工程的工程监理专业技术的专业人员。监理工程师由监理人提名，经发包人依据第23.1款规定任命并书面通知承包人。</w:t>
      </w:r>
    </w:p>
    <w:p>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1.20  造价工程师：</w:t>
      </w:r>
      <w:r>
        <w:rPr>
          <w:rFonts w:hint="eastAsia" w:ascii="仿宋_GB2312" w:hAnsi="仿宋_GB2312" w:eastAsia="仿宋_GB2312" w:cs="仿宋_GB2312"/>
          <w:color w:val="auto"/>
          <w:kern w:val="2"/>
          <w:sz w:val="24"/>
          <w:szCs w:val="24"/>
          <w:highlight w:val="none"/>
          <w:lang w:val="en-US" w:eastAsia="zh-CN" w:bidi="ar-SA"/>
        </w:rPr>
        <w:t>指工程造价咨询人或监理人委派常驻施工现场负责合同工程的工程造价专业技术的专业人员。造价工程师由工程造价咨询人或监理人提名，经发包人依据第24.1款规定任命并书面通知承包人。</w:t>
      </w:r>
    </w:p>
    <w:p>
      <w:pPr>
        <w:widowControl w:val="0"/>
        <w:tabs>
          <w:tab w:val="left" w:pos="1620"/>
          <w:tab w:val="left" w:pos="1980"/>
        </w:tabs>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1.21  承包人代表：</w:t>
      </w:r>
      <w:r>
        <w:rPr>
          <w:rFonts w:hint="eastAsia" w:ascii="仿宋_GB2312" w:hAnsi="仿宋_GB2312" w:eastAsia="仿宋_GB2312" w:cs="仿宋_GB2312"/>
          <w:color w:val="auto"/>
          <w:kern w:val="2"/>
          <w:sz w:val="24"/>
          <w:szCs w:val="24"/>
          <w:highlight w:val="none"/>
          <w:lang w:val="en-US" w:eastAsia="zh-CN" w:bidi="ar-SA"/>
        </w:rPr>
        <w:t>指承包人指定的，履行本合同和负责合同工程施工现场管理的全权代表。承包人代表由承包人依据第25.1款规定任命并书面通知发包人。</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1.22  合同工期：</w:t>
      </w:r>
      <w:r>
        <w:rPr>
          <w:rFonts w:hint="eastAsia" w:ascii="仿宋_GB2312" w:hAnsi="仿宋_GB2312" w:eastAsia="仿宋_GB2312" w:cs="仿宋_GB2312"/>
          <w:color w:val="auto"/>
          <w:kern w:val="2"/>
          <w:sz w:val="24"/>
          <w:szCs w:val="24"/>
          <w:highlight w:val="none"/>
          <w:lang w:val="en-US" w:eastAsia="zh-CN" w:bidi="ar-SA"/>
        </w:rPr>
        <w:t>指合同双方当事人在协议书中约定，按照总日历天数（包括法定节假日）计算的从开始实施到完成合同工程的天数。</w:t>
      </w:r>
    </w:p>
    <w:p>
      <w:pPr>
        <w:widowControl w:val="0"/>
        <w:tabs>
          <w:tab w:val="left" w:pos="2160"/>
        </w:tabs>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1.23  开工日期：</w:t>
      </w:r>
      <w:r>
        <w:rPr>
          <w:rFonts w:hint="eastAsia" w:ascii="仿宋_GB2312" w:hAnsi="仿宋_GB2312" w:eastAsia="仿宋_GB2312" w:cs="仿宋_GB2312"/>
          <w:color w:val="auto"/>
          <w:kern w:val="2"/>
          <w:sz w:val="24"/>
          <w:szCs w:val="24"/>
          <w:highlight w:val="none"/>
          <w:lang w:val="en-US" w:eastAsia="zh-CN" w:bidi="ar-SA"/>
        </w:rPr>
        <w:t>指根据第34条规定，监理工程师在开工令中写明的、承包人按照合同约定最迟在该日期开工的日期。</w:t>
      </w:r>
    </w:p>
    <w:p>
      <w:pPr>
        <w:widowControl w:val="0"/>
        <w:tabs>
          <w:tab w:val="left" w:pos="198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1.24  计划竣工日期：</w:t>
      </w:r>
      <w:r>
        <w:rPr>
          <w:rFonts w:hint="eastAsia" w:ascii="仿宋_GB2312" w:hAnsi="仿宋_GB2312" w:eastAsia="仿宋_GB2312" w:cs="仿宋_GB2312"/>
          <w:color w:val="auto"/>
          <w:kern w:val="2"/>
          <w:sz w:val="24"/>
          <w:szCs w:val="24"/>
          <w:highlight w:val="none"/>
          <w:lang w:val="en-US" w:eastAsia="zh-CN" w:bidi="ar-SA"/>
        </w:rPr>
        <w:t>指自开工日期起根据合同约定要求承包人完成合同工程并竣工的全部时间（包括根据第36条和第37.2款规定所做的调整）。</w:t>
      </w:r>
    </w:p>
    <w:p>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1.25  实际竣工日期：</w:t>
      </w:r>
      <w:r>
        <w:rPr>
          <w:rFonts w:hint="eastAsia" w:ascii="仿宋_GB2312" w:hAnsi="仿宋_GB2312" w:eastAsia="仿宋_GB2312" w:cs="仿宋_GB2312"/>
          <w:color w:val="auto"/>
          <w:kern w:val="2"/>
          <w:sz w:val="24"/>
          <w:szCs w:val="24"/>
          <w:highlight w:val="none"/>
          <w:lang w:val="en-US" w:eastAsia="zh-CN" w:bidi="ar-SA"/>
        </w:rPr>
        <w:t>指承包人实际完成合同工程或某单位工程后，由发包人按照第58条规定组织竣工验收、接收工程并颁发工程接收证书的日期。实际竣工日期，按照第38.2款规定确定。</w:t>
      </w:r>
    </w:p>
    <w:p>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1.26  缺陷责任期：</w:t>
      </w:r>
      <w:r>
        <w:rPr>
          <w:rFonts w:hint="eastAsia" w:ascii="仿宋_GB2312" w:hAnsi="仿宋_GB2312" w:eastAsia="仿宋_GB2312" w:cs="仿宋_GB2312"/>
          <w:color w:val="auto"/>
          <w:kern w:val="2"/>
          <w:sz w:val="24"/>
          <w:szCs w:val="24"/>
          <w:highlight w:val="none"/>
          <w:lang w:val="en-US" w:eastAsia="zh-CN" w:bidi="ar-SA"/>
        </w:rPr>
        <w:t>指履行第59.3款规定的缺陷责任的期限。具体期限在专用条款中约定，包括第59.2款规定的延长期限。</w:t>
      </w:r>
    </w:p>
    <w:p>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1.27  基准日期：</w:t>
      </w:r>
      <w:r>
        <w:rPr>
          <w:rFonts w:hint="eastAsia" w:ascii="仿宋_GB2312" w:hAnsi="仿宋_GB2312" w:eastAsia="仿宋_GB2312" w:cs="仿宋_GB2312"/>
          <w:color w:val="auto"/>
          <w:kern w:val="2"/>
          <w:sz w:val="24"/>
          <w:szCs w:val="24"/>
          <w:highlight w:val="none"/>
          <w:lang w:val="en-US" w:eastAsia="zh-CN" w:bidi="ar-SA"/>
        </w:rPr>
        <w:t>指招标工程递交投标文件截止日期前28天的日期；非招标工程订立合同前28天的日期。</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1.28  小时或天：</w:t>
      </w:r>
      <w:r>
        <w:rPr>
          <w:rFonts w:hint="eastAsia" w:ascii="仿宋_GB2312" w:hAnsi="仿宋_GB2312" w:eastAsia="仿宋_GB2312" w:cs="仿宋_GB2312"/>
          <w:color w:val="auto"/>
          <w:kern w:val="2"/>
          <w:sz w:val="24"/>
          <w:szCs w:val="24"/>
          <w:highlight w:val="none"/>
          <w:lang w:val="en-US" w:eastAsia="zh-CN" w:bidi="ar-SA"/>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24:00（即次日零点）。</w:t>
      </w:r>
    </w:p>
    <w:p>
      <w:pPr>
        <w:widowControl w:val="0"/>
        <w:tabs>
          <w:tab w:val="left" w:pos="90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1.29  中标价格：</w:t>
      </w:r>
      <w:r>
        <w:rPr>
          <w:rFonts w:hint="eastAsia" w:ascii="仿宋_GB2312" w:hAnsi="仿宋_GB2312" w:eastAsia="仿宋_GB2312" w:cs="仿宋_GB2312"/>
          <w:color w:val="auto"/>
          <w:kern w:val="2"/>
          <w:sz w:val="24"/>
          <w:szCs w:val="24"/>
          <w:highlight w:val="none"/>
          <w:lang w:val="en-US" w:eastAsia="zh-CN" w:bidi="ar-SA"/>
        </w:rPr>
        <w:t>指中标通知书中列明的，发包人接受中标人（承包人）实施、完成并保修合同工程的价格。</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1.30  合同价款：</w:t>
      </w:r>
      <w:r>
        <w:rPr>
          <w:rFonts w:hint="eastAsia" w:ascii="仿宋_GB2312" w:hAnsi="仿宋_GB2312" w:eastAsia="仿宋_GB2312" w:cs="仿宋_GB2312"/>
          <w:color w:val="auto"/>
          <w:kern w:val="2"/>
          <w:sz w:val="24"/>
          <w:szCs w:val="24"/>
          <w:highlight w:val="none"/>
          <w:lang w:val="en-US" w:eastAsia="zh-CN" w:bidi="ar-SA"/>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68.2款规定合同价款调整事件确定。</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1.31  费用：</w:t>
      </w:r>
      <w:r>
        <w:rPr>
          <w:rFonts w:hint="eastAsia" w:ascii="仿宋_GB2312" w:hAnsi="仿宋_GB2312" w:eastAsia="仿宋_GB2312" w:cs="仿宋_GB2312"/>
          <w:color w:val="auto"/>
          <w:kern w:val="2"/>
          <w:sz w:val="24"/>
          <w:szCs w:val="24"/>
          <w:highlight w:val="none"/>
          <w:lang w:val="en-US" w:eastAsia="zh-CN" w:bidi="ar-SA"/>
        </w:rPr>
        <w:t>指为履行合同所发生或将发生的所有合理开支，包括管理费和其他合理分摊的开支，但不包括利润。</w:t>
      </w:r>
    </w:p>
    <w:p>
      <w:pPr>
        <w:widowControl w:val="0"/>
        <w:tabs>
          <w:tab w:val="left" w:pos="1980"/>
          <w:tab w:val="left" w:pos="2160"/>
        </w:tabs>
        <w:spacing w:before="240" w:beforeLines="10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1.32  分部分项工程费：</w:t>
      </w:r>
      <w:r>
        <w:rPr>
          <w:rFonts w:hint="eastAsia" w:ascii="仿宋_GB2312" w:hAnsi="仿宋_GB2312" w:eastAsia="仿宋_GB2312" w:cs="仿宋_GB2312"/>
          <w:color w:val="auto"/>
          <w:kern w:val="2"/>
          <w:sz w:val="24"/>
          <w:szCs w:val="24"/>
          <w:highlight w:val="none"/>
          <w:lang w:val="en-US" w:eastAsia="zh-CN" w:bidi="ar-SA"/>
        </w:rPr>
        <w:t>指为实施、完成并保修永久工程，发生于工程实体项目所需的人工费、材料费、机械使用费、管理费、利润和风险费用。</w:t>
      </w:r>
    </w:p>
    <w:p>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1.33  措施项目费：</w:t>
      </w:r>
      <w:r>
        <w:rPr>
          <w:rFonts w:hint="eastAsia" w:ascii="仿宋_GB2312" w:hAnsi="仿宋_GB2312" w:eastAsia="仿宋_GB2312" w:cs="仿宋_GB2312"/>
          <w:color w:val="auto"/>
          <w:kern w:val="2"/>
          <w:sz w:val="24"/>
          <w:szCs w:val="24"/>
          <w:highlight w:val="none"/>
          <w:lang w:val="en-US" w:eastAsia="zh-CN" w:bidi="ar-SA"/>
        </w:rPr>
        <w:t>指为实施、完成并保修合同工程，发生于合同工程施工准备和施工过程中的技术、生活、安全、环境保护等方面的非工程实体项目费用。</w:t>
      </w:r>
    </w:p>
    <w:p>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1.34  工程款：</w:t>
      </w:r>
      <w:r>
        <w:rPr>
          <w:rFonts w:hint="eastAsia" w:ascii="仿宋_GB2312" w:hAnsi="仿宋_GB2312" w:eastAsia="仿宋_GB2312" w:cs="仿宋_GB2312"/>
          <w:color w:val="auto"/>
          <w:kern w:val="2"/>
          <w:sz w:val="24"/>
          <w:szCs w:val="24"/>
          <w:highlight w:val="none"/>
          <w:lang w:val="en-US" w:eastAsia="zh-CN" w:bidi="ar-SA"/>
        </w:rPr>
        <w:t>指为实施、完成并保修合同工程，发包人支付或应当支付给承包人的各种价款，包括进度款、结算款等。</w:t>
      </w:r>
    </w:p>
    <w:p>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1.35  暂列金额：</w:t>
      </w:r>
      <w:r>
        <w:rPr>
          <w:rFonts w:hint="eastAsia" w:ascii="仿宋_GB2312" w:hAnsi="仿宋_GB2312" w:eastAsia="仿宋_GB2312" w:cs="仿宋_GB2312"/>
          <w:color w:val="auto"/>
          <w:kern w:val="2"/>
          <w:sz w:val="24"/>
          <w:szCs w:val="24"/>
          <w:highlight w:val="none"/>
          <w:lang w:val="en-US" w:eastAsia="zh-CN" w:bidi="ar-SA"/>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1.36  暂估价：</w:t>
      </w:r>
      <w:r>
        <w:rPr>
          <w:rFonts w:hint="eastAsia" w:ascii="仿宋_GB2312" w:hAnsi="仿宋_GB2312" w:eastAsia="仿宋_GB2312" w:cs="仿宋_GB2312"/>
          <w:color w:val="auto"/>
          <w:kern w:val="2"/>
          <w:sz w:val="24"/>
          <w:szCs w:val="24"/>
          <w:highlight w:val="none"/>
          <w:lang w:val="en-US" w:eastAsia="zh-CN" w:bidi="ar-SA"/>
        </w:rPr>
        <w:t>指发包人在工程量清单中提供的用于支付必然发生但暂时不能确定价格的材料、工程设备以及专业工程的金额。</w:t>
      </w:r>
    </w:p>
    <w:p>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1.37  计日工：</w:t>
      </w:r>
      <w:r>
        <w:rPr>
          <w:rFonts w:hint="eastAsia" w:ascii="仿宋_GB2312" w:hAnsi="仿宋_GB2312" w:eastAsia="仿宋_GB2312" w:cs="仿宋_GB2312"/>
          <w:color w:val="auto"/>
          <w:kern w:val="2"/>
          <w:sz w:val="24"/>
          <w:szCs w:val="24"/>
          <w:highlight w:val="none"/>
          <w:lang w:val="en-US" w:eastAsia="zh-CN" w:bidi="ar-SA"/>
        </w:rPr>
        <w:t>指在施工过程中，承包人完成发包人提出的施工设计图纸以外的零星项目或工作，按照合同中约定计价付款的一种计价方式。</w:t>
      </w:r>
    </w:p>
    <w:p>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1.38  质量保证金：</w:t>
      </w:r>
      <w:r>
        <w:rPr>
          <w:rFonts w:hint="eastAsia" w:ascii="仿宋_GB2312" w:hAnsi="仿宋_GB2312" w:eastAsia="仿宋_GB2312" w:cs="仿宋_GB2312"/>
          <w:color w:val="auto"/>
          <w:kern w:val="2"/>
          <w:sz w:val="24"/>
          <w:szCs w:val="24"/>
          <w:highlight w:val="none"/>
          <w:lang w:val="en-US" w:eastAsia="zh-CN" w:bidi="ar-SA"/>
        </w:rPr>
        <w:t>指按照第84条约定用于保证在缺陷责任期内履行缺陷修复义务的金额。</w:t>
      </w:r>
    </w:p>
    <w:p>
      <w:pPr>
        <w:widowControl w:val="0"/>
        <w:tabs>
          <w:tab w:val="left" w:pos="2160"/>
        </w:tabs>
        <w:spacing w:before="240" w:beforeLines="10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1.39  合同工程：</w:t>
      </w:r>
      <w:r>
        <w:rPr>
          <w:rFonts w:hint="eastAsia" w:ascii="仿宋_GB2312" w:hAnsi="仿宋_GB2312" w:eastAsia="仿宋_GB2312" w:cs="仿宋_GB2312"/>
          <w:color w:val="auto"/>
          <w:kern w:val="2"/>
          <w:sz w:val="24"/>
          <w:szCs w:val="24"/>
          <w:highlight w:val="none"/>
          <w:lang w:val="en-US" w:eastAsia="zh-CN" w:bidi="ar-SA"/>
        </w:rPr>
        <w:t>指合同双方当事人在协议书中约定的承包范围内的工程，包括永久工程和（或）临时工程。</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1.40  永久工程：</w:t>
      </w:r>
      <w:r>
        <w:rPr>
          <w:rFonts w:hint="eastAsia" w:ascii="仿宋_GB2312" w:hAnsi="仿宋_GB2312" w:eastAsia="仿宋_GB2312" w:cs="仿宋_GB2312"/>
          <w:color w:val="auto"/>
          <w:kern w:val="2"/>
          <w:sz w:val="24"/>
          <w:szCs w:val="24"/>
          <w:highlight w:val="none"/>
          <w:lang w:val="en-US" w:eastAsia="zh-CN" w:bidi="ar-SA"/>
        </w:rPr>
        <w:t>指按照合同约定承包人应当实施、完成并移交给发包人的永久性工程，包括工程设备。</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1.41  临时工程：</w:t>
      </w:r>
      <w:r>
        <w:rPr>
          <w:rFonts w:hint="eastAsia" w:ascii="仿宋_GB2312" w:hAnsi="仿宋_GB2312" w:eastAsia="仿宋_GB2312" w:cs="仿宋_GB2312"/>
          <w:color w:val="auto"/>
          <w:kern w:val="2"/>
          <w:sz w:val="24"/>
          <w:szCs w:val="24"/>
          <w:highlight w:val="none"/>
          <w:lang w:val="en-US" w:eastAsia="zh-CN" w:bidi="ar-SA"/>
        </w:rPr>
        <w:t>指实施、完成并保修永久工程过程中所需要的各类临时性工程，不包括施工设备。</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1.42  分包工程：</w:t>
      </w:r>
      <w:r>
        <w:rPr>
          <w:rFonts w:hint="eastAsia" w:ascii="仿宋_GB2312" w:hAnsi="仿宋_GB2312" w:eastAsia="仿宋_GB2312" w:cs="仿宋_GB2312"/>
          <w:color w:val="auto"/>
          <w:kern w:val="2"/>
          <w:sz w:val="24"/>
          <w:szCs w:val="24"/>
          <w:highlight w:val="none"/>
          <w:lang w:val="en-US" w:eastAsia="zh-CN" w:bidi="ar-SA"/>
        </w:rPr>
        <w:t>指合同工程中，由具有相应分包资质的分包人实施、完成的非主体结构（除钢结构外）的专业性工程。</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1.43  单位工程：</w:t>
      </w:r>
      <w:r>
        <w:rPr>
          <w:rFonts w:hint="eastAsia" w:ascii="仿宋_GB2312" w:hAnsi="仿宋_GB2312" w:eastAsia="仿宋_GB2312" w:cs="仿宋_GB2312"/>
          <w:color w:val="auto"/>
          <w:kern w:val="2"/>
          <w:sz w:val="24"/>
          <w:szCs w:val="24"/>
          <w:highlight w:val="none"/>
          <w:lang w:val="en-US" w:eastAsia="zh-CN" w:bidi="ar-SA"/>
        </w:rPr>
        <w:t>指具有独立的设计文件，竣工后可以独立发挥生产能力和效益的永久工程。组成合同工程的单位工程名称、内容和范围等应在专用条款中明确。</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1.44  施工场地（或工地 、现场）：</w:t>
      </w:r>
      <w:r>
        <w:rPr>
          <w:rFonts w:hint="eastAsia" w:ascii="仿宋_GB2312" w:hAnsi="仿宋_GB2312" w:eastAsia="仿宋_GB2312" w:cs="仿宋_GB2312"/>
          <w:color w:val="auto"/>
          <w:kern w:val="2"/>
          <w:sz w:val="24"/>
          <w:szCs w:val="24"/>
          <w:highlight w:val="none"/>
          <w:lang w:val="en-US" w:eastAsia="zh-CN" w:bidi="ar-SA"/>
        </w:rPr>
        <w:t>指由发包人提供的用于合同工程施工的场所，以及发包人在合同中具体指定的供施工使用的其他任何场所。</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1.45  工程设备：</w:t>
      </w:r>
      <w:r>
        <w:rPr>
          <w:rFonts w:hint="eastAsia" w:ascii="仿宋_GB2312" w:hAnsi="仿宋_GB2312" w:eastAsia="仿宋_GB2312" w:cs="仿宋_GB2312"/>
          <w:color w:val="auto"/>
          <w:kern w:val="2"/>
          <w:sz w:val="24"/>
          <w:szCs w:val="24"/>
          <w:highlight w:val="none"/>
          <w:lang w:val="en-US" w:eastAsia="zh-CN" w:bidi="ar-SA"/>
        </w:rPr>
        <w:t>指构成或计划构成永久工程一部分的机电设备、金属结构设备、仪器装置及其他类似的设备和装置。</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1.46  施工设备：</w:t>
      </w:r>
      <w:r>
        <w:rPr>
          <w:rFonts w:hint="eastAsia" w:ascii="仿宋_GB2312" w:hAnsi="仿宋_GB2312" w:eastAsia="仿宋_GB2312" w:cs="仿宋_GB2312"/>
          <w:color w:val="auto"/>
          <w:kern w:val="2"/>
          <w:sz w:val="24"/>
          <w:szCs w:val="24"/>
          <w:highlight w:val="none"/>
          <w:lang w:val="en-US" w:eastAsia="zh-CN" w:bidi="ar-SA"/>
        </w:rPr>
        <w:t>指承包人临时带入现场用于合同工程施工的仪器、机械、运输工具或其他物品，但不包括用于或安装在合同工程中的工程设备。</w:t>
      </w:r>
    </w:p>
    <w:p>
      <w:pPr>
        <w:widowControl w:val="0"/>
        <w:tabs>
          <w:tab w:val="left" w:pos="2160"/>
        </w:tabs>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1.47  工程变更：</w:t>
      </w:r>
      <w:r>
        <w:rPr>
          <w:rFonts w:hint="eastAsia" w:ascii="仿宋_GB2312" w:hAnsi="仿宋_GB2312" w:eastAsia="仿宋_GB2312" w:cs="仿宋_GB2312"/>
          <w:color w:val="auto"/>
          <w:kern w:val="2"/>
          <w:sz w:val="24"/>
          <w:szCs w:val="24"/>
          <w:highlight w:val="none"/>
          <w:lang w:val="en-US" w:eastAsia="zh-CN" w:bidi="ar-SA"/>
        </w:rPr>
        <w:t>指经发包人批准的，由监理工程师根据第56条规定发出指令的工程任何变更。</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1.48  索赔：</w:t>
      </w:r>
      <w:r>
        <w:rPr>
          <w:rFonts w:hint="eastAsia" w:ascii="仿宋_GB2312" w:hAnsi="仿宋_GB2312" w:eastAsia="仿宋_GB2312" w:cs="仿宋_GB2312"/>
          <w:color w:val="auto"/>
          <w:kern w:val="2"/>
          <w:sz w:val="24"/>
          <w:szCs w:val="24"/>
          <w:highlight w:val="none"/>
          <w:lang w:val="en-US" w:eastAsia="zh-CN" w:bidi="ar-SA"/>
        </w:rPr>
        <w:t>指合同履行期间，对于非自己的过错而应由对方当事人承担责任的情况所造成的损失，并根据第36条和第74条规定向对方当事人提出费用补偿和（或）工期顺延的要求。</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1.49  现场签证：</w:t>
      </w:r>
      <w:r>
        <w:rPr>
          <w:rFonts w:hint="eastAsia" w:ascii="仿宋_GB2312" w:hAnsi="仿宋_GB2312" w:eastAsia="仿宋_GB2312" w:cs="仿宋_GB2312"/>
          <w:color w:val="auto"/>
          <w:kern w:val="2"/>
          <w:sz w:val="24"/>
          <w:szCs w:val="24"/>
          <w:highlight w:val="none"/>
          <w:lang w:val="en-US" w:eastAsia="zh-CN" w:bidi="ar-SA"/>
        </w:rPr>
        <w:t>指合同双方当事人按照第14.2款约定的指定人选根据第75条规定就施工过程中涉及的责任事件所作的签认证明。</w:t>
      </w:r>
    </w:p>
    <w:p>
      <w:pPr>
        <w:widowControl w:val="0"/>
        <w:tabs>
          <w:tab w:val="left" w:pos="2160"/>
        </w:tabs>
        <w:spacing w:before="192" w:beforeLines="80" w:line="420" w:lineRule="exact"/>
        <w:ind w:firstLine="1446" w:firstLineChars="6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1.50  不可抗力：</w:t>
      </w:r>
      <w:r>
        <w:rPr>
          <w:rFonts w:hint="eastAsia" w:ascii="仿宋_GB2312" w:hAnsi="仿宋_GB2312" w:eastAsia="仿宋_GB2312" w:cs="仿宋_GB2312"/>
          <w:color w:val="auto"/>
          <w:kern w:val="2"/>
          <w:sz w:val="24"/>
          <w:szCs w:val="24"/>
          <w:highlight w:val="none"/>
          <w:lang w:val="en-US" w:eastAsia="zh-CN" w:bidi="ar-SA"/>
        </w:rPr>
        <w:t>指不能预见、不能避免并不能克服的客观情况。</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1.51  竣工验收：</w:t>
      </w:r>
      <w:r>
        <w:rPr>
          <w:rFonts w:hint="eastAsia" w:ascii="仿宋_GB2312" w:hAnsi="仿宋_GB2312" w:eastAsia="仿宋_GB2312" w:cs="仿宋_GB2312"/>
          <w:color w:val="auto"/>
          <w:kern w:val="2"/>
          <w:sz w:val="24"/>
          <w:szCs w:val="24"/>
          <w:highlight w:val="none"/>
          <w:lang w:val="en-US" w:eastAsia="zh-CN" w:bidi="ar-SA"/>
        </w:rPr>
        <w:t>指承包人完成了全部合同工作后，发包人按照合同要求进行的验收。</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1.52  国家验收：</w:t>
      </w:r>
      <w:r>
        <w:rPr>
          <w:rFonts w:hint="eastAsia" w:ascii="仿宋_GB2312" w:hAnsi="仿宋_GB2312" w:eastAsia="仿宋_GB2312" w:cs="仿宋_GB2312"/>
          <w:color w:val="auto"/>
          <w:kern w:val="2"/>
          <w:sz w:val="24"/>
          <w:szCs w:val="24"/>
          <w:highlight w:val="none"/>
          <w:lang w:val="en-US" w:eastAsia="zh-CN" w:bidi="ar-SA"/>
        </w:rPr>
        <w:t>指政府部门根据法律和政策等有关规定，针对发包人全面组织实施的整个工程正式交付投运前的验收。</w:t>
      </w:r>
    </w:p>
    <w:p>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1.53  书面形式：</w:t>
      </w:r>
      <w:r>
        <w:rPr>
          <w:rFonts w:hint="eastAsia" w:ascii="仿宋_GB2312" w:hAnsi="仿宋_GB2312" w:eastAsia="仿宋_GB2312" w:cs="仿宋_GB2312"/>
          <w:color w:val="auto"/>
          <w:kern w:val="2"/>
          <w:sz w:val="24"/>
          <w:szCs w:val="24"/>
          <w:highlight w:val="none"/>
          <w:lang w:val="en-US" w:eastAsia="zh-CN" w:bidi="ar-SA"/>
        </w:rPr>
        <w:t>指合同文件、信函、电报、电传、传真、电子数据交换文件、电子邮件等可以有形地表现所载内容的形式。合同双方当事人可在专用条款中注明所采用的书面形式。</w:t>
      </w:r>
    </w:p>
    <w:p>
      <w:pPr>
        <w:widowControl w:val="0"/>
        <w:tabs>
          <w:tab w:val="left" w:pos="2160"/>
        </w:tabs>
        <w:spacing w:before="192" w:beforeLines="80" w:line="420" w:lineRule="exact"/>
        <w:ind w:firstLine="1446" w:firstLineChars="6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1.54  国家：</w:t>
      </w:r>
      <w:r>
        <w:rPr>
          <w:rFonts w:hint="eastAsia" w:ascii="仿宋_GB2312" w:hAnsi="仿宋_GB2312" w:eastAsia="仿宋_GB2312" w:cs="仿宋_GB2312"/>
          <w:color w:val="auto"/>
          <w:kern w:val="2"/>
          <w:sz w:val="24"/>
          <w:szCs w:val="24"/>
          <w:highlight w:val="none"/>
          <w:lang w:val="en-US" w:eastAsia="zh-CN" w:bidi="ar-SA"/>
        </w:rPr>
        <w:t>指中华人民共和国。</w:t>
      </w:r>
    </w:p>
    <w:p>
      <w:pPr>
        <w:tabs>
          <w:tab w:val="left" w:pos="162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u w:val="single"/>
        </w:rPr>
        <w:t xml:space="preserve">                                                                                      </w:t>
      </w:r>
      <w:r>
        <w:rPr>
          <w:rFonts w:hint="eastAsia" w:ascii="宋体" w:hAnsi="宋体" w:cs="宋体"/>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ind w:left="720" w:hanging="720"/>
        <w:jc w:val="left"/>
        <w:outlineLvl w:val="2"/>
        <w:rPr>
          <w:rFonts w:hint="eastAsia" w:ascii="黑体" w:hAnsi="黑体" w:eastAsia="黑体" w:cs="黑体"/>
          <w:b w:val="0"/>
          <w:bCs/>
          <w:color w:val="auto"/>
          <w:kern w:val="0"/>
          <w:sz w:val="24"/>
          <w:szCs w:val="24"/>
          <w:highlight w:val="none"/>
          <w:lang w:val="en-US" w:eastAsia="zh-CN" w:bidi="ar-SA"/>
        </w:rPr>
      </w:pPr>
      <w:bookmarkStart w:id="397" w:name="_Toc10624821"/>
      <w:bookmarkStart w:id="398" w:name="_Toc469383981"/>
      <w:r>
        <w:rPr>
          <w:rFonts w:hint="eastAsia" w:ascii="黑体" w:hAnsi="黑体" w:eastAsia="黑体" w:cs="黑体"/>
          <w:b w:val="0"/>
          <w:bCs/>
          <w:color w:val="auto"/>
          <w:kern w:val="0"/>
          <w:sz w:val="24"/>
          <w:szCs w:val="24"/>
          <w:highlight w:val="none"/>
          <w:lang w:val="en-US" w:eastAsia="zh-CN" w:bidi="ar-SA"/>
        </w:rPr>
        <w:t>2  合同文件及解释</w:t>
      </w:r>
      <w:bookmarkEnd w:id="397"/>
      <w:bookmarkEnd w:id="398"/>
    </w:p>
    <w:p>
      <w:pPr>
        <w:widowControl w:val="0"/>
        <w:tabs>
          <w:tab w:val="left" w:pos="1202"/>
        </w:tabs>
        <w:spacing w:line="420" w:lineRule="exact"/>
        <w:jc w:val="both"/>
        <w:rPr>
          <w:rFonts w:ascii="宋体" w:hAnsi="宋体" w:eastAsia="宋体" w:cs="宋体"/>
          <w:b/>
          <w:bCs/>
          <w:color w:val="auto"/>
          <w:kern w:val="2"/>
          <w:sz w:val="22"/>
          <w:szCs w:val="22"/>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 xml:space="preserve">2.1 </w:t>
      </w:r>
      <w:r>
        <w:rPr>
          <w:rFonts w:hint="eastAsia" w:ascii="宋体" w:hAnsi="宋体" w:eastAsia="宋体" w:cs="宋体"/>
          <w:b/>
          <w:bCs/>
          <w:color w:val="auto"/>
          <w:kern w:val="2"/>
          <w:sz w:val="22"/>
          <w:szCs w:val="22"/>
          <w:highlight w:val="none"/>
          <w:lang w:val="en-US" w:eastAsia="zh-CN" w:bidi="ar-SA"/>
        </w:rPr>
        <w:t xml:space="preserve">                                                                                </w:t>
      </w:r>
    </w:p>
    <w:p>
      <w:pPr>
        <w:widowControl w:val="0"/>
        <w:tabs>
          <w:tab w:val="left" w:pos="1202"/>
          <w:tab w:val="left" w:pos="1620"/>
          <w:tab w:val="left" w:pos="1800"/>
          <w:tab w:val="left" w:pos="2160"/>
        </w:tabs>
        <w:spacing w:line="420" w:lineRule="exact"/>
        <w:ind w:firstLine="1529" w:firstLineChars="695"/>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20955</wp:posOffset>
                </wp:positionV>
                <wp:extent cx="800100" cy="297180"/>
                <wp:effectExtent l="0" t="0" r="0" b="0"/>
                <wp:wrapNone/>
                <wp:docPr id="1" name="文本框 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rPr>
                                <w:rFonts w:hint="eastAsia" w:ascii="仿宋_GB2312" w:hAnsi="仿宋_GB2312" w:eastAsia="仿宋_GB2312" w:cs="仿宋_GB2312"/>
                                <w:b/>
                                <w:bCs/>
                                <w:color w:val="000000"/>
                                <w:sz w:val="18"/>
                                <w:szCs w:val="18"/>
                              </w:rPr>
                            </w:pPr>
                            <w:r>
                              <w:rPr>
                                <w:rFonts w:hint="eastAsia" w:ascii="仿宋_GB2312" w:hAnsi="仿宋_GB2312" w:eastAsia="仿宋_GB2312" w:cs="仿宋_GB2312"/>
                                <w:b/>
                                <w:bCs/>
                                <w:color w:val="000000"/>
                                <w:sz w:val="18"/>
                                <w:szCs w:val="18"/>
                              </w:rPr>
                              <w:t>标题和旁注</w:t>
                            </w:r>
                          </w:p>
                        </w:txbxContent>
                      </wps:txbx>
                      <wps:bodyPr wrap="square" upright="1"/>
                    </wps:wsp>
                  </a:graphicData>
                </a:graphic>
              </wp:anchor>
            </w:drawing>
          </mc:Choice>
          <mc:Fallback>
            <w:pict>
              <v:shape id="文本框 2" o:spid="_x0000_s1026" o:spt="202" type="#_x0000_t202" style="position:absolute;left:0pt;margin-left:-9pt;margin-top:1.65pt;height:23.4pt;width:63pt;z-index:251661312;mso-width-relative:page;mso-height-relative:page;" filled="f" stroked="f" coordsize="21600,21600" o:gfxdata="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Q+O&#10;y9QAAAAIAQAADwAAAAAAAAABACAAAAAiAAAAZHJzL2Rvd25yZXYueG1sUEsBAhQAFAAAAAgAh07i&#10;QNl9b9e0AQAAWwMAAA4AAAAAAAAAAQAgAAAAIwEAAGRycy9lMm9Eb2MueG1sUEsFBgAAAAAGAAYA&#10;WQEAAEkFAAAAAA==&#10;">
                <v:fill on="f" focussize="0,0"/>
                <v:stroke on="f"/>
                <v:imagedata o:title=""/>
                <o:lock v:ext="edit" aspectratio="f"/>
                <v:textbox>
                  <w:txbxContent>
                    <w:p>
                      <w:pPr>
                        <w:rPr>
                          <w:rFonts w:hint="eastAsia" w:ascii="仿宋_GB2312" w:hAnsi="仿宋_GB2312" w:eastAsia="仿宋_GB2312" w:cs="仿宋_GB2312"/>
                          <w:b/>
                          <w:bCs/>
                          <w:color w:val="000000"/>
                          <w:sz w:val="18"/>
                          <w:szCs w:val="18"/>
                        </w:rPr>
                      </w:pPr>
                      <w:r>
                        <w:rPr>
                          <w:rFonts w:hint="eastAsia" w:ascii="仿宋_GB2312" w:hAnsi="仿宋_GB2312" w:eastAsia="仿宋_GB2312" w:cs="仿宋_GB2312"/>
                          <w:b/>
                          <w:bCs/>
                          <w:color w:val="000000"/>
                          <w:sz w:val="18"/>
                          <w:szCs w:val="18"/>
                        </w:rPr>
                        <w:t>标题和旁注</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 </w:t>
      </w:r>
      <w:r>
        <w:rPr>
          <w:rFonts w:hint="eastAsia" w:ascii="仿宋_GB2312" w:hAnsi="仿宋_GB2312" w:eastAsia="仿宋_GB2312" w:cs="仿宋_GB2312"/>
          <w:color w:val="auto"/>
          <w:kern w:val="2"/>
          <w:sz w:val="24"/>
          <w:szCs w:val="24"/>
          <w:highlight w:val="none"/>
          <w:lang w:val="en-US" w:eastAsia="zh-CN" w:bidi="ar-SA"/>
        </w:rPr>
        <w:t>本合同条款的标题和旁注不构成合同的组成部分。</w:t>
      </w:r>
    </w:p>
    <w:p>
      <w:pPr>
        <w:widowControl w:val="0"/>
        <w:tabs>
          <w:tab w:val="left" w:pos="1202"/>
        </w:tabs>
        <w:spacing w:line="420" w:lineRule="exact"/>
        <w:jc w:val="both"/>
        <w:rPr>
          <w:rFonts w:ascii="宋体" w:hAnsi="宋体" w:eastAsia="宋体" w:cs="宋体"/>
          <w:b/>
          <w:bCs/>
          <w:color w:val="auto"/>
          <w:kern w:val="2"/>
          <w:sz w:val="22"/>
          <w:szCs w:val="22"/>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★2.2</w:t>
      </w:r>
      <w:r>
        <w:rPr>
          <w:rFonts w:hint="eastAsia" w:ascii="宋体" w:hAnsi="宋体" w:eastAsia="宋体" w:cs="宋体"/>
          <w:b/>
          <w:bCs/>
          <w:color w:val="auto"/>
          <w:kern w:val="2"/>
          <w:sz w:val="24"/>
          <w:szCs w:val="24"/>
          <w:highlight w:val="none"/>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tabs>
          <w:tab w:val="left" w:pos="1320"/>
        </w:tabs>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1662336" behindDoc="1" locked="0" layoutInCell="1" allowOverlap="1">
                <wp:simplePos x="0" y="0"/>
                <wp:positionH relativeFrom="column">
                  <wp:posOffset>-40640</wp:posOffset>
                </wp:positionH>
                <wp:positionV relativeFrom="paragraph">
                  <wp:posOffset>67310</wp:posOffset>
                </wp:positionV>
                <wp:extent cx="1007745" cy="706120"/>
                <wp:effectExtent l="0" t="0" r="0" b="0"/>
                <wp:wrapTight wrapText="bothSides">
                  <wp:wrapPolygon>
                    <wp:start x="0" y="0"/>
                    <wp:lineTo x="0" y="21600"/>
                    <wp:lineTo x="21600" y="21600"/>
                    <wp:lineTo x="21600" y="0"/>
                    <wp:lineTo x="0" y="0"/>
                  </wp:wrapPolygon>
                </wp:wrapTight>
                <wp:docPr id="2" name="文本框 3"/>
                <wp:cNvGraphicFramePr/>
                <a:graphic xmlns:a="http://schemas.openxmlformats.org/drawingml/2006/main">
                  <a:graphicData uri="http://schemas.microsoft.com/office/word/2010/wordprocessingShape">
                    <wps:wsp>
                      <wps:cNvSpPr txBox="1"/>
                      <wps:spPr>
                        <a:xfrm>
                          <a:off x="0" y="0"/>
                          <a:ext cx="1007745" cy="706120"/>
                        </a:xfrm>
                        <a:prstGeom prst="rect">
                          <a:avLst/>
                        </a:prstGeom>
                        <a:noFill/>
                        <a:ln>
                          <a:noFill/>
                        </a:ln>
                      </wps:spPr>
                      <wps:txbx>
                        <w:txbxContent>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合同文件组成</w:t>
                            </w:r>
                          </w:p>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及优先顺序</w:t>
                            </w:r>
                          </w:p>
                        </w:txbxContent>
                      </wps:txbx>
                      <wps:bodyPr wrap="square" upright="1"/>
                    </wps:wsp>
                  </a:graphicData>
                </a:graphic>
              </wp:anchor>
            </w:drawing>
          </mc:Choice>
          <mc:Fallback>
            <w:pict>
              <v:shape id="文本框 3" o:spid="_x0000_s1026" o:spt="202" type="#_x0000_t202" style="position:absolute;left:0pt;margin-left:-3.2pt;margin-top:5.3pt;height:55.6pt;width:79.35pt;mso-wrap-distance-left:9pt;mso-wrap-distance-right:9pt;z-index:-251654144;mso-width-relative:page;mso-height-relative:page;" filled="f" stroked="f" coordsize="21600,21600" wrapcoords="0 0 0 21600 21600 21600 21600 0 0 0" o:gfxdata="UEsDBAoAAAAAAIdO4kAAAAAAAAAAAAAAAAAEAAAAZHJzL1BLAwQUAAAACACHTuJA4TMe7NcAAAAJ&#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4TMe7NcAAAAJAQAADwAAAAAAAAABACAAAAAiAAAAZHJzL2Rvd25yZXYueG1sUEsBAhQAFAAA&#10;AAgAh07iQOB8JP+3AQAAXAMAAA4AAAAAAAAAAQAgAAAAJgEAAGRycy9lMm9Eb2MueG1sUEsFBgAA&#10;AAAGAAYAWQEAAE8FAAAAAA==&#10;">
                <v:fill on="f" focussize="0,0"/>
                <v:stroke on="f"/>
                <v:imagedata o:title=""/>
                <o:lock v:ext="edit" aspectratio="f"/>
                <v:textbox>
                  <w:txbxContent>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合同文件组成</w:t>
                      </w:r>
                    </w:p>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及优先顺序</w:t>
                      </w:r>
                    </w:p>
                  </w:txbxContent>
                </v:textbox>
                <w10:wrap type="tight"/>
              </v:shape>
            </w:pict>
          </mc:Fallback>
        </mc:AlternateContent>
      </w:r>
      <w:r>
        <w:rPr>
          <w:rFonts w:hint="eastAsia" w:ascii="仿宋_GB2312" w:hAnsi="仿宋_GB2312" w:eastAsia="仿宋_GB2312" w:cs="仿宋_GB2312"/>
          <w:color w:val="auto"/>
          <w:kern w:val="2"/>
          <w:sz w:val="24"/>
          <w:szCs w:val="24"/>
          <w:highlight w:val="none"/>
          <w:lang w:val="en-US" w:eastAsia="zh-CN" w:bidi="ar-SA"/>
        </w:rPr>
        <w:t>下列组成本合同的文件是一个合同整体，彼此应当能相互解释，互为说明。当出现相互矛盾时，组成本合同文件的优先解释顺序如下：</w:t>
      </w:r>
    </w:p>
    <w:p>
      <w:pPr>
        <w:widowControl w:val="0"/>
        <w:numPr>
          <w:ilvl w:val="0"/>
          <w:numId w:val="3"/>
        </w:numPr>
        <w:spacing w:line="420" w:lineRule="exact"/>
        <w:ind w:firstLine="54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 xml:space="preserve">履行本合同的相关补充协议（含工程洽商记录、会议纪要、 </w:t>
      </w:r>
    </w:p>
    <w:p>
      <w:pPr>
        <w:widowControl w:val="0"/>
        <w:numPr>
          <w:ilvl w:val="0"/>
          <w:numId w:val="0"/>
        </w:numPr>
        <w:spacing w:line="420" w:lineRule="exact"/>
        <w:ind w:left="1620" w:left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工程变更、现场签证、等修正文件）；</w:t>
      </w:r>
    </w:p>
    <w:p>
      <w:pPr>
        <w:widowControl w:val="0"/>
        <w:numPr>
          <w:ilvl w:val="0"/>
          <w:numId w:val="3"/>
        </w:numPr>
        <w:tabs>
          <w:tab w:val="left" w:pos="1620"/>
        </w:tabs>
        <w:spacing w:line="420" w:lineRule="exact"/>
        <w:ind w:left="1620" w:firstLine="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协议书；</w:t>
      </w:r>
    </w:p>
    <w:p>
      <w:pPr>
        <w:widowControl w:val="0"/>
        <w:numPr>
          <w:ilvl w:val="0"/>
          <w:numId w:val="3"/>
        </w:numPr>
        <w:spacing w:line="420" w:lineRule="exact"/>
        <w:ind w:firstLine="54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中标通知书；</w:t>
      </w:r>
    </w:p>
    <w:p>
      <w:pPr>
        <w:widowControl w:val="0"/>
        <w:numPr>
          <w:ilvl w:val="0"/>
          <w:numId w:val="3"/>
        </w:numPr>
        <w:tabs>
          <w:tab w:val="left" w:pos="1620"/>
        </w:tabs>
        <w:spacing w:line="420" w:lineRule="exact"/>
        <w:ind w:left="1620" w:leftChars="771"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承包人投标文件及其附件（含评标期间的澄清文件和补充资料）；</w:t>
      </w:r>
    </w:p>
    <w:p>
      <w:pPr>
        <w:widowControl w:val="0"/>
        <w:numPr>
          <w:ilvl w:val="0"/>
          <w:numId w:val="3"/>
        </w:numPr>
        <w:spacing w:line="420" w:lineRule="exact"/>
        <w:ind w:firstLine="54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专用条款；</w:t>
      </w:r>
    </w:p>
    <w:p>
      <w:pPr>
        <w:widowControl w:val="0"/>
        <w:numPr>
          <w:ilvl w:val="0"/>
          <w:numId w:val="3"/>
        </w:numPr>
        <w:spacing w:line="420" w:lineRule="exact"/>
        <w:ind w:firstLine="54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通用条款；</w:t>
      </w:r>
    </w:p>
    <w:p>
      <w:pPr>
        <w:widowControl w:val="0"/>
        <w:numPr>
          <w:ilvl w:val="0"/>
          <w:numId w:val="3"/>
        </w:numPr>
        <w:spacing w:line="420" w:lineRule="exact"/>
        <w:ind w:firstLine="54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标准、规范及有关技术文件；</w:t>
      </w:r>
    </w:p>
    <w:p>
      <w:pPr>
        <w:widowControl w:val="0"/>
        <w:numPr>
          <w:ilvl w:val="0"/>
          <w:numId w:val="3"/>
        </w:numPr>
        <w:spacing w:line="420" w:lineRule="exact"/>
        <w:ind w:left="1077" w:firstLine="54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施工设计图纸；</w:t>
      </w:r>
    </w:p>
    <w:p>
      <w:pPr>
        <w:widowControl w:val="0"/>
        <w:numPr>
          <w:ilvl w:val="0"/>
          <w:numId w:val="3"/>
        </w:numPr>
        <w:spacing w:line="420" w:lineRule="exact"/>
        <w:ind w:left="1077" w:firstLine="54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 xml:space="preserve">招标文件（包括补充、修改、澄清的文件、招标图纸、答疑 </w:t>
      </w:r>
    </w:p>
    <w:p>
      <w:pPr>
        <w:widowControl w:val="0"/>
        <w:numPr>
          <w:ilvl w:val="0"/>
          <w:numId w:val="0"/>
        </w:numPr>
        <w:spacing w:line="420" w:lineRule="exact"/>
        <w:ind w:left="1617" w:left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纪要、工程量清单及总说明等）；</w:t>
      </w:r>
    </w:p>
    <w:p>
      <w:pPr>
        <w:widowControl w:val="0"/>
        <w:numPr>
          <w:ilvl w:val="0"/>
          <w:numId w:val="3"/>
        </w:numPr>
        <w:spacing w:line="420" w:lineRule="exact"/>
        <w:ind w:left="1077" w:firstLine="54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专用条款约定的其他文件。</w:t>
      </w:r>
    </w:p>
    <w:p>
      <w:pPr>
        <w:spacing w:line="420" w:lineRule="exact"/>
        <w:ind w:left="1529" w:leftChars="728" w:firstLine="0" w:firstLine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上述各项合同文件包括合同当事人就该项合同文件所作出的补充和修改，属于同一类内容的文件，应以最新签署的为准。</w:t>
      </w:r>
    </w:p>
    <w:p>
      <w:pPr>
        <w:widowControl w:val="0"/>
        <w:tabs>
          <w:tab w:val="left" w:pos="540"/>
          <w:tab w:val="left" w:pos="1202"/>
        </w:tabs>
        <w:spacing w:line="420" w:lineRule="exact"/>
        <w:jc w:val="both"/>
        <w:rPr>
          <w:rFonts w:ascii="宋体" w:hAnsi="宋体" w:eastAsia="宋体" w:cs="宋体"/>
          <w:b/>
          <w:bCs/>
          <w:color w:val="auto"/>
          <w:kern w:val="2"/>
          <w:sz w:val="22"/>
          <w:szCs w:val="22"/>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 xml:space="preserve">2.3 </w:t>
      </w:r>
      <w:r>
        <w:rPr>
          <w:rFonts w:hint="eastAsia" w:ascii="宋体" w:hAnsi="宋体" w:eastAsia="宋体" w:cs="宋体"/>
          <w:b/>
          <w:bCs/>
          <w:color w:val="auto"/>
          <w:kern w:val="2"/>
          <w:sz w:val="22"/>
          <w:szCs w:val="22"/>
          <w:highlight w:val="none"/>
          <w:lang w:val="en-US" w:eastAsia="zh-CN" w:bidi="ar-SA"/>
        </w:rPr>
        <w:t xml:space="preserve"> </w:t>
      </w:r>
      <w:r>
        <w:rPr>
          <w:rFonts w:hint="eastAsia" w:ascii="宋体" w:hAnsi="宋体" w:eastAsia="宋体" w:cs="宋体"/>
          <w:b/>
          <w:bCs/>
          <w:color w:val="auto"/>
          <w:kern w:val="2"/>
          <w:sz w:val="22"/>
          <w:szCs w:val="22"/>
          <w:highlight w:val="none"/>
          <w:u w:val="dotted"/>
          <w:lang w:val="en-US" w:eastAsia="zh-CN" w:bidi="ar-SA"/>
        </w:rPr>
        <w:t xml:space="preserve">                                                                                        </w:t>
      </w:r>
    </w:p>
    <w:p>
      <w:pPr>
        <w:spacing w:line="420" w:lineRule="exact"/>
        <w:ind w:left="1529" w:leftChars="728"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23" name="文本框 4"/>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wps:txbx>
                      <wps:bodyPr wrap="square" upright="1"/>
                    </wps:wsp>
                  </a:graphicData>
                </a:graphic>
              </wp:anchor>
            </w:drawing>
          </mc:Choice>
          <mc:Fallback>
            <w:pict>
              <v:shape id="文本框 4" o:spid="_x0000_s1026" o:spt="202" type="#_x0000_t202" style="position:absolute;left:0pt;margin-left:-9pt;margin-top:0pt;height:62.4pt;width:72pt;z-index:251663360;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qTZUc1QAAAAgBAAAPAAAAAAAAAAEAIAAAACIAAABkcnMvZG93bnJldi54bWxQSwECFAAUAAAA&#10;CACHTuJATnrRVbgBAABdAwAADgAAAAAAAAABACAAAAAkAQAAZHJzL2Uyb0RvYy54bWxQSwUGAAAA&#10;AAYABgBZAQAATgUAAAAA&#10;">
                <v:fill on="f" focussize="0,0"/>
                <v:stroke on="f"/>
                <v:imagedata o:title=""/>
                <o:lock v:ext="edit" aspectratio="f"/>
                <v:textbox>
                  <w:txbxContent>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当合同文件内容出现含糊不清或不一致时，由合同双方当事人在不影响合同工程正常实施的情况下协商解决。协商不成的，由监理工程师、造价工程师分别按照第23.2款、第24.2款规定职权作出解释。如合同任何一方当事人不同意监理工程师或造价工程师作出的解释，按照第86条规定处理。</w:t>
      </w:r>
    </w:p>
    <w:p>
      <w:pPr>
        <w:spacing w:line="420" w:lineRule="exact"/>
        <w:jc w:val="lef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399" w:name="_Toc469383982"/>
      <w:bookmarkStart w:id="400" w:name="_Toc10624822"/>
      <w:r>
        <w:rPr>
          <w:rFonts w:hint="eastAsia" w:ascii="黑体" w:hAnsi="黑体" w:eastAsia="黑体" w:cs="黑体"/>
          <w:b w:val="0"/>
          <w:bCs/>
          <w:color w:val="auto"/>
          <w:kern w:val="0"/>
          <w:sz w:val="24"/>
          <w:szCs w:val="24"/>
          <w:highlight w:val="none"/>
          <w:lang w:val="en-US" w:eastAsia="zh-CN" w:bidi="ar-SA"/>
        </w:rPr>
        <w:t>3  阅读、理解与接受</w:t>
      </w:r>
      <w:bookmarkEnd w:id="399"/>
      <w:bookmarkEnd w:id="400"/>
    </w:p>
    <w:p>
      <w:pPr>
        <w:tabs>
          <w:tab w:val="left" w:pos="1260"/>
        </w:tabs>
        <w:spacing w:before="240" w:beforeLines="100" w:line="420" w:lineRule="exact"/>
        <w:rPr>
          <w:rFonts w:ascii="宋体" w:hAnsi="宋体" w:cs="宋体"/>
          <w:b/>
          <w:bCs/>
          <w:color w:val="auto"/>
          <w:sz w:val="22"/>
          <w:szCs w:val="22"/>
          <w:highlight w:val="none"/>
        </w:rPr>
      </w:pPr>
      <w:r>
        <w:rPr>
          <w:rFonts w:hint="eastAsia" w:ascii="仿宋_GB2312" w:hAnsi="仿宋_GB2312" w:eastAsia="仿宋_GB2312" w:cs="仿宋_GB2312"/>
          <w:b/>
          <w:bCs/>
          <w:color w:val="auto"/>
          <w:sz w:val="24"/>
          <w:szCs w:val="24"/>
          <w:highlight w:val="none"/>
        </w:rPr>
        <w:t xml:space="preserve">3.1 </w:t>
      </w:r>
    </w:p>
    <w:p>
      <w:pPr>
        <w:spacing w:line="420" w:lineRule="exact"/>
        <w:ind w:left="1529" w:leftChars="728"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24" name="文本框 5"/>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wrap="square" upright="1"/>
                    </wps:wsp>
                  </a:graphicData>
                </a:graphic>
              </wp:anchor>
            </w:drawing>
          </mc:Choice>
          <mc:Fallback>
            <w:pict>
              <v:shape id="文本框 5" o:spid="_x0000_s1026" o:spt="202" type="#_x0000_t202" style="position:absolute;left:0pt;margin-left:-9pt;margin-top:0pt;height:62.4pt;width:72pt;z-index:251664384;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qTZUc1QAAAAgBAAAPAAAAAAAAAAEAIAAAACIAAABkcnMvZG93bnJldi54bWxQSwECFAAUAAAA&#10;CACHTuJAbrrtfrgBAABdAwAADgAAAAAAAAABACAAAAAkAQAAZHJzL2Uyb0RvYy54bWxQSwUGAAAA&#10;AAYABgBZAQAATgUAAAAA&#10;">
                <v:fill on="f" focussize="0,0"/>
                <v:stroke on="f"/>
                <v:imagedata o:title=""/>
                <o:lock v:ext="edit" aspectratio="f"/>
                <v:textbox>
                  <w:txbxContent>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合同双方当事人应认真阅读和理解本合同的全部内容。除合同双方当事人同意修改外，本合同一旦订立，视为合同双方当事人已全面接受本合同的所有条款。</w:t>
      </w:r>
    </w:p>
    <w:p>
      <w:pPr>
        <w:widowControl w:val="0"/>
        <w:tabs>
          <w:tab w:val="left" w:pos="2160"/>
        </w:tabs>
        <w:spacing w:before="192" w:beforeLines="80" w:line="420" w:lineRule="exact"/>
        <w:ind w:left="1485" w:hanging="1485" w:hangingChars="675"/>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5" name="文本框 6"/>
                <wp:cNvGraphicFramePr/>
                <a:graphic xmlns:a="http://schemas.openxmlformats.org/drawingml/2006/main">
                  <a:graphicData uri="http://schemas.microsoft.com/office/word/2010/wordprocessingShape">
                    <wps:wsp>
                      <wps:cNvSpPr txBox="1"/>
                      <wps:spPr>
                        <a:xfrm>
                          <a:off x="0" y="0"/>
                          <a:ext cx="952500" cy="792480"/>
                        </a:xfrm>
                        <a:prstGeom prst="rect">
                          <a:avLst/>
                        </a:prstGeom>
                        <a:noFill/>
                        <a:ln>
                          <a:noFill/>
                        </a:ln>
                      </wps:spPr>
                      <wps:txbx>
                        <w:txbxContent>
                          <w:p>
                            <w:pPr>
                              <w:tabs>
                                <w:tab w:val="left" w:pos="1620"/>
                              </w:tabs>
                              <w:spacing w:line="420" w:lineRule="exact"/>
                              <w:ind w:left="1977" w:right="-7" w:hanging="1617" w:hangingChars="895"/>
                              <w:rPr>
                                <w:rFonts w:hint="eastAsia" w:ascii="楷体_GB2312" w:hAnsi="Calibri" w:eastAsia="楷体_GB2312" w:cs="楷体_GB2312"/>
                                <w:b/>
                                <w:bCs/>
                                <w:color w:val="000000"/>
                                <w:sz w:val="18"/>
                                <w:szCs w:val="18"/>
                              </w:rPr>
                            </w:pPr>
                            <w:r>
                              <w:rPr>
                                <w:rFonts w:hint="eastAsia" w:ascii="楷体_GB2312" w:hAnsi="Calibri" w:eastAsia="楷体_GB2312" w:cs="楷体_GB2312"/>
                                <w:b/>
                                <w:bCs/>
                                <w:color w:val="000000"/>
                                <w:sz w:val="18"/>
                                <w:szCs w:val="18"/>
                              </w:rPr>
                              <w:t>修改合同条款的限制</w:t>
                            </w:r>
                          </w:p>
                        </w:txbxContent>
                      </wps:txbx>
                      <wps:bodyPr wrap="square" upright="1"/>
                    </wps:wsp>
                  </a:graphicData>
                </a:graphic>
              </wp:anchor>
            </w:drawing>
          </mc:Choice>
          <mc:Fallback>
            <w:pict>
              <v:shape id="文本框 6" o:spid="_x0000_s1026" o:spt="202" type="#_x0000_t202" style="position:absolute;left:0pt;margin-left:-9pt;margin-top:31.2pt;height:62.4pt;width:75pt;z-index:251665408;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kXlQ7YAAAACgEAAA8AAAAAAAAAAQAgAAAAIgAAAGRycy9kb3ducmV2LnhtbFBLAQIUABQA&#10;AAAIAIdO4kBzMQ5mtwEAAFsDAAAOAAAAAAAAAAEAIAAAACcBAABkcnMvZTJvRG9jLnhtbFBLBQYA&#10;AAAABgAGAFkBAABQBQAAAAA=&#10;">
                <v:fill on="f" focussize="0,0"/>
                <v:stroke on="f"/>
                <v:imagedata o:title=""/>
                <o:lock v:ext="edit" aspectratio="f"/>
                <v:textbox>
                  <w:txbxContent>
                    <w:p>
                      <w:pPr>
                        <w:tabs>
                          <w:tab w:val="left" w:pos="1620"/>
                        </w:tabs>
                        <w:spacing w:line="420" w:lineRule="exact"/>
                        <w:ind w:left="1977" w:right="-7" w:hanging="1617" w:hangingChars="895"/>
                        <w:rPr>
                          <w:rFonts w:hint="eastAsia" w:ascii="楷体_GB2312" w:hAnsi="Calibri" w:eastAsia="楷体_GB2312" w:cs="楷体_GB2312"/>
                          <w:b/>
                          <w:bCs/>
                          <w:color w:val="000000"/>
                          <w:sz w:val="18"/>
                          <w:szCs w:val="18"/>
                        </w:rPr>
                      </w:pPr>
                      <w:r>
                        <w:rPr>
                          <w:rFonts w:hint="eastAsia" w:ascii="楷体_GB2312" w:hAnsi="Calibri" w:eastAsia="楷体_GB2312" w:cs="楷体_GB2312"/>
                          <w:b/>
                          <w:bCs/>
                          <w:color w:val="000000"/>
                          <w:sz w:val="18"/>
                          <w:szCs w:val="18"/>
                        </w:rPr>
                        <w:t>修改合同条款的限制</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3.2  </w:t>
      </w:r>
      <w:r>
        <w:rPr>
          <w:rFonts w:hint="eastAsia" w:ascii="宋体" w:hAnsi="宋体" w:eastAsia="宋体" w:cs="宋体"/>
          <w:b/>
          <w:bCs/>
          <w:color w:val="auto"/>
          <w:kern w:val="2"/>
          <w:sz w:val="22"/>
          <w:szCs w:val="22"/>
          <w:highlight w:val="none"/>
          <w:u w:val="dotted"/>
          <w:lang w:val="en-US" w:eastAsia="zh-CN" w:bidi="ar-SA"/>
        </w:rPr>
        <w:t xml:space="preserve">                                                                               </w:t>
      </w:r>
    </w:p>
    <w:p>
      <w:pPr>
        <w:spacing w:line="420" w:lineRule="exact"/>
        <w:ind w:left="1529" w:leftChars="728"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01" w:name="_Toc10624823"/>
      <w:bookmarkStart w:id="402" w:name="_Toc469383983"/>
      <w:r>
        <w:rPr>
          <w:rFonts w:hint="eastAsia" w:ascii="黑体" w:hAnsi="黑体" w:eastAsia="黑体" w:cs="黑体"/>
          <w:b w:val="0"/>
          <w:bCs/>
          <w:color w:val="auto"/>
          <w:kern w:val="0"/>
          <w:sz w:val="24"/>
          <w:szCs w:val="24"/>
          <w:highlight w:val="none"/>
          <w:lang w:val="en-US" w:eastAsia="zh-CN" w:bidi="ar-SA"/>
        </w:rPr>
        <w:t>4  语言及适用的法律、标准与规范</w:t>
      </w:r>
      <w:bookmarkEnd w:id="401"/>
      <w:bookmarkEnd w:id="402"/>
    </w:p>
    <w:p>
      <w:pPr>
        <w:tabs>
          <w:tab w:val="left" w:pos="1320"/>
        </w:tabs>
        <w:spacing w:line="420" w:lineRule="exact"/>
        <w:ind w:right="-15" w:rightChars="-7"/>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4.1                         </w:t>
      </w:r>
    </w:p>
    <w:p>
      <w:pPr>
        <w:tabs>
          <w:tab w:val="left" w:pos="1620"/>
        </w:tabs>
        <w:spacing w:line="420" w:lineRule="exact"/>
        <w:ind w:left="1977" w:right="-7" w:hanging="1617" w:hangingChars="895"/>
        <w:rPr>
          <w:rFonts w:hint="eastAsia" w:ascii="仿宋_GB2312" w:hAnsi="仿宋_GB2312" w:eastAsia="仿宋_GB2312" w:cs="仿宋_GB2312"/>
          <w:color w:val="auto"/>
          <w:sz w:val="24"/>
          <w:szCs w:val="24"/>
          <w:highlight w:val="none"/>
        </w:rPr>
      </w:pPr>
      <w:r>
        <w:rPr>
          <w:rFonts w:hint="eastAsia" w:ascii="楷体_GB2312" w:hAnsi="Calibri" w:eastAsia="楷体_GB2312" w:cs="楷体_GB2312"/>
          <w:b/>
          <w:bCs/>
          <w:color w:val="auto"/>
          <w:sz w:val="18"/>
          <w:szCs w:val="18"/>
          <w:highlight w:val="none"/>
        </w:rPr>
        <w:t>语言文字</w:t>
      </w:r>
      <w:r>
        <w:rPr>
          <w:rFonts w:hint="eastAsia" w:ascii="宋体" w:hAnsi="宋体" w:cs="宋体"/>
          <w:b/>
          <w:bCs/>
          <w:color w:val="auto"/>
          <w:sz w:val="22"/>
          <w:szCs w:val="22"/>
          <w:highlight w:val="none"/>
        </w:rPr>
        <w:t xml:space="preserve">  </w:t>
      </w:r>
      <w:r>
        <w:rPr>
          <w:rFonts w:hint="eastAsia" w:ascii="宋体" w:hAnsi="宋体" w:cs="宋体"/>
          <w:color w:val="auto"/>
          <w:sz w:val="22"/>
          <w:szCs w:val="22"/>
          <w:highlight w:val="none"/>
        </w:rPr>
        <w:t xml:space="preserve">   </w:t>
      </w:r>
      <w:r>
        <w:rPr>
          <w:rFonts w:hint="eastAsia" w:ascii="仿宋_GB2312" w:hAnsi="仿宋_GB2312" w:eastAsia="仿宋_GB2312" w:cs="仿宋_GB2312"/>
          <w:color w:val="auto"/>
          <w:sz w:val="24"/>
          <w:szCs w:val="24"/>
          <w:highlight w:val="none"/>
        </w:rPr>
        <w:t xml:space="preserve"> 本合同所使用的语言文字为中文（汉语）。</w:t>
      </w:r>
    </w:p>
    <w:p>
      <w:pPr>
        <w:tabs>
          <w:tab w:val="left" w:pos="1620"/>
        </w:tabs>
        <w:spacing w:line="420" w:lineRule="exact"/>
        <w:ind w:left="1436" w:leftChars="684" w:firstLine="0" w:firstLineChars="0"/>
        <w:rPr>
          <w:rFonts w:ascii="宋体" w:hAnsi="宋体" w:cs="宋体"/>
          <w:color w:val="auto"/>
          <w:sz w:val="22"/>
          <w:szCs w:val="22"/>
          <w:highlight w:val="none"/>
        </w:rPr>
      </w:pPr>
      <w:r>
        <w:rPr>
          <w:rFonts w:hint="eastAsia" w:ascii="仿宋_GB2312" w:hAnsi="仿宋_GB2312" w:eastAsia="仿宋_GB2312" w:cs="仿宋_GB2312"/>
          <w:color w:val="auto"/>
          <w:sz w:val="24"/>
          <w:szCs w:val="24"/>
          <w:highlight w:val="none"/>
        </w:rPr>
        <w:t>对于必须使用外文表达的专用术语等，应附有中文注释。合同当事人在合同中使用两种以上语言时，汉语为优先解释和说明合同的语言。</w:t>
      </w:r>
    </w:p>
    <w:p>
      <w:pPr>
        <w:tabs>
          <w:tab w:val="left" w:pos="1320"/>
        </w:tabs>
        <w:spacing w:line="420" w:lineRule="exact"/>
        <w:ind w:right="-7"/>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4.2  </w:t>
      </w:r>
      <w:r>
        <w:rPr>
          <w:rFonts w:hint="eastAsia" w:ascii="宋体" w:hAnsi="宋体" w:cs="宋体"/>
          <w:b/>
          <w:bCs/>
          <w:color w:val="auto"/>
          <w:sz w:val="22"/>
          <w:szCs w:val="22"/>
          <w:highlight w:val="none"/>
          <w:u w:val="dotted"/>
        </w:rPr>
        <w:t xml:space="preserve">                                                                                        </w:t>
      </w:r>
    </w:p>
    <w:p>
      <w:pPr>
        <w:widowControl w:val="0"/>
        <w:spacing w:line="420" w:lineRule="exact"/>
        <w:ind w:left="1617" w:leftChars="770" w:firstLine="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6" name="文本框 7"/>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pPr>
                              <w:rPr>
                                <w:rFonts w:ascii="楷体_GB2312" w:hAnsi="Calibri" w:eastAsia="楷体_GB2312" w:cs="Times New Roman"/>
                                <w:sz w:val="18"/>
                                <w:szCs w:val="18"/>
                              </w:rPr>
                            </w:pPr>
                            <w:r>
                              <w:rPr>
                                <w:rFonts w:hint="eastAsia" w:ascii="楷体_GB2312" w:hAnsi="Calibri" w:eastAsia="楷体_GB2312" w:cs="楷体_GB2312"/>
                                <w:b/>
                                <w:bCs/>
                                <w:color w:val="000000"/>
                                <w:sz w:val="18"/>
                                <w:szCs w:val="18"/>
                              </w:rPr>
                              <w:t>适用法律</w:t>
                            </w:r>
                          </w:p>
                        </w:txbxContent>
                      </wps:txbx>
                      <wps:bodyPr wrap="square" upright="1"/>
                    </wps:wsp>
                  </a:graphicData>
                </a:graphic>
              </wp:anchor>
            </w:drawing>
          </mc:Choice>
          <mc:Fallback>
            <w:pict>
              <v:shape id="文本框 7" o:spid="_x0000_s1026" o:spt="202" type="#_x0000_t202" style="position:absolute;left:0pt;margin-left:-9pt;margin-top:3pt;height:36pt;width:81pt;z-index:251666432;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kc&#10;JrPUAAAACAEAAA8AAAAAAAAAAQAgAAAAIgAAAGRycy9kb3ducmV2LnhtbFBLAQIUABQAAAAIAIdO&#10;4kDahuwotQEAAFwDAAAOAAAAAAAAAAEAIAAAACMBAABkcnMvZTJvRG9jLnhtbFBLBQYAAAAABgAG&#10;AFkBAABKBQAAAAA=&#10;">
                <v:fill on="f" focussize="0,0"/>
                <v:stroke on="f"/>
                <v:imagedata o:title=""/>
                <o:lock v:ext="edit" aspectratio="f"/>
                <v:textbox>
                  <w:txbxContent>
                    <w:p>
                      <w:pPr>
                        <w:rPr>
                          <w:rFonts w:ascii="楷体_GB2312" w:hAnsi="Calibri" w:eastAsia="楷体_GB2312" w:cs="Times New Roman"/>
                          <w:sz w:val="18"/>
                          <w:szCs w:val="18"/>
                        </w:rPr>
                      </w:pPr>
                      <w:r>
                        <w:rPr>
                          <w:rFonts w:hint="eastAsia" w:ascii="楷体_GB2312" w:hAnsi="Calibri" w:eastAsia="楷体_GB2312" w:cs="楷体_GB2312"/>
                          <w:b/>
                          <w:bCs/>
                          <w:color w:val="000000"/>
                          <w:sz w:val="18"/>
                          <w:szCs w:val="18"/>
                        </w:rPr>
                        <w:t>适用法律</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本合同适用的法律为中华人民共和国的现行法律、行政法规、部门规章和合同工程所在地的地方性法规、地方政府规章、行政规范性文件。</w:t>
      </w:r>
    </w:p>
    <w:p>
      <w:pPr>
        <w:tabs>
          <w:tab w:val="left" w:pos="1320"/>
        </w:tabs>
        <w:spacing w:line="420" w:lineRule="exact"/>
        <w:ind w:right="-7"/>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4.3  </w:t>
      </w:r>
      <w:r>
        <w:rPr>
          <w:rFonts w:hint="eastAsia" w:ascii="宋体" w:hAnsi="宋体" w:cs="宋体"/>
          <w:b/>
          <w:bCs/>
          <w:color w:val="auto"/>
          <w:sz w:val="22"/>
          <w:szCs w:val="22"/>
          <w:highlight w:val="none"/>
          <w:u w:val="dotted"/>
        </w:rPr>
        <w:t xml:space="preserve">                                                                                        </w:t>
      </w:r>
    </w:p>
    <w:p>
      <w:pPr>
        <w:spacing w:line="420" w:lineRule="exact"/>
        <w:ind w:left="1619"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7" name="文本框 8"/>
                <wp:cNvGraphicFramePr/>
                <a:graphic xmlns:a="http://schemas.openxmlformats.org/drawingml/2006/main">
                  <a:graphicData uri="http://schemas.microsoft.com/office/word/2010/wordprocessingShape">
                    <wps:wsp>
                      <wps:cNvSpPr txBox="1"/>
                      <wps:spPr>
                        <a:xfrm>
                          <a:off x="0" y="0"/>
                          <a:ext cx="1028700" cy="441960"/>
                        </a:xfrm>
                        <a:prstGeom prst="rect">
                          <a:avLst/>
                        </a:prstGeom>
                        <a:noFill/>
                        <a:ln>
                          <a:noFill/>
                        </a:ln>
                      </wps:spPr>
                      <wps:txbx>
                        <w:txbxContent>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w:t>
                            </w:r>
                          </w:p>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范</w:t>
                            </w:r>
                          </w:p>
                        </w:txbxContent>
                      </wps:txbx>
                      <wps:bodyPr wrap="square" upright="1"/>
                    </wps:wsp>
                  </a:graphicData>
                </a:graphic>
              </wp:anchor>
            </w:drawing>
          </mc:Choice>
          <mc:Fallback>
            <w:pict>
              <v:shape id="文本框 8" o:spid="_x0000_s1026" o:spt="202" type="#_x0000_t202" style="position:absolute;left:0pt;margin-left:-9pt;margin-top:0pt;height:34.8pt;width:81pt;z-index:251667456;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Lju9UAAAAHAQAADwAAAAAAAAABACAAAAAiAAAAZHJzL2Rvd25yZXYueG1sUEsBAhQAFAAAAAgA&#10;h07iQDwbd4S2AQAAXAMAAA4AAAAAAAAAAQAgAAAAJAEAAGRycy9lMm9Eb2MueG1sUEsFBgAAAAAG&#10;AAYAWQEAAEwFAAAAAA==&#10;">
                <v:fill on="f" focussize="0,0"/>
                <v:stroke on="f"/>
                <v:imagedata o:title=""/>
                <o:lock v:ext="edit" aspectratio="f"/>
                <v:textbox>
                  <w:txbxContent>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w:t>
                      </w:r>
                    </w:p>
                    <w:p>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hint="eastAsia" w:ascii="仿宋_GB2312" w:hAnsi="仿宋_GB2312" w:eastAsia="仿宋_GB2312" w:cs="仿宋_GB2312"/>
          <w:color w:val="auto"/>
          <w:sz w:val="24"/>
          <w:szCs w:val="24"/>
          <w:highlight w:val="none"/>
        </w:rPr>
        <w:t>本合同适用的标准与规范为国家、行业和广东省的标准与规范或规程，以及发包人在合同中要求使用的标准与规范。</w:t>
      </w:r>
    </w:p>
    <w:p>
      <w:pPr>
        <w:spacing w:line="420" w:lineRule="exact"/>
        <w:ind w:left="1619"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合同双方当事人在专用条款中约定适用的国家标准、规范名称；国家没有但行业有的，约定适用的行业标准、规范名称；国家和行业没有但广东省有的，约定适用的广东省地方标准、规范名称。   </w:t>
      </w:r>
    </w:p>
    <w:p>
      <w:pPr>
        <w:spacing w:line="420" w:lineRule="exact"/>
        <w:ind w:left="1619" w:leftChars="771" w:firstLine="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u w:val="single"/>
        </w:rPr>
        <w:t xml:space="preserve">                                                                              </w:t>
      </w:r>
      <w:bookmarkStart w:id="403" w:name="_Toc469383984"/>
      <w:bookmarkStart w:id="404" w:name="_Toc10624824"/>
      <w:r>
        <w:rPr>
          <w:rFonts w:hint="eastAsia" w:ascii="黑体" w:hAnsi="黑体" w:eastAsia="黑体" w:cs="黑体"/>
          <w:b w:val="0"/>
          <w:bCs/>
          <w:color w:val="auto"/>
          <w:kern w:val="0"/>
          <w:sz w:val="24"/>
          <w:szCs w:val="24"/>
          <w:highlight w:val="none"/>
          <w:lang w:val="en-US" w:eastAsia="zh-CN" w:bidi="ar-SA"/>
        </w:rPr>
        <w:t>5  施工设计图纸</w:t>
      </w:r>
      <w:bookmarkEnd w:id="403"/>
      <w:bookmarkEnd w:id="404"/>
    </w:p>
    <w:p>
      <w:pPr>
        <w:widowControl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5.1 </w:t>
      </w:r>
    </w:p>
    <w:p>
      <w:pPr>
        <w:spacing w:line="420" w:lineRule="exact"/>
        <w:ind w:left="1619"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8" name="文本框 9"/>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pPr>
                              <w:tabs>
                                <w:tab w:val="left" w:pos="1620"/>
                              </w:tabs>
                              <w:spacing w:line="420" w:lineRule="exact"/>
                              <w:ind w:left="1977" w:right="-7" w:hanging="1617" w:hangingChars="895"/>
                              <w:rPr>
                                <w:rFonts w:hint="eastAsia" w:ascii="楷体_GB2312" w:hAnsi="Calibri" w:eastAsia="楷体_GB2312" w:cs="楷体_GB2312"/>
                                <w:b/>
                                <w:bCs/>
                                <w:color w:val="000000"/>
                                <w:sz w:val="18"/>
                                <w:szCs w:val="18"/>
                              </w:rPr>
                            </w:pPr>
                            <w:r>
                              <w:rPr>
                                <w:rFonts w:hint="eastAsia" w:ascii="楷体_GB2312" w:hAnsi="Calibri" w:eastAsia="楷体_GB2312" w:cs="楷体_GB2312"/>
                                <w:b/>
                                <w:bCs/>
                                <w:color w:val="000000"/>
                                <w:sz w:val="18"/>
                                <w:szCs w:val="18"/>
                              </w:rPr>
                              <w:t>图纸的提供</w:t>
                            </w:r>
                          </w:p>
                        </w:txbxContent>
                      </wps:txbx>
                      <wps:bodyPr wrap="square" upright="1"/>
                    </wps:wsp>
                  </a:graphicData>
                </a:graphic>
              </wp:anchor>
            </w:drawing>
          </mc:Choice>
          <mc:Fallback>
            <w:pict>
              <v:shape id="文本框 9" o:spid="_x0000_s1026" o:spt="202" type="#_x0000_t202" style="position:absolute;left:0pt;margin-left:-9pt;margin-top:1.6pt;height:71.8pt;width:63pt;z-index:251668480;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u&#10;C7Fm1gAAAAkBAAAPAAAAAAAAAAEAIAAAACIAAABkcnMvZG93bnJldi54bWxQSwECFAAUAAAACACH&#10;TuJA1aEVhrQBAABbAwAADgAAAAAAAAABACAAAAAlAQAAZHJzL2Uyb0RvYy54bWxQSwUGAAAAAAYA&#10;BgBZAQAASwUAAAAA&#10;">
                <v:fill on="f" focussize="0,0"/>
                <v:stroke on="f"/>
                <v:imagedata o:title=""/>
                <o:lock v:ext="edit" aspectratio="f"/>
                <v:textbox>
                  <w:txbxContent>
                    <w:p>
                      <w:pPr>
                        <w:tabs>
                          <w:tab w:val="left" w:pos="1620"/>
                        </w:tabs>
                        <w:spacing w:line="420" w:lineRule="exact"/>
                        <w:ind w:left="1977" w:right="-7" w:hanging="1617" w:hangingChars="895"/>
                        <w:rPr>
                          <w:rFonts w:hint="eastAsia" w:ascii="楷体_GB2312" w:hAnsi="Calibri" w:eastAsia="楷体_GB2312" w:cs="楷体_GB2312"/>
                          <w:b/>
                          <w:bCs/>
                          <w:color w:val="000000"/>
                          <w:sz w:val="18"/>
                          <w:szCs w:val="18"/>
                        </w:rPr>
                      </w:pPr>
                      <w:r>
                        <w:rPr>
                          <w:rFonts w:hint="eastAsia" w:ascii="楷体_GB2312" w:hAnsi="Calibri" w:eastAsia="楷体_GB2312" w:cs="楷体_GB2312"/>
                          <w:b/>
                          <w:bCs/>
                          <w:color w:val="000000"/>
                          <w:sz w:val="18"/>
                          <w:szCs w:val="18"/>
                        </w:rPr>
                        <w:t>图纸的提供</w:t>
                      </w:r>
                    </w:p>
                  </w:txbxContent>
                </v:textbox>
              </v:shape>
            </w:pict>
          </mc:Fallback>
        </mc:AlternateContent>
      </w:r>
      <w:r>
        <w:rPr>
          <w:rFonts w:hint="eastAsia" w:ascii="仿宋_GB2312" w:hAnsi="仿宋_GB2312" w:eastAsia="仿宋_GB2312" w:cs="仿宋_GB2312"/>
          <w:color w:val="auto"/>
          <w:sz w:val="24"/>
          <w:szCs w:val="24"/>
          <w:highlight w:val="none"/>
        </w:rPr>
        <w:t xml:space="preserve">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36.3款规定处理。 </w:t>
      </w:r>
    </w:p>
    <w:p>
      <w:pPr>
        <w:widowControl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5.2  </w:t>
      </w:r>
      <w:r>
        <w:rPr>
          <w:rFonts w:hint="eastAsia" w:ascii="宋体" w:hAnsi="宋体" w:eastAsia="宋体" w:cs="宋体"/>
          <w:b/>
          <w:bCs/>
          <w:color w:val="auto"/>
          <w:kern w:val="2"/>
          <w:sz w:val="22"/>
          <w:szCs w:val="22"/>
          <w:highlight w:val="none"/>
          <w:u w:val="dotted"/>
          <w:lang w:val="en-US" w:eastAsia="zh-CN" w:bidi="ar-SA"/>
        </w:rPr>
        <w:t xml:space="preserve">                                                                              </w:t>
      </w:r>
    </w:p>
    <w:p>
      <w:pPr>
        <w:spacing w:line="420" w:lineRule="exact"/>
        <w:ind w:left="1619" w:leftChars="771"/>
        <w:rPr>
          <w:rFonts w:ascii="宋体" w:hAnsi="宋体" w:cs="宋体"/>
          <w:b/>
          <w:bCs/>
          <w:color w:val="auto"/>
          <w:sz w:val="22"/>
          <w:szCs w:val="22"/>
          <w:highlight w:val="none"/>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9" name="文本框 10"/>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承包人提供配合施工的图纸</w:t>
                            </w:r>
                          </w:p>
                        </w:txbxContent>
                      </wps:txbx>
                      <wps:bodyPr wrap="square" upright="1"/>
                    </wps:wsp>
                  </a:graphicData>
                </a:graphic>
              </wp:anchor>
            </w:drawing>
          </mc:Choice>
          <mc:Fallback>
            <w:pict>
              <v:shape id="文本框 10" o:spid="_x0000_s1026" o:spt="202" type="#_x0000_t202" style="position:absolute;left:0pt;margin-left:-9pt;margin-top:0pt;height:71.8pt;width:63pt;z-index:251669504;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ivt&#10;2NQAAAAIAQAADwAAAAAAAAABACAAAAAiAAAAZHJzL2Rvd25yZXYueG1sUEsBAhQAFAAAAAgAh07i&#10;QJg4QR+0AQAAXAMAAA4AAAAAAAAAAQAgAAAAIwEAAGRycy9lMm9Eb2MueG1sUEsFBgAAAAAGAAYA&#10;WQEAAEk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承包人提供配合施工的图纸</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ascii="宋体" w:hAnsi="宋体" w:cs="宋体"/>
          <w:color w:val="auto"/>
          <w:sz w:val="22"/>
          <w:szCs w:val="22"/>
          <w:highlight w:val="none"/>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0" name="文本框 11"/>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宋体" w:hAnsi="Calibri" w:cs="Times New Roman"/>
                                <w:sz w:val="18"/>
                                <w:szCs w:val="18"/>
                              </w:rPr>
                            </w:pPr>
                            <w:r>
                              <w:rPr>
                                <w:rFonts w:hint="eastAsia" w:ascii="楷体_GB2312" w:hAnsi="宋体" w:eastAsia="楷体_GB2312" w:cs="楷体_GB2312"/>
                                <w:b/>
                                <w:bCs/>
                                <w:color w:val="000000"/>
                                <w:sz w:val="18"/>
                                <w:szCs w:val="18"/>
                              </w:rPr>
                              <w:t>图纸的修改</w:t>
                            </w:r>
                          </w:p>
                        </w:txbxContent>
                      </wps:txbx>
                      <wps:bodyPr wrap="square" upright="1"/>
                    </wps:wsp>
                  </a:graphicData>
                </a:graphic>
              </wp:anchor>
            </w:drawing>
          </mc:Choice>
          <mc:Fallback>
            <w:pict>
              <v:shape id="文本框 11"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bKZwHVAAAACAEAAA8AAAAAAAAAAQAgAAAAIgAAAGRycy9kb3ducmV2LnhtbFBLAQIUABQAAAAI&#10;AIdO4kCNvfAmtwEAAF0DAAAOAAAAAAAAAAEAIAAAACQBAABkcnMvZTJvRG9jLnhtbFBLBQYAAAAA&#10;BgAGAFkBAABNBQAAAAA=&#10;">
                <v:fill on="f" focussize="0,0"/>
                <v:stroke on="f"/>
                <v:imagedata o:title=""/>
                <o:lock v:ext="edit" aspectratio="f"/>
                <v:textbox>
                  <w:txbxContent>
                    <w:p>
                      <w:pPr>
                        <w:rPr>
                          <w:rFonts w:ascii="宋体" w:hAnsi="Calibri" w:cs="Times New Roman"/>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5.4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1" name="文本框 12"/>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wps:txbx>
                      <wps:bodyPr wrap="square" upright="1"/>
                    </wps:wsp>
                  </a:graphicData>
                </a:graphic>
              </wp:anchor>
            </w:drawing>
          </mc:Choice>
          <mc:Fallback>
            <w:pict>
              <v:shape id="文本框 12" o:spid="_x0000_s1026" o:spt="202" type="#_x0000_t202" style="position:absolute;left:0pt;margin-left:-9pt;margin-top:0pt;height:51.1pt;width:72pt;z-index:251671552;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bKZwHVAAAACAEAAA8AAAAAAAAAAQAgAAAAIgAAAGRycy9kb3ducmV2LnhtbFBLAQIUABQAAAAI&#10;AIdO4kBFyPedtwEAAF0DAAAOAAAAAAAAAAEAIAAAACQBAABkcnMvZTJvRG9jLnhtbFBLBQYAAAAA&#10;BgAGAFkBAABN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5.5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2" name="文本框 13"/>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wps:txbx>
                      <wps:bodyPr wrap="square" upright="1"/>
                    </wps:wsp>
                  </a:graphicData>
                </a:graphic>
              </wp:anchor>
            </w:drawing>
          </mc:Choice>
          <mc:Fallback>
            <w:pict>
              <v:shape id="文本框 13" o:spid="_x0000_s1026" o:spt="202" type="#_x0000_t202" style="position:absolute;left:0pt;margin-left:-9pt;margin-top:0pt;height:51.1pt;width:72pt;z-index:251672576;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2ymcB1QAAAAgBAAAPAAAAAAAAAAEAIAAAACIAAABkcnMvZG93bnJldi54bWxQSwECFAAUAAAA&#10;CACHTuJArSqB8LgBAABdAwAADgAAAAAAAAABACAAAAAk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施工期间，承包人和监理工程师均应在施工现场保留一套完整的包括第5.1款、第5.2款、第5.3款规定内容的施工设计图纸供实施合同工程过程需要时使用。本合同终止后，除承包人存档需要的施工设计图纸外，承包人应将全部施工设计图纸退还给发包人。</w:t>
      </w:r>
    </w:p>
    <w:p>
      <w:pPr>
        <w:tabs>
          <w:tab w:val="left" w:pos="162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u w:val="single"/>
        </w:rPr>
        <w:t xml:space="preserve">                                                                                     </w:t>
      </w:r>
      <w:bookmarkStart w:id="405" w:name="_Toc10624825"/>
      <w:bookmarkStart w:id="406" w:name="_Toc469383985"/>
      <w:r>
        <w:rPr>
          <w:rFonts w:hint="eastAsia" w:ascii="黑体" w:hAnsi="黑体" w:eastAsia="黑体" w:cs="黑体"/>
          <w:b w:val="0"/>
          <w:bCs/>
          <w:color w:val="auto"/>
          <w:kern w:val="0"/>
          <w:sz w:val="24"/>
          <w:szCs w:val="24"/>
          <w:highlight w:val="none"/>
          <w:lang w:val="en-US" w:eastAsia="zh-CN" w:bidi="ar-SA"/>
        </w:rPr>
        <w:t>6  通讯联络</w:t>
      </w:r>
      <w:bookmarkEnd w:id="405"/>
      <w:bookmarkEnd w:id="406"/>
    </w:p>
    <w:p>
      <w:pPr>
        <w:widowControl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6.1   </w:t>
      </w:r>
    </w:p>
    <w:p>
      <w:pPr>
        <w:tabs>
          <w:tab w:val="left" w:pos="1620"/>
        </w:tabs>
        <w:spacing w:line="420" w:lineRule="exact"/>
        <w:ind w:left="1977" w:hanging="1617" w:hangingChars="895"/>
        <w:rPr>
          <w:rFonts w:hint="eastAsia" w:ascii="仿宋_GB2312" w:hAnsi="仿宋_GB2312" w:eastAsia="仿宋_GB2312" w:cs="仿宋_GB2312"/>
          <w:color w:val="auto"/>
          <w:sz w:val="24"/>
          <w:szCs w:val="24"/>
          <w:highlight w:val="none"/>
        </w:rPr>
      </w:pPr>
      <w:r>
        <w:rPr>
          <w:rFonts w:hint="eastAsia" w:ascii="楷体_GB2312" w:hAnsi="宋体" w:eastAsia="楷体_GB2312" w:cs="楷体_GB2312"/>
          <w:b/>
          <w:bCs/>
          <w:color w:val="auto"/>
          <w:sz w:val="18"/>
          <w:szCs w:val="18"/>
          <w:highlight w:val="none"/>
        </w:rPr>
        <w:t>通讯形式</w:t>
      </w:r>
      <w:r>
        <w:rPr>
          <w:rFonts w:hint="eastAsia" w:ascii="宋体" w:hAnsi="宋体" w:cs="宋体"/>
          <w:b/>
          <w:bCs/>
          <w:color w:val="auto"/>
          <w:sz w:val="22"/>
          <w:szCs w:val="22"/>
          <w:highlight w:val="none"/>
        </w:rPr>
        <w:t xml:space="preserve">     </w:t>
      </w:r>
      <w:r>
        <w:rPr>
          <w:rFonts w:hint="eastAsia" w:ascii="宋体" w:hAnsi="宋体" w:cs="宋体"/>
          <w:b/>
          <w:bCs/>
          <w:color w:val="auto"/>
          <w:sz w:val="22"/>
          <w:szCs w:val="22"/>
          <w:highlight w:val="none"/>
          <w:lang w:val="en-US" w:eastAsia="zh-CN"/>
        </w:rPr>
        <w:t xml:space="preserve"> </w:t>
      </w:r>
      <w:r>
        <w:rPr>
          <w:rFonts w:hint="eastAsia" w:ascii="仿宋_GB2312" w:hAnsi="仿宋_GB2312" w:eastAsia="仿宋_GB2312" w:cs="仿宋_GB2312"/>
          <w:b/>
          <w:bCs/>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pPr>
        <w:widowControl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13" name="文本框 14"/>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wps:txbx>
                      <wps:bodyPr wrap="square" upright="1"/>
                    </wps:wsp>
                  </a:graphicData>
                </a:graphic>
              </wp:anchor>
            </w:drawing>
          </mc:Choice>
          <mc:Fallback>
            <w:pict>
              <v:shape id="文本框 14" o:spid="_x0000_s1026" o:spt="202" type="#_x0000_t202" style="position:absolute;left:0pt;margin-left:-9pt;margin-top:0pt;height:23.4pt;width:63pt;z-index:251673600;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zvT69QAAAAHAQAADwAAAAAAAAABACAAAAAiAAAAZHJzL2Rvd25yZXYueG1sUEsBAhQAFAAAAAgA&#10;h07iQPnShuq3AQAAXQMAAA4AAAAAAAAAAQAgAAAAIwEAAGRycy9lMm9Eb2MueG1sUEsFBgAAAAAG&#10;AAYAWQEAAEw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中无论何处涉及到各方之间的通讯都不应无理扣压或拖延。合同双方当事人应在专用条款中约定各方通讯地址和收件人，并按照约定期限内送达指定地点和接收人。收件人应在通讯回执上签署姓名和时间。一方当事人拒绝签收另一方当事人通讯，另一方当事人以特快专递、挂号信等专用条款约定的方式将通讯送至通讯地址的，视为送达。</w:t>
      </w:r>
    </w:p>
    <w:p>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07" w:name="_Toc469383986"/>
      <w:bookmarkStart w:id="408" w:name="_Toc10624826"/>
      <w:r>
        <w:rPr>
          <w:rFonts w:hint="eastAsia" w:ascii="黑体" w:hAnsi="黑体" w:eastAsia="黑体" w:cs="黑体"/>
          <w:b w:val="0"/>
          <w:bCs/>
          <w:color w:val="auto"/>
          <w:kern w:val="0"/>
          <w:sz w:val="24"/>
          <w:szCs w:val="24"/>
          <w:highlight w:val="none"/>
          <w:lang w:val="en-US" w:eastAsia="zh-CN" w:bidi="ar-SA"/>
        </w:rPr>
        <w:t>7  工程分包</w:t>
      </w:r>
      <w:bookmarkEnd w:id="407"/>
      <w:bookmarkEnd w:id="408"/>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14" name="文本框 15"/>
                <wp:cNvGraphicFramePr/>
                <a:graphic xmlns:a="http://schemas.openxmlformats.org/drawingml/2006/main">
                  <a:graphicData uri="http://schemas.microsoft.com/office/word/2010/wordprocessingShape">
                    <wps:wsp>
                      <wps:cNvSpPr txBox="1"/>
                      <wps:spPr>
                        <a:xfrm>
                          <a:off x="0" y="0"/>
                          <a:ext cx="1028700" cy="45021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wps:txbx>
                      <wps:bodyPr wrap="square" upright="1"/>
                    </wps:wsp>
                  </a:graphicData>
                </a:graphic>
              </wp:anchor>
            </w:drawing>
          </mc:Choice>
          <mc:Fallback>
            <w:pict>
              <v:shape id="文本框 15" o:spid="_x0000_s1026" o:spt="202" type="#_x0000_t202" style="position:absolute;left:0pt;margin-left:-9pt;margin-top:16.7pt;height:35.45pt;width:81pt;z-index:251674624;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SdDtV1wAAAAoBAAAPAAAAAAAAAAEAIAAAACIAAABkcnMvZG93bnJldi54bWxQSwECFAAUAAAA&#10;CACHTuJAdTy/NLYBAABeAwAADgAAAAAAAAABACAAAAAm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承包人应自己实施、完成合同工程的主体结构。承包人不得将其承包的全部工程或将其肢解后以分包的名义转包给第三方，也不得将合同工程主体结构、关键性工作分包给第三方。</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15" name="文本框 16"/>
                <wp:cNvGraphicFramePr/>
                <a:graphic xmlns:a="http://schemas.openxmlformats.org/drawingml/2006/main">
                  <a:graphicData uri="http://schemas.microsoft.com/office/word/2010/wordprocessingShape">
                    <wps:wsp>
                      <wps:cNvSpPr txBox="1"/>
                      <wps:spPr>
                        <a:xfrm>
                          <a:off x="0" y="0"/>
                          <a:ext cx="1028700" cy="7874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wps:txbx>
                      <wps:bodyPr wrap="square" upright="1"/>
                    </wps:wsp>
                  </a:graphicData>
                </a:graphic>
              </wp:anchor>
            </w:drawing>
          </mc:Choice>
          <mc:Fallback>
            <w:pict>
              <v:shape id="文本框 16" o:spid="_x0000_s1026" o:spt="202" type="#_x0000_t202" style="position:absolute;left:0pt;margin-left:-9pt;margin-top:9.6pt;height:62pt;width:81pt;z-index:251675648;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M4tS/XAAAACgEAAA8AAAAAAAAAAQAgAAAAIgAAAGRycy9kb3ducmV2LnhtbFBLAQIUABQAAAAI&#10;AIdO4kCxHoKbtQEAAF4DAAAOAAAAAAAAAAEAIAAAACY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7.2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承包人可依法将部分工程分包给具有相应分包资质的分包人，但未经发包人同意，承包人不得将工程的任何部分或任何工作分包给第三方。下列情况则属例外：</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（1）施工劳务作业分包；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（2）按照合同约定的标准购买材料和工程设备；</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（3）合同中已指定的分包工程。</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16" name="文本框 17"/>
                <wp:cNvGraphicFramePr/>
                <a:graphic xmlns:a="http://schemas.openxmlformats.org/drawingml/2006/main">
                  <a:graphicData uri="http://schemas.microsoft.com/office/word/2010/wordprocessingShape">
                    <wps:wsp>
                      <wps:cNvSpPr txBox="1"/>
                      <wps:spPr>
                        <a:xfrm>
                          <a:off x="0" y="0"/>
                          <a:ext cx="1028700" cy="30543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wps:txbx>
                      <wps:bodyPr wrap="square" upright="1"/>
                    </wps:wsp>
                  </a:graphicData>
                </a:graphic>
              </wp:anchor>
            </w:drawing>
          </mc:Choice>
          <mc:Fallback>
            <w:pict>
              <v:shape id="文本框 17" o:spid="_x0000_s1026" o:spt="202" type="#_x0000_t202" style="position:absolute;left:0pt;margin-left:-9pt;margin-top:0pt;height:24.05pt;width:81pt;z-index:251676672;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JN+cNQAAAAHAQAADwAAAAAAAAABACAAAAAiAAAAZHJzL2Rvd25yZXYueG1sUEsBAhQAFAAAAAgA&#10;h07iQPUBuKG3AQAAXgMAAA4AAAAAAAAAAQAgAAAAIwEAAGRycy9lMm9Eb2MueG1sUEsFBgAAAAAG&#10;AAYAWQEAAEw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承包人分包工程的，应与分包人签订分包合同，并在分包合同签订后的7天内向发包人和监理工程师、造价工程师各提交一份分包合同。承包人有义务禁止分包人将分包工程再次分包。</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17" name="文本框 1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wrap="square" upright="1"/>
                    </wps:wsp>
                  </a:graphicData>
                </a:graphic>
              </wp:anchor>
            </w:drawing>
          </mc:Choice>
          <mc:Fallback>
            <w:pict>
              <v:shape id="文本框 18" o:spid="_x0000_s1026" o:spt="202" type="#_x0000_t202" style="position:absolute;left:0pt;margin-left:-9pt;margin-top:15.95pt;height:39pt;width:72pt;z-index:251677696;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gFcj1wAAAAoBAAAPAAAAAAAAAAEAIAAAACIAAABkcnMvZG93bnJldi54bWxQSwECFAAUAAAA&#10;CACHTuJAQKge6LYBAABdAwAADgAAAAAAAAABACAAAAAm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分包工程款由承包人与分包人结算。除合同另有约定或取得承包人的同意外，发包人应将分包工程款按专用条款约定的支付方式全部支付给承包人，禁止发包人直接向分包人支付任何工程款。</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如发包人有要求时，承包人应提供能证明自己已向分包人支付其分包工程款等证明资料。否则，发包人有权直接向分包人支付承包人应支付而未支付的分包工程款，并在承包人得到的工程款中扣除。</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18" name="文本框 1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wps:txbx>
                      <wps:bodyPr wrap="square" upright="1"/>
                    </wps:wsp>
                  </a:graphicData>
                </a:graphic>
              </wp:anchor>
            </w:drawing>
          </mc:Choice>
          <mc:Fallback>
            <w:pict>
              <v:shape id="文本框 19" o:spid="_x0000_s1026" o:spt="202" type="#_x0000_t202" style="position:absolute;left:0pt;margin-left:-9pt;margin-top:16.15pt;height:39pt;width:72pt;z-index:251678720;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Bw+3LXAAAACgEAAA8AAAAAAAAAAQAgAAAAIgAAAGRycy9kb3ducmV2LnhtbFBLAQIUABQAAAAI&#10;AIdO4kC4vcyQtQEAAF0DAAAOAAAAAAAAAAEAIAAAACYBAABkcnMvZTJvRG9jLnhtbFBLBQYAAAAA&#10;BgAGAFkBAABNBQ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工程分包不能免除承包人应承担的任何责任和应履行的任何义务。承包人应在分包场地派驻相应管理人员保证本合同的履行。分包人应对分包工程负责。分包人的任何违约行为或疏忽导致工程损坏、损害或给发包人造成损失的，承包人应承担连带责任。</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19" name="文本框 20"/>
                <wp:cNvGraphicFramePr/>
                <a:graphic xmlns:a="http://schemas.openxmlformats.org/drawingml/2006/main">
                  <a:graphicData uri="http://schemas.microsoft.com/office/word/2010/wordprocessingShape">
                    <wps:wsp>
                      <wps:cNvSpPr txBox="1"/>
                      <wps:spPr>
                        <a:xfrm>
                          <a:off x="0" y="0"/>
                          <a:ext cx="914400" cy="28003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wps:txbx>
                      <wps:bodyPr wrap="square" upright="1"/>
                    </wps:wsp>
                  </a:graphicData>
                </a:graphic>
              </wp:anchor>
            </w:drawing>
          </mc:Choice>
          <mc:Fallback>
            <w:pict>
              <v:shape id="文本框 20" o:spid="_x0000_s1026" o:spt="202" type="#_x0000_t202" style="position:absolute;left:0pt;margin-left:-9pt;margin-top:18.05pt;height:22.05pt;width:72pt;z-index:251679744;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hzHMrWAAAACQEAAA8AAAAAAAAAAQAgAAAAIgAAAGRycy9kb3ducmV2LnhtbFBLAQIUABQAAAAI&#10;AIdO4kATz/TktgEAAF0DAAAOAAAAAAAAAAEAIAAAACUBAABkcnMvZTJvRG9jLnhtbFBLBQYAAAAA&#10;BgAGAFkBAABN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7.6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无论何种原因，当本合同终止时，分包人与承包人签订的分包合同也随即终止。承包人应在本合同终止前向分包人支付分包人应得所有款项。</w:t>
      </w:r>
    </w:p>
    <w:p>
      <w:pPr>
        <w:widowControl w:val="0"/>
        <w:tabs>
          <w:tab w:val="left" w:pos="1260"/>
        </w:tabs>
        <w:adjustRightInd w:val="0"/>
        <w:snapToGrid w:val="0"/>
        <w:spacing w:before="120" w:beforeLines="50"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09" w:name="_Toc469383987"/>
      <w:bookmarkStart w:id="410" w:name="_Toc10624827"/>
      <w:r>
        <w:rPr>
          <w:rFonts w:hint="eastAsia" w:ascii="黑体" w:hAnsi="黑体" w:eastAsia="黑体" w:cs="黑体"/>
          <w:b w:val="0"/>
          <w:bCs/>
          <w:color w:val="auto"/>
          <w:kern w:val="0"/>
          <w:sz w:val="24"/>
          <w:szCs w:val="24"/>
          <w:highlight w:val="none"/>
          <w:lang w:val="en-US" w:eastAsia="zh-CN" w:bidi="ar-SA"/>
        </w:rPr>
        <w:t>8  现场查勘</w:t>
      </w:r>
      <w:bookmarkEnd w:id="409"/>
      <w:bookmarkEnd w:id="410"/>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236855</wp:posOffset>
                </wp:positionV>
                <wp:extent cx="914400" cy="495300"/>
                <wp:effectExtent l="0" t="0" r="0" b="0"/>
                <wp:wrapNone/>
                <wp:docPr id="20" name="文本框 21"/>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wps:txbx>
                      <wps:bodyPr wrap="square" upright="1"/>
                    </wps:wsp>
                  </a:graphicData>
                </a:graphic>
              </wp:anchor>
            </w:drawing>
          </mc:Choice>
          <mc:Fallback>
            <w:pict>
              <v:shape id="文本框 21" o:spid="_x0000_s1026" o:spt="202" type="#_x0000_t202" style="position:absolute;left:0pt;margin-left:-9pt;margin-top:18.65pt;height:39pt;width:72pt;z-index:251680768;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qBJj9gAAAAKAQAADwAAAAAAAAABACAAAAAiAAAAZHJzL2Rvd25yZXYueG1sUEsBAhQAFAAA&#10;AAgAh07iQGoXNLS2AQAAXQMAAA4AAAAAAAAAAQAgAAAAJw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8.1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应按照第19.2款第（4）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425" name="文本框 22"/>
                <wp:cNvGraphicFramePr/>
                <a:graphic xmlns:a="http://schemas.openxmlformats.org/drawingml/2006/main">
                  <a:graphicData uri="http://schemas.microsoft.com/office/word/2010/wordprocessingShape">
                    <wps:wsp>
                      <wps:cNvSpPr txBox="1"/>
                      <wps:spPr>
                        <a:xfrm>
                          <a:off x="0" y="0"/>
                          <a:ext cx="914400" cy="50038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wps:txbx>
                      <wps:bodyPr wrap="square" upright="1"/>
                    </wps:wsp>
                  </a:graphicData>
                </a:graphic>
              </wp:anchor>
            </w:drawing>
          </mc:Choice>
          <mc:Fallback>
            <w:pict>
              <v:shape id="文本框 22" o:spid="_x0000_s1026" o:spt="202" type="#_x0000_t202" style="position:absolute;left:0pt;margin-left:-9pt;margin-top:0pt;height:39.4pt;width:72pt;z-index:251681792;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WmKUfUAAAABwEAAA8AAAAAAAAAAQAgAAAAIgAAAGRycy9kb3ducmV2LnhtbFBLAQIUABQAAAAI&#10;AIdO4kAXvdNIuAEAAF4DAAAOAAAAAAAAAAEAIAAAACMBAABkcnMvZTJvRG9jLnhtbFBLBQYAAAAA&#10;BgAGAFkBAABNBQ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依据发包人按照第19.2款第（4）点规定提供的资料和自己对现场查勘来编制投标文件，并对发包人提供上述资料的理解、推断和应用负责。因承包人未能充分查勘、了解以下情况或未能充分估计以下情况所可能产生后果的，承包人承担由此增加的费用和（或）延误的工期。承包人的投标文件应被认为已经考虑了现场及其周围环境的影响，包括但不限于以下内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（1）现场地质情况及地形地貌特征；</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（2）水文和气候条件；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（3）为实施、完成并保修合同工程所需的临时工程和措施项目；</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（4）为实施、完成并保修合同工程所需的材料采购和加工、设备的采购，及所需的施工设备、周转性材料、人员和管理等；</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（5）场地内外的交通情况及水、电、食宿供应条件；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（6）可能对投标报价有影响或起作用的其他情况。</w:t>
      </w:r>
    </w:p>
    <w:p>
      <w:pPr>
        <w:widowControl w:val="0"/>
        <w:adjustRightInd w:val="0"/>
        <w:snapToGrid w:val="0"/>
        <w:spacing w:line="420" w:lineRule="exact"/>
        <w:ind w:right="-238"/>
        <w:jc w:val="both"/>
        <w:rPr>
          <w:rFonts w:ascii="宋体" w:hAnsi="宋体" w:eastAsia="宋体" w:cs="宋体"/>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11" w:name="_Toc10624828"/>
      <w:bookmarkStart w:id="412" w:name="_Toc469383988"/>
      <w:r>
        <w:rPr>
          <w:rFonts w:hint="eastAsia" w:ascii="黑体" w:hAnsi="黑体" w:eastAsia="黑体" w:cs="黑体"/>
          <w:b w:val="0"/>
          <w:bCs/>
          <w:color w:val="auto"/>
          <w:kern w:val="0"/>
          <w:sz w:val="24"/>
          <w:szCs w:val="24"/>
          <w:highlight w:val="none"/>
          <w:lang w:val="en-US" w:eastAsia="zh-CN" w:bidi="ar-SA"/>
        </w:rPr>
        <w:t>9  招标错失的修正</w:t>
      </w:r>
      <w:bookmarkEnd w:id="411"/>
      <w:bookmarkEnd w:id="412"/>
    </w:p>
    <w:p>
      <w:pPr>
        <w:widowControl w:val="0"/>
        <w:adjustRightInd w:val="0"/>
        <w:snapToGrid w:val="0"/>
        <w:spacing w:before="240" w:beforeLines="100"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82816"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22" name="文本框 23"/>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widowControl w:val="0"/>
                              <w:tabs>
                                <w:tab w:val="left" w:pos="2160"/>
                              </w:tabs>
                              <w:spacing w:before="192" w:beforeLines="80"/>
                              <w:jc w:val="both"/>
                              <w:rPr>
                                <w:rFonts w:ascii="楷体_GB2312" w:hAnsi="宋体" w:eastAsia="楷体_GB2312" w:cs="Times New Roman"/>
                                <w:color w:val="FF00FF"/>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合同条款及格式完备性和义务</w:t>
                            </w:r>
                          </w:p>
                          <w:p>
                            <w:pPr>
                              <w:rPr>
                                <w:rFonts w:ascii="Times New Roman" w:hAnsi="Times New Roman" w:cs="Times New Roman"/>
                                <w:sz w:val="18"/>
                                <w:szCs w:val="18"/>
                              </w:rPr>
                            </w:pPr>
                          </w:p>
                        </w:txbxContent>
                      </wps:txbx>
                      <wps:bodyPr wrap="square" upright="1"/>
                    </wps:wsp>
                  </a:graphicData>
                </a:graphic>
              </wp:anchor>
            </w:drawing>
          </mc:Choice>
          <mc:Fallback>
            <w:pict>
              <v:shape id="文本框 23" o:spid="_x0000_s1026" o:spt="202" type="#_x0000_t202" style="position:absolute;left:0pt;margin-left:-4.8pt;margin-top:31.35pt;height:62.4pt;width:72pt;z-index:251682816;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XDqoDXAAAACQEAAA8AAAAAAAAAAQAgAAAAIgAAAGRycy9kb3ducmV2LnhtbFBLAQIUABQA&#10;AAAIAIdO4kDxvHGZuAEAAF0DAAAOAAAAAAAAAAEAIAAAACYBAABkcnMvZTJvRG9jLnhtbFBLBQYA&#10;AAAABgAGAFkBAABQBQAAAAA=&#10;">
                <v:fill on="f" focussize="0,0"/>
                <v:stroke on="f"/>
                <v:imagedata o:title=""/>
                <o:lock v:ext="edit" aspectratio="f"/>
                <v:textbox>
                  <w:txbxContent>
                    <w:p>
                      <w:pPr>
                        <w:widowControl w:val="0"/>
                        <w:tabs>
                          <w:tab w:val="left" w:pos="2160"/>
                        </w:tabs>
                        <w:spacing w:before="192" w:beforeLines="80"/>
                        <w:jc w:val="both"/>
                        <w:rPr>
                          <w:rFonts w:ascii="楷体_GB2312" w:hAnsi="宋体" w:eastAsia="楷体_GB2312" w:cs="Times New Roman"/>
                          <w:color w:val="FF00FF"/>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合同条款及格式完备性和义务</w:t>
                      </w:r>
                    </w:p>
                    <w:p>
                      <w:pPr>
                        <w:rPr>
                          <w:rFonts w:ascii="Times New Roman" w:hAnsi="Times New Roman"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9.1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发包人招标文件中的合同条款及格式，应被认为是正确的和公平的，并已包括了发包人履行本合同的全部义务，包括但不限于以下内容：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（1）支付工程款及其他应付款项的义务；</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（2）完成本合同第19.2款约定工作的义务；</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（3）修正不正确合同条款及格式的义务；</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（4）澄清并改正被认定有失公平的合同条款的义务；</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（5）协助承包人实施、完成并保修合同工程的义务。</w:t>
      </w:r>
    </w:p>
    <w:p>
      <w:pPr>
        <w:widowControl w:val="0"/>
        <w:tabs>
          <w:tab w:val="left" w:pos="2160"/>
        </w:tabs>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83840"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23" name="文本框 24"/>
                <wp:cNvGraphicFramePr/>
                <a:graphic xmlns:a="http://schemas.openxmlformats.org/drawingml/2006/main">
                  <a:graphicData uri="http://schemas.microsoft.com/office/word/2010/wordprocessingShape">
                    <wps:wsp>
                      <wps:cNvSpPr txBox="1"/>
                      <wps:spPr>
                        <a:xfrm>
                          <a:off x="0" y="0"/>
                          <a:ext cx="914400" cy="829310"/>
                        </a:xfrm>
                        <a:prstGeom prst="rect">
                          <a:avLst/>
                        </a:prstGeom>
                        <a:noFill/>
                        <a:ln>
                          <a:noFill/>
                        </a:ln>
                      </wps:spPr>
                      <wps:txbx>
                        <w:txbxContent>
                          <w:p>
                            <w:pPr>
                              <w:widowControl w:val="0"/>
                              <w:tabs>
                                <w:tab w:val="left" w:pos="2160"/>
                              </w:tabs>
                              <w:spacing w:before="192" w:beforeLines="80"/>
                              <w:jc w:val="both"/>
                              <w:rPr>
                                <w:rFonts w:ascii="楷体_GB2312" w:hAnsi="宋体" w:eastAsia="楷体_GB2312" w:cs="Times New Roman"/>
                                <w:color w:val="FF00FF"/>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工程量清单准确性和修正</w:t>
                            </w:r>
                          </w:p>
                          <w:p>
                            <w:pPr>
                              <w:rPr>
                                <w:rFonts w:ascii="Times New Roman" w:hAnsi="Times New Roman" w:cs="Times New Roman"/>
                                <w:sz w:val="18"/>
                                <w:szCs w:val="18"/>
                              </w:rPr>
                            </w:pPr>
                          </w:p>
                        </w:txbxContent>
                      </wps:txbx>
                      <wps:bodyPr wrap="square" upright="1"/>
                    </wps:wsp>
                  </a:graphicData>
                </a:graphic>
              </wp:anchor>
            </w:drawing>
          </mc:Choice>
          <mc:Fallback>
            <w:pict>
              <v:shape id="文本框 24" o:spid="_x0000_s1026" o:spt="202" type="#_x0000_t202" style="position:absolute;left:0pt;margin-left:3.55pt;margin-top:14.75pt;height:65.3pt;width:72pt;z-index:251683840;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7jO2t1QAAAAgBAAAPAAAAAAAAAAEAIAAAACIAAABkcnMvZG93bnJldi54bWxQSwECFAAUAAAA&#10;CACHTuJA4XO1c7gBAABdAwAADgAAAAAAAAABACAAAAAkAQAAZHJzL2Uyb0RvYy54bWxQSwUGAAAA&#10;AAYABgBZAQAATgUAAAAA&#10;">
                <v:fill on="f" focussize="0,0"/>
                <v:stroke on="f"/>
                <v:imagedata o:title=""/>
                <o:lock v:ext="edit" aspectratio="f"/>
                <v:textbox>
                  <w:txbxContent>
                    <w:p>
                      <w:pPr>
                        <w:widowControl w:val="0"/>
                        <w:tabs>
                          <w:tab w:val="left" w:pos="2160"/>
                        </w:tabs>
                        <w:spacing w:before="192" w:beforeLines="80"/>
                        <w:jc w:val="both"/>
                        <w:rPr>
                          <w:rFonts w:ascii="楷体_GB2312" w:hAnsi="宋体" w:eastAsia="楷体_GB2312" w:cs="Times New Roman"/>
                          <w:color w:val="FF00FF"/>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工程量清单准确性和修正</w:t>
                      </w:r>
                    </w:p>
                    <w:p>
                      <w:pPr>
                        <w:rPr>
                          <w:rFonts w:ascii="Times New Roman" w:hAnsi="Times New Roman"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9.2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发包人招标文件提供的工程量清单及其招标控制价等资料，应被认为是准确的和完整的。当出现下列情形之一的，发包人应及时予以修正，并相应调整合同价款：</w:t>
      </w:r>
    </w:p>
    <w:p>
      <w:pPr>
        <w:tabs>
          <w:tab w:val="left" w:pos="4970"/>
        </w:tabs>
        <w:spacing w:line="420" w:lineRule="exact"/>
        <w:ind w:firstLine="1680" w:firstLineChars="7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（1）施工设计图纸发生变化的；</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（2）出现第68.2款规定调整合同价款事件的；</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（3）未按照国家、省有关计价规定编制的其它情形。</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（4）工程量清单存在缺项、漏项的；</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13" w:name="_Toc10624829"/>
      <w:bookmarkStart w:id="414" w:name="_Toc469383989"/>
      <w:r>
        <w:rPr>
          <w:rFonts w:hint="eastAsia" w:ascii="黑体" w:hAnsi="黑体" w:eastAsia="黑体" w:cs="黑体"/>
          <w:b w:val="0"/>
          <w:bCs/>
          <w:color w:val="auto"/>
          <w:kern w:val="0"/>
          <w:sz w:val="24"/>
          <w:szCs w:val="24"/>
          <w:highlight w:val="none"/>
          <w:lang w:val="en-US" w:eastAsia="zh-CN" w:bidi="ar-SA"/>
        </w:rPr>
        <w:t>10  投标文件的完备性</w:t>
      </w:r>
      <w:bookmarkEnd w:id="413"/>
      <w:bookmarkEnd w:id="414"/>
    </w:p>
    <w:p>
      <w:pPr>
        <w:widowControl w:val="0"/>
        <w:tabs>
          <w:tab w:val="left" w:pos="141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24" name="文本框 25"/>
                <wp:cNvGraphicFramePr/>
                <a:graphic xmlns:a="http://schemas.openxmlformats.org/drawingml/2006/main">
                  <a:graphicData uri="http://schemas.microsoft.com/office/word/2010/wordprocessingShape">
                    <wps:wsp>
                      <wps:cNvSpPr txBox="1"/>
                      <wps:spPr>
                        <a:xfrm>
                          <a:off x="0" y="0"/>
                          <a:ext cx="914400" cy="812800"/>
                        </a:xfrm>
                        <a:prstGeom prst="rect">
                          <a:avLst/>
                        </a:prstGeom>
                        <a:noFill/>
                        <a:ln>
                          <a:noFill/>
                        </a:ln>
                      </wps:spPr>
                      <wps:txbx>
                        <w:txbxContent>
                          <w:p>
                            <w:pPr>
                              <w:widowControl w:val="0"/>
                              <w:tabs>
                                <w:tab w:val="left" w:pos="2160"/>
                              </w:tabs>
                              <w:spacing w:before="192" w:beforeLines="80"/>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投标文件完备性和义务</w:t>
                            </w:r>
                          </w:p>
                        </w:txbxContent>
                      </wps:txbx>
                      <wps:bodyPr wrap="square" upright="1"/>
                    </wps:wsp>
                  </a:graphicData>
                </a:graphic>
              </wp:anchor>
            </w:drawing>
          </mc:Choice>
          <mc:Fallback>
            <w:pict>
              <v:shape id="文本框 25" o:spid="_x0000_s1026" o:spt="202" type="#_x0000_t202" style="position:absolute;left:0pt;margin-left:-9pt;margin-top:7.25pt;height:64pt;width:72pt;z-index:251684864;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bjyhrWAAAACgEAAA8AAAAAAAAAAQAgAAAAIgAAAGRycy9kb3ducmV2LnhtbFBLAQIUABQAAAAI&#10;AIdO4kCVavbJtgEAAF0DAAAOAAAAAAAAAAEAIAAAACUBAABkcnMvZTJvRG9jLnhtbFBLBQYAAAAA&#10;BgAGAFkBAABNBQAAAAA=&#10;">
                <v:fill on="f" focussize="0,0"/>
                <v:stroke on="f"/>
                <v:imagedata o:title=""/>
                <o:lock v:ext="edit" aspectratio="f"/>
                <v:textbox>
                  <w:txbxContent>
                    <w:p>
                      <w:pPr>
                        <w:widowControl w:val="0"/>
                        <w:tabs>
                          <w:tab w:val="left" w:pos="2160"/>
                        </w:tabs>
                        <w:spacing w:before="192" w:beforeLines="80"/>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投标文件完备性和义务</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10.1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承包人投标文件中的工程量清单所填单价和合价，应被认为是正确的和完备的，并已包括了承包人履行本合同的全部义务，包括但不限于以下内容：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（1）提供材料和工程设备、服务的义务及处理意外事件的义务；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（2）实施和完成合同工程的义务；</w:t>
      </w:r>
    </w:p>
    <w:p>
      <w:pPr>
        <w:tabs>
          <w:tab w:val="left" w:pos="4970"/>
        </w:tabs>
        <w:spacing w:line="420" w:lineRule="exact"/>
        <w:ind w:firstLine="1920" w:firstLineChars="8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（3）工程质量保修的一切义务。</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10.2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5" name="文本框 26"/>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wps:txbx>
                      <wps:bodyPr wrap="square" upright="1"/>
                    </wps:wsp>
                  </a:graphicData>
                </a:graphic>
              </wp:anchor>
            </w:drawing>
          </mc:Choice>
          <mc:Fallback>
            <w:pict>
              <v:shape id="文本框 26" o:spid="_x0000_s1026" o:spt="202" type="#_x0000_t202" style="position:absolute;left:0pt;margin-left:-9pt;margin-top:0.65pt;height:35.85pt;width:72pt;z-index:251685888;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Dv4xD1QAAAAgBAAAPAAAAAAAAAAEAIAAAACIAAABkcnMvZG93bnJldi54bWxQSwECFAAUAAAA&#10;CACHTuJAWf8NLrgBAABdAwAADgAAAAAAAAABACAAAAAkAQAAZHJzL2Uyb0RvYy54bWxQSwUGAAAA&#10;AAYABgBZAQAATgU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承包人投标文件中的工程量清单中没有填入单价或合价的清单项目，应认为该项目价款已包含在工程量清单的其他项目的单价或合价中，发包人将不另行支付。</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10.3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6" name="文本框 27"/>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wrap="square" upright="1"/>
                    </wps:wsp>
                  </a:graphicData>
                </a:graphic>
              </wp:anchor>
            </w:drawing>
          </mc:Choice>
          <mc:Fallback>
            <w:pict>
              <v:shape id="文本框 27" o:spid="_x0000_s1026" o:spt="202" type="#_x0000_t202" style="position:absolute;left:0pt;margin-left:-9pt;margin-top:0.65pt;height:35.85pt;width:72pt;z-index:251686912;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Dv4xD1QAAAAgBAAAPAAAAAAAAAAEAIAAAACIAAABkcnMvZG93bnJldi54bWxQSwECFAAUAAAA&#10;CACHTuJAsR17Q7gBAABdAwAADgAAAAAAAAABACAAAAAk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承包人投标文件中出现算术性错误，导致其实际总造价与报价总金额不一致时，合同双方当事人可按照国家、省有关规定予以修正，并相应调整合同价款。</w:t>
      </w:r>
    </w:p>
    <w:p>
      <w:pPr>
        <w:widowControl w:val="0"/>
        <w:adjustRightInd w:val="0"/>
        <w:snapToGrid w:val="0"/>
        <w:spacing w:line="420" w:lineRule="exact"/>
        <w:ind w:left="1491" w:leftChars="1" w:hanging="1489" w:hangingChars="674"/>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15" w:name="_Toc469383990"/>
      <w:bookmarkStart w:id="416" w:name="_Toc10624830"/>
      <w:r>
        <w:rPr>
          <w:rFonts w:hint="eastAsia" w:ascii="黑体" w:hAnsi="黑体" w:eastAsia="黑体" w:cs="黑体"/>
          <w:b w:val="0"/>
          <w:bCs/>
          <w:color w:val="auto"/>
          <w:kern w:val="0"/>
          <w:sz w:val="24"/>
          <w:szCs w:val="24"/>
          <w:highlight w:val="none"/>
          <w:lang w:val="en-US" w:eastAsia="zh-CN" w:bidi="ar-SA"/>
        </w:rPr>
        <w:t>11  文物和地下障碍物</w:t>
      </w:r>
      <w:bookmarkEnd w:id="415"/>
      <w:bookmarkEnd w:id="416"/>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11.1  </w:t>
      </w:r>
      <w:r>
        <w:rPr>
          <w:rFonts w:hint="eastAsia" w:ascii="宋体" w:hAnsi="宋体" w:eastAsia="宋体" w:cs="宋体"/>
          <w:color w:val="auto"/>
          <w:kern w:val="2"/>
          <w:sz w:val="22"/>
          <w:szCs w:val="22"/>
          <w:highlight w:val="none"/>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27" name="文本框 2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wps:txbx>
                      <wps:bodyPr wrap="square" upright="1"/>
                    </wps:wsp>
                  </a:graphicData>
                </a:graphic>
              </wp:anchor>
            </w:drawing>
          </mc:Choice>
          <mc:Fallback>
            <w:pict>
              <v:shape id="文本框 28" o:spid="_x0000_s1026" o:spt="202" type="#_x0000_t202" style="position:absolute;left:0pt;margin-left:-9pt;margin-top:-0.6pt;height:39pt;width:72pt;z-index:251687936;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2HuttYAAAAJAQAADwAAAAAAAAABACAAAAAiAAAAZHJzL2Rvd25yZXYueG1sUEsBAhQAFAAA&#10;AAgAh07iQJBSwiO4AQAAXQMAAA4AAAAAAAAAAQAgAAAAJQEAAGRycy9lMm9Eb2MueG1sUEsFBgAA&#10;AAAGAAYAWQEAAE8FA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4小时内以书面形式通知监理工程师和发包人。监理工程师应在收到通知后立即指令承包人继续保护好现场，并在收到通知后24小时内报告当地文物管理部门，合同双方当事人应按照文物管理部门的要求采取妥善保护措施。发包人承担由此增加的费用和（或）工期延误，并向承包人支付合理利润。</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如发现文物后隐瞒不报或报告不及时，导致上述文物丢失或遭受破坏的，由责任方赔偿损失，并承担相应的法律责任。</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28" name="文本框 2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wps:txbx>
                      <wps:bodyPr wrap="square" upright="1"/>
                    </wps:wsp>
                  </a:graphicData>
                </a:graphic>
              </wp:anchor>
            </w:drawing>
          </mc:Choice>
          <mc:Fallback>
            <w:pict>
              <v:shape id="文本框 29" o:spid="_x0000_s1026" o:spt="202" type="#_x0000_t202" style="position:absolute;left:0pt;margin-left:-9pt;margin-top:18.35pt;height:39pt;width:72pt;z-index:251688960;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z2d4NgAAAAKAQAADwAAAAAAAAABACAAAAAiAAAAZHJzL2Rvd25yZXYueG1sUEsBAhQAFAAA&#10;AAgAh07iQGhHEFu2AQAAXQMAAA4AAAAAAAAAAQAgAAAAJwEAAGRycy9lMm9Eb2MueG1sUEsFBgAA&#10;AAAGAAYAWQEAAE8FA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11.2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本合同已明确指出的地下障碍物（发包人招标文件提供的工程量清单有列明或提供的地质资料已明确反映的），应视为承包人在投标报价时已预见其对施工的影响，并已在合同价款中考虑。</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本合同未有明确指出的地下障碍物（发包人招标文件提供的工程量清单没列明或提供的地质资料不能明确反映的），在施工过程遇到时，承包人应于8小时内以书面形式通知监理工程师和发包人，并提出处置方案。监理工程师在收到处置方案后24小时内予以确认或提出修正方案，并发出施工指令。承包人应按照监理工程师指令进行施工。发包人应承担由此增加的费用和（或）延误的工期，并向承包人支付合理利润。</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17" w:name="_Toc469383991"/>
      <w:bookmarkStart w:id="418" w:name="_Toc10624831"/>
      <w:r>
        <w:rPr>
          <w:rFonts w:hint="eastAsia" w:ascii="黑体" w:hAnsi="黑体" w:eastAsia="黑体" w:cs="黑体"/>
          <w:b w:val="0"/>
          <w:bCs/>
          <w:color w:val="auto"/>
          <w:kern w:val="0"/>
          <w:sz w:val="24"/>
          <w:szCs w:val="24"/>
          <w:highlight w:val="none"/>
          <w:lang w:val="en-US" w:eastAsia="zh-CN" w:bidi="ar-SA"/>
        </w:rPr>
        <w:t>12  事故处理</w:t>
      </w:r>
      <w:bookmarkEnd w:id="417"/>
      <w:bookmarkEnd w:id="418"/>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29" name="文本框 30"/>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pPr>
                              <w:rPr>
                                <w:rFonts w:ascii="Times New Roman" w:hAnsi="Times New Roman" w:cs="Times New Roman"/>
                                <w:color w:val="000000"/>
                                <w:sz w:val="18"/>
                                <w:szCs w:val="18"/>
                              </w:rPr>
                            </w:pPr>
                          </w:p>
                        </w:txbxContent>
                      </wps:txbx>
                      <wps:bodyPr wrap="square" upright="1"/>
                    </wps:wsp>
                  </a:graphicData>
                </a:graphic>
              </wp:anchor>
            </w:drawing>
          </mc:Choice>
          <mc:Fallback>
            <w:pict>
              <v:shape id="文本框 30" o:spid="_x0000_s1026" o:spt="202" type="#_x0000_t202" style="position:absolute;left:0pt;margin-left:-9pt;margin-top:18.05pt;height:41.25pt;width:81pt;z-index:251689984;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QGxh/WAAAACgEAAA8AAAAAAAAAAQAgAAAAIgAAAGRycy9kb3ducmV2LnhtbFBLAQIUABQAAAAI&#10;AIdO4kC1FkU4tgEAAF4DAAAOAAAAAAAAAAEAIAAAACUBAABkcnMvZTJvRG9jLnhtbFBLBQYAAAAA&#10;BgAGAFkBAABN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pPr>
                        <w:rPr>
                          <w:rFonts w:ascii="Times New Roman" w:hAnsi="Times New Roman" w:cs="Times New Roman"/>
                          <w:color w:val="000000"/>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12.1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合同履行期间，合同工程发生质量与安全事故，承包人立即通知监理工程师和发包人。</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0" name="文本框 31"/>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wps:txbx>
                      <wps:bodyPr wrap="square" upright="1"/>
                    </wps:wsp>
                  </a:graphicData>
                </a:graphic>
              </wp:anchor>
            </w:drawing>
          </mc:Choice>
          <mc:Fallback>
            <w:pict>
              <v:shape id="文本框 31" o:spid="_x0000_s1026" o:spt="202" type="#_x0000_t202" style="position:absolute;left:0pt;margin-left:-9pt;margin-top:17.7pt;height:23.4pt;width:81pt;z-index:251691008;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1nJll1gAAAAkBAAAPAAAAAAAAAAEAIAAAACIAAABkcnMvZG93bnJldi54bWxQSwECFAAUAAAA&#10;CACHTuJAjIBDQbcBAABeAwAADgAAAAAAAAABACAAAAAl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12.2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合同双方当事人应按照国家规定时限如实上报政府有关部门，配合政府有关部门的调查和处理，由此发生的费用和（或）延误的工期由事故责任方承担。</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1" name="文本框 32"/>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wps:txbx>
                      <wps:bodyPr wrap="square" upright="1"/>
                    </wps:wsp>
                  </a:graphicData>
                </a:graphic>
              </wp:anchor>
            </w:drawing>
          </mc:Choice>
          <mc:Fallback>
            <w:pict>
              <v:shape id="文本框 32" o:spid="_x0000_s1026" o:spt="202" type="#_x0000_t202" style="position:absolute;left:0pt;margin-left:-9pt;margin-top:17.7pt;height:23.4pt;width:81pt;z-index:251692032;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ZyZZdYAAAAJAQAADwAAAAAAAAABACAAAAAiAAAAZHJzL2Rvd25yZXYueG1sUEsBAhQAFAAA&#10;AAgAh07iQHvNR9S4AQAAXgMAAA4AAAAAAAAAAQAgAAAAJQEAAGRycy9lMm9Eb2MueG1sUEsFBgAA&#10;AAAGAAYAWQEAAE8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12.3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合同双方当事人对事故责任有争议时，应按照政府有关部门的认定处理。</w:t>
      </w:r>
    </w:p>
    <w:p>
      <w:pPr>
        <w:widowControl w:val="0"/>
        <w:adjustRightInd w:val="0"/>
        <w:snapToGrid w:val="0"/>
        <w:spacing w:line="420" w:lineRule="exact"/>
        <w:ind w:right="-238"/>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19" w:name="_Toc469383992"/>
      <w:bookmarkStart w:id="420" w:name="_Toc10624832"/>
      <w:r>
        <w:rPr>
          <w:rFonts w:hint="eastAsia" w:ascii="黑体" w:hAnsi="黑体" w:eastAsia="黑体" w:cs="黑体"/>
          <w:b w:val="0"/>
          <w:bCs/>
          <w:color w:val="auto"/>
          <w:kern w:val="0"/>
          <w:sz w:val="24"/>
          <w:szCs w:val="24"/>
          <w:highlight w:val="none"/>
          <w:lang w:val="en-US" w:eastAsia="zh-CN" w:bidi="ar-SA"/>
        </w:rPr>
        <w:t>13  交通运输</w:t>
      </w:r>
      <w:bookmarkEnd w:id="419"/>
      <w:bookmarkEnd w:id="420"/>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2" name="文本框 33"/>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pPr>
                              <w:rPr>
                                <w:rFonts w:ascii="Times New Roman" w:hAnsi="Times New Roman" w:cs="Times New Roman"/>
                                <w:color w:val="0000FF"/>
                                <w:sz w:val="18"/>
                                <w:szCs w:val="18"/>
                              </w:rPr>
                            </w:pPr>
                          </w:p>
                          <w:p>
                            <w:pPr>
                              <w:rPr>
                                <w:rFonts w:ascii="Calibri" w:hAnsi="Calibri" w:cs="Times New Roman"/>
                                <w:sz w:val="18"/>
                                <w:szCs w:val="18"/>
                              </w:rPr>
                            </w:pPr>
                          </w:p>
                        </w:txbxContent>
                      </wps:txbx>
                      <wps:bodyPr wrap="square" upright="1"/>
                    </wps:wsp>
                  </a:graphicData>
                </a:graphic>
              </wp:anchor>
            </w:drawing>
          </mc:Choice>
          <mc:Fallback>
            <w:pict>
              <v:shape id="文本框 33" o:spid="_x0000_s1026" o:spt="202" type="#_x0000_t202" style="position:absolute;left:0pt;margin-left:-9pt;margin-top:18.05pt;height:41.25pt;width:81pt;z-index:251693056;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UBsYf1gAAAAoBAAAPAAAAAAAAAAEAIAAAACIAAABkcnMvZG93bnJldi54bWxQSwECFAAUAAAA&#10;CACHTuJAVgAgAbcBAABeAwAADgAAAAAAAAABACAAAAAl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pPr>
                        <w:rPr>
                          <w:rFonts w:ascii="Times New Roman" w:hAnsi="Times New Roman" w:cs="Times New Roman"/>
                          <w:color w:val="0000FF"/>
                          <w:sz w:val="18"/>
                          <w:szCs w:val="18"/>
                        </w:rPr>
                      </w:pPr>
                    </w:p>
                    <w:p>
                      <w:pPr>
                        <w:rPr>
                          <w:rFonts w:ascii="Calibri" w:hAnsi="Calibri"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13.1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发包人应根据实施合同工程的需要，负责办理取得出入施工场地的专用和临时道路的通行权，以及取得为实施合同工程所需修建场外设施的权利，并承担有关费用（包括运输超大件或超重件所需的道路和桥梁临时加固改造费用和其他有关费用）。承包人应协助发包人办理上述手续。</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承包人应在订立合同前查勘施工现场，并根据工程规模及技术参数合理预见工程施工所需的进出施工现场的方式、手段、路径等。因承包人未合理预见所增加的费用和（或）延误的工期由承包人承担。</w:t>
      </w:r>
    </w:p>
    <w:p>
      <w:pPr>
        <w:widowControl w:val="0"/>
        <w:tabs>
          <w:tab w:val="left" w:pos="1202"/>
        </w:tabs>
        <w:adjustRightInd w:val="0"/>
        <w:snapToGrid w:val="0"/>
        <w:spacing w:line="420" w:lineRule="exact"/>
        <w:ind w:left="1484" w:leftChars="1" w:hanging="1482" w:hangingChars="674"/>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33" name="文本框 34"/>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hAnsi="Times New Roman" w:cs="Times New Roman"/>
                                <w:color w:val="000000"/>
                                <w:sz w:val="24"/>
                                <w:szCs w:val="24"/>
                              </w:rPr>
                            </w:pPr>
                            <w:r>
                              <w:rPr>
                                <w:rFonts w:hint="eastAsia" w:ascii="楷体_GB2312" w:hAnsi="宋体" w:eastAsia="楷体_GB2312" w:cs="楷体_GB2312"/>
                                <w:b/>
                                <w:bCs/>
                                <w:color w:val="000000"/>
                                <w:sz w:val="18"/>
                                <w:szCs w:val="18"/>
                              </w:rPr>
                              <w:t>和交通设施</w:t>
                            </w:r>
                          </w:p>
                          <w:p>
                            <w:pPr>
                              <w:rPr>
                                <w:rFonts w:ascii="Times New Roman" w:hAnsi="Calibri" w:cs="Times New Roman"/>
                                <w:color w:val="0000FF"/>
                                <w:sz w:val="18"/>
                                <w:szCs w:val="18"/>
                              </w:rPr>
                            </w:pPr>
                          </w:p>
                          <w:p>
                            <w:pPr>
                              <w:rPr>
                                <w:rFonts w:ascii="Calibri" w:hAnsi="Calibri" w:cs="Times New Roman"/>
                                <w:sz w:val="18"/>
                                <w:szCs w:val="18"/>
                              </w:rPr>
                            </w:pPr>
                          </w:p>
                        </w:txbxContent>
                      </wps:txbx>
                      <wps:bodyPr wrap="square" upright="1"/>
                    </wps:wsp>
                  </a:graphicData>
                </a:graphic>
              </wp:anchor>
            </w:drawing>
          </mc:Choice>
          <mc:Fallback>
            <w:pict>
              <v:shape id="文本框 34" o:spid="_x0000_s1026" o:spt="202" type="#_x0000_t202" style="position:absolute;left:0pt;margin-left:-9pt;margin-top:26.25pt;height:41.25pt;width:81pt;z-index:251694080;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SeK5nYAAAACgEAAA8AAAAAAAAAAQAgAAAAIgAAAGRycy9kb3ducmV2LnhtbFBLAQIUABQA&#10;AAAIAIdO4kBRgeVetwEAAF4DAAAOAAAAAAAAAAEAIAAAACcBAABkcnMvZTJvRG9jLnhtbFBLBQYA&#10;AAAABgAGAFkBAABQ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hAnsi="Times New Roman" w:cs="Times New Roman"/>
                          <w:color w:val="000000"/>
                          <w:sz w:val="24"/>
                          <w:szCs w:val="24"/>
                        </w:rPr>
                      </w:pPr>
                      <w:r>
                        <w:rPr>
                          <w:rFonts w:hint="eastAsia" w:ascii="楷体_GB2312" w:hAnsi="宋体" w:eastAsia="楷体_GB2312" w:cs="楷体_GB2312"/>
                          <w:b/>
                          <w:bCs/>
                          <w:color w:val="000000"/>
                          <w:sz w:val="18"/>
                          <w:szCs w:val="18"/>
                        </w:rPr>
                        <w:t>和交通设施</w:t>
                      </w:r>
                    </w:p>
                    <w:p>
                      <w:pPr>
                        <w:rPr>
                          <w:rFonts w:ascii="Times New Roman" w:hAnsi="Calibri" w:cs="Times New Roman"/>
                          <w:color w:val="0000FF"/>
                          <w:sz w:val="18"/>
                          <w:szCs w:val="18"/>
                        </w:rPr>
                      </w:pPr>
                    </w:p>
                    <w:p>
                      <w:pPr>
                        <w:rPr>
                          <w:rFonts w:ascii="Calibri" w:hAnsi="Calibri"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13.2</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除专用条款另有约定外，承包人应负责修建、维修、养护和管理施工场地内所需的临时道路和交通设施，包括维修、养护和管理发包人提供的道路和交通设施，并承担相应费用。</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承包人修建的临时道路和交通设施应免费提供发包人使用。</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4" name="文本框 35"/>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wps:txbx>
                      <wps:bodyPr wrap="square" upright="1"/>
                    </wps:wsp>
                  </a:graphicData>
                </a:graphic>
              </wp:anchor>
            </w:drawing>
          </mc:Choice>
          <mc:Fallback>
            <w:pict>
              <v:shape id="文本框 35" o:spid="_x0000_s1026" o:spt="202" type="#_x0000_t202" style="position:absolute;left:0pt;margin-left:-9pt;margin-top:17.7pt;height:23.4pt;width:81pt;z-index:25169510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ZyZZdYAAAAJAQAADwAAAAAAAAABACAAAAAiAAAAZHJzL2Rvd25yZXYueG1sUEsBAhQAFAAA&#10;AAgAh07iQDIiMza4AQAAXgMAAA4AAAAAAAAAAQAgAAAAJQEAAGRycy9lMm9Eb2MueG1sUEsFBgAA&#10;AAAGAAYAWQEAAE8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13.3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承包人应遵守有关交通法规，严格按照道路和桥梁的限制荷重安全行驶，并服从交通管理部门的检查和监督。承包人车辆外出行驶所需的场外公共道路的通行费、养路费和税款等，由承包人承担。</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5" name="文本框 36"/>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wps:txbx>
                      <wps:bodyPr wrap="square" upright="1"/>
                    </wps:wsp>
                  </a:graphicData>
                </a:graphic>
              </wp:anchor>
            </w:drawing>
          </mc:Choice>
          <mc:Fallback>
            <w:pict>
              <v:shape id="文本框 36" o:spid="_x0000_s1026" o:spt="202" type="#_x0000_t202" style="position:absolute;left:0pt;margin-left:-9pt;margin-top:17.7pt;height:36.7pt;width:81pt;z-index:251696128;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b0iq31wAAAAoBAAAPAAAAAAAAAAEAIAAAACIAAABkcnMvZG93bnJldi54bWxQSwECFAAU&#10;AAAACACHTuJAvblgu7kBAABeAwAADgAAAAAAAAABACAAAAAmAQAAZHJzL2Uyb0RvYy54bWxQSwUG&#10;AAAAAAYABgBZAQAAU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13.4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426" name="文本框 37"/>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wps:txbx>
                      <wps:bodyPr wrap="square" upright="1"/>
                    </wps:wsp>
                  </a:graphicData>
                </a:graphic>
              </wp:anchor>
            </w:drawing>
          </mc:Choice>
          <mc:Fallback>
            <w:pict>
              <v:shape id="文本框 37" o:spid="_x0000_s1026" o:spt="202" type="#_x0000_t202" style="position:absolute;left:0pt;margin-left:-9pt;margin-top:17.7pt;height:36.7pt;width:81pt;z-index:251697152;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9Iqt9cAAAAKAQAADwAAAAAAAAABACAAAAAiAAAAZHJzL2Rvd25yZXYueG1sUEsBAhQA&#10;FAAAAAgAh07iQDWU0Im6AQAAXwMAAA4AAAAAAAAAAQAgAAAAJgEAAGRycy9lMm9Eb2MueG1sUEsF&#10;BgAAAAAGAAYAWQEAAFI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13.5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因承包人运输造成施工场地内外公共道路和桥梁损坏的，由承包人承担修复损坏的全部费用和可能引起的赔偿。</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37" name="文本框 38"/>
                <wp:cNvGraphicFramePr/>
                <a:graphic xmlns:a="http://schemas.openxmlformats.org/drawingml/2006/main">
                  <a:graphicData uri="http://schemas.microsoft.com/office/word/2010/wordprocessingShape">
                    <wps:wsp>
                      <wps:cNvSpPr txBox="1"/>
                      <wps:spPr>
                        <a:xfrm>
                          <a:off x="0" y="0"/>
                          <a:ext cx="1028700" cy="60833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wps:txbx>
                      <wps:bodyPr wrap="square" upright="1"/>
                    </wps:wsp>
                  </a:graphicData>
                </a:graphic>
              </wp:anchor>
            </w:drawing>
          </mc:Choice>
          <mc:Fallback>
            <w:pict>
              <v:shape id="文本框 38" o:spid="_x0000_s1026" o:spt="202" type="#_x0000_t202" style="position:absolute;left:0pt;margin-left:-9pt;margin-top:17.7pt;height:47.9pt;width:81pt;z-index:251698176;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imnUnXAAAACgEAAA8AAAAAAAAAAQAgAAAAIgAAAGRycy9kb3ducmV2LnhtbFBLAQIUABQA&#10;AAAIAIdO4kBOSmEnuAEAAF4DAAAOAAAAAAAAAAEAIAAAACYBAABkcnMvZTJvRG9jLnhtbFBLBQYA&#10;AAAABgAGAFkBAABQ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13.6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本条内容适用于水路运输和航空运输，其中“道路”包括河道、航线、船闸、机场、码头、堤防以及水路或航空运输中其他相似结构物；“车辆”包括船舶和飞机等。</w:t>
      </w:r>
    </w:p>
    <w:p>
      <w:pPr>
        <w:widowControl w:val="0"/>
        <w:tabs>
          <w:tab w:val="left" w:pos="1202"/>
        </w:tabs>
        <w:adjustRightInd w:val="0"/>
        <w:snapToGrid w:val="0"/>
        <w:spacing w:line="420" w:lineRule="exact"/>
        <w:jc w:val="left"/>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p>
    <w:p>
      <w:pPr>
        <w:widowControl w:val="0"/>
        <w:tabs>
          <w:tab w:val="left" w:pos="3818"/>
        </w:tabs>
        <w:adjustRightInd w:val="0"/>
        <w:snapToGrid w:val="0"/>
        <w:spacing w:before="240" w:beforeLines="100" w:line="420" w:lineRule="exact"/>
        <w:jc w:val="both"/>
        <w:outlineLvl w:val="2"/>
        <w:rPr>
          <w:rFonts w:ascii="宋体" w:hAnsi="宋体" w:eastAsia="宋体" w:cs="宋体"/>
          <w:b/>
          <w:bCs/>
          <w:color w:val="auto"/>
          <w:kern w:val="2"/>
          <w:sz w:val="22"/>
          <w:szCs w:val="22"/>
          <w:highlight w:val="none"/>
          <w:lang w:val="en-US" w:eastAsia="zh-CN" w:bidi="ar-SA"/>
        </w:rPr>
      </w:pPr>
      <w:bookmarkStart w:id="421" w:name="_Toc469383993"/>
      <w:bookmarkStart w:id="422" w:name="_Toc10624833"/>
      <w:r>
        <w:rPr>
          <w:rFonts w:hint="eastAsia" w:ascii="黑体" w:hAnsi="黑体" w:eastAsia="黑体" w:cs="黑体"/>
          <w:b w:val="0"/>
          <w:bCs/>
          <w:color w:val="auto"/>
          <w:kern w:val="0"/>
          <w:sz w:val="24"/>
          <w:szCs w:val="24"/>
          <w:highlight w:val="none"/>
          <w:lang w:val="en-US" w:eastAsia="zh-CN" w:bidi="ar-SA"/>
        </w:rPr>
        <w:t>14  专项批准事件的签认</w:t>
      </w:r>
      <w:bookmarkEnd w:id="421"/>
      <w:bookmarkEnd w:id="422"/>
      <w:r>
        <w:rPr>
          <w:rFonts w:hint="eastAsia" w:ascii="宋体" w:hAnsi="宋体" w:eastAsia="宋体" w:cs="宋体"/>
          <w:b/>
          <w:bCs/>
          <w:color w:val="auto"/>
          <w:kern w:val="2"/>
          <w:sz w:val="22"/>
          <w:szCs w:val="22"/>
          <w:highlight w:val="none"/>
          <w:lang w:val="en-US" w:eastAsia="zh-CN" w:bidi="ar-SA"/>
        </w:rPr>
        <w:tab/>
      </w:r>
    </w:p>
    <w:p>
      <w:pPr>
        <w:widowControl w:val="0"/>
        <w:tabs>
          <w:tab w:val="left" w:pos="1202"/>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38" name="文本框 39"/>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wps:txbx>
                      <wps:bodyPr wrap="square" upright="1"/>
                    </wps:wsp>
                  </a:graphicData>
                </a:graphic>
              </wp:anchor>
            </w:drawing>
          </mc:Choice>
          <mc:Fallback>
            <w:pict>
              <v:shape id="文本框 39" o:spid="_x0000_s1026" o:spt="202" type="#_x0000_t202" style="position:absolute;left:0pt;margin-left:-9pt;margin-top:19.4pt;height:68.95pt;width:72pt;z-index:251699200;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scEsY2AAAAAoBAAAPAAAAAAAAAAEAIAAAACIAAABkcnMvZG93bnJldi54bWxQSwECFAAU&#10;AAAACACHTuJAtrG77LgBAABdAwAADgAAAAAAAAABACAAAAAnAQAAZHJzL2Uyb0RvYy54bWxQSwUG&#10;AAAAAAYABgBZAQAAU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14.1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合同工程发生第23.3款、第24.3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合同双方当事人应按照第14.2款规定对发生的专项批准事件予以签认，并及时将发生事件的相关资料整理、归档，同时按第23.2款、第24.2款规定职权将其中一份送监理工程师和（或）造价工程师留存。</w:t>
      </w:r>
    </w:p>
    <w:p>
      <w:pPr>
        <w:widowControl w:val="0"/>
        <w:tabs>
          <w:tab w:val="left" w:pos="2160"/>
        </w:tabs>
        <w:spacing w:before="192" w:beforeLines="80"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14.2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39" name="文本框 40"/>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wps:txbx>
                      <wps:bodyPr wrap="square" upright="1"/>
                    </wps:wsp>
                  </a:graphicData>
                </a:graphic>
              </wp:anchor>
            </w:drawing>
          </mc:Choice>
          <mc:Fallback>
            <w:pict>
              <v:shape id="文本框 40" o:spid="_x0000_s1026" o:spt="202" type="#_x0000_t202" style="position:absolute;left:0pt;margin-left:0pt;margin-top:0.85pt;height:68.95pt;width:72pt;z-index:251700224;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m&#10;pG5i0wAAAAYBAAAPAAAAAAAAAAEAIAAAACIAAABkcnMvZG93bnJldi54bWxQSwECFAAUAAAACACH&#10;TuJAcNaO7LcBAABdAwAADgAAAAAAAAABACAAAAAiAQAAZHJzL2Uyb0RvYy54bWxQSwUGAAAAAAYA&#10;BgBZAQAASw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按照第23.1款、第24.1款和第25.1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23" w:name="_Toc469383994"/>
      <w:bookmarkStart w:id="424" w:name="_Toc10624834"/>
      <w:r>
        <w:rPr>
          <w:rFonts w:hint="eastAsia" w:ascii="黑体" w:hAnsi="黑体" w:eastAsia="黑体" w:cs="黑体"/>
          <w:b w:val="0"/>
          <w:bCs/>
          <w:color w:val="auto"/>
          <w:kern w:val="0"/>
          <w:sz w:val="24"/>
          <w:szCs w:val="24"/>
          <w:highlight w:val="none"/>
          <w:lang w:val="en-US" w:eastAsia="zh-CN" w:bidi="ar-SA"/>
        </w:rPr>
        <w:t>15  专利技术</w:t>
      </w:r>
      <w:bookmarkEnd w:id="423"/>
      <w:bookmarkEnd w:id="424"/>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15.1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40" name="文本框 41"/>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wrap="square" upright="1"/>
                    </wps:wsp>
                  </a:graphicData>
                </a:graphic>
              </wp:anchor>
            </w:drawing>
          </mc:Choice>
          <mc:Fallback>
            <w:pict>
              <v:shape id="文本框 41" o:spid="_x0000_s1026" o:spt="202" type="#_x0000_t202" style="position:absolute;left:0pt;margin-left:-9pt;margin-top:1.8pt;height:37.15pt;width:72pt;z-index:251701248;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6bZOk1gAAAAgBAAAPAAAAAAAAAAEAIAAAACIAAABkcnMvZG93bnJldi54bWxQSwECFAAUAAAA&#10;CACHTuJAhBNdC7cBAABdAwAADgAAAAAAAAABACAAAAAl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15.2</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41" name="文本框 42"/>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wrap="square" upright="1"/>
                    </wps:wsp>
                  </a:graphicData>
                </a:graphic>
              </wp:anchor>
            </w:drawing>
          </mc:Choice>
          <mc:Fallback>
            <w:pict>
              <v:shape id="文本框 42" o:spid="_x0000_s1026" o:spt="202" type="#_x0000_t202" style="position:absolute;left:0pt;margin-left:-9pt;margin-top:1.8pt;height:37.15pt;width:72pt;z-index:251702272;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6bZOk1gAAAAgBAAAPAAAAAAAAAAEAIAAAACIAAABkcnMvZG93bnJldi54bWxQSwECFAAUAAAA&#10;CACHTuJATGZasLcBAABdAwAADgAAAAAAAAABACAAAAAl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承包人在投标文件中采用专利技术的，其发生的费用已包含在投标报价内。承包人的技术秘密和第91条规定的保密信息、资料等，发包人应严格按照第91条规定不得为合同以外的目的泄露给第三方。</w:t>
      </w:r>
    </w:p>
    <w:p>
      <w:pPr>
        <w:widowControl w:val="0"/>
        <w:tabs>
          <w:tab w:val="left" w:pos="168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42" name="文本框 43"/>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wrap="square" upright="1"/>
                    </wps:wsp>
                  </a:graphicData>
                </a:graphic>
              </wp:anchor>
            </w:drawing>
          </mc:Choice>
          <mc:Fallback>
            <w:pict>
              <v:shape id="文本框 43" o:spid="_x0000_s1026" o:spt="202" type="#_x0000_t202" style="position:absolute;left:0pt;margin-left:-9pt;margin-top:19pt;height:39.2pt;width:72pt;z-index:251703296;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1ehpHXAAAACgEAAA8AAAAAAAAAAQAgAAAAIgAAAGRycy9kb3ducmV2LnhtbFBLAQIUABQA&#10;AAAIAIdO4kCqGYsWuAEAAF0DAAAOAAAAAAAAAAEAIAAAACYBAABkcnMvZTJvRG9jLnhtbFBLBQYA&#10;AAAABgAGAFkBAABQ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hint="eastAsia" w:ascii="宋体" w:hAnsi="宋体" w:eastAsia="宋体" w:cs="宋体"/>
          <w:color w:val="auto"/>
          <w:kern w:val="2"/>
          <w:sz w:val="22"/>
          <w:szCs w:val="22"/>
          <w:highlight w:val="none"/>
          <w:lang w:val="en-US" w:eastAsia="zh-CN" w:bidi="ar-SA"/>
        </w:rPr>
        <w:t xml:space="preserve">15.3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25" w:name="_Toc10624835"/>
      <w:bookmarkStart w:id="426" w:name="_Toc469383995"/>
      <w:r>
        <w:rPr>
          <w:rFonts w:hint="eastAsia" w:ascii="黑体" w:hAnsi="黑体" w:eastAsia="黑体" w:cs="黑体"/>
          <w:b w:val="0"/>
          <w:bCs/>
          <w:color w:val="auto"/>
          <w:kern w:val="0"/>
          <w:sz w:val="24"/>
          <w:szCs w:val="24"/>
          <w:highlight w:val="none"/>
          <w:lang w:val="en-US" w:eastAsia="zh-CN" w:bidi="ar-SA"/>
        </w:rPr>
        <w:t>16  联合的责任</w:t>
      </w:r>
      <w:bookmarkEnd w:id="425"/>
      <w:bookmarkEnd w:id="426"/>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43" name="文本框 44"/>
                <wp:cNvGraphicFramePr/>
                <a:graphic xmlns:a="http://schemas.openxmlformats.org/drawingml/2006/main">
                  <a:graphicData uri="http://schemas.microsoft.com/office/word/2010/wordprocessingShape">
                    <wps:wsp>
                      <wps:cNvSpPr txBox="1"/>
                      <wps:spPr>
                        <a:xfrm>
                          <a:off x="0" y="0"/>
                          <a:ext cx="914400" cy="46101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wps:txbx>
                      <wps:bodyPr wrap="square" upright="1"/>
                    </wps:wsp>
                  </a:graphicData>
                </a:graphic>
              </wp:anchor>
            </w:drawing>
          </mc:Choice>
          <mc:Fallback>
            <w:pict>
              <v:shape id="文本框 44" o:spid="_x0000_s1026" o:spt="202" type="#_x0000_t202" style="position:absolute;left:0pt;margin-left:-9pt;margin-top:18.5pt;height:36.3pt;width:72pt;z-index:251704320;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msTqfXAAAACgEAAA8AAAAAAAAAAQAgAAAAIgAAAGRycy9kb3ducmV2LnhtbFBLAQIUABQAAAAI&#10;AIdO4kB1AWO/tQEAAF0DAAAOAAAAAAAAAAEAIAAAACYBAABkcnMvZTJvRG9jLnhtbFBLBQYAAAAA&#10;BgAGAFkBAABN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16.1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如果承包人是联合体经营，则联合体各方应共同与发包人签订合同协议书，并在工程开工前签订联合体施工协议书，作为本合同的附件。该联合体各方都应在合同履行期间对发包人负有共同的和各自的责任。</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44" name="文本框 4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wrap="square" upright="1"/>
                    </wps:wsp>
                  </a:graphicData>
                </a:graphic>
              </wp:anchor>
            </w:drawing>
          </mc:Choice>
          <mc:Fallback>
            <w:pict>
              <v:shape id="文本框 45" o:spid="_x0000_s1026" o:spt="202" type="#_x0000_t202" style="position:absolute;left:0pt;margin-left:-9pt;margin-top:19.35pt;height:39pt;width:72pt;z-index:251705344;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ux4gbYAAAACgEAAA8AAAAAAAAAAQAgAAAAIgAAAGRycy9kb3ducmV2LnhtbFBLAQIUABQA&#10;AAAIAIdO4kCKzG6PtwEAAF0DAAAOAAAAAAAAAAEAIAAAACcBAABkcnMvZTJvRG9jLnhtbFBLBQYA&#10;AAAABgAGAFkBAABQ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16.2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pPr>
        <w:tabs>
          <w:tab w:val="left" w:pos="1620"/>
        </w:tabs>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27" w:name="_Toc469383996"/>
      <w:bookmarkStart w:id="428" w:name="_Toc10624836"/>
      <w:r>
        <w:rPr>
          <w:rFonts w:hint="eastAsia" w:ascii="黑体" w:hAnsi="黑体" w:eastAsia="黑体" w:cs="黑体"/>
          <w:b w:val="0"/>
          <w:bCs/>
          <w:color w:val="auto"/>
          <w:kern w:val="0"/>
          <w:sz w:val="24"/>
          <w:szCs w:val="24"/>
          <w:highlight w:val="none"/>
          <w:lang w:val="en-US" w:eastAsia="zh-CN" w:bidi="ar-SA"/>
        </w:rPr>
        <w:t>17  保障</w:t>
      </w:r>
      <w:bookmarkEnd w:id="427"/>
      <w:bookmarkEnd w:id="428"/>
    </w:p>
    <w:p>
      <w:pPr>
        <w:widowControl w:val="0"/>
        <w:tabs>
          <w:tab w:val="left" w:pos="1202"/>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45" name="文本框 4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wrap="square" upright="1"/>
                    </wps:wsp>
                  </a:graphicData>
                </a:graphic>
              </wp:anchor>
            </w:drawing>
          </mc:Choice>
          <mc:Fallback>
            <w:pict>
              <v:shape id="文本框 46" o:spid="_x0000_s1026" o:spt="202" type="#_x0000_t202" style="position:absolute;left:0pt;margin-left:0pt;margin-top:14.3pt;height:46.8pt;width:72pt;z-index:251706368;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GCQ1QAAAAcBAAAPAAAAAAAAAAEAIAAAACIAAABkcnMvZG93bnJldi54bWxQSwECFAAUAAAA&#10;CACHTuJADYMhbrgBAABdAwAADgAAAAAAAAABACAAAAAk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17.1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pPr>
        <w:widowControl w:val="0"/>
        <w:tabs>
          <w:tab w:val="left" w:pos="1202"/>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46" name="文本框 47"/>
                <wp:cNvGraphicFramePr/>
                <a:graphic xmlns:a="http://schemas.openxmlformats.org/drawingml/2006/main">
                  <a:graphicData uri="http://schemas.microsoft.com/office/word/2010/wordprocessingShape">
                    <wps:wsp>
                      <wps:cNvSpPr txBox="1"/>
                      <wps:spPr>
                        <a:xfrm>
                          <a:off x="0" y="0"/>
                          <a:ext cx="914400" cy="53467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wrap="square" upright="1"/>
                    </wps:wsp>
                  </a:graphicData>
                </a:graphic>
              </wp:anchor>
            </w:drawing>
          </mc:Choice>
          <mc:Fallback>
            <w:pict>
              <v:shape id="文本框 47" o:spid="_x0000_s1026" o:spt="202" type="#_x0000_t202" style="position:absolute;left:0pt;margin-left:-9pt;margin-top:18.95pt;height:42.1pt;width:72pt;z-index:251707392;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geQZ9gAAAAKAQAADwAAAAAAAAABACAAAAAiAAAAZHJzL2Rvd25yZXYueG1sUEsBAhQA&#10;FAAAAAgAh07iQMe+c8S5AQAAXQMAAA4AAAAAAAAAAQAgAAAAJwEAAGRycy9lMm9Eb2MueG1sUEsF&#10;BgAAAAAGAAYAWQEAAFI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17.2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承包人应保障发包人不承担因承包人移动或使用施工场地外的施工设备和临时设施所造成的损害而引起的赔偿。</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29" w:name="_Toc10624837"/>
      <w:bookmarkStart w:id="430" w:name="_Toc469383997"/>
      <w:r>
        <w:rPr>
          <w:rFonts w:hint="eastAsia" w:ascii="黑体" w:hAnsi="黑体" w:eastAsia="黑体" w:cs="黑体"/>
          <w:b w:val="0"/>
          <w:bCs/>
          <w:color w:val="auto"/>
          <w:kern w:val="0"/>
          <w:sz w:val="24"/>
          <w:szCs w:val="24"/>
          <w:highlight w:val="none"/>
          <w:lang w:val="en-US" w:eastAsia="zh-CN" w:bidi="ar-SA"/>
        </w:rPr>
        <w:t>18  财产</w:t>
      </w:r>
      <w:bookmarkEnd w:id="429"/>
      <w:bookmarkEnd w:id="430"/>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18.1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47" name="文本框 48"/>
                <wp:cNvGraphicFramePr/>
                <a:graphic xmlns:a="http://schemas.openxmlformats.org/drawingml/2006/main">
                  <a:graphicData uri="http://schemas.microsoft.com/office/word/2010/wordprocessingShape">
                    <wps:wsp>
                      <wps:cNvSpPr txBox="1"/>
                      <wps:spPr>
                        <a:xfrm>
                          <a:off x="0" y="0"/>
                          <a:ext cx="914400" cy="72453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wps:txbx>
                      <wps:bodyPr wrap="square" upright="1"/>
                    </wps:wsp>
                  </a:graphicData>
                </a:graphic>
              </wp:anchor>
            </w:drawing>
          </mc:Choice>
          <mc:Fallback>
            <w:pict>
              <v:shape id="文本框 48" o:spid="_x0000_s1026" o:spt="202" type="#_x0000_t202" style="position:absolute;left:0pt;margin-left:-9pt;margin-top:0pt;height:57.05pt;width:72pt;z-index:251708416;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UUsi51QAAAAgBAAAPAAAAAAAAAAEAIAAAACIAAABkcnMvZG93bnJldi54bWxQSwECFAAUAAAA&#10;CACHTuJAxqCSp7gBAABdAwAADgAAAAAAAAABACAAAAAk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pPr>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48" name="文本框 49"/>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wrap="square" upright="1"/>
                    </wps:wsp>
                  </a:graphicData>
                </a:graphic>
              </wp:anchor>
            </w:drawing>
          </mc:Choice>
          <mc:Fallback>
            <w:pict>
              <v:shape id="文本框 49" o:spid="_x0000_s1026" o:spt="202" type="#_x0000_t202" style="position:absolute;left:0pt;margin-left:-9pt;margin-top:22.25pt;height:36.25pt;width:72pt;z-index:251709440;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oaNS3XAAAACgEAAA8AAAAAAAAAAQAgAAAAIgAAAGRycy9kb3ducmV2LnhtbFBLAQIUABQA&#10;AAAIAIdO4kAxeWuVuAEAAF0DAAAOAAAAAAAAAAEAIAAAACYBAABkcnMvZTJvRG9jLnhtbFBLBQYA&#10;AAAABgAGAFkBAABQ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宋体" w:hAnsi="宋体" w:cs="宋体"/>
          <w:b/>
          <w:bCs/>
          <w:color w:val="auto"/>
          <w:sz w:val="22"/>
          <w:szCs w:val="22"/>
          <w:highlight w:val="none"/>
        </w:rPr>
        <w:t xml:space="preserve">18.2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如果发包人依据第87.3款规定的情形解除合同，则合同工程和临时工程，应认为是发包人的财产。</w:t>
      </w:r>
    </w:p>
    <w:p>
      <w:pPr>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49" name="文本框 50"/>
                <wp:cNvGraphicFramePr/>
                <a:graphic xmlns:a="http://schemas.openxmlformats.org/drawingml/2006/main">
                  <a:graphicData uri="http://schemas.microsoft.com/office/word/2010/wordprocessingShape">
                    <wps:wsp>
                      <wps:cNvSpPr txBox="1"/>
                      <wps:spPr>
                        <a:xfrm>
                          <a:off x="0" y="0"/>
                          <a:ext cx="914400" cy="54419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wrap="square" upright="1"/>
                    </wps:wsp>
                  </a:graphicData>
                </a:graphic>
              </wp:anchor>
            </w:drawing>
          </mc:Choice>
          <mc:Fallback>
            <w:pict>
              <v:shape id="文本框 50" o:spid="_x0000_s1026" o:spt="202" type="#_x0000_t202" style="position:absolute;left:0pt;margin-left:-9pt;margin-top:22.25pt;height:42.85pt;width:72pt;z-index:251710464;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bsBXNgAAAAKAQAADwAAAAAAAAABACAAAAAiAAAAZHJzL2Rvd25yZXYueG1sUEsBAhQAFAAA&#10;AAgAh07iQHp+pku2AQAAXQMAAA4AAAAAAAAAAQAgAAAAJwEAAGRycy9lMm9Eb2MueG1sUEsFBgAA&#10;AAAGAAYAWQEAAE8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宋体" w:hAnsi="宋体" w:cs="宋体"/>
          <w:b/>
          <w:bCs/>
          <w:color w:val="auto"/>
          <w:sz w:val="22"/>
          <w:szCs w:val="22"/>
          <w:highlight w:val="none"/>
        </w:rPr>
        <w:t xml:space="preserve">18.3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承包人依据第87.4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pPr>
        <w:spacing w:line="420" w:lineRule="exact"/>
        <w:outlineLvl w:val="1"/>
        <w:rPr>
          <w:rFonts w:ascii="宋体" w:hAnsi="宋体" w:cs="宋体"/>
          <w:b/>
          <w:bCs/>
          <w:color w:val="auto"/>
          <w:sz w:val="22"/>
          <w:szCs w:val="22"/>
          <w:highlight w:val="none"/>
        </w:rPr>
      </w:pPr>
      <w:r>
        <w:rPr>
          <w:rFonts w:hint="eastAsia" w:ascii="宋体" w:hAnsi="宋体" w:cs="宋体"/>
          <w:b/>
          <w:bCs/>
          <w:color w:val="auto"/>
          <w:sz w:val="22"/>
          <w:szCs w:val="22"/>
          <w:highlight w:val="none"/>
          <w:u w:val="single"/>
        </w:rPr>
        <w:t xml:space="preserve">                                                                                              </w:t>
      </w:r>
    </w:p>
    <w:p>
      <w:pPr>
        <w:spacing w:line="420" w:lineRule="exact"/>
        <w:ind w:firstLine="4305" w:firstLineChars="1793"/>
        <w:outlineLvl w:val="1"/>
        <w:rPr>
          <w:rFonts w:ascii="方正黑体_GBK" w:hAnsi="方正黑体_GBK" w:eastAsia="方正黑体_GBK" w:cs="方正黑体_GBK"/>
          <w:b/>
          <w:bCs/>
          <w:color w:val="auto"/>
          <w:sz w:val="24"/>
          <w:szCs w:val="24"/>
          <w:highlight w:val="none"/>
        </w:rPr>
      </w:pPr>
      <w:bookmarkStart w:id="431" w:name="_Toc10624838"/>
      <w:bookmarkStart w:id="432" w:name="_Toc469383998"/>
      <w:r>
        <w:rPr>
          <w:rFonts w:hint="eastAsia" w:ascii="方正小标宋_GBK" w:hAnsi="方正小标宋_GBK" w:eastAsia="方正小标宋_GBK" w:cs="方正小标宋_GBK"/>
          <w:b/>
          <w:bCs/>
          <w:color w:val="auto"/>
          <w:sz w:val="24"/>
          <w:szCs w:val="24"/>
          <w:highlight w:val="none"/>
        </w:rPr>
        <w:t>二、合同主体</w:t>
      </w:r>
      <w:bookmarkEnd w:id="431"/>
      <w:bookmarkEnd w:id="432"/>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33" w:name="_Toc10624839"/>
      <w:bookmarkStart w:id="434" w:name="_Toc469383999"/>
      <w:r>
        <w:rPr>
          <w:rFonts w:hint="eastAsia" w:ascii="黑体" w:hAnsi="黑体" w:eastAsia="黑体" w:cs="黑体"/>
          <w:b w:val="0"/>
          <w:bCs/>
          <w:color w:val="auto"/>
          <w:kern w:val="0"/>
          <w:sz w:val="24"/>
          <w:szCs w:val="24"/>
          <w:highlight w:val="none"/>
          <w:lang w:val="en-US" w:eastAsia="zh-CN" w:bidi="ar-SA"/>
        </w:rPr>
        <w:t>19  发包人</w:t>
      </w:r>
      <w:bookmarkEnd w:id="433"/>
      <w:bookmarkEnd w:id="434"/>
    </w:p>
    <w:p>
      <w:pPr>
        <w:tabs>
          <w:tab w:val="left" w:pos="1620"/>
        </w:tabs>
        <w:spacing w:line="420" w:lineRule="exact"/>
        <w:ind w:left="-2" w:leftChars="-1" w:firstLine="1"/>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19.1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0" name="文本框 51"/>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51" o:spid="_x0000_s1026" o:spt="202" type="#_x0000_t202" style="position:absolute;left:0pt;margin-left:-9pt;margin-top:0.35pt;height:33.85pt;width:72pt;z-index:25171148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UWimTVAAAABwEAAA8AAAAAAAAAAQAgAAAAIgAAAGRycy9kb3ducmV2LnhtbFBLAQIUABQAAAAI&#10;AIdO4kDmPShYtwEAAF0DAAAOAAAAAAAAAAEAIAAAACQBAABkcnMvZTJvRG9jLnhtbFBLBQYAAAAA&#10;BgAGAFkBAABN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pPr>
        <w:tabs>
          <w:tab w:val="left" w:pos="1620"/>
        </w:tabs>
        <w:spacing w:line="420" w:lineRule="exact"/>
        <w:ind w:left="-2" w:leftChars="-1" w:firstLine="1"/>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19.2 </w:t>
      </w:r>
      <w:r>
        <w:rPr>
          <w:rFonts w:hint="eastAsia" w:ascii="宋体" w:hAnsi="宋体" w:cs="宋体"/>
          <w:b/>
          <w:bCs/>
          <w:color w:val="auto"/>
          <w:sz w:val="22"/>
          <w:szCs w:val="22"/>
          <w:highlight w:val="none"/>
          <w:u w:val="dotted"/>
        </w:rPr>
        <w:t xml:space="preserve">                                                                             </w:t>
      </w:r>
      <w:r>
        <w:rPr>
          <w:rFonts w:hint="eastAsia" w:ascii="宋体" w:hAnsi="宋体" w:cs="宋体"/>
          <w:b/>
          <w:bCs/>
          <w:color w:val="auto"/>
          <w:sz w:val="22"/>
          <w:szCs w:val="22"/>
          <w:highlight w:val="none"/>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1" name="文本框 52"/>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wps:txbx>
                      <wps:bodyPr wrap="square" upright="1"/>
                    </wps:wsp>
                  </a:graphicData>
                </a:graphic>
              </wp:anchor>
            </w:drawing>
          </mc:Choice>
          <mc:Fallback>
            <w:pict>
              <v:shape id="文本框 52" o:spid="_x0000_s1026" o:spt="202" type="#_x0000_t202" style="position:absolute;left:0pt;margin-left:-9pt;margin-top:0.35pt;height:33.85pt;width:72pt;z-index:251712512;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FFopk1QAAAAcBAAAPAAAAAAAAAAEAIAAAACIAAABkcnMvZG93bnJldi54bWxQSwECFAAUAAAA&#10;CACHTuJALkgv47gBAABdAwAADgAAAAAAAAABACAAAAAk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发包人应按照合同约定完成下列工作，包括但不限于：</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（1）办理土地征用、拆迁、平整施工场地等工作，使施工场地具备施工条件，并在开工后继续负责解决上述工作遗留的问题；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（2）将施工所需水、电、通讯线路从施工场地外部接驳至专用条款约定的地点，保证施工期间的需要；</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（3）开通施工场地与城乡公共道路间的通道，满足第13条交通运输的需要；</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（5）办理施工许可及其他所需证件、批准文件和办理临时用地、停水、停电、中断道路交通、爆破作业等的申请批准手续（承包人自身施工资质的证件除外）；</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（6）确定水准点与坐标控制点，组织现场交验并以书面形式移交给承包人；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（7）按照专用条款约定的时间向承包人提供一式两份约定的标准与规范；</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（8）组织承包人和设计人进行图纸会审和设计交底；</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（9）协调处理施工场地周围地形关系问题和做好邻近建筑物、构筑物（包括文物保护建筑）、古树名木等的保护工作；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（10）及时接收已完工程，并按照合同约定及时支付工程款及其他各种款项。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发包人可将其中部分工作委托给承包人办理，具体由合同双方当事人在专用条款中约定。除合同价款已包括外，由发包人承担所需费用，并向承包人支付合理利润。</w:t>
      </w:r>
    </w:p>
    <w:p>
      <w:pPr>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 xml:space="preserve">19.3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52" name="文本框 5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wrap="square" upright="1"/>
                    </wps:wsp>
                  </a:graphicData>
                </a:graphic>
              </wp:anchor>
            </w:drawing>
          </mc:Choice>
          <mc:Fallback>
            <w:pict>
              <v:shape id="文本框 53" o:spid="_x0000_s1026" o:spt="202" type="#_x0000_t202" style="position:absolute;left:0pt;margin-left:-9pt;margin-top:0pt;height:39pt;width:72pt;z-index:251713536;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LuITtQAAAAHAQAADwAAAAAAAAABACAAAAAiAAAAZHJzL2Rvd25yZXYueG1sUEsBAhQAFAAAAAgA&#10;h07iQCTY6d63AQAAXQMAAA4AAAAAAAAAAQAgAAAAIwEAAGRycy9lMm9Eb2MueG1sUEsFBgAAAAAG&#10;AAYAWQEAAEw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发包人应按照专用条款约定的时间提供施工场地，并在确保承包人按照计划进度顺利开工的时间内给予承包人进入和使用施工场地的权利。</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发包人保留其工作人员、雇员和相关执法人员进入和使用施工场地的权利。</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19.4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53" name="文本框 54"/>
                <wp:cNvGraphicFramePr/>
                <a:graphic xmlns:a="http://schemas.openxmlformats.org/drawingml/2006/main">
                  <a:graphicData uri="http://schemas.microsoft.com/office/word/2010/wordprocessingShape">
                    <wps:wsp>
                      <wps:cNvSpPr txBox="1"/>
                      <wps:spPr>
                        <a:xfrm>
                          <a:off x="0" y="0"/>
                          <a:ext cx="914400" cy="71564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wrap="square" upright="1"/>
                    </wps:wsp>
                  </a:graphicData>
                </a:graphic>
              </wp:anchor>
            </w:drawing>
          </mc:Choice>
          <mc:Fallback>
            <w:pict>
              <v:shape id="文本框 54" o:spid="_x0000_s1026" o:spt="202" type="#_x0000_t202" style="position:absolute;left:0pt;margin-left:-9pt;margin-top:1.2pt;height:56.35pt;width:72pt;z-index:251714560;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QxO5NYAAAAJAQAADwAAAAAAAAABACAAAAAiAAAAZHJzL2Rvd25yZXYueG1sUEsBAhQAFAAA&#10;AAgAh07iQIR7+CG4AQAAXQMAAA4AAAAAAAAAAQAgAAAAJQEAAGRycy9lMm9Eb2MueG1sUEsFBgAA&#10;AAAGAAYAWQEAAE8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发包人应按照合同约定的期限和方式向承包人支付工程款及其他应支付的款项。</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19.5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54" name="文本框 55"/>
                <wp:cNvGraphicFramePr/>
                <a:graphic xmlns:a="http://schemas.openxmlformats.org/drawingml/2006/main">
                  <a:graphicData uri="http://schemas.microsoft.com/office/word/2010/wordprocessingShape">
                    <wps:wsp>
                      <wps:cNvSpPr txBox="1"/>
                      <wps:spPr>
                        <a:xfrm>
                          <a:off x="0" y="0"/>
                          <a:ext cx="914400" cy="85217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wrap="square" upright="1"/>
                    </wps:wsp>
                  </a:graphicData>
                </a:graphic>
              </wp:anchor>
            </w:drawing>
          </mc:Choice>
          <mc:Fallback>
            <w:pict>
              <v:shape id="文本框 55" o:spid="_x0000_s1026" o:spt="202" type="#_x0000_t202" style="position:absolute;left:0pt;margin-left:-9pt;margin-top:1.2pt;height:67.1pt;width:72pt;z-index:251715584;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6csd5dYAAAAJAQAADwAAAAAAAAABACAAAAAiAAAAZHJzL2Rvd25yZXYueG1sUEsBAhQAFAAA&#10;AAgAh07iQHGQas+4AQAAXQMAAA4AAAAAAAAAAQAgAAAAJQEAAGRycy9lMm9Eb2MueG1sUEsFBgAA&#10;AAAGAAYAWQEAAE8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发包人应按照第58条规定组织承包人、设计人、监理人和工程造价咨询人（如有）等进行竣工验收。</w:t>
      </w:r>
    </w:p>
    <w:p>
      <w:pPr>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55" name="文本框 56"/>
                <wp:cNvGraphicFramePr/>
                <a:graphic xmlns:a="http://schemas.openxmlformats.org/drawingml/2006/main">
                  <a:graphicData uri="http://schemas.microsoft.com/office/word/2010/wordprocessingShape">
                    <wps:wsp>
                      <wps:cNvSpPr txBox="1"/>
                      <wps:spPr>
                        <a:xfrm>
                          <a:off x="0" y="0"/>
                          <a:ext cx="914400" cy="116268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wps:txbx>
                      <wps:bodyPr wrap="square" upright="1"/>
                    </wps:wsp>
                  </a:graphicData>
                </a:graphic>
              </wp:anchor>
            </w:drawing>
          </mc:Choice>
          <mc:Fallback>
            <w:pict>
              <v:shape id="文本框 56" o:spid="_x0000_s1026" o:spt="202" type="#_x0000_t202" style="position:absolute;left:0pt;margin-left:-9pt;margin-top:21.5pt;height:91.55pt;width:72pt;z-index:251716608;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syLSXXAAAACgEAAA8AAAAAAAAAAQAgAAAAIgAAAGRycy9kb3ducmV2LnhtbFBLAQIUABQA&#10;AAAIAIdO4kC3ADKbuAEAAF4DAAAOAAAAAAAAAAEAIAAAACYBAABkcnMvZTJvRG9jLnhtbFBLBQYA&#10;AAAABgAGAFkBAABQ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v:textbox>
              </v:shape>
            </w:pict>
          </mc:Fallback>
        </mc:AlternateContent>
      </w:r>
      <w:r>
        <w:rPr>
          <w:rFonts w:hint="eastAsia" w:ascii="宋体" w:hAnsi="宋体" w:cs="宋体"/>
          <w:b/>
          <w:bCs/>
          <w:color w:val="auto"/>
          <w:sz w:val="22"/>
          <w:szCs w:val="22"/>
          <w:highlight w:val="none"/>
        </w:rPr>
        <w:t xml:space="preserve">19.6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发包人供应材料和工程设备的，发包人应按照第48条规定向承包人提供材料和工程设备。</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19.7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56" name="文本框 57"/>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wps:txbx>
                      <wps:bodyPr wrap="square" upright="1"/>
                    </wps:wsp>
                  </a:graphicData>
                </a:graphic>
              </wp:anchor>
            </w:drawing>
          </mc:Choice>
          <mc:Fallback>
            <w:pict>
              <v:shape id="文本框 57" o:spid="_x0000_s1026" o:spt="202" type="#_x0000_t202" style="position:absolute;left:0pt;margin-left:-9pt;margin-top:0pt;height:35.4pt;width:72pt;z-index:251717632;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ncPLa1AAAAAcBAAAPAAAAAAAAAAEAIAAAACIAAABkcnMvZG93bnJldi54bWxQSwECFAAUAAAA&#10;CACHTuJA6hG20bkBAABdAwAADgAAAAAAAAABACAAAAAjAQAAZHJzL2Uyb0RvYy54bWxQSwUGAAAA&#10;AAYABgBZAQAATgU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发包人未能正确完成本合同约定的全部义务，导致费用的增加和（或）延误的工期，由发包人承担；给承包人造成损失的，发包人应予赔偿。</w:t>
      </w:r>
    </w:p>
    <w:p>
      <w:pPr>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35" w:name="_Toc469384000"/>
      <w:bookmarkStart w:id="436" w:name="_Toc10624840"/>
      <w:r>
        <w:rPr>
          <w:rFonts w:hint="eastAsia" w:ascii="黑体" w:hAnsi="黑体" w:eastAsia="黑体" w:cs="黑体"/>
          <w:b w:val="0"/>
          <w:bCs/>
          <w:color w:val="auto"/>
          <w:kern w:val="0"/>
          <w:sz w:val="24"/>
          <w:szCs w:val="24"/>
          <w:highlight w:val="none"/>
          <w:lang w:val="en-US" w:eastAsia="zh-CN" w:bidi="ar-SA"/>
        </w:rPr>
        <w:t>20  承包人</w:t>
      </w:r>
      <w:bookmarkEnd w:id="435"/>
      <w:bookmarkEnd w:id="436"/>
    </w:p>
    <w:p>
      <w:pPr>
        <w:tabs>
          <w:tab w:val="left" w:pos="1620"/>
        </w:tabs>
        <w:spacing w:line="420" w:lineRule="exact"/>
        <w:ind w:left="-2" w:leftChars="-1" w:firstLine="1"/>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20.1                                                        </w:t>
      </w:r>
    </w:p>
    <w:p>
      <w:pPr>
        <w:tabs>
          <w:tab w:val="left" w:pos="1620"/>
        </w:tabs>
        <w:spacing w:line="420" w:lineRule="exact"/>
        <w:ind w:left="1260" w:leftChars="6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7" name="文本框 58"/>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58" o:spid="_x0000_s1026" o:spt="202" type="#_x0000_t202" style="position:absolute;left:0pt;margin-left:-9pt;margin-top:0.35pt;height:33.85pt;width:72pt;z-index:251718656;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UWimTVAAAABwEAAA8AAAAAAAAAAQAgAAAAIgAAAGRycy9kb3ducmV2LnhtbFBLAQIUABQAAAAI&#10;AIdO4kAceN7PtwEAAF0DAAAOAAAAAAAAAAEAIAAAACQBAABkcnMvZTJvRG9jLnhtbFBLBQYAAAAA&#10;BgAGAFkBAABN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_GB2312" w:hAnsi="仿宋_GB2312" w:eastAsia="仿宋_GB2312" w:cs="仿宋_GB2312"/>
          <w:color w:val="auto"/>
          <w:sz w:val="24"/>
          <w:szCs w:val="24"/>
          <w:highlight w:val="none"/>
        </w:rPr>
        <w:t>承包人在履行合同期间应遵守法律，并保证发包人免于承担因承包人违反法律而引起的任何责任。遵守国家、省、市有关社会信用体系建设工作的法律、行政法规、 部门规章，严格执行信用承诺制度，违背信用承诺约定时，承担违约责任，并依法 承担相应法律责任。</w:t>
      </w:r>
    </w:p>
    <w:p>
      <w:pPr>
        <w:widowControl/>
        <w:spacing w:before="0" w:beforeAutospacing="0" w:after="0" w:afterAutospacing="0" w:line="420" w:lineRule="exact"/>
        <w:ind w:left="1500" w:leftChars="600" w:hanging="240" w:hangingChars="1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承包人在本项目发包人的工程项目中存在下列行为的，将被拒绝参</w:t>
      </w:r>
    </w:p>
    <w:p>
      <w:pPr>
        <w:widowControl/>
        <w:spacing w:before="0" w:beforeAutospacing="0" w:after="0" w:afterAutospacing="0" w:line="420" w:lineRule="exact"/>
        <w:ind w:left="1500" w:leftChars="600" w:hanging="240" w:hangingChars="1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与发包人后续工程投标。拒绝投标时限由发包人（招标人）视严重</w:t>
      </w:r>
    </w:p>
    <w:p>
      <w:pPr>
        <w:widowControl/>
        <w:spacing w:before="0" w:beforeAutospacing="0" w:after="0" w:afterAutospacing="0" w:line="420" w:lineRule="exact"/>
        <w:ind w:left="1500" w:leftChars="600" w:hanging="240" w:hangingChars="1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程度确定，并在专用条款中约定。</w:t>
      </w:r>
    </w:p>
    <w:p>
      <w:pPr>
        <w:widowControl/>
        <w:spacing w:before="0" w:beforeAutospacing="0" w:after="0" w:afterAutospacing="0" w:line="420" w:lineRule="exact"/>
        <w:ind w:firstLine="1440" w:firstLineChars="6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（1）将中标工程转包或者违法分包的；</w:t>
      </w:r>
    </w:p>
    <w:p>
      <w:pPr>
        <w:widowControl/>
        <w:spacing w:before="0" w:beforeAutospacing="0" w:after="0" w:afterAutospacing="0" w:line="420" w:lineRule="exact"/>
        <w:ind w:left="1676" w:leftChars="684" w:hanging="240" w:hangingChars="1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（2）在中标工程中不执行质量、安全生产相关规定的，造成质量或安全事故的；</w:t>
      </w:r>
    </w:p>
    <w:p>
      <w:pPr>
        <w:widowControl/>
        <w:spacing w:before="0" w:beforeAutospacing="0" w:after="0" w:afterAutospacing="0" w:line="420" w:lineRule="exact"/>
        <w:ind w:firstLine="1440" w:firstLineChars="6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（3）存在围标或串标情形的；</w:t>
      </w:r>
    </w:p>
    <w:p>
      <w:pPr>
        <w:widowControl/>
        <w:spacing w:before="0" w:beforeAutospacing="0" w:after="0" w:afterAutospacing="0" w:line="420" w:lineRule="exact"/>
        <w:ind w:firstLine="1440" w:firstLineChars="6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（4）存在弄虚作假骗取中标情形的；</w:t>
      </w:r>
    </w:p>
    <w:p>
      <w:pPr>
        <w:widowControl/>
        <w:spacing w:before="0" w:beforeAutospacing="0" w:after="0" w:afterAutospacing="0" w:line="420" w:lineRule="exact"/>
        <w:ind w:firstLine="1440" w:firstLineChars="600"/>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（5）存在因过错行为被生效法律文书认定承担违约或侵权责任的。</w:t>
      </w:r>
    </w:p>
    <w:p>
      <w:pPr>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20.2</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1620"/>
        </w:tabs>
        <w:spacing w:line="420" w:lineRule="exact"/>
        <w:ind w:left="1619"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58" name="文本框 59"/>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wps:txbx>
                      <wps:bodyPr wrap="square" upright="1"/>
                    </wps:wsp>
                  </a:graphicData>
                </a:graphic>
              </wp:anchor>
            </w:drawing>
          </mc:Choice>
          <mc:Fallback>
            <w:pict>
              <v:shape id="文本框 59" o:spid="_x0000_s1026" o:spt="202" type="#_x0000_t202" style="position:absolute;left:0pt;margin-left:-9pt;margin-top:0pt;height:29.4pt;width:72pt;z-index:251719680;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op+2j1AAAAAcBAAAPAAAAAAAAAAEAIAAAACIAAABkcnMvZG93bnJldi54bWxQSwECFAAUAAAA&#10;CACHTuJAQ9pNn7kBAABdAwAADgAAAAAAAAABACAAAAAj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_GB2312" w:hAnsi="仿宋_GB2312" w:eastAsia="仿宋_GB2312" w:cs="仿宋_GB2312"/>
          <w:color w:val="auto"/>
          <w:sz w:val="24"/>
          <w:szCs w:val="24"/>
          <w:highlight w:val="none"/>
        </w:rPr>
        <w:t>承包人应按照合同约定完成下列工作，包括但不限于：</w:t>
      </w:r>
    </w:p>
    <w:p>
      <w:pPr>
        <w:numPr>
          <w:ilvl w:val="0"/>
          <w:numId w:val="4"/>
        </w:numPr>
        <w:tabs>
          <w:tab w:val="left" w:pos="1980"/>
        </w:tabs>
        <w:spacing w:line="420" w:lineRule="exact"/>
        <w:ind w:firstLine="1440" w:firstLineChars="6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按照合同约定和监理工程师的指令实施、完成并保修合同工</w:t>
      </w:r>
      <w:r>
        <w:rPr>
          <w:rFonts w:hint="eastAsia" w:ascii="仿宋_GB2312" w:hAnsi="仿宋_GB2312" w:eastAsia="仿宋_GB2312" w:cs="仿宋_GB2312"/>
          <w:color w:val="auto"/>
          <w:sz w:val="24"/>
          <w:szCs w:val="24"/>
          <w:highlight w:val="none"/>
          <w:lang w:val="en-US" w:eastAsia="zh-CN"/>
        </w:rPr>
        <w:t xml:space="preserve">   </w:t>
      </w:r>
    </w:p>
    <w:p>
      <w:pPr>
        <w:numPr>
          <w:ilvl w:val="0"/>
          <w:numId w:val="0"/>
        </w:numPr>
        <w:tabs>
          <w:tab w:val="left" w:pos="1980"/>
        </w:tabs>
        <w:spacing w:line="420" w:lineRule="exact"/>
        <w:ind w:firstLine="1680" w:firstLineChars="7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程；</w:t>
      </w:r>
    </w:p>
    <w:p>
      <w:pPr>
        <w:numPr>
          <w:ilvl w:val="0"/>
          <w:numId w:val="0"/>
        </w:numPr>
        <w:tabs>
          <w:tab w:val="left" w:pos="1980"/>
        </w:tabs>
        <w:spacing w:line="420" w:lineRule="exact"/>
        <w:ind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按照合同约定和监理工程师的要求提交工程进度报告和进度计划；</w:t>
      </w:r>
    </w:p>
    <w:p>
      <w:pPr>
        <w:numPr>
          <w:ilvl w:val="0"/>
          <w:numId w:val="0"/>
        </w:numPr>
        <w:tabs>
          <w:tab w:val="left" w:pos="1980"/>
        </w:tabs>
        <w:spacing w:line="420" w:lineRule="exact"/>
        <w:ind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按照合同约定和造价工程师的要求提交支付申请和工程款报告，包括绿色施工安全防护费、进度款、结算款和调整合同价款等；</w:t>
      </w:r>
    </w:p>
    <w:p>
      <w:pPr>
        <w:numPr>
          <w:ilvl w:val="0"/>
          <w:numId w:val="0"/>
        </w:numPr>
        <w:tabs>
          <w:tab w:val="left" w:pos="1980"/>
        </w:tabs>
        <w:spacing w:line="420" w:lineRule="exact"/>
        <w:ind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负责施工场地安全保卫工作，防止因工程施工造成的人身伤害和财产损失，提供和维修非夜间施工使用的照明、围栏设施等安全标志；</w:t>
      </w:r>
    </w:p>
    <w:p>
      <w:pPr>
        <w:numPr>
          <w:ilvl w:val="0"/>
          <w:numId w:val="0"/>
        </w:numPr>
        <w:tabs>
          <w:tab w:val="left" w:pos="1980"/>
        </w:tabs>
        <w:spacing w:line="420" w:lineRule="exact"/>
        <w:ind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按照专用条款约定的数量和要求，向发包人提供施工场地办公和生活的房屋及设施，并在施工现场保留本合同、约定的标准与规范、变更资料等各一份，供监理工程师、造价工程师需要时使用；</w:t>
      </w:r>
    </w:p>
    <w:p>
      <w:pPr>
        <w:numPr>
          <w:ilvl w:val="0"/>
          <w:numId w:val="0"/>
        </w:numPr>
        <w:tabs>
          <w:tab w:val="left" w:pos="1980"/>
        </w:tabs>
        <w:spacing w:line="420" w:lineRule="exact"/>
        <w:ind w:leftChars="77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 xml:space="preserve">遵守政府部门有关施工场地交通、环境保护、施工噪声、绿色施工安全防护等的管理规定，办理有关手续，并以书面形式通知发包人，费用按政府有关部门相关文件规定由发（承）包人各自承担； </w:t>
      </w:r>
    </w:p>
    <w:p>
      <w:pPr>
        <w:numPr>
          <w:ilvl w:val="0"/>
          <w:numId w:val="0"/>
        </w:numPr>
        <w:tabs>
          <w:tab w:val="left" w:pos="1980"/>
          <w:tab w:val="left" w:pos="2520"/>
        </w:tabs>
        <w:spacing w:line="420" w:lineRule="exact"/>
        <w:ind w:leftChars="77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pPr>
        <w:numPr>
          <w:ilvl w:val="0"/>
          <w:numId w:val="0"/>
        </w:numPr>
        <w:tabs>
          <w:tab w:val="left" w:pos="1980"/>
          <w:tab w:val="left" w:pos="2520"/>
        </w:tabs>
        <w:spacing w:line="420" w:lineRule="exact"/>
        <w:ind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做好施工场地地下管线和邻近建筑物、构筑物（包括文物保护建筑）、古树名木的保护工作；</w:t>
      </w:r>
    </w:p>
    <w:p>
      <w:pPr>
        <w:numPr>
          <w:ilvl w:val="0"/>
          <w:numId w:val="0"/>
        </w:numPr>
        <w:tabs>
          <w:tab w:val="left" w:pos="1980"/>
          <w:tab w:val="left" w:pos="2520"/>
        </w:tabs>
        <w:spacing w:line="420" w:lineRule="exact"/>
        <w:ind w:leftChars="77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遵守政府部门有关环境卫生的管理规定，保证施工场地的清洁和做好交工前施工现场的清理工作，并承担因自身责任造成的损失和罚款；</w:t>
      </w:r>
    </w:p>
    <w:p>
      <w:pPr>
        <w:numPr>
          <w:ilvl w:val="0"/>
          <w:numId w:val="0"/>
        </w:numPr>
        <w:tabs>
          <w:tab w:val="left" w:pos="1440"/>
          <w:tab w:val="left" w:pos="1980"/>
        </w:tabs>
        <w:spacing w:line="420" w:lineRule="exact"/>
        <w:ind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工程完工后，应按照合同约定提交竣工验收申请报告和竣工结算文件。</w:t>
      </w:r>
    </w:p>
    <w:p>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20.3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59" name="文本框 6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wps:txbx>
                      <wps:bodyPr wrap="square" upright="1"/>
                    </wps:wsp>
                  </a:graphicData>
                </a:graphic>
              </wp:anchor>
            </w:drawing>
          </mc:Choice>
          <mc:Fallback>
            <w:pict>
              <v:shape id="文本框 60" o:spid="_x0000_s1026" o:spt="202" type="#_x0000_t202" style="position:absolute;left:0pt;margin-left:-9pt;margin-top:0pt;height:46.8pt;width:72pt;z-index:251720704;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yfpMtUAAAAHAQAADwAAAAAAAAABACAAAAAiAAAAZHJzL2Rvd25yZXYueG1sUEsBAhQAFAAAAAgA&#10;h07iQH+OAHe2AQAAXQMAAA4AAAAAAAAAAQAgAAAAJAEAAGRycy9lMm9Eb2MueG1sUEsFBgAAAAAG&#10;AAYAWQEAAEw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7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20.4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60" name="文本框 61"/>
                <wp:cNvGraphicFramePr/>
                <a:graphic xmlns:a="http://schemas.openxmlformats.org/drawingml/2006/main">
                  <a:graphicData uri="http://schemas.microsoft.com/office/word/2010/wordprocessingShape">
                    <wps:wsp>
                      <wps:cNvSpPr txBox="1"/>
                      <wps:spPr>
                        <a:xfrm>
                          <a:off x="0" y="0"/>
                          <a:ext cx="914400" cy="100393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wps:txbx>
                      <wps:bodyPr wrap="square" upright="1"/>
                    </wps:wsp>
                  </a:graphicData>
                </a:graphic>
              </wp:anchor>
            </w:drawing>
          </mc:Choice>
          <mc:Fallback>
            <w:pict>
              <v:shape id="文本框 61" o:spid="_x0000_s1026" o:spt="202" type="#_x0000_t202" style="position:absolute;left:0pt;margin-left:-9pt;margin-top:1.8pt;height:79.05pt;width:72pt;z-index:251721728;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r+BCdYAAAAJAQAADwAAAAAAAAABACAAAAAiAAAAZHJzL2Rvd25yZXYueG1sUEsBAhQAFAAA&#10;AAgAh07iQPYeoK24AQAAXgMAAA4AAAAAAAAAAQAgAAAAJQEAAGRycy9lMm9Eb2MueG1sUEsFBgAA&#10;AAAGAAYAWQEAAE8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pPr>
        <w:tabs>
          <w:tab w:val="left" w:pos="4970"/>
        </w:tabs>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 xml:space="preserve">20.5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61" name="文本框 62"/>
                <wp:cNvGraphicFramePr/>
                <a:graphic xmlns:a="http://schemas.openxmlformats.org/drawingml/2006/main">
                  <a:graphicData uri="http://schemas.microsoft.com/office/word/2010/wordprocessingShape">
                    <wps:wsp>
                      <wps:cNvSpPr txBox="1"/>
                      <wps:spPr>
                        <a:xfrm>
                          <a:off x="0" y="0"/>
                          <a:ext cx="914400" cy="65786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Calibri" w:eastAsia="楷体_GB2312" w:cs="楷体_GB2312"/>
                                <w:b/>
                                <w:bCs/>
                                <w:color w:val="000000"/>
                                <w:sz w:val="18"/>
                                <w:szCs w:val="18"/>
                              </w:rPr>
                              <w:t>承包人为发包人的人员提供配合</w:t>
                            </w:r>
                          </w:p>
                        </w:txbxContent>
                      </wps:txbx>
                      <wps:bodyPr wrap="square" upright="1"/>
                    </wps:wsp>
                  </a:graphicData>
                </a:graphic>
              </wp:anchor>
            </w:drawing>
          </mc:Choice>
          <mc:Fallback>
            <w:pict>
              <v:shape id="文本框 62" o:spid="_x0000_s1026" o:spt="202" type="#_x0000_t202" style="position:absolute;left:0pt;margin-left:-9pt;margin-top:1.2pt;height:51.8pt;width:72pt;z-index:251722752;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lC3wPUAAAACQEAAA8AAAAAAAAAAQAgAAAAIgAAAGRycy9kb3ducmV2LnhtbFBLAQIUABQAAAAI&#10;AIdO4kD8V0Z3uAEAAF0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Calibri" w:eastAsia="楷体_GB2312" w:cs="楷体_GB2312"/>
                          <w:b/>
                          <w:bCs/>
                          <w:color w:val="000000"/>
                          <w:sz w:val="18"/>
                          <w:szCs w:val="18"/>
                        </w:rPr>
                        <w:t>承包人为发包人的人员提供配合</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承包人应按照合同约定或监理工程师的指令，配合和协助下述人员在施工场地及其附近实施与合同工程有关的各项工作：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（1）发包人的工作人员；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（2）发包人的雇员；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（3）任何监督管理机构的执法人员。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此类指令若增加了承包人的工作或支出，包括使用了承包人的设备、临时工程或通行道路等，则视为工程变更，按照第72条规定调整合同价款。</w:t>
      </w:r>
    </w:p>
    <w:p>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20.6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62" name="文本框 63"/>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wps:txbx>
                      <wps:bodyPr wrap="square" upright="1"/>
                    </wps:wsp>
                  </a:graphicData>
                </a:graphic>
              </wp:anchor>
            </w:drawing>
          </mc:Choice>
          <mc:Fallback>
            <w:pict>
              <v:shape id="文本框 63" o:spid="_x0000_s1026" o:spt="202" type="#_x0000_t202" style="position:absolute;left:0pt;margin-left:-9pt;margin-top:0pt;height:62.4pt;width:72pt;z-index:25172377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qTZUc1QAAAAgBAAAPAAAAAAAAAAEAIAAAACIAAABkcnMvZG93bnJldi54bWxQSwECFAAUAAAA&#10;CACHTuJATx4B7rgBAABdAwAADgAAAAAAAAABACAAAAAkAQAAZHJzL2Uyb0RvYy54bWxQSwUGAAAA&#10;AAYABgBZAQAATgU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20.7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63" name="文本框 6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wps:txbx>
                      <wps:bodyPr wrap="square" upright="1"/>
                    </wps:wsp>
                  </a:graphicData>
                </a:graphic>
              </wp:anchor>
            </w:drawing>
          </mc:Choice>
          <mc:Fallback>
            <w:pict>
              <v:shape id="文本框 64" o:spid="_x0000_s1026" o:spt="202" type="#_x0000_t202" style="position:absolute;left:0pt;margin-left:-9pt;margin-top:0pt;height:39pt;width:72pt;z-index:251724800;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LuITtQAAAAHAQAADwAAAAAAAAABACAAAAAiAAAAZHJzL2Rvd25yZXYueG1sUEsBAhQAFAAAAAgA&#10;h07iQM0tPNW3AQAAXQMAAA4AAAAAAAAAAQAgAAAAIwEAAGRycy9lMm9Eb2MueG1sUEsFBgAAAAAG&#10;AAYAWQEAAEwFA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承包人未能正确完成本合同约定的全部义务，导致费用的增加和（或）延误的工期，由承包人承担；给发包人造成损失的，承包人应予赔偿。</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37" w:name="_Toc469384001"/>
      <w:bookmarkStart w:id="438" w:name="_Toc10624841"/>
      <w:r>
        <w:rPr>
          <w:rFonts w:hint="eastAsia" w:ascii="黑体" w:hAnsi="黑体" w:eastAsia="黑体" w:cs="黑体"/>
          <w:b w:val="0"/>
          <w:bCs/>
          <w:color w:val="auto"/>
          <w:kern w:val="0"/>
          <w:sz w:val="24"/>
          <w:szCs w:val="24"/>
          <w:highlight w:val="none"/>
          <w:lang w:val="en-US" w:eastAsia="zh-CN" w:bidi="ar-SA"/>
        </w:rPr>
        <w:t>21  现场管理人员任命和更换</w:t>
      </w:r>
      <w:bookmarkEnd w:id="437"/>
      <w:bookmarkEnd w:id="438"/>
    </w:p>
    <w:p>
      <w:pPr>
        <w:widowControl w:val="0"/>
        <w:tabs>
          <w:tab w:val="left" w:pos="1320"/>
        </w:tabs>
        <w:adjustRightInd w:val="0"/>
        <w:snapToGrid w:val="0"/>
        <w:spacing w:line="420" w:lineRule="exact"/>
        <w:ind w:right="-24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21.1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64" name="文本框 65"/>
                <wp:cNvGraphicFramePr/>
                <a:graphic xmlns:a="http://schemas.openxmlformats.org/drawingml/2006/main">
                  <a:graphicData uri="http://schemas.microsoft.com/office/word/2010/wordprocessingShape">
                    <wps:wsp>
                      <wps:cNvSpPr txBox="1"/>
                      <wps:spPr>
                        <a:xfrm>
                          <a:off x="0" y="0"/>
                          <a:ext cx="914400" cy="602615"/>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wps:txbx>
                      <wps:bodyPr wrap="square" upright="1"/>
                    </wps:wsp>
                  </a:graphicData>
                </a:graphic>
              </wp:anchor>
            </w:drawing>
          </mc:Choice>
          <mc:Fallback>
            <w:pict>
              <v:shape id="文本框 65" o:spid="_x0000_s1026" o:spt="202" type="#_x0000_t202" style="position:absolute;left:0pt;margin-left:-9pt;margin-top:0.6pt;height:47.45pt;width:72pt;z-index:251725824;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Tdb+dQAAAAIAQAADwAAAAAAAAABACAAAAAiAAAAZHJzL2Rvd25yZXYueG1sUEsBAhQAFAAAAAgA&#10;h07iQNNPI/y3AQAAXQMAAA4AAAAAAAAAAQAgAAAAIwEAAGRycy9lMm9Eb2MueG1sUEsFBgAAAAAG&#10;AAYAWQEAAEwFA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如需更换现场管理人员，应至少提前7天以书面形式通知承包人，否则该项更换无效。承包人应在收到通知后7天内予以回复，否则视为已收到通知。后任现场管理人员应继续行使合同规定的前任现场管理人员的职权和履行相应的义务。</w:t>
      </w:r>
    </w:p>
    <w:p>
      <w:pPr>
        <w:widowControl w:val="0"/>
        <w:tabs>
          <w:tab w:val="left" w:pos="1320"/>
          <w:tab w:val="left" w:pos="16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21.2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65" name="文本框 66"/>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wps:txbx>
                      <wps:bodyPr wrap="square" upright="1"/>
                    </wps:wsp>
                  </a:graphicData>
                </a:graphic>
              </wp:anchor>
            </w:drawing>
          </mc:Choice>
          <mc:Fallback>
            <w:pict>
              <v:shape id="文本框 66" o:spid="_x0000_s1026" o:spt="202" type="#_x0000_t202" style="position:absolute;left:0pt;margin-left:-9pt;margin-top:6.65pt;height:36pt;width:72pt;z-index:251726848;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xMCfp1gAAAAkBAAAPAAAAAAAAAAEAIAAAACIAAABkcnMvZG93bnJldi54bWxQSwECFAAUAAAA&#10;CACHTuJAkSF/X7cBAABdAwAADgAAAAAAAAABACAAAAAl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如需更换承包人代表，应取得发包人的同意和遵守建设行政主管部门的规定，并至少提前7天以书面形式通知发包人，否则该项更换无效。发包人应在收到通知后的7天内予以答复，否则视为同意。后任承包人代表应继续行使合同规定的前任承包人代表的职权和履行相应的义务。</w:t>
      </w:r>
    </w:p>
    <w:p>
      <w:pPr>
        <w:widowControl w:val="0"/>
        <w:tabs>
          <w:tab w:val="left" w:pos="13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21.3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7872"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66" name="文本框 67"/>
                <wp:cNvGraphicFramePr/>
                <a:graphic xmlns:a="http://schemas.openxmlformats.org/drawingml/2006/main">
                  <a:graphicData uri="http://schemas.microsoft.com/office/word/2010/wordprocessingShape">
                    <wps:wsp>
                      <wps:cNvSpPr txBox="1"/>
                      <wps:spPr>
                        <a:xfrm>
                          <a:off x="0" y="0"/>
                          <a:ext cx="1231900" cy="7207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wps:txbx>
                      <wps:bodyPr wrap="square" upright="1"/>
                    </wps:wsp>
                  </a:graphicData>
                </a:graphic>
              </wp:anchor>
            </w:drawing>
          </mc:Choice>
          <mc:Fallback>
            <w:pict>
              <v:shape id="文本框 67" o:spid="_x0000_s1026" o:spt="202" type="#_x0000_t202" style="position:absolute;left:0pt;margin-left:-6.6pt;margin-top:3.65pt;height:56.75pt;width:97pt;z-index:251727872;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QVlyPVAAAACQEAAA8AAAAAAAAAAQAgAAAAIgAAAGRycy9kb3ducmV2LnhtbFBLAQIUABQAAAAI&#10;AIdO4kBkowSytwEAAF4DAAAOAAAAAAAAAAEAIAAAACQ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合同约定或依法应由监理工程师、造价工程师行使的职权外，监理工程师、造价工程师可将其职权以书面形式授予其任命的监理工程师、造价工程师代表，亦可将其授权撤回。任何此类任命或撤回，均应至少提前7天以书面形式通知承包人。未将有关文件送交承包人之前，任何此类任命或撤回均为无效。</w:t>
      </w:r>
    </w:p>
    <w:p>
      <w:pPr>
        <w:widowControl w:val="0"/>
        <w:tabs>
          <w:tab w:val="left" w:pos="1320"/>
        </w:tabs>
        <w:adjustRightInd w:val="0"/>
        <w:snapToGrid w:val="0"/>
        <w:spacing w:line="420" w:lineRule="exact"/>
        <w:ind w:right="-238"/>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21.4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67" name="文本框 68"/>
                <wp:cNvGraphicFramePr/>
                <a:graphic xmlns:a="http://schemas.openxmlformats.org/drawingml/2006/main">
                  <a:graphicData uri="http://schemas.microsoft.com/office/word/2010/wordprocessingShape">
                    <wps:wsp>
                      <wps:cNvSpPr txBox="1"/>
                      <wps:spPr>
                        <a:xfrm>
                          <a:off x="0" y="0"/>
                          <a:ext cx="914400" cy="55943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wps:txbx>
                      <wps:bodyPr wrap="square" upright="1"/>
                    </wps:wsp>
                  </a:graphicData>
                </a:graphic>
              </wp:anchor>
            </w:drawing>
          </mc:Choice>
          <mc:Fallback>
            <w:pict>
              <v:shape id="文本框 68" o:spid="_x0000_s1026" o:spt="202" type="#_x0000_t202" style="position:absolute;left:0pt;margin-left:-9pt;margin-top:2.8pt;height:44.05pt;width:72pt;z-index:251728896;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eIOGdYAAAAIAQAADwAAAAAAAAABACAAAAAiAAAAZHJzL2Rvd25yZXYueG1sUEsBAhQAFAAA&#10;AAgAh07iQNNrpcK4AQAAXQMAAA4AAAAAAAAAAQAgAAAAJQ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合同约定或依法应由承包人代表行使的职权外，承包人代表可将其职权以书面形式授予其任命的合格人选，亦可将其授权撤回。任何此类任命或撤回，均应至少提前7天以书面形式通知发包人和监理工程师、造价工程师。未将有关文件提交发包人和监理工程师、造价工程师之前，任何此类任命或撤回均为无效。</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u w:val="single"/>
        </w:rPr>
        <w:t xml:space="preserve">                                                                                             </w:t>
      </w:r>
      <w:bookmarkStart w:id="439" w:name="_Toc10624842"/>
      <w:bookmarkStart w:id="440" w:name="_Toc469384002"/>
      <w:r>
        <w:rPr>
          <w:rFonts w:hint="eastAsia" w:ascii="黑体" w:hAnsi="黑体" w:eastAsia="黑体" w:cs="黑体"/>
          <w:b w:val="0"/>
          <w:bCs/>
          <w:color w:val="auto"/>
          <w:kern w:val="0"/>
          <w:sz w:val="24"/>
          <w:szCs w:val="24"/>
          <w:highlight w:val="none"/>
          <w:lang w:val="en-US" w:eastAsia="zh-CN" w:bidi="ar-SA"/>
        </w:rPr>
        <w:t>22  发包人代表</w:t>
      </w:r>
      <w:bookmarkEnd w:id="439"/>
      <w:bookmarkEnd w:id="440"/>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22.1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68" name="文本框 69"/>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发包人对其代表授权</w:t>
                            </w:r>
                          </w:p>
                        </w:txbxContent>
                      </wps:txbx>
                      <wps:bodyPr wrap="square" upright="1"/>
                    </wps:wsp>
                  </a:graphicData>
                </a:graphic>
              </wp:anchor>
            </w:drawing>
          </mc:Choice>
          <mc:Fallback>
            <w:pict>
              <v:shape id="文本框 69" o:spid="_x0000_s1026" o:spt="202" type="#_x0000_t202" style="position:absolute;left:0pt;margin-left:-9pt;margin-top:4.2pt;height:34.9pt;width:72pt;z-index:251729920;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Cu6wF1QAAAAgBAAAPAAAAAAAAAAEAIAAAACIAAABkcnMvZG93bnJldi54bWxQSwECFAAUAAAA&#10;CACHTuJAnJwUt7gBAABd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发包人对其代表授权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22.2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69" name="文本框 7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发包人代表职权</w:t>
                            </w:r>
                          </w:p>
                        </w:txbxContent>
                      </wps:txbx>
                      <wps:bodyPr wrap="square" upright="1"/>
                    </wps:wsp>
                  </a:graphicData>
                </a:graphic>
              </wp:anchor>
            </w:drawing>
          </mc:Choice>
          <mc:Fallback>
            <w:pict>
              <v:shape id="文本框 70" o:spid="_x0000_s1026" o:spt="202" type="#_x0000_t202" style="position:absolute;left:0pt;margin-left:-9pt;margin-top:6pt;height:31.2pt;width:72pt;z-index:251730944;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zY3tu1gAAAAkBAAAPAAAAAAAAAAEAIAAAACIAAABkcnMvZG93bnJldi54bWxQSwECFAAUAAAA&#10;CACHTuJAoWvwKbcBAABdAwAADgAAAAAAAAABACAAAAAl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发包人代表职权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发包人代表应代表发包人履行合同规定的职责、行使合同明文规定和必然隐含的权力，对发包人负责。发包人代表在发包人授予职权范围内工作，发包人应予认可。</w:t>
      </w:r>
    </w:p>
    <w:p>
      <w:pPr>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41" w:name="_Toc469384003"/>
      <w:bookmarkStart w:id="442" w:name="_Toc10624843"/>
      <w:r>
        <w:rPr>
          <w:rFonts w:hint="eastAsia" w:ascii="黑体" w:hAnsi="黑体" w:eastAsia="黑体" w:cs="黑体"/>
          <w:b w:val="0"/>
          <w:bCs/>
          <w:color w:val="auto"/>
          <w:kern w:val="0"/>
          <w:sz w:val="24"/>
          <w:szCs w:val="24"/>
          <w:highlight w:val="none"/>
          <w:lang w:val="en-US" w:eastAsia="zh-CN" w:bidi="ar-SA"/>
        </w:rPr>
        <w:t>23  监理工程师</w:t>
      </w:r>
      <w:bookmarkEnd w:id="441"/>
      <w:bookmarkEnd w:id="442"/>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23.1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70" name="文本框 71"/>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发包人对监理工程师授权</w:t>
                            </w:r>
                          </w:p>
                        </w:txbxContent>
                      </wps:txbx>
                      <wps:bodyPr wrap="square" upright="1"/>
                    </wps:wsp>
                  </a:graphicData>
                </a:graphic>
              </wp:anchor>
            </w:drawing>
          </mc:Choice>
          <mc:Fallback>
            <w:pict>
              <v:shape id="文本框 71" o:spid="_x0000_s1026" o:spt="202" type="#_x0000_t202" style="position:absolute;left:0pt;margin-left:-9pt;margin-top:4.2pt;height:30.7pt;width:72pt;z-index:251731968;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uGASC1QAAAAgBAAAPAAAAAAAAAAEAIAAAACIAAABkcnMvZG93bnJldi54bWxQSwECFAAUAAAA&#10;CACHTuJAZD16trgBAABd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发包人对监理工程师授权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发包人应在专用条款中写明负责合同工程监理专业技术的监理人名称和监理工程师具体人选，并在开工前将监理工程师任命书以书面形式通知承包人，授予其代表发包人履行合同规定职责所需的权力。</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23.2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71" name="文本框 72"/>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wps:txbx>
                      <wps:bodyPr wrap="square" upright="1"/>
                    </wps:wsp>
                  </a:graphicData>
                </a:graphic>
              </wp:anchor>
            </w:drawing>
          </mc:Choice>
          <mc:Fallback>
            <w:pict>
              <v:shape id="文本框 72" o:spid="_x0000_s1026" o:spt="202" type="#_x0000_t202" style="position:absolute;left:0pt;margin-left:-9pt;margin-top:3pt;height:38.1pt;width:72pt;z-index:251732992;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7H5hO1QAAAAgBAAAPAAAAAAAAAAEAIAAAACIAAABkcnMvZG93bnJldi54bWxQSwECFAAUAAAA&#10;CACHTuJAVLH7e7gBAABd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23.3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72" name="文本框 73"/>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wps:txbx>
                      <wps:bodyPr wrap="square" upright="1"/>
                    </wps:wsp>
                  </a:graphicData>
                </a:graphic>
              </wp:anchor>
            </w:drawing>
          </mc:Choice>
          <mc:Fallback>
            <w:pict>
              <v:shape id="文本框 73" o:spid="_x0000_s1026" o:spt="202" type="#_x0000_t202" style="position:absolute;left:0pt;margin-left:-9pt;margin-top:5.4pt;height:32.3pt;width:72pt;z-index:251734016;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kwS2h1QAAAAkBAAAPAAAAAAAAAAEAIAAAACIAAABkcnMvZG93bnJldi54bWxQSwECFAAUAAAA&#10;CACHTuJABKami7gBAABd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除属于第86条规定的争议外，监理工程师在职权范围内的工作，发包人应予认可，但下列事件应事先取得发包人的专项批准：</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（1）根据第5.2款规定批准承包人提供的配合施工设计图纸；</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（2）根据第7.2款规定同意承包人分包工程；</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（3）根据第18.1款规定批准承包人将材料和工程设备、施工设备移出施工场地；</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（4）根据第33条规定批准承包人的施工组织设计和工程进度计划；</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（5）根据第34.2款规定发出的工程开工令；</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（6）根据第37.2款规定发出加快进度的变更指令；</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（7）根据第49.6款规定使用替换材料；</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（8）根据第63条规定发出使用暂列金额的工作指令；</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（9）根据第64条规定发出使用计日工的工作指令；</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（10）根据第56条规定指令或批准的工程变更；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（11）根据第75条规定指令或确认的现场签证；</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（12）专用条款约定需要发包人批准的其他事项。</w:t>
      </w:r>
    </w:p>
    <w:p>
      <w:pPr>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73" name="文本框 74"/>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令</w:t>
                            </w:r>
                          </w:p>
                        </w:txbxContent>
                      </wps:txbx>
                      <wps:bodyPr wrap="square" upright="1"/>
                    </wps:wsp>
                  </a:graphicData>
                </a:graphic>
              </wp:anchor>
            </w:drawing>
          </mc:Choice>
          <mc:Fallback>
            <w:pict>
              <v:shape id="文本框 74" o:spid="_x0000_s1026" o:spt="202" type="#_x0000_t202" style="position:absolute;left:0pt;margin-left:-9pt;margin-top:21.9pt;height:36pt;width:81pt;z-index:251735040;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ZhKhdcAAAAKAQAADwAAAAAAAAABACAAAAAiAAAAZHJzL2Rvd25yZXYueG1sUEsBAhQAFAAA&#10;AAgAh07iQFiFejW3AQAAXgMAAA4AAAAAAAAAAQAgAAAAJg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cs="宋体"/>
          <w:b/>
          <w:bCs/>
          <w:color w:val="auto"/>
          <w:sz w:val="22"/>
          <w:szCs w:val="22"/>
          <w:highlight w:val="none"/>
        </w:rPr>
        <w:t xml:space="preserve">23.4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监理工程师应按照合同约定时间向承包人提供实施合同工程的进度、质量和安全工作所需的批准、确认和通知等指令。</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提供的指令，均应采用书面形式。在紧急情况下，监理工程师可发出口头指令，但应在48小时内给予书面确认。对监理工程师的口头指令，承包人应予执行。如果承包人在监理工程师发出口头指令48小时后未收到书面确认，则应在接到口头指令后的7天内向监理工程师发出书面确认函。监理工程师应在承包人发出书面确认函后48小时内给予答复；逾期未予答复的，视为承包人的书面确认函已被认可。</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23.5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74" name="文本框 75"/>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wps:txbx>
                      <wps:bodyPr wrap="square" upright="1"/>
                    </wps:wsp>
                  </a:graphicData>
                </a:graphic>
              </wp:anchor>
            </w:drawing>
          </mc:Choice>
          <mc:Fallback>
            <w:pict>
              <v:shape id="文本框 75" o:spid="_x0000_s1026" o:spt="202" type="#_x0000_t202" style="position:absolute;left:0pt;margin-left:-9pt;margin-top:3.9pt;height:33.9pt;width:72pt;z-index:251736064;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VnfH61AAAAAgBAAAPAAAAAAAAAAEAIAAAACIAAABkcnMvZG93bnJldi54bWxQSwECFAAUAAAA&#10;CACHTuJAh08V3LkBAABd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认为监理工程师的指令不合理，应在收到指令后24小时内向监理工程师提出书面报告，监理工程师应在收到承包人报告后24小时内做出修改指令或继续执行原指令的决定，并书面通知承包人。逾期不做出决定的，承包人可不执行监理工程师的指令。</w:t>
      </w:r>
    </w:p>
    <w:p>
      <w:pPr>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23.6</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75" name="文本框 76"/>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wps:txbx>
                      <wps:bodyPr wrap="square" upright="1"/>
                    </wps:wsp>
                  </a:graphicData>
                </a:graphic>
              </wp:anchor>
            </w:drawing>
          </mc:Choice>
          <mc:Fallback>
            <w:pict>
              <v:shape id="文本框 76" o:spid="_x0000_s1026" o:spt="202" type="#_x0000_t202" style="position:absolute;left:0pt;margin-left:-9pt;margin-top:1.7pt;height:34.9pt;width:72pt;z-index:251737088;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SyGbHWAAAACAEAAA8AAAAAAAAAAQAgAAAAIgAAAGRycy9kb3ducmV2LnhtbFBLAQIUABQA&#10;AAAIAIdO4kDYOsFkuQEAAF0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可按照第21.3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21.3款规定，任何此类任命或撤回均为无效。</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23.7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76" name="文本框 77"/>
                <wp:cNvGraphicFramePr/>
                <a:graphic xmlns:a="http://schemas.openxmlformats.org/drawingml/2006/main">
                  <a:graphicData uri="http://schemas.microsoft.com/office/word/2010/wordprocessingShape">
                    <wps:wsp>
                      <wps:cNvSpPr txBox="1"/>
                      <wps:spPr>
                        <a:xfrm>
                          <a:off x="0" y="0"/>
                          <a:ext cx="914400" cy="6108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wps:txbx>
                      <wps:bodyPr wrap="square" upright="1"/>
                    </wps:wsp>
                  </a:graphicData>
                </a:graphic>
              </wp:anchor>
            </w:drawing>
          </mc:Choice>
          <mc:Fallback>
            <w:pict>
              <v:shape id="文本框 77" o:spid="_x0000_s1026" o:spt="202" type="#_x0000_t202" style="position:absolute;left:0pt;margin-left:-9pt;margin-top:2.3pt;height:48.1pt;width:72pt;z-index:251738112;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ocz9YAAAAJAQAADwAAAAAAAAABACAAAAAiAAAAZHJzL2Rvd25yZXYueG1sUEsBAhQAFAAA&#10;AAgAh07iQGnQn6O4AQAAXQMAAA4AAAAAAAAAAQAgAAAAJQ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监理工程师（含其代表）未能正确完成本合同约定的全部义务，或工作出现失误，导致费用的增加和（或）延误的工期，由发包人承担；给承包人造成损失的，发包人应予赔偿。</w:t>
      </w:r>
    </w:p>
    <w:p>
      <w:pPr>
        <w:tabs>
          <w:tab w:val="left" w:pos="1260"/>
        </w:tabs>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43" w:name="_Toc469384004"/>
      <w:bookmarkStart w:id="444" w:name="_Toc10624844"/>
      <w:r>
        <w:rPr>
          <w:rFonts w:hint="eastAsia" w:ascii="黑体" w:hAnsi="黑体" w:eastAsia="黑体" w:cs="黑体"/>
          <w:b w:val="0"/>
          <w:bCs/>
          <w:color w:val="auto"/>
          <w:kern w:val="0"/>
          <w:sz w:val="24"/>
          <w:szCs w:val="24"/>
          <w:highlight w:val="none"/>
          <w:lang w:val="en-US" w:eastAsia="zh-CN" w:bidi="ar-SA"/>
        </w:rPr>
        <w:t>24  造价工程师</w:t>
      </w:r>
      <w:bookmarkEnd w:id="443"/>
      <w:bookmarkEnd w:id="444"/>
    </w:p>
    <w:p>
      <w:pPr>
        <w:tabs>
          <w:tab w:val="left" w:pos="126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77" name="文本框 78"/>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发包人对造价工程师授权</w:t>
                            </w:r>
                          </w:p>
                        </w:txbxContent>
                      </wps:txbx>
                      <wps:bodyPr wrap="square" upright="1"/>
                    </wps:wsp>
                  </a:graphicData>
                </a:graphic>
              </wp:anchor>
            </w:drawing>
          </mc:Choice>
          <mc:Fallback>
            <w:pict>
              <v:shape id="文本框 78" o:spid="_x0000_s1026" o:spt="202" type="#_x0000_t202" style="position:absolute;left:0pt;margin-left:-9pt;margin-top:3.6pt;height:35.4pt;width:72pt;z-index:251739136;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o5MUNMAAAAIAQAADwAAAAAAAAABACAAAAAiAAAAZHJzL2Rvd25yZXYueG1sUEsBAhQAFAAAAAgA&#10;h07iQG66G9y4AQAAXQMAAA4AAAAAAAAAAQAgAAAAIgEAAGRycy9lMm9Eb2MueG1sUEsFBgAAAAAG&#10;AAYAWQEAAEw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发包人对造价工程师授权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pPr>
        <w:tabs>
          <w:tab w:val="left" w:pos="126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24.2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78" name="文本框 79"/>
                <wp:cNvGraphicFramePr/>
                <a:graphic xmlns:a="http://schemas.openxmlformats.org/drawingml/2006/main">
                  <a:graphicData uri="http://schemas.microsoft.com/office/word/2010/wordprocessingShape">
                    <wps:wsp>
                      <wps:cNvSpPr txBox="1"/>
                      <wps:spPr>
                        <a:xfrm>
                          <a:off x="0" y="0"/>
                          <a:ext cx="914400" cy="42799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wps:txbx>
                      <wps:bodyPr wrap="square" upright="1"/>
                    </wps:wsp>
                  </a:graphicData>
                </a:graphic>
              </wp:anchor>
            </w:drawing>
          </mc:Choice>
          <mc:Fallback>
            <w:pict>
              <v:shape id="文本框 79" o:spid="_x0000_s1026" o:spt="202" type="#_x0000_t202" style="position:absolute;left:0pt;margin-left:-9pt;margin-top:-0.1pt;height:33.7pt;width:72pt;z-index:251740160;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yitqPVAAAACAEAAA8AAAAAAAAAAQAgAAAAIgAAAGRycy9kb3ducmV2LnhtbFBLAQIUABQAAAAI&#10;AIdO4kCz1nB5twEAAF0DAAAOAAAAAAAAAAEAIAAAACQ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pPr>
        <w:tabs>
          <w:tab w:val="left" w:pos="126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79" name="文本框 80"/>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wps:txbx>
                      <wps:bodyPr wrap="square" upright="1"/>
                    </wps:wsp>
                  </a:graphicData>
                </a:graphic>
              </wp:anchor>
            </w:drawing>
          </mc:Choice>
          <mc:Fallback>
            <w:pict>
              <v:shape id="文本框 80" o:spid="_x0000_s1026" o:spt="202" type="#_x0000_t202" style="position:absolute;left:0pt;margin-left:-9pt;margin-top:0pt;height:40.2pt;width:72pt;z-index:251741184;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7u8udtQAAAAHAQAADwAAAAAAAAABACAAAAAiAAAAZHJzL2Rvd25yZXYueG1sUEsBAhQAFAAAAAgA&#10;h07iQIpQoli3AQAAXQMAAA4AAAAAAAAAAQAgAAAAIwEAAGRycy9lMm9Eb2MueG1sUEsFBgAAAAAG&#10;AAYAWQEAAEw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除属于第86条规定的争议外，造价工程师在职权范围内的工作，发包人应予认可，但下列事件应事先取得发包人的专项批准：</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（1）根据第63条规定使用暂列金额；</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（2）根据第64条规定使用计日工；</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（3）根据第65条规定使用暂估价；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（4）根据第66条确定的提前竣工奖与误期赔偿费；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（5）根据第67条确定的工程优质费；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（6）根据第68.2款规定事件调整的合同价款；</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（7）专用条款约定需要发包人批准的其他事项。</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24.4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80" name="文本框 81"/>
                <wp:cNvGraphicFramePr/>
                <a:graphic xmlns:a="http://schemas.openxmlformats.org/drawingml/2006/main">
                  <a:graphicData uri="http://schemas.microsoft.com/office/word/2010/wordprocessingShape">
                    <wps:wsp>
                      <wps:cNvSpPr txBox="1"/>
                      <wps:spPr>
                        <a:xfrm>
                          <a:off x="0" y="0"/>
                          <a:ext cx="1092200" cy="4343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wps:txbx>
                      <wps:bodyPr wrap="square" upright="1"/>
                    </wps:wsp>
                  </a:graphicData>
                </a:graphic>
              </wp:anchor>
            </w:drawing>
          </mc:Choice>
          <mc:Fallback>
            <w:pict>
              <v:shape id="文本框 81" o:spid="_x0000_s1026" o:spt="202" type="#_x0000_t202" style="position:absolute;left:0pt;margin-left:-9pt;margin-top:0pt;height:34.2pt;width:86pt;z-index:251742208;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vGN8nVAAAABwEAAA8AAAAAAAAAAQAgAAAAIgAAAGRycy9kb3ducmV2LnhtbFBLAQIUABQAAAAI&#10;AIdO4kDt5QuPtwEAAF4DAAAOAAAAAAAAAAEAIAAAACQ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造价工程师应按照合同约定时间向承包人提供实施合同工程的工程造价工作所需的核实、调整和通知等指令。</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造价工程师提供的指令，均应采用书面形式。在紧急情况下，造价工程师可发出口头指令，但应在48小时内给予书面确认。对造价工程师的口头指令，承包人应予执行。如果承包人在造价工程师发出的口头指令48小时后未收到书面确认，则应在接到口头指令后的7天内向造价工程师发出书面确认函。造价工程师应在承包人发出书面确认函后48小时内给予答复；逾期未予答复的，视为承包人的书面确认函已被认可。</w:t>
      </w:r>
    </w:p>
    <w:p>
      <w:pPr>
        <w:tabs>
          <w:tab w:val="left" w:pos="126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24.5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81" name="文本框 82"/>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wps:txbx>
                      <wps:bodyPr wrap="square" upright="1"/>
                    </wps:wsp>
                  </a:graphicData>
                </a:graphic>
              </wp:anchor>
            </w:drawing>
          </mc:Choice>
          <mc:Fallback>
            <w:pict>
              <v:shape id="文本框 82" o:spid="_x0000_s1026" o:spt="202" type="#_x0000_t202" style="position:absolute;left:0pt;margin-left:-9pt;margin-top:1.2pt;height:35.3pt;width:72pt;z-index:251743232;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qjXUXVAAAACAEAAA8AAAAAAAAAAQAgAAAAIgAAAGRycy9kb3ducmV2LnhtbFBLAQIUABQAAAAI&#10;AIdO4kDaeNnctwEAAF0DAAAOAAAAAAAAAAEAIAAAACQ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认为造价工程师的指令不合理，应在收到指令后24小时内向造价工程师提出书面报告，造价工程师应在收到承包人报告后24小时内做出修改指令或继续执行原指令的决定，并书面通知承包人。逾期不做出决定的，承包人可不执行造价工程师的指令。</w:t>
      </w:r>
    </w:p>
    <w:p>
      <w:pPr>
        <w:tabs>
          <w:tab w:val="left" w:pos="126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24.6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82" name="文本框 8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造价工程师职权委托</w:t>
                            </w:r>
                          </w:p>
                        </w:txbxContent>
                      </wps:txbx>
                      <wps:bodyPr wrap="square" upright="1"/>
                    </wps:wsp>
                  </a:graphicData>
                </a:graphic>
              </wp:anchor>
            </w:drawing>
          </mc:Choice>
          <mc:Fallback>
            <w:pict>
              <v:shape id="文本框 83" o:spid="_x0000_s1026" o:spt="202" type="#_x0000_t202" style="position:absolute;left:0pt;margin-left:-9pt;margin-top:0pt;height:46.8pt;width:72pt;z-index:2517442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yfpMtUAAAAHAQAADwAAAAAAAAABACAAAAAiAAAAZHJzL2Rvd25yZXYueG1sUEsBAhQAFAAA&#10;AAgAh07iQCauVO25AQAAXQMAAA4AAAAAAAAAAQAgAAAAJAEAAGRycy9lMm9Eb2MueG1sUEsFBgAA&#10;AAAGAAYAWQEAAE8FAAAAAA==&#10;">
                <v:fill on="f" focussize="0,0"/>
                <v:stroke on="f"/>
                <v:imagedata o:title=""/>
                <o:lock v:ext="edit" aspectratio="f"/>
                <v:textbo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可按照第21.3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21.3款规定，任何此类任命或撤回均为无效。</w:t>
      </w:r>
    </w:p>
    <w:p>
      <w:pPr>
        <w:tabs>
          <w:tab w:val="left" w:pos="1260"/>
        </w:tabs>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24.7</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83" name="文本框 8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wps:txbx>
                      <wps:bodyPr wrap="square" upright="1"/>
                    </wps:wsp>
                  </a:graphicData>
                </a:graphic>
              </wp:anchor>
            </w:drawing>
          </mc:Choice>
          <mc:Fallback>
            <w:pict>
              <v:shape id="文本框 84" o:spid="_x0000_s1026" o:spt="202" type="#_x0000_t202" style="position:absolute;left:0pt;margin-left:-9pt;margin-top:0pt;height:46.8pt;width:72pt;z-index:251745280;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yfpMtUAAAAHAQAADwAAAAAAAAABACAAAAAiAAAAZHJzL2Rvd25yZXYueG1sUEsBAhQAFAAA&#10;AAgAh07iQB+hXS25AQAAXQ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造价工程师（含其代表）未能正确完成本合同约定的全部义务，或工作出现失误，导致费用的增加和（或）延误的工期，由发包人承担；给承包人造成损失的，发包人应予赔偿。</w:t>
      </w:r>
    </w:p>
    <w:p>
      <w:pPr>
        <w:tabs>
          <w:tab w:val="left" w:pos="540"/>
          <w:tab w:val="left" w:pos="720"/>
        </w:tabs>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45" w:name="_Toc469384005"/>
      <w:bookmarkStart w:id="446" w:name="_Toc10624845"/>
      <w:r>
        <w:rPr>
          <w:rFonts w:hint="eastAsia" w:ascii="黑体" w:hAnsi="黑体" w:eastAsia="黑体" w:cs="黑体"/>
          <w:b w:val="0"/>
          <w:bCs/>
          <w:color w:val="auto"/>
          <w:kern w:val="0"/>
          <w:sz w:val="24"/>
          <w:szCs w:val="24"/>
          <w:highlight w:val="none"/>
          <w:lang w:val="en-US" w:eastAsia="zh-CN" w:bidi="ar-SA"/>
        </w:rPr>
        <w:t>25  承包人代表</w:t>
      </w:r>
      <w:bookmarkEnd w:id="445"/>
      <w:bookmarkEnd w:id="446"/>
    </w:p>
    <w:p>
      <w:pPr>
        <w:tabs>
          <w:tab w:val="left" w:pos="540"/>
          <w:tab w:val="left" w:pos="72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25.1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84" name="文本框 85"/>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承包人对其代表授权</w:t>
                            </w:r>
                          </w:p>
                        </w:txbxContent>
                      </wps:txbx>
                      <wps:bodyPr wrap="square" upright="1"/>
                    </wps:wsp>
                  </a:graphicData>
                </a:graphic>
              </wp:anchor>
            </w:drawing>
          </mc:Choice>
          <mc:Fallback>
            <w:pict>
              <v:shape id="文本框 85" o:spid="_x0000_s1026" o:spt="202" type="#_x0000_t202" style="position:absolute;left:0pt;margin-left:-9pt;margin-top:0pt;height:33pt;width:72pt;z-index:251746304;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p&#10;c6rI1AAAAAcBAAAPAAAAAAAAAAEAIAAAACIAAABkcnMvZG93bnJldi54bWxQSwECFAAUAAAACACH&#10;TuJApijtVLYBAABdAwAADgAAAAAAAAABACAAAAAjAQAAZHJzL2Uyb0RvYy54bWxQSwUGAAAAAAYA&#10;BgBZAQAASw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承包人对其代表授权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承包人应依据第21.2款规定在专用条款中写明承包人代表具体人选，同时在开工前将承包人代表任命书以书面形式通知发包人，授予其代表承包人履行合同规定职责所需的一切权力。</w:t>
      </w:r>
    </w:p>
    <w:p>
      <w:pPr>
        <w:tabs>
          <w:tab w:val="left" w:pos="540"/>
          <w:tab w:val="left" w:pos="720"/>
          <w:tab w:val="left" w:pos="1260"/>
          <w:tab w:val="left" w:pos="144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25.2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85" name="文本框 86"/>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权</w:t>
                            </w:r>
                          </w:p>
                        </w:txbxContent>
                      </wps:txbx>
                      <wps:bodyPr wrap="square" upright="1"/>
                    </wps:wsp>
                  </a:graphicData>
                </a:graphic>
              </wp:anchor>
            </w:drawing>
          </mc:Choice>
          <mc:Fallback>
            <w:pict>
              <v:shape id="文本框 86" o:spid="_x0000_s1026" o:spt="202" type="#_x0000_t202" style="position:absolute;left:0pt;margin-left:-9pt;margin-top:0.6pt;height:31.2pt;width:81pt;z-index:25174732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4yfBG1QAAAAgBAAAPAAAAAAAAAAEAIAAAACIAAABkcnMvZG93bnJldi54bWxQSwECFAAUAAAA&#10;CACHTuJAqYwyurgBAABe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承包人代表应代表承包人履行合同规定的职责、行使合同明文约定或必然隐含的权力，对承包人负责。承包人代表在承包人授予职权范围内的工作，承包人应予认可。</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25.3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86" name="文本框 87"/>
                <wp:cNvGraphicFramePr/>
                <a:graphic xmlns:a="http://schemas.openxmlformats.org/drawingml/2006/main">
                  <a:graphicData uri="http://schemas.microsoft.com/office/word/2010/wordprocessingShape">
                    <wps:wsp>
                      <wps:cNvSpPr txBox="1"/>
                      <wps:spPr>
                        <a:xfrm>
                          <a:off x="0" y="0"/>
                          <a:ext cx="914400" cy="4876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wps:txbx>
                      <wps:bodyPr wrap="square" upright="1"/>
                    </wps:wsp>
                  </a:graphicData>
                </a:graphic>
              </wp:anchor>
            </w:drawing>
          </mc:Choice>
          <mc:Fallback>
            <w:pict>
              <v:shape id="文本框 87" o:spid="_x0000_s1026" o:spt="202" type="#_x0000_t202" style="position:absolute;left:0pt;margin-left:-9pt;margin-top:0pt;height:38.4pt;width:72pt;z-index:251748352;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y7dFe1QAAAAcBAAAPAAAAAAAAAAEAIAAAACIAAABkcnMvZG93bnJldi54bWxQSwECFAAUAAAA&#10;CACHTuJA07HWzLgBAABd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代表在合同履行期间确需暂离现场，则应在监理工程师同意下，按照第21.4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21.4款规定，任何此类任命或撤回均为无效。</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25.4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87" name="文本框 88"/>
                <wp:cNvGraphicFramePr/>
                <a:graphic xmlns:a="http://schemas.openxmlformats.org/drawingml/2006/main">
                  <a:graphicData uri="http://schemas.microsoft.com/office/word/2010/wordprocessingShape">
                    <wps:wsp>
                      <wps:cNvSpPr txBox="1"/>
                      <wps:spPr>
                        <a:xfrm>
                          <a:off x="0" y="0"/>
                          <a:ext cx="914400" cy="7620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wps:txbx>
                      <wps:bodyPr wrap="square" upright="1"/>
                    </wps:wsp>
                  </a:graphicData>
                </a:graphic>
              </wp:anchor>
            </w:drawing>
          </mc:Choice>
          <mc:Fallback>
            <w:pict>
              <v:shape id="文本框 88" o:spid="_x0000_s1026" o:spt="202" type="#_x0000_t202" style="position:absolute;left:0pt;margin-left:-9pt;margin-top:0pt;height:60pt;width:72pt;z-index:251749376;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a72VvUAAAACAEAAA8AAAAAAAAAAQAgAAAAIgAAAGRycy9kb3ducmV2LnhtbFBLAQIUABQAAAAI&#10;AIdO4kCadGuluAEAAF0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代表按照经发包人认可的施工组织设计和监理工程师发出的指令组织施工。在紧急情况下，且无法与监理工程师取得联系时，承包人代表应立即采取保证人员生命和工程、财产安全的有效措施，并在采取措施后48小时内向监理工程师提交书面报告，通知发包人。属于发包人或第三方责任的，其发生的费用和（或）延误的工期由发包人承担，并支付承包人合理利润；属于承包人责任的，其发生的费用和（或）延误的工期由承包人承担。</w:t>
      </w:r>
    </w:p>
    <w:p>
      <w:pPr>
        <w:widowControl w:val="0"/>
        <w:tabs>
          <w:tab w:val="left" w:pos="540"/>
        </w:tabs>
        <w:adjustRightInd w:val="0"/>
        <w:snapToGrid w:val="0"/>
        <w:spacing w:line="420" w:lineRule="exact"/>
        <w:ind w:right="-240"/>
        <w:jc w:val="both"/>
        <w:rPr>
          <w:rFonts w:ascii="宋体" w:hAnsi="宋体" w:eastAsia="宋体" w:cs="宋体"/>
          <w:b/>
          <w:bCs/>
          <w:color w:val="auto"/>
          <w:kern w:val="2"/>
          <w:sz w:val="22"/>
          <w:szCs w:val="22"/>
          <w:highlight w:val="none"/>
          <w:u w:val="single"/>
          <w:lang w:val="en-US" w:eastAsia="zh-CN" w:bidi="ar-SA"/>
        </w:rPr>
      </w:pPr>
      <w:bookmarkStart w:id="447" w:name="_Toc468936969"/>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48" w:name="_Toc10624846"/>
      <w:bookmarkStart w:id="449" w:name="_Toc469384006"/>
      <w:r>
        <w:rPr>
          <w:rFonts w:hint="eastAsia" w:ascii="黑体" w:hAnsi="黑体" w:eastAsia="黑体" w:cs="黑体"/>
          <w:b w:val="0"/>
          <w:bCs/>
          <w:color w:val="auto"/>
          <w:kern w:val="0"/>
          <w:sz w:val="24"/>
          <w:szCs w:val="24"/>
          <w:highlight w:val="none"/>
          <w:lang w:val="en-US" w:eastAsia="zh-CN" w:bidi="ar-SA"/>
        </w:rPr>
        <w:t>26  指定分包</w:t>
      </w:r>
      <w:bookmarkEnd w:id="447"/>
      <w:r>
        <w:rPr>
          <w:rFonts w:hint="eastAsia" w:ascii="黑体" w:hAnsi="黑体" w:eastAsia="黑体" w:cs="黑体"/>
          <w:b w:val="0"/>
          <w:bCs/>
          <w:color w:val="auto"/>
          <w:kern w:val="0"/>
          <w:sz w:val="24"/>
          <w:szCs w:val="24"/>
          <w:highlight w:val="none"/>
          <w:lang w:val="en-US" w:eastAsia="zh-CN" w:bidi="ar-SA"/>
        </w:rPr>
        <w:t>人</w:t>
      </w:r>
      <w:bookmarkEnd w:id="448"/>
      <w:bookmarkEnd w:id="449"/>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26.1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88" name="文本框 89"/>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wrap="square" upright="1"/>
                    </wps:wsp>
                  </a:graphicData>
                </a:graphic>
              </wp:anchor>
            </w:drawing>
          </mc:Choice>
          <mc:Fallback>
            <w:pict>
              <v:shape id="文本框 89" o:spid="_x0000_s1026" o:spt="202" type="#_x0000_t202" style="position:absolute;left:0pt;margin-left:-9pt;margin-top:4.75pt;height:54.6pt;width:72pt;z-index:251750400;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7Lq11gAAAAkBAAAPAAAAAAAAAAEAIAAAACIAAABkcnMvZG93bnJldi54bWxQSwECFAAUAAAA&#10;CACHTuJAmrCS27cBAABdAwAADgAAAAAAAAABACAAAAAl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指定分包人是指发包人事先指定的从事下列工作之一的分包人：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（1）根据专用条款的约定，发包人依法事先指定的实施、完成部分永久工程的分包人；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（2）根据专用条款的约定，发包人选定的提供合同工程材料、工程设备和服务的分包人。</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26.2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89" name="文本框 90"/>
                <wp:cNvGraphicFramePr/>
                <a:graphic xmlns:a="http://schemas.openxmlformats.org/drawingml/2006/main">
                  <a:graphicData uri="http://schemas.microsoft.com/office/word/2010/wordprocessingShape">
                    <wps:wsp>
                      <wps:cNvSpPr txBox="1"/>
                      <wps:spPr>
                        <a:xfrm>
                          <a:off x="0" y="0"/>
                          <a:ext cx="1028700" cy="6273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wps:txbx>
                      <wps:bodyPr wrap="square" upright="1"/>
                    </wps:wsp>
                  </a:graphicData>
                </a:graphic>
              </wp:anchor>
            </w:drawing>
          </mc:Choice>
          <mc:Fallback>
            <w:pict>
              <v:shape id="文本框 90" o:spid="_x0000_s1026" o:spt="202" type="#_x0000_t202" style="position:absolute;left:0pt;margin-left:-9pt;margin-top:0pt;height:49.4pt;width:81pt;z-index:251751424;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oDsBtQAAAAHAQAADwAAAAAAAAABACAAAAAiAAAAZHJzL2Rvd25yZXYueG1sUEsBAhQAFAAAAAgA&#10;h07iQMM/32+3AQAAXgMAAA4AAAAAAAAAAQAgAAAAIwEAAGRycy9lMm9Eb2MueG1sUEsFBgAAAAAG&#10;AAYAWQEAAEw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指定分包人属于承包人的分包人，发包人不应要求承包人有义务接受承包人有理由反对的任何指定分包人。</w:t>
      </w:r>
    </w:p>
    <w:p>
      <w:pPr>
        <w:spacing w:line="420" w:lineRule="exact"/>
        <w:rPr>
          <w:rFonts w:ascii="宋体" w:hAnsi="宋体" w:cs="宋体"/>
          <w:b/>
          <w:bCs/>
          <w:color w:val="auto"/>
          <w:sz w:val="22"/>
          <w:szCs w:val="22"/>
          <w:highlight w:val="none"/>
          <w:u w:val="dotted"/>
        </w:rPr>
      </w:pPr>
      <w:r>
        <w:rPr>
          <w:rFonts w:hint="eastAsia" w:ascii="宋体" w:hAnsi="宋体" w:cs="宋体"/>
          <w:color w:val="auto"/>
          <w:sz w:val="22"/>
          <w:szCs w:val="22"/>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90" name="文本框 91"/>
                <wp:cNvGraphicFramePr/>
                <a:graphic xmlns:a="http://schemas.openxmlformats.org/drawingml/2006/main">
                  <a:graphicData uri="http://schemas.microsoft.com/office/word/2010/wordprocessingShape">
                    <wps:wsp>
                      <wps:cNvSpPr txBox="1"/>
                      <wps:spPr>
                        <a:xfrm>
                          <a:off x="0" y="0"/>
                          <a:ext cx="1028700" cy="69913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wps:txbx>
                      <wps:bodyPr wrap="square" upright="1"/>
                    </wps:wsp>
                  </a:graphicData>
                </a:graphic>
              </wp:anchor>
            </w:drawing>
          </mc:Choice>
          <mc:Fallback>
            <w:pict>
              <v:shape id="文本框 91" o:spid="_x0000_s1026" o:spt="202" type="#_x0000_t202" style="position:absolute;left:0pt;margin-left:-9pt;margin-top:18.7pt;height:55.05pt;width:81pt;z-index:251752448;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8sHLtgAAAAKAQAADwAAAAAAAAABACAAAAAiAAAAZHJzL2Rvd25yZXYueG1sUEsBAhQAFAAA&#10;AAgAh07iQGEG9462AQAAXgMAAA4AAAAAAAAAAQAgAAAAJw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v:textbox>
              </v:shape>
            </w:pict>
          </mc:Fallback>
        </mc:AlternateContent>
      </w:r>
      <w:r>
        <w:rPr>
          <w:rFonts w:hint="eastAsia" w:ascii="宋体" w:hAnsi="宋体" w:cs="宋体"/>
          <w:b/>
          <w:bCs/>
          <w:color w:val="auto"/>
          <w:sz w:val="22"/>
          <w:szCs w:val="22"/>
          <w:highlight w:val="none"/>
        </w:rPr>
        <w:t xml:space="preserve">26.3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发包人应按照合同的约定向承包人支付指定分包人的分包工程配合费。指定分包工程款的结算与支付，按照第7.4款办理。</w:t>
      </w:r>
    </w:p>
    <w:p>
      <w:pPr>
        <w:spacing w:line="420" w:lineRule="exact"/>
        <w:rPr>
          <w:rFonts w:ascii="宋体" w:hAnsi="宋体" w:cs="宋体"/>
          <w:b/>
          <w:bCs/>
          <w:color w:val="auto"/>
          <w:sz w:val="22"/>
          <w:szCs w:val="22"/>
          <w:highlight w:val="none"/>
          <w:u w:val="dotted"/>
        </w:rPr>
      </w:pPr>
      <w:r>
        <w:rPr>
          <w:rFonts w:hint="eastAsia" w:ascii="宋体" w:hAnsi="宋体" w:cs="宋体"/>
          <w:color w:val="auto"/>
          <w:sz w:val="22"/>
          <w:szCs w:val="22"/>
          <w:highlight w:val="none"/>
        </w:rPr>
        <mc:AlternateContent>
          <mc:Choice Requires="wps">
            <w:drawing>
              <wp:anchor distT="0" distB="0" distL="114300" distR="114300" simplePos="0" relativeHeight="251753472"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91" name="文本框 92"/>
                <wp:cNvGraphicFramePr/>
                <a:graphic xmlns:a="http://schemas.openxmlformats.org/drawingml/2006/main">
                  <a:graphicData uri="http://schemas.microsoft.com/office/word/2010/wordprocessingShape">
                    <wps:wsp>
                      <wps:cNvSpPr txBox="1"/>
                      <wps:spPr>
                        <a:xfrm>
                          <a:off x="0" y="0"/>
                          <a:ext cx="1133475" cy="79184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pPr>
                              <w:rPr>
                                <w:rFonts w:ascii="楷体_GB2312" w:hAnsi="宋体" w:eastAsia="楷体_GB2312" w:cs="Times New Roman"/>
                                <w:b/>
                                <w:bCs/>
                                <w:color w:val="000000"/>
                                <w:szCs w:val="21"/>
                              </w:rPr>
                            </w:pPr>
                          </w:p>
                          <w:p>
                            <w:pPr>
                              <w:rPr>
                                <w:rFonts w:ascii="Times New Roman" w:hAnsi="Times New Roman" w:cs="Times New Roman"/>
                                <w:szCs w:val="21"/>
                              </w:rPr>
                            </w:pPr>
                          </w:p>
                          <w:p>
                            <w:pPr>
                              <w:rPr>
                                <w:rFonts w:ascii="Calibri" w:hAnsi="Calibri" w:cs="Times New Roman"/>
                                <w:szCs w:val="21"/>
                              </w:rPr>
                            </w:pPr>
                          </w:p>
                        </w:txbxContent>
                      </wps:txbx>
                      <wps:bodyPr wrap="square" upright="1"/>
                    </wps:wsp>
                  </a:graphicData>
                </a:graphic>
              </wp:anchor>
            </w:drawing>
          </mc:Choice>
          <mc:Fallback>
            <w:pict>
              <v:shape id="文本框 92" o:spid="_x0000_s1026" o:spt="202" type="#_x0000_t202" style="position:absolute;left:0pt;margin-left:-5.25pt;margin-top:15.7pt;height:62.35pt;width:89.25pt;z-index:251753472;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TIIv1wAAAAoBAAAPAAAAAAAAAAEAIAAAACIAAABkcnMvZG93bnJldi54bWxQSwECFAAU&#10;AAAACACHTuJAivWO3LkBAABe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pPr>
                        <w:rPr>
                          <w:rFonts w:ascii="楷体_GB2312" w:hAnsi="宋体" w:eastAsia="楷体_GB2312" w:cs="Times New Roman"/>
                          <w:b/>
                          <w:bCs/>
                          <w:color w:val="000000"/>
                          <w:szCs w:val="21"/>
                        </w:rPr>
                      </w:pPr>
                    </w:p>
                    <w:p>
                      <w:pPr>
                        <w:rPr>
                          <w:rFonts w:ascii="Times New Roman" w:hAnsi="Times New Roman" w:cs="Times New Roman"/>
                          <w:szCs w:val="21"/>
                        </w:rPr>
                      </w:pPr>
                    </w:p>
                    <w:p>
                      <w:pPr>
                        <w:rPr>
                          <w:rFonts w:ascii="Calibri" w:hAnsi="Calibri" w:cs="Times New Roman"/>
                          <w:szCs w:val="21"/>
                        </w:rPr>
                      </w:pPr>
                    </w:p>
                  </w:txbxContent>
                </v:textbox>
              </v:shape>
            </w:pict>
          </mc:Fallback>
        </mc:AlternateContent>
      </w:r>
      <w:r>
        <w:rPr>
          <w:rFonts w:hint="eastAsia" w:ascii="宋体" w:hAnsi="宋体" w:cs="宋体"/>
          <w:b/>
          <w:bCs/>
          <w:color w:val="auto"/>
          <w:sz w:val="22"/>
          <w:szCs w:val="22"/>
          <w:highlight w:val="none"/>
        </w:rPr>
        <w:t>26.4</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指定分包人应按照分包合同的约定对承包人负责。承包人有义务协助、配合指定分包人实施分包工程。</w:t>
      </w:r>
    </w:p>
    <w:p>
      <w:pPr>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50" w:name="_Toc10624847"/>
      <w:bookmarkStart w:id="451" w:name="_Toc469384007"/>
      <w:r>
        <w:rPr>
          <w:rFonts w:hint="eastAsia" w:ascii="黑体" w:hAnsi="黑体" w:eastAsia="黑体" w:cs="黑体"/>
          <w:b w:val="0"/>
          <w:bCs/>
          <w:color w:val="auto"/>
          <w:kern w:val="0"/>
          <w:sz w:val="24"/>
          <w:szCs w:val="24"/>
          <w:highlight w:val="none"/>
          <w:lang w:val="en-US" w:eastAsia="zh-CN" w:bidi="ar-SA"/>
        </w:rPr>
        <w:t>27  承包人劳务</w:t>
      </w:r>
      <w:bookmarkEnd w:id="450"/>
      <w:bookmarkEnd w:id="451"/>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92" name="文本框 93"/>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wps:txbx>
                      <wps:bodyPr wrap="square" upright="1"/>
                    </wps:wsp>
                  </a:graphicData>
                </a:graphic>
              </wp:anchor>
            </w:drawing>
          </mc:Choice>
          <mc:Fallback>
            <w:pict>
              <v:shape id="文本框 93" o:spid="_x0000_s1026" o:spt="202" type="#_x0000_t202" style="position:absolute;left:0pt;margin-left:-9pt;margin-top:0.65pt;height:54.5pt;width:72pt;z-index:251754496;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7OqwtUAAAAJAQAADwAAAAAAAAABACAAAAAiAAAAZHJzL2Rvd25yZXYueG1sUEsBAhQAFAAA&#10;AAgAh07iQB9kSKO5AQAAXQ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在接到开工令后28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27.2 </w:t>
      </w:r>
      <w:r>
        <w:rPr>
          <w:rFonts w:hint="eastAsia" w:ascii="宋体" w:hAnsi="宋体" w:cs="宋体"/>
          <w:b/>
          <w:bCs/>
          <w:color w:val="auto"/>
          <w:sz w:val="22"/>
          <w:szCs w:val="22"/>
          <w:highlight w:val="none"/>
          <w:u w:val="dotted"/>
        </w:rPr>
        <w:t xml:space="preserve">                                                                                 </w:t>
      </w:r>
      <w:r>
        <w:rPr>
          <w:rFonts w:hint="eastAsia" w:ascii="宋体" w:hAnsi="宋体" w:cs="宋体"/>
          <w:b/>
          <w:bCs/>
          <w:color w:val="auto"/>
          <w:sz w:val="22"/>
          <w:szCs w:val="22"/>
          <w:highlight w:val="none"/>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93" name="文本框 9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wrap="square" upright="1"/>
                    </wps:wsp>
                  </a:graphicData>
                </a:graphic>
              </wp:anchor>
            </w:drawing>
          </mc:Choice>
          <mc:Fallback>
            <w:pict>
              <v:shape id="文本框 94" o:spid="_x0000_s1026" o:spt="202" type="#_x0000_t202" style="position:absolute;left:0pt;margin-left:-9pt;margin-top:0.65pt;height:31.2pt;width:72pt;z-index:25175552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t2iW1QAAAAgBAAAPAAAAAAAAAAEAIAAAACIAAABkcnMvZG93bnJldi54bWxQSwECFAAUAAAA&#10;CACHTuJA5vN1LbgBAABd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承包人除应雇佣投标文件中“主要人员一览表”中指明的人员外，也可以雇佣经监理工程师批准的其他人员，但不得从发包人或服务于发包人的人员中雇佣人员。</w:t>
      </w:r>
    </w:p>
    <w:p>
      <w:pPr>
        <w:tabs>
          <w:tab w:val="left" w:pos="162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94" name="文本框 9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wps:txbx>
                      <wps:bodyPr wrap="square" upright="1"/>
                    </wps:wsp>
                  </a:graphicData>
                </a:graphic>
              </wp:anchor>
            </w:drawing>
          </mc:Choice>
          <mc:Fallback>
            <w:pict>
              <v:shape id="文本框 95" o:spid="_x0000_s1026" o:spt="202" type="#_x0000_t202" style="position:absolute;left:0pt;margin-left:-9pt;margin-top:4.7pt;height:39pt;width:72pt;z-index:251756544;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FYCijVAAAACAEAAA8AAAAAAAAAAQAgAAAAIgAAAGRycy9kb3ducmV2LnhtbFBLAQIUABQAAAAI&#10;AIdO4kDHgJvmtwEAAF0DAAAOAAAAAAAAAAEAIAAAACQ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承包人应完善雇员的劳务注册手续，并与雇员订立劳动合同，明确双方的权利和义务。雇佣期间，承包人应做好下列工作：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(1)负责为雇员提供必要的食宿及各种生活设施，采取合理的卫生、劳动保护和安全防护措施，保证雇员的健康和安全；</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(2)保障雇员的合法权利和人身安全，及时采取有效措施抢救和治疗施工中受伤害的雇员；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(3)充分考虑和保障雇员的休息时间和法定节假日休假时间，尊重雇员的宗教信仰和风俗习惯；</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(4)在施工现场主要出入口处设榜公布雇员工资发放时间和投诉电话，以及合同工程中标价格、进度款支付情况；</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(5)督促雇员和发包人现场人员应佩戴由合同双方当事人共同盖章、签发的工作证上岗；</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(6)办理雇员的意外伤害等一切保险，处理雇员因工伤亡事故的善后事宜。</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27.4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95" name="文本框 96"/>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承包人特殊时间施工的批准</w:t>
                            </w:r>
                          </w:p>
                        </w:txbxContent>
                      </wps:txbx>
                      <wps:bodyPr wrap="square" upright="1"/>
                    </wps:wsp>
                  </a:graphicData>
                </a:graphic>
              </wp:anchor>
            </w:drawing>
          </mc:Choice>
          <mc:Fallback>
            <w:pict>
              <v:shape id="文本框 96" o:spid="_x0000_s1026" o:spt="202" type="#_x0000_t202" style="position:absolute;left:0pt;margin-left:-9pt;margin-top:0pt;height:54.6pt;width:72pt;z-index:251757568;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5RFTPUAAAACAEAAA8AAAAAAAAAAQAgAAAAIgAAAGRycy9kb3ducmV2LnhtbFBLAQIUABQAAAAI&#10;AIdO4kDeFkcIuAEAAF0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承包人特殊时间施工的批准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27.5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96" name="文本框 97"/>
                <wp:cNvGraphicFramePr/>
                <a:graphic xmlns:a="http://schemas.openxmlformats.org/drawingml/2006/main">
                  <a:graphicData uri="http://schemas.microsoft.com/office/word/2010/wordprocessingShape">
                    <wps:wsp>
                      <wps:cNvSpPr txBox="1"/>
                      <wps:spPr>
                        <a:xfrm>
                          <a:off x="0" y="0"/>
                          <a:ext cx="914400" cy="4806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承包人向雇员支付劳务工资</w:t>
                            </w:r>
                          </w:p>
                        </w:txbxContent>
                      </wps:txbx>
                      <wps:bodyPr wrap="square" upright="1"/>
                    </wps:wsp>
                  </a:graphicData>
                </a:graphic>
              </wp:anchor>
            </w:drawing>
          </mc:Choice>
          <mc:Fallback>
            <w:pict>
              <v:shape id="文本框 97" o:spid="_x0000_s1026" o:spt="202" type="#_x0000_t202" style="position:absolute;left:0pt;margin-left:-9pt;margin-top:0pt;height:37.85pt;width:72pt;z-index:251758592;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Nuey1QAAAAcBAAAPAAAAAAAAAAEAIAAAACIAAABkcnMvZG93bnJldi54bWxQSwECFAAUAAAA&#10;CACHTuJAiss7+bgBAABd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承包人向雇员支付劳务工资</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27.6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97" name="文本框 98"/>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wps:txbx>
                      <wps:bodyPr wrap="square" upright="1"/>
                    </wps:wsp>
                  </a:graphicData>
                </a:graphic>
              </wp:anchor>
            </w:drawing>
          </mc:Choice>
          <mc:Fallback>
            <w:pict>
              <v:shape id="文本框 98" o:spid="_x0000_s1026" o:spt="202" type="#_x0000_t202" style="position:absolute;left:0pt;margin-left:-9pt;margin-top:0pt;height:70.2pt;width:72pt;z-index:251759616;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KzjETUAAAACAEAAA8AAAAAAAAAAQAgAAAAIgAAAGRycy9kb3ducmV2LnhtbFBLAQIUABQAAAAI&#10;AIdO4kAPN0cEuAEAAF0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承包人的雇员应是在行业或职业内具有相应资格、技能和经验的人员。承包人应向施工场地派遣足够数量的下列雇员：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（1）具有相应资格的专业技工和合格的普工；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（2）具有相应施工经验的技术人员；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（3）具有相应岗位资格的各级管理人员。</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27.7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98" name="文本框 99"/>
                <wp:cNvGraphicFramePr/>
                <a:graphic xmlns:a="http://schemas.openxmlformats.org/drawingml/2006/main">
                  <a:graphicData uri="http://schemas.microsoft.com/office/word/2010/wordprocessingShape">
                    <wps:wsp>
                      <wps:cNvSpPr txBox="1"/>
                      <wps:spPr>
                        <a:xfrm>
                          <a:off x="0" y="0"/>
                          <a:ext cx="914400" cy="51117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wrap="square" upright="1"/>
                    </wps:wsp>
                  </a:graphicData>
                </a:graphic>
              </wp:anchor>
            </w:drawing>
          </mc:Choice>
          <mc:Fallback>
            <w:pict>
              <v:shape id="文本框 99" o:spid="_x0000_s1026" o:spt="202" type="#_x0000_t202" style="position:absolute;left:0pt;margin-left:-9pt;margin-top:0pt;height:40.25pt;width:72pt;z-index:251760640;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m/ModQAAAAHAQAADwAAAAAAAAABACAAAAAiAAAAZHJzL2Rvd25yZXYueG1sUEsBAhQAFAAAAAgA&#10;h07iQBLWEn23AQAAXQMAAA4AAAAAAAAAAQAgAAAAIwEAAGRycy9lMm9Eb2MueG1sUEsFBgAAAAAG&#10;AAYAWQEAAEw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承包人安排在施工场地的雇员应保持相对稳定，但有下列行为的任何承包人雇员，监理工程师可要求承包人将其撤换：</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（1）经常行为不当，或工作漫不经心；</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（2）无能力履行义务或玩忽职守；</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（3）不遵守合同的约定；</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（4）有损安全、健康和不利于环境保护的行为。</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27.8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99" name="文本框 100"/>
                <wp:cNvGraphicFramePr/>
                <a:graphic xmlns:a="http://schemas.openxmlformats.org/drawingml/2006/main">
                  <a:graphicData uri="http://schemas.microsoft.com/office/word/2010/wordprocessingShape">
                    <wps:wsp>
                      <wps:cNvSpPr txBox="1"/>
                      <wps:spPr>
                        <a:xfrm>
                          <a:off x="0" y="0"/>
                          <a:ext cx="914400" cy="43497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承包人对雇员的保护</w:t>
                            </w:r>
                          </w:p>
                        </w:txbxContent>
                      </wps:txbx>
                      <wps:bodyPr wrap="square" upright="1"/>
                    </wps:wsp>
                  </a:graphicData>
                </a:graphic>
              </wp:anchor>
            </w:drawing>
          </mc:Choice>
          <mc:Fallback>
            <w:pict>
              <v:shape id="文本框 100" o:spid="_x0000_s1026" o:spt="202" type="#_x0000_t202" style="position:absolute;left:0pt;margin-left:-9pt;margin-top:0pt;height:34.25pt;width:72pt;z-index:251761664;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0tdjv1QAAAAcBAAAPAAAAAAAAAAEAIAAAACIAAABkcnMvZG93bnJldi54bWxQSwECFAAUAAAA&#10;CACHTuJA6Q+HoLgBAABe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承包人对雇员的保护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承包人应自始至终采取各种合理的预防措施，防止雇员内部发生打斗和任何无序、非法的不良行为，以确保现场安定和保护现场及邻近人员的生命、财产安全。</w:t>
      </w:r>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u w:val="single"/>
        </w:rPr>
        <w:t xml:space="preserve">                                                                                             </w:t>
      </w:r>
    </w:p>
    <w:p>
      <w:pPr>
        <w:spacing w:line="420" w:lineRule="exact"/>
        <w:jc w:val="center"/>
        <w:outlineLvl w:val="1"/>
        <w:rPr>
          <w:rFonts w:ascii="方正小标宋_GBK" w:hAnsi="方正小标宋_GBK" w:eastAsia="方正小标宋_GBK" w:cs="方正小标宋_GBK"/>
          <w:b/>
          <w:bCs/>
          <w:color w:val="auto"/>
          <w:sz w:val="24"/>
          <w:szCs w:val="24"/>
          <w:highlight w:val="none"/>
        </w:rPr>
      </w:pPr>
      <w:bookmarkStart w:id="452" w:name="_Toc469384008"/>
      <w:bookmarkStart w:id="453" w:name="_Toc10624848"/>
      <w:r>
        <w:rPr>
          <w:rFonts w:hint="eastAsia" w:ascii="方正小标宋_GBK" w:hAnsi="方正小标宋_GBK" w:eastAsia="方正小标宋_GBK" w:cs="方正小标宋_GBK"/>
          <w:b/>
          <w:bCs/>
          <w:color w:val="auto"/>
          <w:sz w:val="24"/>
          <w:szCs w:val="24"/>
          <w:highlight w:val="none"/>
        </w:rPr>
        <w:t>三、担保、保险与风险</w:t>
      </w:r>
      <w:bookmarkEnd w:id="452"/>
      <w:bookmarkEnd w:id="453"/>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54" w:name="_Toc10624849"/>
      <w:bookmarkStart w:id="455" w:name="_Toc469384009"/>
      <w:r>
        <w:rPr>
          <w:rFonts w:hint="eastAsia" w:ascii="黑体" w:hAnsi="黑体" w:eastAsia="黑体" w:cs="黑体"/>
          <w:b w:val="0"/>
          <w:bCs/>
          <w:color w:val="auto"/>
          <w:kern w:val="0"/>
          <w:sz w:val="24"/>
          <w:szCs w:val="24"/>
          <w:highlight w:val="none"/>
          <w:lang w:val="en-US" w:eastAsia="zh-CN" w:bidi="ar-SA"/>
        </w:rPr>
        <w:t>28  工程担保</w:t>
      </w:r>
      <w:bookmarkEnd w:id="454"/>
      <w:bookmarkEnd w:id="455"/>
    </w:p>
    <w:p>
      <w:pPr>
        <w:widowControl w:val="0"/>
        <w:tabs>
          <w:tab w:val="left" w:pos="1320"/>
        </w:tabs>
        <w:adjustRightInd w:val="0"/>
        <w:snapToGrid w:val="0"/>
        <w:spacing w:line="420" w:lineRule="exact"/>
        <w:ind w:right="-24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100" name="文本框 10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wrap="square" upright="1"/>
                    </wps:wsp>
                  </a:graphicData>
                </a:graphic>
              </wp:anchor>
            </w:drawing>
          </mc:Choice>
          <mc:Fallback>
            <w:pict>
              <v:shape id="文本框 101" o:spid="_x0000_s1026" o:spt="202" type="#_x0000_t202" style="position:absolute;left:0pt;margin-left:-9pt;margin-top:19.2pt;height:31.2pt;width:72pt;z-index:251762688;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4G5QTXAAAACgEAAA8AAAAAAAAAAQAgAAAAIgAAAGRycy9kb3ducmV2LnhtbFBLAQIUABQA&#10;AAAIAIdO4kDydwW4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为正确履行本合同，发包人应在招标文件中或在签订合同前明确履约担保的有关要求，承包人应按照合同约定时间向发包人提供履约担保。履约担保采用银行保函、担保公司担保或履约保证保险的形式，提供履约保函、担保公司担保、履约保证保险所发生的费用由承包人承担。</w:t>
      </w:r>
    </w:p>
    <w:p>
      <w:pPr>
        <w:widowControl w:val="0"/>
        <w:tabs>
          <w:tab w:val="left" w:pos="1320"/>
        </w:tabs>
        <w:adjustRightInd w:val="0"/>
        <w:snapToGrid w:val="0"/>
        <w:spacing w:line="420" w:lineRule="exact"/>
        <w:ind w:right="-24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101" name="文本框 102"/>
                <wp:cNvGraphicFramePr/>
                <a:graphic xmlns:a="http://schemas.openxmlformats.org/drawingml/2006/main">
                  <a:graphicData uri="http://schemas.microsoft.com/office/word/2010/wordprocessingShape">
                    <wps:wsp>
                      <wps:cNvSpPr txBox="1"/>
                      <wps:spPr>
                        <a:xfrm>
                          <a:off x="0" y="0"/>
                          <a:ext cx="914400" cy="3949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wrap="square" upright="1"/>
                    </wps:wsp>
                  </a:graphicData>
                </a:graphic>
              </wp:anchor>
            </w:drawing>
          </mc:Choice>
          <mc:Fallback>
            <w:pict>
              <v:shape id="文本框 102" o:spid="_x0000_s1026" o:spt="202" type="#_x0000_t202" style="position:absolute;left:0pt;margin-left:-9pt;margin-top:20.15pt;height:31.1pt;width:72pt;z-index:251763712;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KR51I1wAAAAoBAAAPAAAAAAAAAAEAIAAAACIAAABkcnMvZG93bnJldi54bWxQSwECFAAU&#10;AAAACACHTuJADkCf4r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履约担保的有效期，是从提供履约担保之日起至合同工程竣工验收合格之日止。发包人应在担保有效期满后的14 天内将此担保退还给承包人。</w:t>
      </w:r>
    </w:p>
    <w:p>
      <w:pPr>
        <w:widowControl w:val="0"/>
        <w:tabs>
          <w:tab w:val="left" w:pos="13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102" name="文本框 10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wrap="square" upright="1"/>
                    </wps:wsp>
                  </a:graphicData>
                </a:graphic>
              </wp:anchor>
            </w:drawing>
          </mc:Choice>
          <mc:Fallback>
            <w:pict>
              <v:shape id="文本框 103" o:spid="_x0000_s1026" o:spt="202" type="#_x0000_t202" style="position:absolute;left:0pt;margin-left:-9pt;margin-top:19.6pt;height:39pt;width:72pt;z-index:251764736;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W7JD7YAAAACgEAAA8AAAAAAAAAAQAgAAAAIgAAAGRycy9kb3ducmV2LnhtbFBLAQIUABQA&#10;AAAIAIdO4kC0veactwEAAF8DAAAOAAAAAAAAAAEAIAAAACc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pPr>
        <w:widowControl w:val="0"/>
        <w:tabs>
          <w:tab w:val="left" w:pos="540"/>
          <w:tab w:val="left" w:pos="7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103" name="文本框 104"/>
                <wp:cNvGraphicFramePr/>
                <a:graphic xmlns:a="http://schemas.openxmlformats.org/drawingml/2006/main">
                  <a:graphicData uri="http://schemas.microsoft.com/office/word/2010/wordprocessingShape">
                    <wps:wsp>
                      <wps:cNvSpPr txBox="1"/>
                      <wps:spPr>
                        <a:xfrm>
                          <a:off x="0" y="0"/>
                          <a:ext cx="914400" cy="41783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wrap="square" upright="1"/>
                    </wps:wsp>
                  </a:graphicData>
                </a:graphic>
              </wp:anchor>
            </w:drawing>
          </mc:Choice>
          <mc:Fallback>
            <w:pict>
              <v:shape id="文本框 104" o:spid="_x0000_s1026" o:spt="202" type="#_x0000_t202" style="position:absolute;left:0pt;margin-left:-9pt;margin-top:19.8pt;height:32.9pt;width:72pt;z-index:251765760;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sTv5jYAAAACgEAAA8AAAAAAAAAAQAgAAAAIgAAAGRycy9kb3ducmV2LnhtbFBLAQIU&#10;ABQAAAAIAIdO4kCv1lvb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按照第28.1款的要求提交了履约担保，发包人应按照合同约定时间向承包人提交与履约担保等值的支付担保；发、承包人也可约定由发包人向承包人提交预付款等值的支付担保。支付担保采用银行保函、担保公司担保或支付保证保险的形式，提供支付保函、担保公司担保、支付保证保险所发生的费用由发包人承担。</w:t>
      </w:r>
    </w:p>
    <w:p>
      <w:pPr>
        <w:widowControl w:val="0"/>
        <w:tabs>
          <w:tab w:val="left" w:pos="13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104" name="文本框 105"/>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wrap="square" upright="1"/>
                    </wps:wsp>
                  </a:graphicData>
                </a:graphic>
              </wp:anchor>
            </w:drawing>
          </mc:Choice>
          <mc:Fallback>
            <w:pict>
              <v:shape id="文本框 105" o:spid="_x0000_s1026" o:spt="202" type="#_x0000_t202" style="position:absolute;left:0pt;margin-left:-9pt;margin-top:18.75pt;height:32.5pt;width:72pt;z-index:251766784;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DJ2NgAAAAKAQAADwAAAAAAAAABACAAAAAiAAAAZHJzL2Rvd25yZXYueG1sUEsBAhQA&#10;FAAAAAgAh07iQOeBF9W5AQAAXwMAAA4AAAAAAAAAAQAgAAAAJwEAAGRycy9lMm9Eb2MueG1sUEsF&#10;BgAAAAAGAAYAWQEAAFI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支付担保的有效期，是从提供支付担保之日起至发包人根据本合同约定支付完除质量保证金以外的全部款项之日止。承包人应在担保有效期满后的14天内将此担保退还给发包人。</w:t>
      </w:r>
    </w:p>
    <w:p>
      <w:pPr>
        <w:widowControl w:val="0"/>
        <w:tabs>
          <w:tab w:val="left" w:pos="13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105" name="文本框 10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wrap="square" upright="1"/>
                    </wps:wsp>
                  </a:graphicData>
                </a:graphic>
              </wp:anchor>
            </w:drawing>
          </mc:Choice>
          <mc:Fallback>
            <w:pict>
              <v:shape id="文本框 106" o:spid="_x0000_s1026" o:spt="202" type="#_x0000_t202" style="position:absolute;left:0pt;margin-left:-9pt;margin-top:19.5pt;height:31.2pt;width:72pt;z-index:251767808;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KGkGLWAAAACgEAAA8AAAAAAAAAAQAgAAAAIgAAAGRycy9kb3ducmV2LnhtbFBLAQIUABQA&#10;AAAIAIdO4kCK2k4E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pPr>
        <w:widowControl w:val="0"/>
        <w:tabs>
          <w:tab w:val="left" w:pos="13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106" name="文本框 107"/>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wrap="square" upright="1"/>
                    </wps:wsp>
                  </a:graphicData>
                </a:graphic>
              </wp:anchor>
            </w:drawing>
          </mc:Choice>
          <mc:Fallback>
            <w:pict>
              <v:shape id="文本框 107" o:spid="_x0000_s1026" o:spt="202" type="#_x0000_t202" style="position:absolute;left:0pt;margin-left:-9pt;margin-top:19.15pt;height:33.3pt;width:72pt;z-index:251768832;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wBNip1wAAAAoBAAAPAAAAAAAAAAEAIAAAACIAAABkcnMvZG93bnJldi54bWxQSwECFAAU&#10;AAAACACHTuJAQZymPL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28.7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合同双方当事人均应确保合同工程担保有效期符合工期合理顺延的要求。若合同一方当事人未能保证延长担保有效期，另一方当事人可向其索赔担保的全部金额。</w:t>
      </w:r>
    </w:p>
    <w:p>
      <w:pPr>
        <w:widowControl w:val="0"/>
        <w:tabs>
          <w:tab w:val="left" w:pos="13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107" name="文本框 108"/>
                <wp:cNvGraphicFramePr/>
                <a:graphic xmlns:a="http://schemas.openxmlformats.org/drawingml/2006/main">
                  <a:graphicData uri="http://schemas.microsoft.com/office/word/2010/wordprocessingShape">
                    <wps:wsp>
                      <wps:cNvSpPr txBox="1"/>
                      <wps:spPr>
                        <a:xfrm>
                          <a:off x="0" y="0"/>
                          <a:ext cx="914400" cy="33909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wps:txbx>
                      <wps:bodyPr wrap="square" upright="1"/>
                    </wps:wsp>
                  </a:graphicData>
                </a:graphic>
              </wp:anchor>
            </w:drawing>
          </mc:Choice>
          <mc:Fallback>
            <w:pict>
              <v:shape id="文本框 108" o:spid="_x0000_s1026" o:spt="202" type="#_x0000_t202" style="position:absolute;left:0pt;margin-left:-9pt;margin-top:20.1pt;height:26.7pt;width:72pt;z-index:251769856;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cSH3V1wAAAAkBAAAPAAAAAAAAAAEAIAAAACIAAABkcnMvZG93bnJldi54bWxQSwECFAAU&#10;AAAACACHTuJAHev/X7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28.8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合同双方当事人在专用条款中约定担保内容、方式和责任等事项，并签订担保合同，作为本合同附件。</w:t>
      </w:r>
    </w:p>
    <w:p>
      <w:pPr>
        <w:widowControl w:val="0"/>
        <w:adjustRightInd w:val="0"/>
        <w:snapToGrid w:val="0"/>
        <w:spacing w:line="420" w:lineRule="exact"/>
        <w:ind w:right="-24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56" w:name="_Toc469384010"/>
      <w:bookmarkStart w:id="457" w:name="_Toc10624850"/>
      <w:r>
        <w:rPr>
          <w:rFonts w:hint="eastAsia" w:ascii="黑体" w:hAnsi="黑体" w:eastAsia="黑体" w:cs="黑体"/>
          <w:b w:val="0"/>
          <w:bCs/>
          <w:color w:val="auto"/>
          <w:kern w:val="0"/>
          <w:sz w:val="24"/>
          <w:szCs w:val="24"/>
          <w:highlight w:val="none"/>
          <w:lang w:val="en-US" w:eastAsia="zh-CN" w:bidi="ar-SA"/>
        </w:rPr>
        <w:t>29  发包人风险</w:t>
      </w:r>
      <w:bookmarkEnd w:id="456"/>
      <w:bookmarkEnd w:id="457"/>
    </w:p>
    <w:p>
      <w:pPr>
        <w:widowControl w:val="0"/>
        <w:adjustRightInd w:val="0"/>
        <w:snapToGrid w:val="0"/>
        <w:spacing w:line="420" w:lineRule="exact"/>
        <w:ind w:right="-24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108" name="文本框 10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wrap="square" upright="1"/>
                    </wps:wsp>
                  </a:graphicData>
                </a:graphic>
              </wp:anchor>
            </w:drawing>
          </mc:Choice>
          <mc:Fallback>
            <w:pict>
              <v:shape id="文本框 109" o:spid="_x0000_s1026" o:spt="202" type="#_x0000_t202" style="position:absolute;left:0pt;margin-left:-9pt;margin-top:17.85pt;height:31.2pt;width:72pt;z-index:251770880;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haOr41wAAAAkBAAAPAAAAAAAAAAEAIAAAACIAAABkcnMvZG93bnJldi54bWxQSwECFAAU&#10;AAAACACHTuJAzVgK7r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29.1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发包人应承担本合同中规定应由发包人承担的风险。</w:t>
      </w:r>
    </w:p>
    <w:p>
      <w:pPr>
        <w:widowControl w:val="0"/>
        <w:adjustRightInd w:val="0"/>
        <w:snapToGrid w:val="0"/>
        <w:spacing w:line="420" w:lineRule="exact"/>
        <w:ind w:right="-24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29.2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109" name="文本框 110"/>
                <wp:cNvGraphicFramePr/>
                <a:graphic xmlns:a="http://schemas.openxmlformats.org/drawingml/2006/main">
                  <a:graphicData uri="http://schemas.microsoft.com/office/word/2010/wordprocessingShape">
                    <wps:wsp>
                      <wps:cNvSpPr txBox="1"/>
                      <wps:spPr>
                        <a:xfrm>
                          <a:off x="0" y="0"/>
                          <a:ext cx="914400" cy="35623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wps:txbx>
                      <wps:bodyPr wrap="square" upright="1"/>
                    </wps:wsp>
                  </a:graphicData>
                </a:graphic>
              </wp:anchor>
            </w:drawing>
          </mc:Choice>
          <mc:Fallback>
            <w:pict>
              <v:shape id="文本框 110" o:spid="_x0000_s1026" o:spt="202" type="#_x0000_t202" style="position:absolute;left:0pt;margin-left:-9pt;margin-top:0.85pt;height:28.05pt;width:72pt;z-index:251771904;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UQVNjVAAAACAEAAA8AAAAAAAAAAQAgAAAAIgAAAGRycy9kb3ducmV2LnhtbFBLAQIUABQAAAAI&#10;AIdO4kCFLPwFtwEAAF8DAAAOAAAAAAAAAAEAIAAAACQ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自开工之日起至颁发工程接收证书之日止，发包人风险包括但不限于：</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（1）由于永久工程本身或施工而不可避免造成的财产（除工程本身、材料和工程设备和施工设备外）损失或损坏；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（2）由于发包人工作人员及其相关人员（除承包人外）的疏忽或违规造成的人员伤亡、财产损失或损坏；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（3）由于发包人提前使用或占用永久工程或其部分造成的损失或损坏；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（4）由于发包人提供或发包人负责的设计造成的对永久工程、材料和工程设备和施工设备的损失或损害；</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（5）由于地质、邻近建筑物、古树名木和物价上涨等非承包人原因造成施工过程中费用的增加。</w:t>
      </w:r>
    </w:p>
    <w:p>
      <w:pPr>
        <w:widowControl w:val="0"/>
        <w:adjustRightInd w:val="0"/>
        <w:snapToGrid w:val="0"/>
        <w:spacing w:line="420" w:lineRule="exact"/>
        <w:ind w:right="-240"/>
        <w:jc w:val="both"/>
        <w:rPr>
          <w:rFonts w:ascii="宋体" w:hAnsi="宋体" w:eastAsia="宋体" w:cs="宋体"/>
          <w:color w:val="auto"/>
          <w:kern w:val="2"/>
          <w:sz w:val="22"/>
          <w:szCs w:val="22"/>
          <w:highlight w:val="none"/>
          <w:u w:val="single"/>
          <w:lang w:val="en-US" w:eastAsia="zh-CN" w:bidi="ar-SA"/>
        </w:rPr>
      </w:pPr>
      <w:r>
        <w:rPr>
          <w:rFonts w:hint="eastAsia" w:ascii="宋体" w:hAnsi="宋体" w:eastAsia="宋体" w:cs="宋体"/>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58" w:name="_Toc10624851"/>
      <w:bookmarkStart w:id="459" w:name="_Toc469384011"/>
      <w:r>
        <w:rPr>
          <w:rFonts w:hint="eastAsia" w:ascii="黑体" w:hAnsi="黑体" w:eastAsia="黑体" w:cs="黑体"/>
          <w:b w:val="0"/>
          <w:bCs/>
          <w:color w:val="auto"/>
          <w:kern w:val="0"/>
          <w:sz w:val="24"/>
          <w:szCs w:val="24"/>
          <w:highlight w:val="none"/>
          <w:lang w:val="en-US" w:eastAsia="zh-CN" w:bidi="ar-SA"/>
        </w:rPr>
        <w:t>30  承包人风险</w:t>
      </w:r>
      <w:bookmarkEnd w:id="458"/>
      <w:bookmarkEnd w:id="459"/>
    </w:p>
    <w:p>
      <w:pPr>
        <w:widowControl w:val="0"/>
        <w:tabs>
          <w:tab w:val="left" w:pos="1320"/>
          <w:tab w:val="left" w:pos="144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72928" behindDoc="0" locked="0" layoutInCell="1" allowOverlap="1">
                <wp:simplePos x="0" y="0"/>
                <wp:positionH relativeFrom="column">
                  <wp:posOffset>-133350</wp:posOffset>
                </wp:positionH>
                <wp:positionV relativeFrom="paragraph">
                  <wp:posOffset>254635</wp:posOffset>
                </wp:positionV>
                <wp:extent cx="1028700" cy="427355"/>
                <wp:effectExtent l="0" t="0" r="0" b="0"/>
                <wp:wrapNone/>
                <wp:docPr id="110" name="文本框 111"/>
                <wp:cNvGraphicFramePr/>
                <a:graphic xmlns:a="http://schemas.openxmlformats.org/drawingml/2006/main">
                  <a:graphicData uri="http://schemas.microsoft.com/office/word/2010/wordprocessingShape">
                    <wps:wsp>
                      <wps:cNvSpPr txBox="1"/>
                      <wps:spPr>
                        <a:xfrm>
                          <a:off x="0" y="0"/>
                          <a:ext cx="1028700" cy="4273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wrap="square" upright="1"/>
                    </wps:wsp>
                  </a:graphicData>
                </a:graphic>
              </wp:anchor>
            </w:drawing>
          </mc:Choice>
          <mc:Fallback>
            <w:pict>
              <v:shape id="文本框 111" o:spid="_x0000_s1026" o:spt="202" type="#_x0000_t202" style="position:absolute;left:0pt;margin-left:-10.5pt;margin-top:20.05pt;height:33.65pt;width:81pt;z-index:251772928;mso-width-relative:page;mso-height-relative:page;" filled="f" stroked="f" coordsize="21600,21600" o:gfxdata="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SqsmdYAAAAKAQAADwAAAAAAAAABACAAAAAiAAAAZHJzL2Rvd25yZXYueG1sUEsBAhQAFAAA&#10;AAgAh07iQE0UJW64AQAAYAMAAA4AAAAAAAAAAQAgAAAAJQ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30.1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承包人应承担本合同中规定应由承包人承担的风险。</w:t>
      </w:r>
    </w:p>
    <w:p>
      <w:pPr>
        <w:widowControl w:val="0"/>
        <w:tabs>
          <w:tab w:val="left" w:pos="1320"/>
          <w:tab w:val="left" w:pos="144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111" name="文本框 112"/>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wps:txbx>
                      <wps:bodyPr wrap="square" upright="1"/>
                    </wps:wsp>
                  </a:graphicData>
                </a:graphic>
              </wp:anchor>
            </w:drawing>
          </mc:Choice>
          <mc:Fallback>
            <w:pict>
              <v:shape id="文本框 112" o:spid="_x0000_s1026" o:spt="202" type="#_x0000_t202" style="position:absolute;left:0pt;margin-left:-9pt;margin-top:20.65pt;height:24.25pt;width:72pt;z-index:251773952;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gvk+c1wAAAAkBAAAPAAAAAAAAAAEAIAAAACIAAABkcnMvZG93bnJldi54bWxQSwECFAAU&#10;AAAACACHTuJAi2+JLr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30.2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tabs>
          <w:tab w:val="left" w:pos="1440"/>
        </w:tabs>
        <w:adjustRightInd w:val="0"/>
        <w:snapToGrid w:val="0"/>
        <w:spacing w:line="420" w:lineRule="exact"/>
        <w:ind w:left="1619" w:leftChars="771" w:firstLine="2"/>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w:t>自开工之日起直到颁发工程接收证书之日止，承包人风险为：除第29条和第31条以外的人员伤亡以及财产（包括但不限于合同工程、材料、工程设备和施工设备）的损失或损坏。</w:t>
      </w:r>
    </w:p>
    <w:p>
      <w:pPr>
        <w:widowControl w:val="0"/>
        <w:adjustRightInd w:val="0"/>
        <w:snapToGrid w:val="0"/>
        <w:spacing w:line="420" w:lineRule="exact"/>
        <w:ind w:right="-24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60" w:name="_Toc10624852"/>
      <w:bookmarkStart w:id="461" w:name="_Toc469384012"/>
      <w:r>
        <w:rPr>
          <w:rFonts w:hint="eastAsia" w:ascii="黑体" w:hAnsi="黑体" w:eastAsia="黑体" w:cs="黑体"/>
          <w:b w:val="0"/>
          <w:bCs/>
          <w:color w:val="auto"/>
          <w:kern w:val="0"/>
          <w:sz w:val="24"/>
          <w:szCs w:val="24"/>
          <w:highlight w:val="none"/>
          <w:lang w:val="en-US" w:eastAsia="zh-CN" w:bidi="ar-SA"/>
        </w:rPr>
        <w:t>31  不可抗力</w:t>
      </w:r>
      <w:bookmarkEnd w:id="460"/>
      <w:bookmarkEnd w:id="461"/>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31.1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不可抗力是指合同当事人在签订合同时不可预见，在合同履行过程中不可避免且不能克服的自然灾害和社会性突发事件，如地震、海啸、瘟疫、骚乱、戒严、暴动、战争等。</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31.2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112" name="文本框 113"/>
                <wp:cNvGraphicFramePr/>
                <a:graphic xmlns:a="http://schemas.openxmlformats.org/drawingml/2006/main">
                  <a:graphicData uri="http://schemas.microsoft.com/office/word/2010/wordprocessingShape">
                    <wps:wsp>
                      <wps:cNvSpPr txBox="1"/>
                      <wps:spPr>
                        <a:xfrm>
                          <a:off x="0" y="0"/>
                          <a:ext cx="914400" cy="49276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wrap="square" upright="1"/>
                    </wps:wsp>
                  </a:graphicData>
                </a:graphic>
              </wp:anchor>
            </w:drawing>
          </mc:Choice>
          <mc:Fallback>
            <w:pict>
              <v:shape id="文本框 113" o:spid="_x0000_s1026" o:spt="202" type="#_x0000_t202" style="position:absolute;left:0pt;margin-left:-9pt;margin-top:0.6pt;height:38.8pt;width:72pt;z-index:251774976;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0v7dUAAAAIAQAADwAAAAAAAAABACAAAAAiAAAAZHJzL2Rvd25yZXYueG1sUEsBAhQAFAAA&#10;AAgAh07iQDpHidC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7天内，承包人向监理工程师通报受害情况和损失情况，并预计清理和修复的费用，抄送造价工程师。不可抗力事件持续发生，承包人应每隔7天向监理工程师和造价工程师报告一次受害情况。不可抗力事件结束后的28天内，承包人应分别按照第36条、第74条规定索赔工期、费用。</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31.3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113" name="文本框 114"/>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wps:txbx>
                      <wps:bodyPr wrap="square" upright="1"/>
                    </wps:wsp>
                  </a:graphicData>
                </a:graphic>
              </wp:anchor>
            </w:drawing>
          </mc:Choice>
          <mc:Fallback>
            <w:pict>
              <v:shape id="文本框 114" o:spid="_x0000_s1026" o:spt="202" type="#_x0000_t202" style="position:absolute;left:0pt;margin-left:-9pt;margin-top:1.75pt;height:54.6pt;width:72pt;z-index:251776000;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oS66V1wAAAAkBAAAPAAAAAAAAAAEAIAAAACIAAABkcnMvZG93bnJldi54bWxQSwECFAAU&#10;AAAACACHTuJAgdjdqL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因不可抗力事件导致的费用，由合同双方当事人按照下列规定承担，并相应调整合同价款：</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（1）永久工程本身的损害、已运至施工场地的材料和工程设备的损害，以及因工程损害导致第三者人员伤亡和财产损失，由发包人承担；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（2）承包人施工设备和用于合同工程的周转材料损坏以及停工损失，由承包人承担；发包人提供的施工设备损坏，由发包人承担；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（3）施工场地内的人员伤亡和本款第(1)点、第(2)点以外财产损失及其相关费用，由合同双方当事人各自承担；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（4）停工期间，承包人应监理工程师要求照管工程的费用，由发包人承担；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（5）工程所需的清理、修复费用，由发包人承担。</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14" name="文本框 115"/>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不可抗力引起工期的处理</w:t>
                            </w:r>
                          </w:p>
                        </w:txbxContent>
                      </wps:txbx>
                      <wps:bodyPr wrap="square" upright="1"/>
                    </wps:wsp>
                  </a:graphicData>
                </a:graphic>
              </wp:anchor>
            </w:drawing>
          </mc:Choice>
          <mc:Fallback>
            <w:pict>
              <v:shape id="文本框 115"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OcIaHXAAAACgEAAA8AAAAAAAAAAQAgAAAAIgAAAGRycy9kb3ducmV2LnhtbFBLAQIUABQA&#10;AAAIAIdO4kCrp9K1uAEAAF8DAAAOAAAAAAAAAAEAIAAAACYBAABkcnMvZTJvRG9jLnhtbFBLBQYA&#10;AAAABgAGAFkBAABQBQAAAAA=&#10;">
                <v:fill on="f" focussize="0,0"/>
                <v:stroke on="f"/>
                <v:imagedata o:title=""/>
                <o:lock v:ext="edit" aspectratio="f"/>
                <v:textbo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31.4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因发生不可抗力事件导致工期延误的，工期相应顺延；不能按期竣工的，承包人无需为此支付任何误期赔偿费。发包人要求赶工的，承包人应采取赶工措施，赶工费用由发包人支付。</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15" name="文本框 116"/>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wps:txbx>
                      <wps:bodyPr wrap="square" upright="1"/>
                    </wps:wsp>
                  </a:graphicData>
                </a:graphic>
              </wp:anchor>
            </w:drawing>
          </mc:Choice>
          <mc:Fallback>
            <w:pict>
              <v:shape id="文本框 116" o:spid="_x0000_s1026" o:spt="202" type="#_x0000_t202" style="position:absolute;left:0pt;margin-left:-9pt;margin-top:19.5pt;height:44.35pt;width:72pt;z-index:251778048;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OcIaHXAAAACgEAAA8AAAAAAAAAAQAgAAAAIgAAAGRycy9kb3ducmV2LnhtbFBLAQIUABQA&#10;AAAIAIdO4kBsHibP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31.5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合同任何一方当事人延迟履行合同后发生不可抗力事件的，不能免除另一方当事人因不可抗力造成损失的责任。</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16" name="文本框 117"/>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wps:txbx>
                      <wps:bodyPr wrap="square" upright="1"/>
                    </wps:wsp>
                  </a:graphicData>
                </a:graphic>
              </wp:anchor>
            </w:drawing>
          </mc:Choice>
          <mc:Fallback>
            <w:pict>
              <v:shape id="文本框 117" o:spid="_x0000_s1026" o:spt="202" type="#_x0000_t202" style="position:absolute;left:0pt;margin-left:-9pt;margin-top:19.5pt;height:44.35pt;width:72pt;z-index:251779072;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OcIaHXAAAACgEAAA8AAAAAAAAAAQAgAAAAIgAAAGRycy9kb3ducmV2LnhtbFBLAQIUABQA&#10;AAAIAIdO4kDUrjU7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31.6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不可抗力事件发生后，合同双方当事人应采取措施尽量避免和减少由此发生的损失。因合同任何一方当事人没有采取有效措施而导致损失扩大的，则损失扩大部分由其自身承担。</w:t>
      </w:r>
    </w:p>
    <w:p>
      <w:pPr>
        <w:widowControl w:val="0"/>
        <w:adjustRightInd w:val="0"/>
        <w:snapToGrid w:val="0"/>
        <w:spacing w:line="420" w:lineRule="exact"/>
        <w:jc w:val="both"/>
        <w:rPr>
          <w:rFonts w:ascii="宋体" w:hAnsi="宋体" w:eastAsia="宋体" w:cs="宋体"/>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62" w:name="_Toc469384013"/>
      <w:bookmarkStart w:id="463" w:name="_Toc10624853"/>
      <w:r>
        <w:rPr>
          <w:rFonts w:hint="eastAsia" w:ascii="黑体" w:hAnsi="黑体" w:eastAsia="黑体" w:cs="黑体"/>
          <w:b w:val="0"/>
          <w:bCs/>
          <w:color w:val="auto"/>
          <w:kern w:val="0"/>
          <w:sz w:val="24"/>
          <w:szCs w:val="24"/>
          <w:highlight w:val="none"/>
          <w:lang w:val="en-US" w:eastAsia="zh-CN" w:bidi="ar-SA"/>
        </w:rPr>
        <w:t>32  保险</w:t>
      </w:r>
      <w:bookmarkEnd w:id="462"/>
      <w:bookmarkEnd w:id="463"/>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32.1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117" name="文本框 118"/>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wrap="square" upright="1"/>
                    </wps:wsp>
                  </a:graphicData>
                </a:graphic>
              </wp:anchor>
            </w:drawing>
          </mc:Choice>
          <mc:Fallback>
            <w:pict>
              <v:shape id="文本框 118" o:spid="_x0000_s1026" o:spt="202" type="#_x0000_t202" style="position:absolute;left:0pt;margin-left:-9pt;margin-top:0.6pt;height:31.2pt;width:81pt;z-index:251780096;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nwRtUAAAAIAQAADwAAAAAAAAABACAAAAAiAAAAZHJzL2Rvd25yZXYueG1sUEsBAhQAFAAA&#10;AAgAh07iQLAuWym5AQAAYA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发包人应按照下列规定办理保险，并支付保险费：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（1）工程开工前，为合同工程办理建筑工程一切险（加保第三者责任险）、安装工程一切险；</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（2）工程开工前，为施工场地内的自有人员办理工伤保险、意外伤害保险；</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保险期从办理保险之日起至工程竣工验收合格之日止。</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（3）工程开工前，为合同工程办理工程质量保险；并由保险公司对工程质量、施工安全进行综合担保，以及聘请专业的团队进行工程建设全过程风险、质量控制。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发包人可将其中部分事项委托给承包人办理，具体由合同双方当事人在专用条款中约定。除合同价款已包括外，由发包人承担所需保险费用，并向承包人支付合理利润。</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32.2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118" name="文本框 119"/>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wrap="square" upright="1"/>
                    </wps:wsp>
                  </a:graphicData>
                </a:graphic>
              </wp:anchor>
            </w:drawing>
          </mc:Choice>
          <mc:Fallback>
            <w:pict>
              <v:shape id="文本框 119" o:spid="_x0000_s1026" o:spt="202" type="#_x0000_t202" style="position:absolute;left:0pt;margin-left:-9pt;margin-top:0.05pt;height:37.65pt;width:81pt;z-index:251781120;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lOyxbUAAAABwEAAA8AAAAAAAAAAQAgAAAAIgAAAGRycy9kb3ducmV2LnhtbFBLAQIUABQAAAAI&#10;AIdO4kDDaNvNuAEAAGA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承包人应按照下列规定办理保险，并支付保险费：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工程开工前，为施工场地内自有人员（包括分包人在内）办理工伤保险、意外伤害保险（主要为从事危险作业的人员办理，如涉及安全风险系数较高的深基坑、高空作业等），以及安全生产责任险等法律法规明确要求应当由承包人办理的保险；</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(2)为施工场地内的自有施工设备、第32.1款第(1)点建筑工程一切险以外采购进场的材料和工程设备等办理保险。</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保险期从开工之日起至工程竣工验收合格之日止。</w:t>
      </w:r>
    </w:p>
    <w:p>
      <w:pPr>
        <w:widowControl w:val="0"/>
        <w:tabs>
          <w:tab w:val="left" w:pos="108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119" name="文本框 120"/>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wrap="square" upright="1"/>
                    </wps:wsp>
                  </a:graphicData>
                </a:graphic>
              </wp:anchor>
            </w:drawing>
          </mc:Choice>
          <mc:Fallback>
            <w:pict>
              <v:shape id="文本框 120" o:spid="_x0000_s1026" o:spt="202" type="#_x0000_t202" style="position:absolute;left:0pt;margin-left:-9pt;margin-top:22.6pt;height:42.6pt;width:72pt;z-index:251782144;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yRneNgAAAAKAQAADwAAAAAAAAABACAAAAAiAAAAZHJzL2Rvd25yZXYueG1sUEsBAhQAFAAA&#10;AAgAh07iQHIHr3+2AQAAXwMAAA4AAAAAAAAAAQAgAAAAJw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32.3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合同一方当事人应按照本合同要求向另一方当事人提供有效的投保保险单和保险凭证。</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120" name="文本框 12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未按规定投保的补救</w:t>
                            </w:r>
                          </w:p>
                        </w:txbxContent>
                      </wps:txbx>
                      <wps:bodyPr wrap="square" upright="1"/>
                    </wps:wsp>
                  </a:graphicData>
                </a:graphic>
              </wp:anchor>
            </w:drawing>
          </mc:Choice>
          <mc:Fallback>
            <w:pict>
              <v:shape id="文本框 121" o:spid="_x0000_s1026" o:spt="202" type="#_x0000_t202" style="position:absolute;left:0pt;margin-left:-9pt;margin-top:18.65pt;height:31.2pt;width:72pt;z-index:251783168;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wokOLXAAAACQEAAA8AAAAAAAAAAQAgAAAAIgAAAGRycy9kb3ducmV2LnhtbFBLAQIUABQA&#10;AAAIAIdO4kBW/DF4uAEAAF8DAAAOAAAAAAAAAAEAIAAAACYBAABkcnMvZTJvRG9jLnhtbFBLBQYA&#10;AAAABgAGAFkBAABQBQAAAAA=&#10;">
                <v:fill on="f" focussize="0,0"/>
                <v:stroke on="f"/>
                <v:imagedata o:title=""/>
                <o:lock v:ext="edit" aspectratio="f"/>
                <v:textbo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32.4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合同双方当事人应遵守本条规定办理有关保险事项。如果未按规定投保的，应按下列规定补偿：</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(1)由于负有投保义务的合同一方当事人未按合同约定办理保险，或未能使保险持续有效的，则另一方当事人可代为办理，所需费用由对方当事人承担；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(2)由于负有投保义务的合同一方当事人未按合同约定办理某项保险，导致受益人未能得到保险人的赔偿，则该项保险金应由负有投保义务的一方当事人支付。</w:t>
      </w:r>
    </w:p>
    <w:p>
      <w:pPr>
        <w:widowControl w:val="0"/>
        <w:adjustRightInd w:val="0"/>
        <w:snapToGrid w:val="0"/>
        <w:spacing w:line="420" w:lineRule="exact"/>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121" name="文本框 122"/>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wps:txbx>
                      <wps:bodyPr wrap="square" upright="1"/>
                    </wps:wsp>
                  </a:graphicData>
                </a:graphic>
              </wp:anchor>
            </w:drawing>
          </mc:Choice>
          <mc:Fallback>
            <w:pict>
              <v:shape id="文本框 122" o:spid="_x0000_s1026" o:spt="202" type="#_x0000_t202" style="position:absolute;left:0pt;margin-left:-9pt;margin-top:23pt;height:42.6pt;width:72pt;z-index:251784192;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Y8pRfXAAAACgEAAA8AAAAAAAAAAQAgAAAAIgAAAGRycy9kb3ducmV2LnhtbFBLAQIUABQA&#10;AAAIAIdO4kDFOH34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32.5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当合同工程发生保险事故时,被保险人应及时通知保险人，并提供有关资料。合同双方当事人有责任采取合理有效措施防止或减少损失，并应相互协助做好向保险人的报告和理赔工作。</w:t>
      </w:r>
    </w:p>
    <w:p>
      <w:pPr>
        <w:widowControl w:val="0"/>
        <w:tabs>
          <w:tab w:val="left" w:pos="1320"/>
          <w:tab w:val="left" w:pos="16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32.6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122" name="文本框 123"/>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wps:txbx>
                      <wps:bodyPr wrap="square" upright="1"/>
                    </wps:wsp>
                  </a:graphicData>
                </a:graphic>
              </wp:anchor>
            </w:drawing>
          </mc:Choice>
          <mc:Fallback>
            <w:pict>
              <v:shape id="文本框 123" o:spid="_x0000_s1026" o:spt="202" type="#_x0000_t202" style="position:absolute;left:0pt;margin-left:-9pt;margin-top:0pt;height:43.5pt;width:72pt;z-index:251785216;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fRAJ+1AAAAAcBAAAPAAAAAAAAAAEAIAAAACIAAABkcnMvZG93bnJldi54bWxQSwECFAAUAAAA&#10;CACHTuJAtqq3L7kBAABf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当合同工程的性质、规模或计划发生变更时，被保险人应及时通知保险人，并在合同履行期间按照本条规定保证足够的保险额，由此造成的费用由责任方承担。</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32.7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86240"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123" name="文本框 124"/>
                <wp:cNvGraphicFramePr/>
                <a:graphic xmlns:a="http://schemas.openxmlformats.org/drawingml/2006/main">
                  <a:graphicData uri="http://schemas.microsoft.com/office/word/2010/wordprocessingShape">
                    <wps:wsp>
                      <wps:cNvSpPr txBox="1"/>
                      <wps:spPr>
                        <a:xfrm>
                          <a:off x="0" y="0"/>
                          <a:ext cx="914400" cy="4254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wrap="square" upright="1"/>
                    </wps:wsp>
                  </a:graphicData>
                </a:graphic>
              </wp:anchor>
            </w:drawing>
          </mc:Choice>
          <mc:Fallback>
            <w:pict>
              <v:shape id="文本框 124" o:spid="_x0000_s1026" o:spt="202" type="#_x0000_t202" style="position:absolute;left:0pt;margin-left:-5.25pt;margin-top:1.1pt;height:33.5pt;width:72pt;z-index:251786240;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T9TUdUAAAAIAQAADwAAAAAAAAABACAAAAAiAAAAZHJzL2Rvd25yZXYueG1sUEsBAhQAFAAA&#10;AAgAh07iQNqHmEK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从保险人收到的因合同工程本身损失或损坏的保险金,应专项用于修复合同工程的损失或损坏，或作为对未能修复合同工程这些损失或损坏的补偿。</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124" name="文本框 125"/>
                <wp:cNvGraphicFramePr/>
                <a:graphic xmlns:a="http://schemas.openxmlformats.org/drawingml/2006/main">
                  <a:graphicData uri="http://schemas.microsoft.com/office/word/2010/wordprocessingShape">
                    <wps:wsp>
                      <wps:cNvSpPr txBox="1"/>
                      <wps:spPr>
                        <a:xfrm>
                          <a:off x="0" y="0"/>
                          <a:ext cx="914400" cy="407035"/>
                        </a:xfrm>
                        <a:prstGeom prst="rect">
                          <a:avLst/>
                        </a:prstGeom>
                        <a:noFill/>
                        <a:ln>
                          <a:noFill/>
                        </a:ln>
                      </wps:spPr>
                      <wps:txb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约定投保事项</w:t>
                            </w:r>
                          </w:p>
                        </w:txbxContent>
                      </wps:txbx>
                      <wps:bodyPr wrap="square" upright="1"/>
                    </wps:wsp>
                  </a:graphicData>
                </a:graphic>
              </wp:anchor>
            </w:drawing>
          </mc:Choice>
          <mc:Fallback>
            <w:pict>
              <v:shape id="文本框 125" o:spid="_x0000_s1026" o:spt="202" type="#_x0000_t202" style="position:absolute;left:0pt;margin-left:-9pt;margin-top:17.9pt;height:32.05pt;width:72pt;z-index:251787264;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XcPLjWAAAACQEAAA8AAAAAAAAAAQAgAAAAIgAAAGRycy9kb3ducmV2LnhtbFBLAQIUABQA&#10;AAAIAIdO4kCdnAh/uQEAAF8DAAAOAAAAAAAAAAEAIAAAACUBAABkcnMvZTJvRG9jLnhtbFBLBQYA&#10;AAAABgAGAFkBAABQBQAAAAA=&#10;">
                <v:fill on="f" focussize="0,0"/>
                <v:stroke on="f"/>
                <v:imagedata o:title=""/>
                <o:lock v:ext="edit" aspectratio="f"/>
                <v:textbo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32.8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具体投保内容、保险金、保险期限及相关责任等事项，合同双方当事人应在专用条款中约定。</w:t>
      </w:r>
    </w:p>
    <w:p>
      <w:pPr>
        <w:widowControl w:val="0"/>
        <w:adjustRightInd w:val="0"/>
        <w:snapToGrid w:val="0"/>
        <w:spacing w:line="420" w:lineRule="exact"/>
        <w:ind w:right="-238"/>
        <w:jc w:val="both"/>
        <w:outlineLvl w:val="1"/>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spacing w:line="420" w:lineRule="exact"/>
        <w:jc w:val="center"/>
        <w:outlineLvl w:val="1"/>
        <w:rPr>
          <w:rFonts w:ascii="方正小标宋_GBK" w:hAnsi="方正小标宋_GBK" w:eastAsia="方正小标宋_GBK" w:cs="方正小标宋_GBK"/>
          <w:b/>
          <w:bCs/>
          <w:color w:val="auto"/>
          <w:sz w:val="24"/>
          <w:szCs w:val="24"/>
          <w:highlight w:val="none"/>
        </w:rPr>
      </w:pPr>
      <w:bookmarkStart w:id="464" w:name="_Toc10624854"/>
      <w:bookmarkStart w:id="465" w:name="_Toc469384014"/>
      <w:r>
        <w:rPr>
          <w:rFonts w:hint="eastAsia" w:ascii="方正小标宋_GBK" w:hAnsi="方正小标宋_GBK" w:eastAsia="方正小标宋_GBK" w:cs="方正小标宋_GBK"/>
          <w:b/>
          <w:bCs/>
          <w:color w:val="auto"/>
          <w:sz w:val="24"/>
          <w:szCs w:val="24"/>
          <w:highlight w:val="none"/>
        </w:rPr>
        <w:t>四、工  期</w:t>
      </w:r>
      <w:bookmarkEnd w:id="464"/>
      <w:bookmarkEnd w:id="465"/>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66" w:name="_Toc10624855"/>
      <w:bookmarkStart w:id="467" w:name="_Toc469384015"/>
      <w:r>
        <w:rPr>
          <w:rFonts w:hint="eastAsia" w:ascii="黑体" w:hAnsi="黑体" w:eastAsia="黑体" w:cs="黑体"/>
          <w:b w:val="0"/>
          <w:bCs/>
          <w:color w:val="auto"/>
          <w:kern w:val="0"/>
          <w:sz w:val="24"/>
          <w:szCs w:val="24"/>
          <w:highlight w:val="none"/>
          <w:lang w:val="en-US" w:eastAsia="zh-CN" w:bidi="ar-SA"/>
        </w:rPr>
        <w:t>33  进度计划和报告</w:t>
      </w:r>
      <w:bookmarkEnd w:id="466"/>
      <w:bookmarkEnd w:id="467"/>
    </w:p>
    <w:p>
      <w:pPr>
        <w:widowControl w:val="0"/>
        <w:tabs>
          <w:tab w:val="left" w:pos="16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125" name="文本框 126"/>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wps:txbx>
                      <wps:bodyPr wrap="square" upright="1"/>
                    </wps:wsp>
                  </a:graphicData>
                </a:graphic>
              </wp:anchor>
            </w:drawing>
          </mc:Choice>
          <mc:Fallback>
            <w:pict>
              <v:shape id="文本框 126" o:spid="_x0000_s1026" o:spt="202" type="#_x0000_t202" style="position:absolute;left:0pt;margin-left:-9pt;margin-top:22.35pt;height:32.5pt;width:72pt;z-index:251788288;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3G4O9gAAAAKAQAADwAAAAAAAAABACAAAAAiAAAAZHJzL2Rvd25yZXYueG1sUEsBAhQA&#10;FAAAAAgAh07iQISz12+5AQAAXwMAAA4AAAAAAAAAAQAgAAAAJwEAAGRycy9lMm9Eb2MueG1sUEsF&#10;BgAAAAAGAAYAWQEAAFIFA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33.1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在签订本合同后的31天内，向监理工程师提交一式两份施工组织设计和合同工程进度计划，向发包人提交一份施工组织设计和合同工程进度计划。经发包人批准后，监理工程师应在收到该设计和计划后的7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pPr>
        <w:widowControl w:val="0"/>
        <w:tabs>
          <w:tab w:val="left" w:pos="16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126" name="文本框 127"/>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wrap="square" upright="1"/>
                    </wps:wsp>
                  </a:graphicData>
                </a:graphic>
              </wp:anchor>
            </w:drawing>
          </mc:Choice>
          <mc:Fallback>
            <w:pict>
              <v:shape id="文本框 127" o:spid="_x0000_s1026" o:spt="202" type="#_x0000_t202" style="position:absolute;left:0pt;margin-left:-9pt;margin-top:22.15pt;height:37.15pt;width:72pt;z-index:251789312;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IH7R41wAAAAoBAAAPAAAAAAAAAAEAIAAAACIAAABkcnMvZG93bnJldi54bWxQSwECFAAU&#10;AAAACACHTuJAoNXMab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33.2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承包人应按照经监理工程师确认并由其报发包人批准的进度计划组织施工，接受监理工程师对工程进度的监督和检查。</w:t>
      </w:r>
    </w:p>
    <w:p>
      <w:pPr>
        <w:widowControl w:val="0"/>
        <w:tabs>
          <w:tab w:val="left" w:pos="16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127" name="文本框 128"/>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wps:txbx>
                      <wps:bodyPr wrap="square" upright="1"/>
                    </wps:wsp>
                  </a:graphicData>
                </a:graphic>
              </wp:anchor>
            </w:drawing>
          </mc:Choice>
          <mc:Fallback>
            <w:pict>
              <v:shape id="文本框 128" o:spid="_x0000_s1026" o:spt="202" type="#_x0000_t202" style="position:absolute;left:0pt;margin-left:-9pt;margin-top:20.9pt;height:43.75pt;width:72pt;z-index:251790336;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gubgI1wAAAAoBAAAPAAAAAAAAAAEAIAAAACIAAABkcnMvZG93bnJldi54bWxQSwECFAAU&#10;AAAACACHTuJA9j8kUL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33.3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除专用条款另有约定外，承包人应编制每月施工进度报告，同时每季度对进度计划修订一次，并在每月或季结束后的7天内向监理工程师提交上述报告和修订计划一式两份。月施工进度报告的内容至少应包括：</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（1）施工、安装、试验以及其他发包人工作等进展情况的图表和说明；</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（2）材料、设备、货物的采购和制造商名称、地点以及进入现场情况；</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（3）索赔情况和安全统计；</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（4）实际进度与计划进度的对比，以及为消除延误正在或准备采取的措施。</w:t>
      </w:r>
    </w:p>
    <w:p>
      <w:pPr>
        <w:widowControl w:val="0"/>
        <w:tabs>
          <w:tab w:val="left" w:pos="1620"/>
        </w:tabs>
        <w:adjustRightInd w:val="0"/>
        <w:snapToGrid w:val="0"/>
        <w:spacing w:line="420" w:lineRule="exact"/>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128" name="文本框 129"/>
                <wp:cNvGraphicFramePr/>
                <a:graphic xmlns:a="http://schemas.openxmlformats.org/drawingml/2006/main">
                  <a:graphicData uri="http://schemas.microsoft.com/office/word/2010/wordprocessingShape">
                    <wps:wsp>
                      <wps:cNvSpPr txBox="1"/>
                      <wps:spPr>
                        <a:xfrm>
                          <a:off x="0" y="0"/>
                          <a:ext cx="914400" cy="6445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wps:txbx>
                      <wps:bodyPr wrap="square" upright="1"/>
                    </wps:wsp>
                  </a:graphicData>
                </a:graphic>
              </wp:anchor>
            </w:drawing>
          </mc:Choice>
          <mc:Fallback>
            <w:pict>
              <v:shape id="文本框 129" o:spid="_x0000_s1026" o:spt="202" type="#_x0000_t202" style="position:absolute;left:0pt;margin-left:-9pt;margin-top:19.2pt;height:50.75pt;width:72pt;z-index:251791360;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h6aVQ2AAAAAoBAAAPAAAAAAAAAAEAIAAAACIAAABkcnMvZG93bnJldi54bWxQSwECFAAU&#10;AAAACACHTuJAN2yburgBAABfAwAADgAAAAAAAAABACAAAAAn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33.4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66.2款规定向发包人支付由此产生的误期赔偿费。工程进度计划即使经监理工程师确认，也不能免除承包人按照合同约定应承担的任何责任和应履行的任何义务。</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68" w:name="_Toc10624856"/>
      <w:bookmarkStart w:id="469" w:name="_Toc469384016"/>
      <w:r>
        <w:rPr>
          <w:rFonts w:hint="eastAsia" w:ascii="黑体" w:hAnsi="黑体" w:eastAsia="黑体" w:cs="黑体"/>
          <w:b w:val="0"/>
          <w:bCs/>
          <w:color w:val="auto"/>
          <w:kern w:val="0"/>
          <w:sz w:val="24"/>
          <w:szCs w:val="24"/>
          <w:highlight w:val="none"/>
          <w:lang w:val="en-US" w:eastAsia="zh-CN" w:bidi="ar-SA"/>
        </w:rPr>
        <w:t>34  开工</w:t>
      </w:r>
      <w:bookmarkEnd w:id="468"/>
      <w:bookmarkEnd w:id="469"/>
    </w:p>
    <w:p>
      <w:pPr>
        <w:widowControl w:val="0"/>
        <w:tabs>
          <w:tab w:val="left" w:pos="1320"/>
        </w:tabs>
        <w:adjustRightInd w:val="0"/>
        <w:snapToGrid w:val="0"/>
        <w:spacing w:line="420" w:lineRule="exact"/>
        <w:ind w:right="3"/>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129" name="文本框 130"/>
                <wp:cNvGraphicFramePr/>
                <a:graphic xmlns:a="http://schemas.openxmlformats.org/drawingml/2006/main">
                  <a:graphicData uri="http://schemas.microsoft.com/office/word/2010/wordprocessingShape">
                    <wps:wsp>
                      <wps:cNvSpPr txBox="1"/>
                      <wps:spPr>
                        <a:xfrm>
                          <a:off x="0" y="0"/>
                          <a:ext cx="800100" cy="31051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wps:txbx>
                      <wps:bodyPr wrap="square" upright="1"/>
                    </wps:wsp>
                  </a:graphicData>
                </a:graphic>
              </wp:anchor>
            </w:drawing>
          </mc:Choice>
          <mc:Fallback>
            <w:pict>
              <v:shape id="文本框 130" o:spid="_x0000_s1026" o:spt="202" type="#_x0000_t202" style="position:absolute;left:0pt;margin-left:-9pt;margin-top:19.45pt;height:24.45pt;width:63pt;z-index:251792384;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fiVgNUAAAAJAQAADwAAAAAAAAABACAAAAAiAAAAZHJzL2Rvd25yZXYueG1sUEsBAhQAFAAAAAgA&#10;h07iQCXnHeq2AQAAXwMAAA4AAAAAAAAAAQAgAAAAJAEAAGRycy9lMm9Eb2MueG1sUEsFBgAAAAAG&#10;AAYAWQEAAEw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34.1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工程开工必须具备法律规定的开工条件，并已经领取了施工许可证。</w:t>
      </w:r>
    </w:p>
    <w:p>
      <w:pPr>
        <w:widowControl w:val="0"/>
        <w:tabs>
          <w:tab w:val="left" w:pos="1320"/>
        </w:tabs>
        <w:adjustRightInd w:val="0"/>
        <w:snapToGrid w:val="0"/>
        <w:spacing w:line="420" w:lineRule="exact"/>
        <w:ind w:right="3"/>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130" name="文本框 131"/>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wps:txbx>
                      <wps:bodyPr wrap="square" upright="1"/>
                    </wps:wsp>
                  </a:graphicData>
                </a:graphic>
              </wp:anchor>
            </w:drawing>
          </mc:Choice>
          <mc:Fallback>
            <w:pict>
              <v:shape id="文本框 131" o:spid="_x0000_s1026" o:spt="202" type="#_x0000_t202" style="position:absolute;left:0pt;margin-left:-9pt;margin-top:19.1pt;height:23.4pt;width:63pt;z-index:251793408;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4WbpX1gAAAAkBAAAPAAAAAAAAAAEAIAAAACIAAABkcnMvZG93bnJldi54bWxQSwECFAAUAAAA&#10;CACHTuJA5905MbcBAABfAwAADgAAAAAAAAABACAAAAAl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34.2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在签订本合同后的28天内，向监理工程师提交开工申请书，并附上表明已做好开工准备的有关资料。除专用条款另有约定外，监理工程师应在本合同签订后的42天内报发包人批准后向承包人发出开工令；承包人应在接到开工令后的7天内开工，并一直保持合同工程连续均衡施工，直至其被改变为止。</w:t>
      </w:r>
    </w:p>
    <w:p>
      <w:pPr>
        <w:widowControl w:val="0"/>
        <w:tabs>
          <w:tab w:val="left" w:pos="1320"/>
        </w:tabs>
        <w:adjustRightInd w:val="0"/>
        <w:snapToGrid w:val="0"/>
        <w:spacing w:line="420" w:lineRule="exact"/>
        <w:ind w:right="3"/>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131" name="文本框 132"/>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wps:txbx>
                      <wps:bodyPr wrap="square" upright="1"/>
                    </wps:wsp>
                  </a:graphicData>
                </a:graphic>
              </wp:anchor>
            </w:drawing>
          </mc:Choice>
          <mc:Fallback>
            <w:pict>
              <v:shape id="文本框 132" o:spid="_x0000_s1026" o:spt="202" type="#_x0000_t202" style="position:absolute;left:0pt;margin-left:-9pt;margin-top:21.25pt;height:46.8pt;width:72pt;z-index:251794432;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egpODYAAAACgEAAA8AAAAAAAAAAQAgAAAAIgAAAGRycy9kb3ducmV2LnhtbFBLAQIU&#10;ABQAAAAIAIdO4kA1+ZOS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34.3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未能按照时开工，应在接到开工令后立即以书面形式向监理工程师提出延期开工的要求并说明理由。监理工程师应当在接到延期开工申请后的48小时内书面予以答复，否则视为同意。由此造成的损失和延误的工期由承包人承担。</w:t>
      </w:r>
    </w:p>
    <w:p>
      <w:pPr>
        <w:widowControl w:val="0"/>
        <w:tabs>
          <w:tab w:val="left" w:pos="1320"/>
        </w:tabs>
        <w:adjustRightInd w:val="0"/>
        <w:snapToGrid w:val="0"/>
        <w:spacing w:line="420" w:lineRule="exact"/>
        <w:ind w:right="3"/>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132" name="文本框 133"/>
                <wp:cNvGraphicFramePr/>
                <a:graphic xmlns:a="http://schemas.openxmlformats.org/drawingml/2006/main">
                  <a:graphicData uri="http://schemas.microsoft.com/office/word/2010/wordprocessingShape">
                    <wps:wsp>
                      <wps:cNvSpPr txBox="1"/>
                      <wps:spPr>
                        <a:xfrm>
                          <a:off x="0" y="0"/>
                          <a:ext cx="914400" cy="5683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wps:txbx>
                      <wps:bodyPr wrap="square" upright="1"/>
                    </wps:wsp>
                  </a:graphicData>
                </a:graphic>
              </wp:anchor>
            </w:drawing>
          </mc:Choice>
          <mc:Fallback>
            <w:pict>
              <v:shape id="文本框 133" o:spid="_x0000_s1026" o:spt="202" type="#_x0000_t202" style="position:absolute;left:0pt;margin-left:-9pt;margin-top:18.7pt;height:44.75pt;width:72pt;z-index:251795456;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kHdkS1wAAAAoBAAAPAAAAAAAAAAEAIAAAACIAAABkcnMvZG93bnJldi54bWxQSwECFAAU&#10;AAAACACHTuJAPRrk87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34.4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发包人的原因不能在第34.2款规定的时间内发出开工令的，监理工程师应至少提前7天以书面形式通知承包人推迟开工。由此造成的损失由发包人承担，开工日期相应顺延。监理工程师未能提前7天通知承包人推迟开工的，由此造成损失的扩大由发包人承担。</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70" w:name="_Toc469384017"/>
      <w:bookmarkStart w:id="471" w:name="_Toc10624857"/>
      <w:r>
        <w:rPr>
          <w:rFonts w:hint="eastAsia" w:ascii="黑体" w:hAnsi="黑体" w:eastAsia="黑体" w:cs="黑体"/>
          <w:b w:val="0"/>
          <w:bCs/>
          <w:color w:val="auto"/>
          <w:kern w:val="0"/>
          <w:sz w:val="24"/>
          <w:szCs w:val="24"/>
          <w:highlight w:val="none"/>
          <w:lang w:val="en-US" w:eastAsia="zh-CN" w:bidi="ar-SA"/>
        </w:rPr>
        <w:t>35  暂停施工和复工</w:t>
      </w:r>
      <w:bookmarkEnd w:id="470"/>
      <w:bookmarkEnd w:id="471"/>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133" name="文本框 134"/>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wps:txbx>
                      <wps:bodyPr wrap="square" upright="1"/>
                    </wps:wsp>
                  </a:graphicData>
                </a:graphic>
              </wp:anchor>
            </w:drawing>
          </mc:Choice>
          <mc:Fallback>
            <w:pict>
              <v:shape id="文本框 134" o:spid="_x0000_s1026" o:spt="202" type="#_x0000_t202" style="position:absolute;left:0pt;margin-left:-9pt;margin-top:20.6pt;height:39.15pt;width:72pt;z-index:251796480;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RtU3o1wAAAAoBAAAPAAAAAAAAAAEAIAAAACIAAABkcnMvZG93bnJldi54bWxQSwECFAAU&#10;AAAACACHTuJAS2hl8L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35.1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认为有必要时，可向承包人发出暂停施工令，并在48小时内提出处理意见，承包人应按照监理工程师的指令停止施工。不论任何原因造成的暂停施工，暂停施工期间承包人应妥善保护已完工程并提供安全保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发包人的原因引起暂停施工的合同工程发生紧急情况，且监理工程师又未及时发出暂停施工令时，承包人可先暂停施工，并及时向监理工程师提出暂停施工报告。监理工程师应在收到暂停施工报告后的24小时内予以答复；逾期未答复的，视为承包人的暂停施工报告被认可。</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35.2</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134" name="文本框 135"/>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wps:txbx>
                      <wps:bodyPr wrap="square" upright="1"/>
                    </wps:wsp>
                  </a:graphicData>
                </a:graphic>
              </wp:anchor>
            </w:drawing>
          </mc:Choice>
          <mc:Fallback>
            <w:pict>
              <v:shape id="文本框 135" o:spid="_x0000_s1026" o:spt="202" type="#_x0000_t202" style="position:absolute;left:0pt;margin-left:-9pt;margin-top:1.6pt;height:39.15pt;width:72pt;z-index:251797504;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Tc8tNUAAAAIAQAADwAAAAAAAAABACAAAAAiAAAAZHJzL2Rvd25yZXYueG1sUEsBAhQAFAAA&#10;AAgAh07iQL22x7m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实施监理工程师的处理意见后，可向监理工程师提交复工报审表要求复工；监理工程师应在收到复工报审表后的48小时内予以答复。具备复工条件时，监理工程师应立即向承包人发出复工令，承包人应立即组织复工。监理工程师在收到复工报审表后的48小时内未答复也未提出处理意见的，承包人可自行复工，监理工程师应予认可。</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承包人无故拖延或拒绝复工的，由此增加的费用和（或）延误的工期由承包人承担；因发包人的原因无法按时复工的，承包人有权要求发包人增加发生的费用和（或）顺延工期，并支付合理利润。</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98528"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135" name="文本框 136"/>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wps:txbx>
                      <wps:bodyPr wrap="square" upright="1"/>
                    </wps:wsp>
                  </a:graphicData>
                </a:graphic>
              </wp:anchor>
            </w:drawing>
          </mc:Choice>
          <mc:Fallback>
            <w:pict>
              <v:shape id="文本框 136" o:spid="_x0000_s1026" o:spt="202" type="#_x0000_t202" style="position:absolute;left:0pt;margin-left:-9pt;margin-top:19.25pt;height:62.4pt;width:72pt;z-index:251798528;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0cJ2d9cAAAAKAQAADwAAAAAAAAABACAAAAAiAAAAZHJzL2Rvd25yZXYueG1sUEsBAhQA&#10;FAAAAAgAh07iQH7rUPW6AQAAXwMAAA4AAAAAAAAAAQAgAAAAJgEAAGRycy9lMm9Eb2MueG1sUEsF&#10;BgAAAAAGAAYAWQEAAFIFAAAAAA==&#10;">
                <v:fill on="f" focussize="0,0"/>
                <v:stroke on="f"/>
                <v:imagedata o:title=""/>
                <o:lock v:ext="edit" aspectratio="f"/>
                <v:textbo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35.3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非承包人的原因造成暂停施工持续56天以上时，承包人可向监理工程师提交复工报审表要求复工；监理工程师应在收到复工报审表后的28天内准许复工。如果在上述期限内监理工程师未予准许，则承包人可以作如下选择：</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（1）如果此项停工仅影响合同工程的一部分时，则根据第56.2款规定及时提出工程变更，取消该部分工程，并书面通知发包人，抄送监理工程师和造价工程师；</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（2）如果此项停工影响整个合同工程时，则根据第87.4款规定解除合同。</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（3）因承包人的原因引起暂停施工持续56天以上，承包人不采取有效的复工措施，造成工期延误的，发包人可根据第87.3款规定解除合同。</w:t>
      </w:r>
    </w:p>
    <w:p>
      <w:pPr>
        <w:widowControl w:val="0"/>
        <w:tabs>
          <w:tab w:val="left" w:pos="216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35.4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136" name="文本框 13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wps:txbx>
                      <wps:bodyPr wrap="square" upright="1"/>
                    </wps:wsp>
                  </a:graphicData>
                </a:graphic>
              </wp:anchor>
            </w:drawing>
          </mc:Choice>
          <mc:Fallback>
            <w:pict>
              <v:shape id="文本框 137" o:spid="_x0000_s1026" o:spt="202" type="#_x0000_t202" style="position:absolute;left:0pt;margin-left:-9pt;margin-top:0.05pt;height:62.4pt;width:72pt;z-index:251799552;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dqHS9QAAAAIAQAADwAAAAAAAAABACAAAAAiAAAAZHJzL2Rvd25yZXYueG1sUEsBAhQAFAAA&#10;AAgAh07iQMZbQwG6AQAAXwMAAA4AAAAAAAAAAQAgAAAAIwEAAGRycy9lMm9Eb2MueG1sUEsFBgAA&#10;AAAGAAYAWQEAAE8FAAAAAA==&#10;">
                <v:fill on="f" focussize="0,0"/>
                <v:stroke on="f"/>
                <v:imagedata o:title=""/>
                <o:lock v:ext="edit" aspectratio="f"/>
                <v:textbo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因发包人的原因造成暂停施工且引起工期延误的，承包人有权要求发包人增加由此发生的费用和（或）顺延工期，并支付合理利润。</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（1）因承包人下列原因造成的暂停施工，增加的费用和（或）延误的工期由承包人承担：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（2）工作失误或违约造成的；</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（3）为合同工程合理施工和安全保障所必需的；</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（4）施工现场气候条件（除不可抗力停工外）导致的；</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（5）擅自停工的；</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（6）专用条款约定的其他原因。</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因不可抗力因素造成暂停施工的，按照第31条规定处理。</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35.5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137" name="文本框 138"/>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wps:txbx>
                      <wps:bodyPr wrap="square" upright="1"/>
                    </wps:wsp>
                  </a:graphicData>
                </a:graphic>
              </wp:anchor>
            </w:drawing>
          </mc:Choice>
          <mc:Fallback>
            <w:pict>
              <v:shape id="文本框 138" o:spid="_x0000_s1026" o:spt="202" type="#_x0000_t202" style="position:absolute;left:0pt;margin-left:-5.25pt;margin-top:0.5pt;height:54.6pt;width:72pt;z-index:251800576;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tUs3tQAAAAJAQAADwAAAAAAAAABACAAAAAiAAAAZHJzL2Rvd25yZXYueG1sUEsBAhQAFAAA&#10;AAgAh07iQHiySli6AQAAXwMAAA4AAAAAAAAAAQAgAAAAIwEAAGRycy9lMm9Eb2MueG1sUEsFBgAA&#10;AAAGAAYAWQEAAE8FAAAAAA==&#10;">
                <v:fill on="f" focussize="0,0"/>
                <v:stroke on="f"/>
                <v:imagedata o:title=""/>
                <o:lock v:ext="edit" aspectratio="f"/>
                <v:textbo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发包人未按照合同约定支付工程进度款，经催告后在28天内仍未支付的，承包人可以暂停施工，直至收到包括第78.2款规定的应付利息在内的所欠全部款项。由此造成的暂停施工，视为是因发包人的原因引起的，并按照第35.4款规定处理。</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35.6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138" name="文本框 13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wps:txbx>
                      <wps:bodyPr wrap="square" upright="1"/>
                    </wps:wsp>
                  </a:graphicData>
                </a:graphic>
              </wp:anchor>
            </w:drawing>
          </mc:Choice>
          <mc:Fallback>
            <w:pict>
              <v:shape id="文本框 139" o:spid="_x0000_s1026" o:spt="202" type="#_x0000_t202" style="position:absolute;left:0pt;margin-left:-9pt;margin-top:0.05pt;height:31.2pt;width:72pt;z-index:251801600;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8G9LdMAAAAHAQAADwAAAAAAAAABACAAAAAiAAAAZHJzL2Rvd25yZXYueG1sUEsBAhQAFAAAAAgA&#10;h07iQLuWJE64AQAAXwMAAA4AAAAAAAAAAQAgAAAAIgEAAGRycy9lMm9Eb2MueG1sUEsFBgAAAAAG&#10;AAYAWQEAAEwFAAAAAA==&#10;">
                <v:fill on="f" focussize="0,0"/>
                <v:stroke on="f"/>
                <v:imagedata o:title=""/>
                <o:lock v:ext="edit" aspectratio="f"/>
                <v:textbo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暂停施工结束后，承包人和监理工程师应对受暂停施工影响的工程、材料和工程设备进行检查。承包人负责修复在暂停期间发生的任何变质、缺陷或损坏，因而发生的费用和造成的损失按照第35.4款规定处理。</w:t>
      </w:r>
    </w:p>
    <w:p>
      <w:pPr>
        <w:widowControl w:val="0"/>
        <w:adjustRightInd w:val="0"/>
        <w:snapToGrid w:val="0"/>
        <w:spacing w:line="420" w:lineRule="exact"/>
        <w:jc w:val="both"/>
        <w:outlineLvl w:val="2"/>
        <w:rPr>
          <w:rFonts w:ascii="宋体" w:hAnsi="宋体" w:eastAsia="宋体" w:cs="宋体"/>
          <w:b/>
          <w:bCs/>
          <w:color w:val="auto"/>
          <w:kern w:val="2"/>
          <w:sz w:val="22"/>
          <w:szCs w:val="22"/>
          <w:highlight w:val="none"/>
          <w:lang w:val="en-US" w:eastAsia="zh-CN" w:bidi="ar-SA"/>
        </w:rPr>
      </w:pPr>
      <w:bookmarkStart w:id="472" w:name="_Toc469384018"/>
      <w:bookmarkStart w:id="473" w:name="_Toc10624858"/>
      <w:r>
        <w:rPr>
          <w:rFonts w:hint="eastAsia" w:ascii="宋体" w:hAnsi="宋体" w:eastAsia="宋体" w:cs="宋体"/>
          <w:b/>
          <w:bCs/>
          <w:color w:val="auto"/>
          <w:kern w:val="2"/>
          <w:sz w:val="22"/>
          <w:szCs w:val="22"/>
          <w:highlight w:val="none"/>
          <w:u w:val="single"/>
          <w:lang w:val="en-US" w:eastAsia="zh-CN" w:bidi="ar-SA"/>
        </w:rPr>
        <w:t xml:space="preserve">                                                                            </w:t>
      </w:r>
      <w:r>
        <w:rPr>
          <w:rFonts w:hint="eastAsia" w:ascii="黑体" w:hAnsi="黑体" w:eastAsia="黑体" w:cs="黑体"/>
          <w:b w:val="0"/>
          <w:bCs/>
          <w:color w:val="auto"/>
          <w:kern w:val="0"/>
          <w:sz w:val="24"/>
          <w:szCs w:val="24"/>
          <w:highlight w:val="none"/>
          <w:lang w:val="en-US" w:eastAsia="zh-CN" w:bidi="ar-SA"/>
        </w:rPr>
        <w:t>36  工期和工期延误</w:t>
      </w:r>
      <w:bookmarkEnd w:id="472"/>
      <w:bookmarkEnd w:id="473"/>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36.1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合同工程的工期，由合同双方当事人根据广东省建设工程工期定额等有关规定，结合合同工程拟实施的施工组织设计或施工方案等情况，科学合理地编制工期，并在合同中约定。</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139" name="文本框 140"/>
                <wp:cNvGraphicFramePr/>
                <a:graphic xmlns:a="http://schemas.openxmlformats.org/drawingml/2006/main">
                  <a:graphicData uri="http://schemas.microsoft.com/office/word/2010/wordprocessingShape">
                    <wps:wsp>
                      <wps:cNvSpPr txBox="1"/>
                      <wps:spPr>
                        <a:xfrm>
                          <a:off x="0" y="0"/>
                          <a:ext cx="977900" cy="335915"/>
                        </a:xfrm>
                        <a:prstGeom prst="rect">
                          <a:avLst/>
                        </a:prstGeom>
                        <a:noFill/>
                        <a:ln>
                          <a:noFill/>
                        </a:ln>
                      </wps:spPr>
                      <wps:txbx>
                        <w:txbxContent>
                          <w:p>
                            <w:pPr>
                              <w:rPr>
                                <w:rFonts w:ascii="Calibri" w:hAnsi="Calibri" w:cs="Times New Roman"/>
                                <w:szCs w:val="21"/>
                              </w:rPr>
                            </w:pPr>
                          </w:p>
                        </w:txbxContent>
                      </wps:txbx>
                      <wps:bodyPr wrap="square" upright="1"/>
                    </wps:wsp>
                  </a:graphicData>
                </a:graphic>
              </wp:anchor>
            </w:drawing>
          </mc:Choice>
          <mc:Fallback>
            <w:pict>
              <v:shape id="文本框 140" o:spid="_x0000_s1026" o:spt="202" type="#_x0000_t202" style="position:absolute;left:0pt;margin-left:-9pt;margin-top:31pt;height:26.45pt;width:77pt;z-index:251802624;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l/3ojXAAAACgEAAA8AAAAAAAAAAQAgAAAAIgAAAGRycy9kb3ducmV2LnhtbFBLAQIUABQA&#10;AAAIAIdO4kBLI7GLuAEAAF8DAAAOAAAAAAAAAAEAIAAAACYBAABkcnMvZTJvRG9jLnhtbFBLBQYA&#10;AAAABgAGAFkBAABQBQAAAAA=&#10;">
                <v:fill on="f" focussize="0,0"/>
                <v:stroke on="f"/>
                <v:imagedata o:title=""/>
                <o:lock v:ext="edit" aspectratio="f"/>
                <v:textbox>
                  <w:txbxContent>
                    <w:p>
                      <w:pPr>
                        <w:rPr>
                          <w:rFonts w:ascii="Calibri" w:hAnsi="Calibri"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140" name="文本框 141"/>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wps:txbx>
                      <wps:bodyPr wrap="square" upright="1"/>
                    </wps:wsp>
                  </a:graphicData>
                </a:graphic>
              </wp:anchor>
            </w:drawing>
          </mc:Choice>
          <mc:Fallback>
            <w:pict>
              <v:shape id="文本框 141" o:spid="_x0000_s1026" o:spt="202" type="#_x0000_t202" style="position:absolute;left:0pt;margin-left:-9pt;margin-top:2.5pt;height:36.2pt;width:63pt;z-index:251803648;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cgpiDVAAAACAEAAA8AAAAAAAAAAQAgAAAAIgAAAGRycy9kb3ducmV2LnhtbFBLAQIUABQAAAAI&#10;AIdO4kBmBSihtwEAAF8DAAAOAAAAAAAAAAEAIAAAACQBAABkcnMvZTJvRG9jLnhtbFBLBQYAAAAA&#10;BgAGAFkBAABN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如合同工期与广东省建设工程工期定额规定不一致的，需说明与省工期定额规定不一致的原因，并制定保障措施，确保质量、施工安全。</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36.2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141" name="文本框 142"/>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wrap="square" upright="1"/>
                    </wps:wsp>
                  </a:graphicData>
                </a:graphic>
              </wp:anchor>
            </w:drawing>
          </mc:Choice>
          <mc:Fallback>
            <w:pict>
              <v:shape id="文本框 142" o:spid="_x0000_s1026" o:spt="202" type="#_x0000_t202" style="position:absolute;left:0pt;margin-left:-9pt;margin-top:2.5pt;height:36.2pt;width:63pt;z-index:251804672;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yCmINUAAAAIAQAADwAAAAAAAAABACAAAAAiAAAAZHJzL2Rvd25yZXYueG1sUEsBAhQAFAAA&#10;AAgAh07iQKG83Nu5AQAAXwMAAA4AAAAAAAAAAQAgAAAAJAEAAGRycy9lMm9Eb2MueG1sUEsFBgAA&#10;AAAGAAYAWQEAAE8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合同双方当事人应在专用条款中约定合同工程的工期，工期从开工日期开始计算。合同中包括有多个单位工程的，应在专用条款中约定各单位工程的工期。</w:t>
      </w:r>
    </w:p>
    <w:p>
      <w:pPr>
        <w:widowControl w:val="0"/>
        <w:adjustRightInd w:val="0"/>
        <w:snapToGrid w:val="0"/>
        <w:spacing w:line="420" w:lineRule="exact"/>
        <w:ind w:right="-2"/>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36.3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142" name="文本框 143"/>
                <wp:cNvGraphicFramePr/>
                <a:graphic xmlns:a="http://schemas.openxmlformats.org/drawingml/2006/main">
                  <a:graphicData uri="http://schemas.microsoft.com/office/word/2010/wordprocessingShape">
                    <wps:wsp>
                      <wps:cNvSpPr txBox="1"/>
                      <wps:spPr>
                        <a:xfrm>
                          <a:off x="0" y="0"/>
                          <a:ext cx="800100" cy="26162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wps:txbx>
                      <wps:bodyPr wrap="square" upright="1"/>
                    </wps:wsp>
                  </a:graphicData>
                </a:graphic>
              </wp:anchor>
            </w:drawing>
          </mc:Choice>
          <mc:Fallback>
            <w:pict>
              <v:shape id="文本框 143" o:spid="_x0000_s1026" o:spt="202" type="#_x0000_t202" style="position:absolute;left:0pt;margin-left:-9pt;margin-top:1.3pt;height:20.6pt;width:63pt;z-index:251805696;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px24I1QAAAAgBAAAPAAAAAAAAAAEAIAAAACIAAABkcnMvZG93bnJldi54bWxQSwECFAAUAAAA&#10;CACHTuJAl63vJrgBAABfAwAADgAAAAAAAAABACAAAAAk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86条规定处理。</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 发包人未能按照专用条款的约定提供施工设计图纸及其它开工条件；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（2）发包人未能按照专用条款约定的时间支付工程预付款、绿色施工安全防护费和进度款；</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 发包人代表或施工现场发包人雇用的其他人员造成的人为因素；</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 监理工程师未按照合同约定及时提供所需指令、回复等；</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 工程变更（含增加合同工作内容、改变合同的任何一项工作等）；</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 工程量增加；</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 一周内非承包人原因停水、停电、停气造成停工累计超过8小时；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 不可抗力；</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 发包人风险事件；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（10）因发包人的原因导致的暂停施工；</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（11）非承包人失误、违约，以及监理工程师同意的工期顺延。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（12）发包人造成工期延误的其他原因。</w:t>
      </w:r>
    </w:p>
    <w:p>
      <w:pPr>
        <w:widowControl w:val="0"/>
        <w:adjustRightInd w:val="0"/>
        <w:snapToGrid w:val="0"/>
        <w:spacing w:line="420" w:lineRule="exact"/>
        <w:ind w:right="-2"/>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36.4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143" name="文本框 14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20" w:lineRule="exact"/>
                              <w:rPr>
                                <w:rFonts w:ascii="宋体" w:hAnsi="Calibri" w:cs="Times New Roman"/>
                                <w:sz w:val="18"/>
                                <w:szCs w:val="18"/>
                              </w:rPr>
                            </w:pPr>
                            <w:r>
                              <w:rPr>
                                <w:rFonts w:hint="eastAsia" w:ascii="楷体_GB2312" w:hAnsi="宋体" w:eastAsia="楷体_GB2312" w:cs="楷体_GB2312"/>
                                <w:b/>
                                <w:bCs/>
                                <w:color w:val="000000"/>
                                <w:sz w:val="18"/>
                                <w:szCs w:val="18"/>
                              </w:rPr>
                              <w:t>提交工期顺延报告</w:t>
                            </w:r>
                          </w:p>
                        </w:txbxContent>
                      </wps:txbx>
                      <wps:bodyPr wrap="square" upright="1"/>
                    </wps:wsp>
                  </a:graphicData>
                </a:graphic>
              </wp:anchor>
            </w:drawing>
          </mc:Choice>
          <mc:Fallback>
            <w:pict>
              <v:shape id="文本框 144" o:spid="_x0000_s1026" o:spt="202" type="#_x0000_t202" style="position:absolute;left:0pt;margin-left:-9pt;margin-top:4.9pt;height:31.2pt;width:72pt;z-index:251806720;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a5bma1QAAAAgBAAAPAAAAAAAAAAEAIAAAACIAAABkcnMvZG93bnJldi54bWxQSwECFAAUAAAA&#10;CACHTuJAsqwAbLgBAABfAwAADgAAAAAAAAABACAAAAAkAQAAZHJzL2Uyb0RvYy54bWxQSwUGAAAA&#10;AAYABgBZAQAATgUAAAAA&#10;">
                <v:fill on="f" focussize="0,0"/>
                <v:stroke on="f"/>
                <v:imagedata o:title=""/>
                <o:lock v:ext="edit" aspectratio="f"/>
                <v:textbox>
                  <w:txbxContent>
                    <w:p>
                      <w:pPr>
                        <w:spacing w:line="220" w:lineRule="exact"/>
                        <w:rPr>
                          <w:rFonts w:ascii="宋体" w:hAnsi="Calibri" w:cs="Times New Roman"/>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当第36.3款所述事件首次发生后，承包人应在14天内向监理工程师发出工期顺延意向书，并抄送发包人。承包人应在发出工期顺延意向书后的14天内，向监理工程师提交工期顺延报告和有关详细资料。</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36.5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144" name="文本框 14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wps:txbx>
                      <wps:bodyPr wrap="square" upright="1"/>
                    </wps:wsp>
                  </a:graphicData>
                </a:graphic>
              </wp:anchor>
            </w:drawing>
          </mc:Choice>
          <mc:Fallback>
            <w:pict>
              <v:shape id="文本框 145" o:spid="_x0000_s1026" o:spt="202" type="#_x0000_t202" style="position:absolute;left:0pt;margin-left:-9pt;margin-top:3.7pt;height:31.2pt;width:72pt;z-index:251807744;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9yQatUAAAAIAQAADwAAAAAAAAABACAAAAAiAAAAZHJzL2Rvd25yZXYueG1sUEsBAhQAFAAA&#10;AAgAh07iQERyoiW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如果工期顺延事件持续发生时，承包人应每隔7天向监理工程师发出工期顺延意向书，并在工期顺延事件终结后的14天内，向监理工程师提交最终工期顺延报告和详细资料。</w:t>
      </w:r>
    </w:p>
    <w:p>
      <w:pPr>
        <w:widowControl w:val="0"/>
        <w:adjustRightInd w:val="0"/>
        <w:snapToGrid w:val="0"/>
        <w:spacing w:line="420" w:lineRule="exact"/>
        <w:ind w:right="-2"/>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36.6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145" name="文本框 146"/>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wps:txbx>
                      <wps:bodyPr wrap="square" upright="1"/>
                    </wps:wsp>
                  </a:graphicData>
                </a:graphic>
              </wp:anchor>
            </w:drawing>
          </mc:Choice>
          <mc:Fallback>
            <w:pict>
              <v:shape id="文本框 146" o:spid="_x0000_s1026" o:spt="202" type="#_x0000_t202" style="position:absolute;left:0pt;margin-left:-9pt;margin-top:3.6pt;height:38.1pt;width:72pt;z-index:251808768;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al0PH1gAAAAgBAAAPAAAAAAAAAAEAIAAAACIAAABkcnMvZG93bnJldi54bWxQSwECFAAU&#10;AAAACACHTuJAfdKOBr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 xml:space="preserve">如果承包人未能在第36.4款和第36.5款（发生时）规定的时间内提交（最终）工期顺延报告和详细资料，则视为该事件不影响施工进度或承包人放弃顺延工期的权利。 </w:t>
      </w:r>
    </w:p>
    <w:p>
      <w:pPr>
        <w:widowControl w:val="0"/>
        <w:adjustRightInd w:val="0"/>
        <w:snapToGrid w:val="0"/>
        <w:spacing w:line="420" w:lineRule="exact"/>
        <w:ind w:right="-2"/>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36.7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146" name="文本框 147"/>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工期顺延的核实与确定</w:t>
                            </w:r>
                          </w:p>
                        </w:txbxContent>
                      </wps:txbx>
                      <wps:bodyPr wrap="square" upright="1"/>
                    </wps:wsp>
                  </a:graphicData>
                </a:graphic>
              </wp:anchor>
            </w:drawing>
          </mc:Choice>
          <mc:Fallback>
            <w:pict>
              <v:shape id="文本框 147" o:spid="_x0000_s1026" o:spt="202" type="#_x0000_t202" style="position:absolute;left:0pt;margin-left:-9pt;margin-top:3.6pt;height:38.1pt;width:72pt;z-index:251809792;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qXQ8fWAAAACAEAAA8AAAAAAAAAAQAgAAAAIgAAAGRycy9kb3ducmV2LnhtbFBLAQIUABQA&#10;AAAIAIdO4kDFYp3yuQEAAF8DAAAOAAAAAAAAAAEAIAAAACUBAABkcnMvZTJvRG9jLnhtbFBLBQYA&#10;AAAABgAGAFkBAABQBQAAAAA=&#10;">
                <v:fill on="f" focussize="0,0"/>
                <v:stroke on="f"/>
                <v:imagedata o:title=""/>
                <o:lock v:ext="edit" aspectratio="f"/>
                <v:textbo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应在收到承包人按照第36.4款和第36.5款（发生时）规定提交（最终）工期顺延报告和详细资料后的28天内，按照第36.3款规定予以核实，或要求承包人进一步补充顺延工期的理由。合同双方当事人一旦协商确定顺延的工期，发包人应承担由此增加的费用，并向承包人支付合理利润。</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如果监理工程师在收到上述报告和资料后的28天内未予核实也未对承包人作出进一步要求，则视为监理工程师已认可承包人上述报告中提出的顺延工期天数。</w:t>
      </w:r>
    </w:p>
    <w:p>
      <w:pPr>
        <w:widowControl w:val="0"/>
        <w:adjustRightInd w:val="0"/>
        <w:snapToGrid w:val="0"/>
        <w:spacing w:line="420" w:lineRule="exact"/>
        <w:ind w:left="1491" w:leftChars="1" w:hanging="1489" w:hangingChars="674"/>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36.8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147" name="文本框 148"/>
                <wp:cNvGraphicFramePr/>
                <a:graphic xmlns:a="http://schemas.openxmlformats.org/drawingml/2006/main">
                  <a:graphicData uri="http://schemas.microsoft.com/office/word/2010/wordprocessingShape">
                    <wps:wsp>
                      <wps:cNvSpPr txBox="1"/>
                      <wps:spPr>
                        <a:xfrm>
                          <a:off x="0" y="0"/>
                          <a:ext cx="914400" cy="5937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wps:txbx>
                      <wps:bodyPr wrap="square" upright="1"/>
                    </wps:wsp>
                  </a:graphicData>
                </a:graphic>
              </wp:anchor>
            </w:drawing>
          </mc:Choice>
          <mc:Fallback>
            <w:pict>
              <v:shape id="文本框 148" o:spid="_x0000_s1026" o:spt="202" type="#_x0000_t202" style="position:absolute;left:0pt;margin-left:-9pt;margin-top:3.6pt;height:46.75pt;width:72pt;z-index:251810816;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Kjiv1gAAAAkBAAAPAAAAAAAAAAEAIAAAACIAAABkcnMvZG93bnJldi54bWxQSwECFAAU&#10;AAAACACHTuJAuoIojL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承包人未能按照合同进度计划完成工作，或因承包人的原因造成工期延误，发包人可按照本条规定的时限和第66.2款规定要求承包人支付该支付期的误期赔偿费。</w:t>
      </w:r>
    </w:p>
    <w:p>
      <w:pPr>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36.9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77056" behindDoc="0" locked="0" layoutInCell="1" allowOverlap="1">
                <wp:simplePos x="0" y="0"/>
                <wp:positionH relativeFrom="column">
                  <wp:posOffset>-64770</wp:posOffset>
                </wp:positionH>
                <wp:positionV relativeFrom="paragraph">
                  <wp:posOffset>65405</wp:posOffset>
                </wp:positionV>
                <wp:extent cx="923290" cy="454025"/>
                <wp:effectExtent l="0" t="0" r="0" b="0"/>
                <wp:wrapNone/>
                <wp:docPr id="407" name="文本框 149"/>
                <wp:cNvGraphicFramePr/>
                <a:graphic xmlns:a="http://schemas.openxmlformats.org/drawingml/2006/main">
                  <a:graphicData uri="http://schemas.microsoft.com/office/word/2010/wordprocessingShape">
                    <wps:wsp>
                      <wps:cNvSpPr txBox="1"/>
                      <wps:spPr>
                        <a:xfrm>
                          <a:off x="0" y="0"/>
                          <a:ext cx="923290" cy="454025"/>
                        </a:xfrm>
                        <a:prstGeom prst="rect">
                          <a:avLst/>
                        </a:prstGeom>
                        <a:noFill/>
                        <a:ln>
                          <a:noFill/>
                        </a:ln>
                      </wps:spPr>
                      <wps:txb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149" o:spid="_x0000_s1026" o:spt="202" type="#_x0000_t202" style="position:absolute;left:0pt;margin-left:-5.1pt;margin-top:5.15pt;height:35.75pt;width:72.7pt;z-index:252077056;mso-width-relative:page;mso-height-relative:page;" filled="f" stroked="f" coordsize="21600,21600" o:gfxdata="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rYro9UAAAAJAQAADwAAAAAAAAABACAAAAAiAAAAZHJzL2Rvd25yZXYueG1sUEsBAhQAFAAA&#10;AAgAh07iQNOmIt6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pPr>
        <w:widowControl w:val="0"/>
        <w:tabs>
          <w:tab w:val="left" w:pos="540"/>
        </w:tabs>
        <w:adjustRightInd w:val="0"/>
        <w:snapToGrid w:val="0"/>
        <w:spacing w:before="240" w:beforeLines="100"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74" w:name="_Toc10624859"/>
      <w:bookmarkStart w:id="475" w:name="_Toc469384019"/>
      <w:r>
        <w:rPr>
          <w:rFonts w:hint="eastAsia" w:ascii="黑体" w:hAnsi="黑体" w:eastAsia="黑体" w:cs="黑体"/>
          <w:b w:val="0"/>
          <w:bCs/>
          <w:color w:val="auto"/>
          <w:kern w:val="0"/>
          <w:sz w:val="24"/>
          <w:szCs w:val="24"/>
          <w:highlight w:val="none"/>
          <w:lang w:val="en-US" w:eastAsia="zh-CN" w:bidi="ar-SA"/>
        </w:rPr>
        <w:t>37  加快进度</w:t>
      </w:r>
      <w:bookmarkEnd w:id="474"/>
      <w:bookmarkEnd w:id="475"/>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148" name="文本框 150"/>
                <wp:cNvGraphicFramePr/>
                <a:graphic xmlns:a="http://schemas.openxmlformats.org/drawingml/2006/main">
                  <a:graphicData uri="http://schemas.microsoft.com/office/word/2010/wordprocessingShape">
                    <wps:wsp>
                      <wps:cNvSpPr txBox="1"/>
                      <wps:spPr>
                        <a:xfrm>
                          <a:off x="0" y="0"/>
                          <a:ext cx="914400" cy="540385"/>
                        </a:xfrm>
                        <a:prstGeom prst="rect">
                          <a:avLst/>
                        </a:prstGeom>
                        <a:noFill/>
                        <a:ln>
                          <a:noFill/>
                        </a:ln>
                      </wps:spPr>
                      <wps:txbx>
                        <w:txbxContent>
                          <w:p>
                            <w:pPr>
                              <w:rPr>
                                <w:rFonts w:ascii="宋体" w:hAnsi="Calibri" w:cs="Times New Roman"/>
                                <w:sz w:val="18"/>
                                <w:szCs w:val="18"/>
                              </w:rPr>
                            </w:pPr>
                            <w:r>
                              <w:rPr>
                                <w:rFonts w:hint="eastAsia" w:ascii="楷体_GB2312" w:hAnsi="宋体" w:eastAsia="楷体_GB2312" w:cs="楷体_GB2312"/>
                                <w:b/>
                                <w:bCs/>
                                <w:color w:val="000000"/>
                                <w:sz w:val="18"/>
                                <w:szCs w:val="18"/>
                              </w:rPr>
                              <w:t>承包人原因加快进度的要求</w:t>
                            </w:r>
                          </w:p>
                        </w:txbxContent>
                      </wps:txbx>
                      <wps:bodyPr wrap="square" upright="1"/>
                    </wps:wsp>
                  </a:graphicData>
                </a:graphic>
              </wp:anchor>
            </w:drawing>
          </mc:Choice>
          <mc:Fallback>
            <w:pict>
              <v:shape id="文本框 150" o:spid="_x0000_s1026" o:spt="202" type="#_x0000_t202" style="position:absolute;left:0pt;margin-left:-9pt;margin-top:12.65pt;height:42.55pt;width:72pt;z-index:251811840;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g0UYNcAAAAKAQAADwAAAAAAAAABACAAAAAiAAAAZHJzL2Rvd25yZXYueG1sUEsBAhQAFAAA&#10;AAgAh07iQBg46sS3AQAAXwMAAA4AAAAAAAAAAQAgAAAAJgEAAGRycy9lMm9Eb2MueG1sUEsFBgAA&#10;AAAGAAYAWQEAAE8FAAAAAA==&#10;">
                <v:fill on="f" focussize="0,0"/>
                <v:stroke on="f"/>
                <v:imagedata o:title=""/>
                <o:lock v:ext="edit" aspectratio="f"/>
                <v:textbox>
                  <w:txbxContent>
                    <w:p>
                      <w:pPr>
                        <w:rPr>
                          <w:rFonts w:ascii="宋体" w:hAnsi="Calibri" w:cs="Times New Roman"/>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37.1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在非发包人延误工期的情况下，如果监理工程师书面指出承包人实施合同工程或其任何部分的进度过慢，迟于进度计划或不能按期竣工，则承包人应按照第33.4款规定采取改进措施，加快工程进度。</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 xml:space="preserve">如果承包人在接到监理工程师通知后的14天内，未能采取加快工程进度的措施，致使实际进度进一步延迟；或承包人虽然采取了改进措施，仍无法按期竣工，监理工程师应立即报告发包人，并抄送承包人。发包人可按照第87.3款规定解除合同，也可将合同工程中的一部分工作交由第三方完成，由此增加的一切费用由承包人承担。即使承包人承担增加的费用，也不能免除其按照合同约定应承担的任何责任和应履行的任何义务。 </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149" name="文本框 151"/>
                <wp:cNvGraphicFramePr/>
                <a:graphic xmlns:a="http://schemas.openxmlformats.org/drawingml/2006/main">
                  <a:graphicData uri="http://schemas.microsoft.com/office/word/2010/wordprocessingShape">
                    <wps:wsp>
                      <wps:cNvSpPr txBox="1"/>
                      <wps:spPr>
                        <a:xfrm>
                          <a:off x="0" y="0"/>
                          <a:ext cx="914400" cy="49466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wps:txbx>
                      <wps:bodyPr wrap="square" upright="1"/>
                    </wps:wsp>
                  </a:graphicData>
                </a:graphic>
              </wp:anchor>
            </w:drawing>
          </mc:Choice>
          <mc:Fallback>
            <w:pict>
              <v:shape id="文本框 151" o:spid="_x0000_s1026" o:spt="202" type="#_x0000_t202" style="position:absolute;left:0pt;margin-left:-9pt;margin-top:21.9pt;height:38.95pt;width:72pt;z-index:251812864;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1n2u81wAAAAoBAAAPAAAAAAAAAAEAIAAAACIAAABkcnMvZG93bnJldi54bWxQSwECFAAU&#10;AAAACACHTuJAHl3C77kBAABfAwAADgAAAAAAAAABACAAAAAmAQAAZHJzL2Uyb0RvYy54bWxQSwUG&#10;AAAAAAYABgBZAQAAU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37.2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发包人希望承包人提前竣工，那么发包人可要求承包人提交为加快进度而编制的提前竣工建议书。承包人应在接到发包人要求后的7天内完成编制并向发包人提交提前竣工建议书，该建议书的内容至少应包括：</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（1）加快进度拟采取的措施；</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（2）加快进度后的进度计划,以及与原计划的对比；</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（3）加快进度所需的合同价款增加额（含第66.1款规定的提前竣工奖）。该增加额按照第72.2款、第72.3款和第72.5款规定计算。</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发包人应在接到建议书后的7天内予以答复。如果发包人接受了该建议书，则监理工程师应以书面形式发出变更指令，相应调整工期；造价工程师应核实并相应调整合同价款。</w:t>
      </w:r>
    </w:p>
    <w:p>
      <w:pPr>
        <w:widowControl w:val="0"/>
        <w:adjustRightInd w:val="0"/>
        <w:snapToGrid w:val="0"/>
        <w:spacing w:line="420" w:lineRule="exact"/>
        <w:ind w:right="-24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76" w:name="_Toc469384020"/>
      <w:bookmarkStart w:id="477" w:name="_Toc10624860"/>
      <w:r>
        <w:rPr>
          <w:rFonts w:hint="eastAsia" w:ascii="黑体" w:hAnsi="黑体" w:eastAsia="黑体" w:cs="黑体"/>
          <w:b w:val="0"/>
          <w:bCs/>
          <w:color w:val="auto"/>
          <w:kern w:val="0"/>
          <w:sz w:val="24"/>
          <w:szCs w:val="24"/>
          <w:highlight w:val="none"/>
          <w:lang w:val="en-US" w:eastAsia="zh-CN" w:bidi="ar-SA"/>
        </w:rPr>
        <w:t>38  竣工日期</w:t>
      </w:r>
      <w:bookmarkEnd w:id="476"/>
      <w:bookmarkEnd w:id="477"/>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13888"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150" name="文本框 152"/>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wrap="square" upright="1"/>
                    </wps:wsp>
                  </a:graphicData>
                </a:graphic>
              </wp:anchor>
            </w:drawing>
          </mc:Choice>
          <mc:Fallback>
            <w:pict>
              <v:shape id="文本框 152" o:spid="_x0000_s1026" o:spt="202" type="#_x0000_t202" style="position:absolute;left:0pt;margin-left:-10.5pt;margin-top:10.7pt;height:31.2pt;width:77pt;z-index:251813888;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qOHVX1wAAAAkBAAAPAAAAAAAAAAEAIAAAACIAAABkcnMvZG93bnJldi54bWxQSwECFAAU&#10;AAAACACHTuJAexERob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38.1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合同双方当事人应在协议书和专用条款中约定合同工程的计划竣工日期。</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38.2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151" name="文本框 153"/>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wrap="square" upright="1"/>
                    </wps:wsp>
                  </a:graphicData>
                </a:graphic>
              </wp:anchor>
            </w:drawing>
          </mc:Choice>
          <mc:Fallback>
            <w:pict>
              <v:shape id="文本框 153" o:spid="_x0000_s1026" o:spt="202" type="#_x0000_t202" style="position:absolute;left:0pt;margin-left:-9pt;margin-top:0.45pt;height:31.2pt;width:77pt;z-index:251814912;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CZocbVAAAABwEAAA8AAAAAAAAAAQAgAAAAIgAAAGRycy9kb3ducmV2LnhtbFBLAQIUABQA&#10;AAAIAIdO4kDkFtoL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除发生不可抗力事件致使发包人不能按时竣工验收外，实际竣工日期按照下列情况分别确定：</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（1）工程经竣工验收合格的，以承包人提交竣工验收申请报告之日为实际竣工日期；</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（2）承包人已按照第57.2款规定提交竣工验收申请报告，但发包人未按照第58.3款规定完成合同工程验收的，以承包人提交竣工验收申请报告之日为实际竣工日期；</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（3）工程未经竣工验收，发包人擅自使用的，以转移占有工程之日为实际竣工日期。</w:t>
      </w:r>
    </w:p>
    <w:p>
      <w:pPr>
        <w:widowControl w:val="0"/>
        <w:adjustRightInd w:val="0"/>
        <w:snapToGrid w:val="0"/>
        <w:spacing w:line="420" w:lineRule="exact"/>
        <w:ind w:left="1491" w:leftChars="1" w:hanging="1489" w:hangingChars="674"/>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38.3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152" name="文本框 154"/>
                <wp:cNvGraphicFramePr/>
                <a:graphic xmlns:a="http://schemas.openxmlformats.org/drawingml/2006/main">
                  <a:graphicData uri="http://schemas.microsoft.com/office/word/2010/wordprocessingShape">
                    <wps:wsp>
                      <wps:cNvSpPr txBox="1"/>
                      <wps:spPr>
                        <a:xfrm>
                          <a:off x="0" y="0"/>
                          <a:ext cx="914400" cy="45593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wrap="square" upright="1"/>
                    </wps:wsp>
                  </a:graphicData>
                </a:graphic>
              </wp:anchor>
            </w:drawing>
          </mc:Choice>
          <mc:Fallback>
            <w:pict>
              <v:shape id="文本框 154" o:spid="_x0000_s1026" o:spt="202" type="#_x0000_t202" style="position:absolute;left:0pt;margin-left:-9pt;margin-top:3.75pt;height:35.9pt;width:72pt;z-index:251815936;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6BDNytUAAAAIAQAADwAAAAAAAAABACAAAAAiAAAAZHJzL2Rvd25yZXYueG1sUEsBAhQAFAAA&#10;AAgAh07iQF21ChS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因发包人的原因导致实际竣工日期迟于计划竣工日期的，发包人应承担由此增加的费用和（或）延误的工期，并向承包人支付合理利润。</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因承包人的原因导致实际竣工日期迟于计划竣工日期的，承包人应按照第40条规定赔偿发包人由此造成的损失，并向发包人支付误期赔偿费。</w:t>
      </w:r>
    </w:p>
    <w:p>
      <w:pPr>
        <w:spacing w:line="420" w:lineRule="exact"/>
        <w:rPr>
          <w:rFonts w:ascii="宋体" w:hAnsi="宋体" w:cs="宋体"/>
          <w:caps/>
          <w:color w:val="auto"/>
          <w:sz w:val="22"/>
          <w:szCs w:val="22"/>
          <w:highlight w:val="none"/>
          <w:u w:val="single"/>
        </w:rPr>
      </w:pPr>
      <w:r>
        <w:rPr>
          <w:rFonts w:hint="eastAsia" w:ascii="宋体" w:hAnsi="宋体" w:cs="宋体"/>
          <w:b/>
          <w:bCs/>
          <w:caps/>
          <w:color w:val="auto"/>
          <w:sz w:val="22"/>
          <w:szCs w:val="22"/>
          <w:highlight w:val="none"/>
          <w:u w:val="single"/>
        </w:rPr>
        <w:t xml:space="preserve">                                                                                    </w:t>
      </w:r>
      <w:r>
        <w:rPr>
          <w:rFonts w:hint="eastAsia" w:ascii="宋体" w:hAnsi="宋体" w:cs="宋体"/>
          <w:cap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78" w:name="_Toc469384021"/>
      <w:bookmarkStart w:id="479" w:name="_Toc10624861"/>
      <w:r>
        <w:rPr>
          <w:rFonts w:hint="eastAsia" w:ascii="黑体" w:hAnsi="黑体" w:eastAsia="黑体" w:cs="黑体"/>
          <w:b w:val="0"/>
          <w:bCs/>
          <w:color w:val="auto"/>
          <w:kern w:val="0"/>
          <w:sz w:val="24"/>
          <w:szCs w:val="24"/>
          <w:highlight w:val="none"/>
          <w:lang w:val="en-US" w:eastAsia="zh-CN" w:bidi="ar-SA"/>
        </w:rPr>
        <w:t>39  提前竣工</w:t>
      </w:r>
      <w:bookmarkEnd w:id="478"/>
      <w:bookmarkEnd w:id="479"/>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39.1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16960"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153" name="文本框 155"/>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wrap="square" upright="1"/>
                    </wps:wsp>
                  </a:graphicData>
                </a:graphic>
              </wp:anchor>
            </w:drawing>
          </mc:Choice>
          <mc:Fallback>
            <w:pict>
              <v:shape id="文本框 155" o:spid="_x0000_s1026" o:spt="202" type="#_x0000_t202" style="position:absolute;left:0pt;margin-left:-5.25pt;margin-top:2.4pt;height:31.2pt;width:77pt;z-index:251816960;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YdP4/VAAAACAEAAA8AAAAAAAAAAQAgAAAAIgAAAGRycy9kb3ducmV2LnhtbFBLAQIUABQA&#10;AAAIAIdO4kBqZTP+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发包人要求承包人提前竣工，或承包人按照第37.2款规定提交提前竣工建议书为发包人接受的，监理工程师应与承包人商定采取加快工程进度的措施，并修订合同工程进度计划。</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39.2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154" name="文本框 156"/>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wrap="square" upright="1"/>
                    </wps:wsp>
                  </a:graphicData>
                </a:graphic>
              </wp:anchor>
            </w:drawing>
          </mc:Choice>
          <mc:Fallback>
            <w:pict>
              <v:shape id="文本框 156" o:spid="_x0000_s1026" o:spt="202" type="#_x0000_t202" style="position:absolute;left:0pt;margin-left:-9pt;margin-top:0.45pt;height:31.2pt;width:77pt;z-index:251817984;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CZocbVAAAABwEAAA8AAAAAAAAAAQAgAAAAIgAAAGRycy9kb3ducmV2LnhtbFBLAQIUABQA&#10;AAAIAIdO4kDEBa5n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提前竣工天数按照第38.2款规定确定的计划竣工天数减去实际竣工天数计算，其公式为：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提前竣工天数=计划竣工天数 — 实际竣工天数</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合同工程提前竣工，发包人应承担承包人由此增加的费用，并按照第66.1款规定向承包人支付提前竣工奖。</w:t>
      </w:r>
    </w:p>
    <w:p>
      <w:pPr>
        <w:widowControl w:val="0"/>
        <w:tabs>
          <w:tab w:val="left" w:pos="540"/>
        </w:tabs>
        <w:adjustRightInd w:val="0"/>
        <w:snapToGrid w:val="0"/>
        <w:spacing w:before="240" w:beforeLines="100" w:line="420" w:lineRule="exact"/>
        <w:jc w:val="both"/>
        <w:rPr>
          <w:rFonts w:ascii="宋体" w:hAnsi="宋体" w:eastAsia="宋体" w:cs="宋体"/>
          <w:b/>
          <w:bCs/>
          <w:caps/>
          <w:color w:val="auto"/>
          <w:kern w:val="2"/>
          <w:sz w:val="22"/>
          <w:szCs w:val="22"/>
          <w:highlight w:val="none"/>
          <w:u w:val="single"/>
          <w:lang w:val="en-US" w:eastAsia="zh-CN" w:bidi="ar-SA"/>
        </w:rPr>
      </w:pPr>
      <w:r>
        <w:rPr>
          <w:rFonts w:hint="eastAsia" w:ascii="宋体" w:hAnsi="宋体" w:eastAsia="宋体" w:cs="宋体"/>
          <w:b/>
          <w:bCs/>
          <w:cap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80" w:name="_Toc10624862"/>
      <w:bookmarkStart w:id="481" w:name="_Toc469384022"/>
      <w:r>
        <w:rPr>
          <w:rFonts w:hint="eastAsia" w:ascii="黑体" w:hAnsi="黑体" w:eastAsia="黑体" w:cs="黑体"/>
          <w:b w:val="0"/>
          <w:bCs/>
          <w:color w:val="auto"/>
          <w:kern w:val="0"/>
          <w:sz w:val="24"/>
          <w:szCs w:val="24"/>
          <w:highlight w:val="none"/>
          <w:lang w:val="en-US" w:eastAsia="zh-CN" w:bidi="ar-SA"/>
        </w:rPr>
        <w:t>40  误期赔偿</w:t>
      </w:r>
      <w:bookmarkEnd w:id="480"/>
      <w:bookmarkEnd w:id="481"/>
    </w:p>
    <w:p>
      <w:pPr>
        <w:spacing w:line="420" w:lineRule="exact"/>
        <w:rPr>
          <w:rFonts w:ascii="宋体" w:hAnsi="宋体" w:cs="宋体"/>
          <w:b/>
          <w:bCs/>
          <w:caps/>
          <w:color w:val="auto"/>
          <w:sz w:val="22"/>
          <w:szCs w:val="22"/>
          <w:highlight w:val="none"/>
        </w:rPr>
      </w:pPr>
      <w:r>
        <w:rPr>
          <w:rFonts w:hint="eastAsia" w:ascii="宋体" w:hAnsi="宋体" w:cs="宋体"/>
          <w:b/>
          <w:bCs/>
          <w:color w:val="auto"/>
          <w:sz w:val="22"/>
          <w:szCs w:val="22"/>
          <w:highlight w:val="none"/>
        </w:rPr>
        <w:t>40.1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19008" behindDoc="0" locked="0" layoutInCell="1" allowOverlap="1">
                <wp:simplePos x="0" y="0"/>
                <wp:positionH relativeFrom="column">
                  <wp:posOffset>-133350</wp:posOffset>
                </wp:positionH>
                <wp:positionV relativeFrom="paragraph">
                  <wp:posOffset>104140</wp:posOffset>
                </wp:positionV>
                <wp:extent cx="977900" cy="328295"/>
                <wp:effectExtent l="0" t="0" r="0" b="0"/>
                <wp:wrapNone/>
                <wp:docPr id="155" name="文本框 157"/>
                <wp:cNvGraphicFramePr/>
                <a:graphic xmlns:a="http://schemas.openxmlformats.org/drawingml/2006/main">
                  <a:graphicData uri="http://schemas.microsoft.com/office/word/2010/wordprocessingShape">
                    <wps:wsp>
                      <wps:cNvSpPr txBox="1"/>
                      <wps:spPr>
                        <a:xfrm>
                          <a:off x="0" y="0"/>
                          <a:ext cx="977900" cy="3282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wps:txbx>
                      <wps:bodyPr wrap="square" upright="1"/>
                    </wps:wsp>
                  </a:graphicData>
                </a:graphic>
              </wp:anchor>
            </w:drawing>
          </mc:Choice>
          <mc:Fallback>
            <w:pict>
              <v:shape id="文本框 157" o:spid="_x0000_s1026" o:spt="202" type="#_x0000_t202" style="position:absolute;left:0pt;margin-left:-10.5pt;margin-top:8.2pt;height:25.85pt;width:77pt;z-index:251819008;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dbURHWAAAACQEAAA8AAAAAAAAAAQAgAAAAIgAAAGRycy9kb3ducmV2LnhtbFBLAQIUABQA&#10;AAAIAIdO4kC4GtOl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未按照第33.4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pPr>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40.2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156" name="文本框 158"/>
                <wp:cNvGraphicFramePr/>
                <a:graphic xmlns:a="http://schemas.openxmlformats.org/drawingml/2006/main">
                  <a:graphicData uri="http://schemas.microsoft.com/office/word/2010/wordprocessingShape">
                    <wps:wsp>
                      <wps:cNvSpPr txBox="1"/>
                      <wps:spPr>
                        <a:xfrm>
                          <a:off x="0" y="0"/>
                          <a:ext cx="1071245" cy="79184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wps:txbx>
                      <wps:bodyPr wrap="square" upright="1"/>
                    </wps:wsp>
                  </a:graphicData>
                </a:graphic>
              </wp:anchor>
            </w:drawing>
          </mc:Choice>
          <mc:Fallback>
            <w:pict>
              <v:shape id="文本框 158" o:spid="_x0000_s1026" o:spt="202" type="#_x0000_t202" style="position:absolute;left:0pt;margin-left:-9pt;margin-top:2.5pt;height:62.35pt;width:84.35pt;z-index:251820032;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Z+4nWAAAACQEAAA8AAAAAAAAAAQAgAAAAIgAAAGRycy9kb3ducmV2LnhtbFBLAQIUABQA&#10;AAAIAIdO4kDM2TpNuQEAAGA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误期（实际延误天数）按照实际施工天数减去计划施工天数计算，其公式为：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实际延误天数＝实际施工天数 － 计划施工天数</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合同工程发生误期，承包人应赔偿发包人由此造成的损失，并按照第66.2款规定向发包人支付误期赔偿费。</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spacing w:line="420" w:lineRule="exact"/>
        <w:jc w:val="center"/>
        <w:outlineLvl w:val="1"/>
        <w:rPr>
          <w:rFonts w:ascii="方正小标宋_GBK" w:hAnsi="方正小标宋_GBK" w:eastAsia="方正小标宋_GBK" w:cs="方正小标宋_GBK"/>
          <w:b/>
          <w:bCs/>
          <w:color w:val="auto"/>
          <w:sz w:val="24"/>
          <w:szCs w:val="24"/>
          <w:highlight w:val="none"/>
        </w:rPr>
      </w:pPr>
      <w:bookmarkStart w:id="482" w:name="_Toc469384023"/>
      <w:bookmarkStart w:id="483" w:name="_Toc10624863"/>
      <w:r>
        <w:rPr>
          <w:rFonts w:hint="eastAsia" w:ascii="方正小标宋_GBK" w:hAnsi="方正小标宋_GBK" w:eastAsia="方正小标宋_GBK" w:cs="方正小标宋_GBK"/>
          <w:b/>
          <w:bCs/>
          <w:color w:val="auto"/>
          <w:sz w:val="24"/>
          <w:szCs w:val="24"/>
          <w:highlight w:val="none"/>
        </w:rPr>
        <w:t>五、质量与安全</w:t>
      </w:r>
      <w:bookmarkEnd w:id="482"/>
      <w:bookmarkEnd w:id="483"/>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84" w:name="_Toc10624864"/>
      <w:bookmarkStart w:id="485" w:name="_Toc469384024"/>
      <w:r>
        <w:rPr>
          <w:rFonts w:hint="eastAsia" w:ascii="黑体" w:hAnsi="黑体" w:eastAsia="黑体" w:cs="黑体"/>
          <w:b w:val="0"/>
          <w:bCs/>
          <w:color w:val="auto"/>
          <w:kern w:val="0"/>
          <w:sz w:val="24"/>
          <w:szCs w:val="24"/>
          <w:highlight w:val="none"/>
          <w:lang w:val="en-US" w:eastAsia="zh-CN" w:bidi="ar-SA"/>
        </w:rPr>
        <w:t>★41  质量与安全管理</w:t>
      </w:r>
      <w:bookmarkEnd w:id="484"/>
      <w:bookmarkEnd w:id="485"/>
    </w:p>
    <w:p>
      <w:pPr>
        <w:tabs>
          <w:tab w:val="left" w:pos="78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41.1 </w:t>
      </w:r>
      <w:r>
        <w:rPr>
          <w:rFonts w:hint="eastAsia" w:ascii="宋体" w:hAnsi="宋体" w:cs="宋体"/>
          <w:b/>
          <w:bCs/>
          <w:color w:val="auto"/>
          <w:sz w:val="22"/>
          <w:szCs w:val="22"/>
          <w:highlight w:val="none"/>
        </w:rPr>
        <w:tab/>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157" name="文本框 159"/>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wrap="square" upright="1"/>
                    </wps:wsp>
                  </a:graphicData>
                </a:graphic>
              </wp:anchor>
            </w:drawing>
          </mc:Choice>
          <mc:Fallback>
            <w:pict>
              <v:shape id="文本框 159" o:spid="_x0000_s1026" o:spt="202" type="#_x0000_t202" style="position:absolute;left:0pt;margin-left:-9pt;margin-top:-0.5pt;height:41.45pt;width:72pt;z-index:251821056;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WfNPdUAAAAJAQAADwAAAAAAAAABACAAAAAiAAAAZHJzL2Rvd25yZXYueG1sUEsBAhQAFAAA&#10;AAgAh07iQPIhl1G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严格遵守国家、省有关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41.2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158" name="文本框 160"/>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wrap="square" upright="1"/>
                    </wps:wsp>
                  </a:graphicData>
                </a:graphic>
              </wp:anchor>
            </w:drawing>
          </mc:Choice>
          <mc:Fallback>
            <w:pict>
              <v:shape id="文本框 160" o:spid="_x0000_s1026" o:spt="202" type="#_x0000_t202" style="position:absolute;left:0pt;margin-left:-9pt;margin-top:2.8pt;height:32.3pt;width:72pt;z-index:251822080;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S7iW9UAAAAIAQAADwAAAAAAAAABACAAAAAiAAAAZHJzL2Rvd25yZXYueG1sUEsBAhQAFAAAAAgA&#10;h07iQNpfKNi2AQAAXwMAAA4AAAAAAAAAAQAgAAAAJAEAAGRycy9lMm9Eb2MueG1sUEsFBgAAAAAG&#10;AAYAWQEAAEw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159" name="文本框 161"/>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wps:txbx>
                      <wps:bodyPr wrap="square" upright="1"/>
                    </wps:wsp>
                  </a:graphicData>
                </a:graphic>
              </wp:anchor>
            </w:drawing>
          </mc:Choice>
          <mc:Fallback>
            <w:pict>
              <v:shape id="文本框 161" o:spid="_x0000_s1026" o:spt="202" type="#_x0000_t202" style="position:absolute;left:0pt;margin-left:-9pt;margin-top:21.85pt;height:27pt;width:72pt;z-index:251823104;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QM7vXAAAACQEAAA8AAAAAAAAAAQAgAAAAIgAAAGRycy9kb3ducmV2LnhtbFBLAQIUABQA&#10;AAAIAIdO4kAWl3u9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41.3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pPr>
        <w:widowControl w:val="0"/>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24128"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160" name="文本框 162"/>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wps:txbx>
                      <wps:bodyPr wrap="square" upright="1"/>
                    </wps:wsp>
                  </a:graphicData>
                </a:graphic>
              </wp:anchor>
            </w:drawing>
          </mc:Choice>
          <mc:Fallback>
            <w:pict>
              <v:shape id="文本框 162" o:spid="_x0000_s1026" o:spt="202" type="#_x0000_t202" style="position:absolute;left:0pt;margin-left:-9.1pt;margin-top:22pt;height:30.7pt;width:72pt;z-index:251824128;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3YQS9YAAAAKAQAADwAAAAAAAAABACAAAAAiAAAAZHJzL2Rvd25yZXYueG1sUEsBAhQAFAAA&#10;AAgAh07iQC1sV7S4AQAAXwMAAA4AAAAAAAAAAQAgAAAAJQEAAGRycy9lMm9Eb2MueG1sUEsFBgAA&#10;AAAGAAYAWQEAAE8FA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41.4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因承包人原因造成工程质量未达到合同约定标准的，发包人有权要求承包人返工直至工程质量达到合同约定的标准为止，并由承包人承担由此增加的费用和延误工期的责任。</w:t>
      </w:r>
    </w:p>
    <w:p>
      <w:pPr>
        <w:widowControl w:val="0"/>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41.5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161" name="文本框 16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wps:txbx>
                      <wps:bodyPr wrap="square" upright="1"/>
                    </wps:wsp>
                  </a:graphicData>
                </a:graphic>
              </wp:anchor>
            </w:drawing>
          </mc:Choice>
          <mc:Fallback>
            <w:pict>
              <v:shape id="文本框 163" o:spid="_x0000_s1026" o:spt="202" type="#_x0000_t202" style="position:absolute;left:0pt;margin-left:-9pt;margin-top:1.1pt;height:46.8pt;width:72pt;z-index:251825152;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bY0NLVAAAACAEAAA8AAAAAAAAAAQAgAAAAIgAAAGRycy9kb3ducmV2LnhtbFBLAQIUABQA&#10;AAAIAIdO4kDCco7BugEAAF8DAAAOAAAAAAAAAAEAIAAAACQBAABkcnMvZTJvRG9jLnhtbFBLBQYA&#10;AAAABgAGAFkBAABQBQAAAAA=&#10;">
                <v:fill on="f" focussize="0,0"/>
                <v:stroke on="f"/>
                <v:imagedata o:title=""/>
                <o:lock v:ext="edit" aspectratio="f"/>
                <v:textbox>
                  <w:txbxContent>
                    <w:p>
                      <w:pPr>
                        <w:spacing w:line="240" w:lineRule="exact"/>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因发包人原因造成工程质量未达到合同约定标准的，由发包人承担由此增加的费用和延误工期的责任，增加的费用按本合同相关条款以及投标报价或预算的计价原则计算。</w:t>
      </w:r>
    </w:p>
    <w:p>
      <w:pPr>
        <w:autoSpaceDE w:val="0"/>
        <w:autoSpaceDN w:val="0"/>
        <w:adjustRightInd w:val="0"/>
        <w:spacing w:line="420" w:lineRule="exact"/>
        <w:jc w:val="left"/>
        <w:rPr>
          <w:rFonts w:ascii="宋体" w:hAnsi="宋体" w:cs="宋体"/>
          <w:color w:val="auto"/>
          <w:sz w:val="22"/>
          <w:szCs w:val="22"/>
          <w:highlight w:val="none"/>
          <w:u w:val="dotted"/>
        </w:rPr>
      </w:pPr>
      <w:r>
        <w:rPr>
          <w:rFonts w:hint="eastAsia" w:ascii="宋体" w:hAnsi="宋体" w:cs="宋体"/>
          <w:b/>
          <w:bCs/>
          <w:color w:val="auto"/>
          <w:sz w:val="22"/>
          <w:szCs w:val="22"/>
          <w:highlight w:val="none"/>
        </w:rPr>
        <w:t xml:space="preserve">41.6 </w:t>
      </w:r>
      <w:r>
        <w:rPr>
          <w:rFonts w:hint="eastAsia" w:ascii="宋体" w:hAnsi="宋体" w:cs="宋体"/>
          <w:b/>
          <w:bCs/>
          <w:color w:val="auto"/>
          <w:sz w:val="22"/>
          <w:szCs w:val="22"/>
          <w:highlight w:val="none"/>
          <w:u w:val="dotted"/>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16510</wp:posOffset>
                </wp:positionV>
                <wp:extent cx="800100" cy="495300"/>
                <wp:effectExtent l="0" t="0" r="0" b="0"/>
                <wp:wrapNone/>
                <wp:docPr id="162" name="文本框 16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wps:spPr>
                      <wps:txbx>
                        <w:txbxContent>
                          <w:p>
                            <w:pPr>
                              <w:rPr>
                                <w:rFonts w:ascii="Calibri" w:hAnsi="Calibri" w:cs="Times New Roman"/>
                                <w:color w:val="FF0000"/>
                                <w:szCs w:val="21"/>
                              </w:rPr>
                            </w:pPr>
                            <w:r>
                              <w:rPr>
                                <w:rFonts w:hint="eastAsia" w:ascii="楷体_GB2312" w:hAnsi="宋体" w:eastAsia="楷体_GB2312" w:cs="楷体_GB2312"/>
                                <w:b/>
                                <w:bCs/>
                                <w:sz w:val="18"/>
                                <w:szCs w:val="18"/>
                              </w:rPr>
                              <w:t>监理人的质量检查和检验</w:t>
                            </w:r>
                          </w:p>
                        </w:txbxContent>
                      </wps:txbx>
                      <wps:bodyPr wrap="square" upright="1"/>
                    </wps:wsp>
                  </a:graphicData>
                </a:graphic>
              </wp:anchor>
            </w:drawing>
          </mc:Choice>
          <mc:Fallback>
            <w:pict>
              <v:shape id="文本框 164" o:spid="_x0000_s1026" o:spt="202" type="#_x0000_t202" style="position:absolute;left:0pt;margin-left:-9pt;margin-top:1.3pt;height:39pt;width:63pt;z-index:251826176;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JGxBNQAAAAIAQAADwAAAAAAAAABACAAAAAiAAAAZHJzL2Rvd25yZXYueG1sUEsBAhQAFAAAAAgA&#10;h07iQO9ptiu3AQAAXwMAAA4AAAAAAAAAAQAgAAAAIwEAAGRycy9lMm9Eb2MueG1sUEsFBgAAAAAG&#10;AAYAWQEAAEwFAAAAAA==&#10;">
                <v:fill on="f" focussize="0,0"/>
                <v:stroke on="f"/>
                <v:imagedata o:title=""/>
                <o:lock v:ext="edit" aspectratio="f"/>
                <v:textbox>
                  <w:txbxContent>
                    <w:p>
                      <w:pPr>
                        <w:rPr>
                          <w:rFonts w:ascii="Calibri" w:hAnsi="Calibri" w:cs="Times New Roman"/>
                          <w:color w:val="FF0000"/>
                          <w:szCs w:val="21"/>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86" w:name="_Toc469384025"/>
      <w:bookmarkStart w:id="487" w:name="_Toc10624865"/>
      <w:r>
        <w:rPr>
          <w:rFonts w:hint="eastAsia" w:ascii="黑体" w:hAnsi="黑体" w:eastAsia="黑体" w:cs="黑体"/>
          <w:b w:val="0"/>
          <w:bCs/>
          <w:color w:val="auto"/>
          <w:kern w:val="0"/>
          <w:sz w:val="24"/>
          <w:szCs w:val="24"/>
          <w:highlight w:val="none"/>
          <w:lang w:val="en-US" w:eastAsia="zh-CN" w:bidi="ar-SA"/>
        </w:rPr>
        <w:t>★42  质量标准</w:t>
      </w:r>
      <w:bookmarkEnd w:id="486"/>
      <w:bookmarkEnd w:id="487"/>
    </w:p>
    <w:p>
      <w:pPr>
        <w:adjustRightInd w:val="0"/>
        <w:snapToGrid w:val="0"/>
        <w:spacing w:line="420" w:lineRule="exact"/>
        <w:jc w:val="lef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42.1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163" name="文本框 165"/>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wps:txbx>
                      <wps:bodyPr wrap="square" upright="1"/>
                    </wps:wsp>
                  </a:graphicData>
                </a:graphic>
              </wp:anchor>
            </w:drawing>
          </mc:Choice>
          <mc:Fallback>
            <w:pict>
              <v:shape id="文本框 165" o:spid="_x0000_s1026" o:spt="202" type="#_x0000_t202" style="position:absolute;left:0pt;margin-left:-9pt;margin-top:0.65pt;height:30.7pt;width:72pt;z-index:251827200;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CMD/PVAAAACAEAAA8AAAAAAAAAAQAgAAAAIgAAAGRycy9kb3ducmV2LnhtbFBLAQIUABQA&#10;AAAIAIdO4kA8GHXrugEAAF8DAAAOAAAAAAAAAAEAIAAAACQBAABkcnMvZTJvRG9jLnhtbFBLBQYA&#10;AAAABgAGAFkBAABQBQ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合同双方当事人应在专用条款中约定工程质量标准，但不得低于国家或行业的强制性标准。工程质量应当达到专用条款约定的质量标准。</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工程质量验收，按照合同约定的标准执行；合同没有约定的，按照国家或行业的质量验收标准执行。</w:t>
      </w:r>
    </w:p>
    <w:p>
      <w:pPr>
        <w:adjustRightInd w:val="0"/>
        <w:snapToGrid w:val="0"/>
        <w:spacing w:line="42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164" name="文本框 166"/>
                <wp:cNvGraphicFramePr/>
                <a:graphic xmlns:a="http://schemas.openxmlformats.org/drawingml/2006/main">
                  <a:graphicData uri="http://schemas.microsoft.com/office/word/2010/wordprocessingShape">
                    <wps:wsp>
                      <wps:cNvSpPr txBox="1"/>
                      <wps:spPr>
                        <a:xfrm>
                          <a:off x="0" y="0"/>
                          <a:ext cx="977900" cy="471805"/>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wps:txbx>
                      <wps:bodyPr wrap="square" upright="1"/>
                    </wps:wsp>
                  </a:graphicData>
                </a:graphic>
              </wp:anchor>
            </w:drawing>
          </mc:Choice>
          <mc:Fallback>
            <w:pict>
              <v:shape id="文本框 166" o:spid="_x0000_s1026" o:spt="202" type="#_x0000_t202" style="position:absolute;left:0pt;margin-left:-9pt;margin-top:20.2pt;height:37.15pt;width:77pt;z-index:251828224;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n1YIv1wAAAAoBAAAPAAAAAAAAAAEAIAAAACIAAABkcnMvZG93bnJldi54bWxQSwECFAAU&#10;AAAACACHTuJAhP8lnrkBAABfAwAADgAAAAAAAAABACAAAAAmAQAAZHJzL2Uyb0RvYy54bWxQSwUG&#10;AAAAAAYABgBZAQAAUQU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hint="eastAsia" w:ascii="宋体" w:hAnsi="宋体" w:cs="宋体"/>
          <w:b/>
          <w:bCs/>
          <w:color w:val="auto"/>
          <w:sz w:val="22"/>
          <w:szCs w:val="22"/>
          <w:highlight w:val="none"/>
        </w:rPr>
        <w:t>42.2</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承包人对合同工程的质量向发包人负责，其职责包括但不限于下列内容：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（1）编制施工技术方案，确定施工技术措施；</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（2）提供和组织足够的工程技术人员，检查和控制工程施工质量；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（3）控制施工所用的材料和工程设备，使其符合标准与规范、设计要求及合同约定的标准；</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（4）负责合同工程施工中出现质量问题或竣工验收不合格的返修工作；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（5）参加合同工程的所有验收工作，包括隐蔽验收、中间验收；参加竣工验收，组织分包人参加工程验收工作；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（6）承担质量保修期的工程保修责任；</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（7）承担其他工程质量责任。</w:t>
      </w:r>
    </w:p>
    <w:p>
      <w:pPr>
        <w:adjustRightInd w:val="0"/>
        <w:snapToGrid w:val="0"/>
        <w:spacing w:line="420" w:lineRule="exact"/>
        <w:jc w:val="lef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165" name="文本框 167"/>
                <wp:cNvGraphicFramePr/>
                <a:graphic xmlns:a="http://schemas.openxmlformats.org/drawingml/2006/main">
                  <a:graphicData uri="http://schemas.microsoft.com/office/word/2010/wordprocessingShape">
                    <wps:wsp>
                      <wps:cNvSpPr txBox="1"/>
                      <wps:spPr>
                        <a:xfrm>
                          <a:off x="0" y="0"/>
                          <a:ext cx="1028700" cy="245745"/>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wps:txbx>
                      <wps:bodyPr wrap="square" upright="1"/>
                    </wps:wsp>
                  </a:graphicData>
                </a:graphic>
              </wp:anchor>
            </w:drawing>
          </mc:Choice>
          <mc:Fallback>
            <w:pict>
              <v:shape id="文本框 167" o:spid="_x0000_s1026" o:spt="202" type="#_x0000_t202" style="position:absolute;left:0pt;margin-left:-9pt;margin-top:22.95pt;height:19.35pt;width:81pt;z-index:251829248;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LMCsPWAAAACQEAAA8AAAAAAAAAAQAgAAAAIgAAAGRycy9kb3ducmV2LnhtbFBLAQIUABQA&#10;AAAIAIdO4kC4MZVkuQEAAGADAAAOAAAAAAAAAAEAIAAAACUBAABkcnMvZTJvRG9jLnhtbFBLBQYA&#10;AAAABgAGAFkBAABQBQ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宋体" w:hAnsi="宋体" w:cs="宋体"/>
          <w:b/>
          <w:bCs/>
          <w:color w:val="auto"/>
          <w:sz w:val="22"/>
          <w:szCs w:val="22"/>
          <w:highlight w:val="none"/>
        </w:rPr>
        <w:t xml:space="preserve">42.3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承包人应建立健全完善的质量保证体系。</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（1）承包人应向发包人和监理人提交工程质量保证体系及措施文件，建立完善的质量检查制度，并提交相应的工程质量文件。对于发包人和监理人违反法律规定和合同约定的错误指示，承包人有权拒绝实施。</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pPr>
        <w:adjustRightInd w:val="0"/>
        <w:snapToGrid w:val="0"/>
        <w:spacing w:line="420" w:lineRule="exact"/>
        <w:jc w:val="lef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166" name="文本框 168"/>
                <wp:cNvGraphicFramePr/>
                <a:graphic xmlns:a="http://schemas.openxmlformats.org/drawingml/2006/main">
                  <a:graphicData uri="http://schemas.microsoft.com/office/word/2010/wordprocessingShape">
                    <wps:wsp>
                      <wps:cNvSpPr txBox="1"/>
                      <wps:spPr>
                        <a:xfrm>
                          <a:off x="0" y="0"/>
                          <a:ext cx="967740" cy="44958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wrap="square" upright="1"/>
                    </wps:wsp>
                  </a:graphicData>
                </a:graphic>
              </wp:anchor>
            </w:drawing>
          </mc:Choice>
          <mc:Fallback>
            <w:pict>
              <v:shape id="文本框 168" o:spid="_x0000_s1026" o:spt="202" type="#_x0000_t202" style="position:absolute;left:0pt;margin-left:-9pt;margin-top:21.75pt;height:35.4pt;width:76.2pt;z-index:251830272;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GJKsvYAAAACgEAAA8AAAAAAAAAAQAgAAAAIgAAAGRycy9kb3ducmV2LnhtbFBLAQIU&#10;ABQAAAAIAIdO4kARusFBugEAAF8DAAAOAAAAAAAAAAEAIAAAACcBAABkcnMvZTJvRG9jLnhtbFBL&#10;BQYAAAAABgAGAFkBAABTBQ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宋体" w:hAnsi="宋体" w:cs="宋体"/>
          <w:b/>
          <w:bCs/>
          <w:color w:val="auto"/>
          <w:sz w:val="22"/>
          <w:szCs w:val="22"/>
          <w:highlight w:val="none"/>
        </w:rPr>
        <w:t xml:space="preserve">42.4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合同双方当事人对工程质量有争议的，按照第86.4款规定调解或认定，所需的费用及由此造成的损失，由责任方承担。双方均有责任的，由双方根据其责任划分分别承担。</w:t>
      </w:r>
    </w:p>
    <w:p>
      <w:pPr>
        <w:tabs>
          <w:tab w:val="left" w:pos="1620"/>
        </w:tabs>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88" w:name="_Toc469384026"/>
      <w:bookmarkStart w:id="489" w:name="_Toc10624866"/>
      <w:r>
        <w:rPr>
          <w:rFonts w:hint="eastAsia" w:ascii="黑体" w:hAnsi="黑体" w:eastAsia="黑体" w:cs="黑体"/>
          <w:b w:val="0"/>
          <w:bCs/>
          <w:color w:val="auto"/>
          <w:kern w:val="0"/>
          <w:sz w:val="24"/>
          <w:szCs w:val="24"/>
          <w:highlight w:val="none"/>
          <w:lang w:val="en-US" w:eastAsia="zh-CN" w:bidi="ar-SA"/>
        </w:rPr>
        <w:t>★43  工程质量创优</w:t>
      </w:r>
      <w:bookmarkEnd w:id="488"/>
      <w:bookmarkEnd w:id="489"/>
    </w:p>
    <w:p>
      <w:pPr>
        <w:spacing w:line="420" w:lineRule="exact"/>
        <w:rPr>
          <w:rFonts w:ascii="宋体" w:hAnsi="宋体" w:cs="宋体"/>
          <w:b/>
          <w:bCs/>
          <w:caps/>
          <w:color w:val="auto"/>
          <w:sz w:val="22"/>
          <w:szCs w:val="22"/>
          <w:highlight w:val="none"/>
        </w:rPr>
      </w:pPr>
      <w:r>
        <w:rPr>
          <w:rFonts w:hint="eastAsia" w:ascii="宋体" w:hAnsi="宋体" w:cs="宋体"/>
          <w:b/>
          <w:bCs/>
          <w:caps/>
          <w:color w:val="auto"/>
          <w:sz w:val="22"/>
          <w:szCs w:val="22"/>
          <w:highlight w:val="none"/>
        </w:rPr>
        <w:t>43.1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167" name="文本框 16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wrap="square" upright="1"/>
                    </wps:wsp>
                  </a:graphicData>
                </a:graphic>
              </wp:anchor>
            </w:drawing>
          </mc:Choice>
          <mc:Fallback>
            <w:pict>
              <v:shape id="文本框 169" o:spid="_x0000_s1026" o:spt="202" type="#_x0000_t202" style="position:absolute;left:0pt;margin-left:-9pt;margin-top:3pt;height:39pt;width:72pt;z-index:251831296;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fhA++1QAAAAgBAAAPAAAAAAAAAAEAIAAAACIAAABkcnMvZG93bnJldi54bWxQSwECFAAUAAAA&#10;CACHTuJAXtqMXrgBAABfAwAADgAAAAAAAAABACAAAAAkAQAAZHJzL2Uyb0RvYy54bWxQSwUGAAAA&#10;AAYABgBZAQAATgU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发包人应配合承包人加强合同工程质量与施工安全管理，鼓励承包人实施合同工程质量创优。对于合同工程质量标准高于国家规定或合同约定的质量验收合格标准的，应按照第67条规定向承包人支付工程优质费。</w:t>
      </w:r>
    </w:p>
    <w:p>
      <w:pPr>
        <w:spacing w:line="420" w:lineRule="exact"/>
        <w:rPr>
          <w:rFonts w:ascii="宋体" w:hAnsi="宋体" w:cs="宋体"/>
          <w:b/>
          <w:bCs/>
          <w:caps/>
          <w:color w:val="auto"/>
          <w:sz w:val="22"/>
          <w:szCs w:val="22"/>
          <w:highlight w:val="none"/>
        </w:rPr>
      </w:pPr>
      <w:r>
        <w:rPr>
          <w:rFonts w:hint="eastAsia" w:ascii="宋体" w:hAnsi="宋体" w:cs="宋体"/>
          <w:b/>
          <w:bCs/>
          <w:color w:val="auto"/>
          <w:sz w:val="22"/>
          <w:szCs w:val="22"/>
          <w:highlight w:val="none"/>
        </w:rPr>
        <w:t xml:space="preserve">43.2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168" name="文本框 17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wrap="square" upright="1"/>
                    </wps:wsp>
                  </a:graphicData>
                </a:graphic>
              </wp:anchor>
            </w:drawing>
          </mc:Choice>
          <mc:Fallback>
            <w:pict>
              <v:shape id="文本框 170" o:spid="_x0000_s1026" o:spt="202" type="#_x0000_t202" style="position:absolute;left:0pt;margin-left:-9pt;margin-top:13.45pt;height:39pt;width:72pt;z-index:251832320;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HDXzdcAAAAKAQAADwAAAAAAAAABACAAAAAiAAAAZHJzL2Rvd25yZXYueG1sUEsBAhQAFAAA&#10;AAgAh07iQKtYkXO3AQAAXwMAAA4AAAAAAAAAAQAgAAAAJgEAAGRycy9lMm9Eb2MueG1sUEsFBgAA&#10;AAAGAAYAWQEAAE8FA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承包人应采取有效措施确保合同工程质量与施工安全，在保证工程质量、施工安全达到国家或行业的强制性标准的前提下，提高工程质量与施工安全管理水平，争取合同工程质量创优。</w:t>
      </w:r>
    </w:p>
    <w:p>
      <w:pPr>
        <w:tabs>
          <w:tab w:val="left" w:pos="1620"/>
        </w:tabs>
        <w:spacing w:line="420" w:lineRule="exact"/>
        <w:rPr>
          <w:rFonts w:ascii="宋体" w:hAnsi="宋体" w:cs="宋体"/>
          <w:b/>
          <w:bCs/>
          <w:color w:val="auto"/>
          <w:sz w:val="22"/>
          <w:szCs w:val="22"/>
          <w:highlight w:val="none"/>
          <w:u w:val="single"/>
        </w:rPr>
      </w:pPr>
      <w:r>
        <w:rPr>
          <w:rFonts w:hint="eastAsia" w:ascii="宋体" w:hAnsi="宋体" w:cs="宋体"/>
          <w:b/>
          <w:bCs/>
          <w:cap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90" w:name="_Toc10624867"/>
      <w:bookmarkStart w:id="491" w:name="_Toc469384027"/>
      <w:r>
        <w:rPr>
          <w:rFonts w:hint="eastAsia" w:ascii="黑体" w:hAnsi="黑体" w:eastAsia="黑体" w:cs="黑体"/>
          <w:b w:val="0"/>
          <w:bCs/>
          <w:color w:val="auto"/>
          <w:kern w:val="0"/>
          <w:sz w:val="24"/>
          <w:szCs w:val="24"/>
          <w:highlight w:val="none"/>
          <w:lang w:val="en-US" w:eastAsia="zh-CN" w:bidi="ar-SA"/>
        </w:rPr>
        <w:t>44  工程的照管</w:t>
      </w:r>
      <w:bookmarkEnd w:id="490"/>
      <w:bookmarkEnd w:id="491"/>
    </w:p>
    <w:p>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169" name="文本框 171"/>
                <wp:cNvGraphicFramePr/>
                <a:graphic xmlns:a="http://schemas.openxmlformats.org/drawingml/2006/main">
                  <a:graphicData uri="http://schemas.microsoft.com/office/word/2010/wordprocessingShape">
                    <wps:wsp>
                      <wps:cNvSpPr txBox="1"/>
                      <wps:spPr>
                        <a:xfrm>
                          <a:off x="0" y="0"/>
                          <a:ext cx="800100" cy="25654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wps:txbx>
                      <wps:bodyPr wrap="square" upright="1"/>
                    </wps:wsp>
                  </a:graphicData>
                </a:graphic>
              </wp:anchor>
            </w:drawing>
          </mc:Choice>
          <mc:Fallback>
            <w:pict>
              <v:shape id="文本框 171" o:spid="_x0000_s1026" o:spt="202" type="#_x0000_t202" style="position:absolute;left:0pt;margin-left:-9pt;margin-top:20.8pt;height:20.2pt;width:63pt;z-index:251833344;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eCgxNUAAAAJAQAADwAAAAAAAAABACAAAAAiAAAAZHJzL2Rvd25yZXYueG1sUEsBAhQAFAAA&#10;AAgAh07iQMN8ubG5AQAAXwMAAA4AAAAAAAAAAQAgAAAAJAEAAGRycy9lMm9Eb2MueG1sUEsFBgAA&#10;AAAGAAYAWQEAAE8FA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宋体" w:hAnsi="宋体" w:cs="宋体"/>
          <w:b/>
          <w:bCs/>
          <w:color w:val="auto"/>
          <w:sz w:val="22"/>
          <w:szCs w:val="22"/>
          <w:highlight w:val="none"/>
        </w:rPr>
        <w:t xml:space="preserve">44.1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从开工之日起，承包人应全面负责照管合同工程及运至现场将用于和安装在合同工程中的材料和工程设备，直到合同双方当事人确认工程移交之日止。此后，工程的照管即转由发包人负责。</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pPr>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170" name="文本框 172"/>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wps:txbx>
                      <wps:bodyPr wrap="square" upright="1"/>
                    </wps:wsp>
                  </a:graphicData>
                </a:graphic>
              </wp:anchor>
            </w:drawing>
          </mc:Choice>
          <mc:Fallback>
            <w:pict>
              <v:shape id="文本框 172" o:spid="_x0000_s1026" o:spt="202" type="#_x0000_t202" style="position:absolute;left:0pt;margin-left:-9pt;margin-top:21.8pt;height:56.55pt;width:72pt;z-index:251834368;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AbKxc2AAAAAoBAAAPAAAAAAAAAAEAIAAAACIAAABkcnMvZG93bnJldi54bWxQSwECFAAU&#10;AAAACACHTuJAljoQF7gBAABfAwAADgAAAAAAAAABACAAAAAnAQAAZHJzL2Uyb0RvYy54bWxQSwUG&#10;AAAAAAYABgBZAQAAUQU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hint="eastAsia" w:ascii="宋体" w:hAnsi="宋体" w:cs="宋体"/>
          <w:b/>
          <w:bCs/>
          <w:color w:val="auto"/>
          <w:sz w:val="22"/>
          <w:szCs w:val="22"/>
          <w:highlight w:val="none"/>
        </w:rPr>
        <w:t>44.2</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承包人在负责工程照管期间，如因自身原因造成合同工程或其任何部分，以及材料和工程设备或临时工程的损坏，承包人应自费修复上述损坏，保证合同工程质量达到合同约定的标准。</w:t>
      </w:r>
    </w:p>
    <w:p>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92" w:name="_Toc469384028"/>
      <w:bookmarkStart w:id="493" w:name="_Toc10624868"/>
      <w:r>
        <w:rPr>
          <w:rFonts w:hint="eastAsia" w:ascii="黑体" w:hAnsi="黑体" w:eastAsia="黑体" w:cs="黑体"/>
          <w:b w:val="0"/>
          <w:bCs/>
          <w:color w:val="auto"/>
          <w:kern w:val="0"/>
          <w:sz w:val="24"/>
          <w:szCs w:val="24"/>
          <w:highlight w:val="none"/>
          <w:lang w:val="en-US" w:eastAsia="zh-CN" w:bidi="ar-SA"/>
        </w:rPr>
        <w:t xml:space="preserve">★45  </w:t>
      </w:r>
      <w:bookmarkEnd w:id="492"/>
      <w:r>
        <w:rPr>
          <w:rFonts w:hint="eastAsia" w:ascii="黑体" w:hAnsi="黑体" w:eastAsia="黑体" w:cs="黑体"/>
          <w:b w:val="0"/>
          <w:bCs/>
          <w:color w:val="auto"/>
          <w:kern w:val="0"/>
          <w:sz w:val="24"/>
          <w:szCs w:val="24"/>
          <w:highlight w:val="none"/>
          <w:lang w:val="en-US" w:eastAsia="zh-CN" w:bidi="ar-SA"/>
        </w:rPr>
        <w:t>绿色施工安全防护</w:t>
      </w:r>
      <w:bookmarkEnd w:id="493"/>
    </w:p>
    <w:p>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171" name="文本框 173"/>
                <wp:cNvGraphicFramePr/>
                <a:graphic xmlns:a="http://schemas.openxmlformats.org/drawingml/2006/main">
                  <a:graphicData uri="http://schemas.microsoft.com/office/word/2010/wordprocessingShape">
                    <wps:wsp>
                      <wps:cNvSpPr txBox="1"/>
                      <wps:spPr>
                        <a:xfrm>
                          <a:off x="0" y="0"/>
                          <a:ext cx="977900" cy="688975"/>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wps:txbx>
                      <wps:bodyPr wrap="square" upright="1"/>
                    </wps:wsp>
                  </a:graphicData>
                </a:graphic>
              </wp:anchor>
            </w:drawing>
          </mc:Choice>
          <mc:Fallback>
            <w:pict>
              <v:shape id="文本框 173" o:spid="_x0000_s1026" o:spt="202" type="#_x0000_t202" style="position:absolute;left:0pt;margin-left:-9pt;margin-top:17.6pt;height:54.25pt;width:77pt;z-index:251835392;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r7RE9gAAAAKAQAADwAAAAAAAAABACAAAAAiAAAAZHJzL2Rvd25yZXYueG1sUEsBAhQA&#10;FAAAAAgAh07iQH0fC6W5AQAAXwMAAA4AAAAAAAAAAQAgAAAAJwEAAGRycy9lMm9Eb2MueG1sUEsF&#10;BgAAAAAGAAYAWQEAAFIFA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hint="eastAsia" w:ascii="宋体" w:hAnsi="宋体" w:cs="宋体"/>
          <w:b/>
          <w:bCs/>
          <w:color w:val="auto"/>
          <w:sz w:val="22"/>
          <w:szCs w:val="22"/>
          <w:highlight w:val="none"/>
        </w:rPr>
        <w:t xml:space="preserve">45.1 </w:t>
      </w:r>
      <w:r>
        <w:rPr>
          <w:rFonts w:hint="eastAsia" w:ascii="宋体" w:hAnsi="宋体" w:cs="宋体"/>
          <w:b/>
          <w:bCs/>
          <w:color w:val="auto"/>
          <w:sz w:val="22"/>
          <w:szCs w:val="22"/>
          <w:highlight w:val="none"/>
        </w:rPr>
        <w:tab/>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在施工过程中，如遇到突发的地质变动、事先未知的地下施工障碍等影响施工安全的紧急情况，承包人应及时报告监理人和发包人，发包人应当及时下令停工并报政府有关行政管理部门采取应急措施。</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发包人应组织承包人和有关单位进行安全检查，授权监理工程师按合同约定的绿色施工安全防护内容监督、检查承包人实施绿色施工安全防护，并按照第 80 条规定及时向承包人支付绿色施工安全防护费。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pPr>
        <w:adjustRightInd w:val="0"/>
        <w:snapToGrid w:val="0"/>
        <w:spacing w:line="420" w:lineRule="exact"/>
        <w:ind w:left="1539" w:hanging="1539" w:hangingChars="697"/>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45.2  </w:t>
      </w:r>
      <w:r>
        <w:rPr>
          <w:rFonts w:hint="eastAsia" w:ascii="宋体" w:hAnsi="宋体" w:cs="宋体"/>
          <w:b/>
          <w:bCs/>
          <w:color w:val="auto"/>
          <w:sz w:val="22"/>
          <w:szCs w:val="22"/>
          <w:highlight w:val="none"/>
          <w:u w:val="dotted"/>
        </w:rPr>
        <w:t xml:space="preserve">                                                                               </w:t>
      </w:r>
    </w:p>
    <w:p>
      <w:pPr>
        <w:adjustRightInd w:val="0"/>
        <w:snapToGrid w:val="0"/>
        <w:spacing w:line="420" w:lineRule="exact"/>
        <w:ind w:left="1539" w:hanging="1539" w:hangingChars="697"/>
        <w:rPr>
          <w:rFonts w:ascii="宋体" w:hAnsi="宋体" w:cs="宋体"/>
          <w:b/>
          <w:bCs/>
          <w:color w:val="auto"/>
          <w:sz w:val="22"/>
          <w:szCs w:val="22"/>
          <w:highlight w:val="none"/>
        </w:rPr>
      </w:pP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房屋建筑和市政基础设施工程应按国家、省、市住房城乡建设主管部门发布的有关用工实名制、工人工资支付分账管理办法、规定等文件要求实施用工实名制、工人工资支付分账。</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84224" behindDoc="0" locked="0" layoutInCell="1" allowOverlap="1">
                <wp:simplePos x="0" y="0"/>
                <wp:positionH relativeFrom="column">
                  <wp:posOffset>-114300</wp:posOffset>
                </wp:positionH>
                <wp:positionV relativeFrom="paragraph">
                  <wp:posOffset>1270</wp:posOffset>
                </wp:positionV>
                <wp:extent cx="977900" cy="607060"/>
                <wp:effectExtent l="0" t="0" r="0" b="0"/>
                <wp:wrapNone/>
                <wp:docPr id="414" name="文本框 174"/>
                <wp:cNvGraphicFramePr/>
                <a:graphic xmlns:a="http://schemas.openxmlformats.org/drawingml/2006/main">
                  <a:graphicData uri="http://schemas.microsoft.com/office/word/2010/wordprocessingShape">
                    <wps:wsp>
                      <wps:cNvSpPr txBox="1"/>
                      <wps:spPr>
                        <a:xfrm>
                          <a:off x="0" y="0"/>
                          <a:ext cx="977900" cy="60706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wrap="square" upright="1"/>
                    </wps:wsp>
                  </a:graphicData>
                </a:graphic>
              </wp:anchor>
            </w:drawing>
          </mc:Choice>
          <mc:Fallback>
            <w:pict>
              <v:shape id="文本框 174" o:spid="_x0000_s1026" o:spt="202" type="#_x0000_t202" style="position:absolute;left:0pt;margin-left:-9pt;margin-top:0.1pt;height:47.8pt;width:77pt;z-index:252084224;mso-width-relative:page;mso-height-relative:page;" filled="f" stroked="f" coordsize="21600,21600" o:gfxdata="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faILDVAAAABwEAAA8AAAAAAAAAAQAgAAAAIgAAAGRycy9kb3ducmV2LnhtbFBLAQIUABQA&#10;AAAIAIdO4kCtCiyzugEAAF8DAAAOAAAAAAAAAAEAIAAAACQBAABkcnMvZTJvRG9jLnhtbFBLBQYA&#10;AAAABgAGAFkBAABQ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建设单位负责协调、监督项目各参建单位按规定落实实名管理，在工程安全文明措施费中明确列支实名管理所需的费用；负责监督施工总承包单位的工人工资支付情况，协调建设项目的工人工资支付事宜。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建筑施工实名制以建设项目为管理单位。施工总承包企业对实名制管理负总责；专业承包企业和劳务分包企业按照合同约定，对本企业施工范围的实名制管理负责。建设单位、施工总承包企业、专业承包企业和劳务分包企业存在违反有关文件规定情形的，需承担相应的责任。</w:t>
      </w:r>
    </w:p>
    <w:p>
      <w:pPr>
        <w:adjustRightInd w:val="0"/>
        <w:snapToGrid w:val="0"/>
        <w:spacing w:line="420" w:lineRule="exact"/>
        <w:ind w:left="1539" w:hanging="1539" w:hangingChars="697"/>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45.3  </w:t>
      </w:r>
      <w:r>
        <w:rPr>
          <w:rFonts w:hint="eastAsia" w:ascii="宋体" w:hAnsi="宋体" w:cs="宋体"/>
          <w:b/>
          <w:bCs/>
          <w:color w:val="auto"/>
          <w:sz w:val="22"/>
          <w:szCs w:val="22"/>
          <w:highlight w:val="none"/>
          <w:u w:val="dotted"/>
        </w:rPr>
        <w:t xml:space="preserve">                                                                               </w:t>
      </w:r>
    </w:p>
    <w:p>
      <w:pPr>
        <w:adjustRightInd w:val="0"/>
        <w:snapToGrid w:val="0"/>
        <w:spacing w:line="420" w:lineRule="exact"/>
        <w:ind w:left="1539" w:hanging="1539" w:hangingChars="697"/>
        <w:rPr>
          <w:rFonts w:ascii="宋体" w:hAnsi="宋体" w:cs="宋体"/>
          <w:b/>
          <w:bCs/>
          <w:color w:val="auto"/>
          <w:sz w:val="22"/>
          <w:szCs w:val="22"/>
          <w:highlight w:val="none"/>
        </w:rPr>
      </w:pP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172" name="文本框 175"/>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wps:txbx>
                      <wps:bodyPr wrap="square" upright="1"/>
                    </wps:wsp>
                  </a:graphicData>
                </a:graphic>
              </wp:anchor>
            </w:drawing>
          </mc:Choice>
          <mc:Fallback>
            <w:pict>
              <v:shape id="文本框 175" o:spid="_x0000_s1026" o:spt="202" type="#_x0000_t202" style="position:absolute;left:0pt;margin-left:-9pt;margin-top:0.1pt;height:31.2pt;width:77pt;z-index:251836416;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s5QyJ1AAAAAcBAAAPAAAAAAAAAAEAIAAAACIAAABkcnMvZG93bnJldi54bWxQSwECFAAUAAAA&#10;CACHTuJAfTbT/LkBAABfAwAADgAAAAAAAAABACAAAAAjAQAAZHJzL2Uyb0RvYy54bWxQSwUGAAAA&#10;AAYABgBZAQAATg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在合同工程实施、完成及保修期间，发包人承担下列责任：</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（1）发包人应配合承包人做好绿色施工安全防护工作，定期对其现场机构雇佣的全部人员进行绿色施工安全防护教育和培训。</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（2）发包人应对其现场机构雇佣的全部人员的安全事故承担责任，但由于承包人原因造成发包人人员安全事故的，应由承包人承担责任。</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（3）发包人有下列行为之一或由于发包人原因造成安全事故的，由发包人承担责任，由此增加的费用和延误的工期由发包人承担。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1）要求承包人违反绿色施工安全防护操作规程施工的；</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2）对承包人提出不符合国家、省有关安绿色施工安全防护全文明施工法律和强制性标准规定要求的；</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3）明示或暗示承包人购买、租赁、使用不符合安全施工要求的安全防护用具、机械设备、施工机具及配件、消防设施和器材的。</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（4）发包人应负责赔偿下列情形造成的第三者人身伤亡和财产损失。</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1）工程或工程的任何部分对土地的占用所造成的第三者财产损失；</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2）由于发包人原因在施工场地及其毗邻造成的第三者人身伤亡和财产损失。</w:t>
      </w:r>
    </w:p>
    <w:p>
      <w:pPr>
        <w:adjustRightInd w:val="0"/>
        <w:snapToGrid w:val="0"/>
        <w:spacing w:line="420" w:lineRule="exact"/>
        <w:rPr>
          <w:rFonts w:ascii="宋体" w:hAnsi="宋体" w:cs="宋体"/>
          <w:color w:val="auto"/>
          <w:sz w:val="22"/>
          <w:szCs w:val="22"/>
          <w:highlight w:val="none"/>
          <w:u w:val="dotted"/>
        </w:rPr>
      </w:pPr>
      <w:r>
        <w:rPr>
          <w:rFonts w:hint="eastAsia" w:ascii="宋体" w:hAnsi="宋体" w:cs="宋体"/>
          <w:b/>
          <w:bCs/>
          <w:color w:val="auto"/>
          <w:sz w:val="22"/>
          <w:szCs w:val="22"/>
          <w:highlight w:val="none"/>
        </w:rPr>
        <w:t xml:space="preserve">45.4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173" name="文本框 176"/>
                <wp:cNvGraphicFramePr/>
                <a:graphic xmlns:a="http://schemas.openxmlformats.org/drawingml/2006/main">
                  <a:graphicData uri="http://schemas.microsoft.com/office/word/2010/wordprocessingShape">
                    <wps:wsp>
                      <wps:cNvSpPr txBox="1"/>
                      <wps:spPr>
                        <a:xfrm>
                          <a:off x="0" y="0"/>
                          <a:ext cx="1028700" cy="56705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wps:txbx>
                      <wps:bodyPr wrap="square" upright="1"/>
                    </wps:wsp>
                  </a:graphicData>
                </a:graphic>
              </wp:anchor>
            </w:drawing>
          </mc:Choice>
          <mc:Fallback>
            <w:pict>
              <v:shape id="文本框 176" o:spid="_x0000_s1026" o:spt="202" type="#_x0000_t202" style="position:absolute;left:0pt;margin-left:-9pt;margin-top:15.6pt;height:44.65pt;width:81pt;z-index:251837440;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gFmwW2AAAAAoBAAAPAAAAAAAAAAEAIAAAACIAAABkcnMvZG93bnJldi54bWxQSwECFAAU&#10;AAAACACHTuJAMVj63rgBAABgAwAADgAAAAAAAAABACAAAAAnAQAAZHJzL2Uyb0RvYy54bWxQSwUG&#10;AAAAAAYABgBZAQAAU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在合同工程实施、完成及保修期间，承包人承担下列责任：</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（1）承包人应严格按照国家、省、市有关绿色施工安全防护的标准、内容与规范制定绿色施工安全防护操作规程，配备必要的安全生产和劳动保护设施，加强对承包人人员的施工安全教育和培训。</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（2）承包人应对合同工程的绿色施工安全防护负责，采取有效的安全措施消除安全事故隐患，并接受和配合依法实施的监督检查。</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（4）承包人应按监理工程师的指令制定应对灾害的紧急预案，并按预案做好安全检查，配置必要的救助物资和器材，切实保护好有关人员的人身和财产安全。</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（5）承包人违反本条规定或由于承包人原因造成安全事故的，由承包人承担责任，由此增加的费用和延误的工期由承包人承担。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（6）承包人应对其履行合同所雇佣的全部人员，包括分包人人员的安全事故承担责任，但由于发包人原因造成承包人人员安全事故的，应由发包人承担责任。</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（7）由于承包人原因在施工场地内及其毗邻造成的第三者人身伤亡和财产损失，由承包人负责赔偿。</w:t>
      </w:r>
    </w:p>
    <w:p>
      <w:pPr>
        <w:adjustRightInd w:val="0"/>
        <w:snapToGrid w:val="0"/>
        <w:spacing w:line="420" w:lineRule="exact"/>
        <w:rPr>
          <w:rFonts w:ascii="宋体" w:hAnsi="宋体" w:cs="宋体"/>
          <w:color w:val="auto"/>
          <w:sz w:val="22"/>
          <w:szCs w:val="22"/>
          <w:highlight w:val="none"/>
          <w:u w:val="dotted"/>
        </w:rPr>
      </w:pPr>
      <w:r>
        <w:rPr>
          <w:rFonts w:hint="eastAsia" w:ascii="宋体" w:hAnsi="宋体" w:cs="宋体"/>
          <w:b/>
          <w:bCs/>
          <w:color w:val="auto"/>
          <w:sz w:val="22"/>
          <w:szCs w:val="22"/>
          <w:highlight w:val="none"/>
        </w:rPr>
        <w:t xml:space="preserve">45.5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219710</wp:posOffset>
                </wp:positionV>
                <wp:extent cx="954405" cy="479425"/>
                <wp:effectExtent l="0" t="0" r="0" b="0"/>
                <wp:wrapNone/>
                <wp:docPr id="174" name="文本框 177"/>
                <wp:cNvGraphicFramePr/>
                <a:graphic xmlns:a="http://schemas.openxmlformats.org/drawingml/2006/main">
                  <a:graphicData uri="http://schemas.microsoft.com/office/word/2010/wordprocessingShape">
                    <wps:wsp>
                      <wps:cNvSpPr txBox="1"/>
                      <wps:spPr>
                        <a:xfrm>
                          <a:off x="0" y="0"/>
                          <a:ext cx="954405" cy="47942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wrap="square" upright="1"/>
                    </wps:wsp>
                  </a:graphicData>
                </a:graphic>
              </wp:anchor>
            </w:drawing>
          </mc:Choice>
          <mc:Fallback>
            <w:pict>
              <v:shape id="文本框 177" o:spid="_x0000_s1026" o:spt="202" type="#_x0000_t202" style="position:absolute;left:0pt;margin-left:-9pt;margin-top:17.3pt;height:37.75pt;width:75.15pt;z-index:251838464;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bHsGtcAAAAKAQAADwAAAAAAAAABACAAAAAiAAAAZHJzL2Rvd25yZXYueG1sUEsBAhQA&#10;FAAAAAgAh07iQAyU/Ga6AQAAXwMAAA4AAAAAAAAAAQAgAAAAJgEAAGRycy9lMm9Eb2MueG1sUEsF&#10;BgAAAAAGAAYAWQEAAFI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48小时内仍未整改的，监理工程师可在报经发包人批准后委托第三方采取措施。该款项经造价工程师核实后，由发包人从应付或将付给承包人的款项中扣除。</w:t>
      </w:r>
    </w:p>
    <w:p>
      <w:pPr>
        <w:adjustRightInd w:val="0"/>
        <w:snapToGrid w:val="0"/>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45.6</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39488"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175" name="文本框 178"/>
                <wp:cNvGraphicFramePr/>
                <a:graphic xmlns:a="http://schemas.openxmlformats.org/drawingml/2006/main">
                  <a:graphicData uri="http://schemas.microsoft.com/office/word/2010/wordprocessingShape">
                    <wps:wsp>
                      <wps:cNvSpPr txBox="1"/>
                      <wps:spPr>
                        <a:xfrm>
                          <a:off x="0" y="0"/>
                          <a:ext cx="800100" cy="72009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wps:txbx>
                      <wps:bodyPr wrap="square" upright="1"/>
                    </wps:wsp>
                  </a:graphicData>
                </a:graphic>
              </wp:anchor>
            </w:drawing>
          </mc:Choice>
          <mc:Fallback>
            <w:pict>
              <v:shape id="文本框 178" o:spid="_x0000_s1026" o:spt="202" type="#_x0000_t202" style="position:absolute;left:0pt;margin-left:-6.6pt;margin-top:0.9pt;height:56.7pt;width:63pt;z-index:251839488;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2BGNHUAAAACQEAAA8AAAAAAAAAAQAgAAAAIgAAAGRycy9kb3ducmV2LnhtbFBLAQIUABQAAAAI&#10;AIdO4kCO2yFJuAEAAF8DAAAOAAAAAAAAAAEAIAAAACMBAABkcnMvZTJvRG9jLnhtbFBLBQYAAAAA&#10;BgAGAFkBAABN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合同双方当事人不仅应协助现场治安管理机构或联防组织维护施工场地的社会治安，而且应做好包括有关人员现场生活、居住场所在内的施工场地内的治安保卫工作。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45.7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40512"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176" name="文本框 179"/>
                <wp:cNvGraphicFramePr/>
                <a:graphic xmlns:a="http://schemas.openxmlformats.org/drawingml/2006/main">
                  <a:graphicData uri="http://schemas.microsoft.com/office/word/2010/wordprocessingShape">
                    <wps:wsp>
                      <wps:cNvSpPr txBox="1"/>
                      <wps:spPr>
                        <a:xfrm>
                          <a:off x="0" y="0"/>
                          <a:ext cx="873760" cy="65087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wps:txbx>
                      <wps:bodyPr wrap="square" upright="1"/>
                    </wps:wsp>
                  </a:graphicData>
                </a:graphic>
              </wp:anchor>
            </w:drawing>
          </mc:Choice>
          <mc:Fallback>
            <w:pict>
              <v:shape id="文本框 179" o:spid="_x0000_s1026" o:spt="202" type="#_x0000_t202" style="position:absolute;left:0pt;margin-left:-5.8pt;margin-top:1.25pt;height:51.25pt;width:68.8pt;z-index:251840512;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vwBm/WAAAACQEAAA8AAAAAAAAAAQAgAAAAIgAAAGRycy9kb3ducmV2LnhtbFBLAQIUABQA&#10;AAAIAIdO4kA7pud9uQEAAF8DAAAOAAAAAAAAAAEAIAAAACUBAABkcnMvZTJvRG9jLnhtbFBLBQYA&#10;AAAABgAGAFkBAABQ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28天内，清理现场，运走全部施工设备、剩余材料和垃圾，保持施工场地和合同工程的清洁整齐。否则，发包人可自行处理或委托第三方处理留下的物品，所得金额在扣除由此发生的费用之后，将余额退还给承包人。</w:t>
      </w:r>
    </w:p>
    <w:p>
      <w:pPr>
        <w:adjustRightInd w:val="0"/>
        <w:snapToGrid w:val="0"/>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 xml:space="preserve">45.8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41536"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177" name="文本框 180"/>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wps:txbx>
                      <wps:bodyPr wrap="square" upright="1"/>
                    </wps:wsp>
                  </a:graphicData>
                </a:graphic>
              </wp:anchor>
            </w:drawing>
          </mc:Choice>
          <mc:Fallback>
            <w:pict>
              <v:shape id="文本框 180" o:spid="_x0000_s1026" o:spt="202" type="#_x0000_t202" style="position:absolute;left:0pt;margin-left:0pt;margin-top:1.35pt;height:46.8pt;width:68.8pt;z-index:251841536;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t6dMNQAAAAFAQAADwAAAAAAAAABACAAAAAiAAAAZHJzL2Rvd25yZXYueG1sUEsBAhQAFAAAAAgA&#10;h07iQCruF2K3AQAAXwMAAA4AAAAAAAAAAQAgAAAAIwEAAGRycy9lMm9Eb2MueG1sUEsFBgAAAAAG&#10;AAYAWQEAAEwFA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发包人应配合承包人加强绿色施工安全防护管理，鼓励承包人实施省、市级或其它级别文明工地。对于工程获得省、市级或其它级别文明工地的，应按照第80条规定向承包人支付文明工地增加费。</w:t>
      </w:r>
    </w:p>
    <w:p>
      <w:pPr>
        <w:adjustRightInd w:val="0"/>
        <w:snapToGrid w:val="0"/>
        <w:spacing w:line="420" w:lineRule="exact"/>
        <w:rPr>
          <w:rFonts w:hint="eastAsia" w:ascii="仿宋_GB2312" w:hAnsi="仿宋_GB2312" w:eastAsia="仿宋_GB2312" w:cs="仿宋_GB2312"/>
          <w:color w:val="auto"/>
          <w:sz w:val="24"/>
          <w:szCs w:val="24"/>
          <w:highlight w:val="none"/>
          <w:lang w:val="en-US" w:eastAsia="zh-CN"/>
        </w:rPr>
      </w:pPr>
      <w:r>
        <w:rPr>
          <w:rFonts w:hint="eastAsia" w:ascii="宋体" w:hAnsi="宋体" w:cs="宋体"/>
          <w:b/>
          <w:bCs/>
          <w:color w:val="auto"/>
          <w:sz w:val="22"/>
          <w:szCs w:val="22"/>
          <w:highlight w:val="none"/>
        </w:rPr>
        <w:t xml:space="preserve">45.9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78080"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408" name="文本框 181"/>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wps:txbx>
                      <wps:bodyPr wrap="square" upright="1"/>
                    </wps:wsp>
                  </a:graphicData>
                </a:graphic>
              </wp:anchor>
            </w:drawing>
          </mc:Choice>
          <mc:Fallback>
            <w:pict>
              <v:shape id="文本框 181" o:spid="_x0000_s1026" o:spt="202" type="#_x0000_t202" style="position:absolute;left:0pt;margin-left:0pt;margin-top:1.35pt;height:46.8pt;width:68.8pt;z-index:252078080;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u3p0w1AAAAAUBAAAPAAAAAAAAAAEAIAAAACIAAABkcnMvZG93bnJldi54bWxQSwECFAAUAAAA&#10;CACHTuJA5pqRbrkBAABfAwAADgAAAAAAAAABACAAAAAjAQAAZHJzL2Uyb0RvYy54bWxQSwUGAAAA&#10;AAYABgBZAQAATgU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承包人在动力设备、输电线路、地下管道、密封防震车间、易燃易爆地段以及临街交通要道附近施工时，施工开始前应向发包人和监理人提出安全防护措施，经发包人认可后实施。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实施爆破作业，在放射、毒害性环境中施工（含储存、运输、使用）及使用毒害性、腐蚀性物品施工时，承包人应在施工前7天以书面通知发包人和监理人，并报送相应的安全防护措施，经发包人认可后实施。</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需单独编制危险性较大分部分项专项工程施工方案的，及要求进行专家论证的超过一定规模的危险性较大的分部分项工程，承包人应及时编制和组织论证。</w:t>
      </w:r>
    </w:p>
    <w:p>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94" w:name="_Toc469384029"/>
      <w:bookmarkStart w:id="495" w:name="_Toc10624869"/>
      <w:r>
        <w:rPr>
          <w:rFonts w:hint="eastAsia" w:ascii="黑体" w:hAnsi="黑体" w:eastAsia="黑体" w:cs="黑体"/>
          <w:b w:val="0"/>
          <w:bCs/>
          <w:color w:val="auto"/>
          <w:kern w:val="0"/>
          <w:sz w:val="24"/>
          <w:szCs w:val="24"/>
          <w:highlight w:val="none"/>
          <w:lang w:val="en-US" w:eastAsia="zh-CN" w:bidi="ar-SA"/>
        </w:rPr>
        <w:t>46  测量放线</w:t>
      </w:r>
      <w:bookmarkEnd w:id="494"/>
      <w:bookmarkEnd w:id="495"/>
    </w:p>
    <w:p>
      <w:pPr>
        <w:widowControl w:val="0"/>
        <w:tabs>
          <w:tab w:val="left" w:pos="1202"/>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178" name="文本框 182"/>
                <wp:cNvGraphicFramePr/>
                <a:graphic xmlns:a="http://schemas.openxmlformats.org/drawingml/2006/main">
                  <a:graphicData uri="http://schemas.microsoft.com/office/word/2010/wordprocessingShape">
                    <wps:wsp>
                      <wps:cNvSpPr txBox="1"/>
                      <wps:spPr>
                        <a:xfrm>
                          <a:off x="0" y="0"/>
                          <a:ext cx="914400" cy="546100"/>
                        </a:xfrm>
                        <a:prstGeom prst="rect">
                          <a:avLst/>
                        </a:prstGeom>
                        <a:noFill/>
                        <a:ln>
                          <a:noFill/>
                        </a:ln>
                      </wps:spPr>
                      <wps:txbx>
                        <w:txbxContent>
                          <w:p>
                            <w:pPr>
                              <w:rPr>
                                <w:rFonts w:ascii="宋体" w:hAnsi="Calibri" w:cs="Times New Roman"/>
                                <w:sz w:val="18"/>
                                <w:szCs w:val="18"/>
                              </w:rPr>
                            </w:pPr>
                            <w:r>
                              <w:rPr>
                                <w:rFonts w:hint="eastAsia" w:ascii="楷体_GB2312" w:hAnsi="宋体" w:eastAsia="楷体_GB2312" w:cs="楷体_GB2312"/>
                                <w:b/>
                                <w:bCs/>
                                <w:color w:val="000000"/>
                                <w:sz w:val="18"/>
                                <w:szCs w:val="18"/>
                              </w:rPr>
                              <w:t>测设施工控制网</w:t>
                            </w:r>
                          </w:p>
                        </w:txbxContent>
                      </wps:txbx>
                      <wps:bodyPr wrap="square" upright="1"/>
                    </wps:wsp>
                  </a:graphicData>
                </a:graphic>
              </wp:anchor>
            </w:drawing>
          </mc:Choice>
          <mc:Fallback>
            <w:pict>
              <v:shape id="文本框 182" o:spid="_x0000_s1026" o:spt="202" type="#_x0000_t202" style="position:absolute;left:0pt;margin-left:-9pt;margin-top:22.55pt;height:43pt;width:72pt;z-index:251842560;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63redcAAAAKAQAADwAAAAAAAAABACAAAAAiAAAAZHJzL2Rvd25yZXYueG1sUEsBAhQAFAAA&#10;AAgAh07iQMPtD9e3AQAAXwMAAA4AAAAAAAAAAQAgAAAAJgEAAGRycy9lMm9Eb2MueG1sUEsFBgAA&#10;AAAGAAYAWQEAAE8FAAAAAA==&#10;">
                <v:fill on="f" focussize="0,0"/>
                <v:stroke on="f"/>
                <v:imagedata o:title=""/>
                <o:lock v:ext="edit" aspectratio="f"/>
                <v:textbox>
                  <w:txbxContent>
                    <w:p>
                      <w:pPr>
                        <w:rPr>
                          <w:rFonts w:ascii="宋体" w:hAnsi="Calibri" w:cs="Times New Roman"/>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46.1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应在发出开工令后的7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pPr>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46.2  </w:t>
      </w:r>
      <w:r>
        <w:rPr>
          <w:rFonts w:hint="eastAsia" w:ascii="宋体" w:hAnsi="宋体" w:cs="宋体"/>
          <w:b/>
          <w:bCs/>
          <w:color w:val="auto"/>
          <w:sz w:val="22"/>
          <w:szCs w:val="22"/>
          <w:highlight w:val="none"/>
          <w:u w:val="dotted"/>
        </w:rPr>
        <w:t xml:space="preserve">                                                                              </w:t>
      </w:r>
    </w:p>
    <w:p>
      <w:pPr>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214630</wp:posOffset>
                </wp:positionV>
                <wp:extent cx="914400" cy="677545"/>
                <wp:effectExtent l="0" t="0" r="0" b="0"/>
                <wp:wrapNone/>
                <wp:docPr id="179" name="文本框 183"/>
                <wp:cNvGraphicFramePr/>
                <a:graphic xmlns:a="http://schemas.openxmlformats.org/drawingml/2006/main">
                  <a:graphicData uri="http://schemas.microsoft.com/office/word/2010/wordprocessingShape">
                    <wps:wsp>
                      <wps:cNvSpPr txBox="1"/>
                      <wps:spPr>
                        <a:xfrm>
                          <a:off x="0" y="0"/>
                          <a:ext cx="914400" cy="677545"/>
                        </a:xfrm>
                        <a:prstGeom prst="rect">
                          <a:avLst/>
                        </a:prstGeom>
                        <a:noFill/>
                        <a:ln>
                          <a:noFill/>
                        </a:ln>
                      </wps:spPr>
                      <wps:txb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wps:txbx>
                      <wps:bodyPr wrap="square" upright="1"/>
                    </wps:wsp>
                  </a:graphicData>
                </a:graphic>
              </wp:anchor>
            </w:drawing>
          </mc:Choice>
          <mc:Fallback>
            <w:pict>
              <v:shape id="文本框 183" o:spid="_x0000_s1026" o:spt="202" type="#_x0000_t202" style="position:absolute;left:0pt;margin-left:-9pt;margin-top:16.9pt;height:53.35pt;width:72pt;z-index:251843584;mso-width-relative:page;mso-height-relative:page;" filled="f" stroked="f" coordsize="21600,21600" o:gfxdata="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pNLadcAAAAKAQAADwAAAAAAAAABACAAAAAiAAAAZHJzL2Rvd25yZXYueG1sUEsBAhQA&#10;FAAAAAgAh07iQIg+tde6AQAAXwMAAA4AAAAAAAAAAQAgAAAAJgEAAGRycy9lMm9Eb2MueG1sUEsF&#10;BgAAAAAGAAYAWQEAAFIFAAAAAA==&#10;">
                <v:fill on="f" focussize="0,0"/>
                <v:stroke on="f"/>
                <v:imagedata o:title=""/>
                <o:lock v:ext="edit" aspectratio="f"/>
                <v:textbo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承包人应负责施工控制网点的管理。施工控制网点丢失或损坏的，承包人应及时修复。承包人应承担施工控制网点的管理与修复费用，并在工程竣工后将施工控制网点移交发包人。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监理工程师需要使用施工控制网的，承包人应提供必要的协助，发包人无需为此支付任何费用。</w:t>
      </w:r>
    </w:p>
    <w:p>
      <w:pPr>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46.3  </w:t>
      </w:r>
      <w:r>
        <w:rPr>
          <w:rFonts w:hint="eastAsia" w:ascii="宋体" w:hAnsi="宋体" w:cs="宋体"/>
          <w:b/>
          <w:bCs/>
          <w:color w:val="auto"/>
          <w:sz w:val="22"/>
          <w:szCs w:val="22"/>
          <w:highlight w:val="none"/>
          <w:u w:val="dotted"/>
        </w:rPr>
        <w:t xml:space="preserve">                                                                              </w:t>
      </w:r>
    </w:p>
    <w:p>
      <w:pPr>
        <w:adjustRightInd w:val="0"/>
        <w:snapToGrid w:val="0"/>
        <w:spacing w:line="420" w:lineRule="exact"/>
        <w:rPr>
          <w:rFonts w:ascii="宋体" w:hAnsi="宋体" w:cs="宋体"/>
          <w:color w:val="auto"/>
          <w:sz w:val="22"/>
          <w:szCs w:val="22"/>
          <w:highlight w:val="none"/>
        </w:rPr>
      </w:pP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180" name="文本框 184"/>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00" w:lineRule="exact"/>
                              <w:rPr>
                                <w:rFonts w:ascii="Calibri" w:hAnsi="Calibri" w:cs="Times New Roman"/>
                                <w:sz w:val="18"/>
                                <w:szCs w:val="18"/>
                              </w:rPr>
                            </w:pPr>
                            <w:r>
                              <w:rPr>
                                <w:rFonts w:hint="eastAsia" w:ascii="楷体_GB2312" w:hAnsi="宋体" w:eastAsia="楷体_GB2312" w:cs="楷体_GB2312"/>
                                <w:b/>
                                <w:bCs/>
                                <w:color w:val="000000"/>
                                <w:sz w:val="18"/>
                                <w:szCs w:val="18"/>
                              </w:rPr>
                              <w:t>承包人测量放线的责任</w:t>
                            </w:r>
                          </w:p>
                        </w:txbxContent>
                      </wps:txbx>
                      <wps:bodyPr wrap="square" upright="1"/>
                    </wps:wsp>
                  </a:graphicData>
                </a:graphic>
              </wp:anchor>
            </w:drawing>
          </mc:Choice>
          <mc:Fallback>
            <w:pict>
              <v:shape id="文本框 184" o:spid="_x0000_s1026" o:spt="202" type="#_x0000_t202" style="position:absolute;left:0pt;margin-left:-9pt;margin-top:-0.5pt;height:42.6pt;width:72pt;z-index:251844608;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4ssLzVAAAACQEAAA8AAAAAAAAAAQAgAAAAIgAAAGRycy9kb3ducmV2LnhtbFBLAQIUABQAAAAI&#10;AIdO4kBpjZzntwEAAF8DAAAOAAAAAAAAAAEAIAAAACQBAABkcnMvZTJvRG9jLnhtbFBLBQYAAAAA&#10;BgAGAFkBAABNBQAAAAA=&#10;">
                <v:fill on="f" focussize="0,0"/>
                <v:stroke on="f"/>
                <v:imagedata o:title=""/>
                <o:lock v:ext="edit" aspectratio="f"/>
                <v:textbox>
                  <w:txbxContent>
                    <w:p>
                      <w:pPr>
                        <w:spacing w:line="200" w:lineRule="exact"/>
                        <w:rPr>
                          <w:rFonts w:ascii="Calibri" w:hAnsi="Calibri" w:cs="Times New Roman"/>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pPr>
        <w:widowControl w:val="0"/>
        <w:tabs>
          <w:tab w:val="left" w:pos="720"/>
          <w:tab w:val="left" w:pos="1080"/>
        </w:tabs>
        <w:adjustRightInd w:val="0"/>
        <w:snapToGrid w:val="0"/>
        <w:spacing w:line="420" w:lineRule="exact"/>
        <w:ind w:firstLine="0"/>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46.4 </w:t>
      </w:r>
      <w:r>
        <w:rPr>
          <w:rFonts w:hint="eastAsia" w:ascii="宋体" w:hAnsi="宋体" w:eastAsia="宋体" w:cs="宋体"/>
          <w:b/>
          <w:bCs/>
          <w:color w:val="auto"/>
          <w:kern w:val="2"/>
          <w:sz w:val="22"/>
          <w:szCs w:val="22"/>
          <w:highlight w:val="none"/>
          <w:u w:val="dotted"/>
          <w:lang w:val="en-US" w:eastAsia="zh-CN" w:bidi="ar-SA"/>
        </w:rPr>
        <w:t xml:space="preserve">                                                                               </w:t>
      </w:r>
    </w:p>
    <w:p>
      <w:pPr>
        <w:spacing w:line="420" w:lineRule="exact"/>
        <w:rPr>
          <w:rFonts w:ascii="宋体" w:hAnsi="宋体" w:cs="宋体"/>
          <w:color w:val="auto"/>
          <w:sz w:val="22"/>
          <w:szCs w:val="22"/>
          <w:highlight w:val="none"/>
        </w:rPr>
      </w:pP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45632"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181" name="文本框 185"/>
                <wp:cNvGraphicFramePr/>
                <a:graphic xmlns:a="http://schemas.openxmlformats.org/drawingml/2006/main">
                  <a:graphicData uri="http://schemas.microsoft.com/office/word/2010/wordprocessingShape">
                    <wps:wsp>
                      <wps:cNvSpPr txBox="1"/>
                      <wps:spPr>
                        <a:xfrm>
                          <a:off x="0" y="0"/>
                          <a:ext cx="914400" cy="375920"/>
                        </a:xfrm>
                        <a:prstGeom prst="rect">
                          <a:avLst/>
                        </a:prstGeom>
                        <a:noFill/>
                        <a:ln>
                          <a:noFill/>
                        </a:ln>
                      </wps:spPr>
                      <wps:txbx>
                        <w:txbxContent>
                          <w:p>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wps:txbx>
                      <wps:bodyPr wrap="square" upright="1"/>
                    </wps:wsp>
                  </a:graphicData>
                </a:graphic>
              </wp:anchor>
            </w:drawing>
          </mc:Choice>
          <mc:Fallback>
            <w:pict>
              <v:shape id="文本框 185" o:spid="_x0000_s1026" o:spt="202" type="#_x0000_t202" style="position:absolute;left:0pt;margin-left:-5.25pt;margin-top:0.65pt;height:29.6pt;width:72pt;z-index:251845632;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jssAs0wAAAAgBAAAPAAAAAAAAAAEAIAAAACIAAABkcnMvZG93bnJldi54bWxQSwECFAAUAAAA&#10;CACHTuJAQTWvmboBAABfAwAADgAAAAAAAAABACAAAAAiAQAAZHJzL2Uyb0RvYy54bWxQSwUGAAAA&#10;AAYABgBZAQAATgUAAAAA&#10;">
                <v:fill on="f" focussize="0,0"/>
                <v:stroke on="f"/>
                <v:imagedata o:title=""/>
                <o:lock v:ext="edit" aspectratio="f"/>
                <v:textbox>
                  <w:txbxContent>
                    <w:p>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pPr>
        <w:widowControl w:val="0"/>
        <w:tabs>
          <w:tab w:val="left" w:pos="720"/>
          <w:tab w:val="left" w:pos="108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46.5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182" name="文本框 186"/>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wrap="square" upright="1"/>
                    </wps:wsp>
                  </a:graphicData>
                </a:graphic>
              </wp:anchor>
            </w:drawing>
          </mc:Choice>
          <mc:Fallback>
            <w:pict>
              <v:shape id="文本框 186" o:spid="_x0000_s1026" o:spt="202" type="#_x0000_t202" style="position:absolute;left:0pt;margin-left:-9pt;margin-top:21.9pt;height:35.3pt;width:72pt;z-index:251846656;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gS6lP1wAAAAoBAAAPAAAAAAAAAAEAIAAAACIAAABkcnMvZG93bnJldi54bWxQSwECFAAU&#10;AAAACACHTuJAIDR0P7kBAABfAwAADgAAAAAAAAABACAAAAAmAQAAZHJzL2Uyb0RvYy54bWxQSwUG&#10;AAAAAAYABgBZAQAAU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pPr>
        <w:widowControl w:val="0"/>
        <w:tabs>
          <w:tab w:val="left" w:pos="2070"/>
        </w:tabs>
        <w:adjustRightInd w:val="0"/>
        <w:snapToGrid w:val="0"/>
        <w:spacing w:line="420" w:lineRule="exact"/>
        <w:ind w:firstLine="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96" w:name="_Toc469384030"/>
      <w:bookmarkStart w:id="497" w:name="_Toc10624870"/>
      <w:r>
        <w:rPr>
          <w:rFonts w:hint="eastAsia" w:ascii="黑体" w:hAnsi="黑体" w:eastAsia="黑体" w:cs="黑体"/>
          <w:b w:val="0"/>
          <w:bCs/>
          <w:color w:val="auto"/>
          <w:kern w:val="0"/>
          <w:sz w:val="24"/>
          <w:szCs w:val="24"/>
          <w:highlight w:val="none"/>
          <w:lang w:val="en-US" w:eastAsia="zh-CN" w:bidi="ar-SA"/>
        </w:rPr>
        <w:t>47  钻孔与勘探性开挖</w:t>
      </w:r>
      <w:bookmarkEnd w:id="496"/>
      <w:bookmarkEnd w:id="497"/>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47680"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183" name="文本框 187"/>
                <wp:cNvGraphicFramePr/>
                <a:graphic xmlns:a="http://schemas.openxmlformats.org/drawingml/2006/main">
                  <a:graphicData uri="http://schemas.microsoft.com/office/word/2010/wordprocessingShape">
                    <wps:wsp>
                      <wps:cNvSpPr txBox="1"/>
                      <wps:spPr>
                        <a:xfrm>
                          <a:off x="0" y="0"/>
                          <a:ext cx="914400" cy="64833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wps:txbx>
                      <wps:bodyPr wrap="square" upright="1"/>
                    </wps:wsp>
                  </a:graphicData>
                </a:graphic>
              </wp:anchor>
            </w:drawing>
          </mc:Choice>
          <mc:Fallback>
            <w:pict>
              <v:shape id="文本框 187" o:spid="_x0000_s1026" o:spt="202" type="#_x0000_t202" style="position:absolute;left:0pt;margin-left:-10.5pt;margin-top:22.45pt;height:51.05pt;width:72pt;z-index:251847680;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Ni2aq1wAAAAoBAAAPAAAAAAAAAAEAIAAAACIAAABkcnMvZG93bnJldi54bWxQSwECFAAU&#10;AAAACACHTuJAbd9FP7kBAABfAwAADgAAAAAAAAABACAAAAAmAQAAZHJzL2Uyb0RvYy54bWxQSwUG&#10;AAAAAAYABgBZAQAAU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47.1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在施工过程中，如果需要承包人进行钻孔或勘探性开挖（含疏浚工作在内）工作的，监理工程师应就此项工作按照第56条规定书面发出专项指令。承包人在接到监理工程师指令后，应及时实施相关工作。</w:t>
      </w:r>
    </w:p>
    <w:p>
      <w:pPr>
        <w:widowControl w:val="0"/>
        <w:tabs>
          <w:tab w:val="left" w:pos="720"/>
          <w:tab w:val="left" w:pos="1080"/>
        </w:tabs>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48704"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184" name="文本框 188"/>
                <wp:cNvGraphicFramePr/>
                <a:graphic xmlns:a="http://schemas.openxmlformats.org/drawingml/2006/main">
                  <a:graphicData uri="http://schemas.microsoft.com/office/word/2010/wordprocessingShape">
                    <wps:wsp>
                      <wps:cNvSpPr txBox="1"/>
                      <wps:spPr>
                        <a:xfrm>
                          <a:off x="0" y="0"/>
                          <a:ext cx="914400" cy="69913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rFonts w:ascii="Times New Roman" w:hAnsi="Times New Roman" w:cs="Times New Roman"/>
                                <w:sz w:val="18"/>
                                <w:szCs w:val="18"/>
                              </w:rPr>
                            </w:pPr>
                          </w:p>
                        </w:txbxContent>
                      </wps:txbx>
                      <wps:bodyPr wrap="square" upright="1"/>
                    </wps:wsp>
                  </a:graphicData>
                </a:graphic>
              </wp:anchor>
            </w:drawing>
          </mc:Choice>
          <mc:Fallback>
            <w:pict>
              <v:shape id="文本框 188" o:spid="_x0000_s1026" o:spt="202" type="#_x0000_t202" style="position:absolute;left:0pt;margin-left:-10.5pt;margin-top:15.7pt;height:55.05pt;width:72pt;z-index:251848704;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LQzzG1wAAAAoBAAAPAAAAAAAAAAEAIAAAACIAAABkcnMvZG93bnJldi54bWxQSwECFAAU&#10;AAAACACHTuJA+47BhrkBAABfAwAADgAAAAAAAAABACAAAAAmAQAAZHJzL2Uyb0RvYy54bWxQSwUG&#10;AAAAAAYABgBZAQAAU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rFonts w:ascii="Times New Roman" w:hAnsi="Times New Roman"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47.2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除工程量清单中已列有此类工作的支付项目和额度外，此项工作所发生的一切费用，经造价工程师核实后，由合同双方当事人按照第72条规定办理。</w:t>
      </w:r>
    </w:p>
    <w:p>
      <w:pPr>
        <w:widowControl w:val="0"/>
        <w:tabs>
          <w:tab w:val="left" w:pos="540"/>
        </w:tabs>
        <w:adjustRightInd w:val="0"/>
        <w:snapToGrid w:val="0"/>
        <w:spacing w:before="240" w:beforeLines="100"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98" w:name="_Toc10624871"/>
      <w:bookmarkStart w:id="499" w:name="_Toc469384031"/>
      <w:r>
        <w:rPr>
          <w:rFonts w:hint="eastAsia" w:ascii="黑体" w:hAnsi="黑体" w:eastAsia="黑体" w:cs="黑体"/>
          <w:b w:val="0"/>
          <w:bCs/>
          <w:color w:val="auto"/>
          <w:kern w:val="0"/>
          <w:sz w:val="24"/>
          <w:szCs w:val="24"/>
          <w:highlight w:val="none"/>
          <w:lang w:val="en-US" w:eastAsia="zh-CN" w:bidi="ar-SA"/>
        </w:rPr>
        <w:t>48  发包人供应材料和工程设备</w:t>
      </w:r>
      <w:bookmarkEnd w:id="498"/>
      <w:bookmarkEnd w:id="499"/>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185" name="文本框 189"/>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wps:txbx>
                      <wps:bodyPr wrap="square" upright="1"/>
                    </wps:wsp>
                  </a:graphicData>
                </a:graphic>
              </wp:anchor>
            </w:drawing>
          </mc:Choice>
          <mc:Fallback>
            <w:pict>
              <v:shape id="文本框 189" o:spid="_x0000_s1026" o:spt="202" type="#_x0000_t202" style="position:absolute;left:0pt;margin-left:-9pt;margin-top:21.95pt;height:40.55pt;width:72pt;z-index:251849728;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joSDjXAAAACgEAAA8AAAAAAAAAAQAgAAAAIgAAAGRycy9kb3ducmV2LnhtbFBLAQIUABQA&#10;AAAIAIdO4kC27zSHuAEAAF8DAAAOAAAAAAAAAAEAIAAAACYBAABkcnMvZTJvRG9jLnhtbFBLBQYA&#10;AAAABgAGAFkBAABQ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48.1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pPr>
        <w:widowControl w:val="0"/>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48.2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0752"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186" name="文本框 190"/>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wrap="square" upright="1"/>
                    </wps:wsp>
                  </a:graphicData>
                </a:graphic>
              </wp:anchor>
            </w:drawing>
          </mc:Choice>
          <mc:Fallback>
            <w:pict>
              <v:shape id="文本框 190" o:spid="_x0000_s1026" o:spt="202" type="#_x0000_t202" style="position:absolute;left:0pt;margin-left:-5.25pt;margin-top:3.75pt;height:40.55pt;width:72pt;z-index:251850752;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0Z4C81QAAAAgBAAAPAAAAAAAAAAEAIAAAACIAAABkcnMvZG93bnJldi54bWxQSwECFAAUAAAA&#10;CACHTuJA0NmLt7gBAABfAwAADgAAAAAAAAABACAAAAAkAQAAZHJzL2Uyb0RvYy54bWxQSwUGAAAA&#10;AAYABgBZAQAATg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48.3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187" name="文本框 191"/>
                <wp:cNvGraphicFramePr/>
                <a:graphic xmlns:a="http://schemas.openxmlformats.org/drawingml/2006/main">
                  <a:graphicData uri="http://schemas.microsoft.com/office/word/2010/wordprocessingShape">
                    <wps:wsp>
                      <wps:cNvSpPr txBox="1"/>
                      <wps:spPr>
                        <a:xfrm>
                          <a:off x="0" y="0"/>
                          <a:ext cx="967740" cy="45275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wps:txbx>
                      <wps:bodyPr wrap="square" upright="1"/>
                    </wps:wsp>
                  </a:graphicData>
                </a:graphic>
              </wp:anchor>
            </w:drawing>
          </mc:Choice>
          <mc:Fallback>
            <w:pict>
              <v:shape id="文本框 191" o:spid="_x0000_s1026" o:spt="202" type="#_x0000_t202" style="position:absolute;left:0pt;margin-left:-9pt;margin-top:0.2pt;height:35.65pt;width:76.2pt;z-index:251851776;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4813xdUAAAAHAQAADwAAAAAAAAABACAAAAAiAAAAZHJzL2Rvd25yZXYueG1sUEsBAhQAFAAA&#10;AAgAh07iQJZ0DoC5AQAAXw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按照一览表内容和第48.2款交货日期向承包人供应材料和工程设备，并提供产品质量合格证明文件，对材料和工程设备质量负责。发包人应在材料和工程设备到货前至少提前24小时，以书面形式通知承包人和监理工程师，并在监理工程师的见证下与承包人共同清点，同时在施工现场内合理堆放。</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48.4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188" name="文本框 192"/>
                <wp:cNvGraphicFramePr/>
                <a:graphic xmlns:a="http://schemas.openxmlformats.org/drawingml/2006/main">
                  <a:graphicData uri="http://schemas.microsoft.com/office/word/2010/wordprocessingShape">
                    <wps:wsp>
                      <wps:cNvSpPr txBox="1"/>
                      <wps:spPr>
                        <a:xfrm>
                          <a:off x="0" y="0"/>
                          <a:ext cx="914400" cy="101917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wps:txbx>
                      <wps:bodyPr wrap="square" upright="1"/>
                    </wps:wsp>
                  </a:graphicData>
                </a:graphic>
              </wp:anchor>
            </w:drawing>
          </mc:Choice>
          <mc:Fallback>
            <w:pict>
              <v:shape id="文本框 192" o:spid="_x0000_s1026" o:spt="202" type="#_x0000_t202" style="position:absolute;left:0pt;margin-left:-9pt;margin-top:0.7pt;height:80.25pt;width:72pt;z-index:251852800;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nwNh9UAAAAJAQAADwAAAAAAAAABACAAAAAiAAAAZHJzL2Rvd25yZXYueG1sUEsBAhQAFAAA&#10;AAgAh07iQAo8xyy5AQAAYA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pPr>
        <w:widowControl w:val="0"/>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48.5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189" name="文本框 19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wps:txbx>
                      <wps:bodyPr wrap="square" upright="1"/>
                    </wps:wsp>
                  </a:graphicData>
                </a:graphic>
              </wp:anchor>
            </w:drawing>
          </mc:Choice>
          <mc:Fallback>
            <w:pict>
              <v:shape id="文本框 193" o:spid="_x0000_s1026" o:spt="202" type="#_x0000_t202" style="position:absolute;left:0pt;margin-left:-9pt;margin-top:0.7pt;height:46.8pt;width:72pt;z-index:251853824;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w3QSNQAAAAIAQAADwAAAAAAAAABACAAAAAiAAAAZHJzL2Rvd25yZXYueG1sUEsBAhQAFAAA&#10;AAgAh07iQJxjMX66AQAAXwMAAA4AAAAAAAAAAQAgAAAAIw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48.6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190" name="文本框 194"/>
                <wp:cNvGraphicFramePr/>
                <a:graphic xmlns:a="http://schemas.openxmlformats.org/drawingml/2006/main">
                  <a:graphicData uri="http://schemas.microsoft.com/office/word/2010/wordprocessingShape">
                    <wps:wsp>
                      <wps:cNvSpPr txBox="1"/>
                      <wps:spPr>
                        <a:xfrm>
                          <a:off x="0" y="0"/>
                          <a:ext cx="914400" cy="90868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wps:txbx>
                      <wps:bodyPr wrap="square" upright="1"/>
                    </wps:wsp>
                  </a:graphicData>
                </a:graphic>
              </wp:anchor>
            </w:drawing>
          </mc:Choice>
          <mc:Fallback>
            <w:pict>
              <v:shape id="文本框 194" o:spid="_x0000_s1026" o:spt="202" type="#_x0000_t202" style="position:absolute;left:0pt;margin-left:-9pt;margin-top:1.45pt;height:71.55pt;width:72pt;z-index:251854848;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8qiMj1QAAAAkBAAAPAAAAAAAAAAEAIAAAACIAAABkcnMvZG93bnJldi54bWxQSwECFAAUAAAA&#10;CACHTuJAZSWTBbgBAABfAwAADgAAAAAAAAABACAAAAAkAQAAZHJzL2Uyb0RvYy54bWxQSwUGAAAA&#10;AAYABgBZAQAATg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发包人供应的材料和工程设备与一览表不符时，发包人应按照下列规定承担相应责任：</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（1）材料和工程设备的单价与一览表不符，由发包人承担所有价差；</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（2）材料和工程设备的品种、规格、型号、质量标准与一览表不符，承包人可以拒绝接受保管，由发包人运出施工场地并重新采购；</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（3）材料和工程设备的品种、规格、型号、质量标准与一览表不符，经发包人同意，承包人可代为调剂替换，由发包人承担相应费用；</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（4）交货地点与一览表不符，除合同双方当事人协商确定外，由发包人重新运至一览表指定地点，并承担由此增加的费用和（或）延误的工期；</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（5）供应数量少于一览表约定的数量时，由发包人补齐；多于一览表约定的数量时，发包人应将多出的部分运出施工场地；</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（6）交货时间早于一览表约定计划和第48.2款交货日期，由发包人承担由此发生的保管费；交货时间迟于一览表约定计划和第48.2款交货日期，由发包人承担由此增加的费用和（或）延误的工期。</w:t>
      </w:r>
    </w:p>
    <w:p>
      <w:pPr>
        <w:widowControl w:val="0"/>
        <w:tabs>
          <w:tab w:val="left" w:pos="216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48.7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191" name="文本框 195"/>
                <wp:cNvGraphicFramePr/>
                <a:graphic xmlns:a="http://schemas.openxmlformats.org/drawingml/2006/main">
                  <a:graphicData uri="http://schemas.microsoft.com/office/word/2010/wordprocessingShape">
                    <wps:wsp>
                      <wps:cNvSpPr txBox="1"/>
                      <wps:spPr>
                        <a:xfrm>
                          <a:off x="0" y="0"/>
                          <a:ext cx="914400" cy="61150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wps:txbx>
                      <wps:bodyPr wrap="square" upright="1"/>
                    </wps:wsp>
                  </a:graphicData>
                </a:graphic>
              </wp:anchor>
            </w:drawing>
          </mc:Choice>
          <mc:Fallback>
            <w:pict>
              <v:shape id="文本框 195" o:spid="_x0000_s1026" o:spt="202" type="#_x0000_t202" style="position:absolute;left:0pt;margin-left:-9pt;margin-top:1.35pt;height:48.15pt;width:72pt;z-index:251855872;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nRnpdUAAAAIAQAADwAAAAAAAAABACAAAAAiAAAAZHJzL2Rvd25yZXYueG1sUEsBAhQAFAAA&#10;AAgAh07iQGBBIke5AQAAXw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pPr>
        <w:widowControl w:val="0"/>
        <w:adjustRightInd w:val="0"/>
        <w:snapToGrid w:val="0"/>
        <w:spacing w:before="120" w:beforeLines="50"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48.8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192" name="文本框 196"/>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wps:txbx>
                      <wps:bodyPr wrap="square" upright="1"/>
                    </wps:wsp>
                  </a:graphicData>
                </a:graphic>
              </wp:anchor>
            </w:drawing>
          </mc:Choice>
          <mc:Fallback>
            <w:pict>
              <v:shape id="文本框 196" o:spid="_x0000_s1026" o:spt="202" type="#_x0000_t202" style="position:absolute;left:0pt;margin-left:-9pt;margin-top:0.6pt;height:23.4pt;width:81pt;z-index:251856896;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5Ymg3UAAAACAEAAA8AAAAAAAAAAQAgAAAAIgAAAGRycy9kb3ducmV2LnhtbFBLAQIUABQAAAAI&#10;AIdO4kD0ADQ+uAEAAGADAAAOAAAAAAAAAAEAIAAAACMBAABkcnMvZTJvRG9jLnhtbFBLBQYAAAAA&#10;BgAGAFkBAABN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00" w:name="_Toc10624872"/>
      <w:bookmarkStart w:id="501" w:name="_Toc469384032"/>
      <w:r>
        <w:rPr>
          <w:rFonts w:hint="eastAsia" w:ascii="黑体" w:hAnsi="黑体" w:eastAsia="黑体" w:cs="黑体"/>
          <w:b w:val="0"/>
          <w:bCs/>
          <w:color w:val="auto"/>
          <w:kern w:val="0"/>
          <w:sz w:val="24"/>
          <w:szCs w:val="24"/>
          <w:highlight w:val="none"/>
          <w:lang w:val="en-US" w:eastAsia="zh-CN" w:bidi="ar-SA"/>
        </w:rPr>
        <w:t>49  承包人采购材料和工程设备</w:t>
      </w:r>
      <w:bookmarkEnd w:id="500"/>
      <w:bookmarkEnd w:id="501"/>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49.1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193" name="文本框 197"/>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wps:txbx>
                      <wps:bodyPr wrap="square" upright="1"/>
                    </wps:wsp>
                  </a:graphicData>
                </a:graphic>
              </wp:anchor>
            </w:drawing>
          </mc:Choice>
          <mc:Fallback>
            <w:pict>
              <v:shape id="文本框 197" o:spid="_x0000_s1026" o:spt="202" type="#_x0000_t202" style="position:absolute;left:0pt;margin-left:-9pt;margin-top:1.35pt;height:38.3pt;width:72pt;z-index:251857920;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P+/tXWAAAACAEAAA8AAAAAAAAAAQAgAAAAIgAAAGRycy9kb3ducmV2LnhtbFBLAQIUABQA&#10;AAAIAIdO4kCHtGC4uQEAAF8DAAAOAAAAAAAAAAEAIAAAACUBAABkcnMvZTJvRG9jLnhtbFBLBQYA&#10;AAAABgAGAFkBAABQ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49.2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194" name="文本框 198"/>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wrap="square" upright="1"/>
                    </wps:wsp>
                  </a:graphicData>
                </a:graphic>
              </wp:anchor>
            </w:drawing>
          </mc:Choice>
          <mc:Fallback>
            <w:pict>
              <v:shape id="文本框 198" o:spid="_x0000_s1026" o:spt="202" type="#_x0000_t202" style="position:absolute;left:0pt;margin-left:-9pt;margin-top:1.35pt;height:38.3pt;width:72pt;z-index:251858944;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P+/tXWAAAACAEAAA8AAAAAAAAAAQAgAAAAIgAAAGRycy9kb3ducmV2LnhtbFBLAQIUABQA&#10;AAAIAIdO4kA6W++suQEAAF8DAAAOAAAAAAAAAAEAIAAAACUBAABkcnMvZTJvRG9jLnhtbFBLBQYA&#10;AAAABgAGAFkBAABQ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专用条款的约定，将各项材料和工程设备的供货人及品种、规格、数量和供货时间等情况以书面形式提交监理工程师确认，并由其报发包人批准后实施供货。承包人应在材料和工程设备到货前至少提前24小时，以书面形式通知发包人和监理工程师，并在监理工程师的见证下与发包人共同清点。</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49.3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195" name="文本框 199"/>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wps:txbx>
                      <wps:bodyPr wrap="square" upright="1"/>
                    </wps:wsp>
                  </a:graphicData>
                </a:graphic>
              </wp:anchor>
            </w:drawing>
          </mc:Choice>
          <mc:Fallback>
            <w:pict>
              <v:shape id="文本框 199" o:spid="_x0000_s1026" o:spt="202" type="#_x0000_t202" style="position:absolute;left:0pt;margin-left:-9pt;margin-top:0.1pt;height:62.4pt;width:72pt;z-index:251859968;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kPCqtQAAAAIAQAADwAAAAAAAAABACAAAAAiAAAAZHJzL2Rvd25yZXYueG1sUEsBAhQAFAAA&#10;AAgAh07iQK+sZra6AQAAXwMAAA4AAAAAAAAAAQAgAAAAIw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承包人采购的材料和工程设备不符合标准与规范、设计要求和合同约定的要求时，应按照监理工程师的指令将其运出施工场地，重新采购符合要求的产品，由此增加的费用和（或）延误的工期由承包人承担。</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49.4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196" name="文本框 200"/>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wps:txbx>
                      <wps:bodyPr wrap="square" upright="1"/>
                    </wps:wsp>
                  </a:graphicData>
                </a:graphic>
              </wp:anchor>
            </w:drawing>
          </mc:Choice>
          <mc:Fallback>
            <w:pict>
              <v:shape id="文本框 200" o:spid="_x0000_s1026" o:spt="202" type="#_x0000_t202" style="position:absolute;left:0pt;margin-left:-9pt;margin-top:-0.4pt;height:62.4pt;width:72pt;z-index:251860992;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46q4vUAAAACQEAAA8AAAAAAAAAAQAgAAAAIgAAAGRycy9kb3ducmV2LnhtbFBLAQIUABQAAAAI&#10;AIdO4kB0UM25uAEAAF8DAAAOAAAAAAAAAAEAIAAAACMBAABkcnMvZTJvRG9jLnhtbFBLBQYAAAAA&#10;BgAGAFkBAABN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pPr>
        <w:widowControl w:val="0"/>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197" name="文本框 201"/>
                <wp:cNvGraphicFramePr/>
                <a:graphic xmlns:a="http://schemas.openxmlformats.org/drawingml/2006/main">
                  <a:graphicData uri="http://schemas.microsoft.com/office/word/2010/wordprocessingShape">
                    <wps:wsp>
                      <wps:cNvSpPr txBox="1"/>
                      <wps:spPr>
                        <a:xfrm>
                          <a:off x="0" y="0"/>
                          <a:ext cx="914400" cy="44196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wps:txbx>
                      <wps:bodyPr wrap="square" upright="1"/>
                    </wps:wsp>
                  </a:graphicData>
                </a:graphic>
              </wp:anchor>
            </w:drawing>
          </mc:Choice>
          <mc:Fallback>
            <w:pict>
              <v:shape id="文本框 201" o:spid="_x0000_s1026" o:spt="202" type="#_x0000_t202" style="position:absolute;left:0pt;margin-left:-9pt;margin-top:19.1pt;height:34.8pt;width:72pt;z-index:251862016;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3eY1HXAAAACgEAAA8AAAAAAAAAAQAgAAAAIgAAAGRycy9kb3ducmV2LnhtbFBLAQIUABQA&#10;AAAIAIdO4kCT7cPEuAEAAF8DAAAOAAAAAAAAAAEAIAAAACYBAABkcnMvZTJvRG9jLnhtbFBLBQYA&#10;AAAABgAGAFkBAABQ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49.5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承包人不执行监理工程师依据第49.3款和第49.4款规定发出的指令,则发包人可自行或委托第三方执行该指令，由此发生的费用由承包人承担。该笔款项经造价工程师核实后，由发包人从应付或将付给或将付给承包人的工程款中扣除。</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49.6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198" name="文本框 202"/>
                <wp:cNvGraphicFramePr/>
                <a:graphic xmlns:a="http://schemas.openxmlformats.org/drawingml/2006/main">
                  <a:graphicData uri="http://schemas.microsoft.com/office/word/2010/wordprocessingShape">
                    <wps:wsp>
                      <wps:cNvSpPr txBox="1"/>
                      <wps:spPr>
                        <a:xfrm>
                          <a:off x="0" y="0"/>
                          <a:ext cx="914400" cy="41084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wps:txbx>
                      <wps:bodyPr wrap="square" upright="1"/>
                    </wps:wsp>
                  </a:graphicData>
                </a:graphic>
              </wp:anchor>
            </w:drawing>
          </mc:Choice>
          <mc:Fallback>
            <w:pict>
              <v:shape id="文本框 202" o:spid="_x0000_s1026" o:spt="202" type="#_x0000_t202" style="position:absolute;left:0pt;margin-left:-9pt;margin-top:3.6pt;height:32.35pt;width:72pt;z-index:251863040;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f+s3bUAAAACAEAAA8AAAAAAAAAAQAgAAAAIgAAAGRycy9kb3ducmV2LnhtbFBLAQIUABQAAAAI&#10;AIdO4kBq2ZnFuAEAAF8DAAAOAAAAAAAAAAEAIAAAACMBAABkcnMvZTJvRG9jLnhtbFBLBQYAAAAA&#10;BgAGAFkBAABN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49.7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199" name="文本框 203"/>
                <wp:cNvGraphicFramePr/>
                <a:graphic xmlns:a="http://schemas.openxmlformats.org/drawingml/2006/main">
                  <a:graphicData uri="http://schemas.microsoft.com/office/word/2010/wordprocessingShape">
                    <wps:wsp>
                      <wps:cNvSpPr txBox="1"/>
                      <wps:spPr>
                        <a:xfrm>
                          <a:off x="0" y="0"/>
                          <a:ext cx="914400" cy="81915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wps:txbx>
                      <wps:bodyPr wrap="square" upright="1"/>
                    </wps:wsp>
                  </a:graphicData>
                </a:graphic>
              </wp:anchor>
            </w:drawing>
          </mc:Choice>
          <mc:Fallback>
            <w:pict>
              <v:shape id="文本框 203" o:spid="_x0000_s1026" o:spt="202" type="#_x0000_t202" style="position:absolute;left:0pt;margin-left:-9pt;margin-top:2.4pt;height:64.5pt;width:72pt;z-index:251864064;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2z3PWAAAACQEAAA8AAAAAAAAAAQAgAAAAIgAAAGRycy9kb3ducmV2LnhtbFBLAQIUABQA&#10;AAAIAIdO4kBVTSiGuQEAAF8DAAAOAAAAAAAAAAEAIAAAACUBAABkcnMvZTJvRG9jLnhtbFBLBQYA&#10;AAAABgAGAFkBAABQ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200" name="文本框 204"/>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wps:txbx>
                      <wps:bodyPr wrap="square" upright="1"/>
                    </wps:wsp>
                  </a:graphicData>
                </a:graphic>
              </wp:anchor>
            </w:drawing>
          </mc:Choice>
          <mc:Fallback>
            <w:pict>
              <v:shape id="文本框 204" o:spid="_x0000_s1026" o:spt="202" type="#_x0000_t202" style="position:absolute;left:0pt;margin-left:-9pt;margin-top:16.3pt;height:56.05pt;width:72pt;z-index:251865088;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5Q/rbXAAAACgEAAA8AAAAAAAAAAQAgAAAAIgAAAGRycy9kb3ducmV2LnhtbFBLAQIUABQA&#10;AAAIAIdO4kDyKXDfuAEAAF8DAAAOAAAAAAAAAAEAIAAAACYBAABkcnMvZTJvRG9jLnhtbFBLBQYA&#10;AAAABgAGAFkBAABQ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49.8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承包人采购材料和工程设备的，除专用条款另有约定外，发包人不得指定生产厂家或供应商。</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02" w:name="_Toc10624873"/>
      <w:bookmarkStart w:id="503" w:name="_Toc469384033"/>
      <w:r>
        <w:rPr>
          <w:rFonts w:hint="eastAsia" w:ascii="黑体" w:hAnsi="黑体" w:eastAsia="黑体" w:cs="黑体"/>
          <w:b w:val="0"/>
          <w:bCs/>
          <w:color w:val="auto"/>
          <w:kern w:val="0"/>
          <w:sz w:val="24"/>
          <w:szCs w:val="24"/>
          <w:highlight w:val="none"/>
          <w:lang w:val="en-US" w:eastAsia="zh-CN" w:bidi="ar-SA"/>
        </w:rPr>
        <w:t>50  材料和工程设备的检验试验</w:t>
      </w:r>
      <w:bookmarkEnd w:id="502"/>
      <w:bookmarkEnd w:id="503"/>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50.1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201" name="文本框 205"/>
                <wp:cNvGraphicFramePr/>
                <a:graphic xmlns:a="http://schemas.openxmlformats.org/drawingml/2006/main">
                  <a:graphicData uri="http://schemas.microsoft.com/office/word/2010/wordprocessingShape">
                    <wps:wsp>
                      <wps:cNvSpPr txBox="1"/>
                      <wps:spPr>
                        <a:xfrm>
                          <a:off x="0" y="0"/>
                          <a:ext cx="914400" cy="50609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wrap="square" upright="1"/>
                    </wps:wsp>
                  </a:graphicData>
                </a:graphic>
              </wp:anchor>
            </w:drawing>
          </mc:Choice>
          <mc:Fallback>
            <w:pict>
              <v:shape id="文本框 205" o:spid="_x0000_s1026" o:spt="202" type="#_x0000_t202" style="position:absolute;left:0pt;margin-left:-9pt;margin-top:0.05pt;height:39.85pt;width:72pt;z-index:251866112;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ZJPrfUAAAABwEAAA8AAAAAAAAAAQAgAAAAIgAAAGRycy9kb3ducmV2LnhtbFBLAQIUABQAAAAI&#10;AIdO4kBphHDXuAEAAF8DAAAOAAAAAAAAAAEAIAAAACMBAABkcnMvZTJvRG9jLnhtbFBLBQYAAAAA&#10;BgAGAFkBAABN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监理工程师及其委派的代表可进入施工场地、材料和工程设备的制造、加工或制配车间等场所参加材料和工程设备等产品的检验试验。承包人应为他们进入上述场所及开展相关工作提供便利和协助。</w:t>
      </w:r>
    </w:p>
    <w:p>
      <w:pPr>
        <w:widowControl w:val="0"/>
        <w:tabs>
          <w:tab w:val="left" w:pos="360"/>
          <w:tab w:val="left" w:pos="720"/>
        </w:tabs>
        <w:adjustRightInd w:val="0"/>
        <w:snapToGrid w:val="0"/>
        <w:spacing w:line="420" w:lineRule="exact"/>
        <w:ind w:firstLine="0"/>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50.2  </w:t>
      </w:r>
      <w:r>
        <w:rPr>
          <w:rFonts w:hint="eastAsia" w:ascii="宋体" w:hAnsi="宋体" w:eastAsia="宋体" w:cs="宋体"/>
          <w:b/>
          <w:bCs/>
          <w:color w:val="auto"/>
          <w:kern w:val="2"/>
          <w:sz w:val="22"/>
          <w:szCs w:val="22"/>
          <w:highlight w:val="none"/>
          <w:u w:val="dotted"/>
          <w:lang w:val="en-US" w:eastAsia="zh-CN" w:bidi="ar-SA"/>
        </w:rPr>
        <w:t xml:space="preserve">                                                                              </w:t>
      </w:r>
    </w:p>
    <w:p>
      <w:p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202" name="文本框 206"/>
                <wp:cNvGraphicFramePr/>
                <a:graphic xmlns:a="http://schemas.openxmlformats.org/drawingml/2006/main">
                  <a:graphicData uri="http://schemas.microsoft.com/office/word/2010/wordprocessingShape">
                    <wps:wsp>
                      <wps:cNvSpPr txBox="1"/>
                      <wps:spPr>
                        <a:xfrm>
                          <a:off x="0" y="0"/>
                          <a:ext cx="914400" cy="57277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wps:txbx>
                      <wps:bodyPr wrap="square" upright="1"/>
                    </wps:wsp>
                  </a:graphicData>
                </a:graphic>
              </wp:anchor>
            </w:drawing>
          </mc:Choice>
          <mc:Fallback>
            <w:pict>
              <v:shape id="文本框 206" o:spid="_x0000_s1026" o:spt="202" type="#_x0000_t202" style="position:absolute;left:0pt;margin-left:-9pt;margin-top:12.15pt;height:45.1pt;width:72pt;z-index:251867136;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2bk3TYAAAACgEAAA8AAAAAAAAAAQAgAAAAIgAAAGRycy9kb3ducmV2LnhtbFBLAQIU&#10;ABQAAAAIAIdO4kA0BlSKugEAAF8DAAAOAAAAAAAAAAEAIAAAACcBAABkcnMvZTJvRG9jLnhtbFBL&#10;BQYAAAAABgAGAFkBAABT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材料和工程设备等产品的检验试验，包括见证取样和不见证取样两种情形：</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标准与规范、涉及结构安全有要求或合同有约定进行见证取样检验试验的材料和工程设备等产品，承包人应在取样前至少提前24小时通知监理工程师参加，并在监理工程师的见证下现场取样，同时送至具有相应资质等级的质量检测机构进行检验试验。</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24小时发出延期检验试验指令并书面说明理由，延期不得超过48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pPr>
        <w:widowControl w:val="0"/>
        <w:adjustRightInd w:val="0"/>
        <w:snapToGrid w:val="0"/>
        <w:spacing w:line="420" w:lineRule="exact"/>
        <w:ind w:left="1484" w:leftChars="1" w:hanging="1482" w:hangingChars="671"/>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50.3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68160"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203" name="文本框 207"/>
                <wp:cNvGraphicFramePr/>
                <a:graphic xmlns:a="http://schemas.openxmlformats.org/drawingml/2006/main">
                  <a:graphicData uri="http://schemas.microsoft.com/office/word/2010/wordprocessingShape">
                    <wps:wsp>
                      <wps:cNvSpPr txBox="1"/>
                      <wps:spPr>
                        <a:xfrm>
                          <a:off x="0" y="0"/>
                          <a:ext cx="914400" cy="55753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wps:txbx>
                      <wps:bodyPr wrap="square" upright="1"/>
                    </wps:wsp>
                  </a:graphicData>
                </a:graphic>
              </wp:anchor>
            </w:drawing>
          </mc:Choice>
          <mc:Fallback>
            <w:pict>
              <v:shape id="文本框 207" o:spid="_x0000_s1026" o:spt="202" type="#_x0000_t202" style="position:absolute;left:0pt;margin-left:-5.25pt;margin-top:0.9pt;height:43.9pt;width:72pt;z-index:251868160;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h+lsNQAAAAIAQAADwAAAAAAAAABACAAAAAiAAAAZHJzL2Rvd25yZXYueG1sUEsBAhQAFAAA&#10;AAgAh07iQMSUKf+6AQAAXwMAAA4AAAAAAAAAAQAgAAAAIw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材料和工程设备等产品检验试验合格的，可在合同工程中使用。材料和工程设备等产品检验试验不合格的，禁止在合同工程中使用，并及时清出施工场地。</w:t>
      </w:r>
    </w:p>
    <w:p>
      <w:pPr>
        <w:widowControl w:val="0"/>
        <w:tabs>
          <w:tab w:val="left" w:pos="540"/>
        </w:tabs>
        <w:adjustRightInd w:val="0"/>
        <w:snapToGrid w:val="0"/>
        <w:spacing w:line="420" w:lineRule="exact"/>
        <w:ind w:firstLine="0"/>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50.4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204" name="文本框 208"/>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wps:txbx>
                      <wps:bodyPr wrap="square" upright="1"/>
                    </wps:wsp>
                  </a:graphicData>
                </a:graphic>
              </wp:anchor>
            </w:drawing>
          </mc:Choice>
          <mc:Fallback>
            <w:pict>
              <v:shape id="文本框 208" o:spid="_x0000_s1026" o:spt="202" type="#_x0000_t202" style="position:absolute;left:0pt;margin-left:-9pt;margin-top:1.2pt;height:43.75pt;width:72pt;z-index:251869184;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xEegNUAAAAIAQAADwAAAAAAAAABACAAAAAiAAAAZHJzL2Rvd25yZXYueG1sUEsBAhQAFAAA&#10;AAgAh07iQAEh2rW5AQAAXw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除合同价款已包括外，材料和工程设备等产品的检验试验费，按照实际发生的费用计算。</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（1）现场使用前材料和工程设备等产品的检验试验，发包人供应的，检验试验费由发包人承担；承包人采购的，检验试验费由承包人承担。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（2）施工过程中材料和工程设备等产品的检验试验，合格的，检验试验费由发包人承担。不合格的，发包人供应的，检验试验费由发包人承担；承包人采购的，检验试验费由承包人承担。</w:t>
      </w:r>
    </w:p>
    <w:p>
      <w:pPr>
        <w:widowControl w:val="0"/>
        <w:tabs>
          <w:tab w:val="left" w:pos="1620"/>
          <w:tab w:val="left" w:pos="1980"/>
          <w:tab w:val="left" w:pos="2520"/>
          <w:tab w:val="left" w:pos="270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50.5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205" name="文本框 20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wps:txbx>
                      <wps:bodyPr wrap="square" upright="1"/>
                    </wps:wsp>
                  </a:graphicData>
                </a:graphic>
              </wp:anchor>
            </w:drawing>
          </mc:Choice>
          <mc:Fallback>
            <w:pict>
              <v:shape id="文本框 209" o:spid="_x0000_s1026" o:spt="202" type="#_x0000_t202" style="position:absolute;left:0pt;margin-left:-9pt;margin-top:0.65pt;height:31.2pt;width:72pt;z-index:251870208;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a3aJbVAAAACAEAAA8AAAAAAAAAAQAgAAAAIgAAAGRycy9kb3ducmV2LnhtbFBLAQIUABQA&#10;AAAIAIdO4kAqzrqIugEAAF8DAAAOAAAAAAAAAAEAIAAAACQBAABkcnMvZTJvRG9jLnhtbFBLBQYA&#10;AAAABgAGAFkBAABQ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监理工程师对承包人自行检验试验结果有疑问的，或重新查验检验试验结果的，可要求承包人共同对材料和工程设备等产品再次检验试验。</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（1）合格的，再次检验试验费和（或）延误的工期由发包人承担，并向承包人支付合理利润。</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（2）不合格的，发包人供应的，再次检验试验费和（或）延误的工期由发包人承担，并向承包人支付合理利润；承包人采购的，再次检验试验费和（或）延误的工期由承包人承担。</w:t>
      </w:r>
    </w:p>
    <w:p>
      <w:pPr>
        <w:widowControl w:val="0"/>
        <w:tabs>
          <w:tab w:val="left" w:pos="540"/>
        </w:tabs>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50.6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206" name="文本框 210"/>
                <wp:cNvGraphicFramePr/>
                <a:graphic xmlns:a="http://schemas.openxmlformats.org/drawingml/2006/main">
                  <a:graphicData uri="http://schemas.microsoft.com/office/word/2010/wordprocessingShape">
                    <wps:wsp>
                      <wps:cNvSpPr txBox="1"/>
                      <wps:spPr>
                        <a:xfrm>
                          <a:off x="0" y="0"/>
                          <a:ext cx="914400" cy="69024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wps:txbx>
                      <wps:bodyPr wrap="square" upright="1"/>
                    </wps:wsp>
                  </a:graphicData>
                </a:graphic>
              </wp:anchor>
            </w:drawing>
          </mc:Choice>
          <mc:Fallback>
            <w:pict>
              <v:shape id="文本框 210" o:spid="_x0000_s1026" o:spt="202" type="#_x0000_t202" style="position:absolute;left:0pt;margin-left:-9pt;margin-top:19.3pt;height:54.35pt;width:72pt;z-index:251871232;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VFz6H2AAAAAoBAAAPAAAAAAAAAAEAIAAAACIAAABkcnMvZG93bnJldi54bWxQSwECFAAU&#10;AAAACACHTuJA9DpNqLgBAABfAwAADgAAAAAAAAABACAAAAAnAQAAZHJzL2Uyb0RvYy54bWxQSwUG&#10;AAAAAAYABgBZAQAAU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合同双方当事人对材料和工程设备等产品质量有争议的，所需的检验试验费由责任方承担。双方均有责任的，由双方根据其责任划分分别承担。</w:t>
      </w:r>
    </w:p>
    <w:p>
      <w:pPr>
        <w:widowControl w:val="0"/>
        <w:adjustRightInd w:val="0"/>
        <w:snapToGrid w:val="0"/>
        <w:spacing w:line="420" w:lineRule="exact"/>
        <w:ind w:firstLine="0"/>
        <w:jc w:val="both"/>
        <w:rPr>
          <w:rFonts w:ascii="宋体" w:hAnsi="宋体" w:eastAsia="宋体" w:cs="宋体"/>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04" w:name="_Toc469384034"/>
      <w:bookmarkStart w:id="505" w:name="_Toc10624874"/>
      <w:r>
        <w:rPr>
          <w:rFonts w:hint="eastAsia" w:ascii="黑体" w:hAnsi="黑体" w:eastAsia="黑体" w:cs="黑体"/>
          <w:b w:val="0"/>
          <w:bCs/>
          <w:color w:val="auto"/>
          <w:kern w:val="0"/>
          <w:sz w:val="24"/>
          <w:szCs w:val="24"/>
          <w:highlight w:val="none"/>
          <w:lang w:val="en-US" w:eastAsia="zh-CN" w:bidi="ar-SA"/>
        </w:rPr>
        <w:t>51  施工设备和临时设施</w:t>
      </w:r>
      <w:bookmarkEnd w:id="504"/>
      <w:bookmarkEnd w:id="505"/>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51.1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2256"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207" name="文本框 211"/>
                <wp:cNvGraphicFramePr/>
                <a:graphic xmlns:a="http://schemas.openxmlformats.org/drawingml/2006/main">
                  <a:graphicData uri="http://schemas.microsoft.com/office/word/2010/wordprocessingShape">
                    <wps:wsp>
                      <wps:cNvSpPr txBox="1"/>
                      <wps:spPr>
                        <a:xfrm>
                          <a:off x="0" y="0"/>
                          <a:ext cx="988060" cy="75311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wps:txbx>
                      <wps:bodyPr wrap="square" upright="1"/>
                    </wps:wsp>
                  </a:graphicData>
                </a:graphic>
              </wp:anchor>
            </w:drawing>
          </mc:Choice>
          <mc:Fallback>
            <w:pict>
              <v:shape id="文本框 211" o:spid="_x0000_s1026" o:spt="202" type="#_x0000_t202" style="position:absolute;left:0pt;margin-left:-5.8pt;margin-top:0.45pt;height:59.3pt;width:77.8pt;z-index:251872256;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tbrHNUAAAAIAQAADwAAAAAAAAABACAAAAAiAAAAZHJzL2Rvd25yZXYueG1sUEsBAhQAFAAA&#10;AAgAh07iQIalUwq5AQAAXw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进入施工场地的承包人施工设备，需经监理工程师核查后才能投入使用。承包人更换合同约定自身施工设备的，应经监理工程师同意并由其报发包人批准后方可实施。</w:t>
      </w:r>
    </w:p>
    <w:p>
      <w:pPr>
        <w:widowControl w:val="0"/>
        <w:tabs>
          <w:tab w:val="left" w:pos="540"/>
        </w:tabs>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73280"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208" name="文本框 212"/>
                <wp:cNvGraphicFramePr/>
                <a:graphic xmlns:a="http://schemas.openxmlformats.org/drawingml/2006/main">
                  <a:graphicData uri="http://schemas.microsoft.com/office/word/2010/wordprocessingShape">
                    <wps:wsp>
                      <wps:cNvSpPr txBox="1"/>
                      <wps:spPr>
                        <a:xfrm>
                          <a:off x="0" y="0"/>
                          <a:ext cx="873760" cy="68580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pPr>
                              <w:spacing w:line="240" w:lineRule="exact"/>
                              <w:rPr>
                                <w:rFonts w:ascii="Times New Roman" w:hAnsi="Times New Roman" w:cs="Times New Roman"/>
                                <w:sz w:val="18"/>
                                <w:szCs w:val="18"/>
                              </w:rPr>
                            </w:pPr>
                          </w:p>
                        </w:txbxContent>
                      </wps:txbx>
                      <wps:bodyPr wrap="square" upright="1"/>
                    </wps:wsp>
                  </a:graphicData>
                </a:graphic>
              </wp:anchor>
            </w:drawing>
          </mc:Choice>
          <mc:Fallback>
            <w:pict>
              <v:shape id="文本框 212" o:spid="_x0000_s1026" o:spt="202" type="#_x0000_t202" style="position:absolute;left:0pt;margin-left:-5.25pt;margin-top:17pt;height:54pt;width:68.8pt;z-index:251873280;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iT7A91wAAAAoBAAAPAAAAAAAAAAEAIAAAACIAAABkcnMvZG93bnJldi54bWxQSwECFAAU&#10;AAAACACHTuJAgGBgdrkBAABfAwAADgAAAAAAAAABACAAAAAmAQAAZHJzL2Uyb0RvYy54bWxQSwUG&#10;AAAAAAYABgBZAQAAU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pPr>
                        <w:spacing w:line="240" w:lineRule="exact"/>
                        <w:rPr>
                          <w:rFonts w:ascii="Times New Roman" w:hAnsi="Times New Roman"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51.2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如果发包人提供施工设备或临时设施的，合同双方当事人应在专用条款中约定施工设备或临时设施的品种、规格、型号和提供的时间、地点等内容。</w:t>
      </w:r>
    </w:p>
    <w:p>
      <w:pPr>
        <w:widowControl w:val="0"/>
        <w:tabs>
          <w:tab w:val="left" w:pos="54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51.3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4304"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09" name="文本框 213"/>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wps:txbx>
                      <wps:bodyPr wrap="square" upright="1"/>
                    </wps:wsp>
                  </a:graphicData>
                </a:graphic>
              </wp:anchor>
            </w:drawing>
          </mc:Choice>
          <mc:Fallback>
            <w:pict>
              <v:shape id="文本框 213" o:spid="_x0000_s1026" o:spt="202" type="#_x0000_t202" style="position:absolute;left:0pt;margin-left:-5.8pt;margin-top:0.7pt;height:51.95pt;width:68.8pt;z-index:251874304;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phSAHVAAAACQEAAA8AAAAAAAAAAQAgAAAAIgAAAGRycy9kb3ducmV2LnhtbFBLAQIUABQA&#10;AAAIAIdO4kAxPz/NugEAAF8DAAAOAAAAAAAAAAEAIAAAACQBAABkcnMvZTJvRG9jLnhtbFBLBQYA&#10;AAAABgAGAFkBAABQ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如果承包人使用的施工设备不能满足合同工程进度计划和（或）质量要求的，监理工程师有权要求承包人增加或更换施工设备，承包人应及时增加或更换，由此增加的费用和（或）延误的工期由承包人承担。</w:t>
      </w:r>
    </w:p>
    <w:p>
      <w:pPr>
        <w:widowControl w:val="0"/>
        <w:tabs>
          <w:tab w:val="left" w:pos="54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51.4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运至施工现场的施工设备和在施工现场修建的临时设施，均应视为专门用于实施合同工程。除经监理工程师同意并由其报发包人批准，承包人可根据合同工程进度计划撤走闲置的施工设备</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210" name="文本框 214"/>
                <wp:cNvGraphicFramePr/>
                <a:graphic xmlns:a="http://schemas.openxmlformats.org/drawingml/2006/main">
                  <a:graphicData uri="http://schemas.microsoft.com/office/word/2010/wordprocessingShape">
                    <wps:wsp>
                      <wps:cNvSpPr txBox="1"/>
                      <wps:spPr>
                        <a:xfrm>
                          <a:off x="0" y="0"/>
                          <a:ext cx="914400" cy="65913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wps:txbx>
                      <wps:bodyPr wrap="square" upright="1"/>
                    </wps:wsp>
                  </a:graphicData>
                </a:graphic>
              </wp:anchor>
            </w:drawing>
          </mc:Choice>
          <mc:Fallback>
            <w:pict>
              <v:shape id="文本框 214" o:spid="_x0000_s1026" o:spt="202" type="#_x0000_t202" style="position:absolute;left:0pt;margin-left:-9pt;margin-top:3.65pt;height:51.9pt;width:72pt;z-index:251875328;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o6pSNUAAAAJAQAADwAAAAAAAAABACAAAAAiAAAAZHJzL2Rvd25yZXYueG1sUEsBAhQAFAAA&#10;AAgAh07iQJLjd0S5AQAAXw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外，承包人不得将上述施工设备和临时设施中的任何部分运出施工场地或挪作他用。</w:t>
      </w:r>
    </w:p>
    <w:p>
      <w:pPr>
        <w:widowControl w:val="0"/>
        <w:tabs>
          <w:tab w:val="left" w:pos="540"/>
        </w:tabs>
        <w:adjustRightInd w:val="0"/>
        <w:snapToGrid w:val="0"/>
        <w:spacing w:before="240" w:beforeLines="100"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06" w:name="_Toc10624875"/>
      <w:bookmarkStart w:id="507" w:name="_Toc469384035"/>
      <w:r>
        <w:rPr>
          <w:rFonts w:hint="eastAsia" w:ascii="黑体" w:hAnsi="黑体" w:eastAsia="黑体" w:cs="黑体"/>
          <w:b w:val="0"/>
          <w:bCs/>
          <w:color w:val="auto"/>
          <w:kern w:val="0"/>
          <w:sz w:val="24"/>
          <w:szCs w:val="24"/>
          <w:highlight w:val="none"/>
          <w:lang w:val="en-US" w:eastAsia="zh-CN" w:bidi="ar-SA"/>
        </w:rPr>
        <w:t>★52  工程质量检查</w:t>
      </w:r>
      <w:bookmarkEnd w:id="506"/>
      <w:bookmarkEnd w:id="507"/>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52.1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6352"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211" name="文本框 215"/>
                <wp:cNvGraphicFramePr/>
                <a:graphic xmlns:a="http://schemas.openxmlformats.org/drawingml/2006/main">
                  <a:graphicData uri="http://schemas.microsoft.com/office/word/2010/wordprocessingShape">
                    <wps:wsp>
                      <wps:cNvSpPr txBox="1"/>
                      <wps:spPr>
                        <a:xfrm>
                          <a:off x="0" y="0"/>
                          <a:ext cx="988060" cy="52260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wps:txbx>
                      <wps:bodyPr wrap="square" upright="1"/>
                    </wps:wsp>
                  </a:graphicData>
                </a:graphic>
              </wp:anchor>
            </w:drawing>
          </mc:Choice>
          <mc:Fallback>
            <w:pict>
              <v:shape id="文本框 215" o:spid="_x0000_s1026" o:spt="202" type="#_x0000_t202" style="position:absolute;left:0pt;margin-left:-5.8pt;margin-top:0.45pt;height:41.15pt;width:77.8pt;z-index:251876352;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bvpUdUAAAAHAQAADwAAAAAAAAABACAAAAAiAAAAZHJzL2Rvd25yZXYueG1sUEsBAhQAFAAA&#10;AAgAh07iQHqQPcS5AQAAXw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pPr>
        <w:widowControl w:val="0"/>
        <w:tabs>
          <w:tab w:val="left" w:pos="54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52.2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7376"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212" name="文本框 216"/>
                <wp:cNvGraphicFramePr/>
                <a:graphic xmlns:a="http://schemas.openxmlformats.org/drawingml/2006/main">
                  <a:graphicData uri="http://schemas.microsoft.com/office/word/2010/wordprocessingShape">
                    <wps:wsp>
                      <wps:cNvSpPr txBox="1"/>
                      <wps:spPr>
                        <a:xfrm>
                          <a:off x="0" y="0"/>
                          <a:ext cx="873760" cy="44831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wps:txbx>
                      <wps:bodyPr wrap="square" upright="1"/>
                    </wps:wsp>
                  </a:graphicData>
                </a:graphic>
              </wp:anchor>
            </w:drawing>
          </mc:Choice>
          <mc:Fallback>
            <w:pict>
              <v:shape id="文本框 216" o:spid="_x0000_s1026" o:spt="202" type="#_x0000_t202" style="position:absolute;left:0pt;margin-left:-5.8pt;margin-top:0.7pt;height:35.3pt;width:68.8pt;z-index:251877376;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RqWpPVAAAACAEAAA8AAAAAAAAAAQAgAAAAIgAAAGRycy9kb3ducmV2LnhtbFBLAQIUABQA&#10;AAAIAIdO4kAVDrEb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pPr>
        <w:widowControl w:val="0"/>
        <w:tabs>
          <w:tab w:val="left" w:pos="54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52.3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8400"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13" name="文本框 217"/>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wps:txbx>
                      <wps:bodyPr wrap="square" upright="1"/>
                    </wps:wsp>
                  </a:graphicData>
                </a:graphic>
              </wp:anchor>
            </w:drawing>
          </mc:Choice>
          <mc:Fallback>
            <w:pict>
              <v:shape id="文本框 217" o:spid="_x0000_s1026" o:spt="202" type="#_x0000_t202" style="position:absolute;left:0pt;margin-left:-5.8pt;margin-top:0.7pt;height:51.95pt;width:68.8pt;z-index:251878400;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phSAHVAAAACQEAAA8AAAAAAAAAAQAgAAAAIgAAAGRycy9kb3ducmV2LnhtbFBLAQIUABQA&#10;AAAIAIdO4kDUHlAa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pPr>
        <w:widowControl w:val="0"/>
        <w:tabs>
          <w:tab w:val="left" w:pos="54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52.4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14" name="文本框 218"/>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wrap="square" upright="1"/>
                    </wps:wsp>
                  </a:graphicData>
                </a:graphic>
              </wp:anchor>
            </w:drawing>
          </mc:Choice>
          <mc:Fallback>
            <w:pict>
              <v:shape id="文本框 218" o:spid="_x0000_s1026" o:spt="202" type="#_x0000_t202" style="position:absolute;left:0pt;margin-left:-9pt;margin-top:3.65pt;height:34.65pt;width:72pt;z-index:251879424;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P&#10;GhhB1AAAAAgBAAAPAAAAAAAAAAEAIAAAACIAAABkcnMvZG93bnJldi54bWxQSwECFAAUAAAACACH&#10;TuJA2vrcpbYBAABfAwAADgAAAAAAAAABACAAAAAjAQAAZHJzL2Uyb0RvYy54bWxQSwUGAAAAAAYA&#10;BgBZAQAASw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监理工程师对合同工程质量的检查，不得影响承包人的正常施工。如影响施工正常进行，承包人应向发包人、监理工程师发出书面改正通知；监理工程师应及时予以改正，否则承包人有权提出并得到补偿。</w:t>
      </w:r>
    </w:p>
    <w:p>
      <w:pPr>
        <w:widowControl w:val="0"/>
        <w:tabs>
          <w:tab w:val="left" w:pos="54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52.5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15" name="文本框 219"/>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wps:txbx>
                      <wps:bodyPr wrap="square" upright="1"/>
                    </wps:wsp>
                  </a:graphicData>
                </a:graphic>
              </wp:anchor>
            </w:drawing>
          </mc:Choice>
          <mc:Fallback>
            <w:pict>
              <v:shape id="文本框 219" o:spid="_x0000_s1026" o:spt="202" type="#_x0000_t202" style="position:absolute;left:0pt;margin-left:-9pt;margin-top:3.65pt;height:34.65pt;width:72pt;z-index:251880448;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P&#10;GhhB1AAAAAgBAAAPAAAAAAAAAAEAIAAAACIAAABkcnMvZG93bnJldi54bWxQSwECFAAUAAAACACH&#10;TuJARf0XD7YBAABfAwAADgAAAAAAAAABACAAAAAjAQAAZHJzL2Uyb0RvYy54bWxQSwUGAAAAAAYA&#10;BgBZAQAASw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08" w:name="_Toc469384036"/>
      <w:bookmarkStart w:id="509" w:name="_Toc10624876"/>
      <w:r>
        <w:rPr>
          <w:rFonts w:hint="eastAsia" w:ascii="黑体" w:hAnsi="黑体" w:eastAsia="黑体" w:cs="黑体"/>
          <w:b w:val="0"/>
          <w:bCs/>
          <w:color w:val="auto"/>
          <w:kern w:val="0"/>
          <w:sz w:val="24"/>
          <w:szCs w:val="24"/>
          <w:highlight w:val="none"/>
          <w:lang w:val="en-US" w:eastAsia="zh-CN" w:bidi="ar-SA"/>
        </w:rPr>
        <w:t>★53  隐蔽工程和中间验收</w:t>
      </w:r>
      <w:bookmarkEnd w:id="508"/>
      <w:bookmarkEnd w:id="509"/>
    </w:p>
    <w:p>
      <w:pPr>
        <w:widowControl w:val="0"/>
        <w:tabs>
          <w:tab w:val="left" w:pos="132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53.1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81472"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216" name="文本框 220"/>
                <wp:cNvGraphicFramePr/>
                <a:graphic xmlns:a="http://schemas.openxmlformats.org/drawingml/2006/main">
                  <a:graphicData uri="http://schemas.microsoft.com/office/word/2010/wordprocessingShape">
                    <wps:wsp>
                      <wps:cNvSpPr txBox="1"/>
                      <wps:spPr>
                        <a:xfrm>
                          <a:off x="0" y="0"/>
                          <a:ext cx="873760" cy="45466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wps:txbx>
                      <wps:bodyPr wrap="square" upright="1"/>
                    </wps:wsp>
                  </a:graphicData>
                </a:graphic>
              </wp:anchor>
            </w:drawing>
          </mc:Choice>
          <mc:Fallback>
            <w:pict>
              <v:shape id="文本框 220" o:spid="_x0000_s1026" o:spt="202" type="#_x0000_t202" style="position:absolute;left:0pt;margin-left:-5.8pt;margin-top:1.4pt;height:35.8pt;width:68.8pt;z-index:251881472;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osgOzUAAAACAEAAA8AAAAAAAAAAQAgAAAAIgAAAGRycy9kb3ducmV2LnhtbFBLAQIUABQAAAAI&#10;AIdO4kBQpwc3uAEAAF8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没有经监理工程师验收同意，任何工程均不得覆盖或隐蔽。隐蔽工程覆盖前或中间验收部位具备专用条款约定的验收条件时，承包人应进行自检，并在隐蔽或中间验收前48小时向监理工程师提出隐蔽工程或中间验收申请，通知监理工程师验收。通知的内容包括工程隐蔽或中间验收的内容、时间、地点，以及自检记录和必要的验收资料。承包人应准备验收记录，并提供必要的资料和协助。</w:t>
      </w:r>
    </w:p>
    <w:p>
      <w:pPr>
        <w:widowControl w:val="0"/>
        <w:tabs>
          <w:tab w:val="left" w:pos="720"/>
        </w:tabs>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53.2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217" name="文本框 221"/>
                <wp:cNvGraphicFramePr/>
                <a:graphic xmlns:a="http://schemas.openxmlformats.org/drawingml/2006/main">
                  <a:graphicData uri="http://schemas.microsoft.com/office/word/2010/wordprocessingShape">
                    <wps:wsp>
                      <wps:cNvSpPr txBox="1"/>
                      <wps:spPr>
                        <a:xfrm>
                          <a:off x="0" y="0"/>
                          <a:ext cx="914400" cy="4667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wrap="square" upright="1"/>
                    </wps:wsp>
                  </a:graphicData>
                </a:graphic>
              </wp:anchor>
            </w:drawing>
          </mc:Choice>
          <mc:Fallback>
            <w:pict>
              <v:shape id="文本框 221" o:spid="_x0000_s1026" o:spt="202" type="#_x0000_t202" style="position:absolute;left:0pt;margin-left:-9pt;margin-top:4.1pt;height:36.75pt;width:72pt;z-index:251882496;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qNPRtUAAAAIAQAADwAAAAAAAAABACAAAAAiAAAAZHJzL2Rvd25yZXYueG1sUEsBAhQAFAAA&#10;AAgAh07iQHavvCu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监理工程师不能按时参加验收，应至少提前24小时发出延期验收指令并书面说明理由，延期不得超过48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54.1款规定重新验收。</w:t>
      </w:r>
    </w:p>
    <w:p>
      <w:pPr>
        <w:widowControl w:val="0"/>
        <w:tabs>
          <w:tab w:val="left" w:pos="720"/>
        </w:tabs>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53.3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218" name="文本框 222"/>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wrap="square" upright="1"/>
                    </wps:wsp>
                  </a:graphicData>
                </a:graphic>
              </wp:anchor>
            </w:drawing>
          </mc:Choice>
          <mc:Fallback>
            <w:pict>
              <v:shape id="文本框 222" o:spid="_x0000_s1026" o:spt="202" type="#_x0000_t202" style="position:absolute;left:0pt;margin-left:-9pt;margin-top:0.3pt;height:37.5pt;width:72pt;z-index:251883520;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SQcWs1AAAAAcBAAAPAAAAAAAAAAEAIAAAACIAAABkcnMvZG93bnJldi54bWxQSwECFAAUAAAA&#10;CACHTuJAehWDj7kBAABf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验收合格的，监理工程师应在验收记录上签字，并形成验收文件，承包人可进行隐蔽或继续施工。验收合格24小时后，监理工程师仍不在验收记录上签字，视为监理工程师已认可验收记录。</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验收不合格的，承包人应按照监理工程师的指令修改后重新验收，由此增加的费用和（或）延误的工期由承包人承担。</w:t>
      </w:r>
    </w:p>
    <w:p>
      <w:pPr>
        <w:widowControl w:val="0"/>
        <w:tabs>
          <w:tab w:val="left" w:pos="540"/>
        </w:tabs>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19" name="文本框 22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wrap="square" upright="1"/>
                    </wps:wsp>
                  </a:graphicData>
                </a:graphic>
              </wp:anchor>
            </w:drawing>
          </mc:Choice>
          <mc:Fallback>
            <w:pict>
              <v:shape id="文本框 223" o:spid="_x0000_s1026" o:spt="202" type="#_x0000_t202" style="position:absolute;left:0pt;margin-left:-9pt;margin-top:19.3pt;height:31.2pt;width:72pt;z-index:251884544;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giystcAAAAKAQAADwAAAAAAAAABACAAAAAiAAAAZHJzL2Rvd25yZXYueG1sUEsBAhQA&#10;FAAAAAgAh07iQJXh8YS6AQAAXwMAAA4AAAAAAAAAAQAgAAAAJgEAAGRycy9lMm9Eb2MueG1sUEsF&#10;BgAAAAAGAAYAWQEAAFI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53.4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如监理工程师有指令，承包人应对隐蔽工程进行拍摄或照相，保证监理工程师能充分检查和测量隐蔽的工程。</w:t>
      </w:r>
    </w:p>
    <w:p>
      <w:pPr>
        <w:widowControl w:val="0"/>
        <w:tabs>
          <w:tab w:val="left" w:pos="54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20" name="文本框 22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承包人私自隐蔽</w:t>
                            </w:r>
                          </w:p>
                        </w:txbxContent>
                      </wps:txbx>
                      <wps:bodyPr wrap="square" upright="1"/>
                    </wps:wsp>
                  </a:graphicData>
                </a:graphic>
              </wp:anchor>
            </w:drawing>
          </mc:Choice>
          <mc:Fallback>
            <w:pict>
              <v:shape id="文本框 224" o:spid="_x0000_s1026" o:spt="202" type="#_x0000_t202" style="position:absolute;left:0pt;margin-left:-9pt;margin-top:19.3pt;height:31.2pt;width:72pt;z-index:251885568;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SCLKy1wAAAAoBAAAPAAAAAAAAAAEAIAAAACIAAABkcnMvZG93bnJldi54bWxQSwECFAAU&#10;AAAACACHTuJATKPm0rkBAABfAwAADgAAAAAAAAABACAAAAAmAQAAZHJzL2Uyb0RvYy54bWxQSwUG&#10;AAAAAAYABgBZAQAAUQUAAAAA&#10;">
                <v:fill on="f" focussize="0,0"/>
                <v:stroke on="f"/>
                <v:imagedata o:title=""/>
                <o:lock v:ext="edit" aspectratio="f"/>
                <v:textbo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53.5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承包人未通知监理工程师到场验收，私自将隐蔽工程覆盖的，监理工程师有权指令承包人进行钻孔探测或剥露验收，由此增加的费用和（或）延误的工期由承包人承担。</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10" w:name="_Toc10624877"/>
      <w:bookmarkStart w:id="511" w:name="_Toc469384037"/>
      <w:r>
        <w:rPr>
          <w:rFonts w:hint="eastAsia" w:ascii="黑体" w:hAnsi="黑体" w:eastAsia="黑体" w:cs="黑体"/>
          <w:b w:val="0"/>
          <w:bCs/>
          <w:color w:val="auto"/>
          <w:kern w:val="0"/>
          <w:sz w:val="24"/>
          <w:szCs w:val="24"/>
          <w:highlight w:val="none"/>
          <w:lang w:val="en-US" w:eastAsia="zh-CN" w:bidi="ar-SA"/>
        </w:rPr>
        <w:t>★54  重新验收和额外检查检验</w:t>
      </w:r>
      <w:bookmarkEnd w:id="510"/>
      <w:bookmarkEnd w:id="511"/>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221" name="文本框 225"/>
                <wp:cNvGraphicFramePr/>
                <a:graphic xmlns:a="http://schemas.openxmlformats.org/drawingml/2006/main">
                  <a:graphicData uri="http://schemas.microsoft.com/office/word/2010/wordprocessingShape">
                    <wps:wsp>
                      <wps:cNvSpPr txBox="1"/>
                      <wps:spPr>
                        <a:xfrm>
                          <a:off x="0" y="0"/>
                          <a:ext cx="800100" cy="2857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wps:txbx>
                      <wps:bodyPr wrap="square" upright="1"/>
                    </wps:wsp>
                  </a:graphicData>
                </a:graphic>
              </wp:anchor>
            </w:drawing>
          </mc:Choice>
          <mc:Fallback>
            <w:pict>
              <v:shape id="文本框 225" o:spid="_x0000_s1026" o:spt="202" type="#_x0000_t202" style="position:absolute;left:0pt;margin-left:-9pt;margin-top:19.4pt;height:22.5pt;width:63pt;z-index:251886592;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xwhb1QAAAAkBAAAPAAAAAAAAAAEAIAAAACIAAABkcnMvZG93bnJldi54bWxQSwECFAAUAAAA&#10;CACHTuJAqJs9fr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54.1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pPr>
        <w:widowControl w:val="0"/>
        <w:tabs>
          <w:tab w:val="left" w:pos="540"/>
          <w:tab w:val="left" w:pos="72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54.2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222" name="文本框 226"/>
                <wp:cNvGraphicFramePr/>
                <a:graphic xmlns:a="http://schemas.openxmlformats.org/drawingml/2006/main">
                  <a:graphicData uri="http://schemas.microsoft.com/office/word/2010/wordprocessingShape">
                    <wps:wsp>
                      <wps:cNvSpPr txBox="1"/>
                      <wps:spPr>
                        <a:xfrm>
                          <a:off x="0" y="0"/>
                          <a:ext cx="970280" cy="6273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wps:txbx>
                      <wps:bodyPr wrap="square" upright="1"/>
                    </wps:wsp>
                  </a:graphicData>
                </a:graphic>
              </wp:anchor>
            </w:drawing>
          </mc:Choice>
          <mc:Fallback>
            <w:pict>
              <v:shape id="文本框 226" o:spid="_x0000_s1026" o:spt="202" type="#_x0000_t202" style="position:absolute;left:0pt;margin-left:-9pt;margin-top:0.6pt;height:49.4pt;width:76.4pt;z-index:251887616;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DGBaJ1QAAAAkBAAAPAAAAAAAAAAEAIAAAACIAAABkcnMvZG93bnJldi54bWxQSwECFAAUAAAA&#10;CACHTuJA8+Y40L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当监理工程师指令承包人进行合同中没有约定的检查检验，以核实合同工程某一部位或某种材料和工程设备等产品是否有缺陷时，承包人应按照要求进行检查检验。存在缺陷的，分别按照第50.5款、第52.3款规定处理；没有缺陷的，检查检验的费用和（或）延误的工期由发包人承担，并向承包人支付合理利润。</w:t>
      </w:r>
    </w:p>
    <w:p>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12" w:name="_Toc469384038"/>
      <w:bookmarkStart w:id="513" w:name="_Toc10624878"/>
      <w:r>
        <w:rPr>
          <w:rFonts w:hint="eastAsia" w:ascii="黑体" w:hAnsi="黑体" w:eastAsia="黑体" w:cs="黑体"/>
          <w:b w:val="0"/>
          <w:bCs/>
          <w:color w:val="auto"/>
          <w:kern w:val="0"/>
          <w:sz w:val="24"/>
          <w:szCs w:val="24"/>
          <w:highlight w:val="none"/>
          <w:lang w:val="en-US" w:eastAsia="zh-CN" w:bidi="ar-SA"/>
        </w:rPr>
        <w:t>55  工程试车</w:t>
      </w:r>
      <w:bookmarkEnd w:id="512"/>
      <w:bookmarkEnd w:id="513"/>
    </w:p>
    <w:p>
      <w:pPr>
        <w:adjustRightInd w:val="0"/>
        <w:snapToGrid w:val="0"/>
        <w:spacing w:line="420" w:lineRule="exact"/>
        <w:ind w:left="-2" w:leftChars="-1" w:firstLine="1"/>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55.1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223" name="文本框 227"/>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wps:txbx>
                      <wps:bodyPr wrap="square" upright="1"/>
                    </wps:wsp>
                  </a:graphicData>
                </a:graphic>
              </wp:anchor>
            </w:drawing>
          </mc:Choice>
          <mc:Fallback>
            <w:pict>
              <v:shape id="文本框 227" o:spid="_x0000_s1026" o:spt="202" type="#_x0000_t202" style="position:absolute;left:0pt;margin-left:-9pt;margin-top:1.3pt;height:23.4pt;width:63pt;z-index:251888640;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B3sr/UAAAACAEAAA8AAAAAAAAAAQAgAAAAIgAAAGRycy9kb3ducmV2LnhtbFBLAQIUABQAAAAI&#10;AIdO4kDPydjfuAEAAF8DAAAOAAAAAAAAAAEAIAAAACMBAABkcnMvZTJvRG9jLnhtbFBLBQYAAAAA&#10;BgAGAFkBAABNBQ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按照合同约定需要试车的，试车的内容应与承包人承包的安装范围相一致。</w:t>
      </w:r>
    </w:p>
    <w:p>
      <w:pPr>
        <w:tabs>
          <w:tab w:val="left" w:pos="540"/>
        </w:tabs>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55.2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224" name="文本框 228"/>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a:noFill/>
                        </a:ln>
                      </wps:spPr>
                      <wps:txb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wrap="square" upright="1"/>
                    </wps:wsp>
                  </a:graphicData>
                </a:graphic>
              </wp:anchor>
            </w:drawing>
          </mc:Choice>
          <mc:Fallback>
            <w:pict>
              <v:shape id="文本框 228" o:spid="_x0000_s1026" o:spt="202" type="#_x0000_t202" style="position:absolute;left:0pt;margin-left:-9pt;margin-top:0.25pt;height:36.95pt;width:72pt;z-index:251889664;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bB/bZ1AAAAAcBAAAPAAAAAAAAAAEAIAAAACIAAABkcnMvZG93bnJldi54bWxQSwECFAAUAAAA&#10;CACHTuJATne/+rkBAABfAwAADgAAAAAAAAABACAAAAAjAQAAZHJzL2Uyb0RvYy54bWxQSwUGAAAA&#10;AAYABgBZAQAATgUAAAAA&#10;">
                <v:fill on="f" focussize="0,0"/>
                <v:stroke on="f"/>
                <v:imagedata o:title=""/>
                <o:lock v:ext="edit" aspectratio="f"/>
                <v:textbo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设备安装工程具备单机无负荷试车条件时，承包人应组织试车，并在试车前48小时以书面形式通知监理工程师。通知包括试车内容、时间和地点。承包人应自行准备试车记录，发包人应为承包人试车提供便利和协助。</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不能按时参加试车的，应在开始试车前至少提前24小时发出延期试车指令并书面说明理由，延期不能超过48小时。监理工程师未发出延期试车指令也未能按时参加试车的，承包人可自行试车，并认为试车是经监理工程师同意下完成的。试车完成后，承包人应立即向监理工程师提交试车记录，监理工程师应予认可。</w:t>
      </w:r>
    </w:p>
    <w:p>
      <w:pPr>
        <w:adjustRightInd w:val="0"/>
        <w:snapToGrid w:val="0"/>
        <w:spacing w:line="420" w:lineRule="exact"/>
        <w:rPr>
          <w:rFonts w:ascii="宋体" w:hAnsi="宋体" w:cs="宋体"/>
          <w:color w:val="auto"/>
          <w:sz w:val="22"/>
          <w:szCs w:val="22"/>
          <w:highlight w:val="none"/>
          <w:u w:val="dotted"/>
        </w:rPr>
      </w:pPr>
      <w:r>
        <w:rPr>
          <w:rFonts w:hint="eastAsia" w:ascii="宋体" w:hAnsi="宋体" w:cs="宋体"/>
          <w:b/>
          <w:bCs/>
          <w:color w:val="auto"/>
          <w:sz w:val="22"/>
          <w:szCs w:val="22"/>
          <w:highlight w:val="none"/>
        </w:rPr>
        <w:t xml:space="preserve">55.3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0688"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225" name="文本框 229"/>
                <wp:cNvGraphicFramePr/>
                <a:graphic xmlns:a="http://schemas.openxmlformats.org/drawingml/2006/main">
                  <a:graphicData uri="http://schemas.microsoft.com/office/word/2010/wordprocessingShape">
                    <wps:wsp>
                      <wps:cNvSpPr txBox="1"/>
                      <wps:spPr>
                        <a:xfrm>
                          <a:off x="0" y="0"/>
                          <a:ext cx="873760" cy="471805"/>
                        </a:xfrm>
                        <a:prstGeom prst="rect">
                          <a:avLst/>
                        </a:prstGeom>
                        <a:noFill/>
                        <a:ln>
                          <a:noFill/>
                        </a:ln>
                      </wps:spPr>
                      <wps:txb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wrap="square" upright="1"/>
                    </wps:wsp>
                  </a:graphicData>
                </a:graphic>
              </wp:anchor>
            </w:drawing>
          </mc:Choice>
          <mc:Fallback>
            <w:pict>
              <v:shape id="文本框 229" o:spid="_x0000_s1026" o:spt="202" type="#_x0000_t202" style="position:absolute;left:0pt;margin-left:-5.8pt;margin-top:0.05pt;height:37.15pt;width:68.8pt;z-index:251890688;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KAs6D1AAAAAcBAAAPAAAAAAAAAAEAIAAAACIAAABkcnMvZG93bnJldi54bWxQSwECFAAUAAAA&#10;CACHTuJAitYCWrkBAABfAwAADgAAAAAAAAABACAAAAAjAQAAZHJzL2Uyb0RvYy54bWxQSwUGAAAA&#10;AAYABgBZAQAATgUAAAAA&#10;">
                <v:fill on="f" focussize="0,0"/>
                <v:stroke on="f"/>
                <v:imagedata o:title=""/>
                <o:lock v:ext="edit" aspectratio="f"/>
                <v:textbo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单机试车合格，监理工程师应在试车记录上签字，承包人可继续施工或申请办理竣工验收手续。单机试车合格24小时后，监理工程师仍不在试车记录上签字的，视为监理工程师已认可试车记录。</w:t>
      </w:r>
    </w:p>
    <w:p>
      <w:pPr>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55.4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1712"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226" name="文本框 230"/>
                <wp:cNvGraphicFramePr/>
                <a:graphic xmlns:a="http://schemas.openxmlformats.org/drawingml/2006/main">
                  <a:graphicData uri="http://schemas.microsoft.com/office/word/2010/wordprocessingShape">
                    <wps:wsp>
                      <wps:cNvSpPr txBox="1"/>
                      <wps:spPr>
                        <a:xfrm>
                          <a:off x="0" y="0"/>
                          <a:ext cx="873760" cy="492760"/>
                        </a:xfrm>
                        <a:prstGeom prst="rect">
                          <a:avLst/>
                        </a:prstGeom>
                        <a:noFill/>
                        <a:ln>
                          <a:noFill/>
                        </a:ln>
                      </wps:spPr>
                      <wps:txb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wps:txbx>
                      <wps:bodyPr wrap="square" upright="1"/>
                    </wps:wsp>
                  </a:graphicData>
                </a:graphic>
              </wp:anchor>
            </w:drawing>
          </mc:Choice>
          <mc:Fallback>
            <w:pict>
              <v:shape id="文本框 230" o:spid="_x0000_s1026" o:spt="202" type="#_x0000_t202" style="position:absolute;left:0pt;margin-left:-5.8pt;margin-top:0.9pt;height:38.8pt;width:68.8pt;z-index:251891712;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cVsADVAAAACAEAAA8AAAAAAAAAAQAgAAAAIgAAAGRycy9kb3ducmV2LnhtbFBLAQIUABQAAAAI&#10;AIdO4kC/qGm1twEAAF8DAAAOAAAAAAAAAAEAIAAAACQBAABkcnMvZTJvRG9jLnhtbFBLBQYAAAAA&#10;BgAGAFkBAABNBQAAAAA=&#10;">
                <v:fill on="f" focussize="0,0"/>
                <v:stroke on="f"/>
                <v:imagedata o:title=""/>
                <o:lock v:ext="edit" aspectratio="f"/>
                <v:textbo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设备安装工程具备联动无负荷试车条件时，发包人应组织试车，并在试车前48小时以书面形式通知承包人。通知包括试车内容、时间、地点和对承包人的要求，承包人应按照要求做好准备工作。试车合格，合同双方当事人均应在试车记录上签字。</w:t>
      </w:r>
    </w:p>
    <w:p>
      <w:pPr>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55.5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227" name="文本框 231"/>
                <wp:cNvGraphicFramePr/>
                <a:graphic xmlns:a="http://schemas.openxmlformats.org/drawingml/2006/main">
                  <a:graphicData uri="http://schemas.microsoft.com/office/word/2010/wordprocessingShape">
                    <wps:wsp>
                      <wps:cNvSpPr txBox="1"/>
                      <wps:spPr>
                        <a:xfrm>
                          <a:off x="0" y="0"/>
                          <a:ext cx="883920" cy="42799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wps:txbx>
                      <wps:bodyPr wrap="square" upright="1"/>
                    </wps:wsp>
                  </a:graphicData>
                </a:graphic>
              </wp:anchor>
            </w:drawing>
          </mc:Choice>
          <mc:Fallback>
            <w:pict>
              <v:shape id="文本框 231" o:spid="_x0000_s1026" o:spt="202" type="#_x0000_t202" style="position:absolute;left:0pt;margin-left:-9pt;margin-top:-0.5pt;height:33.7pt;width:69.6pt;z-index:251892736;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gmHzh1gAAAAkBAAAPAAAAAAAAAAEAIAAAACIAAABkcnMvZG93bnJldi54bWxQSwECFAAU&#10;AAAACACHTuJAohky3L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 xml:space="preserve">试车费用，除已含在合同价款外，由发包人承担。试车达不到验收要求的，按照下列规定处理：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（1）由于设计原因试车达不到验收要求，发包人应要求设计人修改设计，承包人按照修改后的设计重新安装。发包人承担修改设计、拆除及重新安装的全部费用和延误的工期。</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（3）由于承包人施工原因试车达不到验收要求，承包人应按照监理工程师要求重新安装和试车，并承担拆除、重新安装和重新试车的费用和延误的工期。</w:t>
      </w:r>
    </w:p>
    <w:p>
      <w:pPr>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55.6  </w:t>
      </w:r>
      <w:r>
        <w:rPr>
          <w:rFonts w:hint="eastAsia" w:ascii="宋体" w:hAnsi="宋体" w:cs="宋体"/>
          <w:b/>
          <w:bCs/>
          <w:color w:val="auto"/>
          <w:sz w:val="22"/>
          <w:szCs w:val="22"/>
          <w:highlight w:val="none"/>
          <w:u w:val="dotted"/>
        </w:rPr>
        <w:t xml:space="preserve">                                                                               </w:t>
      </w:r>
    </w:p>
    <w:p>
      <w:pPr>
        <w:adjustRightInd w:val="0"/>
        <w:snapToGrid w:val="0"/>
        <w:spacing w:line="420" w:lineRule="exact"/>
        <w:rPr>
          <w:rFonts w:ascii="宋体" w:hAnsi="宋体" w:cs="宋体"/>
          <w:b/>
          <w:bCs/>
          <w:color w:val="auto"/>
          <w:sz w:val="22"/>
          <w:szCs w:val="22"/>
          <w:highlight w:val="none"/>
          <w:u w:val="dotted"/>
        </w:rPr>
      </w:pP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228" name="文本框 23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投料试车</w:t>
                            </w:r>
                          </w:p>
                        </w:txbxContent>
                      </wps:txbx>
                      <wps:bodyPr wrap="square" upright="1"/>
                    </wps:wsp>
                  </a:graphicData>
                </a:graphic>
              </wp:anchor>
            </w:drawing>
          </mc:Choice>
          <mc:Fallback>
            <w:pict>
              <v:shape id="文本框 232" o:spid="_x0000_s1026" o:spt="202" type="#_x0000_t202" style="position:absolute;left:0pt;margin-left:-9pt;margin-top:0.8pt;height:23.4pt;width:63pt;z-index:251893760;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ZztIDUAAAACAEAAA8AAAAAAAAAAQAgAAAAIgAAAGRycy9kb3ducmV2LnhtbFBLAQIUABQAAAAI&#10;AIdO4kBnqmbCuAEAAF8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投料试车</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投料试车应在永久工程竣工验收后，由发包人负责。如果发包人要求在永久工程竣工验收前进行试车或需要承包人配合时，应事先取得承包人同意，并另行签订补充协议。</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14" w:name="_Toc469384039"/>
      <w:bookmarkStart w:id="515" w:name="_Toc10624879"/>
      <w:r>
        <w:rPr>
          <w:rFonts w:hint="eastAsia" w:ascii="黑体" w:hAnsi="黑体" w:eastAsia="黑体" w:cs="黑体"/>
          <w:b w:val="0"/>
          <w:bCs/>
          <w:color w:val="auto"/>
          <w:kern w:val="0"/>
          <w:sz w:val="24"/>
          <w:szCs w:val="24"/>
          <w:highlight w:val="none"/>
          <w:lang w:val="en-US" w:eastAsia="zh-CN" w:bidi="ar-SA"/>
        </w:rPr>
        <w:t>★56  工程变更</w:t>
      </w:r>
      <w:bookmarkEnd w:id="514"/>
      <w:bookmarkEnd w:id="515"/>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56.1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229" name="文本框 233"/>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wps:txbx>
                      <wps:bodyPr wrap="square" upright="1"/>
                    </wps:wsp>
                  </a:graphicData>
                </a:graphic>
              </wp:anchor>
            </w:drawing>
          </mc:Choice>
          <mc:Fallback>
            <w:pict>
              <v:shape id="文本框 233" o:spid="_x0000_s1026" o:spt="202" type="#_x0000_t202" style="position:absolute;left:0pt;margin-left:-9pt;margin-top:0.1pt;height:23.4pt;width:81pt;z-index:251894784;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azJMq0wAAAAcBAAAPAAAAAAAAAAEAIAAAACIAAABkcnMvZG93bnJldi54bWxQSwECFAAUAAAA&#10;CACHTuJACb9UqboBAABgAwAADgAAAAAAAAABACAAAAAi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合同履行期间，经发包人批准，监理工程师可按照第56.3款约定的变更程序向承包人发出变更指令，承包人应按照合同约定实施变更工作。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没有经发包人批准也没有监理工程师的工程变更指令，承包人应按照合同约定施工，无权对合同工程作出任何变更。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工程量偏差不属于工程变更，该项工程量增减不需要任何指令。</w:t>
      </w:r>
    </w:p>
    <w:p>
      <w:pPr>
        <w:widowControl w:val="0"/>
        <w:adjustRightInd w:val="0"/>
        <w:snapToGrid w:val="0"/>
        <w:spacing w:line="420" w:lineRule="exact"/>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56.2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230" name="文本框 23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wps:txbx>
                      <wps:bodyPr wrap="square" upright="1"/>
                    </wps:wsp>
                  </a:graphicData>
                </a:graphic>
              </wp:anchor>
            </w:drawing>
          </mc:Choice>
          <mc:Fallback>
            <w:pict>
              <v:shape id="文本框 234" o:spid="_x0000_s1026" o:spt="202" type="#_x0000_t202" style="position:absolute;left:0pt;margin-left:-9pt;margin-top:5.5pt;height:31.2pt;width:72pt;z-index:251895808;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A+l7V1gAAAAkBAAAPAAAAAAAAAAEAIAAAACIAAABkcnMvZG93bnJldi54bWxQSwECFAAU&#10;AAAACACHTuJAnub8sr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合同履行期间，发包人可对合同工程或其任何部分的形式、质量或数量作出变更。发生下列情形之一，应按照本条规定进行变更。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 改变合同工程中任何工程数量；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(2) 删减任何工作，但删减的工作不能转由发包人或其他人实施；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 改变任何工作内容的性质、质量或其他特征；</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 改变工程任何部分的标高、基线、位置和(或)尺寸；</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 为完成永久工程所必须的任何额外工作；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但对合同工程工期、质量标准等实质性变更的，应在作出变更前，与承包人签订补充协议书，作为本合同的补充文件。</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56.3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231" name="文本框 235"/>
                <wp:cNvGraphicFramePr/>
                <a:graphic xmlns:a="http://schemas.openxmlformats.org/drawingml/2006/main">
                  <a:graphicData uri="http://schemas.microsoft.com/office/word/2010/wordprocessingShape">
                    <wps:wsp>
                      <wps:cNvSpPr txBox="1"/>
                      <wps:spPr>
                        <a:xfrm>
                          <a:off x="0" y="0"/>
                          <a:ext cx="914400" cy="556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wps:txbx>
                      <wps:bodyPr wrap="square" upright="1"/>
                    </wps:wsp>
                  </a:graphicData>
                </a:graphic>
              </wp:anchor>
            </w:drawing>
          </mc:Choice>
          <mc:Fallback>
            <w:pict>
              <v:shape id="文本框 235" o:spid="_x0000_s1026" o:spt="202" type="#_x0000_t202" style="position:absolute;left:0pt;margin-left:-9pt;margin-top:1.25pt;height:43.85pt;width:72pt;z-index:251896832;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Qw/9jVAAAACAEAAA8AAAAAAAAAAQAgAAAAIgAAAGRycy9kb3ducmV2LnhtbFBLAQIUABQA&#10;AAAIAIdO4kBaYkuh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bookmarkStart w:id="516" w:name="OLE_LINK1"/>
      <w:r>
        <w:rPr>
          <w:rFonts w:hint="eastAsia" w:ascii="仿宋_GB2312" w:hAnsi="仿宋_GB2312" w:eastAsia="仿宋_GB2312" w:cs="仿宋_GB2312"/>
          <w:color w:val="auto"/>
          <w:sz w:val="24"/>
          <w:szCs w:val="24"/>
          <w:highlight w:val="none"/>
          <w:lang w:val="en-US" w:eastAsia="zh-CN"/>
        </w:rPr>
        <w:t>合同工程发生变更</w:t>
      </w:r>
      <w:bookmarkEnd w:id="516"/>
      <w:r>
        <w:rPr>
          <w:rFonts w:hint="eastAsia" w:ascii="仿宋_GB2312" w:hAnsi="仿宋_GB2312" w:eastAsia="仿宋_GB2312" w:cs="仿宋_GB2312"/>
          <w:color w:val="auto"/>
          <w:sz w:val="24"/>
          <w:szCs w:val="24"/>
          <w:highlight w:val="none"/>
          <w:lang w:val="en-US" w:eastAsia="zh-CN"/>
        </w:rPr>
        <w:t>，合同双方当事人以及监理工程师、造价工程师应遵循下列程序实施工程变更的相关工作。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(1)合同工程可能发生或发生工程变更时，监理工程师或承包人可依据下列情况及时提出。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合同工程可能发生第56.2款所列情形的，监理工程师可向承包人发出变更意向书，并附必要的施工设计图纸及其说明等资料。承包人应在收到变更意向书后的7天内，向监理工程师书面提交包括拟实施变更工作的计划、措施、竣工时间、修改内容和所需金额等在内的实施方案。发包人应在收到实施方案后的7天内予以答复；同意承包人提交的实施方案的，监理工程师应在收到实施方案后的14天内发出变更指令。</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2）合同工程发生第56.2款所列情形的，监理工程师应至少提前14天以书面形式向承包人发出变更指令，并提供变更的施工设计图纸及其说明等资料。</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承包人收到发包人为实施合同工程所提供的施工设计图纸和文件，经检查认为存在第56.2款所列情形的，可向监理工程师提出书面建议。监理工程师收到承包人书面建议后，应提出确认意见并报发包人审批；确认存在变更的，监理工程师应在收到承包人书面建议后的14天内发出变更指令。不同意作为变更的，应由监理工程师书面答复承包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4）若承包人收到监理工程师的变更意向书后认为难以实施此项变更的，应立即通知监理工程师，说明原因并附详细依据。监理工程师与合同双方当事人协商后确定撤销、改变或不改变原变更意向书。</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承包人应在收到监理工程师发出变更指令或变更意向书后的14天内，向发包人提交工程变更报告，并抄送监理工程师、造价工程师。报告内容应包括变更原因、根据第72条约定详细开列变更工作的价格组成和依据，并附变更的施工设计图纸及其相关说明。</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变更工作影响工期的，承包人应提出调整工期的要求。发包人认为有必要时，可要求承包人提交提前或者延长工期的施工进度计划或相应施工措施等资料。</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发包人在收到承包人工程变更报告后，应通知监理工程师、造价工程师及时对报告内容予以核实，并在收到报告后的14天内予以确定或提出修改意见。发包人在收到承包人工程变更报告后的14天内未确定也未提出修改意见的，视为承包人提交的工程变更报告已被认可。</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(4)承包人应在发包人确定工程变更报告后的7天内，按照监理工程师发出的变更指令及时组织实施变更工作。否则，由此引起的损失和（或）延误的工期由承包人承担。</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56.4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232" name="文本框 236"/>
                <wp:cNvGraphicFramePr/>
                <a:graphic xmlns:a="http://schemas.openxmlformats.org/drawingml/2006/main">
                  <a:graphicData uri="http://schemas.microsoft.com/office/word/2010/wordprocessingShape">
                    <wps:wsp>
                      <wps:cNvSpPr txBox="1"/>
                      <wps:spPr>
                        <a:xfrm>
                          <a:off x="0" y="0"/>
                          <a:ext cx="914400" cy="41211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wps:txbx>
                      <wps:bodyPr wrap="square" upright="1"/>
                    </wps:wsp>
                  </a:graphicData>
                </a:graphic>
              </wp:anchor>
            </w:drawing>
          </mc:Choice>
          <mc:Fallback>
            <w:pict>
              <v:shape id="文本框 236" o:spid="_x0000_s1026" o:spt="202" type="#_x0000_t202" style="position:absolute;left:0pt;margin-left:-9pt;margin-top:0.6pt;height:32.45pt;width:72pt;z-index:251897856;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4TrXUAAAACAEAAA8AAAAAAAAAAQAgAAAAIgAAAGRycy9kb3ducmV2LnhtbFBLAQIUABQAAAAI&#10;AIdO4kBXzBcpuAEAAF8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56.3款规定向承包人发出变更指令。</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发包人采纳承包人的建议，给发包人带来降低合同价款、缩短工期或提交工程经济效益等利益的，发包人应按照国家有关规定并在专用条款中约定的计算方法予以奖励。</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56.5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233" name="文本框 237"/>
                <wp:cNvGraphicFramePr/>
                <a:graphic xmlns:a="http://schemas.openxmlformats.org/drawingml/2006/main">
                  <a:graphicData uri="http://schemas.microsoft.com/office/word/2010/wordprocessingShape">
                    <wps:wsp>
                      <wps:cNvSpPr txBox="1"/>
                      <wps:spPr>
                        <a:xfrm>
                          <a:off x="0" y="0"/>
                          <a:ext cx="914400" cy="5880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wps:txbx>
                      <wps:bodyPr wrap="square" upright="1"/>
                    </wps:wsp>
                  </a:graphicData>
                </a:graphic>
              </wp:anchor>
            </w:drawing>
          </mc:Choice>
          <mc:Fallback>
            <w:pict>
              <v:shape id="文本框 237" o:spid="_x0000_s1026" o:spt="202" type="#_x0000_t202" style="position:absolute;left:0pt;margin-left:-9pt;margin-top:1.2pt;height:46.3pt;width:72pt;z-index:251898880;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zKxEtUAAAAIAQAADwAAAAAAAAABACAAAAAiAAAAZHJzL2Rvd25yZXYueG1sUEsBAhQAFAAA&#10;AAgAh07iQD++gi6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工程变更不应使合同作废或无效。工程变更应按照第72条规定确定变更的工程款；影响工期的，工期应相应调整。但由于下列原因引起的变更，承包人无权要求任何额外或附加的费用，工期不予顺延：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（1）为了便于组织施工而采取的技术措施变更或临时工程变更；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（2）为了施工安全、避免干扰等原因而采取的技术措施变更或临时工</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程变更；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（3）因承包人违约、过错或承包人引起的其他变更。</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17" w:name="_Toc469384040"/>
      <w:bookmarkStart w:id="518" w:name="_Toc10624880"/>
      <w:r>
        <w:rPr>
          <w:rFonts w:hint="eastAsia" w:ascii="黑体" w:hAnsi="黑体" w:eastAsia="黑体" w:cs="黑体"/>
          <w:b w:val="0"/>
          <w:bCs/>
          <w:color w:val="auto"/>
          <w:kern w:val="0"/>
          <w:sz w:val="24"/>
          <w:szCs w:val="24"/>
          <w:highlight w:val="none"/>
          <w:lang w:val="en-US" w:eastAsia="zh-CN" w:bidi="ar-SA"/>
        </w:rPr>
        <w:t>57  竣工验收条件</w:t>
      </w:r>
      <w:bookmarkEnd w:id="517"/>
      <w:bookmarkEnd w:id="518"/>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57.1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234" name="文本框 238"/>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wps:txbx>
                      <wps:bodyPr wrap="square" upright="1"/>
                    </wps:wsp>
                  </a:graphicData>
                </a:graphic>
              </wp:anchor>
            </w:drawing>
          </mc:Choice>
          <mc:Fallback>
            <w:pict>
              <v:shape id="文本框 238" o:spid="_x0000_s1026" o:spt="202" type="#_x0000_t202" style="position:absolute;left:0pt;margin-left:-9pt;margin-top:1pt;height:33.3pt;width:72pt;z-index:251899904;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joeU3VAAAACAEAAA8AAAAAAAAAAQAgAAAAIgAAAGRycy9kb3ducmV2LnhtbFBLAQIUABQA&#10;AAAIAIdO4kCw8aRO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承包人实施、完成合同工程的全部工作内容，经自检评定并符合下列条件的，则认为合同工程已具备竣工验收条件。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(1）除监理工程师同意列入缺陷责任期内完成的尾工（甩项）工程和缺陷修补工作外，包括合同约定的试验、检验和验收等工作在内的合同范围内全部工作均已完成，并符合施工设计图纸和合同约定的要求；</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(2）已按照合同约定的内容和份数备齐了符合国家或行业、省要求的竣工资料（质量控制资料、竣工结算文件等）；</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(3）已按照监理工程师的指令编制了在缺陷责任期内完成的尾工（甩项）工程和缺陷修补工作清单，以及相应的实施计划；</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(4）监理工程师要求在竣工验收前应完成的其他工作：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(5）监理工程师要求提交的竣工验收资料清单。</w:t>
      </w:r>
    </w:p>
    <w:p>
      <w:pPr>
        <w:widowControl w:val="0"/>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57.2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235" name="文本框 239"/>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提交竣工验收申请报告</w:t>
                            </w:r>
                          </w:p>
                        </w:txbxContent>
                      </wps:txbx>
                      <wps:bodyPr wrap="square" upright="1"/>
                    </wps:wsp>
                  </a:graphicData>
                </a:graphic>
              </wp:anchor>
            </w:drawing>
          </mc:Choice>
          <mc:Fallback>
            <w:pict>
              <v:shape id="文本框 239" o:spid="_x0000_s1026" o:spt="202" type="#_x0000_t202" style="position:absolute;left:0pt;margin-left:-9pt;margin-top:1pt;height:33.3pt;width:72pt;z-index:251900928;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joeU3VAAAACAEAAA8AAAAAAAAAAQAgAAAAIgAAAGRycy9kb3ducmV2LnhtbFBLAQIUABQA&#10;AAAIAIdO4kAv9m/kugEAAF8DAAAOAAAAAAAAAAEAIAAAACQBAABkcnMvZTJvRG9jLnhtbFBLBQYA&#10;AAAABgAGAFkBAABQBQAAAAA=&#10;">
                <v:fill on="f" focussize="0,0"/>
                <v:stroke on="f"/>
                <v:imagedata o:title=""/>
                <o:lock v:ext="edit" aspectratio="f"/>
                <v:textbo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认为合同工程具备竣工验收条件的，应按照国家或行业、省规定的工程竣工验收技术资料格式和要求，及时向发包人提交竣工验收申请报告和符合要求的完整竣工资料，合同双方当事人应按照第58条规定进行验收。</w:t>
      </w:r>
    </w:p>
    <w:p>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57.3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236" name="文本框 240"/>
                <wp:cNvGraphicFramePr/>
                <a:graphic xmlns:a="http://schemas.openxmlformats.org/drawingml/2006/main">
                  <a:graphicData uri="http://schemas.microsoft.com/office/word/2010/wordprocessingShape">
                    <wps:wsp>
                      <wps:cNvSpPr txBox="1"/>
                      <wps:spPr>
                        <a:xfrm>
                          <a:off x="0" y="0"/>
                          <a:ext cx="873760" cy="40703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wrap="square" upright="1"/>
                    </wps:wsp>
                  </a:graphicData>
                </a:graphic>
              </wp:anchor>
            </w:drawing>
          </mc:Choice>
          <mc:Fallback>
            <w:pict>
              <v:shape id="文本框 240" o:spid="_x0000_s1026" o:spt="202" type="#_x0000_t202" style="position:absolute;left:0pt;margin-left:-9pt;margin-top:3.05pt;height:32.05pt;width:68.8pt;z-index:251901952;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B/ETdUAAAAIAQAADwAAAAAAAAABACAAAAAiAAAAZHJzL2Rvd25yZXYueG1sUEsBAhQAFAAA&#10;AAgAh07iQPTPJT2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如果承包人不按照规定提交竣工资料或提交的资料不符合要求，则认为合同工程尚未具备竣工验收条件。</w:t>
      </w:r>
    </w:p>
    <w:p>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19" w:name="_Toc469384041"/>
      <w:bookmarkStart w:id="520" w:name="_Toc10624881"/>
      <w:r>
        <w:rPr>
          <w:rFonts w:hint="eastAsia" w:ascii="黑体" w:hAnsi="黑体" w:eastAsia="黑体" w:cs="黑体"/>
          <w:b w:val="0"/>
          <w:bCs/>
          <w:color w:val="auto"/>
          <w:kern w:val="0"/>
          <w:sz w:val="24"/>
          <w:szCs w:val="24"/>
          <w:highlight w:val="none"/>
          <w:lang w:val="en-US" w:eastAsia="zh-CN" w:bidi="ar-SA"/>
        </w:rPr>
        <w:t>58  竣工验收</w:t>
      </w:r>
      <w:bookmarkEnd w:id="519"/>
      <w:bookmarkEnd w:id="520"/>
    </w:p>
    <w:p>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w:t>
      </w:r>
      <w:r>
        <w:rPr>
          <w:rFonts w:hint="eastAsia" w:ascii="宋体" w:hAnsi="宋体" w:cs="宋体"/>
          <w:color w:val="auto"/>
          <w:sz w:val="22"/>
          <w:szCs w:val="22"/>
          <w:highlight w:val="none"/>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37" name="文本框 241"/>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wps:txbx>
                      <wps:bodyPr wrap="square" upright="1"/>
                    </wps:wsp>
                  </a:graphicData>
                </a:graphic>
              </wp:anchor>
            </w:drawing>
          </mc:Choice>
          <mc:Fallback>
            <w:pict>
              <v:shape id="文本框 241" o:spid="_x0000_s1026" o:spt="202" type="#_x0000_t202" style="position:absolute;left:0pt;margin-left:-9pt;margin-top:20.3pt;height:32.1pt;width:68.8pt;z-index:251902976;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7JEI1gAAAAoBAAAPAAAAAAAAAAEAIAAAACIAAABkcnMvZG93bnJldi54bWxQSwECFAAU&#10;AAAACACHTuJAdwlPKb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宋体" w:hAnsi="宋体" w:cs="宋体"/>
          <w:b/>
          <w:bCs/>
          <w:color w:val="auto"/>
          <w:sz w:val="22"/>
          <w:szCs w:val="22"/>
          <w:highlight w:val="none"/>
        </w:rPr>
        <w:t>58.1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合同双方当事人应在专用条款中约定合同工程竣工验收标准，但约定的竣工验收标准应符合国家或行业、省的有关规定。</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合同工程需要进行国家验收的，竣工验收是国家验收的一部分。</w:t>
      </w:r>
    </w:p>
    <w:p>
      <w:pPr>
        <w:tabs>
          <w:tab w:val="left" w:pos="1620"/>
        </w:tabs>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38" name="文本框 242"/>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wrap="square" upright="1"/>
                    </wps:wsp>
                  </a:graphicData>
                </a:graphic>
              </wp:anchor>
            </w:drawing>
          </mc:Choice>
          <mc:Fallback>
            <w:pict>
              <v:shape id="文本框 242" o:spid="_x0000_s1026" o:spt="202" type="#_x0000_t202" style="position:absolute;left:0pt;margin-left:-9pt;margin-top:20.3pt;height:32.1pt;width:68.8pt;z-index:251904000;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nskQjWAAAACgEAAA8AAAAAAAAAAQAgAAAAIgAAAGRycy9kb3ducmV2LnhtbFBLAQIUABQA&#10;AAAIAIdO4kAEs8EQ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宋体" w:hAnsi="宋体" w:cs="宋体"/>
          <w:b/>
          <w:bCs/>
          <w:color w:val="auto"/>
          <w:sz w:val="22"/>
          <w:szCs w:val="22"/>
          <w:highlight w:val="none"/>
        </w:rPr>
        <w:t>58.2</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发包人收到承包人按照第57.2 款规定提交的竣工验收申请报告后，应及时通知监理工程师核查合同工程是否具备竣工验收条件。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经核查未具备竣工验收条件的，监理工程师应在收到竣工验收申请报告后的14天内通知承包人，指出在颁发接收证书前承包人应进一步完成的工作内容。承包人完成监理工程师通知的全部工作内容后，应再次提交竣工验收申请报告，直至监理工程师同意为止。</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(2）经核查已具备竣工验收条件的，监理工程师应在收到竣工验收申请报告后的14天内书面提请发包人组织合同工程验收。</w:t>
      </w:r>
    </w:p>
    <w:p>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39" name="文本框 243"/>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wrap="square" upright="1"/>
                    </wps:wsp>
                  </a:graphicData>
                </a:graphic>
              </wp:anchor>
            </w:drawing>
          </mc:Choice>
          <mc:Fallback>
            <w:pict>
              <v:shape id="文本框 243" o:spid="_x0000_s1026" o:spt="202" type="#_x0000_t202" style="position:absolute;left:0pt;margin-left:-9pt;margin-top:20.3pt;height:32.1pt;width:68.8pt;z-index:251905024;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7JEI1gAAAAoBAAAPAAAAAAAAAAEAIAAAACIAAABkcnMvZG93bnJldi54bWxQSwECFAAU&#10;AAAACACHTuJAm7QKur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宋体" w:hAnsi="宋体" w:cs="宋体"/>
          <w:b/>
          <w:bCs/>
          <w:color w:val="auto"/>
          <w:sz w:val="22"/>
          <w:szCs w:val="22"/>
          <w:highlight w:val="none"/>
        </w:rPr>
        <w:t xml:space="preserve">58.3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经监理工程师按照第58.2 款规定核查合同工程已具备竣工验收条件的，发包人应在收到监理工程师书面提请后的28天内，根据合同约定的竣工验收标准和施工设计图纸等文件，按照第19.5款规定组织参加验收各方完成合同工程验收，并在竣工验收后14天内予以确认或提出修改意见。</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竣工验收完成后，承包人应及时向发包人提交竣工验收记录。竣工验收合格的，发包人及参加验收各方应及时在竣工验收记录上签字，并由监理工程师会同参加验收各方形成合同工程竣工验收报告。</w:t>
      </w:r>
    </w:p>
    <w:p>
      <w:pPr>
        <w:adjustRightInd w:val="0"/>
        <w:snapToGrid w:val="0"/>
        <w:spacing w:line="420" w:lineRule="exact"/>
        <w:ind w:left="1491" w:leftChars="1" w:hanging="1489" w:hangingChars="674"/>
        <w:rPr>
          <w:rFonts w:ascii="宋体" w:hAnsi="宋体" w:cs="宋体"/>
          <w:color w:val="auto"/>
          <w:sz w:val="22"/>
          <w:szCs w:val="22"/>
          <w:highlight w:val="none"/>
        </w:rPr>
      </w:pPr>
      <w:r>
        <w:rPr>
          <w:rFonts w:hint="eastAsia" w:ascii="宋体" w:hAnsi="宋体" w:cs="宋体"/>
          <w:b/>
          <w:bCs/>
          <w:color w:val="auto"/>
          <w:sz w:val="22"/>
          <w:szCs w:val="22"/>
          <w:highlight w:val="none"/>
        </w:rPr>
        <w:t>58.4</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240" name="文本框 244"/>
                <wp:cNvGraphicFramePr/>
                <a:graphic xmlns:a="http://schemas.openxmlformats.org/drawingml/2006/main">
                  <a:graphicData uri="http://schemas.microsoft.com/office/word/2010/wordprocessingShape">
                    <wps:wsp>
                      <wps:cNvSpPr txBox="1"/>
                      <wps:spPr>
                        <a:xfrm>
                          <a:off x="0" y="0"/>
                          <a:ext cx="873760" cy="45148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wrap="square" upright="1"/>
                    </wps:wsp>
                  </a:graphicData>
                </a:graphic>
              </wp:anchor>
            </w:drawing>
          </mc:Choice>
          <mc:Fallback>
            <w:pict>
              <v:shape id="文本框 244" o:spid="_x0000_s1026" o:spt="202" type="#_x0000_t202" style="position:absolute;left:0pt;margin-left:-9pt;margin-top:1.55pt;height:35.55pt;width:68.8pt;z-index:251906048;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W1iu3WAAAACAEAAA8AAAAAAAAAAQAgAAAAIgAAAGRycy9kb3ducmV2LnhtbFBLAQIUABQA&#10;AAAIAIdO4kAkqr5D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发包人未按照第58.3款规定完成合同工程验收，或验收后14天内未予确认也未提出修改意见，视为承包人提交的竣工验收申请报告已被认可。</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竣工验收申请报告被认可，则表明已完成合同工程，视为竣工验收合格，但由于不可抗力事件致使发包人不能完成验收的除外。</w:t>
      </w:r>
    </w:p>
    <w:p>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58.5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241" name="文本框 24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wrap="square" upright="1"/>
                    </wps:wsp>
                  </a:graphicData>
                </a:graphic>
              </wp:anchor>
            </w:drawing>
          </mc:Choice>
          <mc:Fallback>
            <w:pict>
              <v:shape id="文本框 245" o:spid="_x0000_s1026" o:spt="202" type="#_x0000_t202" style="position:absolute;left:0pt;margin-left:-9pt;margin-top:1.55pt;height:31.2pt;width:72pt;z-index:251907072;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ar/k3VAAAACAEAAA8AAAAAAAAAAQAgAAAAIgAAAGRycy9kb3ducmV2LnhtbFBLAQIUABQA&#10;AAAIAIdO4kB+PgHj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发包人未按照第58.3款规定完成合同工程验收，从收到监理工程师书面提请后的第29天起承担合同工程照管责任和其他一切意外责任。</w:t>
      </w:r>
    </w:p>
    <w:p>
      <w:pPr>
        <w:tabs>
          <w:tab w:val="left" w:pos="1620"/>
        </w:tabs>
        <w:adjustRightInd w:val="0"/>
        <w:snapToGrid w:val="0"/>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58.6</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竣工</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242" name="文本框 246"/>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wps:txbx>
                      <wps:bodyPr wrap="square" upright="1"/>
                    </wps:wsp>
                  </a:graphicData>
                </a:graphic>
              </wp:anchor>
            </w:drawing>
          </mc:Choice>
          <mc:Fallback>
            <w:pict>
              <v:shape id="文本框 246" o:spid="_x0000_s1026" o:spt="202" type="#_x0000_t202" style="position:absolute;left:0pt;margin-left:-9pt;margin-top:0.35pt;height:31.15pt;width:72pt;z-index:251908096;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fgJC/1AAAAAcBAAAPAAAAAAAAAAEAIAAAACIAAABkcnMvZG93bnJldi54bWxQSwECFAAUAAAA&#10;CACHTuJA0Ohk8LkBAABf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验收合格的，发包人应接收工程，并在收到承包人提交的竣工验收申请报告后的56天内向承包人颁发工程接收证书。</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竣工验收后，发包人同意接收工程但提出限期整修和完善要求的，发包人应缓发工程接收证书。承包人整修和完善工作完成后，监理工程师核查达到要求的，发包人应向承包人颁发工程接收证书。</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58.7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243" name="文本框 247"/>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竣工日期的写明</w:t>
                            </w:r>
                          </w:p>
                        </w:txbxContent>
                      </wps:txbx>
                      <wps:bodyPr wrap="square" upright="1"/>
                    </wps:wsp>
                  </a:graphicData>
                </a:graphic>
              </wp:anchor>
            </w:drawing>
          </mc:Choice>
          <mc:Fallback>
            <w:pict>
              <v:shape id="文本框 247" o:spid="_x0000_s1026" o:spt="202" type="#_x0000_t202" style="position:absolute;left:0pt;margin-left:-9pt;margin-top:0.35pt;height:31.15pt;width:72pt;z-index:251909120;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4CQv9QAAAAHAQAADwAAAAAAAAABACAAAAAiAAAAZHJzL2Rvd25yZXYueG1sUEsBAhQAFAAA&#10;AAgAh07iQE/vr1q6AQAAXwMAAA4AAAAAAAAAAQAgAAAAIwEAAGRycy9lMm9Eb2MueG1sUEsFBgAA&#10;AAAGAAYAWQEAAE8FAAAAAA==&#10;">
                <v:fill on="f" focussize="0,0"/>
                <v:stroke on="f"/>
                <v:imagedata o:title=""/>
                <o:lock v:ext="edit" aspectratio="f"/>
                <v:textbox>
                  <w:txbxContent>
                    <w:p>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竣工验收合格的合同工程，发包人应按照第38.2款规定在工程接收证书上写明合同工程的实际竣工日期。</w:t>
      </w:r>
    </w:p>
    <w:p>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58.8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244" name="文本框 248"/>
                <wp:cNvGraphicFramePr/>
                <a:graphic xmlns:a="http://schemas.openxmlformats.org/drawingml/2006/main">
                  <a:graphicData uri="http://schemas.microsoft.com/office/word/2010/wordprocessingShape">
                    <wps:wsp>
                      <wps:cNvSpPr txBox="1"/>
                      <wps:spPr>
                        <a:xfrm>
                          <a:off x="0" y="0"/>
                          <a:ext cx="914400" cy="12528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wps:txbx>
                      <wps:bodyPr wrap="square" upright="1"/>
                    </wps:wsp>
                  </a:graphicData>
                </a:graphic>
              </wp:anchor>
            </w:drawing>
          </mc:Choice>
          <mc:Fallback>
            <w:pict>
              <v:shape id="文本框 248" o:spid="_x0000_s1026" o:spt="202" type="#_x0000_t202" style="position:absolute;left:0pt;margin-left:-9pt;margin-top:0.35pt;height:98.65pt;width:72pt;z-index:251910144;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o/crNUAAAAIAQAADwAAAAAAAAABACAAAAAiAAAAZHJzL2Rvd25yZXYueG1sUEsBAhQAFAAA&#10;AAgAh07iQNBFGbS5AQAAYA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发包人要求某一单位工程或任一工程部位提前办理竣工验收的，应与承包人签订单位工程或工程部位竣工验收协议，作为本合同的附件。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发包人根据合同进度计划安排，在全部工程竣工前需要使用已经竣工的单位工程或工程部位时，或承包人提出经发包人同意时，可进行单位工程或工程部位验收。验收的程序可参照第57条和本条上述相关条款规定进行。验收合格后，发包人应向承包人颁发单位工程或工程部位接收证书，并负责照管。单位工程或工程部位的验收成果和结论，作为全部工程竣工验收申请报告的附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（2）发包人在全部工程竣工前，使用已接收的单位工程或工程部位导致承包人费用增加的，发包人应承担由此增加的费用和（或）延误的工期，并向承包人支付合理利润。</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58.9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45" name="文本框 249"/>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wps:txbx>
                      <wps:bodyPr wrap="square" upright="1"/>
                    </wps:wsp>
                  </a:graphicData>
                </a:graphic>
              </wp:anchor>
            </w:drawing>
          </mc:Choice>
          <mc:Fallback>
            <w:pict>
              <v:shape id="文本框 249" o:spid="_x0000_s1026" o:spt="202" type="#_x0000_t202" style="position:absolute;left:0pt;margin-left:-9pt;margin-top:0.3pt;height:46.5pt;width:72pt;z-index:25191116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30Cn71AAAAAcBAAAPAAAAAAAAAAEAIAAAACIAAABkcnMvZG93bnJldi54bWxQSwECFAAUAAAA&#10;CACHTuJAMEltWrkBAABf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合同工程尚未全部竣工（其中某项或某几项单位工程或工程部位已竣工），根据合同约定需要在施工期运行的，应由发包人按照第58.8款规定验收合格，并确保安全后，才能投入施工期运行。</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在施工期运行中，发现单位工程或工程部位存在缺陷或损坏的，由承包人按照第59.3款规定进行修复。</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58.10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46" name="文本框 250"/>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wps:txbx>
                      <wps:bodyPr wrap="square" upright="1"/>
                    </wps:wsp>
                  </a:graphicData>
                </a:graphic>
              </wp:anchor>
            </w:drawing>
          </mc:Choice>
          <mc:Fallback>
            <w:pict>
              <v:shape id="文本框 250" o:spid="_x0000_s1026" o:spt="202" type="#_x0000_t202" style="position:absolute;left:0pt;margin-left:-9pt;margin-top:0.3pt;height:46.5pt;width:72pt;z-index:251912192;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9Ap+9QAAAAHAQAADwAAAAAAAAABACAAAAAiAAAAZHJzL2Rvd25yZXYueG1sUEsBAhQAFAAAAAgA&#10;h07iQFZ/0mq3AQAAXwMAAA4AAAAAAAAAAQAgAAAAIwEAAGRycy9lMm9Eb2MueG1sUEsFBgAAAAAG&#10;AAYAWQEAAEw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专用条款没有约定的，工程接收证书颁发后，承包人应按照下列要求对施工场地进行清理，直至监理工程师检验合格为止。竣工清场费用由承包人承担。</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（1）施工场地内残留的垃圾已全部清除出场；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（2）临时设施已拆除，场地已按照合同要求进行清理、平整或复原；</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（3）按照合同约定应撤离的承包人设备和剩余的材料，包括废弃的施</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工设备和材料，已按照计划撤离施工场地；</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（4）建筑物周边及其附近道路、河道的施工堆积物，已按照监理工程</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师指令全部清理；</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（5）监理工程师指令的其他场地清理工作已全部完成。</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如承包人未按照监理工程师的要求恢复临时占地，或者场地清理未达到合同约定的，发包人可自行或委托第三方恢复或清理，所发生的费用从应支付或将支付给承包人的款项中扣除。</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58.11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47" name="文本框 251"/>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wrap="square" upright="1"/>
                    </wps:wsp>
                  </a:graphicData>
                </a:graphic>
              </wp:anchor>
            </w:drawing>
          </mc:Choice>
          <mc:Fallback>
            <w:pict>
              <v:shape id="文本框 251" o:spid="_x0000_s1026" o:spt="202" type="#_x0000_t202" style="position:absolute;left:0pt;margin-left:-9pt;margin-top:0.3pt;height:46.5pt;width:72pt;z-index:251913216;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9Ap+9QAAAAHAQAADwAAAAAAAAABACAAAAAiAAAAZHJzL2Rvd25yZXYueG1sUEsBAhQAFAAA&#10;AAgAh07iQMl4GcC6AQAAXw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接收证书颁发后的56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pPr>
        <w:tabs>
          <w:tab w:val="left" w:pos="1620"/>
        </w:tabs>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4240"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248" name="文本框 252"/>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wps:txbx>
                      <wps:bodyPr wrap="square" upright="1"/>
                    </wps:wsp>
                  </a:graphicData>
                </a:graphic>
              </wp:anchor>
            </w:drawing>
          </mc:Choice>
          <mc:Fallback>
            <w:pict>
              <v:shape id="文本框 252" o:spid="_x0000_s1026" o:spt="202" type="#_x0000_t202" style="position:absolute;left:0pt;margin-left:-5.25pt;margin-top:23.55pt;height:46.55pt;width:72pt;z-index:251914240;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UacUR1wAAAAoBAAAPAAAAAAAAAAEAIAAAACIAAABkcnMvZG93bnJldi54bWxQSwECFAAU&#10;AAAACACHTuJArMIYAL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hint="eastAsia" w:ascii="宋体" w:hAnsi="宋体" w:cs="宋体"/>
          <w:b/>
          <w:bCs/>
          <w:color w:val="auto"/>
          <w:sz w:val="22"/>
          <w:szCs w:val="22"/>
          <w:highlight w:val="none"/>
        </w:rPr>
        <w:t>58.12</w:t>
      </w:r>
      <w:r>
        <w:rPr>
          <w:rFonts w:hint="eastAsia" w:ascii="宋体" w:hAnsi="宋体" w:cs="宋体"/>
          <w:color w:val="auto"/>
          <w:sz w:val="22"/>
          <w:szCs w:val="22"/>
          <w:highlight w:val="none"/>
          <w:u w:val="dotted"/>
        </w:rPr>
        <w:t xml:space="preserve">                                                                                        </w:t>
      </w:r>
    </w:p>
    <w:p>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w:t>合同工程未经竣工验收或竣工验收不合格的，发包人不得使用。发包人强行使用的，由此发生的质量问题及其他问题，由发包人承担责任。</w:t>
      </w:r>
    </w:p>
    <w:p>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58.13</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249" name="文本框 253"/>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工程竣工质量争议的责任</w:t>
                            </w:r>
                          </w:p>
                        </w:txbxContent>
                      </wps:txbx>
                      <wps:bodyPr wrap="square" upright="1"/>
                    </wps:wsp>
                  </a:graphicData>
                </a:graphic>
              </wp:anchor>
            </w:drawing>
          </mc:Choice>
          <mc:Fallback>
            <w:pict>
              <v:shape id="文本框 253" o:spid="_x0000_s1026" o:spt="202" type="#_x0000_t202" style="position:absolute;left:0pt;margin-left:-9pt;margin-top:1.05pt;height:32pt;width:72pt;z-index:251915264;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H8z4vVAAAACAEAAA8AAAAAAAAAAQAgAAAAIgAAAGRycy9kb3ducmV2LnhtbFBLAQIUABQAAAAI&#10;AIdO4kAg70vStwEAAF8DAAAOAAAAAAAAAAEAIAAAACQBAABkcnMvZTJvRG9jLnhtbFBLBQYAAAAA&#10;BgAGAFkBAABN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工程竣工质量争议的责任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合同工程竣工验收时发生工程质量争议，经第86.4款规定调解或认定工程质量符合合同要求的，由发包人承担由此增加的费用和（或）延误的工期。</w:t>
      </w:r>
    </w:p>
    <w:p>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21" w:name="_Toc10624882"/>
      <w:bookmarkStart w:id="522" w:name="_Toc469384042"/>
      <w:r>
        <w:rPr>
          <w:rFonts w:hint="eastAsia" w:ascii="黑体" w:hAnsi="黑体" w:eastAsia="黑体" w:cs="黑体"/>
          <w:b w:val="0"/>
          <w:bCs/>
          <w:color w:val="auto"/>
          <w:kern w:val="0"/>
          <w:sz w:val="24"/>
          <w:szCs w:val="24"/>
          <w:highlight w:val="none"/>
          <w:lang w:val="en-US" w:eastAsia="zh-CN" w:bidi="ar-SA"/>
        </w:rPr>
        <w:t>59  缺陷责任与质量保修</w:t>
      </w:r>
      <w:bookmarkEnd w:id="521"/>
      <w:bookmarkEnd w:id="522"/>
    </w:p>
    <w:p>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0" name="文本框 254"/>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计算</w:t>
                            </w:r>
                          </w:p>
                        </w:txbxContent>
                      </wps:txbx>
                      <wps:bodyPr wrap="square" upright="1"/>
                    </wps:wsp>
                  </a:graphicData>
                </a:graphic>
              </wp:anchor>
            </w:drawing>
          </mc:Choice>
          <mc:Fallback>
            <w:pict>
              <v:shape id="文本框 254" o:spid="_x0000_s1026" o:spt="202" type="#_x0000_t202" style="position:absolute;left:0pt;margin-left:-9pt;margin-top:22.6pt;height:33.85pt;width:76.2pt;z-index:25191628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Wb+ndgAAAAKAQAADwAAAAAAAAABACAAAAAiAAAAZHJzL2Rvd25yZXYueG1sUEsBAhQA&#10;FAAAAAgAh07iQPdLLx65AQAAXwMAAA4AAAAAAAAAAQAgAAAAJwEAAGRycy9lMm9Eb2MueG1sUEsF&#10;BgAAAAAGAAYAWQEAAFI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宋体" w:hAnsi="宋体" w:cs="宋体"/>
          <w:b/>
          <w:bCs/>
          <w:color w:val="auto"/>
          <w:sz w:val="22"/>
          <w:szCs w:val="22"/>
          <w:highlight w:val="none"/>
        </w:rPr>
        <w:t xml:space="preserve">59.1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合同双方当事人应在专用条款中约定缺陷责任期。</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缺陷责任期自实际竣工之日起计算。在全部工程竣工验收前，已经发包人提前验收的单位工程，其缺陷责任期的起算日期相应提前。</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1" name="文本框 255"/>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wps:txbx>
                      <wps:bodyPr wrap="square" upright="1"/>
                    </wps:wsp>
                  </a:graphicData>
                </a:graphic>
              </wp:anchor>
            </w:drawing>
          </mc:Choice>
          <mc:Fallback>
            <w:pict>
              <v:shape id="文本框 255"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Zv6d2AAAAAoBAAAPAAAAAAAAAAEAIAAAACIAAABkcnMvZG93bnJldi54bWxQSwEC&#10;FAAUAAAACACHTuJAaEzktLsBAABfAwAADgAAAAAAAAABACAAAAAnAQAAZHJzL2Uyb0RvYy54bWxQ&#10;SwUGAAAAAAYABgBZAQAAV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宋体" w:hAnsi="宋体" w:cs="宋体"/>
          <w:b/>
          <w:bCs/>
          <w:color w:val="auto"/>
          <w:sz w:val="22"/>
          <w:szCs w:val="22"/>
          <w:highlight w:val="none"/>
        </w:rPr>
        <w:t xml:space="preserve">59.2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由于承包人原因造成某项缺陷或损坏使某项工程或工程设备不能按照原定目标使用而需要再次检查、检验和修复的，发包人有权要求承包人相应延长缺陷责任期，但缺陷责任期最长不超过2年。</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2" name="文本框 256"/>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wps:txbx>
                      <wps:bodyPr wrap="square" upright="1"/>
                    </wps:wsp>
                  </a:graphicData>
                </a:graphic>
              </wp:anchor>
            </w:drawing>
          </mc:Choice>
          <mc:Fallback>
            <w:pict>
              <v:shape id="文本框 256"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CIQsiQ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宋体" w:hAnsi="宋体" w:cs="宋体"/>
          <w:b/>
          <w:bCs/>
          <w:color w:val="auto"/>
          <w:sz w:val="22"/>
          <w:szCs w:val="22"/>
          <w:highlight w:val="none"/>
        </w:rPr>
        <w:t xml:space="preserve">59.3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合同工程存在某项缺陷或损坏的，合同双方当事人应按照下列规定承担缺陷责任以及由此产生的费用。</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（1）承包人应在缺陷责任期内对已交付使用的工程承担缺陷责任。</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缺陷责任期内，发包人对已接收使用的工程负责日常维护工作。发包人在使用过程中，发现已接收的工程存在新的缺陷或已修复的缺陷部位或部件又遭损坏的，应及时通知承包人修复，承包人应在收到通知后的7天内派人修复，直至检验合格为止。承包人未能在规定时间内修复的，发包人可自行或委托第三方修复，所需费用和利润按照本款第（3）点规定办理。</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3" name="文本框 25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wps:txbx>
                      <wps:bodyPr wrap="square" upright="1"/>
                    </wps:wsp>
                  </a:graphicData>
                </a:graphic>
              </wp:anchor>
            </w:drawing>
          </mc:Choice>
          <mc:Fallback>
            <w:pict>
              <v:shape id="文本框 257"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AXRQM6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宋体" w:hAnsi="宋体" w:cs="宋体"/>
          <w:b/>
          <w:bCs/>
          <w:color w:val="auto"/>
          <w:sz w:val="22"/>
          <w:szCs w:val="22"/>
          <w:highlight w:val="none"/>
        </w:rPr>
        <w:t xml:space="preserve">59.4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任何一项缺陷或损坏修复后，经检查证明其影响了工程或工程设备的使用性能，承包人应按照第54条规定重新检（试）验，重新检（试）验的费用由责任方承担。</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4" name="文本框 258"/>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wrap="square" upright="1"/>
                    </wps:wsp>
                  </a:graphicData>
                </a:graphic>
              </wp:anchor>
            </w:drawing>
          </mc:Choice>
          <mc:Fallback>
            <w:pict>
              <v:shape id="文本框 258"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Cqqowu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宋体" w:hAnsi="宋体" w:cs="宋体"/>
          <w:b/>
          <w:bCs/>
          <w:color w:val="auto"/>
          <w:sz w:val="22"/>
          <w:szCs w:val="22"/>
          <w:highlight w:val="none"/>
        </w:rPr>
        <w:t xml:space="preserve">59.5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缺陷责任期内承包人为缺陷修复工作需要，有权进入工程现场，但应遵守发包人的保安和保密等规定。</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5" name="文本框 259"/>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wps:txbx>
                      <wps:bodyPr wrap="square" upright="1"/>
                    </wps:wsp>
                  </a:graphicData>
                </a:graphic>
              </wp:anchor>
            </w:drawing>
          </mc:Choice>
          <mc:Fallback>
            <w:pict>
              <v:shape id="文本框 259"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A1rUeE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hint="eastAsia" w:ascii="宋体" w:hAnsi="宋体" w:cs="宋体"/>
          <w:b/>
          <w:bCs/>
          <w:color w:val="auto"/>
          <w:sz w:val="22"/>
          <w:szCs w:val="22"/>
          <w:highlight w:val="none"/>
        </w:rPr>
        <w:t xml:space="preserve">59.6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在专用条款约定的缺陷责任期（包括第59.2款延长的期限）终止后的14天内，发包人应向承包人颁发缺陷责任期终止证书。</w:t>
      </w:r>
    </w:p>
    <w:p>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6" name="文本框 260"/>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wrap="square" upright="1"/>
                    </wps:wsp>
                  </a:graphicData>
                </a:graphic>
              </wp:anchor>
            </w:drawing>
          </mc:Choice>
          <mc:Fallback>
            <w:pict>
              <v:shape id="文本框 260" o:spid="_x0000_s1026" o:spt="202" type="#_x0000_t202" style="position:absolute;left:0pt;margin-left:-9pt;margin-top:22.6pt;height:33.85pt;width:76.2pt;z-index:25192243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Wb+ndgAAAAKAQAADwAAAAAAAAABACAAAAAiAAAAZHJzL2Rvd25yZXYueG1sUEsBAhQA&#10;FAAAAAgAh07iQCt9mNG5AQAAXwMAAA4AAAAAAAAAAQAgAAAAJwEAAGRycy9lMm9Eb2MueG1sUEsF&#10;BgAAAAAGAAYAWQEAAFI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宋体" w:hAnsi="宋体" w:cs="宋体"/>
          <w:b/>
          <w:bCs/>
          <w:color w:val="auto"/>
          <w:sz w:val="22"/>
          <w:szCs w:val="22"/>
          <w:highlight w:val="none"/>
        </w:rPr>
        <w:t xml:space="preserve">59.7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pPr>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7" name="文本框 261"/>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wrap="square" upright="1"/>
                    </wps:wsp>
                  </a:graphicData>
                </a:graphic>
              </wp:anchor>
            </w:drawing>
          </mc:Choice>
          <mc:Fallback>
            <w:pict>
              <v:shape id="文本框 261" o:spid="_x0000_s1026" o:spt="202" type="#_x0000_t202" style="position:absolute;left:0pt;margin-left:-9pt;margin-top:22.6pt;height:33.85pt;width:76.2pt;z-index:25192345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C0elN7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宋体" w:hAnsi="宋体" w:cs="宋体"/>
          <w:b/>
          <w:bCs/>
          <w:color w:val="auto"/>
          <w:sz w:val="22"/>
          <w:szCs w:val="22"/>
          <w:highlight w:val="none"/>
        </w:rPr>
        <w:t xml:space="preserve">59.8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合同双方当事人应在专用条款和合同工程质量保修书中约定质量保修期。质量保修期自实际竣工之日起计算。在全部工程竣工验收前，已经发包人提前验收的单位工程，其质量保修期的起算日期相应提前。</w:t>
      </w:r>
    </w:p>
    <w:p>
      <w:pPr>
        <w:tabs>
          <w:tab w:val="left" w:pos="360"/>
          <w:tab w:val="left" w:pos="900"/>
        </w:tabs>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59.9  </w:t>
      </w:r>
      <w:r>
        <w:rPr>
          <w:rFonts w:hint="eastAsia" w:ascii="宋体" w:hAnsi="宋体" w:cs="宋体"/>
          <w:b/>
          <w:bCs/>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24480"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258" name="文本框 262"/>
                <wp:cNvGraphicFramePr/>
                <a:graphic xmlns:a="http://schemas.openxmlformats.org/drawingml/2006/main">
                  <a:graphicData uri="http://schemas.microsoft.com/office/word/2010/wordprocessingShape">
                    <wps:wsp>
                      <wps:cNvSpPr txBox="1"/>
                      <wps:spPr>
                        <a:xfrm>
                          <a:off x="0" y="0"/>
                          <a:ext cx="988060" cy="36576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wps:txbx>
                      <wps:bodyPr wrap="square" upright="1"/>
                    </wps:wsp>
                  </a:graphicData>
                </a:graphic>
              </wp:anchor>
            </w:drawing>
          </mc:Choice>
          <mc:Fallback>
            <w:pict>
              <v:shape id="文本框 262" o:spid="_x0000_s1026" o:spt="202" type="#_x0000_t202" style="position:absolute;left:0pt;margin-left:-5.8pt;margin-top:1.2pt;height:28.8pt;width:77.8pt;z-index:251924480;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ViiUO1QAAAAgBAAAPAAAAAAAAAAEAIAAAACIAAABkcnMvZG93bnJldi54bWxQSwECFAAUAAAA&#10;CACHTuJACousVbgBAABfAwAADgAAAAAAAAABACAAAAAkAQAAZHJzL2Uyb0RvYy54bWxQSwUGAAAA&#10;AAYABgBZAQAATgU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pPr>
        <w:adjustRightInd w:val="0"/>
        <w:snapToGrid w:val="0"/>
        <w:spacing w:line="420" w:lineRule="exact"/>
        <w:rPr>
          <w:rFonts w:ascii="宋体" w:hAnsi="宋体" w:cs="宋体"/>
          <w:color w:val="auto"/>
          <w:sz w:val="22"/>
          <w:szCs w:val="22"/>
          <w:highlight w:val="none"/>
          <w:u w:val="dotted"/>
        </w:rPr>
      </w:pPr>
      <w:r>
        <w:rPr>
          <w:rFonts w:hint="eastAsia" w:ascii="宋体" w:hAnsi="宋体" w:cs="宋体"/>
          <w:color w:val="auto"/>
          <w:sz w:val="22"/>
          <w:szCs w:val="22"/>
          <w:highlight w:val="none"/>
        </w:rPr>
        <mc:AlternateContent>
          <mc:Choice Requires="wps">
            <w:drawing>
              <wp:anchor distT="0" distB="0" distL="114300" distR="114300" simplePos="0" relativeHeight="251925504" behindDoc="0" locked="0" layoutInCell="1" allowOverlap="1">
                <wp:simplePos x="0" y="0"/>
                <wp:positionH relativeFrom="column">
                  <wp:posOffset>-66675</wp:posOffset>
                </wp:positionH>
                <wp:positionV relativeFrom="paragraph">
                  <wp:posOffset>259080</wp:posOffset>
                </wp:positionV>
                <wp:extent cx="959485" cy="452120"/>
                <wp:effectExtent l="0" t="0" r="0" b="0"/>
                <wp:wrapNone/>
                <wp:docPr id="259" name="文本框 263"/>
                <wp:cNvGraphicFramePr/>
                <a:graphic xmlns:a="http://schemas.openxmlformats.org/drawingml/2006/main">
                  <a:graphicData uri="http://schemas.microsoft.com/office/word/2010/wordprocessingShape">
                    <wps:wsp>
                      <wps:cNvSpPr txBox="1"/>
                      <wps:spPr>
                        <a:xfrm>
                          <a:off x="0" y="0"/>
                          <a:ext cx="959485" cy="45212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wps:txbx>
                      <wps:bodyPr wrap="square" upright="1"/>
                    </wps:wsp>
                  </a:graphicData>
                </a:graphic>
              </wp:anchor>
            </w:drawing>
          </mc:Choice>
          <mc:Fallback>
            <w:pict>
              <v:shape id="文本框 263" o:spid="_x0000_s1026" o:spt="202" type="#_x0000_t202" style="position:absolute;left:0pt;margin-left:-5.25pt;margin-top:20.4pt;height:35.6pt;width:75.55pt;z-index:251925504;mso-width-relative:page;mso-height-relative:page;" filled="f" stroked="f" coordsize="21600,21600" o:gfxdata="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hxmetYAAAAKAQAADwAAAAAAAAABACAAAAAiAAAAZHJzL2Rvd25yZXYueG1sUEsBAhQA&#10;FAAAAAgAh07iQFgS11G7AQAAXwMAAA4AAAAAAAAAAQAgAAAAJQEAAGRycy9lMm9Eb2MueG1sUEsF&#10;BgAAAAAGAAYAWQEAAFI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hint="eastAsia" w:ascii="宋体" w:hAnsi="宋体" w:cs="宋体"/>
          <w:b/>
          <w:bCs/>
          <w:color w:val="auto"/>
          <w:sz w:val="22"/>
          <w:szCs w:val="22"/>
          <w:highlight w:val="none"/>
        </w:rPr>
        <w:t xml:space="preserve">59.10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承包人修复属于质量缺陷以外的费用，由责任方承担。</w:t>
      </w:r>
    </w:p>
    <w:p>
      <w:pPr>
        <w:adjustRightInd w:val="0"/>
        <w:snapToGrid w:val="0"/>
        <w:spacing w:line="420" w:lineRule="exact"/>
        <w:rPr>
          <w:rFonts w:ascii="宋体" w:hAnsi="宋体" w:cs="宋体"/>
          <w:color w:val="auto"/>
          <w:sz w:val="22"/>
          <w:szCs w:val="22"/>
          <w:highlight w:val="none"/>
          <w:u w:val="single"/>
        </w:rPr>
      </w:pPr>
      <w:r>
        <w:rPr>
          <w:rFonts w:hint="eastAsia" w:ascii="宋体" w:hAnsi="宋体" w:cs="宋体"/>
          <w:b/>
          <w:bCs/>
          <w:color w:val="auto"/>
          <w:sz w:val="22"/>
          <w:szCs w:val="22"/>
          <w:highlight w:val="none"/>
          <w:u w:val="single"/>
        </w:rPr>
        <w:t xml:space="preserve">                                                                                 </w:t>
      </w:r>
      <w:r>
        <w:rPr>
          <w:rFonts w:hint="eastAsia" w:ascii="宋体" w:hAnsi="宋体" w:cs="宋体"/>
          <w:color w:val="auto"/>
          <w:sz w:val="22"/>
          <w:szCs w:val="22"/>
          <w:highlight w:val="none"/>
          <w:u w:val="single"/>
        </w:rPr>
        <w:t xml:space="preserve">     </w:t>
      </w:r>
    </w:p>
    <w:p>
      <w:pPr>
        <w:tabs>
          <w:tab w:val="left" w:pos="1620"/>
        </w:tabs>
        <w:adjustRightInd w:val="0"/>
        <w:snapToGrid w:val="0"/>
        <w:spacing w:line="420" w:lineRule="exact"/>
        <w:jc w:val="center"/>
        <w:outlineLvl w:val="1"/>
        <w:rPr>
          <w:rFonts w:ascii="宋体" w:hAnsi="宋体" w:cs="宋体"/>
          <w:b/>
          <w:bCs/>
          <w:color w:val="auto"/>
          <w:sz w:val="22"/>
          <w:szCs w:val="22"/>
          <w:highlight w:val="none"/>
        </w:rPr>
      </w:pPr>
      <w:bookmarkStart w:id="523" w:name="_Toc469384043"/>
      <w:bookmarkStart w:id="524" w:name="_Toc10624883"/>
      <w:r>
        <w:rPr>
          <w:rFonts w:hint="eastAsia" w:ascii="方正小标宋_GBK" w:hAnsi="方正小标宋_GBK" w:eastAsia="方正小标宋_GBK" w:cs="方正小标宋_GBK"/>
          <w:b/>
          <w:bCs/>
          <w:color w:val="auto"/>
          <w:sz w:val="24"/>
          <w:szCs w:val="24"/>
          <w:highlight w:val="none"/>
        </w:rPr>
        <w:t>六、造  价</w:t>
      </w:r>
      <w:bookmarkEnd w:id="523"/>
      <w:bookmarkEnd w:id="524"/>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25" w:name="_Toc469384044"/>
      <w:bookmarkStart w:id="526" w:name="_Toc10624884"/>
      <w:r>
        <w:rPr>
          <w:rFonts w:hint="eastAsia" w:ascii="黑体" w:hAnsi="黑体" w:eastAsia="黑体" w:cs="黑体"/>
          <w:b w:val="0"/>
          <w:bCs/>
          <w:color w:val="auto"/>
          <w:kern w:val="0"/>
          <w:sz w:val="24"/>
          <w:szCs w:val="24"/>
          <w:highlight w:val="none"/>
          <w:lang w:val="en-US" w:eastAsia="zh-CN" w:bidi="ar-SA"/>
        </w:rPr>
        <w:t>60  资金计划和安排</w:t>
      </w:r>
      <w:bookmarkEnd w:id="525"/>
      <w:bookmarkEnd w:id="526"/>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60.1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26528"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260" name="文本框 264"/>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a:noFill/>
                        </a:ln>
                      </wps:spPr>
                      <wps:txb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承包人提交资金需求计划书</w:t>
                            </w:r>
                          </w:p>
                        </w:txbxContent>
                      </wps:txbx>
                      <wps:bodyPr wrap="square" upright="1"/>
                    </wps:wsp>
                  </a:graphicData>
                </a:graphic>
              </wp:anchor>
            </w:drawing>
          </mc:Choice>
          <mc:Fallback>
            <w:pict>
              <v:shape id="文本框 264" o:spid="_x0000_s1026" o:spt="202" type="#_x0000_t202" style="position:absolute;left:0pt;margin-left:-10.5pt;margin-top:5.4pt;height:34pt;width:72pt;z-index:251926528;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Qv9z9YAAAAJAQAADwAAAAAAAAABACAAAAAiAAAAZHJzL2Rvd25yZXYueG1sUEsBAhQAFAAA&#10;AAgAh07iQFaxiyu4AQAAXwMAAA4AAAAAAAAAAQAgAAAAJQEAAGRycy9lMm9Eb2MueG1sUEsFBgAA&#10;AAAGAAYAWQEAAE8FAAAAAA==&#10;">
                <v:fill on="f" focussize="0,0"/>
                <v:stroke on="f"/>
                <v:imagedata o:title=""/>
                <o:lock v:ext="edit" aspectratio="f"/>
                <v:textbo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承包人提交资金需求计划书</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工程进度计划被批准后，承包人应向发包人提交一份合同工程资金需求计划书；工程进度计划更新后，承包人应及时向发包人提交一份更新后的工程资金需求计划书。</w:t>
      </w:r>
    </w:p>
    <w:p>
      <w:pPr>
        <w:widowControl w:val="0"/>
        <w:adjustRightInd w:val="0"/>
        <w:snapToGrid w:val="0"/>
        <w:spacing w:line="420" w:lineRule="exact"/>
        <w:ind w:left="1484" w:leftChars="1" w:hanging="1482" w:hangingChars="671"/>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60.2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261" name="文本框 265"/>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发包人提供资金安排证据</w:t>
                            </w:r>
                          </w:p>
                        </w:txbxContent>
                      </wps:txbx>
                      <wps:bodyPr wrap="square" upright="1"/>
                    </wps:wsp>
                  </a:graphicData>
                </a:graphic>
              </wp:anchor>
            </w:drawing>
          </mc:Choice>
          <mc:Fallback>
            <w:pict>
              <v:shape id="文本框 265" o:spid="_x0000_s1026" o:spt="202" type="#_x0000_t202" style="position:absolute;left:0pt;margin-left:-9pt;margin-top:2.7pt;height:36.6pt;width:72pt;z-index:251927552;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rB3tUAAAAIAQAADwAAAAAAAAABACAAAAAiAAAAZHJzL2Rvd25yZXYueG1sUEsBAhQAFAAA&#10;AAgAh07iQIf6MoW5AQAAXwMAAA4AAAAAAAAAAQAgAAAAJAEAAGRycy9lMm9Eb2MueG1sUEsFBgAA&#10;AAAGAAYAWQEAAE8FAAAAAA==&#10;">
                <v:fill on="f" focussize="0,0"/>
                <v:stroke on="f"/>
                <v:imagedata o:title=""/>
                <o:lock v:ext="edit" aspectratio="f"/>
                <v:textbo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发包人提供资金安排证据</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在收到承包人提交的工程资金需求计划书后28天内，应根据合同约定提供已做出资金安排的合理证据，表明自己有能力按照第78条规定支付合同价款。如果发包人对资金安排作出任何变更时，应及时将变更的详情通知承包人。</w:t>
      </w:r>
    </w:p>
    <w:p>
      <w:pPr>
        <w:widowControl w:val="0"/>
        <w:tabs>
          <w:tab w:val="left" w:pos="1800"/>
        </w:tabs>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27" w:name="_Toc469384045"/>
      <w:bookmarkStart w:id="528" w:name="_Toc10624885"/>
      <w:r>
        <w:rPr>
          <w:rFonts w:hint="eastAsia" w:ascii="黑体" w:hAnsi="黑体" w:eastAsia="黑体" w:cs="黑体"/>
          <w:b w:val="0"/>
          <w:bCs/>
          <w:color w:val="auto"/>
          <w:kern w:val="0"/>
          <w:sz w:val="24"/>
          <w:szCs w:val="24"/>
          <w:highlight w:val="none"/>
          <w:lang w:val="en-US" w:eastAsia="zh-CN" w:bidi="ar-SA"/>
        </w:rPr>
        <w:t>★61  工程量</w:t>
      </w:r>
      <w:bookmarkEnd w:id="527"/>
      <w:bookmarkEnd w:id="528"/>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61.1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262" name="文本框 266"/>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清单工程量包括的工作内容</w:t>
                            </w:r>
                          </w:p>
                        </w:txbxContent>
                      </wps:txbx>
                      <wps:bodyPr wrap="square" upright="1"/>
                    </wps:wsp>
                  </a:graphicData>
                </a:graphic>
              </wp:anchor>
            </w:drawing>
          </mc:Choice>
          <mc:Fallback>
            <w:pict>
              <v:shape id="文本框 266" o:spid="_x0000_s1026" o:spt="202" type="#_x0000_t202" style="position:absolute;left:0pt;margin-left:-9pt;margin-top:0.9pt;height:37.5pt;width:72pt;z-index:251928576;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bjnddQAAAAIAQAADwAAAAAAAAABACAAAAAiAAAAZHJzL2Rvd25yZXYueG1sUEsBAhQAFAAA&#10;AAgAh07iQEpIoKa6AQAAXwMAAA4AAAAAAAAAAQAgAAAAIwEAAGRycy9lMm9Eb2MueG1sUEsFBgAA&#10;AAAGAAYAWQEAAE8FAAAAAA==&#10;">
                <v:fill on="f" focussize="0,0"/>
                <v:stroke on="f"/>
                <v:imagedata o:title=""/>
                <o:lock v:ext="edit" aspectratio="f"/>
                <v:textbo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清单工程量包括的工作内容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72条规定确定合同价款的增加额。</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61.2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263" name="文本框 267"/>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清单的工程量</w:t>
                            </w:r>
                          </w:p>
                        </w:txbxContent>
                      </wps:txbx>
                      <wps:bodyPr wrap="square" upright="1"/>
                    </wps:wsp>
                  </a:graphicData>
                </a:graphic>
              </wp:anchor>
            </w:drawing>
          </mc:Choice>
          <mc:Fallback>
            <w:pict>
              <v:shape id="文本框 267" o:spid="_x0000_s1026" o:spt="202" type="#_x0000_t202" style="position:absolute;left:0pt;margin-left:-9pt;margin-top:0.9pt;height:28.5pt;width:81pt;z-index:251929600;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NjRGtQAAAAIAQAADwAAAAAAAAABACAAAAAiAAAAZHJzL2Rvd25yZXYueG1sUEsBAhQAFAAA&#10;AAgAh07iQAHQnhi6AQAAYAMAAA4AAAAAAAAAAQAgAAAAIwEAAGRycy9lMm9Eb2MueG1sUEsFBgAA&#10;AAAGAAYAWQEAAE8FAAAAAA==&#10;">
                <v:fill on="f" focussize="0,0"/>
                <v:stroke on="f"/>
                <v:imagedata o:title=""/>
                <o:lock v:ext="edit" aspectratio="f"/>
                <v:textbo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清单的工程量</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工程量清单中开列的工程量是根据合同工程施工设计图纸提供的预计工程量，不能作为承包人履行合同义务中应予完成合同工程的实际和准确工程量。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发包人应按照承包人实际完成的应予计量的工程量与其在工程量清单中填报的单价或合价的乘积向承包人支付工程款。</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29" w:name="_Toc10624886"/>
      <w:bookmarkStart w:id="530" w:name="_Toc469384046"/>
      <w:r>
        <w:rPr>
          <w:rFonts w:hint="eastAsia" w:ascii="黑体" w:hAnsi="黑体" w:eastAsia="黑体" w:cs="黑体"/>
          <w:b w:val="0"/>
          <w:bCs/>
          <w:color w:val="auto"/>
          <w:kern w:val="0"/>
          <w:sz w:val="24"/>
          <w:szCs w:val="24"/>
          <w:highlight w:val="none"/>
          <w:lang w:val="en-US" w:eastAsia="zh-CN" w:bidi="ar-SA"/>
        </w:rPr>
        <w:t>★62  工程计量和计价</w:t>
      </w:r>
      <w:bookmarkEnd w:id="529"/>
      <w:bookmarkEnd w:id="530"/>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62.1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264" name="文本框 268"/>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工程计量和计价的依据</w:t>
                            </w:r>
                          </w:p>
                        </w:txbxContent>
                      </wps:txbx>
                      <wps:bodyPr wrap="square" upright="1"/>
                    </wps:wsp>
                  </a:graphicData>
                </a:graphic>
              </wp:anchor>
            </w:drawing>
          </mc:Choice>
          <mc:Fallback>
            <w:pict>
              <v:shape id="文本框 268" o:spid="_x0000_s1026" o:spt="202" type="#_x0000_t202" style="position:absolute;left:0pt;margin-left:-9pt;margin-top:1pt;height:32.75pt;width:72pt;z-index:251930624;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AesJLWAAAACAEAAA8AAAAAAAAAAQAgAAAAIgAAAGRycy9kb3ducmV2LnhtbFBLAQIUABQA&#10;AAAIAIdO4kA7dcoXuQEAAF8DAAAOAAAAAAAAAAEAIAAAACUBAABkcnMvZTJvRG9jLnhtbFBLBQYA&#10;AAAABgAGAFkBAABQBQAAAAA=&#10;">
                <v:fill on="f" focussize="0,0"/>
                <v:stroke on="f"/>
                <v:imagedata o:title=""/>
                <o:lock v:ext="edit" aspectratio="f"/>
                <v:textbo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工程计量和计价的依据</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265" name="文本框 269"/>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工程计量和计价的要求</w:t>
                            </w:r>
                          </w:p>
                        </w:txbxContent>
                      </wps:txbx>
                      <wps:bodyPr wrap="square" upright="1"/>
                    </wps:wsp>
                  </a:graphicData>
                </a:graphic>
              </wp:anchor>
            </w:drawing>
          </mc:Choice>
          <mc:Fallback>
            <w:pict>
              <v:shape id="文本框 269" o:spid="_x0000_s1026" o:spt="202" type="#_x0000_t202" style="position:absolute;left:0pt;margin-left:-9pt;margin-top:4pt;height:32.75pt;width:72pt;z-index:251931648;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bzsEXWAAAACAEAAA8AAAAAAAAAAQAgAAAAIgAAAGRycy9kb3ducmV2LnhtbFBLAQIUABQA&#10;AAAIAIdO4kCkcgG9uQEAAF8DAAAOAAAAAAAAAAEAIAAAACUBAABkcnMvZTJvRG9jLnhtbFBLBQYA&#10;AAAABgAGAFkBAABQBQAAAAA=&#10;">
                <v:fill on="f" focussize="0,0"/>
                <v:stroke on="f"/>
                <v:imagedata o:title=""/>
                <o:lock v:ext="edit" aspectratio="f"/>
                <v:textbox>
                  <w:txbxContent>
                    <w:p>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工程计量和计价的要求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合同双方当事人应按照合同约定，依据国家标准《建设工程工程量清单计价规范》、广东省统一工程计价依据或专业部门的工程计价依据以及工程造价管理机构制订的有关计价规定进行工程计量和计价。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造价工程师负责工程计量和计价的核实工作。</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266" name="文本框 270"/>
                <wp:cNvGraphicFramePr/>
                <a:graphic xmlns:a="http://schemas.openxmlformats.org/drawingml/2006/main">
                  <a:graphicData uri="http://schemas.microsoft.com/office/word/2010/wordprocessingShape">
                    <wps:wsp>
                      <wps:cNvSpPr txBox="1"/>
                      <wps:spPr>
                        <a:xfrm>
                          <a:off x="0" y="0"/>
                          <a:ext cx="914400" cy="54800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已完工程款额报告的提交和核实</w:t>
                            </w:r>
                          </w:p>
                        </w:txbxContent>
                      </wps:txbx>
                      <wps:bodyPr wrap="square" upright="1"/>
                    </wps:wsp>
                  </a:graphicData>
                </a:graphic>
              </wp:anchor>
            </w:drawing>
          </mc:Choice>
          <mc:Fallback>
            <w:pict>
              <v:shape id="文本框 270" o:spid="_x0000_s1026" o:spt="202" type="#_x0000_t202" style="position:absolute;left:0pt;margin-left:-9pt;margin-top:-0.15pt;height:43.15pt;width:72pt;z-index:251932672;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kfa9NQAAAAIAQAADwAAAAAAAAABACAAAAAiAAAAZHJzL2Rvd25yZXYueG1sUEsBAhQAFAAAAAgA&#10;h07iQBuwAYm3AQAAXwMAAA4AAAAAAAAAAQAgAAAAIwEAAGRycy9lMm9Eb2MueG1sUEsFBgAAAAAG&#10;AAYAWQEAAEw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已完工程款额报告的提交和核实</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承包人应按照第81.1款规定向造价工程师提交已完工程款额报告。造价工程师应在收到报告后的14天内核实工程量，并将核实结果通知承包人、抄报发包人，作为工程计价和工程款支付的依据。</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267" name="文本框 271"/>
                <wp:cNvGraphicFramePr/>
                <a:graphic xmlns:a="http://schemas.openxmlformats.org/drawingml/2006/main">
                  <a:graphicData uri="http://schemas.microsoft.com/office/word/2010/wordprocessingShape">
                    <wps:wsp>
                      <wps:cNvSpPr txBox="1"/>
                      <wps:spPr>
                        <a:xfrm>
                          <a:off x="0" y="0"/>
                          <a:ext cx="800100" cy="354330"/>
                        </a:xfrm>
                        <a:prstGeom prst="rect">
                          <a:avLst/>
                        </a:prstGeom>
                        <a:noFill/>
                        <a:ln>
                          <a:noFill/>
                        </a:ln>
                      </wps:spPr>
                      <wps:txbx>
                        <w:txbxContent>
                          <w:p>
                            <w:pPr>
                              <w:rPr>
                                <w:rFonts w:ascii="宋体" w:hAnsi="Calibri" w:cs="Times New Roman"/>
                                <w:sz w:val="18"/>
                                <w:szCs w:val="18"/>
                              </w:rPr>
                            </w:pPr>
                            <w:r>
                              <w:rPr>
                                <w:rFonts w:hint="eastAsia" w:ascii="Calibri" w:hAnsi="宋体" w:cs="Calibri"/>
                                <w:b/>
                                <w:bCs/>
                                <w:color w:val="000000"/>
                                <w:sz w:val="18"/>
                                <w:szCs w:val="18"/>
                              </w:rPr>
                              <w:t>现场计量</w:t>
                            </w:r>
                          </w:p>
                        </w:txbxContent>
                      </wps:txbx>
                      <wps:bodyPr wrap="square" upright="1"/>
                    </wps:wsp>
                  </a:graphicData>
                </a:graphic>
              </wp:anchor>
            </w:drawing>
          </mc:Choice>
          <mc:Fallback>
            <w:pict>
              <v:shape id="文本框 271" o:spid="_x0000_s1026" o:spt="202" type="#_x0000_t202" style="position:absolute;left:0pt;margin-left:-9pt;margin-top:3.95pt;height:27.9pt;width:63pt;z-index:251933696;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2Dhm3VAAAACAEAAA8AAAAAAAAAAQAgAAAAIgAAAGRycy9kb3ducmV2LnhtbFBLAQIUABQA&#10;AAAIAIdO4kC7HXYuugEAAF8DAAAOAAAAAAAAAAEAIAAAACQBAABkcnMvZTJvRG9jLnhtbFBLBQYA&#10;AAAABgAGAFkBAABQBQAAAAA=&#10;">
                <v:fill on="f" focussize="0,0"/>
                <v:stroke on="f"/>
                <v:imagedata o:title=""/>
                <o:lock v:ext="edit" aspectratio="f"/>
                <v:textbox>
                  <w:txbxContent>
                    <w:p>
                      <w:pPr>
                        <w:rPr>
                          <w:rFonts w:ascii="宋体" w:hAnsi="Calibri" w:cs="Times New Roman"/>
                          <w:sz w:val="18"/>
                          <w:szCs w:val="18"/>
                        </w:rPr>
                      </w:pPr>
                      <w:r>
                        <w:rPr>
                          <w:rFonts w:hint="eastAsia" w:ascii="Calibri" w:hAnsi="宋体" w:cs="Calibri"/>
                          <w:b/>
                          <w:bCs/>
                          <w:color w:val="000000"/>
                          <w:sz w:val="18"/>
                          <w:szCs w:val="18"/>
                        </w:rPr>
                        <w:t>现场计量</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当造价工程师进行现场计量时，应在计量前24小时通知承包人，承包人应为计量提供便利条件并派人参加。承包人收到通知后不派人参加计量，视为认可计量结果。造价工程师不按照约定时间通知承包人，致使承包人未能派人参加计量，计量结果无效。</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268" name="文本框 272"/>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收到已完工程款额报告的限制</w:t>
                            </w:r>
                          </w:p>
                        </w:txbxContent>
                      </wps:txbx>
                      <wps:bodyPr wrap="square" upright="1"/>
                    </wps:wsp>
                  </a:graphicData>
                </a:graphic>
              </wp:anchor>
            </w:drawing>
          </mc:Choice>
          <mc:Fallback>
            <w:pict>
              <v:shape id="文本框 272" o:spid="_x0000_s1026" o:spt="202" type="#_x0000_t202" style="position:absolute;left:0pt;margin-left:-9pt;margin-top:3.5pt;height:47.5pt;width:72pt;z-index:251934720;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v9Z9dUAAAAJAQAADwAAAAAAAAABACAAAAAiAAAAZHJzL2Rvd25yZXYueG1sUEsBAhQAFAAA&#10;AAgAh07iQGriq4O5AQAAXwMAAA4AAAAAAAAAAQAgAAAAJAEAAGRycy9lMm9Eb2MueG1sUEsFBgAA&#10;AAAGAAYAWQEAAE8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收到已完工程款额报告的限制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造价工程师收到承包人按照第81.1款规定提交的已完工程款额报告后14天内，未进行计量或未向承包人通知计量结果的，从第15天起，承包人报告中开列的工程量即视为被确认，作为工程计价和工程款支付的依据。</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269" name="文本框 273"/>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复核计量结果</w:t>
                            </w:r>
                          </w:p>
                        </w:txbxContent>
                      </wps:txbx>
                      <wps:bodyPr wrap="square" upright="1"/>
                    </wps:wsp>
                  </a:graphicData>
                </a:graphic>
              </wp:anchor>
            </w:drawing>
          </mc:Choice>
          <mc:Fallback>
            <w:pict>
              <v:shape id="文本框 273" o:spid="_x0000_s1026" o:spt="202" type="#_x0000_t202" style="position:absolute;left:0pt;margin-left:-9pt;margin-top:3.6pt;height:23.4pt;width:72pt;z-index:251935744;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4sr5n1QAAAAgBAAAPAAAAAAAAAAEAIAAAACIAAABkcnMvZG93bnJldi54bWxQSwECFAAU&#10;AAAACACHTuJAgunn3LsBAABfAwAADgAAAAAAAAABACAAAAAkAQAAZHJzL2Uyb0RvYy54bWxQSwUG&#10;AAAAAAYABgBZAQAAUQ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复核计量结果</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认为造价工程师的计量结果有误，应在收到计量结果通知后的7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86条规定处理。</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62.7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270" name="文本框 274"/>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不予计量</w:t>
                            </w:r>
                          </w:p>
                        </w:txbxContent>
                      </wps:txbx>
                      <wps:bodyPr wrap="square" upright="1"/>
                    </wps:wsp>
                  </a:graphicData>
                </a:graphic>
              </wp:anchor>
            </w:drawing>
          </mc:Choice>
          <mc:Fallback>
            <w:pict>
              <v:shape id="文本框 274" o:spid="_x0000_s1026" o:spt="202" type="#_x0000_t202" style="position:absolute;left:0pt;margin-left:-9pt;margin-top:2.85pt;height:23.4pt;width:63pt;z-index:251936768;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FK6ZNQAAAAIAQAADwAAAAAAAAABACAAAAAiAAAAZHJzL2Rvd25yZXYueG1sUEsBAhQAFAAAAAgA&#10;h07iQPST9sC3AQAAXwMAAA4AAAAAAAAAAQAgAAAAIwEAAGRycy9lMm9Eb2MueG1sUEsFBgAAAAAG&#10;AAYAWQEAAEw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不予计量</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对承包人超出施工设计图纸范围或因承包人的原因造成返工的工程量，造价工程师均不予计量。</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62.8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271" name="文本框 275"/>
                <wp:cNvGraphicFramePr/>
                <a:graphic xmlns:a="http://schemas.openxmlformats.org/drawingml/2006/main">
                  <a:graphicData uri="http://schemas.microsoft.com/office/word/2010/wordprocessingShape">
                    <wps:wsp>
                      <wps:cNvSpPr txBox="1"/>
                      <wps:spPr>
                        <a:xfrm>
                          <a:off x="0" y="0"/>
                          <a:ext cx="914400" cy="49403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各项工作价款的计算</w:t>
                            </w:r>
                          </w:p>
                        </w:txbxContent>
                      </wps:txbx>
                      <wps:bodyPr wrap="square" upright="1"/>
                    </wps:wsp>
                  </a:graphicData>
                </a:graphic>
              </wp:anchor>
            </w:drawing>
          </mc:Choice>
          <mc:Fallback>
            <w:pict>
              <v:shape id="文本框 275" o:spid="_x0000_s1026" o:spt="202" type="#_x0000_t202" style="position:absolute;left:0pt;margin-left:-9pt;margin-top:1.9pt;height:38.9pt;width:72pt;z-index:251937792;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a9altQAAAAIAQAADwAAAAAAAAABACAAAAAiAAAAZHJzL2Rvd25yZXYueG1sUEsBAhQAFAAA&#10;AAgAh07iQCvupS66AQAAXwMAAA4AAAAAAAAAAQAgAAAAIwEAAGRycy9lMm9Eb2MueG1sUEsFBgAA&#10;AAAGAAYAWQEAAE8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各项工作价款的计算</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按照第69条至第73条、第76条规定所做的调整外，每项工作所适用的单价(费率)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pPr>
        <w:widowControl w:val="0"/>
        <w:tabs>
          <w:tab w:val="left" w:pos="1620"/>
        </w:tabs>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31" w:name="_Toc10624887"/>
      <w:bookmarkStart w:id="532" w:name="_Toc469384047"/>
      <w:r>
        <w:rPr>
          <w:rFonts w:hint="eastAsia" w:ascii="黑体" w:hAnsi="黑体" w:eastAsia="黑体" w:cs="黑体"/>
          <w:b w:val="0"/>
          <w:bCs/>
          <w:color w:val="auto"/>
          <w:kern w:val="0"/>
          <w:sz w:val="24"/>
          <w:szCs w:val="24"/>
          <w:highlight w:val="none"/>
          <w:lang w:val="en-US" w:eastAsia="zh-CN" w:bidi="ar-SA"/>
        </w:rPr>
        <w:t>★63  暂列金额</w:t>
      </w:r>
      <w:bookmarkEnd w:id="531"/>
      <w:bookmarkEnd w:id="532"/>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63.1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8816"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272" name="文本框 276"/>
                <wp:cNvGraphicFramePr/>
                <a:graphic xmlns:a="http://schemas.openxmlformats.org/drawingml/2006/main">
                  <a:graphicData uri="http://schemas.microsoft.com/office/word/2010/wordprocessingShape">
                    <wps:wsp>
                      <wps:cNvSpPr txBox="1"/>
                      <wps:spPr>
                        <a:xfrm>
                          <a:off x="0" y="0"/>
                          <a:ext cx="1143000" cy="6883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暂列金额的用</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途</w:t>
                            </w:r>
                          </w:p>
                        </w:txbxContent>
                      </wps:txbx>
                      <wps:bodyPr wrap="square" upright="1"/>
                    </wps:wsp>
                  </a:graphicData>
                </a:graphic>
              </wp:anchor>
            </w:drawing>
          </mc:Choice>
          <mc:Fallback>
            <w:pict>
              <v:shape id="文本框 276" o:spid="_x0000_s1026" o:spt="202" type="#_x0000_t202" style="position:absolute;left:0pt;margin-left:-18pt;margin-top:7.5pt;height:54.2pt;width:90pt;z-index:251938816;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4CMM9UAAAAKAQAADwAAAAAAAAABACAAAAAiAAAAZHJzL2Rvd25yZXYueG1sUEsBAhQAFAAA&#10;AAgAh07iQJ7kww25AQAAYAMAAA4AAAAAAAAAAQAgAAAAJAEAAGRycy9lMm9Eb2MueG1sUEsFBgAA&#10;AAAGAAYAWQEAAE8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暂列金额的用</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途</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合同双方当事人应在专用条款中明确工程量清单中开列的已标价的暂列金额。</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63.2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9840"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273" name="文本框 277"/>
                <wp:cNvGraphicFramePr/>
                <a:graphic xmlns:a="http://schemas.openxmlformats.org/drawingml/2006/main">
                  <a:graphicData uri="http://schemas.microsoft.com/office/word/2010/wordprocessingShape">
                    <wps:wsp>
                      <wps:cNvSpPr txBox="1"/>
                      <wps:spPr>
                        <a:xfrm>
                          <a:off x="0" y="0"/>
                          <a:ext cx="1028700" cy="55308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暂列金额的支</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付</w:t>
                            </w:r>
                          </w:p>
                        </w:txbxContent>
                      </wps:txbx>
                      <wps:bodyPr wrap="square" upright="1"/>
                    </wps:wsp>
                  </a:graphicData>
                </a:graphic>
              </wp:anchor>
            </w:drawing>
          </mc:Choice>
          <mc:Fallback>
            <w:pict>
              <v:shape id="文本框 277" o:spid="_x0000_s1026" o:spt="202" type="#_x0000_t202" style="position:absolute;left:0pt;margin-left:-10.5pt;margin-top:7.85pt;height:43.55pt;width:81pt;z-index:251939840;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S3yZ/WAAAACgEAAA8AAAAAAAAAAQAgAAAAIgAAAGRycy9kb3ducmV2LnhtbFBLAQIUABQA&#10;AAAIAIdO4kDzCMrmuQEAAGADAAAOAAAAAAAAAAEAIAAAACU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暂列金额的支</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经发包人批准后，监理工程师应就承包人实施第63.1款规定的工作发出书面指令。承包人应就此项指令提出所需价款，经造价工程师核实并由其报发包人确认后，向承包人支付相关款项。</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63.3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74" name="文本框 27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提供暂列金额支付票据</w:t>
                            </w:r>
                          </w:p>
                        </w:txbxContent>
                      </wps:txbx>
                      <wps:bodyPr wrap="square" upright="1"/>
                    </wps:wsp>
                  </a:graphicData>
                </a:graphic>
              </wp:anchor>
            </w:drawing>
          </mc:Choice>
          <mc:Fallback>
            <w:pict>
              <v:shape id="文本框 278" o:spid="_x0000_s1026" o:spt="202" type="#_x0000_t202" style="position:absolute;left:0pt;margin-left:-9pt;margin-top:1.25pt;height:31.2pt;width:72pt;z-index:25194086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DKFkfZugEAAF8DAAAOAAAAAAAAAAEAIAAAACQ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提供暂列金额支付票据</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造价工程师有要求时，承包人应提供使用暂列金额支付项目的所有报价单、发票、账单或收据。</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33" w:name="_Toc469384048"/>
      <w:bookmarkStart w:id="534" w:name="_Toc10624888"/>
      <w:r>
        <w:rPr>
          <w:rFonts w:hint="eastAsia" w:ascii="黑体" w:hAnsi="黑体" w:eastAsia="黑体" w:cs="黑体"/>
          <w:b w:val="0"/>
          <w:bCs/>
          <w:color w:val="auto"/>
          <w:kern w:val="0"/>
          <w:sz w:val="24"/>
          <w:szCs w:val="24"/>
          <w:highlight w:val="none"/>
          <w:lang w:val="en-US" w:eastAsia="zh-CN" w:bidi="ar-SA"/>
        </w:rPr>
        <w:t>★64  计日工</w:t>
      </w:r>
      <w:bookmarkEnd w:id="533"/>
      <w:bookmarkEnd w:id="534"/>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64.1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275" name="文本框 279"/>
                <wp:cNvGraphicFramePr/>
                <a:graphic xmlns:a="http://schemas.openxmlformats.org/drawingml/2006/main">
                  <a:graphicData uri="http://schemas.microsoft.com/office/word/2010/wordprocessingShape">
                    <wps:wsp>
                      <wps:cNvSpPr txBox="1"/>
                      <wps:spPr>
                        <a:xfrm>
                          <a:off x="0" y="0"/>
                          <a:ext cx="914400" cy="38798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计日工单价的用途</w:t>
                            </w:r>
                          </w:p>
                        </w:txbxContent>
                      </wps:txbx>
                      <wps:bodyPr wrap="square" upright="1"/>
                    </wps:wsp>
                  </a:graphicData>
                </a:graphic>
              </wp:anchor>
            </w:drawing>
          </mc:Choice>
          <mc:Fallback>
            <w:pict>
              <v:shape id="文本框 279" o:spid="_x0000_s1026" o:spt="202" type="#_x0000_t202" style="position:absolute;left:0pt;margin-left:-9pt;margin-top:1.25pt;height:30.55pt;width:72pt;z-index:251941888;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L/K9LVAAAACAEAAA8AAAAAAAAAAQAgAAAAIgAAAGRycy9kb3ducmV2LnhtbFBLAQIUABQA&#10;AAAIAIdO4kDTjpUmugEAAF8DAAAOAAAAAAAAAAEAIAAAACQ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计日工单价的用途</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承包人投标文件中填报的计日工单价或价格是用于实施发包人要求的合同以外零星工作项目所需的人工单价、材料、工程设备价格和施工设备机械台班单价。</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64.2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经发包人批准后，监理工程师应就使用计日工项目发出书面指令。</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14605</wp:posOffset>
                </wp:positionV>
                <wp:extent cx="914400" cy="412750"/>
                <wp:effectExtent l="0" t="0" r="0" b="0"/>
                <wp:wrapNone/>
                <wp:docPr id="276" name="文本框 280"/>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计日工的确认</w:t>
                            </w:r>
                          </w:p>
                        </w:txbxContent>
                      </wps:txbx>
                      <wps:bodyPr wrap="square" upright="1"/>
                    </wps:wsp>
                  </a:graphicData>
                </a:graphic>
              </wp:anchor>
            </w:drawing>
          </mc:Choice>
          <mc:Fallback>
            <w:pict>
              <v:shape id="文本框 280" o:spid="_x0000_s1026" o:spt="202" type="#_x0000_t202" style="position:absolute;left:0pt;margin-left:-9pt;margin-top:1.15pt;height:32.5pt;width:72pt;z-index:251942912;mso-width-relative:page;mso-height-relative:page;" filled="f" stroked="f" coordsize="21600,21600" o:gfxdata="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1ujGvWAAAACAEAAA8AAAAAAAAAAQAgAAAAIgAAAGRycy9kb3ducmV2LnhtbFBLAQIUABQA&#10;AAAIAIdO4kCwcM0JuQEAAF8DAAAOAAAAAAAAAAEAIAAAACU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计日工的确认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任一按照计日工方式计价的工作，承包人应在该项工作实施结束后的24小时内，向监理工程师提交有计日工记录的现场签证报告一式两份。</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当此工作持续进行时，承包人应每天向监理工程师提交当天计日工记录完毕的现场签证报告。监理工程师在收到承包人提交现场签证报告后的2天内予以确认并由其报发包人批准后，将其中一份返还给承包人，作为计日工计价和支付的依据。监理工程师逾期未确认也未提出修改意见的，视为承包人提交的现场签证报告已被认可。</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64.3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277" name="文本框 28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计日工的支付</w:t>
                            </w:r>
                          </w:p>
                        </w:txbxContent>
                      </wps:txbx>
                      <wps:bodyPr wrap="square" upright="1"/>
                    </wps:wsp>
                  </a:graphicData>
                </a:graphic>
              </wp:anchor>
            </w:drawing>
          </mc:Choice>
          <mc:Fallback>
            <w:pict>
              <v:shape id="文本框 281" o:spid="_x0000_s1026" o:spt="202" type="#_x0000_t202" style="position:absolute;left:0pt;margin-left:-9pt;margin-top:0.4pt;height:31.2pt;width:72pt;z-index:251943936;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RQ059QAAAAHAQAADwAAAAAAAAABACAAAAAiAAAAZHJzL2Rvd25yZXYueG1sUEsBAhQAFAAA&#10;AAgAh07iQIWVqwi6AQAAXwMAAA4AAAAAAAAAAQAgAAAAIwEAAGRycy9lMm9Eb2MueG1sUEsFBgAA&#10;AAAGAAYAWQEAAE8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计日工的支付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每个支付期末，承包人应按照第81.1款规定向发包人提交本期间所有计日工记录的签证汇总表，以说明本期间自己认为有权得到的计日工费用。 </w:t>
      </w:r>
    </w:p>
    <w:p>
      <w:pPr>
        <w:widowControl w:val="0"/>
        <w:tabs>
          <w:tab w:val="left" w:pos="540"/>
        </w:tabs>
        <w:adjustRightInd w:val="0"/>
        <w:snapToGrid w:val="0"/>
        <w:spacing w:before="240" w:beforeLines="100"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35" w:name="_Toc10624889"/>
      <w:bookmarkStart w:id="536" w:name="_Toc469384049"/>
      <w:r>
        <w:rPr>
          <w:rFonts w:hint="eastAsia" w:ascii="黑体" w:hAnsi="黑体" w:eastAsia="黑体" w:cs="黑体"/>
          <w:b w:val="0"/>
          <w:bCs/>
          <w:color w:val="auto"/>
          <w:kern w:val="0"/>
          <w:sz w:val="24"/>
          <w:szCs w:val="24"/>
          <w:highlight w:val="none"/>
          <w:lang w:val="en-US" w:eastAsia="zh-CN" w:bidi="ar-SA"/>
        </w:rPr>
        <w:t>★65  暂估价</w:t>
      </w:r>
      <w:bookmarkEnd w:id="535"/>
      <w:bookmarkEnd w:id="536"/>
    </w:p>
    <w:p>
      <w:pPr>
        <w:widowControl w:val="0"/>
        <w:adjustRightInd w:val="0"/>
        <w:snapToGrid w:val="0"/>
        <w:spacing w:line="420" w:lineRule="exact"/>
        <w:ind w:left="1540" w:hanging="1540" w:hangingChars="70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44960"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278" name="文本框 282"/>
                <wp:cNvGraphicFramePr/>
                <a:graphic xmlns:a="http://schemas.openxmlformats.org/drawingml/2006/main">
                  <a:graphicData uri="http://schemas.microsoft.com/office/word/2010/wordprocessingShape">
                    <wps:wsp>
                      <wps:cNvSpPr txBox="1"/>
                      <wps:spPr>
                        <a:xfrm>
                          <a:off x="0" y="0"/>
                          <a:ext cx="1047750" cy="48387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招标暂估价项</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目的要求</w:t>
                            </w:r>
                          </w:p>
                          <w:p>
                            <w:pPr>
                              <w:rPr>
                                <w:rFonts w:ascii="楷体_GB2312" w:hAnsi="宋体" w:eastAsia="楷体_GB2312" w:cs="Times New Roman"/>
                                <w:b/>
                                <w:bCs/>
                                <w:color w:val="000000"/>
                                <w:sz w:val="18"/>
                                <w:szCs w:val="18"/>
                              </w:rPr>
                            </w:pPr>
                          </w:p>
                          <w:p>
                            <w:pPr>
                              <w:rPr>
                                <w:rFonts w:ascii="Times New Roman" w:hAnsi="Times New Roman" w:cs="Times New Roman"/>
                                <w:sz w:val="18"/>
                                <w:szCs w:val="18"/>
                              </w:rPr>
                            </w:pPr>
                          </w:p>
                        </w:txbxContent>
                      </wps:txbx>
                      <wps:bodyPr wrap="square" upright="1"/>
                    </wps:wsp>
                  </a:graphicData>
                </a:graphic>
              </wp:anchor>
            </w:drawing>
          </mc:Choice>
          <mc:Fallback>
            <w:pict>
              <v:shape id="文本框 282" o:spid="_x0000_s1026" o:spt="202" type="#_x0000_t202" style="position:absolute;left:0pt;margin-left:-10.5pt;margin-top:25.2pt;height:38.1pt;width:82.5pt;z-index:251944960;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f4+NcAAAAKAQAADwAAAAAAAAABACAAAAAiAAAAZHJzL2Rvd25yZXYueG1sUEsBAhQA&#10;FAAAAAgAh07iQIOEYlC6AQAAYAMAAA4AAAAAAAAAAQAgAAAAJgEAAGRycy9lMm9Eb2MueG1sUEsF&#10;BgAAAAAGAAYAWQEAAFI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招标暂估价项</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目的要求</w:t>
                      </w:r>
                    </w:p>
                    <w:p>
                      <w:pPr>
                        <w:rPr>
                          <w:rFonts w:ascii="楷体_GB2312" w:hAnsi="宋体" w:eastAsia="楷体_GB2312" w:cs="Times New Roman"/>
                          <w:b/>
                          <w:bCs/>
                          <w:color w:val="000000"/>
                          <w:sz w:val="18"/>
                          <w:szCs w:val="18"/>
                        </w:rPr>
                      </w:pPr>
                    </w:p>
                    <w:p>
                      <w:pPr>
                        <w:rPr>
                          <w:rFonts w:ascii="Times New Roman" w:hAnsi="Times New Roman"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65.1</w:t>
      </w:r>
      <w:r>
        <w:rPr>
          <w:rFonts w:hint="eastAsia" w:ascii="宋体" w:hAnsi="宋体" w:eastAsia="宋体" w:cs="宋体"/>
          <w:color w:val="auto"/>
          <w:kern w:val="2"/>
          <w:sz w:val="22"/>
          <w:szCs w:val="22"/>
          <w:highlight w:val="none"/>
          <w:lang w:val="en-US" w:eastAsia="zh-CN" w:bidi="ar-SA"/>
        </w:rPr>
        <w:t xml:space="preserve">                                                                                         </w:t>
      </w:r>
      <w:r>
        <w:rPr>
          <w:rFonts w:hint="eastAsia" w:ascii="仿宋_GB2312" w:hAnsi="仿宋_GB2312" w:eastAsia="仿宋_GB2312" w:cs="仿宋_GB2312"/>
          <w:color w:val="auto"/>
          <w:sz w:val="24"/>
          <w:szCs w:val="24"/>
          <w:highlight w:val="none"/>
          <w:lang w:val="en-US" w:eastAsia="zh-CN"/>
        </w:rPr>
        <w:t>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279" name="文本框 283"/>
                <wp:cNvGraphicFramePr/>
                <a:graphic xmlns:a="http://schemas.openxmlformats.org/drawingml/2006/main">
                  <a:graphicData uri="http://schemas.microsoft.com/office/word/2010/wordprocessingShape">
                    <wps:wsp>
                      <wps:cNvSpPr txBox="1"/>
                      <wps:spPr>
                        <a:xfrm>
                          <a:off x="0" y="0"/>
                          <a:ext cx="1028700" cy="95631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非招标材料和</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工程设备暂估</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价的要求</w:t>
                            </w:r>
                          </w:p>
                          <w:p>
                            <w:pPr>
                              <w:rPr>
                                <w:rFonts w:ascii="Times New Roman" w:hAnsi="Times New Roman" w:cs="Times New Roman"/>
                                <w:sz w:val="18"/>
                                <w:szCs w:val="18"/>
                              </w:rPr>
                            </w:pPr>
                          </w:p>
                        </w:txbxContent>
                      </wps:txbx>
                      <wps:bodyPr wrap="square" upright="1"/>
                    </wps:wsp>
                  </a:graphicData>
                </a:graphic>
              </wp:anchor>
            </w:drawing>
          </mc:Choice>
          <mc:Fallback>
            <w:pict>
              <v:shape id="文本框 283" o:spid="_x0000_s1026" o:spt="202" type="#_x0000_t202" style="position:absolute;left:0pt;margin-left:-9pt;margin-top:19.55pt;height:75.3pt;width:81pt;z-index:251945984;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DBSttcAAAAKAQAADwAAAAAAAAABACAAAAAiAAAAZHJzL2Rvd25yZXYueG1sUEsBAhQA&#10;FAAAAAgAh07iQONBSAS6AQAAYAMAAA4AAAAAAAAAAQAgAAAAJgEAAGRycy9lMm9Eb2MueG1sUEsF&#10;BgAAAAAGAAYAWQEAAFI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非招标材料和</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工程设备暂估</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价的要求</w:t>
                      </w:r>
                    </w:p>
                    <w:p>
                      <w:pPr>
                        <w:rPr>
                          <w:rFonts w:ascii="Times New Roman" w:hAnsi="Times New Roman"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65.2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在工程量清单中给定暂估价的材料和工程设备，未达到依法必须招标的规模、标准的，由承包人按照第49条规定采购。经造价工程师确认的材料和工程设备价格与工程量清单中所列的暂估价的差额以及相应的规费、税金等其他费用，应列入合同价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65.3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47008" behindDoc="0" locked="0" layoutInCell="1" allowOverlap="1">
                <wp:simplePos x="0" y="0"/>
                <wp:positionH relativeFrom="column">
                  <wp:posOffset>-133350</wp:posOffset>
                </wp:positionH>
                <wp:positionV relativeFrom="paragraph">
                  <wp:posOffset>71755</wp:posOffset>
                </wp:positionV>
                <wp:extent cx="1028700" cy="863600"/>
                <wp:effectExtent l="0" t="0" r="0" b="0"/>
                <wp:wrapNone/>
                <wp:docPr id="280" name="文本框 284"/>
                <wp:cNvGraphicFramePr/>
                <a:graphic xmlns:a="http://schemas.openxmlformats.org/drawingml/2006/main">
                  <a:graphicData uri="http://schemas.microsoft.com/office/word/2010/wordprocessingShape">
                    <wps:wsp>
                      <wps:cNvSpPr txBox="1"/>
                      <wps:spPr>
                        <a:xfrm>
                          <a:off x="0" y="0"/>
                          <a:ext cx="1028700" cy="86360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非招标专业工</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程暂估价的要</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求</w:t>
                            </w:r>
                          </w:p>
                        </w:txbxContent>
                      </wps:txbx>
                      <wps:bodyPr wrap="square" upright="1"/>
                    </wps:wsp>
                  </a:graphicData>
                </a:graphic>
              </wp:anchor>
            </w:drawing>
          </mc:Choice>
          <mc:Fallback>
            <w:pict>
              <v:shape id="文本框 284" o:spid="_x0000_s1026" o:spt="202" type="#_x0000_t202" style="position:absolute;left:0pt;margin-left:-10.5pt;margin-top:5.65pt;height:68pt;width:81pt;z-index:251947008;mso-width-relative:page;mso-height-relative:page;" filled="f" stroked="f" coordsize="21600,21600" o:gfxdata="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4U6451gAAAAoBAAAPAAAAAAAAAAEAIAAAACIAAABkcnMvZG93bnJldi54bWxQSwECFAAUAAAA&#10;CACHTuJA6TXwgbcBAABgAwAADgAAAAAAAAABACAAAAAlAQAAZHJzL2Uyb0RvYy54bWxQSwUGAAAA&#10;AAYABgBZAQAATg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非招标专业工</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程暂估价的要</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 xml:space="preserve">发包人在工程量清单中给定暂估价的专业工程，未达到依法必须招标的规模及标准的，除专用条款另有约定外，在合同双方当事人同意下，由造价工程师与分包人按照第72.2款规定确定专业工程款。经确认的专业工程款与工程量清单中所列的暂估价的差额以及相应的规费、税金等其他费用，应列入合同价款。 </w:t>
      </w:r>
    </w:p>
    <w:p>
      <w:pPr>
        <w:widowControl w:val="0"/>
        <w:tabs>
          <w:tab w:val="left" w:pos="3038"/>
        </w:tabs>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37" w:name="_Toc469384050"/>
      <w:bookmarkStart w:id="538" w:name="_Toc10624890"/>
      <w:r>
        <w:rPr>
          <w:rFonts w:hint="eastAsia" w:ascii="黑体" w:hAnsi="黑体" w:eastAsia="黑体" w:cs="黑体"/>
          <w:b w:val="0"/>
          <w:bCs/>
          <w:color w:val="auto"/>
          <w:kern w:val="0"/>
          <w:sz w:val="24"/>
          <w:szCs w:val="24"/>
          <w:highlight w:val="none"/>
          <w:lang w:val="en-US" w:eastAsia="zh-CN" w:bidi="ar-SA"/>
        </w:rPr>
        <w:t>★66  提前竣工奖与误期赔偿费</w:t>
      </w:r>
      <w:bookmarkEnd w:id="537"/>
      <w:bookmarkEnd w:id="538"/>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66.1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281" name="文本框 285"/>
                <wp:cNvGraphicFramePr/>
                <a:graphic xmlns:a="http://schemas.openxmlformats.org/drawingml/2006/main">
                  <a:graphicData uri="http://schemas.microsoft.com/office/word/2010/wordprocessingShape">
                    <wps:wsp>
                      <wps:cNvSpPr txBox="1"/>
                      <wps:spPr>
                        <a:xfrm>
                          <a:off x="0" y="0"/>
                          <a:ext cx="1028700" cy="40513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提前竣工奖</w:t>
                            </w:r>
                          </w:p>
                        </w:txbxContent>
                      </wps:txbx>
                      <wps:bodyPr wrap="square" upright="1"/>
                    </wps:wsp>
                  </a:graphicData>
                </a:graphic>
              </wp:anchor>
            </w:drawing>
          </mc:Choice>
          <mc:Fallback>
            <w:pict>
              <v:shape id="文本框 285" o:spid="_x0000_s1026" o:spt="202" type="#_x0000_t202" style="position:absolute;left:0pt;margin-left:-9pt;margin-top:2.4pt;height:31.9pt;width:81pt;z-index:251948032;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UNERvVAAAACAEAAA8AAAAAAAAAAQAgAAAAIgAAAGRycy9kb3ducmV2LnhtbFBLAQIUABQA&#10;AAAIAIdO4kANa485ugEAAGADAAAOAAAAAAAAAAEAIAAAACQ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提前竣工奖</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5%。提前竣工奖列入竣工结算文件中，与结算款一并支付。</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66.2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282" name="文本框 286"/>
                <wp:cNvGraphicFramePr/>
                <a:graphic xmlns:a="http://schemas.openxmlformats.org/drawingml/2006/main">
                  <a:graphicData uri="http://schemas.microsoft.com/office/word/2010/wordprocessingShape">
                    <wps:wsp>
                      <wps:cNvSpPr txBox="1"/>
                      <wps:spPr>
                        <a:xfrm>
                          <a:off x="0" y="0"/>
                          <a:ext cx="914400" cy="37782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误期赔偿费</w:t>
                            </w:r>
                          </w:p>
                        </w:txbxContent>
                      </wps:txbx>
                      <wps:bodyPr wrap="square" upright="1"/>
                    </wps:wsp>
                  </a:graphicData>
                </a:graphic>
              </wp:anchor>
            </w:drawing>
          </mc:Choice>
          <mc:Fallback>
            <w:pict>
              <v:shape id="文本框 286" o:spid="_x0000_s1026" o:spt="202" type="#_x0000_t202" style="position:absolute;left:0pt;margin-left:-9pt;margin-top:1.3pt;height:29.75pt;width:72pt;z-index:251949056;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TSSmdQAAAAIAQAADwAAAAAAAAABACAAAAAiAAAAZHJzL2Rvd25yZXYueG1sUEsBAhQAFAAA&#10;AAgAh07iQNkZEsm6AQAAXwMAAA4AAAAAAAAAAQAgAAAAIwEAAGRycy9lMm9Eb2MueG1sUEsFBgAA&#10;AAAGAAYAWQEAAE8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误期赔偿费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5%。误期赔偿费列入进度支付文件或竣工结算文件中，在进度款或结算款中扣除。</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39" w:name="_Toc469384051"/>
      <w:bookmarkStart w:id="540" w:name="_Toc10624891"/>
      <w:r>
        <w:rPr>
          <w:rFonts w:hint="eastAsia" w:ascii="黑体" w:hAnsi="黑体" w:eastAsia="黑体" w:cs="黑体"/>
          <w:b w:val="0"/>
          <w:bCs/>
          <w:color w:val="auto"/>
          <w:kern w:val="0"/>
          <w:sz w:val="24"/>
          <w:szCs w:val="24"/>
          <w:highlight w:val="none"/>
          <w:lang w:val="en-US" w:eastAsia="zh-CN" w:bidi="ar-SA"/>
        </w:rPr>
        <w:t>★67  工程优质费</w:t>
      </w:r>
      <w:bookmarkEnd w:id="539"/>
      <w:bookmarkEnd w:id="540"/>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67.1 </w:t>
      </w:r>
    </w:p>
    <w:p>
      <w:pPr>
        <w:widowControl w:val="0"/>
        <w:adjustRightInd w:val="0"/>
        <w:snapToGrid w:val="0"/>
        <w:spacing w:line="420" w:lineRule="exact"/>
        <w:ind w:left="1619" w:leftChars="771"/>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283" name="文本框 287"/>
                <wp:cNvGraphicFramePr/>
                <a:graphic xmlns:a="http://schemas.openxmlformats.org/drawingml/2006/main">
                  <a:graphicData uri="http://schemas.microsoft.com/office/word/2010/wordprocessingShape">
                    <wps:wsp>
                      <wps:cNvSpPr txBox="1"/>
                      <wps:spPr>
                        <a:xfrm>
                          <a:off x="0" y="0"/>
                          <a:ext cx="1028700" cy="52451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工程优质费的</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约定</w:t>
                            </w:r>
                          </w:p>
                        </w:txbxContent>
                      </wps:txbx>
                      <wps:bodyPr wrap="square" upright="1"/>
                    </wps:wsp>
                  </a:graphicData>
                </a:graphic>
              </wp:anchor>
            </w:drawing>
          </mc:Choice>
          <mc:Fallback>
            <w:pict>
              <v:shape id="文本框 287" o:spid="_x0000_s1026" o:spt="202" type="#_x0000_t202" style="position:absolute;left:0pt;margin-left:-9pt;margin-top:2.4pt;height:41.3pt;width:81pt;z-index:251950080;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Fd/XA1AAAAAgBAAAPAAAAAAAAAAEAIAAAACIAAABkcnMvZG93bnJldi54bWxQSwECFAAUAAAA&#10;CACHTuJAPmIMPbkBAABgAwAADgAAAAAAAAABACAAAAAjAQAAZHJzL2Uyb0RvYy54bWxQSwUGAAAA&#10;AAYABgBZAQAATg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工程优质费的</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约定</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284" name="文本框 288"/>
                <wp:cNvGraphicFramePr/>
                <a:graphic xmlns:a="http://schemas.openxmlformats.org/drawingml/2006/main">
                  <a:graphicData uri="http://schemas.microsoft.com/office/word/2010/wordprocessingShape">
                    <wps:wsp>
                      <wps:cNvSpPr txBox="1"/>
                      <wps:spPr>
                        <a:xfrm>
                          <a:off x="0" y="0"/>
                          <a:ext cx="914400" cy="62103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工程优质费计</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提与支付</w:t>
                            </w:r>
                          </w:p>
                        </w:txbxContent>
                      </wps:txbx>
                      <wps:bodyPr wrap="square" upright="1"/>
                    </wps:wsp>
                  </a:graphicData>
                </a:graphic>
              </wp:anchor>
            </w:drawing>
          </mc:Choice>
          <mc:Fallback>
            <w:pict>
              <v:shape id="文本框 288" o:spid="_x0000_s1026" o:spt="202" type="#_x0000_t202" style="position:absolute;left:0pt;margin-left:-9pt;margin-top:18.45pt;height:48.9pt;width:72pt;z-index:251951104;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O89bNgAAAAKAQAADwAAAAAAAAABACAAAAAiAAAAZHJzL2Rvd25yZXYueG1sUEsBAhQA&#10;FAAAAAgAh07iQI6OiD65AQAAXwMAAA4AAAAAAAAAAQAgAAAAJwEAAGRycy9lMm9Eb2MueG1sUEsF&#10;BgAAAAAGAAYAWQEAAFI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工程优质费计</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提与支付</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67.2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当合同工程同时获得上述多个奖项的，工程优质费只按最高奖项的额度计算。工程优质费列入竣工结算文件中，与竣工结算款一并支付。在竣工结算后获得优质奖项的，发包人应在获得奖项后的28天内支付。</w:t>
      </w:r>
    </w:p>
    <w:p>
      <w:pPr>
        <w:widowControl w:val="0"/>
        <w:adjustRightInd w:val="0"/>
        <w:snapToGrid w:val="0"/>
        <w:spacing w:line="420" w:lineRule="exact"/>
        <w:jc w:val="left"/>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41" w:name="_Toc10624892"/>
      <w:bookmarkStart w:id="542" w:name="_Toc469384052"/>
      <w:r>
        <w:rPr>
          <w:rFonts w:hint="eastAsia" w:ascii="黑体" w:hAnsi="黑体" w:eastAsia="黑体" w:cs="黑体"/>
          <w:b w:val="0"/>
          <w:bCs/>
          <w:color w:val="auto"/>
          <w:kern w:val="0"/>
          <w:sz w:val="24"/>
          <w:szCs w:val="24"/>
          <w:highlight w:val="none"/>
          <w:lang w:val="en-US" w:eastAsia="zh-CN" w:bidi="ar-SA"/>
        </w:rPr>
        <w:t>★68  合同价款的约定与调整</w:t>
      </w:r>
      <w:bookmarkEnd w:id="541"/>
      <w:bookmarkEnd w:id="542"/>
    </w:p>
    <w:p>
      <w:pPr>
        <w:widowControl w:val="0"/>
        <w:adjustRightInd w:val="0"/>
        <w:snapToGrid w:val="0"/>
        <w:spacing w:line="420" w:lineRule="exact"/>
        <w:ind w:left="1325" w:hanging="1325" w:hangingChars="60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68.1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285" name="文本框 289"/>
                <wp:cNvGraphicFramePr/>
                <a:graphic xmlns:a="http://schemas.openxmlformats.org/drawingml/2006/main">
                  <a:graphicData uri="http://schemas.microsoft.com/office/word/2010/wordprocessingShape">
                    <wps:wsp>
                      <wps:cNvSpPr txBox="1"/>
                      <wps:spPr>
                        <a:xfrm>
                          <a:off x="0" y="0"/>
                          <a:ext cx="1009650" cy="31305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约定合同价款</w:t>
                            </w:r>
                          </w:p>
                        </w:txbxContent>
                      </wps:txbx>
                      <wps:bodyPr wrap="square" upright="1"/>
                    </wps:wsp>
                  </a:graphicData>
                </a:graphic>
              </wp:anchor>
            </w:drawing>
          </mc:Choice>
          <mc:Fallback>
            <w:pict>
              <v:shape id="文本框 289" o:spid="_x0000_s1026" o:spt="202" type="#_x0000_t202" style="position:absolute;left:0pt;margin-left:-9pt;margin-top:4.5pt;height:24.65pt;width:79.5pt;z-index:251952128;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VZCG9UAAAAIAQAADwAAAAAAAAABACAAAAAiAAAAZHJzL2Rvd25yZXYueG1sUEsBAhQAFAAA&#10;AAgAh07iQDpMzIi5AQAAYAMAAA4AAAAAAAAAAQAgAAAAJAEAAGRycy9lMm9Eb2MueG1sUEsFBgAA&#10;AAAGAAYAWQEAAE8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约定合同价款</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pPr>
        <w:widowControl w:val="0"/>
        <w:adjustRightInd w:val="0"/>
        <w:snapToGrid w:val="0"/>
        <w:spacing w:line="420" w:lineRule="exact"/>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mc:AlternateContent>
          <mc:Choice Requires="wps">
            <w:drawing>
              <wp:anchor distT="0" distB="0" distL="114300" distR="114300" simplePos="0" relativeHeight="251953152" behindDoc="0" locked="0" layoutInCell="1" allowOverlap="1">
                <wp:simplePos x="0" y="0"/>
                <wp:positionH relativeFrom="column">
                  <wp:posOffset>-102235</wp:posOffset>
                </wp:positionH>
                <wp:positionV relativeFrom="paragraph">
                  <wp:posOffset>219710</wp:posOffset>
                </wp:positionV>
                <wp:extent cx="726440" cy="483235"/>
                <wp:effectExtent l="0" t="0" r="0" b="0"/>
                <wp:wrapNone/>
                <wp:docPr id="286" name="文本框 290"/>
                <wp:cNvGraphicFramePr/>
                <a:graphic xmlns:a="http://schemas.openxmlformats.org/drawingml/2006/main">
                  <a:graphicData uri="http://schemas.microsoft.com/office/word/2010/wordprocessingShape">
                    <wps:wsp>
                      <wps:cNvSpPr txBox="1"/>
                      <wps:spPr>
                        <a:xfrm>
                          <a:off x="0" y="0"/>
                          <a:ext cx="726440" cy="483235"/>
                        </a:xfrm>
                        <a:prstGeom prst="rect">
                          <a:avLst/>
                        </a:prstGeom>
                        <a:noFill/>
                        <a:ln>
                          <a:noFill/>
                        </a:ln>
                      </wps:spPr>
                      <wps:txbx>
                        <w:txbxContent>
                          <w:p>
                            <w:pPr>
                              <w:widowControl w:val="0"/>
                              <w:spacing w:after="120"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合同价款的方式</w:t>
                            </w:r>
                          </w:p>
                        </w:txbxContent>
                      </wps:txbx>
                      <wps:bodyPr wrap="square" upright="1"/>
                    </wps:wsp>
                  </a:graphicData>
                </a:graphic>
              </wp:anchor>
            </w:drawing>
          </mc:Choice>
          <mc:Fallback>
            <w:pict>
              <v:shape id="文本框 290" o:spid="_x0000_s1026" o:spt="202" type="#_x0000_t202" style="position:absolute;left:0pt;margin-left:-8.05pt;margin-top:17.3pt;height:38.05pt;width:57.2pt;z-index:251953152;mso-width-relative:page;mso-height-relative:page;" filled="f" stroked="f" coordsize="21600,21600" o:gfxdata="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nUMjbWAAAACQEAAA8AAAAAAAAAAQAgAAAAIgAAAGRycy9kb3ducmV2LnhtbFBLAQIUABQA&#10;AAAIAIdO4kCINLSRuQEAAF8DAAAOAAAAAAAAAAEAIAAAACU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合同价款的方式</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68.2</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widowControl w:val="0"/>
        <w:adjustRightInd w:val="0"/>
        <w:snapToGrid w:val="0"/>
        <w:spacing w:line="420" w:lineRule="exact"/>
        <w:ind w:firstLine="1325" w:firstLineChars="600"/>
        <w:jc w:val="both"/>
        <w:rPr>
          <w:rFonts w:hint="eastAsia" w:ascii="仿宋_GB2312" w:hAnsi="仿宋_GB2312" w:eastAsia="仿宋_GB2312" w:cs="仿宋_GB2312"/>
          <w:color w:val="auto"/>
          <w:sz w:val="24"/>
          <w:szCs w:val="24"/>
          <w:highlight w:val="none"/>
          <w:lang w:val="en-US" w:eastAsia="zh-CN"/>
        </w:rPr>
      </w:pPr>
      <w:r>
        <w:rPr>
          <w:rFonts w:hint="eastAsia" w:ascii="宋体" w:hAnsi="宋体" w:eastAsia="宋体" w:cs="宋体"/>
          <w:b/>
          <w:bCs/>
          <w:color w:val="auto"/>
          <w:kern w:val="2"/>
          <w:sz w:val="22"/>
          <w:szCs w:val="22"/>
          <w:highlight w:val="none"/>
          <w:lang w:val="en-US" w:eastAsia="zh-CN" w:bidi="ar-SA"/>
        </w:rPr>
        <w:t>下列各种确定合同价款的方式，双方可在专用条款内约定采用其中一种：</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总价合同。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（3）按实结算合同。承包人根据相关资料编制预算，合同价款是暂定价，双方在专用条款内约定合同价款调整方法。</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（4）其它价格形式。合同当事人可在专用条款中约定其他合同价格形式。</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68.3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287" name="文本框 291"/>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合同价款的调整事件</w:t>
                            </w:r>
                          </w:p>
                        </w:txbxContent>
                      </wps:txbx>
                      <wps:bodyPr wrap="square" upright="1"/>
                    </wps:wsp>
                  </a:graphicData>
                </a:graphic>
              </wp:anchor>
            </w:drawing>
          </mc:Choice>
          <mc:Fallback>
            <w:pict>
              <v:shape id="文本框 291" o:spid="_x0000_s1026" o:spt="202" type="#_x0000_t202" style="position:absolute;left:0pt;margin-left:-9pt;margin-top:0.4pt;height:41.05pt;width:72pt;z-index:251954176;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zuGv70wAAAAcBAAAPAAAAAAAAAAEAIAAAACIAAABkcnMvZG93bnJldi54bWxQSwECFAAUAAAA&#10;CACHTuJAVVdjIboBAABfAwAADgAAAAAAAAABACAAAAAiAQAAZHJzL2Uyb0RvYy54bWxQSwUGAAAA&#10;AAYABgBZAQAATg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合同价款的调整事件</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合同双方当事人应明确合同价款的调整事件。除专用条款另有约定外，调整事件应包括：</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（1）后继法律变化事件；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（2）项目特征描述不符事件；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（3）分部分项工程量清单缺项漏项事件；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（4）工程变更事件；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（5）工程量偏差事件；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（6）费用索赔事件；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（7）现场签证事件；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（8）物价涨落事件；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（9）专用条款约定的其他事件。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本款(1)至(9)调整事件应分别按照第69条至第76条的规定调整合同价款。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68.4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288" name="文本框 292"/>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pPr>
                              <w:widowControl w:val="0"/>
                              <w:spacing w:after="120" w:line="200" w:lineRule="exact"/>
                              <w:jc w:val="both"/>
                              <w:rPr>
                                <w:rFonts w:ascii="宋体" w:hAnsi="Times New Roman" w:eastAsia="宋体" w:cs="Times New Roman"/>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调整合同价款</w:t>
                            </w:r>
                          </w:p>
                        </w:txbxContent>
                      </wps:txbx>
                      <wps:bodyPr wrap="square" upright="1"/>
                    </wps:wsp>
                  </a:graphicData>
                </a:graphic>
              </wp:anchor>
            </w:drawing>
          </mc:Choice>
          <mc:Fallback>
            <w:pict>
              <v:shape id="文本框 292" o:spid="_x0000_s1026" o:spt="202" type="#_x0000_t202" style="position:absolute;left:0pt;margin-left:-9pt;margin-top:0.4pt;height:41.05pt;width:72pt;z-index:251955200;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O4a/vTAAAABwEAAA8AAAAAAAAAAQAgAAAAIgAAAGRycy9kb3ducmV2LnhtbFBLAQIUABQAAAAI&#10;AIdO4kAm7e0YuQEAAF8DAAAOAAAAAAAAAAEAIAAAACIBAABkcnMvZTJvRG9jLnhtbFBLBQYAAAAA&#10;BgAGAFkBAABNBQAAAAA=&#10;">
                <v:fill on="f" focussize="0,0"/>
                <v:stroke on="f"/>
                <v:imagedata o:title=""/>
                <o:lock v:ext="edit" aspectratio="f"/>
                <v:textbox>
                  <w:txbxContent>
                    <w:p>
                      <w:pPr>
                        <w:widowControl w:val="0"/>
                        <w:spacing w:after="120" w:line="200" w:lineRule="exact"/>
                        <w:jc w:val="both"/>
                        <w:rPr>
                          <w:rFonts w:ascii="宋体" w:hAnsi="Times New Roman" w:eastAsia="宋体" w:cs="Times New Roman"/>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调整合同价款</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出现第68.2款规定调整合同价款事件的，合同双方当事人应调整合同价款。除费用索赔、现场签证事件分别按照第74条、第75条规定外，调整合同价款的提出、核实、确认与支付等事项，由合同双方当事人按照第77条规定办理。</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根据第68.2款规定事件调整合同价款，如果是按照第48条规定由发包人自行供应或发包人招标、承包人采购材料和工程设备的，均不应考虑第72.2款规定的承包人报价下浮率因素。</w:t>
      </w:r>
    </w:p>
    <w:p>
      <w:pPr>
        <w:widowControl w:val="0"/>
        <w:tabs>
          <w:tab w:val="left" w:pos="3480"/>
        </w:tabs>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43" w:name="_Toc469384053"/>
      <w:bookmarkStart w:id="544" w:name="_Toc10624893"/>
      <w:r>
        <w:rPr>
          <w:rFonts w:hint="eastAsia" w:ascii="黑体" w:hAnsi="黑体" w:eastAsia="黑体" w:cs="黑体"/>
          <w:b w:val="0"/>
          <w:bCs/>
          <w:color w:val="auto"/>
          <w:kern w:val="0"/>
          <w:sz w:val="24"/>
          <w:szCs w:val="24"/>
          <w:highlight w:val="none"/>
          <w:lang w:val="en-US" w:eastAsia="zh-CN" w:bidi="ar-SA"/>
        </w:rPr>
        <w:t>★69  后继法律变化事件</w:t>
      </w:r>
      <w:bookmarkEnd w:id="543"/>
      <w:bookmarkEnd w:id="544"/>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56224"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289" name="文本框 293"/>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后继法律变化的价款调整</w:t>
                            </w:r>
                          </w:p>
                        </w:txbxContent>
                      </wps:txbx>
                      <wps:bodyPr wrap="square" upright="1"/>
                    </wps:wsp>
                  </a:graphicData>
                </a:graphic>
              </wp:anchor>
            </w:drawing>
          </mc:Choice>
          <mc:Fallback>
            <w:pict>
              <v:shape id="文本框 293" o:spid="_x0000_s1026" o:spt="202" type="#_x0000_t202" style="position:absolute;left:0pt;margin-left:-10.5pt;margin-top:21.55pt;height:48.75pt;width:72pt;z-index:251956224;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X3YAHNcAAAAKAQAADwAAAAAAAAABACAAAAAiAAAAZHJzL2Rvd25yZXYueG1sUEsBAhQA&#10;FAAAAAgAh07iQChMV3W6AQAAXwMAAA4AAAAAAAAAAQAgAAAAJgEAAGRycy9lMm9Eb2MueG1sUEsF&#10;BgAAAAAGAAYAWQEAAFI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后继法律变化的价款调整</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69.1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合同履行期间，出现国家或省颁布的法律和政策在合同工程基准日期后发生变化，且因执行上述法律和政策引起除第76条规定以外的工程造价增减事件的，合同双方当事人应调整合同价款。</w:t>
      </w:r>
    </w:p>
    <w:p>
      <w:pPr>
        <w:widowControl w:val="0"/>
        <w:tabs>
          <w:tab w:val="left" w:pos="54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69.2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290" name="文本框 294"/>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调整价款的方法</w:t>
                            </w:r>
                          </w:p>
                        </w:txbxContent>
                      </wps:txbx>
                      <wps:bodyPr wrap="square" upright="1"/>
                    </wps:wsp>
                  </a:graphicData>
                </a:graphic>
              </wp:anchor>
            </w:drawing>
          </mc:Choice>
          <mc:Fallback>
            <w:pict>
              <v:shape id="文本框 294" o:spid="_x0000_s1026" o:spt="202" type="#_x0000_t202" style="position:absolute;left:0pt;margin-left:-9pt;margin-top:1.25pt;height:48.75pt;width:72pt;z-index:251957248;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TyAwH1QAAAAkBAAAPAAAAAAAAAAEAIAAAACIAAABkcnMvZG93bnJldi54bWxQSwECFAAUAAAA&#10;CACHTuJALWMUhrgBAABfAwAADgAAAAAAAAABACAAAAAkAQAAZHJzL2Uyb0RvYy54bWxQSwUGAAAA&#10;AAYABgBZAQAATg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调整价款的方法</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发生第69.1款情况的，应根据合同工程实际情况，按照上述法律和政策规定计算调整的合同价款。</w:t>
      </w:r>
    </w:p>
    <w:p>
      <w:pPr>
        <w:tabs>
          <w:tab w:val="left" w:pos="1620"/>
        </w:tabs>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45" w:name="_Toc10624894"/>
      <w:bookmarkStart w:id="546" w:name="_Toc469384054"/>
      <w:r>
        <w:rPr>
          <w:rFonts w:hint="eastAsia" w:ascii="黑体" w:hAnsi="黑体" w:eastAsia="黑体" w:cs="黑体"/>
          <w:b w:val="0"/>
          <w:bCs/>
          <w:color w:val="auto"/>
          <w:kern w:val="0"/>
          <w:sz w:val="24"/>
          <w:szCs w:val="24"/>
          <w:highlight w:val="none"/>
          <w:lang w:val="en-US" w:eastAsia="zh-CN" w:bidi="ar-SA"/>
        </w:rPr>
        <w:t>★70  项目特征描述不符事件</w:t>
      </w:r>
      <w:bookmarkEnd w:id="545"/>
      <w:bookmarkEnd w:id="546"/>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70.1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291" name="文本框 295"/>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项目特征的准确性</w:t>
                            </w:r>
                          </w:p>
                        </w:txbxContent>
                      </wps:txbx>
                      <wps:bodyPr wrap="square" upright="1"/>
                    </wps:wsp>
                  </a:graphicData>
                </a:graphic>
              </wp:anchor>
            </w:drawing>
          </mc:Choice>
          <mc:Fallback>
            <w:pict>
              <v:shape id="文本框 295" o:spid="_x0000_s1026" o:spt="202" type="#_x0000_t202" style="position:absolute;left:0pt;margin-left:-9pt;margin-top:2.7pt;height:48.75pt;width:72pt;z-index:251958272;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HJKYXWAAAACQEAAA8AAAAAAAAAAQAgAAAAIgAAAGRycy9kb3ducmV2LnhtbFBLAQIUABQA&#10;AAAIAIdO4kCyZN8suQEAAF8DAAAOAAAAAAAAAAEAIAAAACU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项目特征的准确性</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70.2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292" name="文本框 29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项目特征描述不符的价款调整</w:t>
                            </w:r>
                          </w:p>
                          <w:p>
                            <w:pPr>
                              <w:widowControl w:val="0"/>
                              <w:spacing w:line="200" w:lineRule="exact"/>
                              <w:jc w:val="both"/>
                              <w:rPr>
                                <w:rFonts w:ascii="Times New Roman" w:hAnsi="Times New Roman" w:eastAsia="楷体_GB2312" w:cs="Times New Roman"/>
                                <w:b/>
                                <w:bCs/>
                                <w:kern w:val="2"/>
                                <w:sz w:val="18"/>
                                <w:szCs w:val="18"/>
                                <w:lang w:val="en-US" w:eastAsia="zh-CN" w:bidi="ar-SA"/>
                              </w:rPr>
                            </w:pPr>
                          </w:p>
                        </w:txbxContent>
                      </wps:txbx>
                      <wps:bodyPr wrap="square" upright="1"/>
                    </wps:wsp>
                  </a:graphicData>
                </a:graphic>
              </wp:anchor>
            </w:drawing>
          </mc:Choice>
          <mc:Fallback>
            <w:pict>
              <v:shape id="文本框 296" o:spid="_x0000_s1026" o:spt="202" type="#_x0000_t202" style="position:absolute;left:0pt;margin-left:-9pt;margin-top:0.45pt;height:48.75pt;width:72pt;z-index:251959296;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nf/5HUAAAABwEAAA8AAAAAAAAAAQAgAAAAIgAAAGRycy9kb3ducmV2LnhtbFBLAQIUABQAAAAI&#10;AIdO4kBSavMIuAEAAF8DAAAOAAAAAAAAAAEAIAAAACMBAABkcnMvZTJvRG9jLnhtbFBLBQYAAAAA&#10;BgAGAFkBAABN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项目特征描述不符的价款调整</w:t>
                      </w:r>
                    </w:p>
                    <w:p>
                      <w:pPr>
                        <w:widowControl w:val="0"/>
                        <w:spacing w:line="200" w:lineRule="exact"/>
                        <w:jc w:val="both"/>
                        <w:rPr>
                          <w:rFonts w:ascii="Times New Roman" w:hAnsi="Times New Roman" w:eastAsia="楷体_GB2312" w:cs="Times New Roman"/>
                          <w:b/>
                          <w:bCs/>
                          <w:kern w:val="2"/>
                          <w:sz w:val="18"/>
                          <w:szCs w:val="18"/>
                          <w:lang w:val="en-US" w:eastAsia="zh-CN" w:bidi="ar-SA"/>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合同履行期间，出现实际施工设计图纸（含设计变更）与招标文件提供的工程量清单任一项目特征描述不符，且该变化引起工程造价增减事件的，合同双方当事人应调整合同价款。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70.3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293" name="文本框 29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widowControl w:val="0"/>
                              <w:spacing w:after="120" w:line="200" w:lineRule="exact"/>
                              <w:jc w:val="both"/>
                              <w:rPr>
                                <w:rFonts w:ascii="宋体" w:hAnsi="Times New Roman" w:eastAsia="宋体" w:cs="Times New Roman"/>
                                <w:color w:val="FF0000"/>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调整价款的方法</w:t>
                            </w:r>
                          </w:p>
                          <w:p>
                            <w:pPr>
                              <w:widowControl w:val="0"/>
                              <w:spacing w:line="200" w:lineRule="exact"/>
                              <w:jc w:val="both"/>
                              <w:rPr>
                                <w:rFonts w:ascii="Times New Roman" w:hAnsi="Times New Roman" w:eastAsia="楷体_GB2312" w:cs="Times New Roman"/>
                                <w:b/>
                                <w:bCs/>
                                <w:kern w:val="2"/>
                                <w:sz w:val="18"/>
                                <w:szCs w:val="18"/>
                                <w:lang w:val="en-US" w:eastAsia="zh-CN" w:bidi="ar-SA"/>
                              </w:rPr>
                            </w:pPr>
                          </w:p>
                        </w:txbxContent>
                      </wps:txbx>
                      <wps:bodyPr wrap="square" upright="1"/>
                    </wps:wsp>
                  </a:graphicData>
                </a:graphic>
              </wp:anchor>
            </w:drawing>
          </mc:Choice>
          <mc:Fallback>
            <w:pict>
              <v:shape id="文本框 297" o:spid="_x0000_s1026" o:spt="202" type="#_x0000_t202" style="position:absolute;left:0pt;margin-left:-9pt;margin-top:0.45pt;height:48.75pt;width:72pt;z-index:251960320;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d//kdQAAAAHAQAADwAAAAAAAAABACAAAAAiAAAAZHJzL2Rvd25yZXYueG1sUEsBAhQAFAAA&#10;AAgAh07iQM1tOKK6AQAAXwMAAA4AAAAAAAAAAQAgAAAAIwEAAGRycy9lMm9Eb2MueG1sUEsFBgAA&#10;AAAGAAYAWQEAAE8FAAAAAA==&#10;">
                <v:fill on="f" focussize="0,0"/>
                <v:stroke on="f"/>
                <v:imagedata o:title=""/>
                <o:lock v:ext="edit" aspectratio="f"/>
                <v:textbox>
                  <w:txbxContent>
                    <w:p>
                      <w:pPr>
                        <w:widowControl w:val="0"/>
                        <w:spacing w:after="120" w:line="200" w:lineRule="exact"/>
                        <w:jc w:val="both"/>
                        <w:rPr>
                          <w:rFonts w:ascii="宋体" w:hAnsi="Times New Roman" w:eastAsia="宋体" w:cs="Times New Roman"/>
                          <w:color w:val="FF0000"/>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调整价款的方法</w:t>
                      </w:r>
                    </w:p>
                    <w:p>
                      <w:pPr>
                        <w:widowControl w:val="0"/>
                        <w:spacing w:line="200" w:lineRule="exact"/>
                        <w:jc w:val="both"/>
                        <w:rPr>
                          <w:rFonts w:ascii="Times New Roman" w:hAnsi="Times New Roman" w:eastAsia="楷体_GB2312" w:cs="Times New Roman"/>
                          <w:b/>
                          <w:bCs/>
                          <w:kern w:val="2"/>
                          <w:sz w:val="18"/>
                          <w:szCs w:val="18"/>
                          <w:lang w:val="en-US" w:eastAsia="zh-CN" w:bidi="ar-SA"/>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发生第70.2款情况的，应按照实际施工的项目特征重新确定相应工程量清单项目的综合单价，计算调整的合同价款。</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47" w:name="_Toc469384055"/>
      <w:bookmarkStart w:id="548" w:name="_Toc10624895"/>
      <w:r>
        <w:rPr>
          <w:rFonts w:hint="eastAsia" w:ascii="黑体" w:hAnsi="黑体" w:eastAsia="黑体" w:cs="黑体"/>
          <w:b w:val="0"/>
          <w:bCs/>
          <w:color w:val="auto"/>
          <w:kern w:val="0"/>
          <w:sz w:val="24"/>
          <w:szCs w:val="24"/>
          <w:highlight w:val="none"/>
          <w:lang w:val="en-US" w:eastAsia="zh-CN" w:bidi="ar-SA"/>
        </w:rPr>
        <w:t>★71  分部分项工程量清单缺项漏项事件</w:t>
      </w:r>
      <w:bookmarkEnd w:id="547"/>
      <w:bookmarkEnd w:id="548"/>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71.1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1344"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294" name="文本框 298"/>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清单缺项漏项的价款调整</w:t>
                            </w:r>
                          </w:p>
                        </w:txbxContent>
                      </wps:txbx>
                      <wps:bodyPr wrap="square" upright="1"/>
                    </wps:wsp>
                  </a:graphicData>
                </a:graphic>
              </wp:anchor>
            </w:drawing>
          </mc:Choice>
          <mc:Fallback>
            <w:pict>
              <v:shape id="文本框 298" o:spid="_x0000_s1026" o:spt="202" type="#_x0000_t202" style="position:absolute;left:0pt;margin-left:-10.5pt;margin-top:0.5pt;height:54.5pt;width:72pt;z-index:251961344;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WTeMNQAAAAJAQAADwAAAAAAAAABACAAAAAiAAAAZHJzL2Rvd25yZXYueG1sUEsBAhQAFAAA&#10;AAgAh07iQLU2b7q6AQAAXwMAAA4AAAAAAAAAAQAgAAAAIwEAAGRycy9lMm9Eb2MueG1sUEsFBgAA&#10;AAAGAAYAWQEAAE8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清单缺项漏项的价款调整</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2368"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295" name="文本框 299"/>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rPr>
                                <w:rFonts w:ascii="Calibri" w:hAnsi="Calibri" w:cs="Times New Roman"/>
                                <w:szCs w:val="21"/>
                              </w:rPr>
                            </w:pPr>
                          </w:p>
                        </w:txbxContent>
                      </wps:txbx>
                      <wps:bodyPr wrap="square" upright="1"/>
                    </wps:wsp>
                  </a:graphicData>
                </a:graphic>
              </wp:anchor>
            </w:drawing>
          </mc:Choice>
          <mc:Fallback>
            <w:pict>
              <v:shape id="文本框 299" o:spid="_x0000_s1026" o:spt="202" type="#_x0000_t202" style="position:absolute;left:0pt;margin-left:-10.5pt;margin-top:0.5pt;height:54.6pt;width:72pt;z-index:251962368;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GJqRNQAAAAJAQAADwAAAAAAAAABACAAAAAiAAAAZHJzL2Rvd25yZXYueG1sUEsBAhQAFAAA&#10;AAgAh07iQAKJT6G6AQAAXwMAAA4AAAAAAAAAAQAgAAAAIwEAAGRycy9lMm9Eb2MueG1sUEsFBgAA&#10;AAAGAAYAWQEAAE8FAAAAAA==&#10;">
                <v:fill on="f" focussize="0,0"/>
                <v:stroke on="f"/>
                <v:imagedata o:title=""/>
                <o:lock v:ext="edit" aspectratio="f"/>
                <v:textbox>
                  <w:txbxContent>
                    <w:p>
                      <w:pPr>
                        <w:rPr>
                          <w:rFonts w:ascii="Calibri" w:hAnsi="Calibri"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合同履行期间，出现工程量清单中分部分项工程缺项漏项事件的，合同双方当事人应调整合同价款。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71.2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3392"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296" name="文本框 300"/>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p>
                            <w:pPr>
                              <w:spacing w:line="240" w:lineRule="exact"/>
                              <w:rPr>
                                <w:rFonts w:ascii="Times New Roman" w:hAnsi="Times New Roman" w:cs="Times New Roman"/>
                                <w:sz w:val="18"/>
                                <w:szCs w:val="18"/>
                              </w:rPr>
                            </w:pPr>
                          </w:p>
                        </w:txbxContent>
                      </wps:txbx>
                      <wps:bodyPr wrap="square" upright="1"/>
                    </wps:wsp>
                  </a:graphicData>
                </a:graphic>
              </wp:anchor>
            </w:drawing>
          </mc:Choice>
          <mc:Fallback>
            <w:pict>
              <v:shape id="文本框 300" o:spid="_x0000_s1026" o:spt="202" type="#_x0000_t202" style="position:absolute;left:0pt;margin-left:-5.25pt;margin-top:0.7pt;height:54.5pt;width:72pt;z-index:251963392;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6Ioy3UAAAACQEAAA8AAAAAAAAAAQAgAAAAIgAAAGRycy9kb3ducmV2LnhtbFBLAQIUABQAAAAI&#10;AIdO4kAZVLRBuAEAAF8DAAAOAAAAAAAAAAEAIAAAACMBAABkcnMvZTJvRG9jLnhtbFBLBQYAAAAA&#10;BgAGAFkBAABN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p>
                      <w:pPr>
                        <w:spacing w:line="240" w:lineRule="exact"/>
                        <w:rPr>
                          <w:rFonts w:ascii="Times New Roman" w:hAnsi="Times New Roman" w:cs="Times New Roman"/>
                          <w:sz w:val="18"/>
                          <w:szCs w:val="18"/>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工程量清单中分部分项工程出现缺项漏项，造成新增工程量清单项目的，应按照第72.2款规定计算调整的分部分项工程费。</w:t>
      </w:r>
    </w:p>
    <w:p>
      <w:pPr>
        <w:widowControl w:val="0"/>
        <w:tabs>
          <w:tab w:val="left" w:pos="540"/>
        </w:tabs>
        <w:adjustRightInd w:val="0"/>
        <w:snapToGrid w:val="0"/>
        <w:spacing w:before="240" w:beforeLines="100"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71.3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4416"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297" name="文本框 301"/>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p>
                            <w:pPr>
                              <w:spacing w:line="240" w:lineRule="exact"/>
                              <w:rPr>
                                <w:rFonts w:ascii="Times New Roman" w:hAnsi="Times New Roman" w:cs="Times New Roman"/>
                                <w:sz w:val="18"/>
                                <w:szCs w:val="18"/>
                              </w:rPr>
                            </w:pPr>
                          </w:p>
                        </w:txbxContent>
                      </wps:txbx>
                      <wps:bodyPr wrap="square" upright="1"/>
                    </wps:wsp>
                  </a:graphicData>
                </a:graphic>
              </wp:anchor>
            </w:drawing>
          </mc:Choice>
          <mc:Fallback>
            <w:pict>
              <v:shape id="文本框 301" o:spid="_x0000_s1026" o:spt="202" type="#_x0000_t202" style="position:absolute;left:0pt;margin-left:-10.5pt;margin-top:0.4pt;height:54.5pt;width:72pt;z-index:251964416;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X3xw51QAAAAgBAAAPAAAAAAAAAAEAIAAAACIAAABkcnMvZG93bnJldi54bWxQSwECFAAU&#10;AAAACACHTuJAhlN/67sBAABfAwAADgAAAAAAAAABACAAAAAkAQAAZHJzL2Uyb0RvYy54bWxQSwUG&#10;AAAAAAYABgBZAQAAUQ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p>
                      <w:pPr>
                        <w:spacing w:line="240" w:lineRule="exact"/>
                        <w:rPr>
                          <w:rFonts w:ascii="Times New Roman" w:hAnsi="Times New Roman" w:cs="Times New Roman"/>
                          <w:sz w:val="18"/>
                          <w:szCs w:val="18"/>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工程量清单中分部分项工程出现缺项漏项，引起增加措施项目的，应按照第72.3款规定在提交的实施方案被批准后计算调整的措施项目费。</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49" w:name="_Toc469384056"/>
      <w:bookmarkStart w:id="550" w:name="_Toc10624896"/>
      <w:r>
        <w:rPr>
          <w:rFonts w:hint="eastAsia" w:ascii="黑体" w:hAnsi="黑体" w:eastAsia="黑体" w:cs="黑体"/>
          <w:b w:val="0"/>
          <w:bCs/>
          <w:color w:val="auto"/>
          <w:kern w:val="0"/>
          <w:sz w:val="24"/>
          <w:szCs w:val="24"/>
          <w:highlight w:val="none"/>
          <w:lang w:val="en-US" w:eastAsia="zh-CN" w:bidi="ar-SA"/>
        </w:rPr>
        <w:t>★72  工程变更事件</w:t>
      </w:r>
      <w:bookmarkEnd w:id="549"/>
      <w:bookmarkEnd w:id="550"/>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298" name="文本框 302"/>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工程变更的价</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款调整</w:t>
                            </w:r>
                          </w:p>
                        </w:txbxContent>
                      </wps:txbx>
                      <wps:bodyPr wrap="square" upright="1"/>
                    </wps:wsp>
                  </a:graphicData>
                </a:graphic>
              </wp:anchor>
            </w:drawing>
          </mc:Choice>
          <mc:Fallback>
            <w:pict>
              <v:shape id="文本框 302" o:spid="_x0000_s1026" o:spt="202" type="#_x0000_t202" style="position:absolute;left:0pt;margin-left:-9pt;margin-top:14.6pt;height:31.2pt;width:81pt;z-index:251965440;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K4/StcAAAAJAQAADwAAAAAAAAABACAAAAAiAAAAZHJzL2Rvd25yZXYueG1sUEsBAhQA&#10;FAAAAAgAh07iQE56p166AQAAYAMAAA4AAAAAAAAAAQAgAAAAJgEAAGRycy9lMm9Eb2MueG1sUEsF&#10;BgAAAAAGAAYAWQEAAFI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工程变更的价</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款调整</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72.1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合同履行期间，出现第56条工程变更事件的，合同双方当事人应调整合同价款。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72.2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299" name="文本框 303"/>
                <wp:cNvGraphicFramePr/>
                <a:graphic xmlns:a="http://schemas.openxmlformats.org/drawingml/2006/main">
                  <a:graphicData uri="http://schemas.microsoft.com/office/word/2010/wordprocessingShape">
                    <wps:wsp>
                      <wps:cNvSpPr txBox="1"/>
                      <wps:spPr>
                        <a:xfrm>
                          <a:off x="0" y="0"/>
                          <a:ext cx="914400" cy="59309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txbxContent>
                      </wps:txbx>
                      <wps:bodyPr wrap="square" upright="1"/>
                    </wps:wsp>
                  </a:graphicData>
                </a:graphic>
              </wp:anchor>
            </w:drawing>
          </mc:Choice>
          <mc:Fallback>
            <w:pict>
              <v:shape id="文本框 303" o:spid="_x0000_s1026" o:spt="202" type="#_x0000_t202" style="position:absolute;left:0pt;margin-left:-9pt;margin-top:0.5pt;height:46.7pt;width:72pt;z-index:251966464;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xjj/zVAAAACAEAAA8AAAAAAAAAAQAgAAAAIgAAAGRycy9kb3ducmV2LnhtbFBLAQIUABQA&#10;AAAIAIdO4kCYrZoEugEAAF8DAAAOAAAAAAAAAAEAIAAAACQ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工程变更引起分部分项工程项目发生变化，属于第73.2款规定情况的，按照其规定调整；否则按照下列规定调整分部分项工程费：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(1)合同中有适用于变更工程项目的，按照该项目的单价或合价调整；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(2)合同中没有适用、只有类似于变更工程项目的，可在合理范围内参照类似项目的单价或合价调整；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其中，招标工程：承包人报价浮动率L=（1—中标价格/招标控制价）×100%；</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非招标工程：承包人报价浮动率L=（1—报价值/施工图预算）×100%。</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式中：中标价格、招标控制价或报价值、施工图预算，均不含绿色施工安全防护费。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合同中没有适用也没有类似于变更工程项目，且施工相应时期工程造价管理机构发布的价格信息缺项的，根据变更工程资料、计量规则、计价办法和通过市场调查等的有合法依据的市场价格提出变更工程项目的单价或合价，经合同双方当事人确认后调整。</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72.3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300" name="文本框 30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txbxContent>
                      </wps:txbx>
                      <wps:bodyPr wrap="square" upright="1"/>
                    </wps:wsp>
                  </a:graphicData>
                </a:graphic>
              </wp:anchor>
            </w:drawing>
          </mc:Choice>
          <mc:Fallback>
            <w:pict>
              <v:shape id="文本框 304" o:spid="_x0000_s1026" o:spt="202" type="#_x0000_t202" style="position:absolute;left:0pt;margin-left:-9pt;margin-top:3.6pt;height:31.2pt;width:72pt;z-index:251967488;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T0tN9UAAAAIAQAADwAAAAAAAAABACAAAAAiAAAAZHJzL2Rvd25yZXYueG1sUEsBAhQAFAAA&#10;AAgAh07iQFWBb3q5AQAAXwMAAA4AAAAAAAAAAQAgAAAAJAEAAGRycy9lMm9Eb2MueG1sUEsFBgAA&#10;AAAGAAYAWQEAAE8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(1)按系数计算的绿色施工安全防护费，按照实际发生变化的措施项目调整，不得浮动。</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(2)凡可计算工程量的措施项目费，按照实际发生变化的措施项目的工程量乘以第72.2款规定的单价或合价调整。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(3)凡按系数计算的措施项目费，除本款第(1)点情形外，按照实际发生变化的措施项目调整，但应考虑承包人报价浮动因素，即调整金额按照实际调整金额乘以第72.2款规定的承包人报价浮动率计算。</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如果不利一方当事人未按本款规定事先将拟实施的方案提交给另一方当事人，则认为工程变更不引起措施项目费的调整或不利一方当事人放弃调整措施项目费的权利。</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72.4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301" name="文本框 305"/>
                <wp:cNvGraphicFramePr/>
                <a:graphic xmlns:a="http://schemas.openxmlformats.org/drawingml/2006/main">
                  <a:graphicData uri="http://schemas.microsoft.com/office/word/2010/wordprocessingShape">
                    <wps:wsp>
                      <wps:cNvSpPr txBox="1"/>
                      <wps:spPr>
                        <a:xfrm>
                          <a:off x="0" y="0"/>
                          <a:ext cx="1028700" cy="76644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调整承包人报</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价偏差的方法</w:t>
                            </w:r>
                          </w:p>
                        </w:txbxContent>
                      </wps:txbx>
                      <wps:bodyPr wrap="square" upright="1"/>
                    </wps:wsp>
                  </a:graphicData>
                </a:graphic>
              </wp:anchor>
            </w:drawing>
          </mc:Choice>
          <mc:Fallback>
            <w:pict>
              <v:shape id="文本框 305" o:spid="_x0000_s1026" o:spt="202" type="#_x0000_t202" style="position:absolute;left:0pt;margin-left:-9pt;margin-top:1.05pt;height:60.35pt;width:81pt;z-index:251968512;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gDLkB1gAAAAkBAAAPAAAAAAAAAAEAIAAAACIAAABkcnMvZG93bnJldi54bWxQSwECFAAU&#10;AAAACACHTuJAGj2aP7oBAABgAwAADgAAAAAAAAABACAAAAAlAQAAZHJzL2Uyb0RvYy54bWxQSwUG&#10;AAAAAAYABgBZAQAAUQ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调整承包人报</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价偏差的方法</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量发生变化的分部分项工程项目，如承包人投标价分部分项清单项目填报的综合单价与发包人招标控制价或预算价相应清单项目的综合单价偏差超过一定幅度时，合同双方当事人应调整合同价款。调整工程价款时，合同双方当事人不利一方应事先向另一方提出，经合同双方当事人确认后执行。除专用条款另有约定外，应按照下列规定调整分部分项工程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(1)当P0 &lt;P1 ×(1-L)×(1-15%)时，该类项目的综合单价按照P1 ×(1-L)×(1-15%)调整。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(2)当P0 &gt;P1 × (1+15%)时，该类项目的综合单价按照P1 ×（1+15%)调整。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式中：P0——承包人在工程量清单中填报的综合单价。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P1——发包人招标控制价或施工预算相应清单项目的综合单价。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L——第72.2款规定的承包人报价浮动率。</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72.5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302" name="文本框 30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删减工作或工程的补偿</w:t>
                            </w:r>
                          </w:p>
                        </w:txbxContent>
                      </wps:txbx>
                      <wps:bodyPr wrap="square" upright="1"/>
                    </wps:wsp>
                  </a:graphicData>
                </a:graphic>
              </wp:anchor>
            </w:drawing>
          </mc:Choice>
          <mc:Fallback>
            <w:pict>
              <v:shape id="文本框 306" o:spid="_x0000_s1026" o:spt="202" type="#_x0000_t202" style="position:absolute;left:0pt;margin-left:-9pt;margin-top:3.6pt;height:31.2pt;width:72pt;z-index:251969536;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T0tN9UAAAAIAQAADwAAAAAAAAABACAAAAAiAAAAZHJzL2Rvd25yZXYueG1sUEsBAhQAFAAA&#10;AAgAh07iQCqIiPS5AQAAXwMAAA4AAAAAAAAAAQAgAAAAJAEAAGRycy9lMm9Eb2MueG1sUEsFBgAA&#10;AAAGAAYAWQEAAE8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删减工作或工程的补偿</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因为非承包人原因删减了合同中的某项原定工作或工程，致使承包人发生的费用或(和)得到的收益不能被包括在其他已支付或应支付的项目中，也未被包含在任何替代的工作或工程中，则承包人有权按照本条规定提出并得到补偿。</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51" w:name="_Toc10624897"/>
      <w:bookmarkStart w:id="552" w:name="_Toc469384057"/>
      <w:r>
        <w:rPr>
          <w:rFonts w:hint="eastAsia" w:ascii="黑体" w:hAnsi="黑体" w:eastAsia="黑体" w:cs="黑体"/>
          <w:b w:val="0"/>
          <w:bCs/>
          <w:color w:val="auto"/>
          <w:kern w:val="0"/>
          <w:sz w:val="24"/>
          <w:szCs w:val="24"/>
          <w:highlight w:val="none"/>
          <w:lang w:val="en-US" w:eastAsia="zh-CN" w:bidi="ar-SA"/>
        </w:rPr>
        <w:t>★73  工程量偏差事件</w:t>
      </w:r>
      <w:bookmarkEnd w:id="551"/>
      <w:bookmarkEnd w:id="552"/>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73.1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303" name="文本框 307"/>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工程量偏差价</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款调整</w:t>
                            </w:r>
                          </w:p>
                        </w:txbxContent>
                      </wps:txbx>
                      <wps:bodyPr wrap="square" upright="1"/>
                    </wps:wsp>
                  </a:graphicData>
                </a:graphic>
              </wp:anchor>
            </w:drawing>
          </mc:Choice>
          <mc:Fallback>
            <w:pict>
              <v:shape id="文本框 307" o:spid="_x0000_s1026" o:spt="202" type="#_x0000_t202" style="position:absolute;left:0pt;margin-left:-9pt;margin-top:0.15pt;height:59.85pt;width:81pt;z-index:251970560;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ufPVO1AAAAAgBAAAPAAAAAAAAAAEAIAAAACIAAABkcnMvZG93bnJldi54bWxQSwECFAAUAAAA&#10;CACHTuJA9vIrTLkBAABgAwAADgAAAAAAAAABACAAAAAjAQAAZHJzL2Uyb0RvYy54bWxQSwUGAAAA&#10;AAYABgBZAQAATg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工程量偏差价</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款调整</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合同履行期间，出现工程量偏差，且符合第73.2款、第73.3款规定事件的，合同双方当事人应调整合同价款。调整合同价款时，出现第72.4款情形的，应先按照其规定调整，再按照本条规定调整。</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73.2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304" name="文本框 308"/>
                <wp:cNvGraphicFramePr/>
                <a:graphic xmlns:a="http://schemas.openxmlformats.org/drawingml/2006/main">
                  <a:graphicData uri="http://schemas.microsoft.com/office/word/2010/wordprocessingShape">
                    <wps:wsp>
                      <wps:cNvSpPr txBox="1"/>
                      <wps:spPr>
                        <a:xfrm>
                          <a:off x="0" y="0"/>
                          <a:ext cx="914400" cy="444500"/>
                        </a:xfrm>
                        <a:prstGeom prst="rect">
                          <a:avLst/>
                        </a:prstGeom>
                        <a:noFill/>
                        <a:ln>
                          <a:noFill/>
                        </a:ln>
                      </wps:spPr>
                      <wps:txbx>
                        <w:txbxContent>
                          <w:p>
                            <w:pPr>
                              <w:widowControl w:val="0"/>
                              <w:spacing w:after="120" w:line="200" w:lineRule="exact"/>
                              <w:jc w:val="both"/>
                              <w:rPr>
                                <w:rFonts w:ascii="宋体" w:hAnsi="Times New Roman" w:eastAsia="宋体" w:cs="Times New Roman"/>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txbxContent>
                      </wps:txbx>
                      <wps:bodyPr wrap="square" upright="1"/>
                    </wps:wsp>
                  </a:graphicData>
                </a:graphic>
              </wp:anchor>
            </w:drawing>
          </mc:Choice>
          <mc:Fallback>
            <w:pict>
              <v:shape id="文本框 308" o:spid="_x0000_s1026" o:spt="202" type="#_x0000_t202" style="position:absolute;left:0pt;margin-left:-9pt;margin-top:2.1pt;height:35pt;width:72pt;z-index:251971584;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IqvrdUAAAAIAQAADwAAAAAAAAABACAAAAAiAAAAZHJzL2Rvd25yZXYueG1sUEsBAhQAFAAA&#10;AAgAh07iQIQzk3S5AQAAXwMAAA4AAAAAAAAAAQAgAAAAJAEAAGRycy9lMm9Eb2MueG1sUEsFBgAA&#10;AAAGAAYAWQEAAE8FAAAAAA==&#10;">
                <v:fill on="f" focussize="0,0"/>
                <v:stroke on="f"/>
                <v:imagedata o:title=""/>
                <o:lock v:ext="edit" aspectratio="f"/>
                <v:textbox>
                  <w:txbxContent>
                    <w:p>
                      <w:pPr>
                        <w:widowControl w:val="0"/>
                        <w:spacing w:after="120" w:line="200" w:lineRule="exact"/>
                        <w:jc w:val="both"/>
                        <w:rPr>
                          <w:rFonts w:ascii="宋体" w:hAnsi="Times New Roman" w:eastAsia="宋体" w:cs="Times New Roman"/>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对于某一分部分项工程项目，如果因本条规定工程量偏差和第56条规定工程变更等原因导致工程量偏差超过10%，且该变化使其分部分项工程费变化超过0.1%，则超过10%部分的综合单价应予调整。除专用条款另有约定外，应按照下列规定调整该分部分项工程费结算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（1）当Q1﹥1.1Q0时，S=1.1Q0×P0+（Q1-1.1Q0）×P1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（2）当Q1﹤0.9Q0时，S=0.9Q0×P0-（0.9Q0-Q1）×P1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式中S——调整后的某一分部分项工程费结算价；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Q1——最终完成的工程量；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Q0——工程量清单中开列的工程量；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P1——按照最终完成工程量重新调整后的综合单价；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P0——承包人在工程量清单中填报的综合单价。</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73.3</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305" name="文本框 309"/>
                <wp:cNvGraphicFramePr/>
                <a:graphic xmlns:a="http://schemas.openxmlformats.org/drawingml/2006/main">
                  <a:graphicData uri="http://schemas.microsoft.com/office/word/2010/wordprocessingShape">
                    <wps:wsp>
                      <wps:cNvSpPr txBox="1"/>
                      <wps:spPr>
                        <a:xfrm>
                          <a:off x="0" y="0"/>
                          <a:ext cx="914400" cy="50546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txbxContent>
                      </wps:txbx>
                      <wps:bodyPr wrap="square" upright="1"/>
                    </wps:wsp>
                  </a:graphicData>
                </a:graphic>
              </wp:anchor>
            </w:drawing>
          </mc:Choice>
          <mc:Fallback>
            <w:pict>
              <v:shape id="文本框 309" o:spid="_x0000_s1026" o:spt="202" type="#_x0000_t202" style="position:absolute;left:0pt;margin-left:-9pt;margin-top:4.05pt;height:39.8pt;width:72pt;z-index:251972608;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UWMptQAAAAIAQAADwAAAAAAAAABACAAAAAiAAAAZHJzL2Rvd25yZXYueG1sUEsBAhQAFAAA&#10;AAgAh07iQNgV6FS6AQAAXwMAAA4AAAAAAAAAAQAgAAAAIwEAAGRycy9lMm9Eb2MueG1sUEsFBgAA&#10;AAAGAAYAWQEAAE8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因本条规定工程量偏差使某一分部分项工程费的变化超过10%，且该变化引起措施项目相应发生变化，则发生变化部分的措施项目费应按照第72.3款规定调整。除专用条款另有约定外，应按照下列规定调整发生变化的措施项目费结算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（1）当S1﹥1.1S0时，M1=M0+△M</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（2）当S1﹤0.9S0时，M1=M0–△M</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式中M1——调整后的发生变化措施项目费结算价；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M0——承包人在工程量清单中填报的措施项目费；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∆M——按照第72.3款规定调整的发生变化部分的措施项目费；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S1——调整后的某一分部分项工程费结算价；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S0——承包人报价文件对应的某一分部分项工程费。</w:t>
      </w:r>
    </w:p>
    <w:p>
      <w:pPr>
        <w:tabs>
          <w:tab w:val="left" w:pos="1620"/>
        </w:tabs>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53" w:name="_Toc10624898"/>
      <w:bookmarkStart w:id="554" w:name="_Toc469384058"/>
      <w:r>
        <w:rPr>
          <w:rFonts w:hint="eastAsia" w:ascii="黑体" w:hAnsi="黑体" w:eastAsia="黑体" w:cs="黑体"/>
          <w:b w:val="0"/>
          <w:bCs/>
          <w:color w:val="auto"/>
          <w:kern w:val="0"/>
          <w:sz w:val="24"/>
          <w:szCs w:val="24"/>
          <w:highlight w:val="none"/>
          <w:lang w:val="en-US" w:eastAsia="zh-CN" w:bidi="ar-SA"/>
        </w:rPr>
        <w:t>★74  费用索赔事件</w:t>
      </w:r>
      <w:bookmarkEnd w:id="553"/>
      <w:bookmarkEnd w:id="554"/>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74.1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06" name="文本框 31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索赔的价款调整</w:t>
                            </w:r>
                          </w:p>
                        </w:txbxContent>
                      </wps:txbx>
                      <wps:bodyPr wrap="square" upright="1"/>
                    </wps:wsp>
                  </a:graphicData>
                </a:graphic>
              </wp:anchor>
            </w:drawing>
          </mc:Choice>
          <mc:Fallback>
            <w:pict>
              <v:shape id="文本框 310" o:spid="_x0000_s1026" o:spt="202" type="#_x0000_t202" style="position:absolute;left:0pt;margin-left:-9pt;margin-top:1.25pt;height:31.2pt;width:72pt;z-index:25197363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Pz/Bw1QAAAAgBAAAPAAAAAAAAAAEAIAAAACIAAABkcnMvZG93bnJldi54bWxQSwECFAAUAAAA&#10;CACHTuJA8VG40LgBAABfAwAADgAAAAAAAAABACAAAAAkAQAAZHJzL2Uyb0RvYy54bWxQSwUGAAAA&#10;AAYABgBZAQAATg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索赔的价款调整</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费用索赔是指合同履行期间，对于非自己过错而应由对方当事人承担责任的情况造成的损失，向对方当事人提出经济补偿要求的行为。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合同履行期间，出现费用索赔事件的，合同双方当事人应调整合同价款。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74.2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07" name="文本框 31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发出索赔意向书</w:t>
                            </w:r>
                          </w:p>
                        </w:txbxContent>
                      </wps:txbx>
                      <wps:bodyPr wrap="square" upright="1"/>
                    </wps:wsp>
                  </a:graphicData>
                </a:graphic>
              </wp:anchor>
            </w:drawing>
          </mc:Choice>
          <mc:Fallback>
            <w:pict>
              <v:shape id="文本框 311" o:spid="_x0000_s1026" o:spt="202" type="#_x0000_t202" style="position:absolute;left:0pt;margin-left:-9pt;margin-top:1.25pt;height:31.2pt;width:72pt;z-index:25197465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BuVnN6ugEAAF8DAAAOAAAAAAAAAAEAIAAAACQ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发出索赔意向书</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如果承包人根据合同约定提出任何费用或其它形式的损失索赔时，应在该索赔事件首次发生之后的14天内向造价工程师发出索赔意向书，并抄送发包人。</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74.3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308" name="文本框 312"/>
                <wp:cNvGraphicFramePr/>
                <a:graphic xmlns:a="http://schemas.openxmlformats.org/drawingml/2006/main">
                  <a:graphicData uri="http://schemas.microsoft.com/office/word/2010/wordprocessingShape">
                    <wps:wsp>
                      <wps:cNvSpPr txBox="1"/>
                      <wps:spPr>
                        <a:xfrm>
                          <a:off x="0" y="0"/>
                          <a:ext cx="914400" cy="52260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索赔记录的保存和审查</w:t>
                            </w:r>
                          </w:p>
                        </w:txbxContent>
                      </wps:txbx>
                      <wps:bodyPr wrap="square" upright="1"/>
                    </wps:wsp>
                  </a:graphicData>
                </a:graphic>
              </wp:anchor>
            </w:drawing>
          </mc:Choice>
          <mc:Fallback>
            <w:pict>
              <v:shape id="文本框 312" o:spid="_x0000_s1026" o:spt="202" type="#_x0000_t202" style="position:absolute;left:0pt;margin-left:-9pt;margin-top:0.05pt;height:41.15pt;width:72pt;z-index:251975680;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dNkCnTAAAABwEAAA8AAAAAAAAAAQAgAAAAIgAAAGRycy9kb3ducmV2LnhtbFBLAQIUABQAAAAI&#10;AIdO4kBUdmnCuQEAAF8DAAAOAAAAAAAAAAEAIAAAACIBAABkcnMvZTJvRG9jLnhtbFBLBQYAAAAA&#10;BgAGAFkBAABN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索赔记录的保存和审查</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74.4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309" name="文本框 313"/>
                <wp:cNvGraphicFramePr/>
                <a:graphic xmlns:a="http://schemas.openxmlformats.org/drawingml/2006/main">
                  <a:graphicData uri="http://schemas.microsoft.com/office/word/2010/wordprocessingShape">
                    <wps:wsp>
                      <wps:cNvSpPr txBox="1"/>
                      <wps:spPr>
                        <a:xfrm>
                          <a:off x="0" y="0"/>
                          <a:ext cx="1028700" cy="48006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提交费用索赔</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报告</w:t>
                            </w:r>
                          </w:p>
                        </w:txbxContent>
                      </wps:txbx>
                      <wps:bodyPr wrap="square" upright="1"/>
                    </wps:wsp>
                  </a:graphicData>
                </a:graphic>
              </wp:anchor>
            </w:drawing>
          </mc:Choice>
          <mc:Fallback>
            <w:pict>
              <v:shape id="文本框 313" o:spid="_x0000_s1026" o:spt="202" type="#_x0000_t202" style="position:absolute;left:0pt;margin-left:-9pt;margin-top:0.4pt;height:37.8pt;width:81pt;z-index:251976704;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YZrJc0wAAAAcBAAAPAAAAAAAAAAEAIAAAACIAAABkcnMvZG93bnJldi54bWxQSwECFAAUAAAA&#10;CACHTuJArHBsOroBAABgAwAADgAAAAAAAAABACAAAAAiAQAAZHJzL2Uyb0RvYy54bWxQSwUGAAAA&#10;AAYABgBZAQAATg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提交费用索赔</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报告</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在发出索赔意向书后的14天内，承包人应向造价工程师提交费用索赔报告和有关资料。如果索赔事件持续进行，承包人应每隔7天向造价工程师发出索赔意向书，在索赔事件终结后的14天内，提交最终费用索赔报告和有关资料。</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310" name="文本框 314"/>
                <wp:cNvGraphicFramePr/>
                <a:graphic xmlns:a="http://schemas.openxmlformats.org/drawingml/2006/main">
                  <a:graphicData uri="http://schemas.microsoft.com/office/word/2010/wordprocessingShape">
                    <wps:wsp>
                      <wps:cNvSpPr txBox="1"/>
                      <wps:spPr>
                        <a:xfrm>
                          <a:off x="0" y="0"/>
                          <a:ext cx="800100" cy="32448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无权索赔</w:t>
                            </w:r>
                          </w:p>
                        </w:txbxContent>
                      </wps:txbx>
                      <wps:bodyPr wrap="square" upright="1"/>
                    </wps:wsp>
                  </a:graphicData>
                </a:graphic>
              </wp:anchor>
            </w:drawing>
          </mc:Choice>
          <mc:Fallback>
            <w:pict>
              <v:shape id="文本框 314" o:spid="_x0000_s1026" o:spt="202" type="#_x0000_t202" style="position:absolute;left:0pt;margin-left:-9pt;margin-top:19.75pt;height:25.55pt;width:63pt;z-index:251977728;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NXai1gAAAAkBAAAPAAAAAAAAAAEAIAAAACIAAABkcnMvZG93bnJldi54bWxQSwECFAAUAAAA&#10;CACHTuJA+Rd5D7cBAABfAwAADgAAAAAAAAABACAAAAAlAQAAZHJzL2Uyb0RvYy54bWxQSwUGAAAA&#10;AAYABgBZAQAATg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无权索赔</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74.5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如果承包人提出的索赔未能遵守第74.2款至第74.4款规定，则承包人无权获得索赔或只限于获得由造价工程师按照提供记录予以核实的部分款额。</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74.6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311" name="文本框 315"/>
                <wp:cNvGraphicFramePr/>
                <a:graphic xmlns:a="http://schemas.openxmlformats.org/drawingml/2006/main">
                  <a:graphicData uri="http://schemas.microsoft.com/office/word/2010/wordprocessingShape">
                    <wps:wsp>
                      <wps:cNvSpPr txBox="1"/>
                      <wps:spPr>
                        <a:xfrm>
                          <a:off x="0" y="0"/>
                          <a:ext cx="914400" cy="43878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核实费用索赔报告的限制</w:t>
                            </w:r>
                          </w:p>
                        </w:txbxContent>
                      </wps:txbx>
                      <wps:bodyPr wrap="square" upright="1"/>
                    </wps:wsp>
                  </a:graphicData>
                </a:graphic>
              </wp:anchor>
            </w:drawing>
          </mc:Choice>
          <mc:Fallback>
            <w:pict>
              <v:shape id="文本框 315" o:spid="_x0000_s1026" o:spt="202" type="#_x0000_t202" style="position:absolute;left:0pt;margin-left:-9pt;margin-top:0.65pt;height:34.55pt;width:72pt;z-index:251978752;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v/TQXVAAAACAEAAA8AAAAAAAAAAQAgAAAAIgAAAGRycy9kb3ducmV2LnhtbFBLAQIUABQA&#10;AAAIAIdO4kBYF6OVugEAAF8DAAAOAAAAAAAAAAEAIAAAACQ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核实费用索赔报告的限制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应在收到承包人提交的费用索赔报告和有关资料后的28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74.7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312" name="文本框 316"/>
                <wp:cNvGraphicFramePr/>
                <a:graphic xmlns:a="http://schemas.openxmlformats.org/drawingml/2006/main">
                  <a:graphicData uri="http://schemas.microsoft.com/office/word/2010/wordprocessingShape">
                    <wps:wsp>
                      <wps:cNvSpPr txBox="1"/>
                      <wps:spPr>
                        <a:xfrm>
                          <a:off x="0" y="0"/>
                          <a:ext cx="800100" cy="34988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反索赔</w:t>
                            </w:r>
                          </w:p>
                        </w:txbxContent>
                      </wps:txbx>
                      <wps:bodyPr wrap="square" upright="1"/>
                    </wps:wsp>
                  </a:graphicData>
                </a:graphic>
              </wp:anchor>
            </w:drawing>
          </mc:Choice>
          <mc:Fallback>
            <w:pict>
              <v:shape id="文本框 316" o:spid="_x0000_s1026" o:spt="202" type="#_x0000_t202" style="position:absolute;left:0pt;margin-left:-9pt;margin-top:3.05pt;height:27.55pt;width:63pt;z-index:251979776;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rekmnTAAAACAEAAA8AAAAAAAAAAQAgAAAAIgAAAGRycy9kb3ducmV2LnhtbFBLAQIUABQAAAAI&#10;AIdO4kA2/ORGuQEAAF8DAAAOAAAAAAAAAAEAIAAAACIBAABkcnMvZTJvRG9jLnhtbFBLBQYAAAAA&#10;BgAGAFkBAABN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反索赔</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承包人未能按照合同约定履行各项义务或发生错误，给发包人造成损失，发包人可按照本条规定的时限和要求向承包人提出索赔。</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74.8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313" name="文本框 317"/>
                <wp:cNvGraphicFramePr/>
                <a:graphic xmlns:a="http://schemas.openxmlformats.org/drawingml/2006/main">
                  <a:graphicData uri="http://schemas.microsoft.com/office/word/2010/wordprocessingShape">
                    <wps:wsp>
                      <wps:cNvSpPr txBox="1"/>
                      <wps:spPr>
                        <a:xfrm>
                          <a:off x="0" y="0"/>
                          <a:ext cx="914400" cy="62230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调整价款的确认与支付</w:t>
                            </w:r>
                          </w:p>
                        </w:txbxContent>
                      </wps:txbx>
                      <wps:bodyPr wrap="square" upright="1"/>
                    </wps:wsp>
                  </a:graphicData>
                </a:graphic>
              </wp:anchor>
            </w:drawing>
          </mc:Choice>
          <mc:Fallback>
            <w:pict>
              <v:shape id="文本框 317" o:spid="_x0000_s1026" o:spt="202" type="#_x0000_t202" style="position:absolute;left:0pt;margin-left:-9pt;margin-top:1.45pt;height:49pt;width:72pt;z-index:251980800;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666a9YAAAAJAQAADwAAAAAAAAABACAAAAAiAAAAZHJzL2Rvd25yZXYueG1sUEsBAhQAFAAA&#10;AAgAh07iQEKGYbW4AQAAXwMAAA4AAAAAAAAAAQAgAAAAJQEAAGRycy9lMm9Eb2MueG1sUEsFBgAA&#10;AAAGAAYAWQEAAE8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调整价款的确认与支付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费用索赔报告被认可，则表明该事件已索赔成功，合同双方当事人应确认由此引起调整的合同价款，并作为追加（减）合同价款，与工程进度款或结算款同期支付。</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55" w:name="_Toc469384059"/>
      <w:bookmarkStart w:id="556" w:name="_Toc10624899"/>
      <w:r>
        <w:rPr>
          <w:rFonts w:hint="eastAsia" w:ascii="黑体" w:hAnsi="黑体" w:eastAsia="黑体" w:cs="黑体"/>
          <w:b w:val="0"/>
          <w:bCs/>
          <w:color w:val="auto"/>
          <w:kern w:val="0"/>
          <w:sz w:val="24"/>
          <w:szCs w:val="24"/>
          <w:highlight w:val="none"/>
          <w:lang w:val="en-US" w:eastAsia="zh-CN" w:bidi="ar-SA"/>
        </w:rPr>
        <w:t>★75  现场签证事件</w:t>
      </w:r>
      <w:bookmarkEnd w:id="555"/>
      <w:bookmarkEnd w:id="556"/>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75.1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314" name="文本框 318"/>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现场签证的价款调整</w:t>
                            </w:r>
                          </w:p>
                          <w:p>
                            <w:pPr>
                              <w:rPr>
                                <w:rFonts w:ascii="Times New Roman" w:hAnsi="Times New Roman" w:cs="Times New Roman"/>
                                <w:szCs w:val="21"/>
                              </w:rPr>
                            </w:pPr>
                          </w:p>
                        </w:txbxContent>
                      </wps:txbx>
                      <wps:bodyPr wrap="square" upright="1"/>
                    </wps:wsp>
                  </a:graphicData>
                </a:graphic>
              </wp:anchor>
            </w:drawing>
          </mc:Choice>
          <mc:Fallback>
            <w:pict>
              <v:shape id="文本框 318" o:spid="_x0000_s1026" o:spt="202" type="#_x0000_t202" style="position:absolute;left:0pt;margin-left:-9pt;margin-top:0.4pt;height:40.2pt;width:72pt;z-index:251981824;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VbjX+0wAAAAcBAAAPAAAAAAAAAAEAIAAAACIAAABkcnMvZG93bnJldi54bWxQSwECFAAUAAAA&#10;CACHTuJAVwCzSroBAABfAwAADgAAAAAAAAABACAAAAAiAQAAZHJzL2Uyb0RvYy54bWxQSwUGAAAA&#10;AAYABgBZAQAATg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现场签证的价款调整</w:t>
                      </w:r>
                    </w:p>
                    <w:p>
                      <w:pPr>
                        <w:rPr>
                          <w:rFonts w:ascii="Times New Roman" w:hAnsi="Times New Roman"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现场签证是指合同双方当事人就施工过程中涉及的责任事件所作的签认证明。</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合同履行期间，出现现场签证事件的，合同双方当事人应调整合同价款。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75.2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7" w:leftChars="770" w:firstLine="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315" name="文本框 319"/>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现场签证的提出</w:t>
                            </w:r>
                          </w:p>
                          <w:p>
                            <w:pPr>
                              <w:rPr>
                                <w:rFonts w:ascii="Times New Roman" w:hAnsi="Times New Roman" w:cs="Times New Roman"/>
                                <w:szCs w:val="21"/>
                              </w:rPr>
                            </w:pPr>
                          </w:p>
                        </w:txbxContent>
                      </wps:txbx>
                      <wps:bodyPr wrap="square" upright="1"/>
                    </wps:wsp>
                  </a:graphicData>
                </a:graphic>
              </wp:anchor>
            </w:drawing>
          </mc:Choice>
          <mc:Fallback>
            <w:pict>
              <v:shape id="文本框 319" o:spid="_x0000_s1026" o:spt="202" type="#_x0000_t202" style="position:absolute;left:0pt;margin-left:-9pt;margin-top:1.45pt;height:40.2pt;width:72pt;z-index:251982848;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GXnnfVAAAACAEAAA8AAAAAAAAAAQAgAAAAIgAAAGRycy9kb3ducmV2LnhtbFBLAQIUABQA&#10;AAAIAIdO4kDIB3jgugEAAF8DAAAOAAAAAAAAAAEAIAAAACQ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现场签证的提出</w:t>
                      </w:r>
                    </w:p>
                    <w:p>
                      <w:pPr>
                        <w:rPr>
                          <w:rFonts w:ascii="Times New Roman" w:hAnsi="Times New Roman"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75.3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316" name="文本框 320"/>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现场签证报告的确认</w:t>
                            </w:r>
                          </w:p>
                          <w:p>
                            <w:pPr>
                              <w:rPr>
                                <w:rFonts w:ascii="Times New Roman" w:hAnsi="Times New Roman" w:cs="Times New Roman"/>
                                <w:szCs w:val="21"/>
                              </w:rPr>
                            </w:pPr>
                          </w:p>
                        </w:txbxContent>
                      </wps:txbx>
                      <wps:bodyPr wrap="square" upright="1"/>
                    </wps:wsp>
                  </a:graphicData>
                </a:graphic>
              </wp:anchor>
            </w:drawing>
          </mc:Choice>
          <mc:Fallback>
            <w:pict>
              <v:shape id="文本框 320" o:spid="_x0000_s1026" o:spt="202" type="#_x0000_t202" style="position:absolute;left:0pt;margin-left:-9pt;margin-top:0.4pt;height:40.2pt;width:72pt;z-index:251983872;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VuNf7TAAAABwEAAA8AAAAAAAAAAQAgAAAAIgAAAGRycy9kb3ducmV2LnhtbFBLAQIUABQAAAAI&#10;AIdO4kDW16e1uQEAAF8DAAAOAAAAAAAAAAEAIAAAACIBAABkcnMvZTJvRG9jLnhtbFBLBQYAAAAA&#10;BgAGAFkBAABN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现场签证报告的确认</w:t>
                      </w:r>
                    </w:p>
                    <w:p>
                      <w:pPr>
                        <w:rPr>
                          <w:rFonts w:ascii="Times New Roman" w:hAnsi="Times New Roman"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专用条款另有约定外，承包人应在收到监理工程师书面通知后的7天内，向发包人提交现场签证报告，并抄送监理工程师、造价工程师。发包人在收到承包人的现场签证报告后，应通知监理工程师、造价工程师对报告内容予以核实，并在收到现场签证报告后的48小时内予以确认或提出修改意见。发包人在收到承包人现场签证报告后的48小时内未确认也未提出修改意见的，视为承包人提交的现场签证报告已被认可。</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75.4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317" name="文本框 321"/>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现场签证的要求</w:t>
                            </w:r>
                          </w:p>
                          <w:p>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pPr>
                              <w:rPr>
                                <w:rFonts w:ascii="Times New Roman" w:hAnsi="Times New Roman" w:cs="Times New Roman"/>
                                <w:szCs w:val="21"/>
                              </w:rPr>
                            </w:pPr>
                          </w:p>
                        </w:txbxContent>
                      </wps:txbx>
                      <wps:bodyPr wrap="square" upright="1"/>
                    </wps:wsp>
                  </a:graphicData>
                </a:graphic>
              </wp:anchor>
            </w:drawing>
          </mc:Choice>
          <mc:Fallback>
            <w:pict>
              <v:shape id="文本框 321" o:spid="_x0000_s1026" o:spt="202" type="#_x0000_t202" style="position:absolute;left:0pt;margin-left:-9pt;margin-top:2.7pt;height:37.8pt;width:72pt;z-index:251984896;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zO099UAAAAIAQAADwAAAAAAAAABACAAAAAiAAAAZHJzL2Rvd25yZXYueG1sUEsBAhQAFAAA&#10;AAgAh07iQJMqsk65AQAAXwMAAA4AAAAAAAAAAQAgAAAAJAEAAGRycy9lMm9Eb2MueG1sUEsFBgAA&#10;AAAGAAYAWQEAAE8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现场签证的要求</w:t>
                      </w:r>
                    </w:p>
                    <w:p>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pPr>
                        <w:rPr>
                          <w:rFonts w:ascii="Times New Roman" w:hAnsi="Times New Roman"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计日工有相应单价或合同中有适用单价的项目，合同双方当事人仅在现场签证报告中列明完成该类项目所需的人工、材料、工程设备和施工设备机械台班的数量。</w:t>
      </w:r>
    </w:p>
    <w:p>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w:t>计日工没有相应单价或合同中没有适用单价的项目，合同双方当事人应在现场签证报告中列明完成这类项目所需的人工、材料、工程设备和施工设备机械台班的数量和单价。</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75.5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18" name="文本框 322"/>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现场签证工作的实施</w:t>
                            </w:r>
                          </w:p>
                          <w:p>
                            <w:pPr>
                              <w:widowControl w:val="0"/>
                              <w:adjustRightInd w:val="0"/>
                              <w:snapToGrid w:val="0"/>
                              <w:jc w:val="both"/>
                              <w:rPr>
                                <w:rFonts w:ascii="Times New Roman" w:hAnsi="Times New Roman" w:eastAsia="楷体_GB2312" w:cs="Times New Roman"/>
                                <w:b/>
                                <w:bCs/>
                                <w:kern w:val="2"/>
                                <w:sz w:val="18"/>
                                <w:szCs w:val="18"/>
                                <w:lang w:val="en-US" w:eastAsia="zh-CN" w:bidi="ar-SA"/>
                              </w:rPr>
                            </w:pPr>
                          </w:p>
                          <w:p>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pPr>
                              <w:rPr>
                                <w:rFonts w:ascii="Times New Roman" w:hAnsi="Times New Roman" w:cs="Times New Roman"/>
                                <w:szCs w:val="21"/>
                              </w:rPr>
                            </w:pPr>
                          </w:p>
                        </w:txbxContent>
                      </wps:txbx>
                      <wps:bodyPr wrap="square" upright="1"/>
                    </wps:wsp>
                  </a:graphicData>
                </a:graphic>
              </wp:anchor>
            </w:drawing>
          </mc:Choice>
          <mc:Fallback>
            <w:pict>
              <v:shape id="文本框 322" o:spid="_x0000_s1026" o:spt="202" type="#_x0000_t202" style="position:absolute;left:0pt;margin-left:-9pt;margin-top:6.1pt;height:37.8pt;width:72pt;z-index:251985920;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senpzWAAAACQEAAA8AAAAAAAAAAQAgAAAAIgAAAGRycy9kb3ducmV2LnhtbFBLAQIUABQA&#10;AAAIAIdO4kDgkDx3uQEAAF8DAAAOAAAAAAAAAAEAIAAAACU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现场签证工作的实施</w:t>
                      </w:r>
                    </w:p>
                    <w:p>
                      <w:pPr>
                        <w:widowControl w:val="0"/>
                        <w:adjustRightInd w:val="0"/>
                        <w:snapToGrid w:val="0"/>
                        <w:jc w:val="both"/>
                        <w:rPr>
                          <w:rFonts w:ascii="Times New Roman" w:hAnsi="Times New Roman" w:eastAsia="楷体_GB2312" w:cs="Times New Roman"/>
                          <w:b/>
                          <w:bCs/>
                          <w:kern w:val="2"/>
                          <w:sz w:val="18"/>
                          <w:szCs w:val="18"/>
                          <w:lang w:val="en-US" w:eastAsia="zh-CN" w:bidi="ar-SA"/>
                        </w:rPr>
                      </w:pPr>
                    </w:p>
                    <w:p>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pPr>
                        <w:rPr>
                          <w:rFonts w:ascii="Times New Roman" w:hAnsi="Times New Roman"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承包人应在发包人确认现场签证报告后的48小时内，按照监理工程师发出的工作指令及时组织实施相关工作。否则，由此引起的损失和（或）延误的工期由承包人承担。</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75.6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19" name="文本框 323"/>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现场签证的限制</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p>
                          <w:p>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pPr>
                              <w:rPr>
                                <w:rFonts w:ascii="Times New Roman" w:hAnsi="Times New Roman" w:cs="Times New Roman"/>
                                <w:szCs w:val="21"/>
                              </w:rPr>
                            </w:pPr>
                          </w:p>
                        </w:txbxContent>
                      </wps:txbx>
                      <wps:bodyPr wrap="square" upright="1"/>
                    </wps:wsp>
                  </a:graphicData>
                </a:graphic>
              </wp:anchor>
            </w:drawing>
          </mc:Choice>
          <mc:Fallback>
            <w:pict>
              <v:shape id="文本框 323" o:spid="_x0000_s1026" o:spt="202" type="#_x0000_t202" style="position:absolute;left:0pt;margin-left:-9pt;margin-top:6.1pt;height:37.8pt;width:72pt;z-index:251986944;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bHp6c1gAAAAkBAAAPAAAAAAAAAAEAIAAAACIAAABkcnMvZG93bnJldi54bWxQSwECFAAU&#10;AAAACACHTuJAf5f33boBAABfAwAADgAAAAAAAAABACAAAAAlAQAAZHJzL2Uyb0RvYy54bWxQSwUG&#10;AAAAAAYABgBZAQAAUQ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现场签证的限制</w:t>
                      </w:r>
                    </w:p>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p>
                    <w:p>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pPr>
                        <w:rPr>
                          <w:rFonts w:ascii="Times New Roman" w:hAnsi="Times New Roman"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合同工程发生现场签证事件，未经发包人签证、确认，承包人便擅自实施相关工作的，除非征得发包人同意，否则发生的费用由承包人承担。</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75.7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20" name="文本框 324"/>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调整价款的确认与支付</w:t>
                            </w:r>
                          </w:p>
                          <w:p>
                            <w:pPr>
                              <w:widowControl w:val="0"/>
                              <w:adjustRightInd w:val="0"/>
                              <w:snapToGrid w:val="0"/>
                              <w:jc w:val="both"/>
                              <w:rPr>
                                <w:rFonts w:ascii="Times New Roman" w:hAnsi="Times New Roman" w:eastAsia="楷体_GB2312" w:cs="Times New Roman"/>
                                <w:b/>
                                <w:bCs/>
                                <w:kern w:val="2"/>
                                <w:sz w:val="18"/>
                                <w:szCs w:val="18"/>
                                <w:lang w:val="en-US" w:eastAsia="zh-CN" w:bidi="ar-SA"/>
                              </w:rPr>
                            </w:pPr>
                          </w:p>
                          <w:p>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pPr>
                              <w:rPr>
                                <w:rFonts w:ascii="Times New Roman" w:hAnsi="Times New Roman" w:cs="Times New Roman"/>
                                <w:szCs w:val="21"/>
                              </w:rPr>
                            </w:pPr>
                          </w:p>
                        </w:txbxContent>
                      </wps:txbx>
                      <wps:bodyPr wrap="square" upright="1"/>
                    </wps:wsp>
                  </a:graphicData>
                </a:graphic>
              </wp:anchor>
            </w:drawing>
          </mc:Choice>
          <mc:Fallback>
            <w:pict>
              <v:shape id="文本框 324" o:spid="_x0000_s1026" o:spt="202" type="#_x0000_t202" style="position:absolute;left:0pt;margin-left:-9pt;margin-top:6.1pt;height:37.8pt;width:72pt;z-index:251987968;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senpzWAAAACQEAAA8AAAAAAAAAAQAgAAAAIgAAAGRycy9kb3ducmV2LnhtbFBLAQIUABQA&#10;AAAIAIdO4kCm1eCLuQEAAF8DAAAOAAAAAAAAAAEAIAAAACUBAABkcnMvZTJvRG9jLnhtbFBLBQYA&#10;AAAABgAGAFkBAABQBQ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调整价款的确认与支付</w:t>
                      </w:r>
                    </w:p>
                    <w:p>
                      <w:pPr>
                        <w:widowControl w:val="0"/>
                        <w:adjustRightInd w:val="0"/>
                        <w:snapToGrid w:val="0"/>
                        <w:jc w:val="both"/>
                        <w:rPr>
                          <w:rFonts w:ascii="Times New Roman" w:hAnsi="Times New Roman" w:eastAsia="楷体_GB2312" w:cs="Times New Roman"/>
                          <w:b/>
                          <w:bCs/>
                          <w:kern w:val="2"/>
                          <w:sz w:val="18"/>
                          <w:szCs w:val="18"/>
                          <w:lang w:val="en-US" w:eastAsia="zh-CN" w:bidi="ar-SA"/>
                        </w:rPr>
                      </w:pPr>
                    </w:p>
                    <w:p>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pPr>
                        <w:rPr>
                          <w:rFonts w:ascii="Times New Roman" w:hAnsi="Times New Roman"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现场签证工作完成后的48小时内，合同双方当事人应确认由此引起调整的合同价款，并作为追加合同价款，与工程进度款同期支付。</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57" w:name="_Toc10624900"/>
      <w:bookmarkStart w:id="558" w:name="_Toc469384060"/>
      <w:r>
        <w:rPr>
          <w:rFonts w:hint="eastAsia" w:ascii="黑体" w:hAnsi="黑体" w:eastAsia="黑体" w:cs="黑体"/>
          <w:b w:val="0"/>
          <w:bCs/>
          <w:color w:val="auto"/>
          <w:kern w:val="0"/>
          <w:sz w:val="24"/>
          <w:szCs w:val="24"/>
          <w:highlight w:val="none"/>
          <w:lang w:val="en-US" w:eastAsia="zh-CN" w:bidi="ar-SA"/>
        </w:rPr>
        <w:t>★76  物价涨落事件</w:t>
      </w:r>
      <w:bookmarkEnd w:id="557"/>
      <w:bookmarkEnd w:id="558"/>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321" name="文本框 325"/>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物价涨落的价款调整</w:t>
                            </w:r>
                          </w:p>
                        </w:txbxContent>
                      </wps:txbx>
                      <wps:bodyPr wrap="square" upright="1"/>
                    </wps:wsp>
                  </a:graphicData>
                </a:graphic>
              </wp:anchor>
            </w:drawing>
          </mc:Choice>
          <mc:Fallback>
            <w:pict>
              <v:shape id="文本框 325" o:spid="_x0000_s1026" o:spt="202" type="#_x0000_t202" style="position:absolute;left:0pt;margin-left:-9pt;margin-top:21.6pt;height:46.55pt;width:72pt;z-index:251988992;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zKqLdcAAAAKAQAADwAAAAAAAAABACAAAAAiAAAAZHJzL2Rvd25yZXYueG1sUEsBAhQA&#10;FAAAAAgAh07iQGub0GC6AQAAXwMAAA4AAAAAAAAAAQAgAAAAJgEAAGRycy9lMm9Eb2MueG1sUEsF&#10;BgAAAAAGAAYAWQEAAFI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物价涨落的价款调整</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76.1      </w:t>
      </w:r>
    </w:p>
    <w:p>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w:t xml:space="preserve">合同履行期间，除专用合同条款另有约定外，市场价格波动超过合同当事人约定的范围，合同价格应当调整。合同当事人可以在专用条款中约定按通用条款76.3款选择一种方式对合同价格进行调整。 </w:t>
      </w:r>
      <w:r>
        <w:rPr>
          <w:rFonts w:hint="eastAsia" w:ascii="宋体" w:hAnsi="宋体" w:eastAsia="宋体" w:cs="宋体"/>
          <w:color w:val="auto"/>
          <w:kern w:val="2"/>
          <w:sz w:val="22"/>
          <w:szCs w:val="22"/>
          <w:highlight w:val="none"/>
          <w:lang w:val="en-US" w:eastAsia="zh-CN" w:bidi="ar-SA"/>
        </w:rPr>
        <w:t xml:space="preserve">   </w:t>
      </w:r>
    </w:p>
    <w:p>
      <w:pPr>
        <w:widowControl w:val="0"/>
        <w:tabs>
          <w:tab w:val="left" w:pos="54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90016"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322" name="文本框 32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人工费的调整方法</w:t>
                            </w:r>
                          </w:p>
                        </w:txbxContent>
                      </wps:txbx>
                      <wps:bodyPr wrap="square" upright="1"/>
                    </wps:wsp>
                  </a:graphicData>
                </a:graphic>
              </wp:anchor>
            </w:drawing>
          </mc:Choice>
          <mc:Fallback>
            <w:pict>
              <v:shape id="文本框 326" o:spid="_x0000_s1026" o:spt="202" type="#_x0000_t202" style="position:absolute;left:0pt;margin-left:-10.5pt;margin-top:19.5pt;height:48.75pt;width:72pt;z-index:251990016;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pz62X1wAAAAoBAAAPAAAAAAAAAAEAIAAAACIAAABkcnMvZG93bnJldi54bWxQSwECFAAU&#10;AAAACACHTuJAiy9QdrkBAABfAwAADgAAAAAAAAABACAAAAAmAQAAZHJzL2Uyb0RvYy54bWxQSwUG&#10;AAAAAAYABgBZAQAAUQ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人工费的调整方法</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76.2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执行第76.3款“第1种方式：采用造价信息进行价格调整”规定的，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pPr>
        <w:widowControl w:val="0"/>
        <w:tabs>
          <w:tab w:val="left" w:pos="540"/>
        </w:tabs>
        <w:adjustRightInd w:val="0"/>
        <w:snapToGrid w:val="0"/>
        <w:spacing w:line="420" w:lineRule="exact"/>
        <w:jc w:val="both"/>
        <w:rPr>
          <w:rFonts w:hint="eastAsia" w:ascii="仿宋_GB2312" w:hAnsi="仿宋_GB2312" w:eastAsia="仿宋_GB2312" w:cs="仿宋_GB2312"/>
          <w:color w:val="auto"/>
          <w:sz w:val="24"/>
          <w:szCs w:val="24"/>
          <w:highlight w:val="none"/>
          <w:lang w:val="en-US" w:eastAsia="zh-CN"/>
        </w:rPr>
      </w:pPr>
      <w:r>
        <w:rPr>
          <w:rFonts w:hint="eastAsia" w:ascii="宋体" w:hAnsi="宋体" w:eastAsia="宋体" w:cs="宋体"/>
          <w:b/>
          <w:bCs/>
          <w:color w:val="auto"/>
          <w:kern w:val="2"/>
          <w:sz w:val="22"/>
          <w:szCs w:val="22"/>
          <w:highlight w:val="none"/>
          <w:lang w:val="en-US" w:eastAsia="zh-CN" w:bidi="ar-SA"/>
        </w:rPr>
        <w:t xml:space="preserve">76.3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323" name="文本框 327"/>
                <wp:cNvGraphicFramePr/>
                <a:graphic xmlns:a="http://schemas.openxmlformats.org/drawingml/2006/main">
                  <a:graphicData uri="http://schemas.microsoft.com/office/word/2010/wordprocessingShape">
                    <wps:wsp>
                      <wps:cNvSpPr txBox="1"/>
                      <wps:spPr>
                        <a:xfrm>
                          <a:off x="0" y="0"/>
                          <a:ext cx="914400" cy="1003300"/>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承包人采购材料和工程设备的材料设备费、施工机械费调 整方法</w:t>
                            </w:r>
                          </w:p>
                        </w:txbxContent>
                      </wps:txbx>
                      <wps:bodyPr wrap="square" upright="1"/>
                    </wps:wsp>
                  </a:graphicData>
                </a:graphic>
              </wp:anchor>
            </w:drawing>
          </mc:Choice>
          <mc:Fallback>
            <w:pict>
              <v:shape id="文本框 327" o:spid="_x0000_s1026" o:spt="202" type="#_x0000_t202" style="position:absolute;left:0pt;margin-left:-9pt;margin-top:1.25pt;height:79pt;width:72pt;z-index:251991040;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0C7z9YAAAAJAQAADwAAAAAAAAABACAAAAAiAAAAZHJzL2Rvd25yZXYueG1sUEsBAhQAFAAA&#10;AAgAh07iQDfBZfS4AQAAYAMAAA4AAAAAAAAAAQAgAAAAJQEAAGRycy9lMm9Eb2MueG1sUEsFBgAA&#10;AAAGAAYAWQEAAE8FA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承包人采购材料和工程设备的材料设备费、施工机械费调 整方法</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第1种方式：采用造价信息进行价格调整。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（1）材料、工程设备价格变化的价款调整按照发包人提供的基准价格，按以下风险范围规定执行:</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承包人在已标价工程量清单或预算书中载明材料单价低于基准价格的：除专用合同条款另有约定外，合同履行期间材料单价涨幅以基准价格为基础超5%时，或材料单价跌幅以在已标价工程量清单或预算书中载明材料单价为基础超过5%时，其超过部分据实调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2）承包人在已标价工程量清单或预算书中载明材料单价高于基准价格的：除专用合同条款另有约定外，合同履行期间材料单价跌幅以基准价格为基础超过5%时，材料单价涨 幅以在已标价工程量清单或预算书中载明材料单价为基础超过5%时，其超过部分据实调整。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3）承包人在已标价工程量清单或预算书中载明材料单价等于基准价格的：除专用合同条款另有约定外，合同履行期间材料单价涨跌幅以基准价格为基础超过±5%时，其超过部分据实调整。</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前述基准价格是指由发包人在招标文件或专用合同条款中给定的材料、工程设备的价格，该价格原则上应当按照省级或行业建设主管部门或其授权的工程造价管理机构发布的信息价编制。</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（2）施工机械台班单价或施工机械使用费发生变化超过省级或行业建设主管部门或其授权的工程造价管理机构规定的范围时，按规定调整合同价格。</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第2种方式：专用合同条款约定的其他方式。</w:t>
      </w:r>
    </w:p>
    <w:p>
      <w:pPr>
        <w:widowControl w:val="0"/>
        <w:tabs>
          <w:tab w:val="left" w:pos="540"/>
        </w:tabs>
        <w:adjustRightInd w:val="0"/>
        <w:snapToGrid w:val="0"/>
        <w:spacing w:line="420" w:lineRule="exact"/>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76.4</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w:t>执行第76.3款“第1种方式：采用造价信息进行价格调整”规定的，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92064"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324" name="文本框 328"/>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承包人采购材料设备的调价限制</w:t>
                            </w:r>
                          </w:p>
                        </w:txbxContent>
                      </wps:txbx>
                      <wps:bodyPr wrap="square" upright="1"/>
                    </wps:wsp>
                  </a:graphicData>
                </a:graphic>
              </wp:anchor>
            </w:drawing>
          </mc:Choice>
          <mc:Fallback>
            <w:pict>
              <v:shape id="文本框 328" o:spid="_x0000_s1026" o:spt="202" type="#_x0000_t202" style="position:absolute;left:0pt;margin-left:-5.25pt;margin-top:2.45pt;height:56.05pt;width:72pt;z-index:251992064;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Iz7LB1gAAAAkBAAAPAAAAAAAAAAEAIAAAACIAAABkcnMvZG93bnJldi54bWxQSwECFAAU&#10;AAAACACHTuJAtupaR7oBAABfAwAADgAAAAAAAAABACAAAAAlAQAAZHJzL2Uyb0RvYy54bWxQSwUG&#10;AAAAAAYABgBZAQAAUQUAAAAA&#10;">
                <v:fill on="f" focussize="0,0"/>
                <v:stroke on="f"/>
                <v:imagedata o:title=""/>
                <o:lock v:ext="edit" aspectratio="f"/>
                <v:textbox>
                  <w:txbxContent>
                    <w:p>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承包人采购材料设备的调价限制</w:t>
                      </w:r>
                    </w:p>
                  </w:txbxContent>
                </v:textbox>
              </v:shape>
            </w:pict>
          </mc:Fallback>
        </mc:AlternateContent>
      </w:r>
    </w:p>
    <w:p>
      <w:pPr>
        <w:widowControl w:val="0"/>
        <w:tabs>
          <w:tab w:val="left" w:pos="54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76.5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325" name="文本框 329"/>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发包人供应材料设备的价款调整</w:t>
                            </w:r>
                          </w:p>
                        </w:txbxContent>
                      </wps:txbx>
                      <wps:bodyPr wrap="square" upright="1"/>
                    </wps:wsp>
                  </a:graphicData>
                </a:graphic>
              </wp:anchor>
            </w:drawing>
          </mc:Choice>
          <mc:Fallback>
            <w:pict>
              <v:shape id="文本框 329" o:spid="_x0000_s1026" o:spt="202" type="#_x0000_t202" style="position:absolute;left:0pt;margin-left:-9pt;margin-top:1.25pt;height:48.75pt;width:72pt;z-index:251993088;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8gMB9UAAAAJAQAADwAAAAAAAAABACAAAAAiAAAAZHJzL2Rvd25yZXYueG1sUEsBAhQAFAAA&#10;AAgAh07iQDbA32K5AQAAXwMAAA4AAAAAAAAAAQAgAAAAJAEAAGRycy9lMm9Eb2MueG1sUEsFBgAA&#10;AAAGAAYAWQEAAE8FA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发包人供应材料设备的价款调整</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发包人供应材料和工程设备的，由发包人按照实际变化调整，列入合同工程的工程造价内。</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59" w:name="_Toc469384061"/>
      <w:bookmarkStart w:id="560" w:name="_Toc10624901"/>
      <w:r>
        <w:rPr>
          <w:rFonts w:hint="eastAsia" w:ascii="黑体" w:hAnsi="黑体" w:eastAsia="黑体" w:cs="黑体"/>
          <w:b w:val="0"/>
          <w:bCs/>
          <w:color w:val="auto"/>
          <w:kern w:val="0"/>
          <w:sz w:val="24"/>
          <w:szCs w:val="24"/>
          <w:highlight w:val="none"/>
          <w:lang w:val="en-US" w:eastAsia="zh-CN" w:bidi="ar-SA"/>
        </w:rPr>
        <w:t>★77  合同价款调整程序</w:t>
      </w:r>
      <w:bookmarkEnd w:id="559"/>
      <w:bookmarkEnd w:id="560"/>
    </w:p>
    <w:p>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77.1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26" name="文本框 33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widowControl w:val="0"/>
                              <w:spacing w:line="200" w:lineRule="exact"/>
                              <w:jc w:val="both"/>
                              <w:rPr>
                                <w:rFonts w:ascii="宋体" w:hAnsi="Times New Roman" w:eastAsia="宋体" w:cs="Times New Roman"/>
                                <w:b/>
                                <w:bCs/>
                                <w:kern w:val="2"/>
                                <w:sz w:val="21"/>
                                <w:szCs w:val="21"/>
                                <w:lang w:val="en-US" w:eastAsia="zh-CN" w:bidi="ar-SA"/>
                              </w:rPr>
                            </w:pPr>
                            <w:r>
                              <w:rPr>
                                <w:rFonts w:hint="eastAsia" w:ascii="楷体_GB2312" w:hAnsi="宋体" w:eastAsia="楷体_GB2312" w:cs="楷体_GB2312"/>
                                <w:b/>
                                <w:bCs/>
                                <w:kern w:val="2"/>
                                <w:sz w:val="18"/>
                                <w:szCs w:val="18"/>
                                <w:lang w:val="en-US" w:eastAsia="zh-CN" w:bidi="ar-SA"/>
                              </w:rPr>
                              <w:t>合同价款调整程序的规定</w:t>
                            </w:r>
                            <w:r>
                              <w:rPr>
                                <w:rFonts w:ascii="楷体_GB2312" w:hAnsi="宋体" w:eastAsia="楷体_GB2312" w:cs="楷体_GB2312"/>
                                <w:b/>
                                <w:bCs/>
                                <w:kern w:val="2"/>
                                <w:sz w:val="18"/>
                                <w:szCs w:val="18"/>
                                <w:lang w:val="en-US" w:eastAsia="zh-CN" w:bidi="ar-SA"/>
                              </w:rPr>
                              <w:t xml:space="preserve">    </w:t>
                            </w:r>
                            <w:r>
                              <w:rPr>
                                <w:rFonts w:ascii="宋体" w:hAnsi="宋体" w:eastAsia="楷体_GB2312" w:cs="宋体"/>
                                <w:b/>
                                <w:bCs/>
                                <w:kern w:val="2"/>
                                <w:sz w:val="21"/>
                                <w:szCs w:val="21"/>
                                <w:lang w:val="en-US" w:eastAsia="zh-CN" w:bidi="ar-SA"/>
                              </w:rPr>
                              <w:t xml:space="preserve">                         </w:t>
                            </w:r>
                          </w:p>
                        </w:txbxContent>
                      </wps:txbx>
                      <wps:bodyPr wrap="square" upright="1"/>
                    </wps:wsp>
                  </a:graphicData>
                </a:graphic>
              </wp:anchor>
            </w:drawing>
          </mc:Choice>
          <mc:Fallback>
            <w:pict>
              <v:shape id="文本框 330" o:spid="_x0000_s1026" o:spt="202" type="#_x0000_t202" style="position:absolute;left:0pt;margin-left:-9pt;margin-top:1.25pt;height:54.6pt;width:72pt;z-index:251994112;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PuPt9YAAAAJAQAADwAAAAAAAAABACAAAAAiAAAAZHJzL2Rvd25yZXYueG1sUEsBAhQAFAAA&#10;AAgAh07iQL36U++4AQAAXwMAAA4AAAAAAAAAAQAgAAAAJQEAAGRycy9lMm9Eb2MueG1sUEsFBgAA&#10;AAAGAAYAWQEAAE8FAAAAAA==&#10;">
                <v:fill on="f" focussize="0,0"/>
                <v:stroke on="f"/>
                <v:imagedata o:title=""/>
                <o:lock v:ext="edit" aspectratio="f"/>
                <v:textbox>
                  <w:txbxContent>
                    <w:p>
                      <w:pPr>
                        <w:widowControl w:val="0"/>
                        <w:spacing w:line="200" w:lineRule="exact"/>
                        <w:jc w:val="both"/>
                        <w:rPr>
                          <w:rFonts w:ascii="宋体" w:hAnsi="Times New Roman" w:eastAsia="宋体" w:cs="Times New Roman"/>
                          <w:b/>
                          <w:bCs/>
                          <w:kern w:val="2"/>
                          <w:sz w:val="21"/>
                          <w:szCs w:val="21"/>
                          <w:lang w:val="en-US" w:eastAsia="zh-CN" w:bidi="ar-SA"/>
                        </w:rPr>
                      </w:pPr>
                      <w:r>
                        <w:rPr>
                          <w:rFonts w:hint="eastAsia" w:ascii="楷体_GB2312" w:hAnsi="宋体" w:eastAsia="楷体_GB2312" w:cs="楷体_GB2312"/>
                          <w:b/>
                          <w:bCs/>
                          <w:kern w:val="2"/>
                          <w:sz w:val="18"/>
                          <w:szCs w:val="18"/>
                          <w:lang w:val="en-US" w:eastAsia="zh-CN" w:bidi="ar-SA"/>
                        </w:rPr>
                        <w:t>合同价款调整程序的规定</w:t>
                      </w:r>
                      <w:r>
                        <w:rPr>
                          <w:rFonts w:ascii="楷体_GB2312" w:hAnsi="宋体" w:eastAsia="楷体_GB2312" w:cs="楷体_GB2312"/>
                          <w:b/>
                          <w:bCs/>
                          <w:kern w:val="2"/>
                          <w:sz w:val="18"/>
                          <w:szCs w:val="18"/>
                          <w:lang w:val="en-US" w:eastAsia="zh-CN" w:bidi="ar-SA"/>
                        </w:rPr>
                        <w:t xml:space="preserve">    </w:t>
                      </w:r>
                      <w:r>
                        <w:rPr>
                          <w:rFonts w:ascii="宋体" w:hAnsi="宋体" w:eastAsia="楷体_GB2312" w:cs="宋体"/>
                          <w:b/>
                          <w:bCs/>
                          <w:kern w:val="2"/>
                          <w:sz w:val="21"/>
                          <w:szCs w:val="21"/>
                          <w:lang w:val="en-US" w:eastAsia="zh-CN" w:bidi="ar-SA"/>
                        </w:rPr>
                        <w:t xml:space="preserve">                         </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合同履行期间，出现第68.2款规定调整合同价款事件的，除费用索赔、现场签证事件分别按照第74条、第75条规定程序外，合同双方当事人应按照本条规定程序调整合同价款。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95136"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327" name="文本框 331"/>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合同价款调增报告的提出</w:t>
                            </w:r>
                          </w:p>
                          <w:p>
                            <w:pPr>
                              <w:widowControl w:val="0"/>
                              <w:spacing w:line="200" w:lineRule="exact"/>
                              <w:jc w:val="both"/>
                              <w:rPr>
                                <w:rFonts w:ascii="宋体" w:hAnsi="宋体" w:eastAsia="宋体" w:cs="Times New Roman"/>
                                <w:b/>
                                <w:bCs/>
                                <w:kern w:val="2"/>
                                <w:sz w:val="18"/>
                                <w:szCs w:val="18"/>
                                <w:lang w:val="en-US" w:eastAsia="zh-CN" w:bidi="ar-SA"/>
                              </w:rPr>
                            </w:pPr>
                          </w:p>
                        </w:txbxContent>
                      </wps:txbx>
                      <wps:bodyPr wrap="square" upright="1"/>
                    </wps:wsp>
                  </a:graphicData>
                </a:graphic>
              </wp:anchor>
            </w:drawing>
          </mc:Choice>
          <mc:Fallback>
            <w:pict>
              <v:shape id="文本框 331" o:spid="_x0000_s1026" o:spt="202" type="#_x0000_t202" style="position:absolute;left:0pt;margin-left:-4.6pt;margin-top:19.4pt;height:48.75pt;width:72pt;z-index:251995136;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QvB/7VAAAACQEAAA8AAAAAAAAAAQAgAAAAIgAAAGRycy9kb3ducmV2LnhtbFBLAQIUABQA&#10;AAAIAIdO4kDP8av4ugEAAF8DAAAOAAAAAAAAAAEAIAAAACQBAABkcnMvZTJvRG9jLnhtbFBLBQYA&#10;AAAABgAGAFkBAABQBQ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合同价款调增报告的提出</w:t>
                      </w:r>
                    </w:p>
                    <w:p>
                      <w:pPr>
                        <w:widowControl w:val="0"/>
                        <w:spacing w:line="200" w:lineRule="exact"/>
                        <w:jc w:val="both"/>
                        <w:rPr>
                          <w:rFonts w:ascii="宋体" w:hAnsi="宋体" w:eastAsia="宋体" w:cs="Times New Roman"/>
                          <w:b/>
                          <w:bCs/>
                          <w:kern w:val="2"/>
                          <w:sz w:val="18"/>
                          <w:szCs w:val="18"/>
                          <w:lang w:val="en-US" w:eastAsia="zh-CN" w:bidi="ar-SA"/>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77.2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出现合同价款调增事件后的14天内，承包人应向造价工程师提交合同价款调增报告。并附上相关资料。如承包人在出现合同价款调增事件后的14天内未提交合同价款调增报告的，则造价工程师可在报发包人批准后，根据实际情况决定是否调整合同价款以及调整的金额。</w:t>
      </w:r>
    </w:p>
    <w:p>
      <w:pPr>
        <w:widowControl w:val="0"/>
        <w:adjustRightInd w:val="0"/>
        <w:snapToGrid w:val="0"/>
        <w:spacing w:line="420" w:lineRule="exact"/>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77.3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328" name="文本框 332"/>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调增价款的核</w:t>
                            </w:r>
                          </w:p>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实</w:t>
                            </w:r>
                          </w:p>
                        </w:txbxContent>
                      </wps:txbx>
                      <wps:bodyPr wrap="square" upright="1"/>
                    </wps:wsp>
                  </a:graphicData>
                </a:graphic>
              </wp:anchor>
            </w:drawing>
          </mc:Choice>
          <mc:Fallback>
            <w:pict>
              <v:shape id="文本框 332" o:spid="_x0000_s1026" o:spt="202" type="#_x0000_t202" style="position:absolute;left:0pt;margin-left:-9pt;margin-top:2.7pt;height:39pt;width:81pt;z-index:251996160;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6YhhG1QAAAAgBAAAPAAAAAAAAAAEAIAAAACIAAABkcnMvZG93bnJldi54bWxQSwECFAAUAAAA&#10;CACHTuJAanqyELgBAABgAwAADgAAAAAAAAABACAAAAAkAQAAZHJzL2Uyb0RvYy54bWxQSwUGAAAA&#10;AAYABgBZAQAATgU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调增价款的核</w:t>
                      </w:r>
                    </w:p>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实</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应在收到合同价款调增报告及相关资料之日起14天内对其核实，并予以确认或提出协商意见。造价工程师在收到合同价款调增报告之日起14天内未确认也未提出协商意见的，视为承包人提交的合同价款调增报告已被认可。造价工程师提出协商意见的，合同双方当事人应在承包人收到协商意见后的14天内进行协商确定；协商未能达成一致的，由造价工程师暂定调增的合同价款，通知承包人并抄报发包人。出现暂定结果的，只要不实质影响合同双方当事人履约的，合同双方当事人应实施该结果，直到其被改变为止。</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77.4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329" name="文本框 333"/>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调增价款的支</w:t>
                            </w:r>
                          </w:p>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付</w:t>
                            </w:r>
                          </w:p>
                        </w:txbxContent>
                      </wps:txbx>
                      <wps:bodyPr wrap="square" upright="1"/>
                    </wps:wsp>
                  </a:graphicData>
                </a:graphic>
              </wp:anchor>
            </w:drawing>
          </mc:Choice>
          <mc:Fallback>
            <w:pict>
              <v:shape id="文本框 333" o:spid="_x0000_s1026" o:spt="202" type="#_x0000_t202" style="position:absolute;left:0pt;margin-left:-9pt;margin-top:2.7pt;height:39pt;width:81pt;z-index:251997184;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IYRtUAAAAIAQAADwAAAAAAAAABACAAAAAiAAAAZHJzL2Rvd25yZXYueG1sUEsBAhQAFAAA&#10;AAgAh07iQLg/qHC5AQAAYAMAAA4AAAAAAAAAAQAgAAAAJAEAAGRycy9lMm9Eb2MueG1sUEsFBgAA&#10;AAAGAAYAWQEAAE8FA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调增价款的支</w:t>
                      </w:r>
                    </w:p>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经合同双方当事人确认或造价工程师暂定调增的合同价款，作为追加合同价款，与工程进度款或结算款同期支付。</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77.5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8208"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330" name="文本框 334"/>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合同价款调减</w:t>
                            </w:r>
                          </w:p>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事件的处理</w:t>
                            </w:r>
                          </w:p>
                        </w:txbxContent>
                      </wps:txbx>
                      <wps:bodyPr wrap="square" upright="1"/>
                    </wps:wsp>
                  </a:graphicData>
                </a:graphic>
              </wp:anchor>
            </w:drawing>
          </mc:Choice>
          <mc:Fallback>
            <w:pict>
              <v:shape id="文本框 334" o:spid="_x0000_s1026" o:spt="202" type="#_x0000_t202" style="position:absolute;left:0pt;margin-left:-5.25pt;margin-top:0.45pt;height:39pt;width:90pt;z-index:251998208;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W&#10;al450wAAAAcBAAAPAAAAAAAAAAEAIAAAACIAAABkcnMvZG93bnJldi54bWxQSwECFAAUAAAACACH&#10;TuJAl6oQKLcBAABgAwAADgAAAAAAAAABACAAAAAiAQAAZHJzL2Uyb0RvYy54bWxQSwUGAAAAAAYA&#10;BgBZAQAASwU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合同价款调减</w:t>
                      </w:r>
                    </w:p>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事件的处理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出现合同价款调减事件时，发包人可按照本条规定的时限和要求，向承包人提交合同价款调减报告以及调减的金额，但调减部分金额应按照实际调减金额乘以承包人报价浮动率计算。</w:t>
      </w:r>
    </w:p>
    <w:p>
      <w:pPr>
        <w:widowControl w:val="0"/>
        <w:adjustRightInd w:val="0"/>
        <w:snapToGrid w:val="0"/>
        <w:spacing w:line="420" w:lineRule="exact"/>
        <w:ind w:left="1491" w:right="-238" w:hanging="1491" w:hangingChars="675"/>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61" w:name="_Toc10624902"/>
      <w:bookmarkStart w:id="562" w:name="_Toc469384062"/>
      <w:r>
        <w:rPr>
          <w:rFonts w:hint="eastAsia" w:ascii="黑体" w:hAnsi="黑体" w:eastAsia="黑体" w:cs="黑体"/>
          <w:b w:val="0"/>
          <w:bCs/>
          <w:color w:val="auto"/>
          <w:kern w:val="0"/>
          <w:sz w:val="24"/>
          <w:szCs w:val="24"/>
          <w:highlight w:val="none"/>
          <w:lang w:val="en-US" w:eastAsia="zh-CN" w:bidi="ar-SA"/>
        </w:rPr>
        <w:t>★78  支付事项</w:t>
      </w:r>
      <w:bookmarkEnd w:id="561"/>
      <w:bookmarkEnd w:id="562"/>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78.1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331" name="文本框 335"/>
                <wp:cNvGraphicFramePr/>
                <a:graphic xmlns:a="http://schemas.openxmlformats.org/drawingml/2006/main">
                  <a:graphicData uri="http://schemas.microsoft.com/office/word/2010/wordprocessingShape">
                    <wps:wsp>
                      <wps:cNvSpPr txBox="1"/>
                      <wps:spPr>
                        <a:xfrm>
                          <a:off x="0" y="0"/>
                          <a:ext cx="1143000" cy="31432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支付工程款项</w:t>
                            </w:r>
                          </w:p>
                        </w:txbxContent>
                      </wps:txbx>
                      <wps:bodyPr wrap="square" upright="1"/>
                    </wps:wsp>
                  </a:graphicData>
                </a:graphic>
              </wp:anchor>
            </w:drawing>
          </mc:Choice>
          <mc:Fallback>
            <w:pict>
              <v:shape id="文本框 335" o:spid="_x0000_s1026" o:spt="202" type="#_x0000_t202" style="position:absolute;left:0pt;margin-left:-9pt;margin-top:1.7pt;height:24.75pt;width:90pt;z-index:251999232;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aF9MvVAAAACAEAAA8AAAAAAAAAAQAgAAAAIgAAAGRycy9kb3ducmV2LnhtbFBLAQIUABQAAAAI&#10;AIdO4kBno5vetwEAAGADAAAOAAAAAAAAAAEAIAAAACQBAABkcnMvZTJvRG9jLnhtbFBLBQYAAAAA&#10;BgAGAFkBAABNBQ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支付工程款项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发包人应按照下列规定向承包人支付工程款及其他各种款项：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(1)预付款按照第79条的规定支付；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 绿色施工安全防护费按照第80条规定支付；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(3)进度款按照第81条的规定支付；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(4)结算款按照第83条的规定支付；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(5)质量保证金按照第84条的规定支付；</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(6)最终清算款按照第85条的规定支付。</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78.2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332" name="文本框 336"/>
                <wp:cNvGraphicFramePr/>
                <a:graphic xmlns:a="http://schemas.openxmlformats.org/drawingml/2006/main">
                  <a:graphicData uri="http://schemas.microsoft.com/office/word/2010/wordprocessingShape">
                    <wps:wsp>
                      <wps:cNvSpPr txBox="1"/>
                      <wps:spPr>
                        <a:xfrm>
                          <a:off x="0" y="0"/>
                          <a:ext cx="914400" cy="39814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延迟支付的利息计算</w:t>
                            </w:r>
                          </w:p>
                        </w:txbxContent>
                      </wps:txbx>
                      <wps:bodyPr wrap="square" upright="1"/>
                    </wps:wsp>
                  </a:graphicData>
                </a:graphic>
              </wp:anchor>
            </w:drawing>
          </mc:Choice>
          <mc:Fallback>
            <w:pict>
              <v:shape id="文本框 336" o:spid="_x0000_s1026" o:spt="202" type="#_x0000_t202" style="position:absolute;left:0pt;margin-left:-9pt;margin-top:3.45pt;height:31.35pt;width:72pt;z-index:252000256;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q4J2j1AAAAAgBAAAPAAAAAAAAAAEAIAAAACIAAABkcnMvZG93bnJldi54bWxQSwECFAAUAAAA&#10;CACHTuJAG7vKvbkBAABfAwAADgAAAAAAAAABACAAAAAjAQAAZHJzL2Uyb0RvYy54bWxQSwUGAAAA&#10;AAYABgBZAQAATgU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延迟支付的利息计算</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78.3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333" name="文本框 33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承包人提供支付凭证</w:t>
                            </w:r>
                          </w:p>
                        </w:txbxContent>
                      </wps:txbx>
                      <wps:bodyPr wrap="square" upright="1"/>
                    </wps:wsp>
                  </a:graphicData>
                </a:graphic>
              </wp:anchor>
            </w:drawing>
          </mc:Choice>
          <mc:Fallback>
            <w:pict>
              <v:shape id="文本框 337" o:spid="_x0000_s1026" o:spt="202" type="#_x0000_t202" style="position:absolute;left:0pt;margin-left:-9pt;margin-top:0.35pt;height:34.5pt;width:72pt;z-index:252001280;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qru6LUAAAABwEAAA8AAAAAAAAAAQAgAAAAIgAAAGRycy9kb3ducmV2LnhtbFBLAQIUABQA&#10;AAAIAIdO4kDReGhNuwEAAF8DAAAOAAAAAAAAAAEAIAAAACMBAABkcnMvZTJvRG9jLnhtbFBLBQYA&#10;AAAABgAGAFkBAABQBQ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承包人提供支付凭证</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78.4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334" name="文本框 338"/>
                <wp:cNvGraphicFramePr/>
                <a:graphic xmlns:a="http://schemas.openxmlformats.org/drawingml/2006/main">
                  <a:graphicData uri="http://schemas.microsoft.com/office/word/2010/wordprocessingShape">
                    <wps:wsp>
                      <wps:cNvSpPr txBox="1"/>
                      <wps:spPr>
                        <a:xfrm>
                          <a:off x="0" y="0"/>
                          <a:ext cx="914400" cy="504190"/>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承包人未按规定支付款项的限制</w:t>
                            </w:r>
                          </w:p>
                        </w:txbxContent>
                      </wps:txbx>
                      <wps:bodyPr wrap="square" upright="1"/>
                    </wps:wsp>
                  </a:graphicData>
                </a:graphic>
              </wp:anchor>
            </w:drawing>
          </mc:Choice>
          <mc:Fallback>
            <w:pict>
              <v:shape id="文本框 338" o:spid="_x0000_s1026" o:spt="202" type="#_x0000_t202" style="position:absolute;left:0pt;margin-left:-9pt;margin-top:1.75pt;height:39.7pt;width:72pt;z-index:252002304;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VJ7KfVAAAACAEAAA8AAAAAAAAAAQAgAAAAIgAAAGRycy9kb3ducmV2LnhtbFBLAQIUABQA&#10;AAAIAIdO4kDf3dxIugEAAF8DAAAOAAAAAAAAAAEAIAAAACQBAABkcnMvZTJvRG9jLnhtbFBLBQYA&#10;AAAABgAGAFkBAABQBQ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承包人未按规定支付款项的限制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未按照雇员劳务合同和政府有关规定支付雇员劳务工资，或未按照分包合同支付分包人工程款，或未按照购销合同支付材料和工程设备供应商货款，均视为承包人违约。若在造价工程师书面通知改正后的7天内，承包人仍未采取措施补救的，发包人可在不损害承包人其他权利的前提下，实施下列工作：</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（1）立即停止向承包人支付应付的款项；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（2）在相应支付期应付的工程款范围内，直接向雇员、分包人和材料设备供应商支付承包人应付的款项。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在实施上述工作后的14天内应以书面形式通知承包人，抄送造价工程师。造价工程师在签发下期支付证书时，应扣除已由发包人直接支付的款项。由于上述工作原因发生的费用由承包人承担；给发包人造成损失的，承包人应予赔偿。</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63" w:name="_Toc10624903"/>
      <w:bookmarkStart w:id="564" w:name="_Toc469384063"/>
      <w:r>
        <w:rPr>
          <w:rFonts w:hint="eastAsia" w:ascii="黑体" w:hAnsi="黑体" w:eastAsia="黑体" w:cs="黑体"/>
          <w:b w:val="0"/>
          <w:bCs/>
          <w:color w:val="auto"/>
          <w:kern w:val="0"/>
          <w:sz w:val="24"/>
          <w:szCs w:val="24"/>
          <w:highlight w:val="none"/>
          <w:lang w:val="en-US" w:eastAsia="zh-CN" w:bidi="ar-SA"/>
        </w:rPr>
        <w:t>★79  预付款</w:t>
      </w:r>
      <w:bookmarkEnd w:id="563"/>
      <w:bookmarkEnd w:id="564"/>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335" name="文本框 339"/>
                <wp:cNvGraphicFramePr/>
                <a:graphic xmlns:a="http://schemas.openxmlformats.org/drawingml/2006/main">
                  <a:graphicData uri="http://schemas.microsoft.com/office/word/2010/wordprocessingShape">
                    <wps:wsp>
                      <wps:cNvSpPr txBox="1"/>
                      <wps:spPr>
                        <a:xfrm>
                          <a:off x="0" y="0"/>
                          <a:ext cx="1371600" cy="56070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预付款的约定</w:t>
                            </w:r>
                          </w:p>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及管理</w:t>
                            </w:r>
                          </w:p>
                        </w:txbxContent>
                      </wps:txbx>
                      <wps:bodyPr wrap="square" upright="1"/>
                    </wps:wsp>
                  </a:graphicData>
                </a:graphic>
              </wp:anchor>
            </w:drawing>
          </mc:Choice>
          <mc:Fallback>
            <w:pict>
              <v:shape id="文本框 339" o:spid="_x0000_s1026" o:spt="202" type="#_x0000_t202" style="position:absolute;left:0pt;margin-left:-9pt;margin-top:17.85pt;height:44.15pt;width:108pt;z-index:252003328;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yGj/f1wAAAAoBAAAPAAAAAAAAAAEAIAAAACIAAABkcnMvZG93bnJldi54bWxQSwECFAAU&#10;AAAACACHTuJAXNa8vbkBAABgAwAADgAAAAAAAAABACAAAAAmAQAAZHJzL2Uyb0RvYy54bWxQSwUG&#10;AAAAAAYABgBZAQAAUQU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预付款的约定</w:t>
                      </w:r>
                    </w:p>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及管理</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79.1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除专用条款另有约定外，合同双方当事人应约定预付款，并在专用条款中明确预付款金额、支付办法和抵扣方式。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预付款专款专用，承包人应在财务账目中表明专用于为合同工程施工购置材料、工程设备、施工设备、修建临时设施以及组织施工队伍进场等所需的款项，不得挪作他用。除专用条款另有约定外，预付款的预付比例不低于合同价款（扣除暂列金额）的10%，不高于合同价款（扣除暂列金额）的30%。</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79.2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336" name="文本框 340"/>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预付款支付申请的提交、核实与支付</w:t>
                            </w:r>
                          </w:p>
                        </w:txbxContent>
                      </wps:txbx>
                      <wps:bodyPr wrap="square" upright="1"/>
                    </wps:wsp>
                  </a:graphicData>
                </a:graphic>
              </wp:anchor>
            </w:drawing>
          </mc:Choice>
          <mc:Fallback>
            <w:pict>
              <v:shape id="文本框 340" o:spid="_x0000_s1026" o:spt="202" type="#_x0000_t202" style="position:absolute;left:0pt;margin-left:-9pt;margin-top:1.55pt;height:46.55pt;width:72pt;z-index:252004352;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eJ85NUAAAAIAQAADwAAAAAAAAABACAAAAAiAAAAZHJzL2Rvd25yZXYueG1sUEsBAhQAFAAA&#10;AAgAh07iQAojd6+5AQAAXwMAAA4AAAAAAAAAAQAgAAAAJAEAAGRycy9lMm9Eb2MueG1sUEsFBgAA&#10;AAAGAAYAWQEAAE8FA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预付款支付申请的提交、核实与支付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承包人在完成下列工作后，应按照专用条款约定的期限内向造价工程师提交预付款支付申请，并抄送发包人。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（1）签订本合同；</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（2）按照第28.1款规定提供履约担保；</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（3）向发包人提供与预付款等额的预付款保函的正本。</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造价工程师应对支付申请进行核实，并在收到支付申请后的7天内报发包人确认后向发包人发出支付证书，同时抄送承包人。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发包人在造价工程师签发支付证书后的30天内向承包人支付预付款，并通知造价工程师。</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79.3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337" name="文本框 341"/>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预付款支付的限制</w:t>
                            </w:r>
                          </w:p>
                        </w:txbxContent>
                      </wps:txbx>
                      <wps:bodyPr wrap="square" upright="1"/>
                    </wps:wsp>
                  </a:graphicData>
                </a:graphic>
              </wp:anchor>
            </w:drawing>
          </mc:Choice>
          <mc:Fallback>
            <w:pict>
              <v:shape id="文本框 341" o:spid="_x0000_s1026" o:spt="202" type="#_x0000_t202" style="position:absolute;left:0pt;margin-left:-9pt;margin-top:0.85pt;height:31.55pt;width:72pt;z-index:252005376;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N/jDNUAAAAIAQAADwAAAAAAAAABACAAAAAiAAAAZHJzL2Rvd25yZXYueG1sUEsBAhQAFAAA&#10;AAgAh07iQFoeg/+5AQAAXwMAAA4AAAAAAAAAAQAgAAAAJAEAAGRycy9lMm9Eb2MueG1sUEsFBgAA&#10;AAAGAAYAWQEAAE8FA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预付款支付的限制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没有按时支付预付款的，承包人应在付款期满后的10天向发包人发出要求支付的通知；发包人收到通知后仍不按要求支付，承包人可在发出通知14天后暂停施工。发包人可与承包人协商签订延期支付协议，经承包人同意后可延期支付，承包人有权按照第78.2款规定获得延期支付的利息。发包人承担由此增加的费用和（或）延误的工期，并向承包人支付合理利润。</w:t>
      </w:r>
    </w:p>
    <w:p>
      <w:pPr>
        <w:widowControl w:val="0"/>
        <w:tabs>
          <w:tab w:val="left" w:pos="132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79.4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338" name="文本框 342"/>
                <wp:cNvGraphicFramePr/>
                <a:graphic xmlns:a="http://schemas.openxmlformats.org/drawingml/2006/main">
                  <a:graphicData uri="http://schemas.microsoft.com/office/word/2010/wordprocessingShape">
                    <wps:wsp>
                      <wps:cNvSpPr txBox="1"/>
                      <wps:spPr>
                        <a:xfrm>
                          <a:off x="0" y="0"/>
                          <a:ext cx="1028700" cy="30416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预付款的扣回</w:t>
                            </w:r>
                          </w:p>
                        </w:txbxContent>
                      </wps:txbx>
                      <wps:bodyPr wrap="square" upright="1"/>
                    </wps:wsp>
                  </a:graphicData>
                </a:graphic>
              </wp:anchor>
            </w:drawing>
          </mc:Choice>
          <mc:Fallback>
            <w:pict>
              <v:shape id="文本框 342" o:spid="_x0000_s1026" o:spt="202" type="#_x0000_t202" style="position:absolute;left:0pt;margin-left:-9pt;margin-top:3.65pt;height:23.95pt;width:81pt;z-index:252006400;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lxF3HWAAAACAEAAA8AAAAAAAAAAQAgAAAAIgAAAGRycy9kb3ducmV2LnhtbFBLAQIUABQA&#10;AAAIAIdO4kATmMbVuQEAAGADAAAOAAAAAAAAAAEAIAAAACUBAABkcnMvZTJvRG9jLnhtbFBLBQYA&#10;AAAABgAGAFkBAABQBQ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预付款的扣回</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79.5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339" name="文本框 343"/>
                <wp:cNvGraphicFramePr/>
                <a:graphic xmlns:a="http://schemas.openxmlformats.org/drawingml/2006/main">
                  <a:graphicData uri="http://schemas.microsoft.com/office/word/2010/wordprocessingShape">
                    <wps:wsp>
                      <wps:cNvSpPr txBox="1"/>
                      <wps:spPr>
                        <a:xfrm>
                          <a:off x="0" y="0"/>
                          <a:ext cx="914400" cy="40830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预付款保函的有效与退还</w:t>
                            </w:r>
                          </w:p>
                        </w:txbxContent>
                      </wps:txbx>
                      <wps:bodyPr wrap="square" upright="1"/>
                    </wps:wsp>
                  </a:graphicData>
                </a:graphic>
              </wp:anchor>
            </w:drawing>
          </mc:Choice>
          <mc:Fallback>
            <w:pict>
              <v:shape id="文本框 343" o:spid="_x0000_s1026" o:spt="202" type="#_x0000_t202" style="position:absolute;left:0pt;margin-left:-9pt;margin-top:1.05pt;height:32.15pt;width:72pt;z-index:252007424;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3FFtdUAAAAIAQAADwAAAAAAAAABACAAAAAiAAAAZHJzL2Rvd25yZXYueG1sUEsBAhQAFAAA&#10;AAgAh07iQLNgXT65AQAAXwMAAA4AAAAAAAAAAQAgAAAAJAEAAGRycy9lMm9Eb2MueG1sUEsFBgAA&#10;AAAGAAYAWQEAAE8FA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预付款保函的有效与退还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承包人应保持预付款保函在预付款全部扣回之前一直有效。发包人应在预付款扣完后的14天内将预付款保函退还承包人，并不得向承包人收取预付款的任何利息。</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65" w:name="_Toc10624904"/>
      <w:bookmarkStart w:id="566" w:name="_Toc469384064"/>
      <w:r>
        <w:rPr>
          <w:rFonts w:hint="eastAsia" w:ascii="黑体" w:hAnsi="黑体" w:eastAsia="黑体" w:cs="黑体"/>
          <w:b w:val="0"/>
          <w:bCs/>
          <w:color w:val="auto"/>
          <w:kern w:val="0"/>
          <w:sz w:val="24"/>
          <w:szCs w:val="24"/>
          <w:highlight w:val="none"/>
          <w:lang w:val="en-US" w:eastAsia="zh-CN" w:bidi="ar-SA"/>
        </w:rPr>
        <w:t>★80  按系数计算的绿色施工安全防护费</w:t>
      </w:r>
      <w:bookmarkEnd w:id="565"/>
      <w:bookmarkEnd w:id="566"/>
    </w:p>
    <w:p>
      <w:pPr>
        <w:keepNext/>
        <w:keepLines/>
        <w:widowControl/>
        <w:numPr>
          <w:ilvl w:val="0"/>
          <w:numId w:val="0"/>
        </w:numPr>
        <w:tabs>
          <w:tab w:val="left" w:pos="420"/>
          <w:tab w:val="left" w:pos="1287"/>
        </w:tabs>
        <w:spacing w:before="260" w:after="260" w:line="420" w:lineRule="exact"/>
        <w:jc w:val="left"/>
        <w:outlineLvl w:val="2"/>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80.1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340" name="文本框 344"/>
                <wp:cNvGraphicFramePr/>
                <a:graphic xmlns:a="http://schemas.openxmlformats.org/drawingml/2006/main">
                  <a:graphicData uri="http://schemas.microsoft.com/office/word/2010/wordprocessingShape">
                    <wps:wsp>
                      <wps:cNvSpPr txBox="1"/>
                      <wps:spPr>
                        <a:xfrm>
                          <a:off x="0" y="0"/>
                          <a:ext cx="1028700" cy="44005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内容、范围和</w:t>
                            </w:r>
                          </w:p>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金额</w:t>
                            </w:r>
                          </w:p>
                        </w:txbxContent>
                      </wps:txbx>
                      <wps:bodyPr wrap="square" upright="1"/>
                    </wps:wsp>
                  </a:graphicData>
                </a:graphic>
              </wp:anchor>
            </w:drawing>
          </mc:Choice>
          <mc:Fallback>
            <w:pict>
              <v:shape id="文本框 344" o:spid="_x0000_s1026" o:spt="202" type="#_x0000_t202" style="position:absolute;left:0pt;margin-left:-9pt;margin-top:1.4pt;height:34.65pt;width:81pt;z-index:252008448;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7bIi3UAAAACAEAAA8AAAAAAAAAAQAgAAAAIgAAAGRycy9kb3ducmV2LnhtbFBLAQIUABQAAAAI&#10;AIdO4kDuZ8ONuAEAAGADAAAOAAAAAAAAAAEAIAAAACMBAABkcnMvZTJvRG9jLnhtbFBLBQYAAAAA&#10;BgAGAFkBAABNBQ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内容、范围和</w:t>
                      </w:r>
                    </w:p>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金额</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约定按系数计算的绿色施工安全防护费的内容、范围和金额，并按照第45条规定实施按系数计算的绿色施工安全防护。除专用条款另有约定外，按系数计算的绿色施工安全防护费的内容和范围，应以现行广东省统一工程计价依据、省市造价管理部门发布管理文件的规定为准。</w:t>
      </w:r>
    </w:p>
    <w:p>
      <w:pPr>
        <w:widowControl w:val="0"/>
        <w:adjustRightInd w:val="0"/>
        <w:snapToGrid w:val="0"/>
        <w:spacing w:line="420" w:lineRule="exact"/>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80.2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341" name="文本框 345"/>
                <wp:cNvGraphicFramePr/>
                <a:graphic xmlns:a="http://schemas.openxmlformats.org/drawingml/2006/main">
                  <a:graphicData uri="http://schemas.microsoft.com/office/word/2010/wordprocessingShape">
                    <wps:wsp>
                      <wps:cNvSpPr txBox="1"/>
                      <wps:spPr>
                        <a:xfrm>
                          <a:off x="0" y="0"/>
                          <a:ext cx="914400" cy="789305"/>
                        </a:xfrm>
                        <a:prstGeom prst="rect">
                          <a:avLst/>
                        </a:prstGeom>
                        <a:noFill/>
                        <a:ln>
                          <a:noFill/>
                        </a:ln>
                      </wps:spPr>
                      <wps:txb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支付申请的提交与核实</w:t>
                            </w:r>
                          </w:p>
                        </w:txbxContent>
                      </wps:txbx>
                      <wps:bodyPr wrap="square" upright="1"/>
                    </wps:wsp>
                  </a:graphicData>
                </a:graphic>
              </wp:anchor>
            </w:drawing>
          </mc:Choice>
          <mc:Fallback>
            <w:pict>
              <v:shape id="文本框 345" o:spid="_x0000_s1026" o:spt="202" type="#_x0000_t202" style="position:absolute;left:0pt;margin-left:-9pt;margin-top:2.7pt;height:62.15pt;width:72pt;z-index:252009472;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iReLH1gAAAAkBAAAPAAAAAAAAAAEAIAAAACIAAABkcnMvZG93bnJldi54bWxQSwECFAAU&#10;AAAACACHTuJASvCaXroBAABfAwAADgAAAAAAAAABACAAAAAlAQAAZHJzL2Uyb0RvYy54bWxQSwUG&#10;AAAAAAYABgBZAQAAUQUAAAAA&#10;">
                <v:fill on="f" focussize="0,0"/>
                <v:stroke on="f"/>
                <v:imagedata o:title=""/>
                <o:lock v:ext="edit" aspectratio="f"/>
                <v:textbox>
                  <w:txbxContent>
                    <w:p>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支付申请的提交与核实</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专用条款没有约定的，承包人应在接到监理工程师按照第34.2款规定发出开工令后的7天内向造价工程师提交按系数计算的绿色施工安全防护费支付申请，并抄送发包人。造价工程师应对支付申请进行核实，并在收到支付申请后的7天内报发包人确认后向发包人发出支付证书，同时抄送承包人。</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80.3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合同双方当事人应按照建设行政主管部门的规定，在专用条款中约定按系数计算的绿色施工安全防护费的支付办法和抵扣方式。除专用条款另有约定外，</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342" name="文本框 346"/>
                <wp:cNvGraphicFramePr/>
                <a:graphic xmlns:a="http://schemas.openxmlformats.org/drawingml/2006/main">
                  <a:graphicData uri="http://schemas.microsoft.com/office/word/2010/wordprocessingShape">
                    <wps:wsp>
                      <wps:cNvSpPr txBox="1"/>
                      <wps:spPr>
                        <a:xfrm>
                          <a:off x="0" y="0"/>
                          <a:ext cx="1028700" cy="352425"/>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wps:txbx>
                      <wps:bodyPr wrap="square" upright="1"/>
                    </wps:wsp>
                  </a:graphicData>
                </a:graphic>
              </wp:anchor>
            </w:drawing>
          </mc:Choice>
          <mc:Fallback>
            <w:pict>
              <v:shape id="文本框 346" o:spid="_x0000_s1026" o:spt="202" type="#_x0000_t202" style="position:absolute;left:0pt;margin-left:-9pt;margin-top:5.65pt;height:27.75pt;width:81pt;z-index:252010496;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gtd9UAAAAJAQAADwAAAAAAAAABACAAAAAiAAAAZHJzL2Rvd25yZXYueG1sUEsBAhQAFAAA&#10;AAgAh07iQMotJJK5AQAAYAMAAA4AAAAAAAAAAQAgAAAAJAEAAGRycy9lMm9Eb2MueG1sUEsFBgAA&#10;AAAGAAYAWQEAAE8FA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在造价工程师签发支付证书后的7天内向承包人支付按系数计算的绿色施工安全防护费，并保证在工程开工后的28天内支付按系数计算的绿色施工安全防护费金额的50%，同时通知造价工程师。其余部分与进度款同期支付。</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80.4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firstLine="0"/>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343" name="文本框 347"/>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wps:txbx>
                      <wps:bodyPr wrap="square" upright="1"/>
                    </wps:wsp>
                  </a:graphicData>
                </a:graphic>
              </wp:anchor>
            </w:drawing>
          </mc:Choice>
          <mc:Fallback>
            <w:pict>
              <v:shape id="文本框 347" o:spid="_x0000_s1026" o:spt="202" type="#_x0000_t202" style="position:absolute;left:0pt;margin-left:-9pt;margin-top:0.85pt;height:31.55pt;width:72pt;z-index:252011520;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N/jDNUAAAAIAQAADwAAAAAAAAABACAAAAAiAAAAZHJzL2Rvd25yZXYueG1sUEsBAhQAFAAA&#10;AAgAh07iQHYyJI+5AQAAXwMAAA4AAAAAAAAAAQAgAAAAJAEAAGRycy9lMm9Eb2MueG1sUEsFBgAA&#10;AAAGAAYAWQEAAE8FA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没有按时支付按系数计算的绿色施工安全防护费的，承包人应在付款期满后的10天向发包人发出要求支付的通知；发包人收到通知后仍不按要求支付，承包人可在发出通知14天后暂停施工。发包人应承担由此增加的费用和（或）延误的工期，并向承包人支付合理利润。</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80.5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按系数计算的</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344" name="文本框 348"/>
                <wp:cNvGraphicFramePr/>
                <a:graphic xmlns:a="http://schemas.openxmlformats.org/drawingml/2006/main">
                  <a:graphicData uri="http://schemas.microsoft.com/office/word/2010/wordprocessingShape">
                    <wps:wsp>
                      <wps:cNvSpPr txBox="1"/>
                      <wps:spPr>
                        <a:xfrm>
                          <a:off x="0" y="0"/>
                          <a:ext cx="914400" cy="471170"/>
                        </a:xfrm>
                        <a:prstGeom prst="rect">
                          <a:avLst/>
                        </a:prstGeom>
                        <a:noFill/>
                        <a:ln>
                          <a:noFill/>
                        </a:ln>
                      </wps:spPr>
                      <wps:txbx>
                        <w:txbxContent>
                          <w:p>
                            <w:pPr>
                              <w:spacing w:line="240" w:lineRule="exact"/>
                              <w:rPr>
                                <w:rFonts w:ascii="宋体" w:hAnsi="Calibri" w:cs="Times New Roman"/>
                                <w:szCs w:val="21"/>
                              </w:rPr>
                            </w:pPr>
                            <w:r>
                              <w:rPr>
                                <w:rFonts w:hint="eastAsia" w:ascii="楷体_GB2312" w:hAnsi="宋体" w:eastAsia="楷体_GB2312" w:cs="楷体_GB2312"/>
                                <w:b/>
                                <w:bCs/>
                                <w:sz w:val="18"/>
                                <w:szCs w:val="18"/>
                              </w:rPr>
                              <w:t>管理要求</w:t>
                            </w:r>
                          </w:p>
                        </w:txbxContent>
                      </wps:txbx>
                      <wps:bodyPr wrap="square" upright="1"/>
                    </wps:wsp>
                  </a:graphicData>
                </a:graphic>
              </wp:anchor>
            </w:drawing>
          </mc:Choice>
          <mc:Fallback>
            <w:pict>
              <v:shape id="文本框 348" o:spid="_x0000_s1026" o:spt="202" type="#_x0000_t202" style="position:absolute;left:0pt;margin-left:-9pt;margin-top:0.15pt;height:37.1pt;width:72pt;z-index:252012544;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9w1MfVAAAABwEAAA8AAAAAAAAAAQAgAAAAIgAAAGRycy9kb3ducmV2LnhtbFBLAQIUABQA&#10;AAAIAIdO4kCY0JEJugEAAF8DAAAOAAAAAAAAAAEAIAAAACQBAABkcnMvZTJvRG9jLnhtbFBLBQYA&#10;AAAABgAGAFkBAABQBQAAAAA=&#10;">
                <v:fill on="f" focussize="0,0"/>
                <v:stroke on="f"/>
                <v:imagedata o:title=""/>
                <o:lock v:ext="edit" aspectratio="f"/>
                <v:textbox>
                  <w:txbxContent>
                    <w:p>
                      <w:pPr>
                        <w:spacing w:line="240" w:lineRule="exact"/>
                        <w:rPr>
                          <w:rFonts w:ascii="宋体" w:hAnsi="Calibri" w:cs="Times New Roman"/>
                          <w:szCs w:val="21"/>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绿色施工安全防护费专款专用，承包人应在财务账目中单独列项备查，不得挪作他用，否则造价工程师有权责令其限期改正；逾期未改正的，可以责令其暂停施工，由此造成的损失和延误的工期由承包人承担。</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13568"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345" name="文本框 349"/>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a:noFill/>
                        </a:ln>
                      </wps:spPr>
                      <wps:txbx>
                        <w:txbxContent>
                          <w:p>
                            <w:pPr>
                              <w:widowControl w:val="0"/>
                              <w:spacing w:after="120" w:line="200" w:lineRule="exact"/>
                              <w:jc w:val="both"/>
                              <w:rPr>
                                <w:rFonts w:ascii="楷体" w:hAnsi="楷体" w:eastAsia="楷体" w:cs="Times New Roman"/>
                                <w:b/>
                                <w:bCs/>
                                <w:kern w:val="2"/>
                                <w:sz w:val="18"/>
                                <w:szCs w:val="18"/>
                                <w:lang w:val="en-US" w:eastAsia="zh-CN" w:bidi="ar-SA"/>
                              </w:rPr>
                            </w:pPr>
                            <w:r>
                              <w:rPr>
                                <w:rFonts w:hint="eastAsia" w:ascii="楷体" w:hAnsi="楷体" w:eastAsia="楷体" w:cs="楷体"/>
                                <w:b/>
                                <w:bCs/>
                                <w:kern w:val="2"/>
                                <w:sz w:val="18"/>
                                <w:szCs w:val="18"/>
                                <w:lang w:val="en-US" w:eastAsia="zh-CN" w:bidi="ar-SA"/>
                              </w:rPr>
                              <w:t>工程</w:t>
                            </w:r>
                            <w:r>
                              <w:rPr>
                                <w:rFonts w:hint="eastAsia" w:ascii="楷体" w:hAnsi="楷体" w:eastAsia="楷体" w:cs="楷体"/>
                                <w:b/>
                                <w:bCs/>
                                <w:caps/>
                                <w:kern w:val="2"/>
                                <w:sz w:val="18"/>
                                <w:szCs w:val="18"/>
                                <w:lang w:val="en-US" w:eastAsia="zh-CN" w:bidi="ar-SA"/>
                              </w:rPr>
                              <w:t>文明工地增加费</w:t>
                            </w:r>
                            <w:r>
                              <w:rPr>
                                <w:rFonts w:hint="eastAsia" w:ascii="楷体" w:hAnsi="楷体" w:eastAsia="楷体" w:cs="楷体"/>
                                <w:b/>
                                <w:bCs/>
                                <w:kern w:val="2"/>
                                <w:sz w:val="18"/>
                                <w:szCs w:val="18"/>
                                <w:lang w:val="en-US" w:eastAsia="zh-CN" w:bidi="ar-SA"/>
                              </w:rPr>
                              <w:t>计提与支付</w:t>
                            </w:r>
                          </w:p>
                        </w:txbxContent>
                      </wps:txbx>
                      <wps:bodyPr wrap="square" upright="1"/>
                    </wps:wsp>
                  </a:graphicData>
                </a:graphic>
              </wp:anchor>
            </w:drawing>
          </mc:Choice>
          <mc:Fallback>
            <w:pict>
              <v:shape id="文本框 349" o:spid="_x0000_s1026" o:spt="202" type="#_x0000_t202" style="position:absolute;left:0pt;margin-left:0pt;margin-top:23.5pt;height:48pt;width:72pt;z-index:252013568;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4YyHtIAAAAHAQAADwAAAAAAAAABACAAAAAiAAAAZHJzL2Rvd25yZXYueG1sUEsBAhQAFAAAAAgA&#10;h07iQMCE9KS5AQAAXwMAAA4AAAAAAAAAAQAgAAAAIQEAAGRycy9lMm9Eb2MueG1sUEsFBgAAAAAG&#10;AAYAWQEAAEwFAAAAAA==&#10;">
                <v:fill on="f" focussize="0,0"/>
                <v:stroke on="f"/>
                <v:imagedata o:title=""/>
                <o:lock v:ext="edit" aspectratio="f"/>
                <v:textbox>
                  <w:txbxContent>
                    <w:p>
                      <w:pPr>
                        <w:widowControl w:val="0"/>
                        <w:spacing w:after="120" w:line="200" w:lineRule="exact"/>
                        <w:jc w:val="both"/>
                        <w:rPr>
                          <w:rFonts w:ascii="楷体" w:hAnsi="楷体" w:eastAsia="楷体" w:cs="Times New Roman"/>
                          <w:b/>
                          <w:bCs/>
                          <w:kern w:val="2"/>
                          <w:sz w:val="18"/>
                          <w:szCs w:val="18"/>
                          <w:lang w:val="en-US" w:eastAsia="zh-CN" w:bidi="ar-SA"/>
                        </w:rPr>
                      </w:pPr>
                      <w:r>
                        <w:rPr>
                          <w:rFonts w:hint="eastAsia" w:ascii="楷体" w:hAnsi="楷体" w:eastAsia="楷体" w:cs="楷体"/>
                          <w:b/>
                          <w:bCs/>
                          <w:kern w:val="2"/>
                          <w:sz w:val="18"/>
                          <w:szCs w:val="18"/>
                          <w:lang w:val="en-US" w:eastAsia="zh-CN" w:bidi="ar-SA"/>
                        </w:rPr>
                        <w:t>工程</w:t>
                      </w:r>
                      <w:r>
                        <w:rPr>
                          <w:rFonts w:hint="eastAsia" w:ascii="楷体" w:hAnsi="楷体" w:eastAsia="楷体" w:cs="楷体"/>
                          <w:b/>
                          <w:bCs/>
                          <w:caps/>
                          <w:kern w:val="2"/>
                          <w:sz w:val="18"/>
                          <w:szCs w:val="18"/>
                          <w:lang w:val="en-US" w:eastAsia="zh-CN" w:bidi="ar-SA"/>
                        </w:rPr>
                        <w:t>文明工地增加费</w:t>
                      </w:r>
                      <w:r>
                        <w:rPr>
                          <w:rFonts w:hint="eastAsia" w:ascii="楷体" w:hAnsi="楷体" w:eastAsia="楷体" w:cs="楷体"/>
                          <w:b/>
                          <w:bCs/>
                          <w:kern w:val="2"/>
                          <w:sz w:val="18"/>
                          <w:szCs w:val="18"/>
                          <w:lang w:val="en-US" w:eastAsia="zh-CN" w:bidi="ar-SA"/>
                        </w:rPr>
                        <w:t>计提与支付</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80.6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获得省、市级或其它级别文明工地的文明工地增加费，招标工程的根据中标通知书日期，非招标工程的根据合同签订日期的同时期执行的广东省建设工程计价依据文明工地增加费、广州市住房和城乡建设局发布的文明工地增加费、广州市建设工程造价管理站发布的文明工地增加费计算。当合同工程同时获得上述多个奖项的，文明工地增加费只按最高奖项的额度计算。文明工地增加费列入竣工结算文件中，与竣工结算款一并支付。在竣工结算后获得奖项的，发包人应在获得奖项后的28天内支付。</w:t>
      </w:r>
    </w:p>
    <w:p>
      <w:pPr>
        <w:widowControl w:val="0"/>
        <w:tabs>
          <w:tab w:val="left" w:pos="1620"/>
        </w:tabs>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67" w:name="_Toc469384065"/>
      <w:bookmarkStart w:id="568" w:name="_Toc10624905"/>
      <w:r>
        <w:rPr>
          <w:rFonts w:hint="eastAsia" w:ascii="黑体" w:hAnsi="黑体" w:eastAsia="黑体" w:cs="黑体"/>
          <w:b w:val="0"/>
          <w:bCs/>
          <w:color w:val="auto"/>
          <w:kern w:val="0"/>
          <w:sz w:val="24"/>
          <w:szCs w:val="24"/>
          <w:highlight w:val="none"/>
          <w:lang w:val="en-US" w:eastAsia="zh-CN" w:bidi="ar-SA"/>
        </w:rPr>
        <w:t>★81  进度款</w:t>
      </w:r>
      <w:bookmarkEnd w:id="567"/>
      <w:bookmarkEnd w:id="568"/>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81.1</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346" name="文本框 350"/>
                <wp:cNvGraphicFramePr/>
                <a:graphic xmlns:a="http://schemas.openxmlformats.org/drawingml/2006/main">
                  <a:graphicData uri="http://schemas.microsoft.com/office/word/2010/wordprocessingShape">
                    <wps:wsp>
                      <wps:cNvSpPr txBox="1"/>
                      <wps:spPr>
                        <a:xfrm>
                          <a:off x="0" y="0"/>
                          <a:ext cx="914400" cy="686435"/>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wps:txbx>
                      <wps:bodyPr wrap="square" upright="1"/>
                    </wps:wsp>
                  </a:graphicData>
                </a:graphic>
              </wp:anchor>
            </w:drawing>
          </mc:Choice>
          <mc:Fallback>
            <w:pict>
              <v:shape id="文本框 350" o:spid="_x0000_s1026" o:spt="202" type="#_x0000_t202" style="position:absolute;left:0pt;margin-left:-9pt;margin-top:0.65pt;height:54.05pt;width:72pt;z-index:252014592;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lby79UAAAAJAQAADwAAAAAAAAABACAAAAAiAAAAZHJzL2Rvd25yZXYueG1sUEsBAhQAFAAA&#10;AAgAh07iQKKjKMC5AQAAXwMAAA4AAAAAAAAAAQAgAAAAJAEAAGRycy9lMm9Eb2MueG1sUEsFBgAA&#10;AAAGAAYAWQEAAE8FA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合同双方当事人应在专用条款中明确进度款支付期的时限及比例。专用条款没有约定期限的，支付期以月为单位。涉及政府投资资金的工程，支付期、支付方法等需调整的，应在专用条款中约定。</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5616"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347" name="文本框 351"/>
                <wp:cNvGraphicFramePr/>
                <a:graphic xmlns:a="http://schemas.openxmlformats.org/drawingml/2006/main">
                  <a:graphicData uri="http://schemas.microsoft.com/office/word/2010/wordprocessingShape">
                    <wps:wsp>
                      <wps:cNvSpPr txBox="1"/>
                      <wps:spPr>
                        <a:xfrm>
                          <a:off x="0" y="0"/>
                          <a:ext cx="1409700" cy="597535"/>
                        </a:xfrm>
                        <a:prstGeom prst="rect">
                          <a:avLst/>
                        </a:prstGeom>
                        <a:noFill/>
                        <a:ln>
                          <a:noFill/>
                        </a:ln>
                      </wps:spPr>
                      <wps:txbx>
                        <w:txbxContent>
                          <w:p>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安全文明施工费</w:t>
                            </w:r>
                          </w:p>
                          <w:p>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支付申请的提交、</w:t>
                            </w:r>
                          </w:p>
                          <w:p>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核实与支付</w:t>
                            </w:r>
                          </w:p>
                          <w:p>
                            <w:pPr>
                              <w:rPr>
                                <w:rFonts w:ascii="Calibri" w:hAnsi="Calibri" w:eastAsia="楷体_GB2312" w:cs="Times New Roman"/>
                                <w:b/>
                                <w:bCs/>
                                <w:sz w:val="18"/>
                                <w:szCs w:val="18"/>
                              </w:rPr>
                            </w:pPr>
                          </w:p>
                        </w:txbxContent>
                      </wps:txbx>
                      <wps:bodyPr wrap="square" upright="1"/>
                    </wps:wsp>
                  </a:graphicData>
                </a:graphic>
              </wp:anchor>
            </w:drawing>
          </mc:Choice>
          <mc:Fallback>
            <w:pict>
              <v:shape id="文本框 351" o:spid="_x0000_s1026" o:spt="202" type="#_x0000_t202" style="position:absolute;left:0pt;margin-left:-18pt;margin-top:737pt;height:47.05pt;width:111pt;z-index:252015616;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mA4tdcAAAANAQAADwAAAAAAAAABACAAAAAiAAAAZHJzL2Rvd25yZXYueG1sUEsBAhQA&#10;FAAAAAgAh07iQE7sVaC6AQAAYAMAAA4AAAAAAAAAAQAgAAAAJgEAAGRycy9lMm9Eb2MueG1sUEsF&#10;BgAAAAAGAAYAWQEAAFIFAAAAAA==&#10;">
                <v:fill on="f" focussize="0,0"/>
                <v:stroke on="f"/>
                <v:imagedata o:title=""/>
                <o:lock v:ext="edit" aspectratio="f"/>
                <v:textbox>
                  <w:txbxContent>
                    <w:p>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安全文明施工费</w:t>
                      </w:r>
                    </w:p>
                    <w:p>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支付申请的提交、</w:t>
                      </w:r>
                    </w:p>
                    <w:p>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核实与支付</w:t>
                      </w:r>
                    </w:p>
                    <w:p>
                      <w:pPr>
                        <w:rPr>
                          <w:rFonts w:ascii="Calibri" w:hAnsi="Calibri" w:eastAsia="楷体_GB2312" w:cs="Times New Roman"/>
                          <w:b/>
                          <w:bCs/>
                          <w:sz w:val="18"/>
                          <w:szCs w:val="18"/>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在每个支付期结束后的7天内向造价工程师提交由承包人代表签署的支付申请和已完工程款额报告一式四份，详细说明此支付期间自己认为有权得到的款项，包括分包人已完工程款，同时抄送发包人。该支付申请的内容包括：</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（1）已完工程款；</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（2）已实际支付的工程款；</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（3）本期间完成的工程款；</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（4）本期间完成的计日工费用；</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（5）本期间应支付的暂列金额价款；</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（6）根据第66条规定本期间应扣除的误期赔偿费；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（7）根据第68条至第76条规定本期间应支付的调整工程款；</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（8）根据第79条本期间应扣回的预付款；</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（9）根据第80条规定本期间应支付或扣回的绿色施工安全防护费；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（10）根据第84条本期间应扣留的质量保证金；</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（11）根据合同约定，本期间应支付或扣留（回）的其他款项；</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本期间应支付的工程款。</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81.2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348" name="文本框 352"/>
                <wp:cNvGraphicFramePr/>
                <a:graphic xmlns:a="http://schemas.openxmlformats.org/drawingml/2006/main">
                  <a:graphicData uri="http://schemas.microsoft.com/office/word/2010/wordprocessingShape">
                    <wps:wsp>
                      <wps:cNvSpPr txBox="1"/>
                      <wps:spPr>
                        <a:xfrm>
                          <a:off x="0" y="0"/>
                          <a:ext cx="914400" cy="670560"/>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wps:txbx>
                      <wps:bodyPr wrap="square" upright="1"/>
                    </wps:wsp>
                  </a:graphicData>
                </a:graphic>
              </wp:anchor>
            </w:drawing>
          </mc:Choice>
          <mc:Fallback>
            <w:pict>
              <v:shape id="文本框 352" o:spid="_x0000_s1026" o:spt="202" type="#_x0000_t202" style="position:absolute;left:0pt;margin-left:-9pt;margin-top:0pt;height:52.8pt;width:72pt;z-index:252016640;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2FLCdQAAAAIAQAADwAAAAAAAAABACAAAAAiAAAAZHJzL2Rvd25yZXYueG1sUEsBAhQAFAAA&#10;AAgAh07iQD14BGO6AQAAXwMAAA4AAAAAAAAAAQAgAAAAIwEAAGRycy9lMm9Eb2MueG1sUEsFBgAA&#10;AAAGAAYAWQEAAE8FA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造价工程师在收到上述资料后，应按照第62条的规定进行计量，并根据计量结果和合同约定对资料内容予以核实。在收到上述资料后的28天内报发包人确认后向发包人签发期中支付证书，同时抄送承包人。</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造价工程师签发期中支付证书，不应视为发包人已同意、批准或接受了承包人完成该部分工作。</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81.3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349" name="文本框 353"/>
                <wp:cNvGraphicFramePr/>
                <a:graphic xmlns:a="http://schemas.openxmlformats.org/drawingml/2006/main">
                  <a:graphicData uri="http://schemas.microsoft.com/office/word/2010/wordprocessingShape">
                    <wps:wsp>
                      <wps:cNvSpPr txBox="1"/>
                      <wps:spPr>
                        <a:xfrm>
                          <a:off x="0" y="0"/>
                          <a:ext cx="1028700" cy="267970"/>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wps:txbx>
                      <wps:bodyPr wrap="square" upright="1"/>
                    </wps:wsp>
                  </a:graphicData>
                </a:graphic>
              </wp:anchor>
            </w:drawing>
          </mc:Choice>
          <mc:Fallback>
            <w:pict>
              <v:shape id="文本框 353" o:spid="_x0000_s1026" o:spt="202" type="#_x0000_t202" style="position:absolute;left:0pt;margin-left:-9pt;margin-top:0.5pt;height:21.1pt;width:81pt;z-index:252017664;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xqzLrUAAAACAEAAA8AAAAAAAAAAQAgAAAAIgAAAGRycy9kb3ducmV2LnhtbFBLAQIUABQA&#10;AAAIAIdO4kBUp0xPuwEAAGADAAAOAAAAAAAAAAEAIAAAACMBAABkcnMvZTJvRG9jLnhtbFBLBQYA&#10;AAAABgAGAFkBAABQBQ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发包人应在造价工程师签发期中支付证书后的14天内，按照期中支付证书列明的金额向承包人支付进度款，并通知造价工程师。</w:t>
      </w:r>
    </w:p>
    <w:p>
      <w:pPr>
        <w:widowControl w:val="0"/>
        <w:tabs>
          <w:tab w:val="left" w:pos="132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81.4</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350" name="文本框 354"/>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a:noFill/>
                        </a:ln>
                      </wps:spPr>
                      <wps:txbx>
                        <w:txbxContent>
                          <w:p>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wps:txbx>
                      <wps:bodyPr wrap="square" upright="1"/>
                    </wps:wsp>
                  </a:graphicData>
                </a:graphic>
              </wp:anchor>
            </w:drawing>
          </mc:Choice>
          <mc:Fallback>
            <w:pict>
              <v:shape id="文本框 354" o:spid="_x0000_s1026" o:spt="202" type="#_x0000_t202" style="position:absolute;left:0pt;margin-left:-9pt;margin-top:0.65pt;height:51pt;width:72pt;z-index:252018688;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33Z8tUAAAAJAQAADwAAAAAAAAABACAAAAAiAAAAZHJzL2Rvd25yZXYueG1sUEsBAhQAFAAA&#10;AAgAh07iQP36klC5AQAAXwMAAA4AAAAAAAAAAQAgAAAAJAEAAGRycy9lMm9Eb2MueG1sUEsFBgAA&#10;AAAGAAYAWQEAAE8FAAAAAA==&#10;">
                <v:fill on="f" focussize="0,0"/>
                <v:stroke on="f"/>
                <v:imagedata o:title=""/>
                <o:lock v:ext="edit" aspectratio="f"/>
                <v:textbox>
                  <w:txbxContent>
                    <w:p>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造价工程师未在第81.2款规定的期限内签发期中支付证书的，则视为承包人提交的支付申请已被认可，承包人应及时向发包人发出要求支付的通知。发包人应在收到通知后的14天内，按照承包人支付申请列明的金额向承包人支付进度款。</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81.5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351" name="文本框 355"/>
                <wp:cNvGraphicFramePr/>
                <a:graphic xmlns:a="http://schemas.openxmlformats.org/drawingml/2006/main">
                  <a:graphicData uri="http://schemas.microsoft.com/office/word/2010/wordprocessingShape">
                    <wps:wsp>
                      <wps:cNvSpPr txBox="1"/>
                      <wps:spPr>
                        <a:xfrm>
                          <a:off x="0" y="0"/>
                          <a:ext cx="914400" cy="647065"/>
                        </a:xfrm>
                        <a:prstGeom prst="rect">
                          <a:avLst/>
                        </a:prstGeom>
                        <a:noFill/>
                        <a:ln>
                          <a:noFill/>
                        </a:ln>
                      </wps:spPr>
                      <wps:txbx>
                        <w:txbxContent>
                          <w:p>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wps:txbx>
                      <wps:bodyPr wrap="square" upright="1"/>
                    </wps:wsp>
                  </a:graphicData>
                </a:graphic>
              </wp:anchor>
            </w:drawing>
          </mc:Choice>
          <mc:Fallback>
            <w:pict>
              <v:shape id="文本框 355" o:spid="_x0000_s1026" o:spt="202" type="#_x0000_t202" style="position:absolute;left:0pt;margin-left:-9pt;margin-top:0.95pt;height:50.95pt;width:72pt;z-index:252019712;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pjGV7VAAAACQEAAA8AAAAAAAAAAQAgAAAAIgAAAGRycy9kb3ducmV2LnhtbFBLAQIUABQA&#10;AAAIAIdO4kComWJjugEAAF8DAAAOAAAAAAAAAAEAIAAAACQBAABkcnMvZTJvRG9jLnhtbFBLBQYA&#10;AAAABgAGAFkBAABQBQAAAAA=&#10;">
                <v:fill on="f" focussize="0,0"/>
                <v:stroke on="f"/>
                <v:imagedata o:title=""/>
                <o:lock v:ext="edit" aspectratio="f"/>
                <v:textbox>
                  <w:txbxContent>
                    <w:p>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未按照第81.3款和第81.4款规定支付进度款的，承包人应及时向发包人发出要求支付的通知；发包人收到通知后仍不按要求支付的，可与承包人协商签订延期支付协议，经承包人同意后可延期支付，承包人有权按照第78.2款规定获得延期支付的利息。</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发包人未按照按照合同约定支付进度款，合同双方当事人又未达成延期支付协议，导致无法施工的，承包人可停止施工。发包人应承担由此增加的费用和（或）延误的工期，并向承包人支付合理利润。</w:t>
      </w:r>
    </w:p>
    <w:p>
      <w:pPr>
        <w:widowControl w:val="0"/>
        <w:tabs>
          <w:tab w:val="left" w:pos="132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81.6</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352" name="文本框 356"/>
                <wp:cNvGraphicFramePr/>
                <a:graphic xmlns:a="http://schemas.openxmlformats.org/drawingml/2006/main">
                  <a:graphicData uri="http://schemas.microsoft.com/office/word/2010/wordprocessingShape">
                    <wps:wsp>
                      <wps:cNvSpPr txBox="1"/>
                      <wps:spPr>
                        <a:xfrm>
                          <a:off x="0" y="0"/>
                          <a:ext cx="1028700" cy="266065"/>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wps:txbx>
                      <wps:bodyPr wrap="square" upright="1"/>
                    </wps:wsp>
                  </a:graphicData>
                </a:graphic>
              </wp:anchor>
            </w:drawing>
          </mc:Choice>
          <mc:Fallback>
            <w:pict>
              <v:shape id="文本框 356" o:spid="_x0000_s1026" o:spt="202" type="#_x0000_t202" style="position:absolute;left:0pt;margin-left:-9pt;margin-top:1.25pt;height:20.95pt;width:81pt;z-index:252020736;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udBUx1QAAAAgBAAAPAAAAAAAAAAEAIAAAACIAAABkcnMvZG93bnJldi54bWxQSwECFAAUAAAA&#10;CACHTuJARoXVWrgBAABgAwAADgAAAAAAAAABACAAAAAkAQAAZHJzL2Uyb0RvYy54bWxQSwUGAAAA&#10;AAYABgBZAQAATgU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69" w:name="_Toc469384066"/>
      <w:bookmarkStart w:id="570" w:name="_Toc10624906"/>
      <w:r>
        <w:rPr>
          <w:rFonts w:hint="eastAsia" w:ascii="黑体" w:hAnsi="黑体" w:eastAsia="黑体" w:cs="黑体"/>
          <w:b w:val="0"/>
          <w:bCs/>
          <w:color w:val="auto"/>
          <w:kern w:val="0"/>
          <w:sz w:val="24"/>
          <w:szCs w:val="24"/>
          <w:highlight w:val="none"/>
          <w:lang w:val="en-US" w:eastAsia="zh-CN" w:bidi="ar-SA"/>
        </w:rPr>
        <w:t>★82  竣工结算</w:t>
      </w:r>
      <w:bookmarkEnd w:id="569"/>
      <w:bookmarkEnd w:id="570"/>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82.1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353" name="文本框 35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wps:txbx>
                      <wps:bodyPr wrap="square" upright="1"/>
                    </wps:wsp>
                  </a:graphicData>
                </a:graphic>
              </wp:anchor>
            </w:drawing>
          </mc:Choice>
          <mc:Fallback>
            <w:pict>
              <v:shape id="文本框 357" o:spid="_x0000_s1026" o:spt="202" type="#_x0000_t202" style="position:absolute;left:0pt;margin-left:-9pt;margin-top:3.05pt;height:31.2pt;width:72pt;z-index:252021760;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vsDBXUAAAACAEAAA8AAAAAAAAAAQAgAAAAIgAAAGRycy9kb3ducmV2LnhtbFBLAQIUABQA&#10;AAAIAIdO4kBu20FluwEAAF8DAAAOAAAAAAAAAAEAIAAAACM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合同双方当事人应按照国家标准《建设工程工程量清单计价规范》（GBGB50500-2013）规定在专用条款中明确办理竣工结算的程序和时限。专用条款没有约定的，竣工结算按照第82.2款至第82.5款规定办理。</w:t>
      </w:r>
    </w:p>
    <w:p>
      <w:pPr>
        <w:spacing w:line="420" w:lineRule="exact"/>
        <w:ind w:left="1760" w:hanging="1760" w:hangingChars="800"/>
        <w:rPr>
          <w:rFonts w:ascii="宋体" w:hAnsi="宋体" w:cs="宋体"/>
          <w:color w:val="auto"/>
          <w:sz w:val="22"/>
          <w:szCs w:val="22"/>
          <w:highlight w:val="none"/>
        </w:rPr>
      </w:pPr>
      <w:r>
        <w:rPr>
          <w:rFonts w:hint="eastAsia" w:ascii="宋体" w:hAnsi="宋体" w:cs="宋体"/>
          <w:color w:val="auto"/>
          <w:sz w:val="22"/>
          <w:szCs w:val="22"/>
          <w:highlight w:val="none"/>
        </w:rPr>
        <w:t xml:space="preserve">                </w:t>
      </w:r>
      <w:r>
        <w:rPr>
          <w:rFonts w:hint="eastAsia" w:ascii="仿宋_GB2312" w:hAnsi="仿宋_GB2312" w:eastAsia="仿宋_GB2312" w:cs="仿宋_GB2312"/>
          <w:color w:val="auto"/>
          <w:sz w:val="24"/>
          <w:szCs w:val="24"/>
          <w:highlight w:val="none"/>
          <w:lang w:val="en-US" w:eastAsia="zh-CN"/>
        </w:rPr>
        <w:t>建设工程施工过程结算是指在房屋建筑和市政设施工程发承包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双方在合同约定。施工过程结算文件是工程竣工结算文件的重要内容与组成部分。</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在办理竣工结算期间，发包人按照第78条规定应向承包人支付的工程款及其他款项不停止。</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82.2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354" name="文本框 358"/>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wps:txbx>
                      <wps:bodyPr wrap="square" upright="1"/>
                    </wps:wsp>
                  </a:graphicData>
                </a:graphic>
              </wp:anchor>
            </w:drawing>
          </mc:Choice>
          <mc:Fallback>
            <w:pict>
              <v:shape id="文本框 358" o:spid="_x0000_s1026" o:spt="202" type="#_x0000_t202" style="position:absolute;left:0pt;margin-left:-9pt;margin-top:1.85pt;height:36.15pt;width:72pt;z-index:252022784;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Qfx4rVAAAACAEAAA8AAAAAAAAAAQAgAAAAIgAAAGRycy9kb3ducmV2LnhtbFBLAQIUABQA&#10;AAAIAIdO4kAhwwhi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承包人应在提交竣工验收申请报告前编制完成竣工结算文件，并在提交竣工验收申请报告的同时向造价工程师递交竣工结算文件。竣工结算文件清单由双方在专用条款中约定。</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lang w:val="en-US" w:eastAsia="zh-CN" w:bidi="ar-SA"/>
        </w:rPr>
        <w:t xml:space="preserve">82.3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355" name="文本框 359"/>
                <wp:cNvGraphicFramePr/>
                <a:graphic xmlns:a="http://schemas.openxmlformats.org/drawingml/2006/main">
                  <a:graphicData uri="http://schemas.microsoft.com/office/word/2010/wordprocessingShape">
                    <wps:wsp>
                      <wps:cNvSpPr txBox="1"/>
                      <wps:spPr>
                        <a:xfrm>
                          <a:off x="0" y="0"/>
                          <a:ext cx="914400" cy="41846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wps:txbx>
                      <wps:bodyPr wrap="square" upright="1"/>
                    </wps:wsp>
                  </a:graphicData>
                </a:graphic>
              </wp:anchor>
            </w:drawing>
          </mc:Choice>
          <mc:Fallback>
            <w:pict>
              <v:shape id="文本框 359" o:spid="_x0000_s1026" o:spt="202" type="#_x0000_t202" style="position:absolute;left:0pt;margin-left:-9pt;margin-top:3.05pt;height:32.95pt;width:72pt;z-index:252023808;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FCSePVAAAACAEAAA8AAAAAAAAAAQAgAAAAIgAAAGRycy9kb3ducmV2LnhtbFBLAQIUABQA&#10;AAAIAIdO4kAVer/F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应在收到承包人按照第82.2款规定递交的竣工结算文件后的28天内予以核实，并向承包人提出完整的核实意见（包括进一步补充资料和修改结算文件），同时抄报发包人。承包人在收到核实意见后的28天内按照造价工程师提出的合理要求补充资料，修改竣工结算文件，并再次递交给造价工程师。</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造价工程师在收到竣工结算文件后的28天内，不核实竣工结算或未提出核实意见的，视为承包人递交的竣工结算已被认可。</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承包人在收到造价工程师提出的核实意见后的28天内，不确认也未提出异议的，视为造价工程师提出的核实意见已被认可，竣工结算办理完毕。</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lang w:val="en-US" w:eastAsia="zh-CN" w:bidi="ar-SA"/>
        </w:rPr>
        <w:t xml:space="preserve">82.4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356" name="文本框 360"/>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wps:txbx>
                      <wps:bodyPr wrap="square" upright="1"/>
                    </wps:wsp>
                  </a:graphicData>
                </a:graphic>
              </wp:anchor>
            </w:drawing>
          </mc:Choice>
          <mc:Fallback>
            <w:pict>
              <v:shape id="文本框 360" o:spid="_x0000_s1026" o:spt="202" type="#_x0000_t202" style="position:absolute;left:0pt;margin-left:-9pt;margin-top:1.25pt;height:56.55pt;width:72pt;z-index:252024832;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GQgC7WAAAACQEAAA8AAAAAAAAAAQAgAAAAIgAAAGRycy9kb3ducmV2LnhtbFBLAQIUABQA&#10;AAAIAIdO4kA9ENli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造价工程师应在收到承包人按照第82.3款规定再次递交的竣工结算文件后的28天内予以复核，并将复核结果通知承包人、抄报发包人。</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（1）经复核无误的，除属于第86条规定的争议外，发包人应在7天内在竣工结算文件上签字确认，竣工结算办理完毕。</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（2）经复核认为有误的：无误部分按照本款第(1)点规定办理不完全竣工结算；有误部分由造价工程师与合同双方当事人协商解决，或按照第86条规定处理。</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82.5</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357" name="文本框 36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wps:txbx>
                      <wps:bodyPr wrap="square" upright="1"/>
                    </wps:wsp>
                  </a:graphicData>
                </a:graphic>
              </wp:anchor>
            </w:drawing>
          </mc:Choice>
          <mc:Fallback>
            <w:pict>
              <v:shape id="文本框 361" o:spid="_x0000_s1026" o:spt="202" type="#_x0000_t202" style="position:absolute;left:0pt;margin-left:-9pt;margin-top:0.45pt;height:31.2pt;width:72pt;z-index:252025856;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kQKal1QAAAAcBAAAPAAAAAAAAAAEAIAAAACIAAABkcnMvZG93bnJldi54bWxQSwECFAAU&#10;AAAACACHTuJAzeQRJLsBAABfAwAADgAAAAAAAAABACAAAAAk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发包人应在已核实无误的竣工结算文件上签名确认，拒不签认的，承包人可不交付竣工工程。</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承包人未及时递交竣工结算文件的，发包人要求交付竣工工程，承包人应当交付；发包人不要求交付竣工工程，承包人承担照管永久工程责任。</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71" w:name="_Toc10624907"/>
      <w:bookmarkStart w:id="572" w:name="_Toc469384067"/>
      <w:r>
        <w:rPr>
          <w:rFonts w:hint="eastAsia" w:ascii="黑体" w:hAnsi="黑体" w:eastAsia="黑体" w:cs="黑体"/>
          <w:b w:val="0"/>
          <w:bCs/>
          <w:color w:val="auto"/>
          <w:kern w:val="0"/>
          <w:sz w:val="24"/>
          <w:szCs w:val="24"/>
          <w:highlight w:val="none"/>
          <w:lang w:val="en-US" w:eastAsia="zh-CN" w:bidi="ar-SA"/>
        </w:rPr>
        <w:t>★83  结算款</w:t>
      </w:r>
      <w:bookmarkEnd w:id="571"/>
      <w:bookmarkEnd w:id="572"/>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83.1 </w:t>
      </w:r>
      <w:r>
        <w:rPr>
          <w:rFonts w:hint="eastAsia" w:ascii="宋体" w:hAnsi="宋体" w:eastAsia="宋体" w:cs="宋体"/>
          <w:color w:val="auto"/>
          <w:kern w:val="2"/>
          <w:sz w:val="22"/>
          <w:szCs w:val="22"/>
          <w:highlight w:val="none"/>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358" name="文本框 362"/>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wps:txbx>
                      <wps:bodyPr wrap="square" upright="1"/>
                    </wps:wsp>
                  </a:graphicData>
                </a:graphic>
              </wp:anchor>
            </w:drawing>
          </mc:Choice>
          <mc:Fallback>
            <w:pict>
              <v:shape id="文本框 362" o:spid="_x0000_s1026" o:spt="202" type="#_x0000_t202" style="position:absolute;left:0pt;margin-left:-9pt;margin-top:2.85pt;height:36.15pt;width:72pt;z-index:252026880;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Mq/SfVAAAACAEAAA8AAAAAAAAAAQAgAAAAIgAAAGRycy9kb3ducmV2LnhtbFBLAQIUABQA&#10;AAAIAIdO4kBMqVkO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合同双方当事人应在专用条款中明确结算款的支付时限。专用条款没有约定的，结算款支付按照第83.2款至第83.5款规定办理。涉及政府投资资金的工程,支付期、支付方法等需调整的，应在专用条款中约定。</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按照第82.2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（1）根据合同完成全部或所有工程的总造价；</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（2）根据合同约定发包人应付的所有款项。</w:t>
      </w:r>
    </w:p>
    <w:p>
      <w:pPr>
        <w:widowControl w:val="0"/>
        <w:tabs>
          <w:tab w:val="left" w:pos="2641"/>
        </w:tabs>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lang w:val="en-US" w:eastAsia="zh-CN" w:bidi="ar-SA"/>
        </w:rPr>
        <w:t xml:space="preserve">83.2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359" name="文本框 363"/>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wps:txbx>
                      <wps:bodyPr wrap="square" upright="1"/>
                    </wps:wsp>
                  </a:graphicData>
                </a:graphic>
              </wp:anchor>
            </w:drawing>
          </mc:Choice>
          <mc:Fallback>
            <w:pict>
              <v:shape id="文本框 363" o:spid="_x0000_s1026" o:spt="202" type="#_x0000_t202" style="position:absolute;left:0pt;margin-left:-9pt;margin-top:1.25pt;height:56.55pt;width:72pt;z-index:252027904;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BkIAu1gAAAAkBAAAPAAAAAAAAAAEAIAAAACIAAABkcnMvZG93bnJldi54bWxQSwECFAAU&#10;AAAACACHTuJATqpXW7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造价工程师在收到上述资料后，应按照第82.3款、第82.4款规定核实竣工结算文件，并在发包人签字确认竣工结算文件后的7天内，向发包人签发竣工结算支付证书，同时抄送承包人。</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83.3</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360" name="文本框 36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wps:txbx>
                      <wps:bodyPr wrap="square" upright="1"/>
                    </wps:wsp>
                  </a:graphicData>
                </a:graphic>
              </wp:anchor>
            </w:drawing>
          </mc:Choice>
          <mc:Fallback>
            <w:pict>
              <v:shape id="文本框 364" o:spid="_x0000_s1026" o:spt="202" type="#_x0000_t202" style="position:absolute;left:0pt;margin-left:-9pt;margin-top:0.45pt;height:31.2pt;width:72pt;z-index:252028928;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ECmpdUAAAAHAQAADwAAAAAAAAABACAAAAAiAAAAZHJzL2Rvd25yZXYueG1sUEsBAhQAFAAA&#10;AAgAh07iQPgbQ+G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发包人应在造价工程师签发竣工结算支付证书后的28天内，按照竣工结算支付证书列明的金额向承包人支付结算款，并通知造价工程师。</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83.4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9952"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361" name="文本框 365"/>
                <wp:cNvGraphicFramePr/>
                <a:graphic xmlns:a="http://schemas.openxmlformats.org/drawingml/2006/main">
                  <a:graphicData uri="http://schemas.microsoft.com/office/word/2010/wordprocessingShape">
                    <wps:wsp>
                      <wps:cNvSpPr txBox="1"/>
                      <wps:spPr>
                        <a:xfrm>
                          <a:off x="0" y="0"/>
                          <a:ext cx="1047750" cy="82931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wps:txbx>
                      <wps:bodyPr wrap="square" upright="1"/>
                    </wps:wsp>
                  </a:graphicData>
                </a:graphic>
              </wp:anchor>
            </w:drawing>
          </mc:Choice>
          <mc:Fallback>
            <w:pict>
              <v:shape id="文本框 365" o:spid="_x0000_s1026" o:spt="202" type="#_x0000_t202" style="position:absolute;left:0pt;margin-left:-5.25pt;margin-top:0.95pt;height:65.3pt;width:82.5pt;z-index:252029952;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00Gqd1QAAAAkBAAAPAAAAAAAAAAEAIAAAACIAAABkcnMvZG93bnJldi54bWxQSwECFAAU&#10;AAAACACHTuJAN6w19bsBAABgAwAADgAAAAAAAAABACAAAAAk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造价工程师未在第83.2款规定的期限内签发竣工结算支付证书的，则视为承包人提交的竣工支付申请已被认可，承包人应及时向发包人发出要求支付竣工结算款的通知。发包人应在收到通知后的28天内，按照承包人支付申请列明的金额向承包人支付竣工结算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83.5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362" name="文本框 366"/>
                <wp:cNvGraphicFramePr/>
                <a:graphic xmlns:a="http://schemas.openxmlformats.org/drawingml/2006/main">
                  <a:graphicData uri="http://schemas.microsoft.com/office/word/2010/wordprocessingShape">
                    <wps:wsp>
                      <wps:cNvSpPr txBox="1"/>
                      <wps:spPr>
                        <a:xfrm>
                          <a:off x="0" y="0"/>
                          <a:ext cx="914400" cy="40767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wps:txbx>
                      <wps:bodyPr wrap="square" upright="1"/>
                    </wps:wsp>
                  </a:graphicData>
                </a:graphic>
              </wp:anchor>
            </w:drawing>
          </mc:Choice>
          <mc:Fallback>
            <w:pict>
              <v:shape id="文本框 366" o:spid="_x0000_s1026" o:spt="202" type="#_x0000_t202" style="position:absolute;left:0pt;margin-left:-9pt;margin-top:4.6pt;height:32.1pt;width:72pt;z-index:252030976;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KyzLj1gAAAAgBAAAPAAAAAAAAAAEAIAAAACIAAABkcnMvZG93bnJldi54bWxQSwECFAAU&#10;AAAACACHTuJA76eDEL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发包人未按照第83.3款和第83.4款规定支付竣工结算款的，承包人可催告发包人支付竣工结算款，如双方达成延期支付协议，承包人有权按照第78.2款规定获得延期支付的利息。</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在收到竣工结算支付证书后的56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73" w:name="_Toc10624908"/>
      <w:bookmarkStart w:id="574" w:name="_Toc469384068"/>
      <w:r>
        <w:rPr>
          <w:rFonts w:hint="eastAsia" w:ascii="黑体" w:hAnsi="黑体" w:eastAsia="黑体" w:cs="黑体"/>
          <w:b w:val="0"/>
          <w:bCs/>
          <w:color w:val="auto"/>
          <w:kern w:val="0"/>
          <w:sz w:val="24"/>
          <w:szCs w:val="24"/>
          <w:highlight w:val="none"/>
          <w:lang w:val="en-US" w:eastAsia="zh-CN" w:bidi="ar-SA"/>
        </w:rPr>
        <w:t>★84  质量保证金</w:t>
      </w:r>
      <w:bookmarkEnd w:id="573"/>
      <w:bookmarkEnd w:id="574"/>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84.1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63" name="文本框 36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wps:txbx>
                      <wps:bodyPr wrap="square" upright="1"/>
                    </wps:wsp>
                  </a:graphicData>
                </a:graphic>
              </wp:anchor>
            </w:drawing>
          </mc:Choice>
          <mc:Fallback>
            <w:pict>
              <v:shape id="文本框 367" o:spid="_x0000_s1026" o:spt="202" type="#_x0000_t202" style="position:absolute;left:0pt;margin-left:-9pt;margin-top:0.65pt;height:31.2pt;width:72pt;z-index:25203200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a3aJbVAAAACAEAAA8AAAAAAAAAAQAgAAAAIgAAAGRycy9kb3ducmV2LnhtbFBLAQIUABQA&#10;AAAIAIdO4kAYFW/F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质量保证金用于承包人对合同工程质量的担保。承包人未按照法律有关规定和合同约定履行质量保修义务的，发包人有权从质量保证金中扣留用于质量保修的各项支出。</w:t>
      </w:r>
    </w:p>
    <w:p>
      <w:pPr>
        <w:widowControl w:val="0"/>
        <w:tabs>
          <w:tab w:val="left" w:pos="90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84.2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合同双方当事人应在专用条款中约定质量保证金金额</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364" name="文本框 368"/>
                <wp:cNvGraphicFramePr/>
                <a:graphic xmlns:a="http://schemas.openxmlformats.org/drawingml/2006/main">
                  <a:graphicData uri="http://schemas.microsoft.com/office/word/2010/wordprocessingShape">
                    <wps:wsp>
                      <wps:cNvSpPr txBox="1"/>
                      <wps:spPr>
                        <a:xfrm>
                          <a:off x="0" y="0"/>
                          <a:ext cx="914400" cy="51943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wps:txbx>
                      <wps:bodyPr wrap="square" upright="1"/>
                    </wps:wsp>
                  </a:graphicData>
                </a:graphic>
              </wp:anchor>
            </w:drawing>
          </mc:Choice>
          <mc:Fallback>
            <w:pict>
              <v:shape id="文本框 368" o:spid="_x0000_s1026" o:spt="202" type="#_x0000_t202" style="position:absolute;left:0pt;margin-left:-9pt;margin-top:1.6pt;height:40.9pt;width:72pt;z-index:252033024;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JRW8TVAAAACAEAAA8AAAAAAAAAAQAgAAAAIgAAAGRycy9kb3ducmV2LnhtbFBLAQIUABQA&#10;AAAIAIdO4kBElSMW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专用条款另有约定外，质量保证金为合同价款的3％（采取银行保函）。发包人应按照该比例从每支付期应支付给承包人的进度款或结算款中扣留，直到扣留的质量保证金总额达到专用条款约定的的金额为止。</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84.3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65" name="文本框 369"/>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wps:txbx>
                      <wps:bodyPr wrap="square" upright="1"/>
                    </wps:wsp>
                  </a:graphicData>
                </a:graphic>
              </wp:anchor>
            </w:drawing>
          </mc:Choice>
          <mc:Fallback>
            <w:pict>
              <v:shape id="文本框 369" o:spid="_x0000_s1026" o:spt="202" type="#_x0000_t202" style="position:absolute;left:0pt;margin-left:-9pt;margin-top:3.6pt;height:36.45pt;width:72pt;z-index:25203404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pXYFbVAAAACAEAAA8AAAAAAAAAAQAgAAAAIgAAAGRycy9kb3ducmV2LnhtbFBLAQIUABQA&#10;AAAIAIdO4kBsPABM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缺陷责任期（包括第59.2款延长的期限）满时，承包人应向发包人申请到期应返还的剩余质量保证金金额。发包人如无异议，应在缺陷责任期满后的14天内将剩余的质量保证金返还给承包人。剩余质量保证金的返还，并不能免除承包人按照合同约定应承担的质量保修责任和应履行的质量保修义务。发包人在退还质量保证金的同时按照中国人民银行发布的同期同类贷款基准利率支付利息。</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84.4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66" name="文本框 370"/>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wps:txbx>
                      <wps:bodyPr wrap="square" upright="1"/>
                    </wps:wsp>
                  </a:graphicData>
                </a:graphic>
              </wp:anchor>
            </w:drawing>
          </mc:Choice>
          <mc:Fallback>
            <w:pict>
              <v:shape id="文本框 370" o:spid="_x0000_s1026" o:spt="202" type="#_x0000_t202" style="position:absolute;left:0pt;margin-left:-9pt;margin-top:3.6pt;height:36.45pt;width:72pt;z-index:252035072;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ldgVtUAAAAIAQAADwAAAAAAAAABACAAAAAiAAAAZHJzL2Rvd25yZXYueG1sUEsBAhQAFAAA&#10;AAgAh07iQAoKv3y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缺陷责任期（包括第59.2款延长的期限）满时，承包人没有完成缺陷责任的，发包人有权扣留承包人未完成缺陷责任剩余工作所需的部分质量保证金余额，并有权根据第59.2款约定要求延长缺陷责任期，直到完成剩余工作为止。</w:t>
      </w:r>
    </w:p>
    <w:p>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75" w:name="_Toc10624909"/>
      <w:r>
        <w:rPr>
          <w:rFonts w:hint="eastAsia" w:ascii="黑体" w:hAnsi="黑体" w:eastAsia="黑体" w:cs="黑体"/>
          <w:b w:val="0"/>
          <w:bCs/>
          <w:color w:val="auto"/>
          <w:kern w:val="0"/>
          <w:sz w:val="24"/>
          <w:szCs w:val="24"/>
          <w:highlight w:val="none"/>
          <w:lang w:val="en-US" w:eastAsia="zh-CN" w:bidi="ar-SA"/>
        </w:rPr>
        <w:t>85  最终清算款</w:t>
      </w:r>
      <w:bookmarkEnd w:id="575"/>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85.1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367" name="文本框 37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wps:txbx>
                      <wps:bodyPr wrap="square" upright="1"/>
                    </wps:wsp>
                  </a:graphicData>
                </a:graphic>
              </wp:anchor>
            </w:drawing>
          </mc:Choice>
          <mc:Fallback>
            <w:pict>
              <v:shape id="文本框 371" o:spid="_x0000_s1026" o:spt="202" type="#_x0000_t202" style="position:absolute;left:0pt;margin-left:-9pt;margin-top:5.85pt;height:31.2pt;width:72pt;z-index:252036096;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PIgVtYAAAAJAQAADwAAAAAAAAABACAAAAAiAAAAZHJzL2Rvd25yZXYueG1sUEsBAhQA&#10;FAAAAAgAh07iQMPMX+G7AQAAXwMAAA4AAAAAAAAAAQAgAAAAJQEAAGRycy9lMm9Eb2MueG1sUEsF&#10;BgAAAAAGAAYAWQEAAFI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合同双方当事人应在专用条款中明确最终清算款的支付时限。专用条款没有约定的,最终清算款按照第85.2款至第85.5款规定办理。涉及政府投资资金的工程，支付期、支付方法等需调整的，应在专用条款中约定。</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pPr>
        <w:widowControl w:val="0"/>
        <w:tabs>
          <w:tab w:val="left" w:pos="90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85.2</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368" name="文本框 372"/>
                <wp:cNvGraphicFramePr/>
                <a:graphic xmlns:a="http://schemas.openxmlformats.org/drawingml/2006/main">
                  <a:graphicData uri="http://schemas.microsoft.com/office/word/2010/wordprocessingShape">
                    <wps:wsp>
                      <wps:cNvSpPr txBox="1"/>
                      <wps:spPr>
                        <a:xfrm>
                          <a:off x="0" y="0"/>
                          <a:ext cx="1028700" cy="46291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hAnsi="Times New Roman" w:cs="Times New Roman"/>
                                <w:b/>
                                <w:bCs/>
                                <w:sz w:val="18"/>
                                <w:szCs w:val="18"/>
                              </w:rPr>
                            </w:pPr>
                            <w:r>
                              <w:rPr>
                                <w:rFonts w:hint="eastAsia" w:ascii="楷体_GB2312" w:hAnsi="宋体" w:eastAsia="楷体_GB2312" w:cs="楷体_GB2312"/>
                                <w:b/>
                                <w:bCs/>
                                <w:sz w:val="18"/>
                                <w:szCs w:val="18"/>
                              </w:rPr>
                              <w:t>支付证书</w:t>
                            </w:r>
                          </w:p>
                        </w:txbxContent>
                      </wps:txbx>
                      <wps:bodyPr wrap="square" upright="1"/>
                    </wps:wsp>
                  </a:graphicData>
                </a:graphic>
              </wp:anchor>
            </w:drawing>
          </mc:Choice>
          <mc:Fallback>
            <w:pict>
              <v:shape id="文本框 372" o:spid="_x0000_s1026" o:spt="202" type="#_x0000_t202" style="position:absolute;left:0pt;margin-left:-9pt;margin-top:0.7pt;height:36.45pt;width:81pt;z-index:252037120;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5Ykz9UAAAAIAQAADwAAAAAAAAABACAAAAAiAAAAZHJzL2Rvd25yZXYueG1sUEsBAhQAFAAA&#10;AAgAh07iQLDYGvS5AQAAYA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hAnsi="Times New Roman" w:cs="Times New Roman"/>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应在收到最终清算支付申请后的14天内予以计量、核实，并将核实结果通知承包人、抄报发包人。发包人应在收到核实结果后的7天内在最终清算文件上签字确认。造价工程师应在发包人签字确认最终清算文件后的7天内，向发包人签发最终清算支付证书，同时抄送承包人。</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369" name="文本框 373"/>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宋体" w:hAnsi="Calibri"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373" o:spid="_x0000_s1026" o:spt="202" type="#_x0000_t202" style="position:absolute;left:0pt;margin-left:-9pt;margin-top:18.15pt;height:36.45pt;width:72pt;z-index:252038144;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WPPmdgAAAAKAQAADwAAAAAAAAABACAAAAAiAAAAZHJzL2Rvd25yZXYueG1sUEsBAhQA&#10;FAAAAAgAh07iQHmwMUW5AQAAXwMAAA4AAAAAAAAAAQAgAAAAJwEAAGRycy9lMm9Eb2MueG1sUEsF&#10;BgAAAAAGAAYAWQEAAFIFAAAAAA==&#10;">
                <v:fill on="f" focussize="0,0"/>
                <v:stroke on="f"/>
                <v:imagedata o:title=""/>
                <o:lock v:ext="edit" aspectratio="f"/>
                <v:textbox>
                  <w:txbxContent>
                    <w:p>
                      <w:pPr>
                        <w:spacing w:line="240" w:lineRule="exact"/>
                        <w:rPr>
                          <w:rFonts w:ascii="宋体" w:hAnsi="Calibri"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85.3</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发包人应在造价工程师签发最终清算支付证书后的14 天内，按照最终清算支付证书列明的金额向承包人支付最终清算款，并通知造价工程师。</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370" name="文本框 374"/>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宋体" w:hAnsi="Calibri" w:cs="Times New Roman"/>
                                <w:b/>
                                <w:bCs/>
                                <w:sz w:val="18"/>
                                <w:szCs w:val="18"/>
                              </w:rPr>
                            </w:pPr>
                            <w:r>
                              <w:rPr>
                                <w:rFonts w:hint="eastAsia" w:ascii="楷体_GB2312" w:hAnsi="宋体" w:eastAsia="楷体_GB2312" w:cs="楷体_GB2312"/>
                                <w:b/>
                                <w:bCs/>
                                <w:sz w:val="18"/>
                                <w:szCs w:val="18"/>
                              </w:rPr>
                              <w:t>签发最终清算支付证书限制</w:t>
                            </w:r>
                          </w:p>
                        </w:txbxContent>
                      </wps:txbx>
                      <wps:bodyPr wrap="square" upright="1"/>
                    </wps:wsp>
                  </a:graphicData>
                </a:graphic>
              </wp:anchor>
            </w:drawing>
          </mc:Choice>
          <mc:Fallback>
            <w:pict>
              <v:shape id="文本框 374" o:spid="_x0000_s1026" o:spt="202" type="#_x0000_t202" style="position:absolute;left:0pt;margin-left:-9pt;margin-top:18.45pt;height:36.45pt;width:72pt;z-index:252039168;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z97eLYAAAACgEAAA8AAAAAAAAAAQAgAAAAIgAAAGRycy9kb3ducmV2LnhtbFBLAQIU&#10;ABQAAAAIAIdO4kB8n3K2ugEAAF8DAAAOAAAAAAAAAAEAIAAAACcBAABkcnMvZTJvRG9jLnhtbFBL&#10;BQYAAAAABgAGAFkBAABTBQAAAAA=&#10;">
                <v:fill on="f" focussize="0,0"/>
                <v:stroke on="f"/>
                <v:imagedata o:title=""/>
                <o:lock v:ext="edit" aspectratio="f"/>
                <v:textbox>
                  <w:txbxContent>
                    <w:p>
                      <w:pPr>
                        <w:spacing w:line="240" w:lineRule="exact"/>
                        <w:rPr>
                          <w:rFonts w:ascii="宋体" w:hAnsi="Calibri" w:cs="Times New Roman"/>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85.4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造价工程师未在第85.2款规定的期限内签发最终清算支付证书的，则视为承包人提交的最终清算支付申请已被认可，承包人应及时向发包人发出要求支付最终清算款的通知。发包人应在收到通知后的14天内，按照承包人提交最终清算支付申请列明的金额向承包人支付最终清算款。</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85.5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371" name="文本框 375"/>
                <wp:cNvGraphicFramePr/>
                <a:graphic xmlns:a="http://schemas.openxmlformats.org/drawingml/2006/main">
                  <a:graphicData uri="http://schemas.microsoft.com/office/word/2010/wordprocessingShape">
                    <wps:wsp>
                      <wps:cNvSpPr txBox="1"/>
                      <wps:spPr>
                        <a:xfrm>
                          <a:off x="0" y="0"/>
                          <a:ext cx="1028700" cy="40767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wps:txbx>
                      <wps:bodyPr wrap="square" upright="1"/>
                    </wps:wsp>
                  </a:graphicData>
                </a:graphic>
              </wp:anchor>
            </w:drawing>
          </mc:Choice>
          <mc:Fallback>
            <w:pict>
              <v:shape id="文本框 375" o:spid="_x0000_s1026" o:spt="202" type="#_x0000_t202" style="position:absolute;left:0pt;margin-left:-9pt;margin-top:0.65pt;height:32.1pt;width:81pt;z-index:252040192;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EG9fTVAAAACAEAAA8AAAAAAAAAAQAgAAAAIgAAAGRycy9kb3ducmV2LnhtbFBLAQIUABQA&#10;AAAIAIdO4kAuG4/MugEAAGA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未按照第85.3款和第85.4款规定支付最终清算款的，承包人可催告发包人支付最终清算款，如双方达成延期支付协议，承包人有权按照第78.2款规定获得延期支付的利息。若该永久工程按照第83.5款规定进行折价或依法拍卖的，承包人就该工程折价或拍卖的价款优先受偿。</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85.6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72" name="文本框 376"/>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wps:txbx>
                      <wps:bodyPr wrap="square" upright="1"/>
                    </wps:wsp>
                  </a:graphicData>
                </a:graphic>
              </wp:anchor>
            </w:drawing>
          </mc:Choice>
          <mc:Fallback>
            <w:pict>
              <v:shape id="文本框 376" o:spid="_x0000_s1026" o:spt="202" type="#_x0000_t202" style="position:absolute;left:0pt;margin-left:-9pt;margin-top:3.6pt;height:36.45pt;width:72pt;z-index:252041216;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pXYFbVAAAACAEAAA8AAAAAAAAAAQAgAAAAIgAAAGRycy9kb3ducmV2LnhtbFBLAQIUABQA&#10;AAAIAIdO4kADlpU4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承包人对发包人支付的最终清算款有异议的，按照第86条约定的争议处理。</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widowControl w:val="0"/>
        <w:adjustRightInd w:val="0"/>
        <w:snapToGrid w:val="0"/>
        <w:spacing w:line="420" w:lineRule="exact"/>
        <w:jc w:val="center"/>
        <w:outlineLvl w:val="1"/>
        <w:rPr>
          <w:rFonts w:ascii="宋体" w:hAnsi="宋体" w:eastAsia="宋体" w:cs="宋体"/>
          <w:b/>
          <w:bCs/>
          <w:color w:val="auto"/>
          <w:kern w:val="2"/>
          <w:sz w:val="22"/>
          <w:szCs w:val="22"/>
          <w:highlight w:val="none"/>
          <w:lang w:val="en-US" w:eastAsia="zh-CN" w:bidi="ar-SA"/>
        </w:rPr>
      </w:pPr>
      <w:bookmarkStart w:id="576" w:name="_Toc469384069"/>
      <w:bookmarkStart w:id="577" w:name="_Toc10624910"/>
      <w:r>
        <w:rPr>
          <w:rFonts w:hint="eastAsia" w:ascii="方正小标宋_GBK" w:hAnsi="方正小标宋_GBK" w:eastAsia="方正小标宋_GBK" w:cs="方正小标宋_GBK"/>
          <w:b/>
          <w:bCs/>
          <w:color w:val="auto"/>
          <w:kern w:val="2"/>
          <w:sz w:val="24"/>
          <w:szCs w:val="24"/>
          <w:highlight w:val="none"/>
          <w:lang w:val="en-US" w:eastAsia="zh-CN" w:bidi="ar-SA"/>
        </w:rPr>
        <w:t>七、合同争议、解除与终止</w:t>
      </w:r>
      <w:bookmarkEnd w:id="576"/>
      <w:bookmarkEnd w:id="577"/>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78" w:name="_Toc469384070"/>
      <w:bookmarkStart w:id="579" w:name="_Toc10624911"/>
      <w:r>
        <w:rPr>
          <w:rFonts w:hint="eastAsia" w:ascii="黑体" w:hAnsi="黑体" w:eastAsia="黑体" w:cs="黑体"/>
          <w:b w:val="0"/>
          <w:bCs/>
          <w:color w:val="auto"/>
          <w:kern w:val="0"/>
          <w:sz w:val="24"/>
          <w:szCs w:val="24"/>
          <w:highlight w:val="none"/>
          <w:lang w:val="en-US" w:eastAsia="zh-CN" w:bidi="ar-SA"/>
        </w:rPr>
        <w:t>86  合同争议</w:t>
      </w:r>
      <w:bookmarkEnd w:id="578"/>
      <w:bookmarkEnd w:id="579"/>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373" name="文本框 377"/>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wps:txbx>
                      <wps:bodyPr wrap="square" upright="1"/>
                    </wps:wsp>
                  </a:graphicData>
                </a:graphic>
              </wp:anchor>
            </w:drawing>
          </mc:Choice>
          <mc:Fallback>
            <w:pict>
              <v:shape id="文本框 377" o:spid="_x0000_s1026" o:spt="202" type="#_x0000_t202" style="position:absolute;left:0pt;margin-left:-9pt;margin-top:22.4pt;height:37pt;width:72pt;z-index:252042240;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Amw5q1wAAAAoBAAAPAAAAAAAAAAEAIAAAACIAAABkcnMvZG93bnJldi54bWxQSwECFAAU&#10;AAAACACHTuJA/XJEb7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86.1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本合同履行期间，合同双方当事人应在收到监理工程师或造价工程师依据合同约定作出暂定结果之后的14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合同双方当事人在收到监理工程师或造价工程师的暂定结果之日起，超过14天，未对暂定结果予以确认也未提出意见的，视为合同双方当事人已认可暂定结果。</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86.2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374" name="文本框 378"/>
                <wp:cNvGraphicFramePr/>
                <a:graphic xmlns:a="http://schemas.openxmlformats.org/drawingml/2006/main">
                  <a:graphicData uri="http://schemas.microsoft.com/office/word/2010/wordprocessingShape">
                    <wps:wsp>
                      <wps:cNvSpPr txBox="1"/>
                      <wps:spPr>
                        <a:xfrm>
                          <a:off x="0" y="0"/>
                          <a:ext cx="800100" cy="37338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wps:txbx>
                      <wps:bodyPr wrap="square" upright="1"/>
                    </wps:wsp>
                  </a:graphicData>
                </a:graphic>
              </wp:anchor>
            </w:drawing>
          </mc:Choice>
          <mc:Fallback>
            <w:pict>
              <v:shape id="文本框 378" o:spid="_x0000_s1026" o:spt="202" type="#_x0000_t202" style="position:absolute;left:0pt;margin-left:-9pt;margin-top:2.1pt;height:29.4pt;width:63pt;z-index:252043264;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G/Zlp1AAAAAgBAAAPAAAAAAAAAAEAIAAAACIAAABkcnMvZG93bnJldi54bWxQSwECFAAUAAAA&#10;CACHTuJAeOxdjLkBAABf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争议发生后的14天内，合同双方当事人可进一步进行协商。协商达成一致的，合同双方当事人应签订书面协议，并将结果抄送监理工程师或造价工程师；协商仍不能达成一致的，按照第86.3款至第86.6款规定进行调解或认定、仲裁或诉讼。</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86.3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375" name="文本框 379"/>
                <wp:cNvGraphicFramePr/>
                <a:graphic xmlns:a="http://schemas.openxmlformats.org/drawingml/2006/main">
                  <a:graphicData uri="http://schemas.microsoft.com/office/word/2010/wordprocessingShape">
                    <wps:wsp>
                      <wps:cNvSpPr txBox="1"/>
                      <wps:spPr>
                        <a:xfrm>
                          <a:off x="0" y="0"/>
                          <a:ext cx="1028700" cy="32512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wps:txbx>
                      <wps:bodyPr wrap="square" upright="1"/>
                    </wps:wsp>
                  </a:graphicData>
                </a:graphic>
              </wp:anchor>
            </w:drawing>
          </mc:Choice>
          <mc:Fallback>
            <w:pict>
              <v:shape id="文本框 379" o:spid="_x0000_s1026" o:spt="202" type="#_x0000_t202" style="position:absolute;left:0pt;margin-left:-9pt;margin-top:0.9pt;height:25.6pt;width:81pt;z-index:252044288;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V4CIdQAAAAIAQAADwAAAAAAAAABACAAAAAiAAAAZHJzL2Rvd25yZXYueG1sUEsBAhQAFAAA&#10;AAgAh07iQEjKF166AQAAYA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没有按照第86.2款规定进一步协商的，或虽然协商但未在规定期限内达成一致的，合同双方或一方当事人可在争议发生后的28天内，将争议提交争议调解或认定机构处理，或直接按照专用条款第86.6款规定提请仲裁或诉讼。</w:t>
      </w:r>
    </w:p>
    <w:p>
      <w:pPr>
        <w:widowControl w:val="0"/>
        <w:tabs>
          <w:tab w:val="left" w:pos="132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86.4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376" name="文本框 380"/>
                <wp:cNvGraphicFramePr/>
                <a:graphic xmlns:a="http://schemas.openxmlformats.org/drawingml/2006/main">
                  <a:graphicData uri="http://schemas.microsoft.com/office/word/2010/wordprocessingShape">
                    <wps:wsp>
                      <wps:cNvSpPr txBox="1"/>
                      <wps:spPr>
                        <a:xfrm>
                          <a:off x="0" y="0"/>
                          <a:ext cx="1028700" cy="37846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wps:txbx>
                      <wps:bodyPr wrap="square" upright="1"/>
                    </wps:wsp>
                  </a:graphicData>
                </a:graphic>
              </wp:anchor>
            </w:drawing>
          </mc:Choice>
          <mc:Fallback>
            <w:pict>
              <v:shape id="文本框 380" o:spid="_x0000_s1026" o:spt="202" type="#_x0000_t202" style="position:absolute;left:0pt;margin-left:-9pt;margin-top:4.7pt;height:29.8pt;width:81pt;z-index:252045312;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zhfmdUAAAAIAQAADwAAAAAAAAABACAAAAAiAAAAZHJzL2Rvd25yZXYueG1sUEsBAhQAFAAA&#10;AAgAh07iQPU9nd65AQAAYA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(1)建设工程安全监督机构，负责有关工程安全方面争议的调解或认定；</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(2)建设工程质量监督机构，负责有关工程质量方面争议的调解或认定；</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(3)建设工程造价管理机构，负责有关工程造价方面争议的调解或认定。</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86.5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377" name="文本框 381"/>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wps:txbx>
                      <wps:bodyPr wrap="square" upright="1"/>
                    </wps:wsp>
                  </a:graphicData>
                </a:graphic>
              </wp:anchor>
            </w:drawing>
          </mc:Choice>
          <mc:Fallback>
            <w:pict>
              <v:shape id="文本框 381" o:spid="_x0000_s1026" o:spt="202" type="#_x0000_t202" style="position:absolute;left:0pt;margin-left:-9pt;margin-top:2.55pt;height:36.6pt;width:72pt;z-index:252046336;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Zba03VAAAACAEAAA8AAAAAAAAAAQAgAAAAIgAAAGRycy9kb3ducmV2LnhtbFBLAQIUABQA&#10;AAAIAIdO4kBlcxHG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合同双方当事人应在收到争议调解或认定机构书面结果后的28天内，对调解或认定结果以书面形式予以确认。</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86.6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378" name="文本框 382"/>
                <wp:cNvGraphicFramePr/>
                <a:graphic xmlns:a="http://schemas.openxmlformats.org/drawingml/2006/main">
                  <a:graphicData uri="http://schemas.microsoft.com/office/word/2010/wordprocessingShape">
                    <wps:wsp>
                      <wps:cNvSpPr txBox="1"/>
                      <wps:spPr>
                        <a:xfrm>
                          <a:off x="0" y="0"/>
                          <a:ext cx="1028700" cy="33464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wps:txbx>
                      <wps:bodyPr wrap="square" upright="1"/>
                    </wps:wsp>
                  </a:graphicData>
                </a:graphic>
              </wp:anchor>
            </w:drawing>
          </mc:Choice>
          <mc:Fallback>
            <w:pict>
              <v:shape id="文本框 382" o:spid="_x0000_s1026" o:spt="202" type="#_x0000_t202" style="position:absolute;left:0pt;margin-left:-9pt;margin-top:0.95pt;height:26.35pt;width:81pt;z-index:252047360;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CfqyNUAAAAIAQAADwAAAAAAAAABACAAAAAiAAAAZHJzL2Rvd25yZXYueG1sUEsBAhQAFAAA&#10;AAgAh07iQJfpL2y5AQAAYA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若合同双方或一方当事人在收到争议调解或认定机构的书面结果后明确表示不同意，或在28天内没有书面确认，任何一方均可按照专用条款约定的下列任一种方式解决争议：</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 向约定的仲裁委员会申请仲裁；</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 向有管辖权的人民法院提起诉讼。</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86.7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379" name="文本框 383"/>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wps:txbx>
                      <wps:bodyPr wrap="square" upright="1"/>
                    </wps:wsp>
                  </a:graphicData>
                </a:graphic>
              </wp:anchor>
            </w:drawing>
          </mc:Choice>
          <mc:Fallback>
            <w:pict>
              <v:shape id="文本框 383" o:spid="_x0000_s1026" o:spt="202" type="#_x0000_t202" style="position:absolute;left:0pt;margin-left:-9pt;margin-top:1.25pt;height:36.25pt;width:72pt;z-index:252048384;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rqDlTVAAAACAEAAA8AAAAAAAAAAQAgAAAAIgAAAGRycy9kb3ducmV2LnhtbFBLAQIUABQA&#10;AAAIAIdO4kBVj+Tb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争议期间，除下列情况停止施工外，合同双方当事人都应继续履行合同，保持工程连续施工，保护好已完工程：</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 合同双方当事人协商同意；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 合同一方当事人违约导致合同无法履行；</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 工程造价管理机构调解需要，且合同双方当事人同意；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 仲裁委员会仲裁需要，且合同双方当事人同意：</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 人民法院诉讼需要。</w:t>
      </w:r>
    </w:p>
    <w:p>
      <w:pPr>
        <w:widowControl w:val="0"/>
        <w:tabs>
          <w:tab w:val="left" w:pos="1620"/>
        </w:tabs>
        <w:adjustRightInd w:val="0"/>
        <w:snapToGrid w:val="0"/>
        <w:spacing w:line="420" w:lineRule="exact"/>
        <w:ind w:right="-24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widowControl w:val="0"/>
        <w:tabs>
          <w:tab w:val="left" w:pos="540"/>
        </w:tabs>
        <w:adjustRightInd w:val="0"/>
        <w:snapToGrid w:val="0"/>
        <w:spacing w:before="240" w:beforeLines="100" w:line="420" w:lineRule="exact"/>
        <w:jc w:val="both"/>
        <w:outlineLvl w:val="2"/>
        <w:rPr>
          <w:rFonts w:ascii="宋体" w:hAnsi="宋体" w:eastAsia="宋体" w:cs="宋体"/>
          <w:b/>
          <w:bCs/>
          <w:color w:val="auto"/>
          <w:kern w:val="2"/>
          <w:sz w:val="22"/>
          <w:szCs w:val="22"/>
          <w:highlight w:val="none"/>
          <w:lang w:val="en-US" w:eastAsia="zh-CN" w:bidi="ar-SA"/>
        </w:rPr>
      </w:pPr>
      <w:bookmarkStart w:id="580" w:name="_Toc469384071"/>
      <w:bookmarkStart w:id="581" w:name="_Toc10624912"/>
      <w:r>
        <w:rPr>
          <w:rFonts w:hint="eastAsia" w:ascii="黑体" w:hAnsi="黑体" w:eastAsia="黑体" w:cs="黑体"/>
          <w:b w:val="0"/>
          <w:bCs/>
          <w:color w:val="auto"/>
          <w:kern w:val="0"/>
          <w:sz w:val="24"/>
          <w:szCs w:val="24"/>
          <w:highlight w:val="none"/>
          <w:lang w:val="en-US" w:eastAsia="zh-CN" w:bidi="ar-SA"/>
        </w:rPr>
        <w:t>87  合同解除</w:t>
      </w:r>
      <w:bookmarkEnd w:id="580"/>
      <w:bookmarkEnd w:id="581"/>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87.1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380" name="文本框 384"/>
                <wp:cNvGraphicFramePr/>
                <a:graphic xmlns:a="http://schemas.openxmlformats.org/drawingml/2006/main">
                  <a:graphicData uri="http://schemas.microsoft.com/office/word/2010/wordprocessingShape">
                    <wps:wsp>
                      <wps:cNvSpPr txBox="1"/>
                      <wps:spPr>
                        <a:xfrm>
                          <a:off x="0" y="0"/>
                          <a:ext cx="1028700" cy="26352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wps:txbx>
                      <wps:bodyPr wrap="square" upright="1"/>
                    </wps:wsp>
                  </a:graphicData>
                </a:graphic>
              </wp:anchor>
            </w:drawing>
          </mc:Choice>
          <mc:Fallback>
            <w:pict>
              <v:shape id="文本框 384" o:spid="_x0000_s1026" o:spt="202" type="#_x0000_t202" style="position:absolute;left:0pt;margin-left:-9pt;margin-top:-0.3pt;height:20.75pt;width:81pt;z-index:252049408;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q7Jum1AAAAAgBAAAPAAAAAAAAAAEAIAAAACIAAABkcnMvZG93bnJldi54bWxQSwECFAAUAAAA&#10;CACHTuJAHKhElbkBAABg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合同双方当事人协商一致，可以解除合同。</w:t>
      </w:r>
    </w:p>
    <w:p>
      <w:pPr>
        <w:widowControl w:val="0"/>
        <w:tabs>
          <w:tab w:val="left" w:pos="132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381" name="文本框 38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wps:txbx>
                      <wps:bodyPr wrap="square" upright="1"/>
                    </wps:wsp>
                  </a:graphicData>
                </a:graphic>
              </wp:anchor>
            </w:drawing>
          </mc:Choice>
          <mc:Fallback>
            <w:pict>
              <v:shape id="文本框 385" o:spid="_x0000_s1026" o:spt="202" type="#_x0000_t202" style="position:absolute;left:0pt;margin-left:-9pt;margin-top:22.95pt;height:39pt;width:72pt;z-index:252050432;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6Pj51wAAAAoBAAAPAAAAAAAAAAEAIAAAACIAAABkcnMvZG93bnJldi54bWxQSwECFAAU&#10;AAAACACHTuJA4WeQzL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87.2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因不可抗力事件致使合同无法继续履行的，合同双方当事人可以解除合同。</w:t>
      </w:r>
    </w:p>
    <w:p>
      <w:pPr>
        <w:widowControl w:val="0"/>
        <w:tabs>
          <w:tab w:val="left" w:pos="132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87.3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382" name="文本框 386"/>
                <wp:cNvGraphicFramePr/>
                <a:graphic xmlns:a="http://schemas.openxmlformats.org/drawingml/2006/main">
                  <a:graphicData uri="http://schemas.microsoft.com/office/word/2010/wordprocessingShape">
                    <wps:wsp>
                      <wps:cNvSpPr txBox="1"/>
                      <wps:spPr>
                        <a:xfrm>
                          <a:off x="0" y="0"/>
                          <a:ext cx="914400" cy="40449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wps:txbx>
                      <wps:bodyPr wrap="square" upright="1"/>
                    </wps:wsp>
                  </a:graphicData>
                </a:graphic>
              </wp:anchor>
            </w:drawing>
          </mc:Choice>
          <mc:Fallback>
            <w:pict>
              <v:shape id="文本框 386" o:spid="_x0000_s1026" o:spt="202" type="#_x0000_t202" style="position:absolute;left:0pt;margin-left:-9pt;margin-top:2.95pt;height:31.85pt;width:72pt;z-index:252051456;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t/8+dUAAAAIAQAADwAAAAAAAAABACAAAAAiAAAAZHJzL2Rvd25yZXYueG1sUEsBAhQAFAAA&#10;AAgAh07iQFhqYky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承包人有下列情形之一者，发包人可以解除合同：</w:t>
      </w:r>
    </w:p>
    <w:p>
      <w:pPr>
        <w:widowControl w:val="0"/>
        <w:numPr>
          <w:ilvl w:val="0"/>
          <w:numId w:val="5"/>
        </w:numPr>
        <w:adjustRightInd w:val="0"/>
        <w:snapToGrid w:val="0"/>
        <w:spacing w:line="420" w:lineRule="exact"/>
        <w:ind w:left="1618" w:leftChars="770"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承包人未能按照第34.2款规定的开工期限内开工，经监理工程师催告后的28天内仍未开工的；</w:t>
      </w:r>
    </w:p>
    <w:p>
      <w:pPr>
        <w:widowControl w:val="0"/>
        <w:numPr>
          <w:ilvl w:val="0"/>
          <w:numId w:val="5"/>
        </w:numPr>
        <w:adjustRightInd w:val="0"/>
        <w:snapToGrid w:val="0"/>
        <w:spacing w:line="420" w:lineRule="exact"/>
        <w:ind w:left="1621" w:leftChars="771" w:hanging="2"/>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按照第33条规定的进度计划未表明有停工且监理工程师也未按照第35.1款规定发出暂停施工令，但承包人停止施工时间持续达56天或累计停止施工时间达70天的；</w:t>
      </w:r>
    </w:p>
    <w:p>
      <w:pPr>
        <w:widowControl w:val="0"/>
        <w:numPr>
          <w:ilvl w:val="0"/>
          <w:numId w:val="5"/>
        </w:numPr>
        <w:tabs>
          <w:tab w:val="left" w:pos="1680"/>
        </w:tabs>
        <w:adjustRightInd w:val="0"/>
        <w:snapToGrid w:val="0"/>
        <w:spacing w:line="420" w:lineRule="exact"/>
        <w:ind w:left="1659" w:leftChars="770" w:hanging="42"/>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承包人违反第18.1款或第51.4款规定未经监理工程师批准，私自将已按照合同约定进入施工现场的施工设备、临时设施或材料运出施工现场的；</w:t>
      </w:r>
    </w:p>
    <w:p>
      <w:pPr>
        <w:widowControl w:val="0"/>
        <w:numPr>
          <w:ilvl w:val="0"/>
          <w:numId w:val="5"/>
        </w:numPr>
        <w:adjustRightInd w:val="0"/>
        <w:snapToGrid w:val="0"/>
        <w:spacing w:line="420" w:lineRule="exact"/>
        <w:ind w:left="1678" w:leftChars="799" w:firstLine="2"/>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 xml:space="preserve">承包人拖延完工且能偿付的误期赔偿费已达到专用条款约定最高限额的； </w:t>
      </w:r>
    </w:p>
    <w:p>
      <w:pPr>
        <w:widowControl w:val="0"/>
        <w:numPr>
          <w:ilvl w:val="0"/>
          <w:numId w:val="5"/>
        </w:numPr>
        <w:adjustRightInd w:val="0"/>
        <w:snapToGrid w:val="0"/>
        <w:spacing w:line="420" w:lineRule="exact"/>
        <w:ind w:left="2096" w:leftChars="771" w:hanging="477" w:hangingChars="19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承包人转包工程、违法分包或未经许可擅自分包工程的；</w:t>
      </w:r>
    </w:p>
    <w:p>
      <w:pPr>
        <w:widowControl w:val="0"/>
        <w:numPr>
          <w:ilvl w:val="0"/>
          <w:numId w:val="5"/>
        </w:numPr>
        <w:adjustRightInd w:val="0"/>
        <w:snapToGrid w:val="0"/>
        <w:spacing w:line="420" w:lineRule="exact"/>
        <w:ind w:left="1617" w:leftChars="770" w:firstLine="2"/>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承包人未按照合同约定或监理工程师的指令，经监理工程师书面指出后仍未按要求改正的；</w:t>
      </w:r>
    </w:p>
    <w:p>
      <w:pPr>
        <w:widowControl w:val="0"/>
        <w:numPr>
          <w:ilvl w:val="0"/>
          <w:numId w:val="5"/>
        </w:numPr>
        <w:adjustRightInd w:val="0"/>
        <w:snapToGrid w:val="0"/>
        <w:spacing w:line="420" w:lineRule="exact"/>
        <w:ind w:left="2096" w:leftChars="771" w:hanging="477" w:hangingChars="19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承包人履行合同期间有欺诈行为的；</w:t>
      </w:r>
    </w:p>
    <w:p>
      <w:pPr>
        <w:widowControl w:val="0"/>
        <w:numPr>
          <w:ilvl w:val="0"/>
          <w:numId w:val="5"/>
        </w:numPr>
        <w:adjustRightInd w:val="0"/>
        <w:snapToGrid w:val="0"/>
        <w:spacing w:line="420" w:lineRule="exact"/>
        <w:ind w:left="1618" w:leftChars="770"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承包人向任何人付给或企图付给任何贿赂、礼品、赏金、回扣或其他贵重物品，以引诱或报偿他人，但付给承包人相关人员的奖励则属例外；</w:t>
      </w:r>
    </w:p>
    <w:p>
      <w:pPr>
        <w:widowControl w:val="0"/>
        <w:adjustRightInd w:val="0"/>
        <w:snapToGrid w:val="0"/>
        <w:spacing w:line="420" w:lineRule="exact"/>
        <w:ind w:left="1617"/>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(9)承包人在缺陷责任期内未能对发生的缺陷进行修复，且又拒绝按照监理工程师指令再进行修补的；</w:t>
      </w:r>
    </w:p>
    <w:p>
      <w:pPr>
        <w:widowControl w:val="0"/>
        <w:adjustRightInd w:val="0"/>
        <w:snapToGrid w:val="0"/>
        <w:spacing w:line="420" w:lineRule="exact"/>
        <w:ind w:left="1680" w:leftChars="8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(10)承包人无法继续履行、明确表示或以行为表明不履行合同约定主要义务的；</w:t>
      </w:r>
    </w:p>
    <w:p>
      <w:pPr>
        <w:widowControl w:val="0"/>
        <w:adjustRightInd w:val="0"/>
        <w:snapToGrid w:val="0"/>
        <w:spacing w:line="420" w:lineRule="exact"/>
        <w:ind w:left="168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(11)承包人延迟履行合同约定主要义务，经催告后在合理期限内仍未履行的；</w:t>
      </w:r>
    </w:p>
    <w:p>
      <w:pPr>
        <w:widowControl w:val="0"/>
        <w:adjustRightInd w:val="0"/>
        <w:snapToGrid w:val="0"/>
        <w:spacing w:line="420" w:lineRule="exact"/>
        <w:ind w:left="161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(12)承包人破产或清偿的，但以机构重组或联合为目的的除外；</w:t>
      </w:r>
    </w:p>
    <w:p>
      <w:pPr>
        <w:spacing w:line="420" w:lineRule="exact"/>
        <w:ind w:left="1760" w:hanging="1920" w:hangingChars="8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(13)承包人被认为是严重违反合同的其他违约行为。</w:t>
      </w:r>
    </w:p>
    <w:p>
      <w:pPr>
        <w:widowControl w:val="0"/>
        <w:adjustRightInd w:val="0"/>
        <w:snapToGrid w:val="0"/>
        <w:spacing w:line="420" w:lineRule="exact"/>
        <w:ind w:left="1619" w:leftChars="771"/>
        <w:jc w:val="both"/>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在这种情况下，发包人可自行或委托第三方实施、完成合同工程或其任何部分，并可使用根据第18.2款留下的承包人临时工程，直至永久工程完工为止。</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87.4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383" name="文本框 387"/>
                <wp:cNvGraphicFramePr/>
                <a:graphic xmlns:a="http://schemas.openxmlformats.org/drawingml/2006/main">
                  <a:graphicData uri="http://schemas.microsoft.com/office/word/2010/wordprocessingShape">
                    <wps:wsp>
                      <wps:cNvSpPr txBox="1"/>
                      <wps:spPr>
                        <a:xfrm>
                          <a:off x="0" y="0"/>
                          <a:ext cx="914400" cy="50355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wps:txbx>
                      <wps:bodyPr wrap="square" upright="1"/>
                    </wps:wsp>
                  </a:graphicData>
                </a:graphic>
              </wp:anchor>
            </w:drawing>
          </mc:Choice>
          <mc:Fallback>
            <w:pict>
              <v:shape id="文本框 387" o:spid="_x0000_s1026" o:spt="202" type="#_x0000_t202" style="position:absolute;left:0pt;margin-left:-9pt;margin-top:2.35pt;height:39.65pt;width:72pt;z-index:252052480;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mPLjjVAAAACAEAAA8AAAAAAAAAAQAgAAAAIgAAAGRycy9kb3ducmV2LnhtbFBLAQIUABQA&#10;AAAIAIdO4kDjUbDN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发包人有下列情形之一者，承包人可以解除合同：</w:t>
      </w:r>
    </w:p>
    <w:p>
      <w:pPr>
        <w:widowControl w:val="0"/>
        <w:numPr>
          <w:ilvl w:val="0"/>
          <w:numId w:val="6"/>
        </w:numPr>
        <w:tabs>
          <w:tab w:val="left" w:pos="2160"/>
        </w:tabs>
        <w:adjustRightInd w:val="0"/>
        <w:snapToGrid w:val="0"/>
        <w:spacing w:line="420" w:lineRule="exact"/>
        <w:ind w:left="1619" w:leftChars="771" w:firstLine="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非承包人原因未按照第34.2款规定期限内发出开工令，经承包人催告后28天内仍未发出开工令的；</w:t>
      </w:r>
    </w:p>
    <w:p>
      <w:pPr>
        <w:widowControl w:val="0"/>
        <w:numPr>
          <w:ilvl w:val="0"/>
          <w:numId w:val="6"/>
        </w:numPr>
        <w:tabs>
          <w:tab w:val="left" w:pos="2160"/>
        </w:tabs>
        <w:adjustRightInd w:val="0"/>
        <w:snapToGrid w:val="0"/>
        <w:spacing w:line="420" w:lineRule="exact"/>
        <w:ind w:left="1620" w:leftChars="771"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 xml:space="preserve">按照第35.3款规定非承包人原因造成暂停施工持续56天以上或累计停工时间超过了70天的；           </w:t>
      </w:r>
    </w:p>
    <w:p>
      <w:pPr>
        <w:widowControl w:val="0"/>
        <w:numPr>
          <w:ilvl w:val="0"/>
          <w:numId w:val="6"/>
        </w:numPr>
        <w:tabs>
          <w:tab w:val="left" w:pos="1800"/>
        </w:tabs>
        <w:adjustRightInd w:val="0"/>
        <w:snapToGrid w:val="0"/>
        <w:spacing w:line="420" w:lineRule="exact"/>
        <w:ind w:left="1620" w:leftChars="771"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发包人按照第5条规定提供的施工设计图纸存在缺陷或按照第48条规定供应的材料和工程设备不符合强制性标准，致使承包人无法施工，经承包人催告后28天内仍未修正或更换的；</w:t>
      </w:r>
    </w:p>
    <w:p>
      <w:pPr>
        <w:widowControl w:val="0"/>
        <w:numPr>
          <w:ilvl w:val="0"/>
          <w:numId w:val="6"/>
        </w:numPr>
        <w:tabs>
          <w:tab w:val="left" w:pos="2160"/>
        </w:tabs>
        <w:adjustRightInd w:val="0"/>
        <w:snapToGrid w:val="0"/>
        <w:spacing w:line="420" w:lineRule="exact"/>
        <w:ind w:left="1620" w:leftChars="771"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 xml:space="preserve">监理工程师未按照合同约定及时发出工作指令，导致承包人无法继续施工的； </w:t>
      </w:r>
    </w:p>
    <w:p>
      <w:pPr>
        <w:widowControl w:val="0"/>
        <w:numPr>
          <w:ilvl w:val="0"/>
          <w:numId w:val="6"/>
        </w:numPr>
        <w:tabs>
          <w:tab w:val="left" w:pos="2160"/>
        </w:tabs>
        <w:adjustRightInd w:val="0"/>
        <w:snapToGrid w:val="0"/>
        <w:spacing w:line="420" w:lineRule="exact"/>
        <w:ind w:left="1620" w:leftChars="771"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发包人未按照第78.1款规定向承包人支付工程款，经承包人催告后28天内仍未支付的；</w:t>
      </w:r>
    </w:p>
    <w:p>
      <w:pPr>
        <w:widowControl w:val="0"/>
        <w:numPr>
          <w:ilvl w:val="0"/>
          <w:numId w:val="6"/>
        </w:numPr>
        <w:tabs>
          <w:tab w:val="left" w:pos="2160"/>
        </w:tabs>
        <w:adjustRightInd w:val="0"/>
        <w:snapToGrid w:val="0"/>
        <w:spacing w:line="420" w:lineRule="exact"/>
        <w:ind w:left="1620" w:leftChars="771"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发包人无法继续履行、明确表示或以行为表明不履行合同约定主要义务的；</w:t>
      </w:r>
    </w:p>
    <w:p>
      <w:pPr>
        <w:widowControl w:val="0"/>
        <w:tabs>
          <w:tab w:val="left" w:pos="2160"/>
        </w:tabs>
        <w:adjustRightInd w:val="0"/>
        <w:snapToGrid w:val="0"/>
        <w:spacing w:line="420" w:lineRule="exact"/>
        <w:ind w:left="161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(7)发包人延迟履行合同约定主要义务，经催告后在合理期限内仍未履行的；</w:t>
      </w:r>
    </w:p>
    <w:p>
      <w:pPr>
        <w:widowControl w:val="0"/>
        <w:tabs>
          <w:tab w:val="left" w:pos="2160"/>
        </w:tabs>
        <w:adjustRightInd w:val="0"/>
        <w:snapToGrid w:val="0"/>
        <w:spacing w:line="420" w:lineRule="exact"/>
        <w:ind w:left="161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(8)发包人破产或清偿的，但以机构重组或联合为目的的除外；</w:t>
      </w:r>
    </w:p>
    <w:p>
      <w:pPr>
        <w:widowControl w:val="0"/>
        <w:tabs>
          <w:tab w:val="left" w:pos="2160"/>
        </w:tabs>
        <w:adjustRightInd w:val="0"/>
        <w:snapToGrid w:val="0"/>
        <w:spacing w:line="420" w:lineRule="exact"/>
        <w:ind w:left="161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(9)发包人被认为是严重违反合同的其他违约行为。</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384" name="文本框 38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wps:txbx>
                      <wps:bodyPr wrap="square" upright="1"/>
                    </wps:wsp>
                  </a:graphicData>
                </a:graphic>
              </wp:anchor>
            </w:drawing>
          </mc:Choice>
          <mc:Fallback>
            <w:pict>
              <v:shape id="文本框 388" o:spid="_x0000_s1026" o:spt="202" type="#_x0000_t202" style="position:absolute;left:0pt;margin-left:-9pt;margin-top:15.95pt;height:31.2pt;width:72pt;z-index:252053504;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kNbiNcAAAAJAQAADwAAAAAAAAABACAAAAAiAAAAZHJzL2Rvd25yZXYueG1sUEsBAhQA&#10;FAAAAAgAh07iQBpC/Py6AQAAXwMAAA4AAAAAAAAAAQAgAAAAJgEAAGRycy9lMm9Eb2MueG1sUEsF&#10;BgAAAAAGAAYAWQEAAFI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87.5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根据第87.2款至第87.4款规定要求解除合同的，解除方应以书面形式向另一方当事人发出解除合同的通知，另一方当事人收到通知时合同即告解除。对解除合同有争议的，应按照第86条规定处理。</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87.6  </w:t>
      </w:r>
      <w:r>
        <w:rPr>
          <w:rFonts w:hint="eastAsia" w:ascii="宋体" w:hAnsi="宋体" w:eastAsia="宋体" w:cs="宋体"/>
          <w:b/>
          <w:bCs/>
          <w:color w:val="auto"/>
          <w:kern w:val="2"/>
          <w:sz w:val="22"/>
          <w:szCs w:val="22"/>
          <w:highlight w:val="none"/>
          <w:u w:val="dotted"/>
          <w:lang w:val="en-US" w:eastAsia="zh-CN" w:bidi="ar-SA"/>
        </w:rPr>
        <w:t xml:space="preserve">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385" name="文本框 389"/>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wps:txbx>
                      <wps:bodyPr wrap="square" upright="1"/>
                    </wps:wsp>
                  </a:graphicData>
                </a:graphic>
              </wp:anchor>
            </w:drawing>
          </mc:Choice>
          <mc:Fallback>
            <w:pict>
              <v:shape id="文本框 389" o:spid="_x0000_s1026" o:spt="202" type="#_x0000_t202" style="position:absolute;left:0pt;margin-left:-9pt;margin-top:0.55pt;height:46.8pt;width:72pt;z-index:252054528;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AxqcrUAAAACAEAAA8AAAAAAAAAAQAgAAAAIgAAAGRycy9kb3ducmV2LnhtbFBLAQIUABQA&#10;AAAIAIdO4kDzvHumuwEAAF8DAAAOAAAAAAAAAAEAIAAAACM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82" w:name="_Toc469384072"/>
      <w:bookmarkStart w:id="583" w:name="_Toc10624913"/>
      <w:r>
        <w:rPr>
          <w:rFonts w:hint="eastAsia" w:ascii="黑体" w:hAnsi="黑体" w:eastAsia="黑体" w:cs="黑体"/>
          <w:b w:val="0"/>
          <w:bCs/>
          <w:color w:val="auto"/>
          <w:kern w:val="0"/>
          <w:sz w:val="24"/>
          <w:szCs w:val="24"/>
          <w:highlight w:val="none"/>
          <w:lang w:val="en-US" w:eastAsia="zh-CN" w:bidi="ar-SA"/>
        </w:rPr>
        <w:t>88  合同解除的支付</w:t>
      </w:r>
      <w:bookmarkEnd w:id="582"/>
      <w:bookmarkEnd w:id="583"/>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55552"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386" name="文本框 39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wps:txbx>
                      <wps:bodyPr wrap="square" upright="1"/>
                    </wps:wsp>
                  </a:graphicData>
                </a:graphic>
              </wp:anchor>
            </w:drawing>
          </mc:Choice>
          <mc:Fallback>
            <w:pict>
              <v:shape id="文本框 390" o:spid="_x0000_s1026" o:spt="202" type="#_x0000_t202" style="position:absolute;left:0pt;margin-left:-5.25pt;margin-top:14.85pt;height:31.2pt;width:72pt;z-index:252055552;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ZEZdYAAAAJAQAADwAAAAAAAAABACAAAAAiAAAAZHJzL2Rvd25yZXYueG1sUEsBAhQAFAAA&#10;AAgAh07iQONziGa4AQAAXwMAAA4AAAAAAAAAAQAgAAAAJQ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88.1     </w:t>
      </w:r>
    </w:p>
    <w:p>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根据第87.1款规定解除合同的，按照达成的协议办理结算和支付工程款。</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88.2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87" name="文本框 391"/>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wps:txbx>
                      <wps:bodyPr wrap="square" upright="1"/>
                    </wps:wsp>
                  </a:graphicData>
                </a:graphic>
              </wp:anchor>
            </w:drawing>
          </mc:Choice>
          <mc:Fallback>
            <w:pict>
              <v:shape id="文本框 391" o:spid="_x0000_s1026" o:spt="202" type="#_x0000_t202" style="position:absolute;left:0pt;margin-left:-9pt;margin-top:1.25pt;height:54.6pt;width:72pt;z-index:252056576;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PuPt9YAAAAJAQAADwAAAAAAAAABACAAAAAiAAAAZHJzL2Rvd25yZXYueG1sUEsBAhQA&#10;FAAAAAgAh07iQJRUnDO7AQAAXwMAAA4AAAAAAAAAAQAgAAAAJQEAAGRycy9lMm9Eb2MueG1sUEsF&#10;BgAAAAAGAAYAWQEAAFI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根据第87.2款规定解除合同的，发包人应向承包人支付合同解除之日前已完成工程但尚未支付的工程款。此外，发包人还应支付下列款项：</w:t>
      </w:r>
    </w:p>
    <w:p>
      <w:pPr>
        <w:widowControl w:val="0"/>
        <w:numPr>
          <w:ilvl w:val="0"/>
          <w:numId w:val="7"/>
        </w:numPr>
        <w:adjustRightInd w:val="0"/>
        <w:snapToGrid w:val="0"/>
        <w:spacing w:line="420" w:lineRule="exact"/>
        <w:ind w:left="2096" w:leftChars="771" w:hanging="477" w:hangingChars="19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已实施或部分实施的措施项目应付款项；</w:t>
      </w:r>
    </w:p>
    <w:p>
      <w:pPr>
        <w:widowControl w:val="0"/>
        <w:numPr>
          <w:ilvl w:val="0"/>
          <w:numId w:val="7"/>
        </w:numPr>
        <w:adjustRightInd w:val="0"/>
        <w:snapToGrid w:val="0"/>
        <w:spacing w:line="420" w:lineRule="exact"/>
        <w:ind w:left="1618" w:leftChars="770"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承包人为合同工程合理订购且已交付的材料和工程设备货款。发包人一经支付此项货款，该材料和工程设备即成为发包人的财产；</w:t>
      </w:r>
    </w:p>
    <w:p>
      <w:pPr>
        <w:widowControl w:val="0"/>
        <w:numPr>
          <w:ilvl w:val="0"/>
          <w:numId w:val="7"/>
        </w:numPr>
        <w:adjustRightInd w:val="0"/>
        <w:snapToGrid w:val="0"/>
        <w:spacing w:line="420" w:lineRule="exact"/>
        <w:ind w:left="1618" w:leftChars="770"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承包人为完成合同工程而预期开支的任何合理款项，且该项款项未包括在本款其他各项支付之内；</w:t>
      </w:r>
    </w:p>
    <w:p>
      <w:pPr>
        <w:widowControl w:val="0"/>
        <w:numPr>
          <w:ilvl w:val="0"/>
          <w:numId w:val="7"/>
        </w:numPr>
        <w:adjustRightInd w:val="0"/>
        <w:snapToGrid w:val="0"/>
        <w:spacing w:line="420" w:lineRule="exact"/>
        <w:ind w:left="2096" w:leftChars="771" w:hanging="477" w:hangingChars="19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根据第31.3款规定的任何工作应支付的款项；</w:t>
      </w:r>
    </w:p>
    <w:p>
      <w:pPr>
        <w:widowControl w:val="0"/>
        <w:numPr>
          <w:ilvl w:val="0"/>
          <w:numId w:val="7"/>
        </w:numPr>
        <w:tabs>
          <w:tab w:val="left" w:pos="1980"/>
        </w:tabs>
        <w:adjustRightInd w:val="0"/>
        <w:snapToGrid w:val="0"/>
        <w:spacing w:line="420" w:lineRule="exact"/>
        <w:ind w:left="1618" w:leftChars="770"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根据第87.6款规定承包人撤离现场所需的合理款项，包括雇员遣送费和临时工程拆除、施工设备运离现场的款项。</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合同双方当事人按照第82条、第83条规定办理结算工程款，但应扣除合同解除之日前发包人向承包人收回的任何款项。如果发包人应扣除的款项超过了应支付的款项，则承包人应在合同解除后的56天内将其差额退还给发包人。</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88.3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388" name="文本框 39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wps:txbx>
                      <wps:bodyPr wrap="square" upright="1"/>
                    </wps:wsp>
                  </a:graphicData>
                </a:graphic>
              </wp:anchor>
            </w:drawing>
          </mc:Choice>
          <mc:Fallback>
            <w:pict>
              <v:shape id="文本框 392" o:spid="_x0000_s1026" o:spt="202" type="#_x0000_t202" style="position:absolute;left:0pt;margin-left:-9pt;margin-top:3.9pt;height:54.6pt;width:72pt;z-index:252057600;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kBr53WAAAACQEAAA8AAAAAAAAAAQAgAAAAIgAAAGRycy9kb3ducmV2LnhtbFBLAQIUABQA&#10;AAAIAIdO4kDn7hIK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根据第87.3款规定解除合同的，发包人暂停向承包人支付任何款项，造价工程师应在合同解除后28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28天内予以确认或提出意见，并按照第82.4款规定办理结算工程款。如果发包人应扣除的款项超过了应支付的款项，则承包人应在合同解除后的56天内将其差额退还给发包人。</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88.4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left"/>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389" name="文本框 393"/>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wps:txbx>
                      <wps:bodyPr wrap="square" upright="1"/>
                    </wps:wsp>
                  </a:graphicData>
                </a:graphic>
              </wp:anchor>
            </w:drawing>
          </mc:Choice>
          <mc:Fallback>
            <w:pict>
              <v:shape id="文本框 393" o:spid="_x0000_s1026" o:spt="202" type="#_x0000_t202" style="position:absolute;left:0pt;margin-left:-9pt;margin-top:3.6pt;height:36.5pt;width:72pt;z-index:252058624;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RNvXVAAAACAEAAA8AAAAAAAAAAQAgAAAAIgAAAGRycy9kb3ducmV2LnhtbFBLAQIUABQA&#10;AAAIAIdO4kCiebvL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根据第87.4款规定解除合同的，发包人除应按照第88.2款规定向承包人支付各项款项外，还应支付给承包人由于解除合同而引起的损失或损害的款项。该笔款项由承包人提出，造价工程师核实后与合同双方当事人协商确定，并在确定后的7天内由造价工程师向发包人签发支付证书，抄送承包人。协商不能达成一致的，按照第86条规定处理。</w:t>
      </w:r>
    </w:p>
    <w:p>
      <w:pPr>
        <w:widowControl w:val="0"/>
        <w:adjustRightInd w:val="0"/>
        <w:snapToGrid w:val="0"/>
        <w:spacing w:line="420" w:lineRule="exact"/>
        <w:jc w:val="left"/>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84" w:name="_Toc469384073"/>
      <w:bookmarkStart w:id="585" w:name="_Toc10624914"/>
      <w:r>
        <w:rPr>
          <w:rFonts w:hint="eastAsia" w:ascii="黑体" w:hAnsi="黑体" w:eastAsia="黑体" w:cs="黑体"/>
          <w:b w:val="0"/>
          <w:bCs/>
          <w:color w:val="auto"/>
          <w:kern w:val="0"/>
          <w:sz w:val="24"/>
          <w:szCs w:val="24"/>
          <w:highlight w:val="none"/>
          <w:lang w:val="en-US" w:eastAsia="zh-CN" w:bidi="ar-SA"/>
        </w:rPr>
        <w:t>89  合同终止</w:t>
      </w:r>
      <w:bookmarkEnd w:id="584"/>
      <w:bookmarkEnd w:id="585"/>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89.1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90" name="文本框 39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wps:txbx>
                      <wps:bodyPr wrap="square" upright="1"/>
                    </wps:wsp>
                  </a:graphicData>
                </a:graphic>
              </wp:anchor>
            </w:drawing>
          </mc:Choice>
          <mc:Fallback>
            <w:pict>
              <v:shape id="文本框 394" o:spid="_x0000_s1026" o:spt="202" type="#_x0000_t202" style="position:absolute;left:0pt;margin-left:-9pt;margin-top:1.25pt;height:31.2pt;width:72pt;z-index:25205964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8/wcNUAAAAIAQAADwAAAAAAAAABACAAAAAiAAAAZHJzL2Rvd25yZXYueG1sUEsBAhQAFAAA&#10;AAgAh07iQJXmRay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合同解除后，除合同双方当事人享有第86条至第88条规定的权利外，本合同即告终止，但不因一方当事人在此以前的任何违约而损害另一方当事人应享有的权利，也不影响合同双方当事人履行本合同结算和清算条款的效力。</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89.2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391" name="文本框 395"/>
                <wp:cNvGraphicFramePr/>
                <a:graphic xmlns:a="http://schemas.openxmlformats.org/drawingml/2006/main">
                  <a:graphicData uri="http://schemas.microsoft.com/office/word/2010/wordprocessingShape">
                    <wps:wsp>
                      <wps:cNvSpPr txBox="1"/>
                      <wps:spPr>
                        <a:xfrm>
                          <a:off x="0" y="0"/>
                          <a:ext cx="914400" cy="85153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wps:txbx>
                      <wps:bodyPr wrap="square" upright="1"/>
                    </wps:wsp>
                  </a:graphicData>
                </a:graphic>
              </wp:anchor>
            </w:drawing>
          </mc:Choice>
          <mc:Fallback>
            <w:pict>
              <v:shape id="文本框 395" o:spid="_x0000_s1026" o:spt="202" type="#_x0000_t202" style="position:absolute;left:0pt;margin-left:-9pt;margin-top:0.05pt;height:67.05pt;width:72pt;z-index:252060672;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Cqn7VAAAACAEAAA8AAAAAAAAAAQAgAAAAIgAAAGRycy9kb3ducmV2LnhtbFBLAQIUABQA&#10;AAAIAIdO4kAJDaMr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除第59条和第84条规定的质量保修条款外，合同双方当事人履行完本合同全部义务，发包人向承包人支付完竣工结算款，承包人向发包人交付竣工工程后，本合同即告终止。</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89.3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392" name="文本框 396"/>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wps:txbx>
                      <wps:bodyPr wrap="square" upright="1"/>
                    </wps:wsp>
                  </a:graphicData>
                </a:graphic>
              </wp:anchor>
            </w:drawing>
          </mc:Choice>
          <mc:Fallback>
            <w:pict>
              <v:shape id="文本框 396" o:spid="_x0000_s1026" o:spt="202" type="#_x0000_t202" style="position:absolute;left:0pt;margin-left:-9pt;margin-top:1.05pt;height:32.75pt;width:72pt;z-index:252061696;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xMlqTVAAAACAEAAA8AAAAAAAAAAQAgAAAAIgAAAGRycy9kb3ducmV2LnhtbFBLAQIUABQA&#10;AAAIAIdO4kDJyTWM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本合同的权利义务终止后，合同双方当事人仍应遵循诚实信用原则，继续履行合同约定的通知、协助、保密等义务。</w:t>
      </w:r>
    </w:p>
    <w:p>
      <w:pPr>
        <w:widowControl w:val="0"/>
        <w:adjustRightInd w:val="0"/>
        <w:snapToGrid w:val="0"/>
        <w:spacing w:line="420" w:lineRule="exact"/>
        <w:ind w:right="-238"/>
        <w:jc w:val="both"/>
        <w:rPr>
          <w:rFonts w:ascii="宋体" w:hAnsi="宋体" w:eastAsia="宋体" w:cs="宋体"/>
          <w:color w:val="auto"/>
          <w:kern w:val="2"/>
          <w:sz w:val="22"/>
          <w:szCs w:val="22"/>
          <w:highlight w:val="none"/>
          <w:u w:val="single"/>
          <w:lang w:val="en-US" w:eastAsia="zh-CN" w:bidi="ar-SA"/>
        </w:rPr>
      </w:pPr>
      <w:r>
        <w:rPr>
          <w:rFonts w:hint="eastAsia" w:ascii="宋体" w:hAnsi="宋体" w:eastAsia="宋体" w:cs="宋体"/>
          <w:color w:val="auto"/>
          <w:kern w:val="2"/>
          <w:sz w:val="22"/>
          <w:szCs w:val="22"/>
          <w:highlight w:val="none"/>
          <w:u w:val="single"/>
          <w:lang w:val="en-US" w:eastAsia="zh-CN" w:bidi="ar-SA"/>
        </w:rPr>
        <w:t xml:space="preserve">                                                                                             </w:t>
      </w:r>
    </w:p>
    <w:p>
      <w:pPr>
        <w:widowControl w:val="0"/>
        <w:adjustRightInd w:val="0"/>
        <w:snapToGrid w:val="0"/>
        <w:spacing w:line="420" w:lineRule="exact"/>
        <w:ind w:right="-238"/>
        <w:jc w:val="center"/>
        <w:rPr>
          <w:rFonts w:ascii="方正小标宋_GBK" w:hAnsi="方正小标宋_GBK" w:eastAsia="方正小标宋_GBK" w:cs="方正小标宋_GBK"/>
          <w:b/>
          <w:bCs/>
          <w:color w:val="auto"/>
          <w:kern w:val="2"/>
          <w:sz w:val="24"/>
          <w:szCs w:val="24"/>
          <w:highlight w:val="none"/>
          <w:lang w:val="en-US" w:eastAsia="zh-CN" w:bidi="ar-SA"/>
        </w:rPr>
      </w:pPr>
      <w:r>
        <w:rPr>
          <w:rFonts w:hint="eastAsia" w:ascii="方正小标宋_GBK" w:hAnsi="方正小标宋_GBK" w:eastAsia="方正小标宋_GBK" w:cs="方正小标宋_GBK"/>
          <w:b/>
          <w:bCs/>
          <w:color w:val="auto"/>
          <w:kern w:val="2"/>
          <w:sz w:val="24"/>
          <w:szCs w:val="24"/>
          <w:highlight w:val="none"/>
          <w:lang w:val="en-US" w:eastAsia="zh-CN" w:bidi="ar-SA"/>
        </w:rPr>
        <w:t>八、违</w:t>
      </w:r>
      <w:r>
        <w:rPr>
          <w:rFonts w:ascii="方正小标宋_GBK" w:hAnsi="方正小标宋_GBK" w:eastAsia="方正小标宋_GBK" w:cs="方正小标宋_GBK"/>
          <w:b/>
          <w:bCs/>
          <w:color w:val="auto"/>
          <w:kern w:val="2"/>
          <w:sz w:val="24"/>
          <w:szCs w:val="24"/>
          <w:highlight w:val="none"/>
          <w:lang w:val="en-US" w:eastAsia="zh-CN" w:bidi="ar-SA"/>
        </w:rPr>
        <w:t xml:space="preserve"> </w:t>
      </w:r>
      <w:r>
        <w:rPr>
          <w:rFonts w:hint="eastAsia" w:ascii="方正小标宋_GBK" w:hAnsi="方正小标宋_GBK" w:eastAsia="方正小标宋_GBK" w:cs="方正小标宋_GBK"/>
          <w:b/>
          <w:bCs/>
          <w:color w:val="auto"/>
          <w:kern w:val="2"/>
          <w:sz w:val="24"/>
          <w:szCs w:val="24"/>
          <w:highlight w:val="none"/>
          <w:lang w:val="en-US" w:eastAsia="zh-CN" w:bidi="ar-SA"/>
        </w:rPr>
        <w:t>约</w:t>
      </w:r>
      <w:r>
        <w:rPr>
          <w:rFonts w:ascii="方正小标宋_GBK" w:hAnsi="方正小标宋_GBK" w:eastAsia="方正小标宋_GBK" w:cs="方正小标宋_GBK"/>
          <w:b/>
          <w:bCs/>
          <w:color w:val="auto"/>
          <w:kern w:val="2"/>
          <w:sz w:val="24"/>
          <w:szCs w:val="24"/>
          <w:highlight w:val="none"/>
          <w:lang w:val="en-US" w:eastAsia="zh-CN" w:bidi="ar-SA"/>
        </w:rPr>
        <w:t xml:space="preserve"> </w:t>
      </w:r>
      <w:r>
        <w:rPr>
          <w:rFonts w:hint="eastAsia" w:ascii="方正小标宋_GBK" w:hAnsi="方正小标宋_GBK" w:eastAsia="方正小标宋_GBK" w:cs="方正小标宋_GBK"/>
          <w:b/>
          <w:bCs/>
          <w:color w:val="auto"/>
          <w:kern w:val="2"/>
          <w:sz w:val="24"/>
          <w:szCs w:val="24"/>
          <w:highlight w:val="none"/>
          <w:lang w:val="en-US" w:eastAsia="zh-CN" w:bidi="ar-SA"/>
        </w:rPr>
        <w:t>责</w:t>
      </w:r>
      <w:r>
        <w:rPr>
          <w:rFonts w:ascii="方正小标宋_GBK" w:hAnsi="方正小标宋_GBK" w:eastAsia="方正小标宋_GBK" w:cs="方正小标宋_GBK"/>
          <w:b/>
          <w:bCs/>
          <w:color w:val="auto"/>
          <w:kern w:val="2"/>
          <w:sz w:val="24"/>
          <w:szCs w:val="24"/>
          <w:highlight w:val="none"/>
          <w:lang w:val="en-US" w:eastAsia="zh-CN" w:bidi="ar-SA"/>
        </w:rPr>
        <w:t xml:space="preserve"> </w:t>
      </w:r>
      <w:r>
        <w:rPr>
          <w:rFonts w:hint="eastAsia" w:ascii="方正小标宋_GBK" w:hAnsi="方正小标宋_GBK" w:eastAsia="方正小标宋_GBK" w:cs="方正小标宋_GBK"/>
          <w:b/>
          <w:bCs/>
          <w:color w:val="auto"/>
          <w:kern w:val="2"/>
          <w:sz w:val="24"/>
          <w:szCs w:val="24"/>
          <w:highlight w:val="none"/>
          <w:lang w:val="en-US" w:eastAsia="zh-CN" w:bidi="ar-SA"/>
        </w:rPr>
        <w:t>任</w:t>
      </w:r>
    </w:p>
    <w:p>
      <w:pPr>
        <w:spacing w:line="420" w:lineRule="exact"/>
        <w:jc w:val="left"/>
        <w:rPr>
          <w:rFonts w:ascii="宋体" w:hAnsi="宋体" w:cs="宋体"/>
          <w:color w:val="auto"/>
          <w:sz w:val="22"/>
          <w:szCs w:val="22"/>
          <w:highlight w:val="none"/>
        </w:rPr>
      </w:pPr>
    </w:p>
    <w:p>
      <w:pPr>
        <w:spacing w:line="420" w:lineRule="exact"/>
        <w:jc w:val="left"/>
        <w:rPr>
          <w:rFonts w:ascii="宋体" w:hAnsi="宋体" w:cs="宋体"/>
          <w:color w:val="auto"/>
          <w:sz w:val="22"/>
          <w:szCs w:val="22"/>
          <w:highlight w:val="none"/>
        </w:rPr>
      </w:pP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86" w:name="_Toc10624915"/>
      <w:r>
        <w:rPr>
          <w:rFonts w:hint="eastAsia" w:ascii="黑体" w:hAnsi="黑体" w:eastAsia="黑体" w:cs="黑体"/>
          <w:b w:val="0"/>
          <w:bCs/>
          <w:color w:val="auto"/>
          <w:kern w:val="0"/>
          <w:sz w:val="24"/>
          <w:szCs w:val="24"/>
          <w:highlight w:val="none"/>
          <w:lang w:val="en-US" w:eastAsia="zh-CN" w:bidi="ar-SA"/>
        </w:rPr>
        <w:t>★90  承包人的违约责任</w:t>
      </w:r>
      <w:bookmarkEnd w:id="586"/>
    </w:p>
    <w:p>
      <w:pPr>
        <w:widowControl w:val="0"/>
        <w:adjustRightInd w:val="0"/>
        <w:snapToGrid w:val="0"/>
        <w:spacing w:line="420" w:lineRule="exact"/>
        <w:jc w:val="both"/>
        <w:rPr>
          <w:rFonts w:hint="eastAsia" w:ascii="仿宋_GB2312" w:hAnsi="仿宋_GB2312" w:eastAsia="仿宋_GB2312" w:cs="仿宋_GB2312"/>
          <w:color w:val="auto"/>
          <w:kern w:val="2"/>
          <w:sz w:val="24"/>
          <w:szCs w:val="24"/>
          <w:highlight w:val="none"/>
          <w:lang w:val="en-US" w:eastAsia="zh-CN" w:bidi="ar-SA"/>
        </w:rPr>
      </w:pPr>
      <w:r>
        <w:rPr>
          <w:rFonts w:hint="eastAsia" w:ascii="宋体" w:hAnsi="宋体" w:eastAsia="宋体" w:cs="宋体"/>
          <w:b/>
          <w:bCs/>
          <w:color w:val="auto"/>
          <w:kern w:val="2"/>
          <w:sz w:val="22"/>
          <w:szCs w:val="22"/>
          <w:highlight w:val="none"/>
          <w:lang w:val="en-US" w:eastAsia="zh-CN" w:bidi="ar-SA"/>
        </w:rPr>
        <w:t>90.1</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09" name="文本框 39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wps:txbx>
                      <wps:bodyPr wrap="square" upright="1"/>
                    </wps:wsp>
                  </a:graphicData>
                </a:graphic>
              </wp:anchor>
            </w:drawing>
          </mc:Choice>
          <mc:Fallback>
            <w:pict>
              <v:shape id="文本框 397" o:spid="_x0000_s1026" o:spt="202" type="#_x0000_t202" style="position:absolute;left:0pt;margin-left:-9pt;margin-top:1.25pt;height:31.2pt;width:72pt;z-index:25207910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BsMhrQ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因承包人违反本合同约定给发包人造成损失的，承包人应当赔偿发包人损失。</w:t>
      </w:r>
    </w:p>
    <w:p>
      <w:pPr>
        <w:spacing w:line="420" w:lineRule="exact"/>
        <w:ind w:left="2113" w:leftChars="27" w:hanging="2056" w:hangingChars="931"/>
        <w:rPr>
          <w:rFonts w:hint="eastAsia" w:ascii="仿宋_GB2312" w:hAnsi="仿宋_GB2312" w:eastAsia="仿宋_GB2312" w:cs="仿宋_GB2312"/>
          <w:color w:val="auto"/>
          <w:kern w:val="2"/>
          <w:sz w:val="24"/>
          <w:szCs w:val="24"/>
          <w:highlight w:val="none"/>
          <w:lang w:val="en-US" w:eastAsia="zh-CN" w:bidi="ar-SA"/>
        </w:rPr>
      </w:pPr>
      <w:r>
        <w:rPr>
          <w:rFonts w:hint="eastAsia" w:ascii="宋体" w:hAnsi="宋体" w:cs="宋体"/>
          <w:b/>
          <w:bCs/>
          <w:color w:val="auto"/>
          <w:sz w:val="22"/>
          <w:szCs w:val="22"/>
          <w:highlight w:val="none"/>
        </w:rPr>
        <w:t xml:space="preserve">90.2  </w:t>
      </w:r>
      <w:r>
        <w:rPr>
          <w:rFonts w:hint="eastAsia" w:ascii="宋体" w:hAnsi="宋体" w:cs="宋体"/>
          <w:b/>
          <w:bCs/>
          <w:color w:val="auto"/>
          <w:sz w:val="22"/>
          <w:szCs w:val="22"/>
          <w:highlight w:val="none"/>
          <w:u w:val="dotted"/>
        </w:rPr>
        <w:t xml:space="preserve">                                                                                </w:t>
      </w:r>
    </w:p>
    <w:p>
      <w:pPr>
        <w:spacing w:line="420" w:lineRule="exact"/>
        <w:ind w:left="2291" w:leftChars="27" w:hanging="2234" w:hangingChars="931"/>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10" name="文本框 398"/>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cs="Times New Roman"/>
                                <w:b/>
                                <w:bCs/>
                                <w:sz w:val="18"/>
                                <w:szCs w:val="18"/>
                              </w:rPr>
                            </w:pPr>
                          </w:p>
                          <w:p>
                            <w:pPr>
                              <w:spacing w:line="240" w:lineRule="exact"/>
                              <w:rPr>
                                <w:rFonts w:ascii="楷体_GB2312" w:hAnsi="宋体" w:eastAsia="楷体_GB2312" w:cs="Times New Roman"/>
                                <w:b/>
                                <w:bCs/>
                                <w:sz w:val="18"/>
                                <w:szCs w:val="18"/>
                              </w:rPr>
                            </w:pPr>
                          </w:p>
                        </w:txbxContent>
                      </wps:txbx>
                      <wps:bodyPr wrap="square" upright="1"/>
                    </wps:wsp>
                  </a:graphicData>
                </a:graphic>
              </wp:anchor>
            </w:drawing>
          </mc:Choice>
          <mc:Fallback>
            <w:pict>
              <v:shape id="文本框 398" o:spid="_x0000_s1026" o:spt="202" type="#_x0000_t202" style="position:absolute;left:0pt;margin-left:-9pt;margin-top:1.05pt;height:32.75pt;width:72pt;z-index:25208012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EyWpNUAAAAIAQAADwAAAAAAAAABACAAAAAiAAAAZHJzL2Rvd25yZXYueG1sUEsBAhQAFAAA&#10;AAgAh07iQKjO0nu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cs="Times New Roman"/>
                          <w:b/>
                          <w:bCs/>
                          <w:sz w:val="18"/>
                          <w:szCs w:val="18"/>
                        </w:rPr>
                      </w:pPr>
                    </w:p>
                    <w:p>
                      <w:pPr>
                        <w:spacing w:line="240" w:lineRule="exact"/>
                        <w:rPr>
                          <w:rFonts w:ascii="楷体_GB2312" w:hAnsi="宋体" w:eastAsia="楷体_GB2312" w:cs="Times New Roman"/>
                          <w:b/>
                          <w:bCs/>
                          <w:sz w:val="18"/>
                          <w:szCs w:val="18"/>
                        </w:rPr>
                      </w:pP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 xml:space="preserve">              承包人向发包人的索赔不成立时，承包人应赔偿发包人由此发</w:t>
      </w:r>
    </w:p>
    <w:p>
      <w:pPr>
        <w:spacing w:line="420" w:lineRule="exact"/>
        <w:ind w:left="2282" w:leftChars="825" w:hanging="549" w:hangingChars="229"/>
        <w:rPr>
          <w:rFonts w:ascii="宋体" w:hAnsi="宋体" w:cs="宋体"/>
          <w:color w:val="auto"/>
          <w:sz w:val="22"/>
          <w:szCs w:val="22"/>
          <w:highlight w:val="none"/>
        </w:rPr>
      </w:pPr>
      <w:r>
        <w:rPr>
          <w:rFonts w:hint="eastAsia" w:ascii="仿宋_GB2312" w:hAnsi="仿宋_GB2312" w:eastAsia="仿宋_GB2312" w:cs="仿宋_GB2312"/>
          <w:color w:val="auto"/>
          <w:kern w:val="2"/>
          <w:sz w:val="24"/>
          <w:szCs w:val="24"/>
          <w:highlight w:val="none"/>
          <w:lang w:val="en-US" w:eastAsia="zh-CN" w:bidi="ar-SA"/>
        </w:rPr>
        <w:t>生的费用。</w:t>
      </w:r>
    </w:p>
    <w:p>
      <w:pPr>
        <w:spacing w:line="420" w:lineRule="exact"/>
        <w:ind w:left="2105" w:leftChars="27" w:hanging="2048" w:hangingChars="931"/>
        <w:rPr>
          <w:rFonts w:ascii="宋体" w:hAnsi="宋体" w:cs="宋体"/>
          <w:color w:val="auto"/>
          <w:sz w:val="22"/>
          <w:szCs w:val="22"/>
          <w:highlight w:val="none"/>
        </w:rPr>
      </w:pPr>
      <w:r>
        <w:rPr>
          <w:rFonts w:hint="eastAsia" w:ascii="Calibri" w:hAnsi="宋体" w:cs="Calibri"/>
          <w:color w:val="auto"/>
          <w:sz w:val="22"/>
          <w:szCs w:val="22"/>
          <w:highlight w:val="none"/>
          <w:u w:val="single"/>
        </w:rPr>
        <w:t xml:space="preserve">                                                                         </w:t>
      </w:r>
      <w:r>
        <w:rPr>
          <w:rFonts w:hint="eastAsia" w:ascii="Calibri" w:hAnsi="宋体" w:cs="Calibri"/>
          <w:color w:val="auto"/>
          <w:sz w:val="22"/>
          <w:szCs w:val="22"/>
          <w:highlight w:val="none"/>
          <w:u w:val="single"/>
          <w:lang w:val="en-US" w:eastAsia="zh-CN"/>
        </w:rPr>
        <w:t xml:space="preserve">   </w:t>
      </w:r>
      <w:r>
        <w:rPr>
          <w:rFonts w:hint="eastAsia" w:ascii="Calibri" w:hAnsi="宋体" w:cs="Calibri"/>
          <w:color w:val="auto"/>
          <w:sz w:val="22"/>
          <w:szCs w:val="22"/>
          <w:highlight w:val="none"/>
          <w:u w:val="single"/>
        </w:rPr>
        <w:t xml:space="preserve">  </w:t>
      </w:r>
      <w:r>
        <w:rPr>
          <w:rFonts w:hint="eastAsia" w:ascii="Calibri" w:hAnsi="宋体" w:cs="Calibri"/>
          <w:color w:val="auto"/>
          <w:sz w:val="22"/>
          <w:szCs w:val="22"/>
          <w:highlight w:val="none"/>
          <w:u w:val="single"/>
          <w:lang w:val="en-US" w:eastAsia="zh-CN"/>
        </w:rPr>
        <w:t xml:space="preserve">   </w:t>
      </w:r>
      <w:r>
        <w:rPr>
          <w:rFonts w:hint="eastAsia" w:ascii="Calibri" w:hAnsi="宋体" w:cs="Calibri"/>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87" w:name="_Toc489260630"/>
      <w:bookmarkStart w:id="588" w:name="_Toc10624916"/>
      <w:r>
        <w:rPr>
          <w:rFonts w:hint="eastAsia" w:ascii="黑体" w:hAnsi="黑体" w:eastAsia="黑体" w:cs="黑体"/>
          <w:b w:val="0"/>
          <w:bCs/>
          <w:color w:val="auto"/>
          <w:kern w:val="0"/>
          <w:sz w:val="24"/>
          <w:szCs w:val="24"/>
          <w:highlight w:val="none"/>
          <w:lang w:val="en-US" w:eastAsia="zh-CN" w:bidi="ar-SA"/>
        </w:rPr>
        <w:t>★91 发包人的违约责任</w:t>
      </w:r>
      <w:bookmarkEnd w:id="587"/>
      <w:bookmarkEnd w:id="588"/>
    </w:p>
    <w:p>
      <w:pPr>
        <w:widowControl w:val="0"/>
        <w:adjustRightInd w:val="0"/>
        <w:snapToGrid w:val="0"/>
        <w:spacing w:line="420" w:lineRule="exact"/>
        <w:ind w:firstLine="108" w:firstLineChars="49"/>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91.1 </w:t>
      </w:r>
    </w:p>
    <w:p>
      <w:pPr>
        <w:adjustRightInd w:val="0"/>
        <w:snapToGrid w:val="0"/>
        <w:spacing w:line="420" w:lineRule="exact"/>
        <w:ind w:left="1035" w:leftChars="493"/>
        <w:rPr>
          <w:rFonts w:hint="eastAsia" w:ascii="仿宋_GB2312" w:hAnsi="仿宋_GB2312" w:eastAsia="仿宋_GB2312" w:cs="仿宋_GB2312"/>
          <w:color w:val="auto"/>
          <w:kern w:val="2"/>
          <w:sz w:val="24"/>
          <w:szCs w:val="24"/>
          <w:highlight w:val="none"/>
          <w:lang w:val="en-US" w:eastAsia="zh-CN" w:bidi="ar-SA"/>
        </w:rPr>
      </w:pPr>
      <w:r>
        <w:rPr>
          <w:rFonts w:hint="eastAsia" w:ascii="宋体" w:hAnsi="宋体" w:cs="宋体"/>
          <w:color w:val="auto"/>
          <w:sz w:val="22"/>
          <w:szCs w:val="22"/>
          <w:highlight w:val="none"/>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11" name="文本框 39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wps:txbx>
                      <wps:bodyPr wrap="square" upright="1"/>
                    </wps:wsp>
                  </a:graphicData>
                </a:graphic>
              </wp:anchor>
            </w:drawing>
          </mc:Choice>
          <mc:Fallback>
            <w:pict>
              <v:shape id="文本框 399" o:spid="_x0000_s1026" o:spt="202" type="#_x0000_t202" style="position:absolute;left:0pt;margin-left:-9pt;margin-top:1.25pt;height:31.2pt;width:72pt;z-index:25208115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AU745/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v:textbox>
              </v:shape>
            </w:pict>
          </mc:Fallback>
        </mc:AlternateContent>
      </w:r>
      <w:r>
        <w:rPr>
          <w:rFonts w:hint="eastAsia" w:ascii="宋体" w:hAnsi="宋体" w:cs="宋体"/>
          <w:color w:val="auto"/>
          <w:sz w:val="22"/>
          <w:szCs w:val="22"/>
          <w:highlight w:val="none"/>
        </w:rPr>
        <w:t xml:space="preserve">   </w:t>
      </w:r>
      <w:r>
        <w:rPr>
          <w:rFonts w:hint="eastAsia" w:ascii="仿宋_GB2312" w:hAnsi="仿宋_GB2312" w:eastAsia="仿宋_GB2312" w:cs="仿宋_GB2312"/>
          <w:color w:val="auto"/>
          <w:kern w:val="2"/>
          <w:sz w:val="24"/>
          <w:szCs w:val="24"/>
          <w:highlight w:val="none"/>
          <w:lang w:val="en-US" w:eastAsia="zh-CN" w:bidi="ar-SA"/>
        </w:rPr>
        <w:t>因发包人违反本合同约定造成承包人损失的，发包人应予以赔偿。</w:t>
      </w:r>
    </w:p>
    <w:p>
      <w:pPr>
        <w:adjustRightInd w:val="0"/>
        <w:snapToGrid w:val="0"/>
        <w:spacing w:line="420" w:lineRule="exact"/>
        <w:ind w:left="1035" w:leftChars="493" w:firstLine="331" w:firstLineChars="150"/>
        <w:rPr>
          <w:rFonts w:ascii="宋体" w:hAnsi="宋体" w:cs="宋体"/>
          <w:b/>
          <w:bCs/>
          <w:color w:val="auto"/>
          <w:sz w:val="22"/>
          <w:szCs w:val="22"/>
          <w:highlight w:val="none"/>
        </w:rPr>
      </w:pPr>
    </w:p>
    <w:p>
      <w:pPr>
        <w:spacing w:line="420" w:lineRule="exact"/>
        <w:ind w:left="2113" w:leftChars="27" w:hanging="2056" w:hangingChars="931"/>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91.2  </w:t>
      </w:r>
      <w:r>
        <w:rPr>
          <w:rFonts w:hint="eastAsia" w:ascii="宋体" w:hAnsi="宋体" w:cs="宋体"/>
          <w:b/>
          <w:bCs/>
          <w:color w:val="auto"/>
          <w:sz w:val="22"/>
          <w:szCs w:val="22"/>
          <w:highlight w:val="none"/>
          <w:u w:val="dotted"/>
        </w:rPr>
        <w:t xml:space="preserve">                                                                                </w:t>
      </w:r>
    </w:p>
    <w:p>
      <w:pPr>
        <w:adjustRightInd w:val="0"/>
        <w:snapToGrid w:val="0"/>
        <w:spacing w:line="420" w:lineRule="exact"/>
        <w:ind w:left="1534" w:leftChars="102" w:hanging="1320" w:hangingChars="60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12" name="文本框 400"/>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wps:txbx>
                      <wps:bodyPr wrap="square" upright="1"/>
                    </wps:wsp>
                  </a:graphicData>
                </a:graphic>
              </wp:anchor>
            </w:drawing>
          </mc:Choice>
          <mc:Fallback>
            <w:pict>
              <v:shape id="文本框 400" o:spid="_x0000_s1026" o:spt="202" type="#_x0000_t202" style="position:absolute;left:0pt;margin-left:-9pt;margin-top:1.05pt;height:32.75pt;width:72pt;z-index:252082176;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EyWpNUAAAAIAQAADwAAAAAAAAABACAAAAAiAAAAZHJzL2Rvd25yZXYueG1sUEsBAhQAFAAAAAgA&#10;h07iQDwGxWO2AQAAXwMAAA4AAAAAAAAAAQAgAAAAJAEAAGRycy9lMm9Eb2MueG1sUEsFBgAAAAAG&#10;AAYAWQEAAEw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v:textbox>
              </v:shape>
            </w:pict>
          </mc:Fallback>
        </mc:AlternateContent>
      </w:r>
      <w:r>
        <w:rPr>
          <w:rFonts w:hint="eastAsia" w:ascii="宋体" w:hAnsi="宋体" w:cs="宋体"/>
          <w:color w:val="auto"/>
          <w:sz w:val="22"/>
          <w:szCs w:val="22"/>
          <w:highlight w:val="none"/>
        </w:rPr>
        <w:t xml:space="preserve">            </w:t>
      </w:r>
      <w:r>
        <w:rPr>
          <w:rFonts w:hint="eastAsia" w:ascii="仿宋_GB2312" w:hAnsi="仿宋_GB2312" w:eastAsia="仿宋_GB2312" w:cs="仿宋_GB2312"/>
          <w:color w:val="auto"/>
          <w:kern w:val="2"/>
          <w:sz w:val="24"/>
          <w:szCs w:val="24"/>
          <w:highlight w:val="none"/>
          <w:lang w:val="en-US" w:eastAsia="zh-CN" w:bidi="ar-SA"/>
        </w:rPr>
        <w:t>发包人向承包人的索赔不成立时，发包人应赔偿承包人由此发生的费用。</w:t>
      </w:r>
    </w:p>
    <w:p>
      <w:pPr>
        <w:adjustRightInd w:val="0"/>
        <w:snapToGrid w:val="0"/>
        <w:spacing w:line="420" w:lineRule="exact"/>
        <w:rPr>
          <w:rFonts w:ascii="宋体" w:hAnsi="宋体" w:cs="宋体"/>
          <w:b/>
          <w:bCs/>
          <w:color w:val="auto"/>
          <w:sz w:val="22"/>
          <w:szCs w:val="22"/>
          <w:highlight w:val="none"/>
          <w:u w:val="dotted"/>
        </w:rPr>
      </w:pPr>
      <w:r>
        <w:rPr>
          <w:rFonts w:hint="eastAsia" w:ascii="Calibri" w:hAnsi="宋体" w:cs="Calibri"/>
          <w:color w:val="auto"/>
          <w:sz w:val="22"/>
          <w:szCs w:val="22"/>
          <w:highlight w:val="none"/>
          <w:u w:val="single"/>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89" w:name="_Toc10624917"/>
      <w:bookmarkStart w:id="590" w:name="_Toc489260631"/>
      <w:r>
        <w:rPr>
          <w:rFonts w:hint="eastAsia" w:ascii="黑体" w:hAnsi="黑体" w:eastAsia="黑体" w:cs="黑体"/>
          <w:b w:val="0"/>
          <w:bCs/>
          <w:color w:val="auto"/>
          <w:kern w:val="0"/>
          <w:sz w:val="24"/>
          <w:szCs w:val="24"/>
          <w:highlight w:val="none"/>
          <w:lang w:val="en-US" w:eastAsia="zh-CN" w:bidi="ar-SA"/>
        </w:rPr>
        <w:t>★92  除外责任</w:t>
      </w:r>
      <w:bookmarkEnd w:id="589"/>
      <w:bookmarkEnd w:id="590"/>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8320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13" name="文本框 40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wps:txbx>
                      <wps:bodyPr wrap="square" upright="1"/>
                    </wps:wsp>
                  </a:graphicData>
                </a:graphic>
              </wp:anchor>
            </w:drawing>
          </mc:Choice>
          <mc:Fallback>
            <w:pict>
              <v:shape id="文本框 401" o:spid="_x0000_s1026" o:spt="202" type="#_x0000_t202" style="position:absolute;left:0pt;margin-left:-9pt;margin-top:1.25pt;height:31.2pt;width:72pt;z-index:25208320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CAJ5ln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非承包人的原因，且承包人无过错，而产生的各类损失，承包人不承担赔偿责任。</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因不可抗力导致本合同全部或部分不能履行时，双方各自承担其因此而造成的损失、损害。</w:t>
      </w:r>
    </w:p>
    <w:p>
      <w:pPr>
        <w:spacing w:line="420" w:lineRule="exact"/>
        <w:rPr>
          <w:rFonts w:ascii="宋体" w:hAnsi="宋体" w:cs="宋体"/>
          <w:color w:val="auto"/>
          <w:sz w:val="22"/>
          <w:szCs w:val="22"/>
          <w:highlight w:val="none"/>
        </w:rPr>
      </w:pPr>
    </w:p>
    <w:p>
      <w:pPr>
        <w:widowControl w:val="0"/>
        <w:adjustRightInd w:val="0"/>
        <w:snapToGrid w:val="0"/>
        <w:spacing w:line="420" w:lineRule="exact"/>
        <w:ind w:right="-238"/>
        <w:jc w:val="both"/>
        <w:rPr>
          <w:rFonts w:ascii="宋体" w:hAnsi="宋体" w:eastAsia="宋体" w:cs="宋体"/>
          <w:color w:val="auto"/>
          <w:kern w:val="2"/>
          <w:sz w:val="22"/>
          <w:szCs w:val="22"/>
          <w:highlight w:val="none"/>
          <w:u w:val="single"/>
          <w:lang w:val="en-US" w:eastAsia="zh-CN" w:bidi="ar-SA"/>
        </w:rPr>
      </w:pPr>
      <w:r>
        <w:rPr>
          <w:rFonts w:hint="eastAsia" w:ascii="宋体" w:hAnsi="宋体" w:eastAsia="宋体" w:cs="宋体"/>
          <w:color w:val="auto"/>
          <w:kern w:val="2"/>
          <w:sz w:val="22"/>
          <w:szCs w:val="22"/>
          <w:highlight w:val="none"/>
          <w:u w:val="single"/>
          <w:lang w:val="en-US" w:eastAsia="zh-CN" w:bidi="ar-SA"/>
        </w:rPr>
        <w:t xml:space="preserve">                                                                                 </w:t>
      </w:r>
    </w:p>
    <w:p>
      <w:pPr>
        <w:widowControl w:val="0"/>
        <w:adjustRightInd w:val="0"/>
        <w:snapToGrid w:val="0"/>
        <w:spacing w:line="420" w:lineRule="exact"/>
        <w:ind w:right="-238"/>
        <w:jc w:val="center"/>
        <w:rPr>
          <w:rFonts w:ascii="方正小标宋_GBK" w:hAnsi="方正小标宋_GBK" w:eastAsia="方正小标宋_GBK" w:cs="方正小标宋_GBK"/>
          <w:b/>
          <w:bCs/>
          <w:color w:val="auto"/>
          <w:kern w:val="2"/>
          <w:sz w:val="24"/>
          <w:szCs w:val="24"/>
          <w:highlight w:val="none"/>
          <w:lang w:val="en-US" w:eastAsia="zh-CN" w:bidi="ar-SA"/>
        </w:rPr>
      </w:pPr>
      <w:bookmarkStart w:id="591" w:name="_Toc10624918"/>
      <w:bookmarkStart w:id="592" w:name="_Toc469384074"/>
      <w:r>
        <w:rPr>
          <w:rFonts w:hint="eastAsia" w:ascii="方正小标宋_GBK" w:hAnsi="方正小标宋_GBK" w:eastAsia="方正小标宋_GBK" w:cs="方正小标宋_GBK"/>
          <w:b/>
          <w:bCs/>
          <w:color w:val="auto"/>
          <w:kern w:val="2"/>
          <w:sz w:val="24"/>
          <w:szCs w:val="24"/>
          <w:highlight w:val="none"/>
          <w:lang w:val="en-US" w:eastAsia="zh-CN" w:bidi="ar-SA"/>
        </w:rPr>
        <w:t>九、其  他</w:t>
      </w:r>
      <w:bookmarkEnd w:id="591"/>
      <w:bookmarkEnd w:id="592"/>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93" w:name="_Toc10624919"/>
      <w:bookmarkStart w:id="594" w:name="_Toc469384075"/>
      <w:r>
        <w:rPr>
          <w:rFonts w:hint="eastAsia" w:ascii="黑体" w:hAnsi="黑体" w:eastAsia="黑体" w:cs="黑体"/>
          <w:b w:val="0"/>
          <w:bCs/>
          <w:color w:val="auto"/>
          <w:kern w:val="0"/>
          <w:sz w:val="24"/>
          <w:szCs w:val="24"/>
          <w:highlight w:val="none"/>
          <w:lang w:val="en-US" w:eastAsia="zh-CN" w:bidi="ar-SA"/>
        </w:rPr>
        <w:t>93  缴纳税费</w:t>
      </w:r>
      <w:bookmarkEnd w:id="593"/>
      <w:bookmarkEnd w:id="594"/>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93.1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合同双方当事人</w:t>
      </w: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393" name="文本框 402"/>
                <wp:cNvGraphicFramePr/>
                <a:graphic xmlns:a="http://schemas.openxmlformats.org/drawingml/2006/main">
                  <a:graphicData uri="http://schemas.microsoft.com/office/word/2010/wordprocessingShape">
                    <wps:wsp>
                      <wps:cNvSpPr txBox="1"/>
                      <wps:spPr>
                        <a:xfrm>
                          <a:off x="0" y="0"/>
                          <a:ext cx="914400" cy="48450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wps:txbx>
                      <wps:bodyPr wrap="square" upright="1"/>
                    </wps:wsp>
                  </a:graphicData>
                </a:graphic>
              </wp:anchor>
            </w:drawing>
          </mc:Choice>
          <mc:Fallback>
            <w:pict>
              <v:shape id="文本框 402" o:spid="_x0000_s1026" o:spt="202" type="#_x0000_t202" style="position:absolute;left:0pt;margin-left:-9pt;margin-top:0.05pt;height:38.15pt;width:72pt;z-index:252062720;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CloK9QAAAAHAQAADwAAAAAAAAABACAAAAAiAAAAZHJzL2Rvd25yZXYueG1sUEsBAhQAFAAA&#10;AAgAh07iQEaFDYi6AQAAXw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应按照国家现行税法和有关部门现行规定缴纳合同工程需缴的一切税费。</w:t>
      </w:r>
    </w:p>
    <w:p>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93.2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394" name="文本框 40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wps:txbx>
                      <wps:bodyPr wrap="square" upright="1"/>
                    </wps:wsp>
                  </a:graphicData>
                </a:graphic>
              </wp:anchor>
            </w:drawing>
          </mc:Choice>
          <mc:Fallback>
            <w:pict>
              <v:shape id="文本框 403" o:spid="_x0000_s1026" o:spt="202" type="#_x0000_t202" style="position:absolute;left:0pt;margin-left:-9pt;margin-top:2.55pt;height:31.2pt;width:72pt;z-index:252063744;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qj8jPVAAAACAEAAA8AAAAAAAAAAQAgAAAAIgAAAGRycy9kb3ducmV2LnhtbFBLAQIUABQA&#10;AAAIAIdO4kAPGQli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合同任何一方当事人没交或少交合同工程需缴税费的，违法方应足额补交，并承担相应的法律责任；给另一方当事人造成损失的，违法方应赔偿损失。</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95" w:name="_Toc10624920"/>
      <w:bookmarkStart w:id="596" w:name="_Toc469384076"/>
      <w:r>
        <w:rPr>
          <w:rFonts w:hint="eastAsia" w:ascii="黑体" w:hAnsi="黑体" w:eastAsia="黑体" w:cs="黑体"/>
          <w:b w:val="0"/>
          <w:bCs/>
          <w:color w:val="auto"/>
          <w:kern w:val="0"/>
          <w:sz w:val="24"/>
          <w:szCs w:val="24"/>
          <w:highlight w:val="none"/>
          <w:lang w:val="en-US" w:eastAsia="zh-CN" w:bidi="ar-SA"/>
        </w:rPr>
        <w:t>94  保密要求</w:t>
      </w:r>
      <w:bookmarkEnd w:id="595"/>
      <w:bookmarkEnd w:id="596"/>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94.1    </w:t>
      </w:r>
    </w:p>
    <w:p>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395" name="文本框 40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wps:txbx>
                      <wps:bodyPr wrap="square" upright="1"/>
                    </wps:wsp>
                  </a:graphicData>
                </a:graphic>
              </wp:anchor>
            </w:drawing>
          </mc:Choice>
          <mc:Fallback>
            <w:pict>
              <v:shape id="文本框 404" o:spid="_x0000_s1026" o:spt="202" type="#_x0000_t202" style="position:absolute;left:0pt;margin-left:-9pt;margin-top:2.7pt;height:46.8pt;width:72pt;z-index:252064768;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bZrX11QAAAAgBAAAPAAAAAAAAAAEAIAAAACIAAABkcnMvZG93bnJldi54bWxQSwECFAAU&#10;AAAACACHTuJATyO/k7sBAABfAwAADgAAAAAAAAABACAAAAAk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合同双方当事人应在专用条款约定期限内提供保密信息。自收到对方当事人提供的保密信息之日起，合同双方当事人应履行保密义务。合同双方当事人履行保密义务，并不因本合同终止而结束。</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94.2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396" name="文本框 40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wps:txbx>
                      <wps:bodyPr wrap="square" upright="1"/>
                    </wps:wsp>
                  </a:graphicData>
                </a:graphic>
              </wp:anchor>
            </w:drawing>
          </mc:Choice>
          <mc:Fallback>
            <w:pict>
              <v:shape id="文本框 405" o:spid="_x0000_s1026" o:spt="202" type="#_x0000_t202" style="position:absolute;left:0pt;margin-left:-9pt;margin-top:5.4pt;height:39pt;width:72pt;z-index:252065792;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Figu9UAAAAJAQAADwAAAAAAAAABACAAAAAiAAAAZHJzL2Rvd25yZXYueG1sUEsBAhQAFAAA&#10;AAgAh07iQLip5D2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94.3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397" name="文本框 406"/>
                <wp:cNvGraphicFramePr/>
                <a:graphic xmlns:a="http://schemas.openxmlformats.org/drawingml/2006/main">
                  <a:graphicData uri="http://schemas.microsoft.com/office/word/2010/wordprocessingShape">
                    <wps:wsp>
                      <wps:cNvSpPr txBox="1"/>
                      <wps:spPr>
                        <a:xfrm>
                          <a:off x="0" y="0"/>
                          <a:ext cx="1028700" cy="30099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wps:txbx>
                      <wps:bodyPr wrap="square" upright="1"/>
                    </wps:wsp>
                  </a:graphicData>
                </a:graphic>
              </wp:anchor>
            </w:drawing>
          </mc:Choice>
          <mc:Fallback>
            <w:pict>
              <v:shape id="文本框 406" o:spid="_x0000_s1026" o:spt="202" type="#_x0000_t202" style="position:absolute;left:0pt;margin-left:-9pt;margin-top:0.25pt;height:23.7pt;width:81pt;z-index:252066816;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nJgqNQAAAAHAQAADwAAAAAAAAABACAAAAAiAAAAZHJzL2Rvd25yZXYueG1sUEsBAhQAFAAA&#10;AAgAh07iQCzjY2G6AQAAYA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94.4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398" name="文本框 407"/>
                <wp:cNvGraphicFramePr/>
                <a:graphic xmlns:a="http://schemas.openxmlformats.org/drawingml/2006/main">
                  <a:graphicData uri="http://schemas.microsoft.com/office/word/2010/wordprocessingShape">
                    <wps:wsp>
                      <wps:cNvSpPr txBox="1"/>
                      <wps:spPr>
                        <a:xfrm>
                          <a:off x="0" y="0"/>
                          <a:ext cx="914400" cy="72771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wps:txbx>
                      <wps:bodyPr wrap="square" upright="1"/>
                    </wps:wsp>
                  </a:graphicData>
                </a:graphic>
              </wp:anchor>
            </w:drawing>
          </mc:Choice>
          <mc:Fallback>
            <w:pict>
              <v:shape id="文本框 407" o:spid="_x0000_s1026" o:spt="202" type="#_x0000_t202" style="position:absolute;left:0pt;margin-left:-9pt;margin-top:5.15pt;height:57.3pt;width:72pt;z-index:252067840;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J6G9n1gAAAAoBAAAPAAAAAAAAAAEAIAAAACIAAABkcnMvZG93bnJldi54bWxQSwECFAAU&#10;AAAACACHTuJAzoVj47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94.5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399" name="文本框 40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wps:txbx>
                      <wps:bodyPr wrap="square" upright="1"/>
                    </wps:wsp>
                  </a:graphicData>
                </a:graphic>
              </wp:anchor>
            </w:drawing>
          </mc:Choice>
          <mc:Fallback>
            <w:pict>
              <v:shape id="文本框 408" o:spid="_x0000_s1026" o:spt="202" type="#_x0000_t202" style="position:absolute;left:0pt;margin-left:-9pt;margin-top:1.75pt;height:39pt;width:72pt;z-index:252068864;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BSM6NUAAAAIAQAADwAAAAAAAAABACAAAAAiAAAAZHJzL2Rvd25yZXYueG1sUEsBAhQAFAAA&#10;AAgAh07iQIAiR1m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保密信息应由提供方以书面形式说明保密程度；以口头形式提供的，则提供方应在提供后28天内以书面形式予以确认。保密信息不但包括合同双方当事人确认的信息，还包括与材料和工程设备产品、价格、工程设计、图纸、技术、工艺和财务等相关信息。但不包括下述信息：</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（1）提供前已由合同双方当事人所持有的；</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（2）已公开发表或非对方当事人原因向公众公开的；</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（3）已由各相关方书面同意其公开的；</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（4）在未获取保密信息前由对方当事人独立开发的；</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（5）对方当事人从对保密信息不承担保密义务的第三方处合法获得的。</w:t>
      </w:r>
    </w:p>
    <w:p>
      <w:pPr>
        <w:widowControl w:val="0"/>
        <w:tabs>
          <w:tab w:val="left" w:pos="1620"/>
        </w:tabs>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97" w:name="_Toc10624921"/>
      <w:bookmarkStart w:id="598" w:name="_Toc469384077"/>
      <w:r>
        <w:rPr>
          <w:rFonts w:hint="eastAsia" w:ascii="黑体" w:hAnsi="黑体" w:eastAsia="黑体" w:cs="黑体"/>
          <w:b w:val="0"/>
          <w:bCs/>
          <w:color w:val="auto"/>
          <w:kern w:val="0"/>
          <w:sz w:val="24"/>
          <w:szCs w:val="24"/>
          <w:highlight w:val="none"/>
          <w:lang w:val="en-US" w:eastAsia="zh-CN" w:bidi="ar-SA"/>
        </w:rPr>
        <w:t>95 廉政建设</w:t>
      </w:r>
      <w:bookmarkEnd w:id="597"/>
      <w:bookmarkEnd w:id="598"/>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95.1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00" name="文本框 409"/>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wps:txbx>
                      <wps:bodyPr wrap="square" upright="1"/>
                    </wps:wsp>
                  </a:graphicData>
                </a:graphic>
              </wp:anchor>
            </w:drawing>
          </mc:Choice>
          <mc:Fallback>
            <w:pict>
              <v:shape id="文本框 409" o:spid="_x0000_s1026" o:spt="202" type="#_x0000_t202" style="position:absolute;left:0pt;margin-left:-9pt;margin-top:1.25pt;height:23.4pt;width:63pt;z-index:252069888;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h2yR1QAAAAgBAAAPAAAAAAAAAAEAIAAAACIAAABkcnMvZG93bnJldi54bWxQSwECFAAUAAAA&#10;CACHTuJAe+8xdr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合同双方当事人在签订本合同时，应同时签订廉政合同，作为本合同的附件。合同双方当事人在合同履行期间应遵守国家和政府有关廉政方面的规定和要求，禁止任何腐败行为。</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95.2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401" name="文本框 410"/>
                <wp:cNvGraphicFramePr/>
                <a:graphic xmlns:a="http://schemas.openxmlformats.org/drawingml/2006/main">
                  <a:graphicData uri="http://schemas.microsoft.com/office/word/2010/wordprocessingShape">
                    <wps:wsp>
                      <wps:cNvSpPr txBox="1"/>
                      <wps:spPr>
                        <a:xfrm>
                          <a:off x="0" y="0"/>
                          <a:ext cx="800100" cy="31686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wps:txbx>
                      <wps:bodyPr wrap="square" upright="1"/>
                    </wps:wsp>
                  </a:graphicData>
                </a:graphic>
              </wp:anchor>
            </w:drawing>
          </mc:Choice>
          <mc:Fallback>
            <w:pict>
              <v:shape id="文本框 410" o:spid="_x0000_s1026" o:spt="202" type="#_x0000_t202" style="position:absolute;left:0pt;margin-left:-9pt;margin-top:4.25pt;height:24.95pt;width:63pt;z-index:252070912;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X&#10;Mdgn1AAAAAgBAAAPAAAAAAAAAAEAIAAAACIAAABkcnMvZG93bnJldi54bWxQSwECFAAUAAAACACH&#10;TuJAMLqF2rYBAABfAwAADgAAAAAAAAABACAAAAAjAQAAZHJzL2Uyb0RvYy54bWxQSwUGAAAAAAYA&#10;BgBZAQAASw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87.3款规定解除合同，并按照第88.3款规定办理合同解除的支付。</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99" w:name="_Toc10624922"/>
      <w:bookmarkStart w:id="600" w:name="_Toc469384078"/>
      <w:r>
        <w:rPr>
          <w:rFonts w:hint="eastAsia" w:ascii="黑体" w:hAnsi="黑体" w:eastAsia="黑体" w:cs="黑体"/>
          <w:b w:val="0"/>
          <w:bCs/>
          <w:color w:val="auto"/>
          <w:kern w:val="0"/>
          <w:sz w:val="24"/>
          <w:szCs w:val="24"/>
          <w:highlight w:val="none"/>
          <w:lang w:val="en-US" w:eastAsia="zh-CN" w:bidi="ar-SA"/>
        </w:rPr>
        <w:t>96  禁止转让</w:t>
      </w:r>
      <w:bookmarkEnd w:id="599"/>
      <w:bookmarkEnd w:id="600"/>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96.1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02" name="文本框 411"/>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宋体" w:hAnsi="Calibri" w:cs="Times New Roman"/>
                                <w:b/>
                                <w:bCs/>
                                <w:sz w:val="18"/>
                                <w:szCs w:val="18"/>
                              </w:rPr>
                            </w:pPr>
                            <w:r>
                              <w:rPr>
                                <w:rFonts w:hint="eastAsia" w:ascii="楷体_GB2312" w:hAnsi="宋体" w:eastAsia="楷体_GB2312" w:cs="楷体_GB2312"/>
                                <w:b/>
                                <w:bCs/>
                                <w:sz w:val="18"/>
                                <w:szCs w:val="18"/>
                              </w:rPr>
                              <w:t>履行合同</w:t>
                            </w:r>
                          </w:p>
                        </w:txbxContent>
                      </wps:txbx>
                      <wps:bodyPr wrap="square" upright="1"/>
                    </wps:wsp>
                  </a:graphicData>
                </a:graphic>
              </wp:anchor>
            </w:drawing>
          </mc:Choice>
          <mc:Fallback>
            <w:pict>
              <v:shape id="文本框 411" o:spid="_x0000_s1026" o:spt="202" type="#_x0000_t202" style="position:absolute;left:0pt;margin-left:-9pt;margin-top:1.25pt;height:23.4pt;width:63pt;z-index:252071936;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h2yR1QAAAAgBAAAPAAAAAAAAAAEAIAAAACIAAABkcnMvZG93bnJldi54bWxQSwECFAAUAAAA&#10;CACHTuJAgt5F7LgBAABfAwAADgAAAAAAAAABACAAAAAkAQAAZHJzL2Uyb0RvYy54bWxQSwUGAAAA&#10;AAYABgBZAQAATgUAAAAA&#10;">
                <v:fill on="f" focussize="0,0"/>
                <v:stroke on="f"/>
                <v:imagedata o:title=""/>
                <o:lock v:ext="edit" aspectratio="f"/>
                <v:textbox>
                  <w:txbxContent>
                    <w:p>
                      <w:pPr>
                        <w:spacing w:line="240" w:lineRule="exact"/>
                        <w:rPr>
                          <w:rFonts w:ascii="宋体" w:hAnsi="Calibri" w:cs="Times New Roman"/>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本合同一经签署，合同双方当事人均应按照本合同规定行使各自的权利、履行各自的义务。</w:t>
      </w:r>
    </w:p>
    <w:p>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96.2  </w:t>
      </w:r>
      <w:r>
        <w:rPr>
          <w:rFonts w:hint="eastAsia" w:ascii="宋体" w:hAnsi="宋体" w:eastAsia="宋体" w:cs="宋体"/>
          <w:b/>
          <w:bCs/>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403" name="文本框 41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wps:txbx>
                      <wps:bodyPr wrap="square" upright="1"/>
                    </wps:wsp>
                  </a:graphicData>
                </a:graphic>
              </wp:anchor>
            </w:drawing>
          </mc:Choice>
          <mc:Fallback>
            <w:pict>
              <v:shape id="文本框 412" o:spid="_x0000_s1026" o:spt="202" type="#_x0000_t202" style="position:absolute;left:0pt;margin-left:-9pt;margin-top:7.75pt;height:23.4pt;width:63pt;z-index:252072960;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AR7Jo1gAAAAkBAAAPAAAAAAAAAAEAIAAAACIAAABkcnMvZG93bnJldi54bWxQSwECFAAU&#10;AAAACACHTuJARWexlr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除合同另有约定外，未经另一方当事人同意，合同一方当事人不得将本合同的全部或部分权利、义务转让给第三方。</w:t>
      </w:r>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601" w:name="_Toc10624923"/>
      <w:bookmarkStart w:id="602" w:name="_Toc469384079"/>
      <w:r>
        <w:rPr>
          <w:rFonts w:hint="eastAsia" w:ascii="黑体" w:hAnsi="黑体" w:eastAsia="黑体" w:cs="黑体"/>
          <w:b w:val="0"/>
          <w:bCs/>
          <w:color w:val="auto"/>
          <w:kern w:val="0"/>
          <w:sz w:val="24"/>
          <w:szCs w:val="24"/>
          <w:highlight w:val="none"/>
          <w:lang w:val="en-US" w:eastAsia="zh-CN" w:bidi="ar-SA"/>
        </w:rPr>
        <w:t>97  合同份数</w:t>
      </w:r>
      <w:bookmarkEnd w:id="601"/>
      <w:bookmarkEnd w:id="602"/>
    </w:p>
    <w:p>
      <w:pPr>
        <w:widowControl w:val="0"/>
        <w:adjustRightInd w:val="0"/>
        <w:snapToGrid w:val="0"/>
        <w:spacing w:line="420" w:lineRule="exact"/>
        <w:ind w:left="1449" w:hanging="1449" w:hangingChars="656"/>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97.1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73984"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404" name="文本框 41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wps:txbx>
                      <wps:bodyPr wrap="square" upright="1"/>
                    </wps:wsp>
                  </a:graphicData>
                </a:graphic>
              </wp:anchor>
            </w:drawing>
          </mc:Choice>
          <mc:Fallback>
            <w:pict>
              <v:shape id="文本框 413" o:spid="_x0000_s1026" o:spt="202" type="#_x0000_t202" style="position:absolute;left:0pt;margin-left:-5.25pt;margin-top:0.8pt;height:31.2pt;width:72pt;z-index:252073984;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liH8dQAAAAIAQAADwAAAAAAAAABACAAAAAiAAAAZHJzL2Rvd25yZXYueG1sUEsBAhQAFAAA&#10;AAgAh07iQNDdAfa6AQAAXw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除专用条款另有约定外，发包人应按照第97.2款规定的份数免费为承包人提供合同文本。</w:t>
      </w:r>
    </w:p>
    <w:p>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97.2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405" name="文本框 414"/>
                <wp:cNvGraphicFramePr/>
                <a:graphic xmlns:a="http://schemas.openxmlformats.org/drawingml/2006/main">
                  <a:graphicData uri="http://schemas.microsoft.com/office/word/2010/wordprocessingShape">
                    <wps:wsp>
                      <wps:cNvSpPr txBox="1"/>
                      <wps:spPr>
                        <a:xfrm>
                          <a:off x="0" y="0"/>
                          <a:ext cx="800100" cy="29972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wps:txbx>
                      <wps:bodyPr wrap="square" upright="1"/>
                    </wps:wsp>
                  </a:graphicData>
                </a:graphic>
              </wp:anchor>
            </w:drawing>
          </mc:Choice>
          <mc:Fallback>
            <w:pict>
              <v:shape id="文本框 414" o:spid="_x0000_s1026" o:spt="202" type="#_x0000_t202" style="position:absolute;left:0pt;margin-left:-9pt;margin-top:0.65pt;height:23.6pt;width:63pt;z-index:252075008;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f3b61AAAAAgBAAAPAAAAAAAAAAEAIAAAACIAAABkcnMvZG93bnJldi54bWxQSwECFAAUAAAA&#10;CACHTuJAYhGxRrkBAABf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本合同正、副本份数，由合同双方当事人根据需要在专用条款中约定。正本与副本具有同等效力，当正本与副本不一致时，以正本为准。</w:t>
      </w:r>
    </w:p>
    <w:p>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603" w:name="_Toc469384080"/>
      <w:bookmarkStart w:id="604" w:name="_Toc10624924"/>
      <w:r>
        <w:rPr>
          <w:rFonts w:hint="eastAsia" w:ascii="黑体" w:hAnsi="黑体" w:eastAsia="黑体" w:cs="黑体"/>
          <w:b w:val="0"/>
          <w:bCs/>
          <w:color w:val="auto"/>
          <w:kern w:val="0"/>
          <w:sz w:val="24"/>
          <w:szCs w:val="24"/>
          <w:highlight w:val="none"/>
          <w:lang w:val="en-US" w:eastAsia="zh-CN" w:bidi="ar-SA"/>
        </w:rPr>
        <w:t>98  合同</w:t>
      </w:r>
      <w:bookmarkEnd w:id="603"/>
      <w:r>
        <w:rPr>
          <w:rFonts w:hint="eastAsia" w:ascii="黑体" w:hAnsi="黑体" w:eastAsia="黑体" w:cs="黑体"/>
          <w:b w:val="0"/>
          <w:bCs/>
          <w:color w:val="auto"/>
          <w:kern w:val="0"/>
          <w:sz w:val="24"/>
          <w:szCs w:val="24"/>
          <w:highlight w:val="none"/>
          <w:lang w:val="en-US" w:eastAsia="zh-CN" w:bidi="ar-SA"/>
        </w:rPr>
        <w:t>管理</w:t>
      </w:r>
      <w:bookmarkEnd w:id="604"/>
    </w:p>
    <w:p>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406" name="文本框 415"/>
                <wp:cNvGraphicFramePr/>
                <a:graphic xmlns:a="http://schemas.openxmlformats.org/drawingml/2006/main">
                  <a:graphicData uri="http://schemas.microsoft.com/office/word/2010/wordprocessingShape">
                    <wps:wsp>
                      <wps:cNvSpPr txBox="1"/>
                      <wps:spPr>
                        <a:xfrm>
                          <a:off x="0" y="0"/>
                          <a:ext cx="1039495" cy="52959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cs="Times New Roman"/>
                                <w:b/>
                                <w:bCs/>
                                <w:sz w:val="18"/>
                                <w:szCs w:val="18"/>
                              </w:rPr>
                            </w:pPr>
                          </w:p>
                        </w:txbxContent>
                      </wps:txbx>
                      <wps:bodyPr wrap="square" upright="1"/>
                    </wps:wsp>
                  </a:graphicData>
                </a:graphic>
              </wp:anchor>
            </w:drawing>
          </mc:Choice>
          <mc:Fallback>
            <w:pict>
              <v:shape id="文本框 415" o:spid="_x0000_s1026" o:spt="202" type="#_x0000_t202" style="position:absolute;left:0pt;margin-left:-9pt;margin-top:16.45pt;height:41.7pt;width:81.85pt;z-index:252076032;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uqzY2AAAAAoBAAAPAAAAAAAAAAEAIAAAACIAAABkcnMvZG93bnJldi54bWxQSwEC&#10;FAAUAAAACACHTuJATwK3G7sBAABgAwAADgAAAAAAAAABACAAAAAnAQAAZHJzL2Uyb0RvYy54bWxQ&#10;SwUGAAAAAAYABgBZAQAAVA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cs="Times New Roman"/>
                          <w:b/>
                          <w:bCs/>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98.1  </w:t>
      </w:r>
    </w:p>
    <w:p>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合同双方当事人应按照第22条至第25条的职责划分，督促各自人员认真履行合同管理职责，加强合同管理。</w:t>
      </w:r>
    </w:p>
    <w:p>
      <w:pPr>
        <w:spacing w:line="420" w:lineRule="exact"/>
        <w:ind w:left="1710" w:leftChars="700" w:hanging="240" w:hangingChars="100"/>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 xml:space="preserve"> 涉及国有资金投资的工程，建设行政主管部门、工程造价管理机</w:t>
      </w:r>
    </w:p>
    <w:p>
      <w:pPr>
        <w:spacing w:line="420" w:lineRule="exact"/>
        <w:ind w:left="1676" w:leftChars="798" w:firstLine="0" w:firstLineChars="0"/>
        <w:rPr>
          <w:rFonts w:ascii="宋体" w:hAnsi="宋体" w:cs="宋体"/>
          <w:color w:val="auto"/>
          <w:sz w:val="22"/>
          <w:szCs w:val="22"/>
          <w:highlight w:val="none"/>
        </w:rPr>
      </w:pPr>
      <w:r>
        <w:rPr>
          <w:rFonts w:hint="eastAsia" w:ascii="仿宋_GB2312" w:hAnsi="仿宋_GB2312" w:eastAsia="仿宋_GB2312" w:cs="仿宋_GB2312"/>
          <w:color w:val="auto"/>
          <w:kern w:val="2"/>
          <w:sz w:val="24"/>
          <w:szCs w:val="24"/>
          <w:highlight w:val="none"/>
          <w:lang w:val="en-US" w:eastAsia="zh-CN" w:bidi="ar-SA"/>
        </w:rPr>
        <w:t xml:space="preserve">构应依据建设行政主管部门存档合同实施合同监督管理；合同双方当事人应随时接受执法人员对本合同的监督管理，并为监督管理活动提供配合和协助。   </w:t>
      </w:r>
    </w:p>
    <w:p>
      <w:pPr>
        <w:rPr>
          <w:rFonts w:ascii="Calibri" w:hAnsi="Calibri" w:cs="Calibri"/>
          <w:color w:val="auto"/>
          <w:szCs w:val="21"/>
          <w:highlight w:val="none"/>
        </w:rPr>
      </w:pPr>
      <w:r>
        <w:rPr>
          <w:rFonts w:ascii="宋体" w:hAnsi="宋体" w:cs="宋体"/>
          <w:b/>
          <w:bCs/>
          <w:color w:val="auto"/>
          <w:kern w:val="0"/>
          <w:sz w:val="22"/>
          <w:szCs w:val="22"/>
          <w:highlight w:val="none"/>
        </w:rPr>
        <w:br w:type="page"/>
      </w:r>
    </w:p>
    <w:p>
      <w:pPr>
        <w:keepNext/>
        <w:keepLines/>
        <w:widowControl/>
        <w:tabs>
          <w:tab w:val="left" w:pos="420"/>
        </w:tabs>
        <w:spacing w:before="340" w:after="330" w:line="420" w:lineRule="exact"/>
        <w:ind w:left="0" w:firstLine="0"/>
        <w:jc w:val="center"/>
        <w:outlineLvl w:val="0"/>
        <w:rPr>
          <w:rFonts w:hint="eastAsia" w:ascii="方正小标宋简体" w:hAnsi="方正小标宋简体" w:eastAsia="方正小标宋简体" w:cs="方正小标宋简体"/>
          <w:b w:val="0"/>
          <w:bCs w:val="0"/>
          <w:color w:val="auto"/>
          <w:kern w:val="0"/>
          <w:sz w:val="32"/>
          <w:szCs w:val="32"/>
          <w:highlight w:val="none"/>
          <w:lang w:val="en-US" w:eastAsia="zh-CN" w:bidi="ar-SA"/>
        </w:rPr>
      </w:pPr>
      <w:bookmarkStart w:id="605" w:name="_Toc10624925"/>
      <w:bookmarkStart w:id="606" w:name="_Toc469384081"/>
      <w:r>
        <w:rPr>
          <w:rFonts w:hint="eastAsia" w:ascii="方正小标宋简体" w:hAnsi="方正小标宋简体" w:eastAsia="方正小标宋简体" w:cs="方正小标宋简体"/>
          <w:b w:val="0"/>
          <w:bCs w:val="0"/>
          <w:color w:val="auto"/>
          <w:kern w:val="0"/>
          <w:sz w:val="32"/>
          <w:szCs w:val="32"/>
          <w:highlight w:val="none"/>
          <w:lang w:val="en-US" w:eastAsia="zh-CN" w:bidi="ar-SA"/>
        </w:rPr>
        <w:t>第三部分    专用条款</w:t>
      </w:r>
      <w:bookmarkEnd w:id="605"/>
      <w:bookmarkEnd w:id="606"/>
    </w:p>
    <w:p>
      <w:pPr>
        <w:widowControl w:val="0"/>
        <w:numPr>
          <w:ilvl w:val="0"/>
          <w:numId w:val="0"/>
        </w:numPr>
        <w:tabs>
          <w:tab w:val="left" w:pos="420"/>
          <w:tab w:val="left" w:pos="576"/>
        </w:tabs>
        <w:spacing w:before="26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bookmarkStart w:id="607" w:name="_Toc10624926"/>
      <w:bookmarkStart w:id="608" w:name="_Toc469384082"/>
      <w:r>
        <w:rPr>
          <w:rFonts w:hint="eastAsia" w:ascii="黑体" w:hAnsi="黑体" w:eastAsia="黑体" w:cs="黑体"/>
          <w:b w:val="0"/>
          <w:bCs w:val="0"/>
          <w:color w:val="auto"/>
          <w:kern w:val="0"/>
          <w:sz w:val="24"/>
          <w:szCs w:val="24"/>
          <w:highlight w:val="none"/>
          <w:lang w:val="en-US" w:eastAsia="zh-CN" w:bidi="ar-SA"/>
        </w:rPr>
        <w:t>1．定义</w:t>
      </w:r>
      <w:bookmarkEnd w:id="607"/>
      <w:bookmarkEnd w:id="608"/>
      <w:r>
        <w:rPr>
          <w:rFonts w:hint="eastAsia" w:ascii="黑体" w:hAnsi="黑体" w:eastAsia="黑体" w:cs="黑体"/>
          <w:b w:val="0"/>
          <w:bCs w:val="0"/>
          <w:color w:val="auto"/>
          <w:kern w:val="0"/>
          <w:sz w:val="24"/>
          <w:szCs w:val="24"/>
          <w:highlight w:val="none"/>
          <w:lang w:val="en-US" w:eastAsia="zh-CN" w:bidi="ar-SA"/>
        </w:rPr>
        <w:t xml:space="preserve"> </w:t>
      </w:r>
    </w:p>
    <w:p>
      <w:pPr>
        <w:autoSpaceDE w:val="0"/>
        <w:autoSpaceDN w:val="0"/>
        <w:adjustRightInd w:val="0"/>
        <w:spacing w:line="420" w:lineRule="exact"/>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1.43 单位工程</w:t>
      </w:r>
    </w:p>
    <w:p>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u w:val="single"/>
        </w:rPr>
      </w:pPr>
      <w:permStart w:id="101" w:edGrp="everyone"/>
      <w:r>
        <w:rPr>
          <w:rFonts w:hint="eastAsia" w:ascii="仿宋_GB2312" w:hAnsi="仿宋_GB2312" w:eastAsia="仿宋_GB2312" w:cs="仿宋_GB2312"/>
          <w:color w:val="auto"/>
          <w:kern w:val="0"/>
          <w:sz w:val="24"/>
          <w:szCs w:val="24"/>
          <w:highlight w:val="none"/>
        </w:rPr>
        <w:t xml:space="preserve">□ </w:t>
      </w:r>
      <w:permEnd w:id="101"/>
      <w:r>
        <w:rPr>
          <w:rFonts w:hint="eastAsia" w:ascii="仿宋_GB2312" w:hAnsi="仿宋_GB2312" w:eastAsia="仿宋_GB2312" w:cs="仿宋_GB2312"/>
          <w:color w:val="auto"/>
          <w:kern w:val="0"/>
          <w:sz w:val="24"/>
          <w:szCs w:val="24"/>
          <w:highlight w:val="none"/>
        </w:rPr>
        <w:t xml:space="preserve"> 名称：</w:t>
      </w:r>
      <w:permStart w:id="102" w:edGrp="everyone"/>
      <w:r>
        <w:rPr>
          <w:rFonts w:hint="eastAsia" w:ascii="仿宋_GB2312" w:hAnsi="仿宋_GB2312" w:eastAsia="仿宋_GB2312" w:cs="仿宋_GB2312"/>
          <w:color w:val="auto"/>
          <w:kern w:val="0"/>
          <w:sz w:val="24"/>
          <w:szCs w:val="24"/>
          <w:highlight w:val="none"/>
          <w:u w:val="single"/>
        </w:rPr>
        <w:t xml:space="preserve">                           </w:t>
      </w:r>
      <w:permEnd w:id="102"/>
    </w:p>
    <w:p>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rPr>
      </w:pPr>
      <w:permStart w:id="103" w:edGrp="everyone"/>
      <w:r>
        <w:rPr>
          <w:rFonts w:hint="eastAsia" w:ascii="仿宋_GB2312" w:hAnsi="仿宋_GB2312" w:eastAsia="仿宋_GB2312" w:cs="仿宋_GB2312"/>
          <w:color w:val="auto"/>
          <w:kern w:val="0"/>
          <w:sz w:val="24"/>
          <w:szCs w:val="24"/>
          <w:highlight w:val="none"/>
        </w:rPr>
        <w:t xml:space="preserve">□ </w:t>
      </w:r>
      <w:permEnd w:id="103"/>
      <w:r>
        <w:rPr>
          <w:rFonts w:hint="eastAsia" w:ascii="仿宋_GB2312" w:hAnsi="仿宋_GB2312" w:eastAsia="仿宋_GB2312" w:cs="仿宋_GB2312"/>
          <w:color w:val="auto"/>
          <w:kern w:val="0"/>
          <w:sz w:val="24"/>
          <w:szCs w:val="24"/>
          <w:highlight w:val="none"/>
        </w:rPr>
        <w:t xml:space="preserve"> 内容：</w:t>
      </w:r>
      <w:permStart w:id="104" w:edGrp="everyone"/>
      <w:r>
        <w:rPr>
          <w:rFonts w:hint="eastAsia" w:ascii="仿宋_GB2312" w:hAnsi="仿宋_GB2312" w:eastAsia="仿宋_GB2312" w:cs="仿宋_GB2312"/>
          <w:color w:val="auto"/>
          <w:kern w:val="0"/>
          <w:sz w:val="24"/>
          <w:szCs w:val="24"/>
          <w:highlight w:val="none"/>
          <w:u w:val="single"/>
        </w:rPr>
        <w:t xml:space="preserve">                           </w:t>
      </w:r>
      <w:permEnd w:id="104"/>
    </w:p>
    <w:p>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u w:val="single"/>
        </w:rPr>
      </w:pPr>
      <w:permStart w:id="105" w:edGrp="everyone"/>
      <w:r>
        <w:rPr>
          <w:rFonts w:hint="eastAsia" w:ascii="仿宋_GB2312" w:hAnsi="仿宋_GB2312" w:eastAsia="仿宋_GB2312" w:cs="仿宋_GB2312"/>
          <w:color w:val="auto"/>
          <w:kern w:val="0"/>
          <w:sz w:val="24"/>
          <w:szCs w:val="24"/>
          <w:highlight w:val="none"/>
        </w:rPr>
        <w:t xml:space="preserve">□ </w:t>
      </w:r>
      <w:permEnd w:id="105"/>
      <w:r>
        <w:rPr>
          <w:rFonts w:hint="eastAsia" w:ascii="仿宋_GB2312" w:hAnsi="仿宋_GB2312" w:eastAsia="仿宋_GB2312" w:cs="仿宋_GB2312"/>
          <w:color w:val="auto"/>
          <w:kern w:val="0"/>
          <w:sz w:val="24"/>
          <w:szCs w:val="24"/>
          <w:highlight w:val="none"/>
        </w:rPr>
        <w:t xml:space="preserve"> 范围：</w:t>
      </w:r>
      <w:permStart w:id="106" w:edGrp="everyone"/>
      <w:r>
        <w:rPr>
          <w:rFonts w:hint="eastAsia" w:ascii="仿宋_GB2312" w:hAnsi="仿宋_GB2312" w:eastAsia="仿宋_GB2312" w:cs="仿宋_GB2312"/>
          <w:color w:val="auto"/>
          <w:kern w:val="0"/>
          <w:sz w:val="24"/>
          <w:szCs w:val="24"/>
          <w:highlight w:val="none"/>
          <w:u w:val="single"/>
        </w:rPr>
        <w:t xml:space="preserve">                           </w:t>
      </w:r>
      <w:permEnd w:id="106"/>
    </w:p>
    <w:p>
      <w:pPr>
        <w:autoSpaceDE w:val="0"/>
        <w:autoSpaceDN w:val="0"/>
        <w:adjustRightInd w:val="0"/>
        <w:spacing w:line="420" w:lineRule="exact"/>
        <w:ind w:firstLine="240" w:firstLineChars="1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1.53  所采用的书面形式包括： </w:t>
      </w:r>
    </w:p>
    <w:p>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文书； </w:t>
      </w:r>
    </w:p>
    <w:p>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信件； </w:t>
      </w:r>
    </w:p>
    <w:p>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电报； </w:t>
      </w:r>
    </w:p>
    <w:p>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传真； </w:t>
      </w:r>
    </w:p>
    <w:p>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电子邮件； </w:t>
      </w:r>
    </w:p>
    <w:p>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其他：</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autoSpaceDE w:val="0"/>
        <w:autoSpaceDN w:val="0"/>
        <w:adjustRightInd w:val="0"/>
        <w:spacing w:line="420" w:lineRule="exact"/>
        <w:ind w:firstLine="240" w:firstLineChars="1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1.55  工程价款</w:t>
      </w:r>
    </w:p>
    <w:p>
      <w:pPr>
        <w:spacing w:line="420" w:lineRule="exact"/>
        <w:ind w:left="105" w:leftChars="50"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指工程进度款计量支付基数，支付预付款时，工程价款为合同总承包施工费扣除按系数计算的绿色施工安全防护措施费、暂列金额、专业工程暂估价、耗水费后的金额；支付进度款时，工程价款为合同总承包施工费扣除按系数计算的绿色施工安全防护措施费、暂列金额、未经审批的专业工程暂估价、耗水费后的金额。</w:t>
      </w:r>
    </w:p>
    <w:p>
      <w:pPr>
        <w:autoSpaceDE w:val="0"/>
        <w:autoSpaceDN w:val="0"/>
        <w:adjustRightInd w:val="0"/>
        <w:spacing w:line="420" w:lineRule="exact"/>
        <w:ind w:firstLine="240" w:firstLineChars="1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1.56  独立承包人</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指与发包人直接订立工程承包合同，负责实施与工程有关的其他工作的当事人。</w:t>
      </w:r>
    </w:p>
    <w:p>
      <w:pPr>
        <w:autoSpaceDE w:val="0"/>
        <w:autoSpaceDN w:val="0"/>
        <w:adjustRightInd w:val="0"/>
        <w:spacing w:line="420" w:lineRule="exact"/>
        <w:jc w:val="left"/>
        <w:rPr>
          <w:rFonts w:hint="eastAsia" w:ascii="仿宋_GB2312" w:hAnsi="仿宋_GB2312" w:eastAsia="仿宋_GB2312" w:cs="仿宋_GB2312"/>
          <w:color w:val="auto"/>
          <w:kern w:val="0"/>
          <w:sz w:val="24"/>
          <w:szCs w:val="24"/>
          <w:highlight w:val="none"/>
        </w:rPr>
      </w:pPr>
    </w:p>
    <w:p>
      <w:pPr>
        <w:widowControl w:val="0"/>
        <w:numPr>
          <w:ilvl w:val="0"/>
          <w:numId w:val="0"/>
        </w:numPr>
        <w:tabs>
          <w:tab w:val="left" w:pos="420"/>
          <w:tab w:val="left" w:pos="576"/>
        </w:tabs>
        <w:spacing w:before="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bookmarkStart w:id="609" w:name="_Toc10624927"/>
      <w:bookmarkStart w:id="610" w:name="_Toc469384083"/>
      <w:r>
        <w:rPr>
          <w:rFonts w:hint="eastAsia" w:ascii="黑体" w:hAnsi="黑体" w:eastAsia="黑体" w:cs="黑体"/>
          <w:b w:val="0"/>
          <w:bCs w:val="0"/>
          <w:color w:val="auto"/>
          <w:kern w:val="0"/>
          <w:sz w:val="24"/>
          <w:szCs w:val="24"/>
          <w:highlight w:val="none"/>
          <w:lang w:val="en-US" w:eastAsia="zh-CN" w:bidi="ar-SA"/>
        </w:rPr>
        <w:t>2．合同文件及解释</w:t>
      </w:r>
      <w:bookmarkEnd w:id="609"/>
      <w:bookmarkEnd w:id="610"/>
      <w:r>
        <w:rPr>
          <w:rFonts w:hint="eastAsia" w:ascii="黑体" w:hAnsi="黑体" w:eastAsia="黑体" w:cs="黑体"/>
          <w:b w:val="0"/>
          <w:bCs w:val="0"/>
          <w:color w:val="auto"/>
          <w:kern w:val="0"/>
          <w:sz w:val="24"/>
          <w:szCs w:val="24"/>
          <w:highlight w:val="none"/>
          <w:lang w:val="en-US" w:eastAsia="zh-CN" w:bidi="ar-SA"/>
        </w:rPr>
        <w:t xml:space="preserve"> </w:t>
      </w:r>
    </w:p>
    <w:p>
      <w:pPr>
        <w:spacing w:line="420" w:lineRule="exact"/>
        <w:ind w:firstLine="240" w:firstLine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2.2合同文件组成及优先顺序</w:t>
      </w:r>
    </w:p>
    <w:p>
      <w:pPr>
        <w:spacing w:line="420" w:lineRule="exact"/>
        <w:ind w:firstLine="240" w:firstLine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（10）合同附件</w:t>
      </w:r>
    </w:p>
    <w:p>
      <w:pPr>
        <w:spacing w:line="420" w:lineRule="exact"/>
        <w:ind w:firstLine="240" w:firstLineChars="1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（11）组成合同的其他文件：</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u w:val="single"/>
        </w:rPr>
        <w:t>广州市水务局制定的《工程变更设计管理暂行规定》《工程竣工验收管理办法》《工程竣工档案整理验收管理办法》及《关于调整工程项目结算审查工作的通知》等文件及其最新印发版本；发包人制订的关于工程管理的各项制度、规定。</w:t>
      </w:r>
    </w:p>
    <w:p>
      <w:pPr>
        <w:spacing w:line="420" w:lineRule="exact"/>
        <w:rPr>
          <w:rFonts w:hint="eastAsia" w:ascii="仿宋_GB2312" w:hAnsi="仿宋_GB2312" w:eastAsia="仿宋_GB2312" w:cs="仿宋_GB2312"/>
          <w:color w:val="auto"/>
          <w:kern w:val="0"/>
          <w:sz w:val="24"/>
          <w:szCs w:val="24"/>
          <w:highlight w:val="none"/>
        </w:rPr>
      </w:pPr>
    </w:p>
    <w:p>
      <w:pPr>
        <w:widowControl w:val="0"/>
        <w:numPr>
          <w:ilvl w:val="0"/>
          <w:numId w:val="0"/>
        </w:numPr>
        <w:tabs>
          <w:tab w:val="left" w:pos="420"/>
          <w:tab w:val="left" w:pos="576"/>
        </w:tabs>
        <w:spacing w:before="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bookmarkStart w:id="611" w:name="_Toc10624928"/>
      <w:bookmarkStart w:id="612" w:name="_Toc469384084"/>
      <w:r>
        <w:rPr>
          <w:rFonts w:hint="eastAsia" w:ascii="黑体" w:hAnsi="黑体" w:eastAsia="黑体" w:cs="黑体"/>
          <w:b w:val="0"/>
          <w:bCs w:val="0"/>
          <w:color w:val="auto"/>
          <w:kern w:val="0"/>
          <w:sz w:val="24"/>
          <w:szCs w:val="24"/>
          <w:highlight w:val="none"/>
          <w:lang w:val="en-US" w:eastAsia="zh-CN" w:bidi="ar-SA"/>
        </w:rPr>
        <w:t>4．语言及适用的法律、标准与规范</w:t>
      </w:r>
      <w:bookmarkEnd w:id="611"/>
      <w:bookmarkEnd w:id="612"/>
      <w:r>
        <w:rPr>
          <w:rFonts w:hint="eastAsia" w:ascii="黑体" w:hAnsi="黑体" w:eastAsia="黑体" w:cs="黑体"/>
          <w:b w:val="0"/>
          <w:bCs w:val="0"/>
          <w:color w:val="auto"/>
          <w:kern w:val="0"/>
          <w:sz w:val="24"/>
          <w:szCs w:val="24"/>
          <w:highlight w:val="none"/>
          <w:lang w:val="en-US" w:eastAsia="zh-CN" w:bidi="ar-SA"/>
        </w:rPr>
        <w:t xml:space="preserve"> </w:t>
      </w:r>
    </w:p>
    <w:p>
      <w:pPr>
        <w:spacing w:line="420" w:lineRule="exact"/>
        <w:ind w:firstLine="240" w:firstLineChars="1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4.3 约定适用的标准、规范的名称：</w:t>
      </w:r>
      <w:permStart w:id="107"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107"/>
      <w:bookmarkStart w:id="613" w:name="_Toc10624929"/>
      <w:bookmarkStart w:id="614" w:name="_Toc469384085"/>
    </w:p>
    <w:p>
      <w:pPr>
        <w:spacing w:line="420" w:lineRule="exact"/>
        <w:rPr>
          <w:rFonts w:hint="eastAsia" w:ascii="仿宋_GB2312" w:hAnsi="仿宋_GB2312" w:eastAsia="仿宋_GB2312" w:cs="仿宋_GB2312"/>
          <w:b/>
          <w:bCs/>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5. 施工设计图纸</w:t>
      </w:r>
      <w:bookmarkEnd w:id="613"/>
      <w:bookmarkEnd w:id="614"/>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5.1 发包人提供施工设计图纸</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（1）提供的时间：</w:t>
      </w:r>
      <w:permStart w:id="108" w:edGrp="everyone"/>
      <w:r>
        <w:rPr>
          <w:rFonts w:hint="eastAsia" w:ascii="仿宋_GB2312" w:hAnsi="仿宋_GB2312" w:eastAsia="仿宋_GB2312" w:cs="仿宋_GB2312"/>
          <w:color w:val="auto"/>
          <w:sz w:val="24"/>
          <w:szCs w:val="24"/>
          <w:highlight w:val="none"/>
          <w:u w:val="single"/>
        </w:rPr>
        <w:t xml:space="preserve">  开工前。                                 </w:t>
      </w:r>
      <w:permEnd w:id="108"/>
    </w:p>
    <w:p>
      <w:pPr>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（2）提供的数量：</w:t>
      </w:r>
      <w:permStart w:id="109" w:edGrp="everyone"/>
      <w:r>
        <w:rPr>
          <w:rFonts w:hint="eastAsia" w:ascii="仿宋_GB2312" w:hAnsi="仿宋_GB2312" w:eastAsia="仿宋_GB2312" w:cs="仿宋_GB2312"/>
          <w:color w:val="auto"/>
          <w:sz w:val="24"/>
          <w:szCs w:val="24"/>
          <w:highlight w:val="none"/>
          <w:u w:val="single"/>
        </w:rPr>
        <w:t xml:space="preserve">  四套图纸（不含标准图集）。                </w:t>
      </w:r>
      <w:permEnd w:id="109"/>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在监理工程师批准第33.1款约定的合同进度计划或者第33.3款约定的合同进度计划修改后7天内，承包人应当根据合同进度计划和本项约定的图纸提供时间和数量，编制或者修改图纸供应计划并报送监理工程师，监理工程师应当在收到图纸供应计划后7天内批复或提出修改意见，否则该图纸供应计划视为得到批准。经监理工程师批准的最新的图纸供应计划对合同双方有合同约束力，作为发包人或者监理工程师向承包人提供图纸的主要依据。发包人或者监理工程师不按照图纸供应计划提供图纸而导致承包人费用增加和（或）工期延误的，由发包人承担赔偿责任。承包人未按照本款约定的时间向监理工程师提交图纸供应计划，致使发包人或者监理工程师未能在合理的时间内提供相应图纸或者承包人未按照图纸供应计划组织施工所造成的费用增加和（或）工期延误由承包人承担。</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5.2 承包人提供施工设计图纸</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（1）提供的文件：</w:t>
      </w:r>
      <w:permStart w:id="110" w:edGrp="everyone"/>
      <w:r>
        <w:rPr>
          <w:rFonts w:hint="eastAsia" w:ascii="仿宋_GB2312" w:hAnsi="仿宋_GB2312" w:eastAsia="仿宋_GB2312" w:cs="仿宋_GB2312"/>
          <w:color w:val="auto"/>
          <w:sz w:val="24"/>
          <w:szCs w:val="24"/>
          <w:highlight w:val="none"/>
          <w:u w:val="single"/>
        </w:rPr>
        <w:t>施工组织设计、专项施工方案（含深基坑支护施工方案）、施工进度计划、材料设备采购计划及发包人要求提供的其他文件等。</w:t>
      </w:r>
      <w:permEnd w:id="110"/>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（2）提供的时间：</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1）</w:t>
      </w:r>
      <w:permStart w:id="111" w:edGrp="everyone"/>
      <w:r>
        <w:rPr>
          <w:rFonts w:hint="eastAsia" w:ascii="仿宋_GB2312" w:hAnsi="仿宋_GB2312" w:eastAsia="仿宋_GB2312" w:cs="仿宋_GB2312"/>
          <w:color w:val="auto"/>
          <w:sz w:val="24"/>
          <w:szCs w:val="24"/>
          <w:highlight w:val="none"/>
          <w:u w:val="single"/>
        </w:rPr>
        <w:t>施工组织计划、施工进度计划应当在取得开工批复前15天送监理工程师和发包人审批；</w:t>
      </w:r>
      <w:permEnd w:id="111"/>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2）</w:t>
      </w:r>
      <w:permStart w:id="112" w:edGrp="everyone"/>
      <w:r>
        <w:rPr>
          <w:rFonts w:hint="eastAsia" w:ascii="仿宋_GB2312" w:hAnsi="仿宋_GB2312" w:eastAsia="仿宋_GB2312" w:cs="仿宋_GB2312"/>
          <w:color w:val="auto"/>
          <w:sz w:val="24"/>
          <w:szCs w:val="24"/>
          <w:highlight w:val="none"/>
          <w:u w:val="single"/>
        </w:rPr>
        <w:t>专项施工方案（含深基坑支护施工方案）应当在施工前20天提交监理工程师和发包人审批，且需评审的方案应在施工开工前7天通过评审；</w:t>
      </w:r>
    </w:p>
    <w:permEnd w:id="112"/>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3）</w:t>
      </w:r>
      <w:permStart w:id="113" w:edGrp="everyone"/>
      <w:r>
        <w:rPr>
          <w:rFonts w:hint="eastAsia" w:ascii="仿宋_GB2312" w:hAnsi="仿宋_GB2312" w:eastAsia="仿宋_GB2312" w:cs="仿宋_GB2312"/>
          <w:color w:val="auto"/>
          <w:sz w:val="24"/>
          <w:szCs w:val="24"/>
          <w:highlight w:val="none"/>
          <w:u w:val="single"/>
        </w:rPr>
        <w:t>材料设备采购计划应当在项目使用前45天送监理工程师和发包人审批。</w:t>
      </w:r>
    </w:p>
    <w:permEnd w:id="113"/>
    <w:p>
      <w:pPr>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（3）提供的数量：</w:t>
      </w:r>
      <w:permStart w:id="114" w:edGrp="everyone"/>
      <w:r>
        <w:rPr>
          <w:rFonts w:hint="eastAsia" w:ascii="仿宋_GB2312" w:hAnsi="仿宋_GB2312" w:eastAsia="仿宋_GB2312" w:cs="仿宋_GB2312"/>
          <w:color w:val="auto"/>
          <w:sz w:val="24"/>
          <w:szCs w:val="24"/>
          <w:highlight w:val="none"/>
          <w:u w:val="single"/>
        </w:rPr>
        <w:t xml:space="preserve">  一式四份。 </w:t>
      </w:r>
      <w:permEnd w:id="114"/>
    </w:p>
    <w:p>
      <w:pPr>
        <w:spacing w:line="420" w:lineRule="exact"/>
        <w:ind w:firstLine="240" w:firstLineChars="1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（4）监理工程师答复的时间：</w:t>
      </w:r>
      <w:permStart w:id="115" w:edGrp="everyone"/>
      <w:r>
        <w:rPr>
          <w:rFonts w:hint="eastAsia" w:ascii="仿宋_GB2312" w:hAnsi="仿宋_GB2312" w:eastAsia="仿宋_GB2312" w:cs="仿宋_GB2312"/>
          <w:color w:val="auto"/>
          <w:sz w:val="24"/>
          <w:szCs w:val="24"/>
          <w:highlight w:val="none"/>
          <w:u w:val="single"/>
        </w:rPr>
        <w:t xml:space="preserve"> 在收到承包人提供的文件5日内完成答复。</w:t>
      </w:r>
      <w:permEnd w:id="115"/>
      <w:bookmarkStart w:id="615" w:name="_Toc469384086"/>
      <w:bookmarkStart w:id="616" w:name="_Toc10624930"/>
    </w:p>
    <w:p>
      <w:pPr>
        <w:spacing w:line="420" w:lineRule="exact"/>
        <w:ind w:firstLine="240" w:firstLineChars="100"/>
        <w:rPr>
          <w:rFonts w:hint="eastAsia" w:ascii="仿宋_GB2312" w:hAnsi="仿宋_GB2312" w:eastAsia="仿宋_GB2312" w:cs="仿宋_GB2312"/>
          <w:color w:val="auto"/>
          <w:sz w:val="24"/>
          <w:szCs w:val="24"/>
          <w:highlight w:val="none"/>
          <w:u w:val="singl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6. 通信联络</w:t>
      </w:r>
      <w:bookmarkEnd w:id="615"/>
      <w:bookmarkEnd w:id="616"/>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6.2各方通讯地址、收件人及其他送达方式</w:t>
      </w:r>
    </w:p>
    <w:p>
      <w:pPr>
        <w:tabs>
          <w:tab w:val="left" w:pos="72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（1）各方通讯地址和收件人：</w:t>
      </w:r>
    </w:p>
    <w:p>
      <w:pPr>
        <w:spacing w:line="420" w:lineRule="exact"/>
        <w:ind w:firstLine="960" w:firstLine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w:t>
      </w:r>
      <w:permStart w:id="116" w:edGrp="everyone"/>
      <w:r>
        <w:rPr>
          <w:rFonts w:hint="eastAsia" w:ascii="仿宋_GB2312" w:hAnsi="仿宋_GB2312" w:eastAsia="仿宋_GB2312" w:cs="仿宋_GB2312"/>
          <w:color w:val="auto"/>
          <w:sz w:val="24"/>
          <w:szCs w:val="24"/>
          <w:highlight w:val="none"/>
          <w:u w:val="single"/>
        </w:rPr>
        <w:t xml:space="preserve">                      </w:t>
      </w:r>
      <w:permEnd w:id="116"/>
    </w:p>
    <w:p>
      <w:pPr>
        <w:spacing w:line="420" w:lineRule="exact"/>
        <w:ind w:firstLine="960" w:firstLine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通讯地址：</w:t>
      </w:r>
      <w:permStart w:id="117" w:edGrp="everyone"/>
      <w:r>
        <w:rPr>
          <w:rFonts w:hint="eastAsia" w:ascii="仿宋_GB2312" w:hAnsi="仿宋_GB2312" w:eastAsia="仿宋_GB2312" w:cs="仿宋_GB2312"/>
          <w:color w:val="auto"/>
          <w:sz w:val="24"/>
          <w:szCs w:val="24"/>
          <w:highlight w:val="none"/>
          <w:u w:val="single"/>
        </w:rPr>
        <w:t xml:space="preserve">                     </w:t>
      </w:r>
      <w:permEnd w:id="117"/>
      <w:r>
        <w:rPr>
          <w:rFonts w:hint="eastAsia" w:ascii="仿宋_GB2312" w:hAnsi="仿宋_GB2312" w:eastAsia="仿宋_GB2312" w:cs="仿宋_GB2312"/>
          <w:color w:val="auto"/>
          <w:sz w:val="24"/>
          <w:szCs w:val="24"/>
          <w:highlight w:val="none"/>
        </w:rPr>
        <w:t xml:space="preserve">   收件人：</w:t>
      </w:r>
      <w:permStart w:id="118" w:edGrp="everyone"/>
      <w:r>
        <w:rPr>
          <w:rFonts w:hint="eastAsia" w:ascii="仿宋_GB2312" w:hAnsi="仿宋_GB2312" w:eastAsia="仿宋_GB2312" w:cs="仿宋_GB2312"/>
          <w:color w:val="auto"/>
          <w:sz w:val="24"/>
          <w:szCs w:val="24"/>
          <w:highlight w:val="none"/>
          <w:u w:val="single"/>
        </w:rPr>
        <w:t xml:space="preserve">           </w:t>
      </w:r>
      <w:permEnd w:id="118"/>
      <w:r>
        <w:rPr>
          <w:rFonts w:hint="eastAsia" w:ascii="仿宋_GB2312" w:hAnsi="仿宋_GB2312" w:eastAsia="仿宋_GB2312" w:cs="仿宋_GB2312"/>
          <w:color w:val="auto"/>
          <w:sz w:val="24"/>
          <w:szCs w:val="24"/>
          <w:highlight w:val="none"/>
        </w:rPr>
        <w:t xml:space="preserve"> 邮政编码：</w:t>
      </w:r>
      <w:permStart w:id="119" w:edGrp="everyone"/>
      <w:r>
        <w:rPr>
          <w:rFonts w:hint="eastAsia" w:ascii="仿宋_GB2312" w:hAnsi="仿宋_GB2312" w:eastAsia="仿宋_GB2312" w:cs="仿宋_GB2312"/>
          <w:color w:val="auto"/>
          <w:sz w:val="24"/>
          <w:szCs w:val="24"/>
          <w:highlight w:val="none"/>
          <w:u w:val="single"/>
        </w:rPr>
        <w:t xml:space="preserve">            </w:t>
      </w:r>
      <w:permEnd w:id="119"/>
    </w:p>
    <w:p>
      <w:pPr>
        <w:spacing w:line="420" w:lineRule="exact"/>
        <w:ind w:firstLine="960" w:firstLine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承包人： </w:t>
      </w:r>
      <w:permStart w:id="120" w:edGrp="everyone"/>
      <w:r>
        <w:rPr>
          <w:rFonts w:hint="eastAsia" w:ascii="仿宋_GB2312" w:hAnsi="仿宋_GB2312" w:eastAsia="仿宋_GB2312" w:cs="仿宋_GB2312"/>
          <w:color w:val="auto"/>
          <w:sz w:val="24"/>
          <w:szCs w:val="24"/>
          <w:highlight w:val="none"/>
          <w:u w:val="single"/>
        </w:rPr>
        <w:t xml:space="preserve">                     </w:t>
      </w:r>
      <w:permEnd w:id="120"/>
    </w:p>
    <w:p>
      <w:pPr>
        <w:spacing w:line="420" w:lineRule="exact"/>
        <w:ind w:firstLine="960" w:firstLineChars="4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通讯地址：</w:t>
      </w:r>
      <w:permStart w:id="121" w:edGrp="everyone"/>
      <w:r>
        <w:rPr>
          <w:rFonts w:hint="eastAsia" w:ascii="仿宋_GB2312" w:hAnsi="仿宋_GB2312" w:eastAsia="仿宋_GB2312" w:cs="仿宋_GB2312"/>
          <w:color w:val="auto"/>
          <w:sz w:val="24"/>
          <w:szCs w:val="24"/>
          <w:highlight w:val="none"/>
          <w:u w:val="single"/>
        </w:rPr>
        <w:t xml:space="preserve">                     </w:t>
      </w:r>
      <w:permEnd w:id="121"/>
      <w:r>
        <w:rPr>
          <w:rFonts w:hint="eastAsia" w:ascii="仿宋_GB2312" w:hAnsi="仿宋_GB2312" w:eastAsia="仿宋_GB2312" w:cs="仿宋_GB2312"/>
          <w:color w:val="auto"/>
          <w:sz w:val="24"/>
          <w:szCs w:val="24"/>
          <w:highlight w:val="none"/>
        </w:rPr>
        <w:t xml:space="preserve">   收件人：</w:t>
      </w:r>
      <w:permStart w:id="122" w:edGrp="everyone"/>
      <w:r>
        <w:rPr>
          <w:rFonts w:hint="eastAsia" w:ascii="仿宋_GB2312" w:hAnsi="仿宋_GB2312" w:eastAsia="仿宋_GB2312" w:cs="仿宋_GB2312"/>
          <w:color w:val="auto"/>
          <w:sz w:val="24"/>
          <w:szCs w:val="24"/>
          <w:highlight w:val="none"/>
          <w:u w:val="single"/>
        </w:rPr>
        <w:t xml:space="preserve">           </w:t>
      </w:r>
      <w:permEnd w:id="122"/>
      <w:r>
        <w:rPr>
          <w:rFonts w:hint="eastAsia" w:ascii="仿宋_GB2312" w:hAnsi="仿宋_GB2312" w:eastAsia="仿宋_GB2312" w:cs="仿宋_GB2312"/>
          <w:color w:val="auto"/>
          <w:sz w:val="24"/>
          <w:szCs w:val="24"/>
          <w:highlight w:val="none"/>
        </w:rPr>
        <w:t xml:space="preserve"> 邮政编码：</w:t>
      </w:r>
      <w:permStart w:id="123" w:edGrp="everyone"/>
      <w:r>
        <w:rPr>
          <w:rFonts w:hint="eastAsia" w:ascii="仿宋_GB2312" w:hAnsi="仿宋_GB2312" w:eastAsia="仿宋_GB2312" w:cs="仿宋_GB2312"/>
          <w:color w:val="auto"/>
          <w:sz w:val="24"/>
          <w:szCs w:val="24"/>
          <w:highlight w:val="none"/>
          <w:u w:val="single"/>
        </w:rPr>
        <w:t xml:space="preserve">            </w:t>
      </w:r>
    </w:p>
    <w:permEnd w:id="123"/>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指定的接收人为合同协议书中载明的承包人代表本人或者其授权代表。承包人应在收到开工通知后7天内，按照第25.3款的约定，将授权代表其接收往来信函的承包人代表的授权代表姓名和授权范围通知监理人。除合同另有约定外，承包人施工场地管理机构的办公地点即为承包人指定的接收地点。）</w:t>
      </w:r>
    </w:p>
    <w:p>
      <w:pPr>
        <w:spacing w:line="420" w:lineRule="exact"/>
        <w:ind w:firstLine="720" w:firstLineChars="3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监理人：</w:t>
      </w:r>
      <w:permStart w:id="124" w:edGrp="everyone"/>
      <w:r>
        <w:rPr>
          <w:rFonts w:hint="eastAsia" w:ascii="仿宋_GB2312" w:hAnsi="仿宋_GB2312" w:eastAsia="仿宋_GB2312" w:cs="仿宋_GB2312"/>
          <w:color w:val="auto"/>
          <w:sz w:val="24"/>
          <w:szCs w:val="24"/>
          <w:highlight w:val="none"/>
          <w:u w:val="single"/>
        </w:rPr>
        <w:t xml:space="preserve">                       </w:t>
      </w:r>
      <w:permEnd w:id="124"/>
    </w:p>
    <w:p>
      <w:pPr>
        <w:spacing w:line="420" w:lineRule="exact"/>
        <w:ind w:firstLine="720" w:firstLineChars="3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通讯地址：</w:t>
      </w:r>
      <w:permStart w:id="125" w:edGrp="everyone"/>
      <w:r>
        <w:rPr>
          <w:rFonts w:hint="eastAsia" w:ascii="仿宋_GB2312" w:hAnsi="仿宋_GB2312" w:eastAsia="仿宋_GB2312" w:cs="仿宋_GB2312"/>
          <w:color w:val="auto"/>
          <w:sz w:val="24"/>
          <w:szCs w:val="24"/>
          <w:highlight w:val="none"/>
          <w:u w:val="single"/>
        </w:rPr>
        <w:t xml:space="preserve">                     </w:t>
      </w:r>
      <w:permEnd w:id="125"/>
      <w:r>
        <w:rPr>
          <w:rFonts w:hint="eastAsia" w:ascii="仿宋_GB2312" w:hAnsi="仿宋_GB2312" w:eastAsia="仿宋_GB2312" w:cs="仿宋_GB2312"/>
          <w:color w:val="auto"/>
          <w:sz w:val="24"/>
          <w:szCs w:val="24"/>
          <w:highlight w:val="none"/>
        </w:rPr>
        <w:t xml:space="preserve">   收件人：</w:t>
      </w:r>
      <w:permStart w:id="126" w:edGrp="everyone"/>
      <w:r>
        <w:rPr>
          <w:rFonts w:hint="eastAsia" w:ascii="仿宋_GB2312" w:hAnsi="仿宋_GB2312" w:eastAsia="仿宋_GB2312" w:cs="仿宋_GB2312"/>
          <w:color w:val="auto"/>
          <w:sz w:val="24"/>
          <w:szCs w:val="24"/>
          <w:highlight w:val="none"/>
          <w:u w:val="single"/>
        </w:rPr>
        <w:t xml:space="preserve">           </w:t>
      </w:r>
      <w:permEnd w:id="126"/>
      <w:r>
        <w:rPr>
          <w:rFonts w:hint="eastAsia" w:ascii="仿宋_GB2312" w:hAnsi="仿宋_GB2312" w:eastAsia="仿宋_GB2312" w:cs="仿宋_GB2312"/>
          <w:color w:val="auto"/>
          <w:sz w:val="24"/>
          <w:szCs w:val="24"/>
          <w:highlight w:val="none"/>
        </w:rPr>
        <w:t xml:space="preserve"> 邮政编码：</w:t>
      </w:r>
      <w:permStart w:id="127" w:edGrp="everyone"/>
      <w:r>
        <w:rPr>
          <w:rFonts w:hint="eastAsia" w:ascii="仿宋_GB2312" w:hAnsi="仿宋_GB2312" w:eastAsia="仿宋_GB2312" w:cs="仿宋_GB2312"/>
          <w:color w:val="auto"/>
          <w:sz w:val="24"/>
          <w:szCs w:val="24"/>
          <w:highlight w:val="none"/>
          <w:u w:val="single"/>
        </w:rPr>
        <w:t xml:space="preserve">                   </w:t>
      </w:r>
      <w:permEnd w:id="127"/>
    </w:p>
    <w:p>
      <w:pPr>
        <w:spacing w:line="420" w:lineRule="exact"/>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工程造价咨询人（如有）：</w:t>
      </w:r>
      <w:permStart w:id="128" w:edGrp="everyone"/>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u w:val="single"/>
        </w:rPr>
        <w:t xml:space="preserve">         </w:t>
      </w:r>
      <w:permEnd w:id="128"/>
    </w:p>
    <w:p>
      <w:pPr>
        <w:spacing w:line="420" w:lineRule="exact"/>
        <w:ind w:firstLine="720" w:firstLineChars="3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通讯地址：</w:t>
      </w:r>
      <w:permStart w:id="129" w:edGrp="everyone"/>
      <w:r>
        <w:rPr>
          <w:rFonts w:hint="eastAsia" w:ascii="仿宋_GB2312" w:hAnsi="仿宋_GB2312" w:eastAsia="仿宋_GB2312" w:cs="仿宋_GB2312"/>
          <w:color w:val="auto"/>
          <w:sz w:val="24"/>
          <w:szCs w:val="24"/>
          <w:highlight w:val="none"/>
          <w:u w:val="single"/>
        </w:rPr>
        <w:t xml:space="preserve">                       </w:t>
      </w:r>
      <w:permEnd w:id="129"/>
      <w:r>
        <w:rPr>
          <w:rFonts w:hint="eastAsia" w:ascii="仿宋_GB2312" w:hAnsi="仿宋_GB2312" w:eastAsia="仿宋_GB2312" w:cs="仿宋_GB2312"/>
          <w:color w:val="auto"/>
          <w:sz w:val="24"/>
          <w:szCs w:val="24"/>
          <w:highlight w:val="none"/>
        </w:rPr>
        <w:t xml:space="preserve"> 收件人：</w:t>
      </w:r>
      <w:permStart w:id="130"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ermEnd w:id="130"/>
      <w:r>
        <w:rPr>
          <w:rFonts w:hint="eastAsia" w:ascii="仿宋_GB2312" w:hAnsi="仿宋_GB2312" w:eastAsia="仿宋_GB2312" w:cs="仿宋_GB2312"/>
          <w:color w:val="auto"/>
          <w:sz w:val="24"/>
          <w:szCs w:val="24"/>
          <w:highlight w:val="none"/>
        </w:rPr>
        <w:t>邮政编码：</w:t>
      </w:r>
      <w:permStart w:id="131" w:edGrp="everyone"/>
      <w:r>
        <w:rPr>
          <w:rFonts w:hint="eastAsia" w:ascii="仿宋_GB2312" w:hAnsi="仿宋_GB2312" w:eastAsia="仿宋_GB2312" w:cs="仿宋_GB2312"/>
          <w:color w:val="auto"/>
          <w:sz w:val="24"/>
          <w:szCs w:val="24"/>
          <w:highlight w:val="none"/>
          <w:u w:val="single"/>
        </w:rPr>
        <w:t xml:space="preserve">                   </w:t>
      </w:r>
      <w:permEnd w:id="131"/>
    </w:p>
    <w:p>
      <w:pPr>
        <w:tabs>
          <w:tab w:val="left" w:pos="720"/>
        </w:tabs>
        <w:spacing w:line="420" w:lineRule="exact"/>
        <w:ind w:left="210" w:leftChars="100"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视为送达的其他方式：一方当事人拒绝签收另一方当事人通讯，另一方当事人以特快专递、挂号信、公证方式等将通讯送至通讯地址的，视为送达。由此所造成的直接的和间接的费用增加（包括被迫采用特殊送达方式所发生的费用）和（或）延误的工期由拒绝签收的一方承担。</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（3）通讯的送达期限：合同约定了发出期限的，送达期限为合同约定的发出期限后的24小时内；合同约定了通知、提供或者报送期限的，通知、提供或者报送期限即为送达期限。</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发包人、承包人、监理人和工程造价咨询人（如有）中任何一方指定的接收人或者接收地点发生变动，应当在实际变动前提前至少1个工作日以书面方式通知另一方。发包人、承包人、监理人和工程造价咨询人（如有）应当确保其各自指定的接收人在法定的和（或）符合合同约定的工作时间内始终工作在指定的接收地点，指定接收人离开工作岗位而无法及时签收来往信函构成拒不签收。</w:t>
      </w:r>
    </w:p>
    <w:p>
      <w:pPr>
        <w:widowControl w:val="0"/>
        <w:numPr>
          <w:ilvl w:val="0"/>
          <w:numId w:val="0"/>
        </w:numPr>
        <w:tabs>
          <w:tab w:val="left" w:pos="420"/>
          <w:tab w:val="left" w:pos="576"/>
        </w:tabs>
        <w:spacing w:before="0" w:line="420" w:lineRule="exact"/>
        <w:ind w:left="576" w:hanging="576"/>
        <w:jc w:val="left"/>
        <w:outlineLvl w:val="1"/>
        <w:rPr>
          <w:rFonts w:hint="eastAsia" w:ascii="仿宋_GB2312" w:hAnsi="仿宋_GB2312" w:eastAsia="仿宋_GB2312" w:cs="仿宋_GB2312"/>
          <w:b/>
          <w:bCs/>
          <w:color w:val="auto"/>
          <w:kern w:val="0"/>
          <w:sz w:val="24"/>
          <w:szCs w:val="24"/>
          <w:highlight w:val="none"/>
          <w:lang w:val="en-US" w:eastAsia="zh-CN" w:bidi="ar-SA"/>
        </w:rPr>
      </w:pPr>
      <w:bookmarkStart w:id="617" w:name="_Toc10624931"/>
      <w:bookmarkStart w:id="618" w:name="_Toc469384087"/>
    </w:p>
    <w:p>
      <w:pPr>
        <w:widowControl w:val="0"/>
        <w:numPr>
          <w:ilvl w:val="0"/>
          <w:numId w:val="0"/>
        </w:numPr>
        <w:tabs>
          <w:tab w:val="left" w:pos="420"/>
          <w:tab w:val="left" w:pos="576"/>
        </w:tabs>
        <w:spacing w:before="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r>
        <w:rPr>
          <w:rFonts w:hint="eastAsia" w:ascii="黑体" w:hAnsi="黑体" w:eastAsia="黑体" w:cs="黑体"/>
          <w:b w:val="0"/>
          <w:bCs w:val="0"/>
          <w:color w:val="auto"/>
          <w:kern w:val="0"/>
          <w:sz w:val="24"/>
          <w:szCs w:val="24"/>
          <w:highlight w:val="none"/>
          <w:lang w:val="en-US" w:eastAsia="zh-CN" w:bidi="ar-SA"/>
        </w:rPr>
        <w:t>7. 工程分包</w:t>
      </w:r>
      <w:bookmarkEnd w:id="617"/>
      <w:bookmarkEnd w:id="618"/>
    </w:p>
    <w:p>
      <w:pPr>
        <w:spacing w:line="420" w:lineRule="exact"/>
        <w:ind w:left="12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7.2 指定分包工程名称：</w:t>
      </w:r>
      <w:permStart w:id="132"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32"/>
    </w:p>
    <w:p>
      <w:pPr>
        <w:spacing w:line="420" w:lineRule="exact"/>
        <w:ind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7.4 分包工程款的支付方式：</w:t>
      </w:r>
      <w:permStart w:id="133"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33"/>
    </w:p>
    <w:p>
      <w:pPr>
        <w:tabs>
          <w:tab w:val="left" w:pos="720"/>
        </w:tabs>
        <w:spacing w:line="420" w:lineRule="exact"/>
        <w:ind w:left="220" w:leftChars="10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7.7关于工程分包的其他要求：</w:t>
      </w:r>
    </w:p>
    <w:p>
      <w:pPr>
        <w:tabs>
          <w:tab w:val="left" w:pos="720"/>
        </w:tabs>
        <w:spacing w:line="420" w:lineRule="exact"/>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bCs/>
          <w:color w:val="auto"/>
          <w:sz w:val="24"/>
          <w:szCs w:val="24"/>
          <w:highlight w:val="none"/>
        </w:rPr>
        <w:t>（1）承包人分包出去的工程，应当分包给可靠的符合工程技术资质的施工单位，分包人的资格能力应与其分包工程的标准和规模相适应，并将分包人的技术力量、装备以及社会信誉等情况报送给发包人备案，</w:t>
      </w:r>
      <w:r>
        <w:rPr>
          <w:rFonts w:hint="eastAsia" w:ascii="仿宋_GB2312" w:hAnsi="仿宋_GB2312" w:eastAsia="仿宋_GB2312" w:cs="仿宋_GB2312"/>
          <w:color w:val="auto"/>
          <w:sz w:val="24"/>
          <w:szCs w:val="24"/>
          <w:highlight w:val="none"/>
        </w:rPr>
        <w:t>在相关分包合同签订后7天内，向监理人和发包人提交一份分包合同副本</w:t>
      </w:r>
      <w:r>
        <w:rPr>
          <w:rFonts w:hint="eastAsia" w:ascii="仿宋_GB2312" w:hAnsi="仿宋_GB2312" w:eastAsia="仿宋_GB2312" w:cs="仿宋_GB2312"/>
          <w:bCs/>
          <w:color w:val="auto"/>
          <w:sz w:val="24"/>
          <w:szCs w:val="24"/>
          <w:highlight w:val="none"/>
        </w:rPr>
        <w:t>。发包人不同意的分包人，承包人不能选用。未报经发包人同意的分包人，一律不能进场。</w:t>
      </w:r>
    </w:p>
    <w:p>
      <w:pPr>
        <w:tabs>
          <w:tab w:val="left" w:pos="72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bCs/>
          <w:color w:val="auto"/>
          <w:sz w:val="24"/>
          <w:szCs w:val="24"/>
          <w:highlight w:val="none"/>
        </w:rPr>
        <w:t>分包工程</w:t>
      </w:r>
      <w:r>
        <w:rPr>
          <w:rFonts w:hint="eastAsia" w:ascii="仿宋_GB2312" w:hAnsi="仿宋_GB2312" w:eastAsia="仿宋_GB2312" w:cs="仿宋_GB2312"/>
          <w:color w:val="auto"/>
          <w:sz w:val="24"/>
          <w:szCs w:val="24"/>
          <w:highlight w:val="none"/>
        </w:rPr>
        <w:t>价款由承包人与分包人（包括专业分包人）结算。</w:t>
      </w:r>
      <w:r>
        <w:rPr>
          <w:rFonts w:hint="eastAsia" w:ascii="仿宋_GB2312" w:hAnsi="仿宋_GB2312" w:eastAsia="仿宋_GB2312" w:cs="仿宋_GB2312"/>
          <w:bCs/>
          <w:color w:val="auto"/>
          <w:sz w:val="24"/>
          <w:szCs w:val="24"/>
          <w:highlight w:val="none"/>
        </w:rPr>
        <w:t>承包人与分包人签订的施工合同不能约定分包人直接向发包人申请支付工程款（进度款）。</w:t>
      </w:r>
      <w:r>
        <w:rPr>
          <w:rFonts w:hint="eastAsia" w:ascii="仿宋_GB2312" w:hAnsi="仿宋_GB2312" w:eastAsia="仿宋_GB2312" w:cs="仿宋_GB2312"/>
          <w:color w:val="auto"/>
          <w:sz w:val="24"/>
          <w:szCs w:val="24"/>
          <w:highlight w:val="none"/>
        </w:rPr>
        <w:t>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承包人不得授权分包人或与分包人签订的合同中约定可以直接向发包人递交竣工结算报告等结算资料及进行工程竣工结算。承包人应保证不得以任何形式与分包人约定分包人就工程款（进度款）支付及工程结算问题直接向发包人主张民事权利。如承包人与分包人就工程价款支付和工程结算发生争议，由承包人与分包人自行解决。一旦发生诉讼，分包人直接起诉承包人、发包人的，承包人保证承担全部赔偿责任，发包人也有权直接抵扣支付给承包人的工程款（进度款）、解除承包合同，赔偿损失。如发包人代为承包人支付工程款的，发包人有权向承包人追偿。</w:t>
      </w:r>
    </w:p>
    <w:p>
      <w:pPr>
        <w:tabs>
          <w:tab w:val="left" w:pos="72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（3）承包人应督促其工程分包单位及时做好竣工资料整理工作，并于分包工程竣工验收后25天内将全部档案资料移交给承包人，由承包人汇总、归档，与承包人移交的竣工文件一起提交审查和移交。</w:t>
      </w:r>
    </w:p>
    <w:p>
      <w:pPr>
        <w:tabs>
          <w:tab w:val="left" w:pos="72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承包人取得批准分包并不解除承包人在合同约定的任何责任和义务，承包人应在分包场地派驻相应管理人员，保证本合同的履行。其分包工程费用、分包管理费用、利润以及税费，均由承包人在投标报价中充分考虑，不得以任何理由向发包人追加费用。</w:t>
      </w:r>
    </w:p>
    <w:p>
      <w:pPr>
        <w:tabs>
          <w:tab w:val="left" w:pos="72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（5）未经发包人和监理工程师审批同意的分包工程和分包人，发包人有权拒绝验收分包工程和支付相应款项，由此引起的发包人费用增加和（或）延误的工期由承包人承担。</w:t>
      </w:r>
    </w:p>
    <w:p>
      <w:pPr>
        <w:widowControl w:val="0"/>
        <w:numPr>
          <w:ilvl w:val="0"/>
          <w:numId w:val="0"/>
        </w:numPr>
        <w:tabs>
          <w:tab w:val="left" w:pos="420"/>
          <w:tab w:val="left" w:pos="576"/>
        </w:tabs>
        <w:spacing w:before="0" w:line="420" w:lineRule="exact"/>
        <w:ind w:left="576" w:hanging="576"/>
        <w:jc w:val="left"/>
        <w:outlineLvl w:val="1"/>
        <w:rPr>
          <w:rFonts w:hint="eastAsia" w:ascii="仿宋_GB2312" w:hAnsi="仿宋_GB2312" w:eastAsia="仿宋_GB2312" w:cs="仿宋_GB2312"/>
          <w:b/>
          <w:bCs/>
          <w:color w:val="auto"/>
          <w:kern w:val="0"/>
          <w:sz w:val="24"/>
          <w:szCs w:val="24"/>
          <w:highlight w:val="none"/>
          <w:lang w:val="en-US" w:eastAsia="zh-CN" w:bidi="ar-SA"/>
        </w:rPr>
      </w:pPr>
      <w:bookmarkStart w:id="619" w:name="_Toc469384088"/>
      <w:bookmarkStart w:id="620" w:name="_Toc10624932"/>
    </w:p>
    <w:p>
      <w:pPr>
        <w:widowControl w:val="0"/>
        <w:numPr>
          <w:ilvl w:val="0"/>
          <w:numId w:val="0"/>
        </w:numPr>
        <w:tabs>
          <w:tab w:val="left" w:pos="420"/>
          <w:tab w:val="left" w:pos="576"/>
        </w:tabs>
        <w:spacing w:before="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r>
        <w:rPr>
          <w:rFonts w:hint="eastAsia" w:ascii="黑体" w:hAnsi="黑体" w:eastAsia="黑体" w:cs="黑体"/>
          <w:b w:val="0"/>
          <w:bCs w:val="0"/>
          <w:color w:val="auto"/>
          <w:kern w:val="0"/>
          <w:sz w:val="24"/>
          <w:szCs w:val="24"/>
          <w:highlight w:val="none"/>
          <w:lang w:val="en-US" w:eastAsia="zh-CN" w:bidi="ar-SA"/>
        </w:rPr>
        <w:t>13. 交通运输</w:t>
      </w:r>
      <w:bookmarkEnd w:id="619"/>
      <w:bookmarkEnd w:id="620"/>
      <w:r>
        <w:rPr>
          <w:rFonts w:hint="eastAsia" w:ascii="黑体" w:hAnsi="黑体" w:eastAsia="黑体" w:cs="黑体"/>
          <w:b w:val="0"/>
          <w:bCs w:val="0"/>
          <w:color w:val="auto"/>
          <w:kern w:val="0"/>
          <w:sz w:val="24"/>
          <w:szCs w:val="24"/>
          <w:highlight w:val="none"/>
          <w:lang w:val="en-US" w:eastAsia="zh-CN" w:bidi="ar-SA"/>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13.1 取得道路通行权、场外设施修建权的办理人：</w:t>
      </w:r>
      <w:permStart w:id="134" w:edGrp="everyone"/>
      <w:r>
        <w:rPr>
          <w:rFonts w:hint="eastAsia" w:ascii="仿宋_GB2312" w:hAnsi="仿宋_GB2312" w:eastAsia="仿宋_GB2312" w:cs="仿宋_GB2312"/>
          <w:color w:val="auto"/>
          <w:sz w:val="24"/>
          <w:szCs w:val="24"/>
          <w:highlight w:val="none"/>
          <w:u w:val="single"/>
        </w:rPr>
        <w:t>承包人</w:t>
      </w:r>
      <w:permEnd w:id="134"/>
      <w:r>
        <w:rPr>
          <w:rFonts w:hint="eastAsia" w:ascii="仿宋_GB2312" w:hAnsi="仿宋_GB2312" w:eastAsia="仿宋_GB2312" w:cs="仿宋_GB2312"/>
          <w:color w:val="auto"/>
          <w:sz w:val="24"/>
          <w:szCs w:val="24"/>
          <w:highlight w:val="none"/>
        </w:rPr>
        <w:t>，费用已包含在合同价款中。承包人应当负责办理取得出入施工场地的专用和临时道路（含水路）的通行权，以及取得为实施合同工程所需修建场外设施的权利，办理相关手续，并承担有关费用（包括运输超大件或超重件所需的道路和桥梁临时加固改造费用、养路费等一切费用和税费），上述所有费用已包含在合同价款中，不另行计量支付。</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13.2办理道路通行权和修建场外设施的费用：</w:t>
      </w:r>
      <w:permStart w:id="135"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由承包人承担</w:t>
      </w:r>
      <w:r>
        <w:rPr>
          <w:rFonts w:hint="eastAsia" w:ascii="仿宋_GB2312" w:hAnsi="仿宋_GB2312" w:eastAsia="仿宋_GB2312" w:cs="仿宋_GB2312"/>
          <w:color w:val="auto"/>
          <w:sz w:val="24"/>
          <w:szCs w:val="24"/>
          <w:highlight w:val="none"/>
          <w:u w:val="single"/>
        </w:rPr>
        <w:t xml:space="preserve">   </w:t>
      </w:r>
      <w:permEnd w:id="135"/>
      <w:r>
        <w:rPr>
          <w:rFonts w:hint="eastAsia" w:ascii="仿宋_GB2312" w:hAnsi="仿宋_GB2312" w:eastAsia="仿宋_GB2312" w:cs="仿宋_GB2312"/>
          <w:color w:val="auto"/>
          <w:sz w:val="24"/>
          <w:szCs w:val="24"/>
          <w:highlight w:val="none"/>
          <w:u w:val="single"/>
        </w:rPr>
        <w:t xml:space="preserve">  </w:t>
      </w:r>
    </w:p>
    <w:p>
      <w:pPr>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13.4 运输超大件和超重件的费用：</w:t>
      </w:r>
      <w:permStart w:id="136" w:edGrp="everyone"/>
      <w:r>
        <w:rPr>
          <w:rFonts w:hint="eastAsia" w:ascii="仿宋_GB2312" w:hAnsi="仿宋_GB2312" w:eastAsia="仿宋_GB2312" w:cs="仿宋_GB2312"/>
          <w:color w:val="auto"/>
          <w:sz w:val="24"/>
          <w:szCs w:val="24"/>
          <w:highlight w:val="none"/>
          <w:u w:val="single"/>
        </w:rPr>
        <w:t xml:space="preserve"> 由承包人承担。</w:t>
      </w:r>
      <w:permEnd w:id="136"/>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13.7 承包人退场前，对由于承包人自身原因引起的道路、桥梁、水闸、码头、堤围设施的损坏应当自费恢复原状。</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13.8 承包人还应自费提供其所需要的工地以外的供工程使用的任何附加设施。承包人只能在发包人提供的施工场地范围内进行布置、安排和组织施工。承包人如需占用发包人提供的施工场地范围以外的场地，须自行办理有关手续及支付相关费用。</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13.9 在合同工程施工期间，根据政府有关环境保护的规定，承包人应采取所有合理的措施来保护现场内外的环境，并避免由于其操作方法所造成的污染、噪声或其它问题而对附近的人员、环境或公私财产造成的干扰、损失或损害。承包人已在合同价款中考虑有关费用，并保证发包人免于受到或承担应由承包人负责的上述事项所引起的或与之有关的索赔、诉讼、以及其它开支，如因承包人的行为对发包人造成损失的，发包人有权向承包人追偿。</w:t>
      </w:r>
      <w:bookmarkStart w:id="621" w:name="_Toc469384089"/>
      <w:bookmarkStart w:id="622" w:name="_Toc10624933"/>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14. 专项批准事件的签认</w:t>
      </w:r>
      <w:bookmarkEnd w:id="621"/>
      <w:bookmarkEnd w:id="622"/>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 专项批准事件的签认人选</w:t>
      </w:r>
    </w:p>
    <w:p>
      <w:pPr>
        <w:tabs>
          <w:tab w:val="left" w:pos="960"/>
        </w:tabs>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（1）监理工程师：</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姓名：</w:t>
      </w:r>
      <w:permStart w:id="137" w:edGrp="everyone"/>
      <w:r>
        <w:rPr>
          <w:rFonts w:hint="eastAsia" w:ascii="仿宋_GB2312" w:hAnsi="仿宋_GB2312" w:eastAsia="仿宋_GB2312" w:cs="仿宋_GB2312"/>
          <w:color w:val="auto"/>
          <w:sz w:val="24"/>
          <w:szCs w:val="24"/>
          <w:highlight w:val="none"/>
          <w:u w:val="single"/>
        </w:rPr>
        <w:t xml:space="preserve">                </w:t>
      </w:r>
      <w:permEnd w:id="137"/>
      <w:r>
        <w:rPr>
          <w:rFonts w:hint="eastAsia" w:ascii="仿宋_GB2312" w:hAnsi="仿宋_GB2312" w:eastAsia="仿宋_GB2312" w:cs="仿宋_GB2312"/>
          <w:color w:val="auto"/>
          <w:sz w:val="24"/>
          <w:szCs w:val="24"/>
          <w:highlight w:val="none"/>
        </w:rPr>
        <w:t xml:space="preserve">  印章样式：                签字样式：</w:t>
      </w:r>
      <w:r>
        <w:rPr>
          <w:rFonts w:hint="eastAsia" w:ascii="仿宋_GB2312" w:hAnsi="仿宋_GB2312" w:eastAsia="仿宋_GB2312" w:cs="仿宋_GB2312"/>
          <w:color w:val="auto"/>
          <w:sz w:val="24"/>
          <w:szCs w:val="24"/>
          <w:highlight w:val="none"/>
          <w:u w:val="single"/>
        </w:rPr>
        <w:t xml:space="preserve">                </w:t>
      </w:r>
    </w:p>
    <w:p>
      <w:pPr>
        <w:tabs>
          <w:tab w:val="left" w:pos="96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（2）造价工程师：</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姓名：</w:t>
      </w:r>
      <w:permStart w:id="138"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ermEnd w:id="138"/>
      <w:r>
        <w:rPr>
          <w:rFonts w:hint="eastAsia" w:ascii="仿宋_GB2312" w:hAnsi="仿宋_GB2312" w:eastAsia="仿宋_GB2312" w:cs="仿宋_GB2312"/>
          <w:color w:val="auto"/>
          <w:sz w:val="24"/>
          <w:szCs w:val="24"/>
          <w:highlight w:val="none"/>
        </w:rPr>
        <w:t xml:space="preserve">  印章样式：                签字样式：</w:t>
      </w:r>
      <w:r>
        <w:rPr>
          <w:rFonts w:hint="eastAsia" w:ascii="仿宋_GB2312" w:hAnsi="仿宋_GB2312" w:eastAsia="仿宋_GB2312" w:cs="仿宋_GB2312"/>
          <w:color w:val="auto"/>
          <w:sz w:val="24"/>
          <w:szCs w:val="24"/>
          <w:highlight w:val="none"/>
          <w:u w:val="single"/>
        </w:rPr>
        <w:t xml:space="preserve">                 </w:t>
      </w:r>
    </w:p>
    <w:p>
      <w:pPr>
        <w:tabs>
          <w:tab w:val="left" w:pos="960"/>
        </w:tabs>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（3）建造师：</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姓名：</w:t>
      </w:r>
      <w:permStart w:id="139" w:edGrp="everyone"/>
      <w:r>
        <w:rPr>
          <w:rFonts w:hint="eastAsia" w:ascii="仿宋_GB2312" w:hAnsi="仿宋_GB2312" w:eastAsia="仿宋_GB2312" w:cs="仿宋_GB2312"/>
          <w:color w:val="auto"/>
          <w:sz w:val="24"/>
          <w:szCs w:val="24"/>
          <w:highlight w:val="none"/>
          <w:u w:val="single"/>
        </w:rPr>
        <w:t xml:space="preserve">                 </w:t>
      </w:r>
      <w:permEnd w:id="139"/>
      <w:r>
        <w:rPr>
          <w:rFonts w:hint="eastAsia" w:ascii="仿宋_GB2312" w:hAnsi="仿宋_GB2312" w:eastAsia="仿宋_GB2312" w:cs="仿宋_GB2312"/>
          <w:color w:val="auto"/>
          <w:sz w:val="24"/>
          <w:szCs w:val="24"/>
          <w:highlight w:val="none"/>
        </w:rPr>
        <w:t xml:space="preserve"> 印章样式：                签字样式：</w:t>
      </w:r>
      <w:r>
        <w:rPr>
          <w:rFonts w:hint="eastAsia" w:ascii="仿宋_GB2312" w:hAnsi="仿宋_GB2312" w:eastAsia="仿宋_GB2312" w:cs="仿宋_GB2312"/>
          <w:color w:val="auto"/>
          <w:sz w:val="24"/>
          <w:szCs w:val="24"/>
          <w:highlight w:val="none"/>
          <w:u w:val="single"/>
        </w:rPr>
        <w:t xml:space="preserve">                  </w:t>
      </w:r>
      <w:bookmarkStart w:id="623" w:name="_Toc469384090"/>
      <w:bookmarkStart w:id="624" w:name="_Toc10624934"/>
    </w:p>
    <w:p>
      <w:pPr>
        <w:spacing w:line="420" w:lineRule="exact"/>
        <w:rPr>
          <w:rFonts w:hint="eastAsia" w:ascii="仿宋_GB2312" w:hAnsi="仿宋_GB2312" w:eastAsia="仿宋_GB2312" w:cs="仿宋_GB2312"/>
          <w:color w:val="auto"/>
          <w:sz w:val="24"/>
          <w:szCs w:val="24"/>
          <w:highlight w:val="none"/>
          <w:u w:val="singl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19. 发包人</w:t>
      </w:r>
      <w:bookmarkEnd w:id="623"/>
      <w:bookmarkEnd w:id="624"/>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19.2发包人完成下列工作的约定</w:t>
      </w:r>
    </w:p>
    <w:p>
      <w:pPr>
        <w:tabs>
          <w:tab w:val="left" w:pos="840"/>
          <w:tab w:val="left" w:pos="1560"/>
          <w:tab w:val="left" w:pos="162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（1）办理土地征用、拆迁、平整施工场地等工作的时间：</w:t>
      </w:r>
      <w:permStart w:id="140" w:edGrp="everyone"/>
      <w:r>
        <w:rPr>
          <w:rFonts w:hint="eastAsia" w:ascii="仿宋_GB2312" w:hAnsi="仿宋_GB2312" w:eastAsia="仿宋_GB2312" w:cs="仿宋_GB2312"/>
          <w:color w:val="auto"/>
          <w:sz w:val="24"/>
          <w:szCs w:val="24"/>
          <w:highlight w:val="none"/>
          <w:u w:val="single"/>
        </w:rPr>
        <w:t xml:space="preserve">  /。  </w:t>
      </w:r>
      <w:permEnd w:id="140"/>
    </w:p>
    <w:p>
      <w:pPr>
        <w:tabs>
          <w:tab w:val="left" w:pos="840"/>
          <w:tab w:val="left" w:pos="1440"/>
          <w:tab w:val="left" w:pos="1620"/>
        </w:tabs>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（2）完成施工所需水、电、通讯线路接驳的时间及地点：</w:t>
      </w:r>
      <w:permStart w:id="141" w:edGrp="everyone"/>
      <w:r>
        <w:rPr>
          <w:rFonts w:hint="eastAsia" w:ascii="仿宋_GB2312" w:hAnsi="仿宋_GB2312" w:eastAsia="仿宋_GB2312" w:cs="仿宋_GB2312"/>
          <w:color w:val="auto"/>
          <w:sz w:val="24"/>
          <w:szCs w:val="24"/>
          <w:highlight w:val="none"/>
          <w:u w:val="single"/>
        </w:rPr>
        <w:t xml:space="preserve">  /。  </w:t>
      </w:r>
      <w:permEnd w:id="141"/>
    </w:p>
    <w:p>
      <w:pPr>
        <w:tabs>
          <w:tab w:val="left" w:pos="840"/>
          <w:tab w:val="left" w:pos="156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（3）开通施工现场与城乡公共道路间的通道的时间：</w:t>
      </w:r>
      <w:permStart w:id="142" w:edGrp="everyone"/>
      <w:r>
        <w:rPr>
          <w:rFonts w:hint="eastAsia" w:ascii="仿宋_GB2312" w:hAnsi="仿宋_GB2312" w:eastAsia="仿宋_GB2312" w:cs="仿宋_GB2312"/>
          <w:color w:val="auto"/>
          <w:sz w:val="24"/>
          <w:szCs w:val="24"/>
          <w:highlight w:val="none"/>
          <w:u w:val="single"/>
        </w:rPr>
        <w:t xml:space="preserve"> /。 </w:t>
      </w:r>
      <w:permEnd w:id="142"/>
    </w:p>
    <w:p>
      <w:pPr>
        <w:tabs>
          <w:tab w:val="left" w:pos="840"/>
          <w:tab w:val="left" w:pos="156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（4）提供施工所需的有关资料的时间：</w:t>
      </w:r>
      <w:permStart w:id="143" w:edGrp="everyone"/>
      <w:r>
        <w:rPr>
          <w:rFonts w:hint="eastAsia" w:ascii="仿宋_GB2312" w:hAnsi="仿宋_GB2312" w:eastAsia="仿宋_GB2312" w:cs="仿宋_GB2312"/>
          <w:color w:val="auto"/>
          <w:sz w:val="24"/>
          <w:szCs w:val="24"/>
          <w:highlight w:val="none"/>
          <w:u w:val="single"/>
        </w:rPr>
        <w:t xml:space="preserve">   开工前7天内。</w:t>
      </w:r>
      <w:permEnd w:id="143"/>
    </w:p>
    <w:p>
      <w:pPr>
        <w:tabs>
          <w:tab w:val="left" w:pos="840"/>
          <w:tab w:val="left" w:pos="1560"/>
        </w:tabs>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（5）办理施工所需的有关证件和批准手续的时间：</w:t>
      </w:r>
      <w:permStart w:id="144" w:edGrp="everyone"/>
      <w:r>
        <w:rPr>
          <w:rFonts w:hint="eastAsia" w:ascii="仿宋_GB2312" w:hAnsi="仿宋_GB2312" w:eastAsia="仿宋_GB2312" w:cs="仿宋_GB2312"/>
          <w:color w:val="auto"/>
          <w:sz w:val="24"/>
          <w:szCs w:val="24"/>
          <w:highlight w:val="none"/>
          <w:u w:val="single"/>
        </w:rPr>
        <w:t xml:space="preserve">   / 。 </w:t>
      </w:r>
      <w:permEnd w:id="144"/>
    </w:p>
    <w:p>
      <w:pPr>
        <w:tabs>
          <w:tab w:val="left" w:pos="840"/>
          <w:tab w:val="left" w:pos="156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（6）现场交验的时间：</w:t>
      </w:r>
      <w:permStart w:id="145" w:edGrp="everyone"/>
      <w:r>
        <w:rPr>
          <w:rFonts w:hint="eastAsia" w:ascii="仿宋_GB2312" w:hAnsi="仿宋_GB2312" w:eastAsia="仿宋_GB2312" w:cs="仿宋_GB2312"/>
          <w:color w:val="auto"/>
          <w:sz w:val="24"/>
          <w:szCs w:val="24"/>
          <w:highlight w:val="none"/>
          <w:u w:val="single"/>
        </w:rPr>
        <w:t xml:space="preserve"> /。 </w:t>
      </w:r>
      <w:permEnd w:id="145"/>
    </w:p>
    <w:p>
      <w:pPr>
        <w:tabs>
          <w:tab w:val="left" w:pos="840"/>
          <w:tab w:val="left" w:pos="156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（7）提供标准与规范的时间：</w:t>
      </w:r>
      <w:permStart w:id="146" w:edGrp="everyone"/>
      <w:r>
        <w:rPr>
          <w:rFonts w:hint="eastAsia" w:ascii="仿宋_GB2312" w:hAnsi="仿宋_GB2312" w:eastAsia="仿宋_GB2312" w:cs="仿宋_GB2312"/>
          <w:color w:val="auto"/>
          <w:sz w:val="24"/>
          <w:szCs w:val="24"/>
          <w:highlight w:val="none"/>
          <w:u w:val="single"/>
        </w:rPr>
        <w:t xml:space="preserve">  /。  </w:t>
      </w:r>
      <w:permEnd w:id="146"/>
    </w:p>
    <w:p>
      <w:pPr>
        <w:tabs>
          <w:tab w:val="left" w:pos="840"/>
          <w:tab w:val="left" w:pos="156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（8）组织图纸会审和设计交底的时间：</w:t>
      </w:r>
      <w:permStart w:id="147" w:edGrp="everyone"/>
      <w:r>
        <w:rPr>
          <w:rFonts w:hint="eastAsia" w:ascii="仿宋_GB2312" w:hAnsi="仿宋_GB2312" w:eastAsia="仿宋_GB2312" w:cs="仿宋_GB2312"/>
          <w:color w:val="auto"/>
          <w:sz w:val="24"/>
          <w:szCs w:val="24"/>
          <w:highlight w:val="none"/>
          <w:u w:val="single"/>
        </w:rPr>
        <w:t xml:space="preserve"> 发包人应当在第34.2款约定的开工日期前7天组织设计人向承包人进行合同工程总体设计交底（包括图纸会审）。发包人还应按照合同进度计划中载明的阶段性设计交底时间组织和安排阶段工程设计交底（包括图纸会审）。承包人可以书面方式通过监理工程师向发包人申请增加紧急的设计交底，发包人在认为确有必要且条件许可时，应当尽快组织这类设计交底。</w:t>
      </w:r>
    </w:p>
    <w:permEnd w:id="147"/>
    <w:p>
      <w:pPr>
        <w:tabs>
          <w:tab w:val="left" w:pos="840"/>
          <w:tab w:val="left" w:pos="156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（9）协调处理施工周围场地系问题和邻近建筑物等保护工作的约定：</w:t>
      </w:r>
      <w:permStart w:id="148"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bCs/>
          <w:color w:val="auto"/>
          <w:sz w:val="24"/>
          <w:szCs w:val="24"/>
          <w:highlight w:val="none"/>
          <w:u w:val="single"/>
        </w:rPr>
        <w:t>发包人协助承包人做好上述保护工作的协调处理，除文物保护外，其它保护工作费用已包含在合同价款中。</w:t>
      </w:r>
    </w:p>
    <w:permEnd w:id="148"/>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（10）根据建设行政主管部门和（或）城市建设档案管理机构的规定，配合承包人收集、整理、立卷、归档工程资料，并按规定时间向建设行政主管部门或者城市建设档案管理机构移交规定的工程档案。</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（11）应通知监理工程师派员到现场监督施工放线。</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（12）委托承包人办理的工作有：</w:t>
      </w:r>
      <w:permStart w:id="149"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49"/>
      <w:r>
        <w:rPr>
          <w:rFonts w:hint="eastAsia" w:ascii="仿宋_GB2312" w:hAnsi="仿宋_GB2312" w:eastAsia="仿宋_GB2312" w:cs="仿宋_GB2312"/>
          <w:color w:val="auto"/>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19.3 提供施工场地的时间：施工场地应当在监理工程师发出的开工通知中载明的开工日期前</w:t>
      </w:r>
      <w:permStart w:id="150"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50"/>
      <w:r>
        <w:rPr>
          <w:rFonts w:hint="eastAsia" w:ascii="仿宋_GB2312" w:hAnsi="仿宋_GB2312" w:eastAsia="仿宋_GB2312" w:cs="仿宋_GB2312"/>
          <w:color w:val="auto"/>
          <w:sz w:val="24"/>
          <w:szCs w:val="24"/>
          <w:highlight w:val="none"/>
          <w:u w:val="single"/>
        </w:rPr>
        <w:t>天基本具备施工条件，发包人最迟应当在合同约定的开工日期向承包人移交部分施工场地，并根据工程的进展情况，视情况分期移交剩余施工场地给承包人，以便承包人能按进度计划进行施工，承包人应据此调整施工进度计划。因推迟移交场地并经双方共同认定耽误施工时间的，应根据实际情况相应推迟完工日期；双方无法达成一致意见的，由发包人上级主管部门裁定。采用多个施工点施工的方式，应确保工期目标的实现，由于发包人分期提供场地而可能发生的延期费用，已包含在承包人的投标报价中，承包人不得以此为由向发包人索取停工费、误工费或多次进退场费等。如确因客观原因或不可抗力等非承包人原因导致的工期延期或费用增加，由双方另行协商。</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19.4 支付款项</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工程款支付期限</w:t>
      </w:r>
    </w:p>
    <w:p>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按专用条款第</w:t>
      </w:r>
      <w:r>
        <w:rPr>
          <w:rFonts w:hint="default" w:ascii="仿宋_GB2312" w:hAnsi="仿宋_GB2312" w:eastAsia="仿宋_GB2312" w:cs="仿宋_GB2312"/>
          <w:color w:val="auto"/>
          <w:kern w:val="0"/>
          <w:sz w:val="24"/>
          <w:szCs w:val="24"/>
          <w:highlight w:val="none"/>
          <w:lang w:val="en-US"/>
        </w:rPr>
        <w:t>80.3</w:t>
      </w:r>
      <w:r>
        <w:rPr>
          <w:rFonts w:hint="eastAsia" w:ascii="仿宋_GB2312" w:hAnsi="仿宋_GB2312" w:eastAsia="仿宋_GB2312" w:cs="仿宋_GB2312"/>
          <w:color w:val="auto"/>
          <w:kern w:val="0"/>
          <w:sz w:val="24"/>
          <w:szCs w:val="24"/>
          <w:highlight w:val="none"/>
        </w:rPr>
        <w:t>款、第</w:t>
      </w:r>
      <w:r>
        <w:rPr>
          <w:rFonts w:hint="default" w:ascii="仿宋_GB2312" w:hAnsi="仿宋_GB2312" w:eastAsia="仿宋_GB2312" w:cs="仿宋_GB2312"/>
          <w:color w:val="auto"/>
          <w:kern w:val="0"/>
          <w:sz w:val="24"/>
          <w:szCs w:val="24"/>
          <w:highlight w:val="none"/>
          <w:lang w:val="en-US"/>
        </w:rPr>
        <w:t>81.3</w:t>
      </w:r>
      <w:r>
        <w:rPr>
          <w:rFonts w:hint="eastAsia" w:ascii="仿宋_GB2312" w:hAnsi="仿宋_GB2312" w:eastAsia="仿宋_GB2312" w:cs="仿宋_GB2312"/>
          <w:color w:val="auto"/>
          <w:kern w:val="0"/>
          <w:sz w:val="24"/>
          <w:szCs w:val="24"/>
          <w:highlight w:val="none"/>
        </w:rPr>
        <w:t>款、第</w:t>
      </w:r>
      <w:r>
        <w:rPr>
          <w:rFonts w:hint="default" w:ascii="仿宋_GB2312" w:hAnsi="仿宋_GB2312" w:eastAsia="仿宋_GB2312" w:cs="仿宋_GB2312"/>
          <w:color w:val="auto"/>
          <w:kern w:val="0"/>
          <w:sz w:val="24"/>
          <w:szCs w:val="24"/>
          <w:highlight w:val="none"/>
          <w:lang w:val="en-US"/>
        </w:rPr>
        <w:t>83.3</w:t>
      </w:r>
      <w:r>
        <w:rPr>
          <w:rFonts w:hint="eastAsia" w:ascii="仿宋_GB2312" w:hAnsi="仿宋_GB2312" w:eastAsia="仿宋_GB2312" w:cs="仿宋_GB2312"/>
          <w:color w:val="auto"/>
          <w:kern w:val="0"/>
          <w:sz w:val="24"/>
          <w:szCs w:val="24"/>
          <w:highlight w:val="none"/>
        </w:rPr>
        <w:t>款等规定期限支付。</w:t>
      </w:r>
    </w:p>
    <w:p>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 工程款支付方式</w:t>
      </w:r>
    </w:p>
    <w:p>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按协议书所注明的银行账户转账。</w:t>
      </w:r>
    </w:p>
    <w:p>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支票支付。</w:t>
      </w:r>
    </w:p>
    <w:p>
      <w:pPr>
        <w:spacing w:line="420" w:lineRule="exact"/>
        <w:ind w:firstLine="720" w:firstLineChars="3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其他方式：</w:t>
      </w:r>
      <w:r>
        <w:rPr>
          <w:rFonts w:hint="eastAsia" w:ascii="仿宋_GB2312" w:hAnsi="仿宋_GB2312" w:eastAsia="仿宋_GB2312" w:cs="仿宋_GB2312"/>
          <w:color w:val="auto"/>
          <w:kern w:val="0"/>
          <w:sz w:val="24"/>
          <w:szCs w:val="24"/>
          <w:highlight w:val="none"/>
          <w:u w:val="single"/>
        </w:rPr>
        <w:t xml:space="preserve">    /。                                                                   </w:t>
      </w:r>
      <w:bookmarkStart w:id="625" w:name="_Toc10624935"/>
      <w:bookmarkStart w:id="626" w:name="_Toc469384091"/>
    </w:p>
    <w:p>
      <w:pPr>
        <w:spacing w:line="420" w:lineRule="exact"/>
        <w:rPr>
          <w:rFonts w:hint="eastAsia" w:ascii="仿宋_GB2312" w:hAnsi="仿宋_GB2312" w:eastAsia="仿宋_GB2312" w:cs="仿宋_GB2312"/>
          <w:color w:val="auto"/>
          <w:kern w:val="0"/>
          <w:sz w:val="24"/>
          <w:szCs w:val="24"/>
          <w:highlight w:val="none"/>
          <w:u w:val="singl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20. 承包人</w:t>
      </w:r>
      <w:bookmarkEnd w:id="625"/>
      <w:bookmarkEnd w:id="626"/>
    </w:p>
    <w:p>
      <w:pPr>
        <w:spacing w:line="420" w:lineRule="exact"/>
        <w:ind w:firstLine="480" w:firstLineChars="200"/>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color w:val="auto"/>
          <w:kern w:val="0"/>
          <w:sz w:val="24"/>
          <w:szCs w:val="24"/>
          <w:highlight w:val="none"/>
        </w:rPr>
        <w:t>20.1 遵守法律</w:t>
      </w:r>
    </w:p>
    <w:p>
      <w:pPr>
        <w:spacing w:line="420" w:lineRule="exact"/>
        <w:ind w:firstLine="480" w:firstLineChars="200"/>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在本项目发包人的工程项目中存在通用条款20.1所列行为的，发包人按诚信评价标准对其作出评价，且该评价结果由发包人直接录入广州市水务工程企业信息库及诚信管理系统，并报市水务局按照广州市水务工程施工和监理企业诚信评价管理办法执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20.2 承包人完成下列工作的约定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 提交支付申请和工程款额报告期限</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按专用条款第80.2款、第81.1款、第83.1款等规定期限提交。</w:t>
      </w:r>
    </w:p>
    <w:p>
      <w:pPr>
        <w:spacing w:line="420" w:lineRule="exac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                                                                        </w:t>
      </w:r>
    </w:p>
    <w:p>
      <w:pPr>
        <w:spacing w:line="420" w:lineRule="exact"/>
        <w:ind w:left="31" w:leftChars="15"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应根据监理工程师或当地政府及发包人要求，在需要的时间和地点，提供和维持包括但不限于所有的照明灯光、护板、围墙、栅栏、警告信号标志和值班人员，对工程进行保护和为公众提供安全和方便。</w:t>
      </w:r>
    </w:p>
    <w:p>
      <w:pPr>
        <w:spacing w:line="420" w:lineRule="exact"/>
        <w:ind w:left="61" w:leftChars="29"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（5）向发包人提供施工场地办公和生活的房屋及设施的数量和时间等要求：</w:t>
      </w:r>
      <w:r>
        <w:rPr>
          <w:rFonts w:hint="eastAsia" w:ascii="仿宋_GB2312" w:hAnsi="仿宋_GB2312" w:eastAsia="仿宋_GB2312" w:cs="仿宋_GB2312"/>
          <w:color w:val="auto"/>
          <w:kern w:val="0"/>
          <w:sz w:val="24"/>
          <w:szCs w:val="24"/>
          <w:highlight w:val="none"/>
          <w:u w:val="single"/>
        </w:rPr>
        <w:t xml:space="preserve">  </w:t>
      </w:r>
      <w:permStart w:id="151" w:edGrp="everyone"/>
      <w:r>
        <w:rPr>
          <w:rFonts w:hint="eastAsia" w:ascii="仿宋_GB2312" w:hAnsi="仿宋_GB2312" w:eastAsia="仿宋_GB2312" w:cs="仿宋_GB2312"/>
          <w:color w:val="auto"/>
          <w:kern w:val="0"/>
          <w:sz w:val="24"/>
          <w:szCs w:val="24"/>
          <w:highlight w:val="none"/>
          <w:u w:val="single"/>
        </w:rPr>
        <w:t>按招标文件要求，其费用含在合同价款中。</w:t>
      </w:r>
      <w:permEnd w:id="151"/>
    </w:p>
    <w:p>
      <w:pPr>
        <w:widowControl w:val="0"/>
        <w:spacing w:after="120" w:line="420" w:lineRule="exact"/>
        <w:ind w:firstLine="480" w:firstLineChars="200"/>
        <w:jc w:val="both"/>
        <w:rPr>
          <w:rFonts w:hint="eastAsia" w:ascii="仿宋_GB2312" w:hAnsi="仿宋_GB2312" w:eastAsia="仿宋_GB2312" w:cs="仿宋_GB2312"/>
          <w:color w:val="auto"/>
          <w:kern w:val="0"/>
          <w:sz w:val="24"/>
          <w:szCs w:val="24"/>
          <w:highlight w:val="none"/>
          <w:u w:val="single"/>
          <w:lang w:val="en-US" w:eastAsia="zh-CN" w:bidi="ar-SA"/>
        </w:rPr>
      </w:pPr>
      <w:r>
        <w:rPr>
          <w:rFonts w:hint="eastAsia" w:ascii="仿宋_GB2312" w:hAnsi="仿宋_GB2312" w:eastAsia="仿宋_GB2312" w:cs="仿宋_GB2312"/>
          <w:color w:val="auto"/>
          <w:kern w:val="0"/>
          <w:sz w:val="24"/>
          <w:szCs w:val="24"/>
          <w:highlight w:val="none"/>
          <w:lang w:val="en-US" w:eastAsia="zh-CN" w:bidi="ar-SA"/>
        </w:rPr>
        <w:t>（6）办完施工场地交通、环境保护、施工噪声、</w:t>
      </w:r>
      <w:r>
        <w:rPr>
          <w:rFonts w:hint="eastAsia" w:ascii="仿宋_GB2312" w:hAnsi="仿宋_GB2312" w:eastAsia="仿宋_GB2312" w:cs="仿宋_GB2312"/>
          <w:color w:val="auto"/>
          <w:kern w:val="2"/>
          <w:sz w:val="24"/>
          <w:szCs w:val="24"/>
          <w:highlight w:val="none"/>
          <w:lang w:val="en-US" w:eastAsia="zh-CN" w:bidi="ar-SA"/>
        </w:rPr>
        <w:t>绿色施工安全防护</w:t>
      </w:r>
      <w:r>
        <w:rPr>
          <w:rFonts w:hint="eastAsia" w:ascii="仿宋_GB2312" w:hAnsi="仿宋_GB2312" w:eastAsia="仿宋_GB2312" w:cs="仿宋_GB2312"/>
          <w:color w:val="auto"/>
          <w:kern w:val="0"/>
          <w:sz w:val="24"/>
          <w:szCs w:val="24"/>
          <w:highlight w:val="none"/>
          <w:lang w:val="en-US" w:eastAsia="zh-CN" w:bidi="ar-SA"/>
        </w:rPr>
        <w:t>等手续的时间：</w:t>
      </w:r>
      <w:permStart w:id="152" w:edGrp="everyone"/>
      <w:r>
        <w:rPr>
          <w:rFonts w:hint="eastAsia" w:ascii="仿宋_GB2312" w:hAnsi="仿宋_GB2312" w:eastAsia="仿宋_GB2312" w:cs="仿宋_GB2312"/>
          <w:color w:val="auto"/>
          <w:kern w:val="0"/>
          <w:sz w:val="24"/>
          <w:szCs w:val="24"/>
          <w:highlight w:val="none"/>
          <w:u w:val="single"/>
          <w:lang w:val="en-US" w:eastAsia="zh-CN" w:bidi="ar-SA"/>
        </w:rPr>
        <w:t xml:space="preserve">       /         </w:t>
      </w:r>
      <w:permEnd w:id="152"/>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（8）做好施工场地地下管线和邻近建筑物、构筑物（包括文物保护建筑）、古树名木保护工作的约定：</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permStart w:id="153" w:edGrp="everyone"/>
      <w:r>
        <w:rPr>
          <w:rFonts w:hint="eastAsia" w:ascii="仿宋_GB2312" w:hAnsi="仿宋_GB2312" w:eastAsia="仿宋_GB2312" w:cs="仿宋_GB2312"/>
          <w:color w:val="auto"/>
          <w:kern w:val="0"/>
          <w:sz w:val="24"/>
          <w:szCs w:val="24"/>
          <w:highlight w:val="none"/>
          <w:u w:val="single"/>
        </w:rPr>
        <w:t>承包人应当贯彻落实中共中央办公厅、国务院办公厅《关于推动城乡建设绿色发展的意见》《关于在城乡建设中加强历史文化保护传承的意见》和《国务院办公厅关于科学绿化的指导意见》《住房和城乡建设部关于在实施城市更新行动中防止大拆大建问题的通知》等文件精神，注重绿化保护、文物保护，施工组织及专项保护方案需征得居民同意并报监理工程师及发包人审核，严格控制大规模拆除大规模增建、大规模搬迁，坚决防止破坏性建设行为。本项目涉及文物保护单位保护范围的，承包人应在专项方案编制完成后报当地文物行政主管部门，取得本项目文物保护单位或文物行政主管部门批复；施工现场挖掘的文物、具有考古价值的物品需妥善保管并立即报告当地文物行政部门。</w:t>
      </w:r>
    </w:p>
    <w:permEnd w:id="153"/>
    <w:p>
      <w:pPr>
        <w:spacing w:line="420" w:lineRule="exact"/>
        <w:ind w:left="101" w:leftChars="48"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（9）保证施工场地的清洁和做好交工前施工现场清理工作的约定：</w:t>
      </w:r>
      <w:permStart w:id="154" w:edGrp="everyone"/>
      <w:r>
        <w:rPr>
          <w:rFonts w:hint="eastAsia" w:ascii="仿宋_GB2312" w:hAnsi="仿宋_GB2312" w:eastAsia="仿宋_GB2312" w:cs="仿宋_GB2312"/>
          <w:color w:val="auto"/>
          <w:kern w:val="0"/>
          <w:sz w:val="24"/>
          <w:szCs w:val="24"/>
          <w:highlight w:val="none"/>
          <w:u w:val="single"/>
        </w:rPr>
        <w:t xml:space="preserve"> 由承包人负责办理场地清理、平整等工作，费用已包含在合同价款中，发包人不另行计量支付。</w:t>
      </w:r>
    </w:p>
    <w:permEnd w:id="154"/>
    <w:p>
      <w:pPr>
        <w:tabs>
          <w:tab w:val="left" w:pos="840"/>
        </w:tabs>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（10）提交竣工验收申请报告和竣工结算文件。</w:t>
      </w:r>
    </w:p>
    <w:p>
      <w:pPr>
        <w:spacing w:line="420" w:lineRule="exact"/>
        <w:ind w:left="12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按通用条款第82.2款规定提交。</w:t>
      </w:r>
    </w:p>
    <w:p>
      <w:pPr>
        <w:spacing w:line="420" w:lineRule="exact"/>
        <w:ind w:left="360" w:leftChars="57" w:hanging="240" w:hanging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r>
        <w:rPr>
          <w:rFonts w:hint="eastAsia" w:ascii="仿宋_GB2312" w:hAnsi="仿宋_GB2312" w:eastAsia="仿宋_GB2312" w:cs="仿宋_GB2312"/>
          <w:color w:val="auto"/>
          <w:kern w:val="0"/>
          <w:sz w:val="24"/>
          <w:szCs w:val="24"/>
          <w:highlight w:val="non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为他人提供方便：1.承包人应当对在施工场地或者附近实施与合同工程有关的其他工作的独立承包人履行管理、协调、配合、照管和服务义务，由此发生的费用被认为已经包括在承包人的签约合同价（投标总报价）中，具体工作内容和要求包括：承包人应在签订合同后的14天内，负责（若合同发包内容不包含相应工作内容及费用的，则为配合）：完成交通疏解方案编制，并向交通管理部门办理道路开挖证；做好本工程施工范围周边的交通疏解工作，根据交警意见做好本工程试围蔽、分段夜间施工、临时修复路面恢复通车，增派临时交通协管员、路标恢复、交通疏解方案调整等一系列协助交通疏解工作，确保施工期间道路周边范围的交通安全不受影响，相关费用已包含在合同价款中。2.承包人还应按监理工程师指示为独立承包人以外的他人在施工场地或者附近实施与合同工程有关的其他工作提供可能的条件，可能发生费用由监理工程师按第23.9款商定或者确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交通疏解无论是否属于本合同发包内容，因承包人原因导致工期延误而增加的交通疏解费用均由承包人承担，且发包人有权在结算款内扣除相关费用。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（12）工程完工后，应按照合同约定提交工程完工验收申请报告和完工结算申请书文件，逾期或者不按规定提交的，发包人有权依据已有资料做出判断并报送给结算审核方，以保证结算的连续性。</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（13）承包人必须接受政府有关部门对本工程的监督，并无条件配合政府指定的审计机构或其他有关部门对本工程的检查、审计等工作，包括并不限于提供工程或账务资料和说明。</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（14）承包人应对施工图、技术资料做认真地复核和检查，有预见性的发现和指正设计缺陷和错误，应提出能实质性地节约资金和缩短工期的建议和措施，并书面通知发包人。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（15）承包人应当清楚地预计到施工期间对外界可能产生的不可避免的干扰，并为此保证主动努力减少这些干扰对外界的影响，且应当积极主动负责与外界进行协调，协调不果，方可书面要求发包人出面协调。</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16）承包人应当清楚并充分预计到在工程前期施工场地征地拆迁工作的各种困难及其对工程进展的不利影响，甚至是严重影响。对此，承包人应积极主动做好协调、配合工作，并尽量创造各种条件和采取各种有效措施，以确保工程顺利推进及工期目标的实现。这种困难或影响不能免除承包人对工期目标未能实现的责任，并不得以此为理由要求顺延工期或增加各种费用。由于施工场地障碍条件或现场各种不利条件发生造成大型机械多次进退场的费用、怠工费、仓保费，均由承包人承担。如确因客观原因或不可抗力等非承包人原因导致的工期延期或费用增加，由双方另行协商。</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17）根据工程需要，承包人应采用计算机信息管理技术建立相应的信息技术网络，以便与发包人、各有关单位进行数据交换，提高工作效率。承包人应负责将网络终端接至发包人、监理人。上述所发生的费用，由承包人承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18）承包人应按发包人提供的冲洗方案做好新装管道的试压、冲洗及消毒工作，上述工作及其产生的管材、管件等材料的采购由承包人自行负责，相关费用已包含在合同价款（耗水费除外）中，由承包人承担；现状管道接驳点的摸查工作和不停水开叉的工作量均包含在合同价款中。</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（19）承包人在覆土前必须测量确定管网支管、阀门、拐点等的坐标，经监理工程师复核确认后方可填土覆盖，其费用已包含在合同价款中。</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如项目根据设计及有关规范需要做好深基坑支护设计及施工的，承包人需充分考虑基坑支护的相关技术及安全措施等工作，如因支护措施不当引起周边地基沉降等问题，所发生的费用及责任由承包人承担。基坑支护施工方案的由承包人自行申报，并由承包人组织专家进行评审，承包人邀请的评审专家人员及资质应取得发包人同意，评审所产生的一切费用已包含在合同价款中，评审费用由承包人承担。承包人应当无条件按专家评审意见进行修改完善基坑支护施工方案。若基坑审查意见认为需进行调整的，则在保证不削弱原设计方案及基坑安全的前提下，承包人按照审查意见进行修改,费用不再另行支付；承包人须在审查批复后7天内提供修改后的实施性施工组织方案。</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21）承包人收到施工图纸后应认真进行现场勘察，积极与道路施工、设计单位和相关部门进行沟通协调，如发现阀门井标高与道路路面最终的实际标高不一致的，应在5天内提出，如在约定时间内未提出，应充分考虑因路面标高相对于施工图调整或配合道路扩建所导致已完工的阀门井需要提升或下降所产生的相关费用，发包人不再对此进行签证或增加费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（22）承包人在施工完工后90天内根据《广州市房屋建筑工程和市政基础设施施工工程竣工验收及备案管理实施办法（试行）》（穗建筑〔2002〕61号）的规定，通过竣工验收并完成竣工验收备案工作。</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（23）承包人在项目竣工验收后，6个月内完成本工程结算工作。</w:t>
      </w:r>
    </w:p>
    <w:p>
      <w:pPr>
        <w:spacing w:line="420" w:lineRule="exact"/>
        <w:ind w:firstLine="480" w:firstLineChars="200"/>
        <w:rPr>
          <w:rFonts w:hint="eastAsia" w:ascii="仿宋_GB2312" w:hAnsi="仿宋_GB2312" w:eastAsia="仿宋_GB2312" w:cs="仿宋_GB2312"/>
          <w:bCs/>
          <w:iCs/>
          <w:color w:val="auto"/>
          <w:kern w:val="0"/>
          <w:sz w:val="24"/>
          <w:szCs w:val="24"/>
          <w:highlight w:val="none"/>
        </w:rPr>
      </w:pPr>
      <w:r>
        <w:rPr>
          <w:rFonts w:hint="eastAsia" w:ascii="仿宋_GB2312" w:hAnsi="仿宋_GB2312" w:eastAsia="仿宋_GB2312" w:cs="仿宋_GB2312"/>
          <w:color w:val="auto"/>
          <w:kern w:val="0"/>
          <w:sz w:val="24"/>
          <w:szCs w:val="24"/>
          <w:highlight w:val="none"/>
        </w:rPr>
        <w:t>（24）</w:t>
      </w:r>
      <w:r>
        <w:rPr>
          <w:rFonts w:hint="eastAsia" w:ascii="仿宋_GB2312" w:hAnsi="仿宋_GB2312" w:eastAsia="仿宋_GB2312" w:cs="仿宋_GB2312"/>
          <w:bCs/>
          <w:iCs/>
          <w:color w:val="auto"/>
          <w:kern w:val="0"/>
          <w:sz w:val="24"/>
          <w:szCs w:val="24"/>
          <w:highlight w:val="none"/>
        </w:rPr>
        <w:t>由承包人负责办理施工许可证、余泥排放证等各种施工证件，并办理</w:t>
      </w:r>
      <w:r>
        <w:rPr>
          <w:rFonts w:hint="eastAsia" w:ascii="仿宋_GB2312" w:hAnsi="仿宋_GB2312" w:eastAsia="仿宋_GB2312" w:cs="仿宋_GB2312"/>
          <w:color w:val="auto"/>
          <w:kern w:val="0"/>
          <w:sz w:val="24"/>
          <w:szCs w:val="24"/>
          <w:highlight w:val="none"/>
        </w:rPr>
        <w:t>质量安全监督登记</w:t>
      </w:r>
      <w:r>
        <w:rPr>
          <w:rFonts w:hint="eastAsia" w:ascii="仿宋_GB2312" w:hAnsi="仿宋_GB2312" w:eastAsia="仿宋_GB2312" w:cs="仿宋_GB2312"/>
          <w:bCs/>
          <w:iCs/>
          <w:color w:val="auto"/>
          <w:kern w:val="0"/>
          <w:sz w:val="24"/>
          <w:szCs w:val="24"/>
          <w:highlight w:val="none"/>
        </w:rPr>
        <w:t>手续。上述所发生的费用，除政府有关规定须由发包人缴付的部分以外，其余部分已</w:t>
      </w:r>
      <w:r>
        <w:rPr>
          <w:rFonts w:hint="eastAsia" w:ascii="仿宋_GB2312" w:hAnsi="仿宋_GB2312" w:eastAsia="仿宋_GB2312" w:cs="仿宋_GB2312"/>
          <w:color w:val="auto"/>
          <w:kern w:val="0"/>
          <w:sz w:val="24"/>
          <w:szCs w:val="24"/>
          <w:highlight w:val="none"/>
        </w:rPr>
        <w:t>包含在合同价款中，</w:t>
      </w:r>
      <w:r>
        <w:rPr>
          <w:rFonts w:hint="eastAsia" w:ascii="仿宋_GB2312" w:hAnsi="仿宋_GB2312" w:eastAsia="仿宋_GB2312" w:cs="仿宋_GB2312"/>
          <w:bCs/>
          <w:iCs/>
          <w:color w:val="auto"/>
          <w:kern w:val="0"/>
          <w:sz w:val="24"/>
          <w:szCs w:val="24"/>
          <w:highlight w:val="none"/>
        </w:rPr>
        <w:t>由承包人承担。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（25）由承包人负责自行解决施工临时用水、临时用电、通讯设施等问题，费用已包含在合同价款中，发包人不另行计量支付。</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（26）承包人负责委托具备勘察测量资质的单位对所提供的道路测量控制桩、水准点和标高进行现场复测，按第46.4款规定执行，其费用已包含在合同价款中。</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27）跨城区的管线工程在施工验收及档案资料移交阶段，承包人提供的地下管线竣工测量数据除了满足当地规划部门、城建档案馆的坐标要求外，还需向发包人提供带有广州市城建坐标系的竣工测量数据。承包人编制的竣工图、提供的竣工测量册应完成测量坐标成果转换的，其费用已包含在合同价款中，发包人不另行支付。</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28）承包人应根据《广东省住房和城乡建设厅转发住房城乡建设部办公厅关于严格落实建筑工程质量终身责任承诺制的通知》（粤建质〔2014〕218号）《住房城乡建设部办公厅关于严格落实建筑工程质量终身责任承诺制的通知》（建办质〔2014〕44号）及其最新版本的要求，办理施工单位法人授权代表书及工程质量终身承诺书。</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（29）管道敷设后，承包人应按照施工图纸要求对管坑马上进行回填，如因回填不及时所引起的责任及经济损失，由承包人承担。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30）承包人在施工过程中，应遵守有关环境保护、水土保持的法律、法规和规章，按发包人委托的第三方监测单位的要求，做好施工期及植被恢复期的环境监测、水土保持等配合工作，由此产生的一切费用已包含在合同价款中，不另行计量支付。</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（31）承包人应与发包人委派的第三方质量监督检测监测单位积极合作，紧密联系，及时提供工作计划和便利条件。结合国家法规、施工图纸、上级行政主管部门的要求完成质量监督工作。</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（32）在合同完成签订的两周内，承包人应按工程质量安全监督的要求完成开工报批手续。</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（33）在项目实施期间，因非承包人原因导致项目需变更的，承包人应在5天内将变更资料报送监理人审批。</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（34）承包人在主体完工后10天内提交经监理工程师审核的完工图等完工管网资料，并在工程完工后的20天内，向发包人提交竣工图。</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35）承包人应当贯彻落实《国务院办公厅关于生态环境保护综合行政执法有关事项的通知》、《广东省人民政府办公厅关于明确生态环境保护综合行政执法有关事项的通知》及《广州市生态环境局关于印发广州市生态环境保护综合行政执法事项指导目录（2021年版）》等文件精神，依法按规落实生态环境保护，项目实施前提交环境保护具体落实方案报监理工程师及发包人审核，项目实施过程中落实环境监察制度，每日上报现场施工环境情况，对于由于施工暂时性造成居民环境影响情况落实整改时限及整改措施，确保施工过程中产生的气体排放物、粉尘、噪声、地面排水及排污等，符合法律规定和发包人要求。</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（36）承包人应做好开工前的准备工作，包括但不限于做好施工放线工作，做好地下管线会签交底，</w:t>
      </w:r>
      <w:r>
        <w:rPr>
          <w:rFonts w:hint="eastAsia" w:ascii="仿宋_GB2312" w:hAnsi="仿宋_GB2312" w:eastAsia="仿宋_GB2312" w:cs="仿宋_GB2312"/>
          <w:color w:val="auto"/>
          <w:sz w:val="24"/>
          <w:szCs w:val="24"/>
          <w:highlight w:val="none"/>
        </w:rPr>
        <w:t>负责（若合同发包内容不包含相应工作内容及费用的，则为配合）</w:t>
      </w:r>
      <w:r>
        <w:rPr>
          <w:rFonts w:hint="eastAsia" w:ascii="仿宋_GB2312" w:hAnsi="仿宋_GB2312" w:eastAsia="仿宋_GB2312" w:cs="仿宋_GB2312"/>
          <w:color w:val="auto"/>
          <w:kern w:val="0"/>
          <w:sz w:val="24"/>
          <w:szCs w:val="24"/>
          <w:highlight w:val="none"/>
        </w:rPr>
        <w:t>编制交通疏导方案（含交通疏导流量评估）报项目所在交通管理部门审批并取得批复意见；</w:t>
      </w:r>
      <w:r>
        <w:rPr>
          <w:rFonts w:hint="eastAsia" w:ascii="仿宋_GB2312" w:hAnsi="仿宋_GB2312" w:eastAsia="仿宋_GB2312" w:cs="仿宋_GB2312"/>
          <w:color w:val="auto"/>
          <w:sz w:val="24"/>
          <w:szCs w:val="24"/>
          <w:highlight w:val="none"/>
        </w:rPr>
        <w:t>负责（若合同发包内容不包含相应工作内容及费用的，则为配合）</w:t>
      </w:r>
      <w:r>
        <w:rPr>
          <w:rFonts w:hint="eastAsia" w:ascii="仿宋_GB2312" w:hAnsi="仿宋_GB2312" w:eastAsia="仿宋_GB2312" w:cs="仿宋_GB2312"/>
          <w:color w:val="auto"/>
          <w:kern w:val="0"/>
          <w:sz w:val="24"/>
          <w:szCs w:val="24"/>
          <w:highlight w:val="none"/>
        </w:rPr>
        <w:t>根据道路行政管理部门的要求委托有资质的道路安全评估单位出具项目涉路、桥梁、隧道等安全评估报告，取得本项目涉路、桥梁、隧道等权属单位的意见，并按照所属道路行政管理部门要求，编制符合要求的专项施工组织方案、路面修复方案等，报所属道路行政管理部门，并取得项目占道挖掘申请等行政许可；承包人负责办理本项目质量登记监督备案及并办理取得项目监管部门的开工批复；项目涉及地铁、河涌、城市绿化范围的，承包人应编制专项评估及保护方案，报相应权属单位审批，完善开工前准备工作。承包人应根据《广州市水务局关于在水务建设工程施工现场安装视频监控系统的通知》要求，做好各项水务质监在建工地的视频监控等信息化建设，落实扬尘防治六个百分百要求，落实海绵城市建设等要求，落实行政部门关于安全文明施工、标准化围蔽等要求（详见附件十、十一、十二），相关费用已包含在投标报价中。</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37）承包人应根据项目特点及相应行政管理部门批准的施工时段，编制符合实际作业时长的标准化施工方案（详见附件十一、十二），流水施工作业环节须满足项目施工安全、进度质量、文明施工围蔽、扬尘防治、噪音控制等要求，做好沿线管线的保护，以确保施工进度、质量及安全。项目所在路段有日间恢复通车等要求的，承包人切实按照交警部门审批要求落实，</w:t>
      </w:r>
      <w:r>
        <w:rPr>
          <w:rFonts w:hint="eastAsia" w:ascii="仿宋_GB2312" w:hAnsi="仿宋_GB2312" w:eastAsia="仿宋_GB2312" w:cs="仿宋_GB2312"/>
          <w:color w:val="auto"/>
          <w:sz w:val="24"/>
          <w:szCs w:val="24"/>
          <w:highlight w:val="none"/>
        </w:rPr>
        <w:t>负责（若合同发包内容不包含相应工作内容及费用的，则为配合）</w:t>
      </w:r>
      <w:r>
        <w:rPr>
          <w:rFonts w:hint="eastAsia" w:ascii="仿宋_GB2312" w:hAnsi="仿宋_GB2312" w:eastAsia="仿宋_GB2312" w:cs="仿宋_GB2312"/>
          <w:color w:val="auto"/>
          <w:kern w:val="0"/>
          <w:sz w:val="24"/>
          <w:szCs w:val="24"/>
          <w:highlight w:val="none"/>
        </w:rPr>
        <w:t>做好凌晨路面的临时修复及交通标线恢复。</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（38）承包人应负责施工期间的周边管线现场交底及保护，按编制专项涉地下管线及涉及的产权设施的专项保护方案实施，施工期间做好于沿线管线及涉及产权设施保护单位的交底工作。</w:t>
      </w:r>
    </w:p>
    <w:p>
      <w:pPr>
        <w:spacing w:line="420" w:lineRule="exact"/>
        <w:ind w:firstLine="480" w:firstLineChars="200"/>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39）承包人应配合发包人做好在建水务工程的信息化建设工作，包括但不限于发包人及上级管理部门、水务质监、各级行政部门的建设工程领域的信息化收集及报送工作，包括纸质的电子化、数据处理及上报资料归集等工作。</w:t>
      </w:r>
      <w:r>
        <w:rPr>
          <w:rFonts w:hint="eastAsia" w:ascii="仿宋_GB2312" w:hAnsi="仿宋_GB2312" w:eastAsia="仿宋_GB2312" w:cs="仿宋_GB2312"/>
          <w:color w:val="auto"/>
          <w:kern w:val="0"/>
          <w:sz w:val="24"/>
          <w:szCs w:val="24"/>
          <w:highlight w:val="none"/>
          <w:lang w:val="en-US" w:eastAsia="zh-CN"/>
        </w:rPr>
        <w:t>承包人在厂站类建筑物建设工程开工前必须在施工点、办公区域、出入口、塔吊等重点部位安装视频监控；在市政管网类建设工程开工前必须配置现场移动视频监控，并上线发包人施工现场远程监控系统，视频监控点位置应尽量满足监控视野覆盖整个施工工程，确保能够实时监控施工过程。</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40）承包人应负责施工现场范围及周边的树木保护工作，根据发包人提供的树木保护专章，按绿化园林行政部门要求，编制本工程专项树木保护方案，经监理工程师审核后报发包人审批后方可实施，如承包人不具备相应施工资质的，承包人可根据合同分包条款约定，委托具备相关专业资质的单位实施。由此发生的树木保护迁移费用，经发包人或委托的第三方咨询机构审定后，由发包人列入合同价款中，支付给承包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（41）承包人应加强施工现场管理，严格按照《中华人民共和国公路法》《中华人民共和国道路交通安全法》《道路交通标志标线第 4 部分：作业区》GB5768.4-2017)《城市道路占道施工交通组织和安全措施设置》《广州市交通运输局关于进一步规范设置占道施工公示牌的通知》(穗交运函 〔2022〕523 号《机动车道挖掘修复技术方案指引(试行)》(穗交运函 〔2022〕691号)《广州市建设工程绿色施工围蔽指导图集 (V2.0 版)》《广州水投集团关于印发建设工程绿色施工围蔽指导图集 (试行)的通知》等相关法律法规、技术规范、标准</w:t>
      </w:r>
      <w:r>
        <w:rPr>
          <w:rFonts w:hint="eastAsia" w:ascii="仿宋_GB2312" w:hAnsi="仿宋_GB2312" w:eastAsia="仿宋_GB2312" w:cs="仿宋_GB2312"/>
          <w:color w:val="auto"/>
          <w:sz w:val="24"/>
          <w:szCs w:val="24"/>
          <w:highlight w:val="none"/>
        </w:rPr>
        <w:t>负责（若合同发包内容不包含相应工作内容及费用的，则为配合）</w:t>
      </w:r>
      <w:r>
        <w:rPr>
          <w:rFonts w:hint="eastAsia" w:ascii="仿宋_GB2312" w:hAnsi="仿宋_GB2312" w:eastAsia="仿宋_GB2312" w:cs="仿宋_GB2312"/>
          <w:color w:val="auto"/>
          <w:kern w:val="0"/>
          <w:sz w:val="24"/>
          <w:szCs w:val="24"/>
          <w:highlight w:val="none"/>
        </w:rPr>
        <w:t>做好施工围蔽，设置占道施工公示牌、占道施工信息二维码公示牌，安装警示灯、车辆导向牌等施工标识，做好扬尘控制、噪声污染防治、道路修复等工作。</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42）承包人应做好占道施工作业现场安全文明施工管理。严格按照批准的施工组织方案实施，不得擅自扩大开挖和围蔽范围，在围蔽范围内规范摆放施工材料及机具，按规定设置必要临时设施:严格落实经审批通过的交通疏解方案做好围蔽施工、亮证施工，</w:t>
      </w:r>
      <w:r>
        <w:rPr>
          <w:rFonts w:hint="eastAsia" w:ascii="仿宋_GB2312" w:hAnsi="仿宋_GB2312" w:eastAsia="仿宋_GB2312" w:cs="仿宋_GB2312"/>
          <w:color w:val="auto"/>
          <w:sz w:val="24"/>
          <w:szCs w:val="24"/>
          <w:highlight w:val="none"/>
        </w:rPr>
        <w:t>负责（若合同发包内容不包含相应工作内容及费用的，则为配合）</w:t>
      </w:r>
      <w:r>
        <w:rPr>
          <w:rFonts w:hint="eastAsia" w:ascii="仿宋_GB2312" w:hAnsi="仿宋_GB2312" w:eastAsia="仿宋_GB2312" w:cs="仿宋_GB2312"/>
          <w:color w:val="auto"/>
          <w:kern w:val="0"/>
          <w:sz w:val="24"/>
          <w:szCs w:val="24"/>
          <w:highlight w:val="none"/>
        </w:rPr>
        <w:t>按规定设置交通导向标志，做好交通疏导措施;严格按照《广州市交通运输局 广州市公安局交通警察支队关于印发占道工程施工路段责任管理工作意见的通知》(穗交运函 〔2022〕102 号) 要求,明确施工路段段长安全员、交通协管员，落实施工路段段长制，确保施工范围及施工影响范围内的交通安全和畅通:严格做好施工路段保洁工作，保证作业现场符合安全文明施工相关规定。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（43）如需占道施工，承包人应按国家、地方、行业主管部门关于占道施工道路修复的最新规定或技术规范、标准等以及发包人要求进行施工及现场管理，做好道路修复工作。</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（44）承包人应当按《广州市自来水有限公司外包事项安全管理办法》做好相关安全工作。</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（45）工程完工后1个月内，承包人应当完成资产清单的编制，工程完工后3个月内，承包人应当与发包人完成资产实物清点工作，如逾期未完成上述资产实物清点工作的，承包人应当向发包人支付合同价款的</w:t>
      </w:r>
      <w:permStart w:id="155" w:edGrp="everyone"/>
      <w:r>
        <w:rPr>
          <w:rFonts w:hint="eastAsia" w:ascii="仿宋_GB2312" w:hAnsi="仿宋_GB2312" w:eastAsia="仿宋_GB2312" w:cs="仿宋_GB2312"/>
          <w:color w:val="auto"/>
          <w:kern w:val="0"/>
          <w:sz w:val="24"/>
          <w:szCs w:val="24"/>
          <w:highlight w:val="none"/>
          <w:u w:val="single"/>
        </w:rPr>
        <w:t xml:space="preserve"> 1‰/天 </w:t>
      </w:r>
      <w:permEnd w:id="155"/>
      <w:r>
        <w:rPr>
          <w:rFonts w:hint="eastAsia" w:ascii="仿宋_GB2312" w:hAnsi="仿宋_GB2312" w:eastAsia="仿宋_GB2312" w:cs="仿宋_GB2312"/>
          <w:color w:val="auto"/>
          <w:kern w:val="0"/>
          <w:sz w:val="24"/>
          <w:szCs w:val="24"/>
          <w:highlight w:val="none"/>
        </w:rPr>
        <w:t>作为违约金。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（46）对于承包人各类别的主要负责人，如承包人代表、技术负责人、安全负责人等在施工过程资料中负责签名审核的人员，应当在合同签订后 5 天内提交上述人员的签名备案表至发包人备案，如逾期未提供的，承包人应当向发包人支付合同价款的</w:t>
      </w:r>
      <w:permStart w:id="156" w:edGrp="everyone"/>
      <w:r>
        <w:rPr>
          <w:rFonts w:hint="eastAsia" w:ascii="仿宋_GB2312" w:hAnsi="仿宋_GB2312" w:eastAsia="仿宋_GB2312" w:cs="仿宋_GB2312"/>
          <w:color w:val="auto"/>
          <w:kern w:val="0"/>
          <w:sz w:val="24"/>
          <w:szCs w:val="24"/>
          <w:highlight w:val="none"/>
          <w:u w:val="single"/>
        </w:rPr>
        <w:t xml:space="preserve"> 1‰ </w:t>
      </w:r>
      <w:permEnd w:id="156"/>
      <w:r>
        <w:rPr>
          <w:rFonts w:hint="eastAsia" w:ascii="仿宋_GB2312" w:hAnsi="仿宋_GB2312" w:eastAsia="仿宋_GB2312" w:cs="仿宋_GB2312"/>
          <w:color w:val="auto"/>
          <w:kern w:val="0"/>
          <w:sz w:val="24"/>
          <w:szCs w:val="24"/>
          <w:highlight w:val="none"/>
        </w:rPr>
        <w:t>作为违约金。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（47）承包人应将施工日报、月报、施工日志、工程量计量等施工过程资料在 5 天内及时录入发包人综合管理系统进行统一管理，如逾期未及时录入上述资料的，承包人应当向发包人支付合同价款的</w:t>
      </w:r>
      <w:permStart w:id="157" w:edGrp="everyone"/>
      <w:r>
        <w:rPr>
          <w:rFonts w:hint="eastAsia" w:ascii="仿宋_GB2312" w:hAnsi="仿宋_GB2312" w:eastAsia="仿宋_GB2312" w:cs="仿宋_GB2312"/>
          <w:color w:val="auto"/>
          <w:kern w:val="0"/>
          <w:sz w:val="24"/>
          <w:szCs w:val="24"/>
          <w:highlight w:val="none"/>
          <w:u w:val="single"/>
        </w:rPr>
        <w:t xml:space="preserve"> 0.1‰</w:t>
      </w:r>
      <w:permEnd w:id="157"/>
      <w:r>
        <w:rPr>
          <w:rFonts w:hint="eastAsia" w:ascii="仿宋_GB2312" w:hAnsi="仿宋_GB2312" w:eastAsia="仿宋_GB2312" w:cs="仿宋_GB2312"/>
          <w:color w:val="auto"/>
          <w:kern w:val="0"/>
          <w:sz w:val="24"/>
          <w:szCs w:val="24"/>
          <w:highlight w:val="none"/>
        </w:rPr>
        <w:t>作为违约金。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48）承包人应按照《广州市水务局关于做好水务建设工地务工人员健康管理的通知》文件要求，做好建设工地务工人员现场健康管理相关工作，包括但不限于统筹相关费用、落实务工人员进场前健康体检、配备工地现场务工人员健康管理员、根据务工人员实际身体健康情况安排相对应岗位工作、根据工程项目务工人员实际情况选择符合要求的医疗机构开展每年不少于1次的体检工作、重视施工过程中日常健康检查配备血压计体温测量仪等医疗日常检查设备及相关急救药品和定期对务工人员进行血压测量健康状况观察等例行检查、对务工人员录入实名制管理系统等。</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20.3 承包人提供施工所需劳务、材料、国产设备、施工设备和其他物品的约定： 除第48条、第51条约定的应由发包人供应的材料和工程设备，以及由发包人提供的施工设备和临时设施外，承包人应负责提供为完成合同工作所需的劳务、材料、施工设备、工程设备和其他物品，并按合同约定负责临时设施的设计、建造、运行、维护、管理和拆除等工作。</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20.4 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和发包人同意。</w:t>
      </w:r>
      <w:bookmarkStart w:id="627" w:name="_Toc10624936"/>
      <w:bookmarkStart w:id="628" w:name="_Toc469384092"/>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21. 现场管理人员任命和更换</w:t>
      </w:r>
      <w:bookmarkEnd w:id="627"/>
      <w:bookmarkEnd w:id="628"/>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21.1 发包人现场管理人员任命和更换：</w:t>
      </w:r>
      <w:permStart w:id="158" w:edGrp="everyone"/>
      <w:r>
        <w:rPr>
          <w:rFonts w:hint="eastAsia" w:ascii="仿宋_GB2312" w:hAnsi="仿宋_GB2312" w:eastAsia="仿宋_GB2312" w:cs="仿宋_GB2312"/>
          <w:color w:val="auto"/>
          <w:kern w:val="0"/>
          <w:sz w:val="24"/>
          <w:szCs w:val="24"/>
          <w:highlight w:val="none"/>
          <w:u w:val="single"/>
        </w:rPr>
        <w:t xml:space="preserve">    按通用条款21.1款约定   </w:t>
      </w:r>
      <w:permEnd w:id="158"/>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21.2 承包人代表任命和更换：在本工程验收前承包人不得更换承包人代表。如承包人代表发生人身意外、突发重大疾病、行政或刑事拘留等特殊情况，承包人确需更换承包人代表的，应至少提前7天以书面形式通知发包人，并征得发包人书面同意，通知中应当载明继任承包人代表的注册执业资格或职称、管理经验等资料，继任承包人代表应继续履行</w:t>
      </w:r>
      <w:r>
        <w:rPr>
          <w:rFonts w:hint="eastAsia" w:ascii="仿宋_GB2312" w:hAnsi="仿宋_GB2312" w:eastAsia="仿宋_GB2312" w:cs="仿宋_GB2312"/>
          <w:color w:val="auto"/>
          <w:sz w:val="24"/>
          <w:szCs w:val="24"/>
          <w:highlight w:val="none"/>
        </w:rPr>
        <w:t>合同约定的承包人代表的职权及相应义务。</w:t>
      </w:r>
      <w:r>
        <w:rPr>
          <w:rFonts w:hint="eastAsia" w:ascii="仿宋_GB2312" w:hAnsi="仿宋_GB2312" w:eastAsia="仿宋_GB2312" w:cs="仿宋_GB2312"/>
          <w:color w:val="auto"/>
          <w:kern w:val="0"/>
          <w:sz w:val="24"/>
          <w:szCs w:val="24"/>
          <w:highlight w:val="none"/>
        </w:rPr>
        <w:t>拟更换人员的资质、学历、职称、业绩、实际工作能力不得低于原投标书中所承诺人员的综合素质，且不得同时在其他工程项目中担任承包人代表。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21.3 监理工程师代表任命和撤回：</w:t>
      </w:r>
      <w:permStart w:id="159" w:edGrp="everyone"/>
      <w:r>
        <w:rPr>
          <w:rFonts w:hint="eastAsia" w:ascii="仿宋_GB2312" w:hAnsi="仿宋_GB2312" w:eastAsia="仿宋_GB2312" w:cs="仿宋_GB2312"/>
          <w:color w:val="auto"/>
          <w:kern w:val="0"/>
          <w:sz w:val="24"/>
          <w:szCs w:val="24"/>
          <w:highlight w:val="none"/>
          <w:u w:val="single"/>
        </w:rPr>
        <w:t xml:space="preserve">    按通用条款21.1款约定     </w:t>
      </w:r>
      <w:permEnd w:id="159"/>
    </w:p>
    <w:p>
      <w:pPr>
        <w:spacing w:line="420" w:lineRule="exact"/>
        <w:ind w:left="12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造价工程师代表任命和撤回：</w:t>
      </w:r>
      <w:permStart w:id="160" w:edGrp="everyone"/>
      <w:r>
        <w:rPr>
          <w:rFonts w:hint="eastAsia" w:ascii="仿宋_GB2312" w:hAnsi="仿宋_GB2312" w:eastAsia="仿宋_GB2312" w:cs="仿宋_GB2312"/>
          <w:color w:val="auto"/>
          <w:kern w:val="0"/>
          <w:sz w:val="24"/>
          <w:szCs w:val="24"/>
          <w:highlight w:val="none"/>
          <w:u w:val="single"/>
        </w:rPr>
        <w:t xml:space="preserve">     按通用条款21.1款约定     </w:t>
      </w:r>
      <w:permEnd w:id="160"/>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21.4 承包人代表授权人选任命和撤回：</w:t>
      </w:r>
      <w:permStart w:id="161" w:edGrp="everyone"/>
      <w:r>
        <w:rPr>
          <w:rFonts w:hint="eastAsia" w:ascii="仿宋_GB2312" w:hAnsi="仿宋_GB2312" w:eastAsia="仿宋_GB2312" w:cs="仿宋_GB2312"/>
          <w:color w:val="auto"/>
          <w:kern w:val="0"/>
          <w:sz w:val="24"/>
          <w:szCs w:val="24"/>
          <w:highlight w:val="none"/>
          <w:u w:val="single"/>
        </w:rPr>
        <w:t xml:space="preserve">  承包人代表授权人未经监理人及发包人同意，不得更换。如确属特殊情况需更换的，须提前7天书面向总监理工程师及发包人申请，并附拟更换人员的详细资料，待监理人及发包人审核批准后才可更换。承包人必须保证所更换人员的资质、资历、业绩、实际工作能力不低于原投标所承诺的人员素质</w:t>
      </w:r>
      <w:r>
        <w:rPr>
          <w:rFonts w:hint="eastAsia" w:ascii="仿宋_GB2312" w:hAnsi="仿宋_GB2312" w:eastAsia="仿宋_GB2312" w:cs="仿宋_GB2312"/>
          <w:color w:val="auto"/>
          <w:kern w:val="0"/>
          <w:sz w:val="24"/>
          <w:szCs w:val="24"/>
          <w:highlight w:val="none"/>
          <w:u w:val="single"/>
          <w:lang w:eastAsia="zh-CN"/>
        </w:rPr>
        <w:t>。</w:t>
      </w:r>
      <w:r>
        <w:rPr>
          <w:rFonts w:hint="eastAsia" w:ascii="仿宋_GB2312" w:hAnsi="仿宋_GB2312" w:eastAsia="仿宋_GB2312" w:cs="仿宋_GB2312"/>
          <w:color w:val="auto"/>
          <w:kern w:val="0"/>
          <w:sz w:val="24"/>
          <w:szCs w:val="24"/>
          <w:highlight w:val="none"/>
          <w:u w:val="single"/>
        </w:rPr>
        <w:t xml:space="preserve">  </w:t>
      </w:r>
      <w:permEnd w:id="161"/>
      <w:bookmarkStart w:id="629" w:name="_Toc469384093"/>
      <w:bookmarkStart w:id="630" w:name="_Toc10624937"/>
    </w:p>
    <w:p>
      <w:pPr>
        <w:spacing w:line="420" w:lineRule="exact"/>
        <w:rPr>
          <w:rFonts w:hint="eastAsia" w:ascii="仿宋_GB2312" w:hAnsi="仿宋_GB2312" w:eastAsia="仿宋_GB2312" w:cs="仿宋_GB2312"/>
          <w:color w:val="auto"/>
          <w:kern w:val="0"/>
          <w:sz w:val="24"/>
          <w:szCs w:val="24"/>
          <w:highlight w:val="none"/>
          <w:u w:val="singl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22. 发包人代表</w:t>
      </w:r>
      <w:bookmarkEnd w:id="629"/>
      <w:bookmarkEnd w:id="630"/>
    </w:p>
    <w:p>
      <w:pPr>
        <w:spacing w:line="420" w:lineRule="exact"/>
        <w:ind w:left="120"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22.1 发包人代表及其权力的限制</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（1）发包人任命（</w:t>
      </w:r>
      <w:permStart w:id="162" w:edGrp="everyone"/>
      <w:r>
        <w:rPr>
          <w:rFonts w:hint="eastAsia" w:ascii="仿宋_GB2312" w:hAnsi="仿宋_GB2312" w:eastAsia="仿宋_GB2312" w:cs="仿宋_GB2312"/>
          <w:color w:val="auto"/>
          <w:kern w:val="0"/>
          <w:sz w:val="24"/>
          <w:szCs w:val="24"/>
          <w:highlight w:val="none"/>
        </w:rPr>
        <w:t xml:space="preserve">              </w:t>
      </w:r>
      <w:permEnd w:id="162"/>
      <w:r>
        <w:rPr>
          <w:rFonts w:hint="eastAsia" w:ascii="仿宋_GB2312" w:hAnsi="仿宋_GB2312" w:eastAsia="仿宋_GB2312" w:cs="仿宋_GB2312"/>
          <w:color w:val="auto"/>
          <w:kern w:val="0"/>
          <w:sz w:val="24"/>
          <w:szCs w:val="24"/>
          <w:highlight w:val="none"/>
        </w:rPr>
        <w:t>）为发包人代表，其通讯方式为</w:t>
      </w:r>
    </w:p>
    <w:p>
      <w:pPr>
        <w:spacing w:line="420" w:lineRule="exact"/>
        <w:ind w:left="12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 xml:space="preserve">     通讯地址：</w:t>
      </w:r>
      <w:permStart w:id="163" w:edGrp="everyone"/>
      <w:r>
        <w:rPr>
          <w:rFonts w:hint="eastAsia" w:ascii="仿宋_GB2312" w:hAnsi="仿宋_GB2312" w:eastAsia="仿宋_GB2312" w:cs="仿宋_GB2312"/>
          <w:color w:val="auto"/>
          <w:kern w:val="0"/>
          <w:sz w:val="24"/>
          <w:szCs w:val="24"/>
          <w:highlight w:val="none"/>
          <w:u w:val="single"/>
        </w:rPr>
        <w:t xml:space="preserve">                              </w:t>
      </w:r>
      <w:permEnd w:id="163"/>
      <w:r>
        <w:rPr>
          <w:rFonts w:hint="eastAsia" w:ascii="仿宋_GB2312" w:hAnsi="仿宋_GB2312" w:eastAsia="仿宋_GB2312" w:cs="仿宋_GB2312"/>
          <w:color w:val="auto"/>
          <w:kern w:val="0"/>
          <w:sz w:val="24"/>
          <w:szCs w:val="24"/>
          <w:highlight w:val="none"/>
        </w:rPr>
        <w:t xml:space="preserve"> 邮政编码：</w:t>
      </w:r>
      <w:permStart w:id="164" w:edGrp="everyone"/>
      <w:r>
        <w:rPr>
          <w:rFonts w:hint="eastAsia" w:ascii="仿宋_GB2312" w:hAnsi="仿宋_GB2312" w:eastAsia="仿宋_GB2312" w:cs="仿宋_GB2312"/>
          <w:color w:val="auto"/>
          <w:kern w:val="0"/>
          <w:sz w:val="24"/>
          <w:szCs w:val="24"/>
          <w:highlight w:val="none"/>
          <w:u w:val="single"/>
        </w:rPr>
        <w:t xml:space="preserve">            </w:t>
      </w:r>
      <w:permEnd w:id="164"/>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联系电话：</w:t>
      </w:r>
      <w:permStart w:id="165" w:edGrp="everyone"/>
      <w:r>
        <w:rPr>
          <w:rFonts w:hint="eastAsia" w:ascii="仿宋_GB2312" w:hAnsi="仿宋_GB2312" w:eastAsia="仿宋_GB2312" w:cs="仿宋_GB2312"/>
          <w:color w:val="auto"/>
          <w:sz w:val="24"/>
          <w:szCs w:val="24"/>
          <w:highlight w:val="none"/>
          <w:u w:val="single"/>
        </w:rPr>
        <w:t xml:space="preserve">                              </w:t>
      </w:r>
      <w:permEnd w:id="165"/>
      <w:r>
        <w:rPr>
          <w:rFonts w:hint="eastAsia" w:ascii="仿宋_GB2312" w:hAnsi="仿宋_GB2312" w:eastAsia="仿宋_GB2312" w:cs="仿宋_GB2312"/>
          <w:color w:val="auto"/>
          <w:sz w:val="24"/>
          <w:szCs w:val="24"/>
          <w:highlight w:val="none"/>
        </w:rPr>
        <w:t xml:space="preserve"> 传真号码：</w:t>
      </w:r>
      <w:permStart w:id="166" w:edGrp="everyone"/>
      <w:r>
        <w:rPr>
          <w:rFonts w:hint="eastAsia" w:ascii="仿宋_GB2312" w:hAnsi="仿宋_GB2312" w:eastAsia="仿宋_GB2312" w:cs="仿宋_GB2312"/>
          <w:color w:val="auto"/>
          <w:sz w:val="24"/>
          <w:szCs w:val="24"/>
          <w:highlight w:val="none"/>
          <w:u w:val="single"/>
        </w:rPr>
        <w:t xml:space="preserve">            </w:t>
      </w:r>
      <w:permEnd w:id="166"/>
      <w:r>
        <w:rPr>
          <w:rFonts w:hint="eastAsia" w:ascii="仿宋_GB2312" w:hAnsi="仿宋_GB2312" w:eastAsia="仿宋_GB2312" w:cs="仿宋_GB2312"/>
          <w:color w:val="auto"/>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（2）发包人对发包人代表权力做如下限制：</w:t>
      </w:r>
      <w:permStart w:id="167"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67"/>
      <w:r>
        <w:rPr>
          <w:rFonts w:hint="eastAsia" w:ascii="仿宋_GB2312" w:hAnsi="仿宋_GB2312" w:eastAsia="仿宋_GB2312" w:cs="仿宋_GB2312"/>
          <w:color w:val="auto"/>
          <w:sz w:val="24"/>
          <w:szCs w:val="24"/>
          <w:highlight w:val="none"/>
          <w:u w:val="single"/>
        </w:rPr>
        <w:t xml:space="preserve">  </w:t>
      </w:r>
      <w:bookmarkStart w:id="631" w:name="_Toc469384094"/>
      <w:bookmarkStart w:id="632" w:name="_Toc10624938"/>
    </w:p>
    <w:p>
      <w:pPr>
        <w:spacing w:line="420" w:lineRule="exact"/>
        <w:ind w:firstLine="482" w:firstLineChars="200"/>
        <w:rPr>
          <w:rFonts w:hint="eastAsia" w:ascii="仿宋_GB2312" w:hAnsi="仿宋_GB2312" w:eastAsia="仿宋_GB2312" w:cs="仿宋_GB2312"/>
          <w:b/>
          <w:bCs/>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23. 监理工程师</w:t>
      </w:r>
      <w:bookmarkEnd w:id="631"/>
      <w:bookmarkEnd w:id="632"/>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23.1 负责合同工程的监理人及任命的监理工程师</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（1）监理人：</w:t>
      </w:r>
      <w:permStart w:id="168" w:edGrp="everyone"/>
      <w:r>
        <w:rPr>
          <w:rFonts w:hint="eastAsia" w:ascii="仿宋_GB2312" w:hAnsi="仿宋_GB2312" w:eastAsia="仿宋_GB2312" w:cs="仿宋_GB2312"/>
          <w:color w:val="auto"/>
          <w:sz w:val="24"/>
          <w:szCs w:val="24"/>
          <w:highlight w:val="none"/>
          <w:u w:val="single"/>
        </w:rPr>
        <w:t xml:space="preserve">                            </w:t>
      </w:r>
      <w:permEnd w:id="168"/>
      <w:r>
        <w:rPr>
          <w:rFonts w:hint="eastAsia" w:ascii="仿宋_GB2312" w:hAnsi="仿宋_GB2312" w:eastAsia="仿宋_GB2312" w:cs="仿宋_GB2312"/>
          <w:color w:val="auto"/>
          <w:sz w:val="24"/>
          <w:szCs w:val="24"/>
          <w:highlight w:val="none"/>
        </w:rPr>
        <w:t xml:space="preserve"> 法定代表人：</w:t>
      </w:r>
      <w:permStart w:id="169" w:edGrp="everyone"/>
      <w:r>
        <w:rPr>
          <w:rFonts w:hint="eastAsia" w:ascii="仿宋_GB2312" w:hAnsi="仿宋_GB2312" w:eastAsia="仿宋_GB2312" w:cs="仿宋_GB2312"/>
          <w:color w:val="auto"/>
          <w:sz w:val="24"/>
          <w:szCs w:val="24"/>
          <w:highlight w:val="none"/>
          <w:u w:val="single"/>
        </w:rPr>
        <w:t xml:space="preserve">           </w:t>
      </w:r>
      <w:permEnd w:id="169"/>
      <w:r>
        <w:rPr>
          <w:rFonts w:hint="eastAsia" w:ascii="仿宋_GB2312" w:hAnsi="仿宋_GB2312" w:eastAsia="仿宋_GB2312" w:cs="仿宋_GB2312"/>
          <w:color w:val="auto"/>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（2）任命（</w:t>
      </w:r>
      <w:permStart w:id="170" w:edGrp="everyone"/>
      <w:r>
        <w:rPr>
          <w:rFonts w:hint="eastAsia" w:ascii="仿宋_GB2312" w:hAnsi="仿宋_GB2312" w:eastAsia="仿宋_GB2312" w:cs="仿宋_GB2312"/>
          <w:color w:val="auto"/>
          <w:sz w:val="24"/>
          <w:szCs w:val="24"/>
          <w:highlight w:val="none"/>
        </w:rPr>
        <w:t xml:space="preserve">               </w:t>
      </w:r>
      <w:permEnd w:id="170"/>
      <w:r>
        <w:rPr>
          <w:rFonts w:hint="eastAsia" w:ascii="仿宋_GB2312" w:hAnsi="仿宋_GB2312" w:eastAsia="仿宋_GB2312" w:cs="仿宋_GB2312"/>
          <w:color w:val="auto"/>
          <w:sz w:val="24"/>
          <w:szCs w:val="24"/>
          <w:highlight w:val="none"/>
        </w:rPr>
        <w:t>）为监理工程师，其通讯方式为</w:t>
      </w:r>
    </w:p>
    <w:p>
      <w:pPr>
        <w:spacing w:line="420" w:lineRule="exact"/>
        <w:ind w:left="12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kern w:val="0"/>
          <w:sz w:val="24"/>
          <w:szCs w:val="24"/>
          <w:highlight w:val="none"/>
        </w:rPr>
        <w:t>通讯地址：</w:t>
      </w:r>
      <w:permStart w:id="171" w:edGrp="everyone"/>
      <w:r>
        <w:rPr>
          <w:rFonts w:hint="eastAsia" w:ascii="仿宋_GB2312" w:hAnsi="仿宋_GB2312" w:eastAsia="仿宋_GB2312" w:cs="仿宋_GB2312"/>
          <w:color w:val="auto"/>
          <w:kern w:val="0"/>
          <w:sz w:val="24"/>
          <w:szCs w:val="24"/>
          <w:highlight w:val="none"/>
          <w:u w:val="single"/>
        </w:rPr>
        <w:t xml:space="preserve">                              </w:t>
      </w:r>
      <w:permEnd w:id="171"/>
      <w:r>
        <w:rPr>
          <w:rFonts w:hint="eastAsia" w:ascii="仿宋_GB2312" w:hAnsi="仿宋_GB2312" w:eastAsia="仿宋_GB2312" w:cs="仿宋_GB2312"/>
          <w:color w:val="auto"/>
          <w:kern w:val="0"/>
          <w:sz w:val="24"/>
          <w:szCs w:val="24"/>
          <w:highlight w:val="none"/>
        </w:rPr>
        <w:t xml:space="preserve"> 邮政编码：</w:t>
      </w:r>
      <w:permStart w:id="172" w:edGrp="everyone"/>
      <w:r>
        <w:rPr>
          <w:rFonts w:hint="eastAsia" w:ascii="仿宋_GB2312" w:hAnsi="仿宋_GB2312" w:eastAsia="仿宋_GB2312" w:cs="仿宋_GB2312"/>
          <w:color w:val="auto"/>
          <w:kern w:val="0"/>
          <w:sz w:val="24"/>
          <w:szCs w:val="24"/>
          <w:highlight w:val="none"/>
          <w:u w:val="single"/>
        </w:rPr>
        <w:t xml:space="preserve">              </w:t>
      </w:r>
      <w:permEnd w:id="172"/>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联系电话：</w:t>
      </w:r>
      <w:permStart w:id="173" w:edGrp="everyone"/>
      <w:r>
        <w:rPr>
          <w:rFonts w:hint="eastAsia" w:ascii="仿宋_GB2312" w:hAnsi="仿宋_GB2312" w:eastAsia="仿宋_GB2312" w:cs="仿宋_GB2312"/>
          <w:color w:val="auto"/>
          <w:sz w:val="24"/>
          <w:szCs w:val="24"/>
          <w:highlight w:val="none"/>
          <w:u w:val="single"/>
        </w:rPr>
        <w:t xml:space="preserve">                              </w:t>
      </w:r>
      <w:permEnd w:id="173"/>
      <w:r>
        <w:rPr>
          <w:rFonts w:hint="eastAsia" w:ascii="仿宋_GB2312" w:hAnsi="仿宋_GB2312" w:eastAsia="仿宋_GB2312" w:cs="仿宋_GB2312"/>
          <w:color w:val="auto"/>
          <w:sz w:val="24"/>
          <w:szCs w:val="24"/>
          <w:highlight w:val="none"/>
        </w:rPr>
        <w:t xml:space="preserve"> 传真号码：</w:t>
      </w:r>
      <w:permStart w:id="174" w:edGrp="everyone"/>
      <w:r>
        <w:rPr>
          <w:rFonts w:hint="eastAsia" w:ascii="仿宋_GB2312" w:hAnsi="仿宋_GB2312" w:eastAsia="仿宋_GB2312" w:cs="仿宋_GB2312"/>
          <w:color w:val="auto"/>
          <w:sz w:val="24"/>
          <w:szCs w:val="24"/>
          <w:highlight w:val="none"/>
          <w:u w:val="single"/>
        </w:rPr>
        <w:t xml:space="preserve">             </w:t>
      </w:r>
      <w:permEnd w:id="174"/>
      <w:r>
        <w:rPr>
          <w:rFonts w:hint="eastAsia" w:ascii="仿宋_GB2312" w:hAnsi="仿宋_GB2312" w:eastAsia="仿宋_GB2312" w:cs="仿宋_GB2312"/>
          <w:color w:val="auto"/>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23.3 (12)需要发包人批准的其他事项：</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23.8 监理工程师的宽恕</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理工程师或者发包人就承包人对合同约定的任何责任和义务的某种违约行为的宽恕，不影响监理工程师和发包人在此后的任何时间严格按合同约定处理承包人的其它违约行为，也不意味发包人放弃合同约定的发包人与上述违约有关的任何权利和赔偿要求。</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23.9 商定或确定</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（1）合同约定监理工程师应按照本款对任何事项进行商定或确定时，监理工程师应与合同当事人协商，尽量达成一致。不能达成一致的，监理工程师应认真研究后审慎确定。</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监理工程师应将商定或确定的事项通知合同当事人，并附详细依据。对监理工程师的确定有异议的，构成争议，按照第86条的约定处理。在争议解决前，双方应暂按监理工程师的确定执行，按照第86条的约定对监理工程师的确定作出修改的，按修改后的结果执行。</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23.10 发包人委托的建设管理方及派驻的工程师（如有，应当按双方约定的职责执行）发包人委托建设管理方承担工程建设管理。</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建设管理方：</w:t>
      </w:r>
      <w:permStart w:id="175"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75"/>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建设管理方派驻的工程师：</w:t>
      </w:r>
      <w:permStart w:id="176"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76"/>
      <w:r>
        <w:rPr>
          <w:rFonts w:hint="eastAsia" w:ascii="仿宋_GB2312" w:hAnsi="仿宋_GB2312" w:eastAsia="仿宋_GB2312" w:cs="仿宋_GB2312"/>
          <w:color w:val="auto"/>
          <w:sz w:val="24"/>
          <w:szCs w:val="24"/>
          <w:highlight w:val="none"/>
        </w:rPr>
        <w:t xml:space="preserve"> 职务：</w:t>
      </w:r>
      <w:permStart w:id="177" w:edGrp="everyone"/>
      <w:r>
        <w:rPr>
          <w:rFonts w:hint="eastAsia" w:ascii="仿宋_GB2312" w:hAnsi="仿宋_GB2312" w:eastAsia="仿宋_GB2312" w:cs="仿宋_GB2312"/>
          <w:color w:val="auto"/>
          <w:sz w:val="24"/>
          <w:szCs w:val="24"/>
          <w:highlight w:val="none"/>
          <w:u w:val="single"/>
        </w:rPr>
        <w:t xml:space="preserve">工程师 </w:t>
      </w:r>
      <w:permEnd w:id="177"/>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发包人委托的职权：在授权范围内处理现场相关事宜，检查和监督承包人和监理人执行合同，会同相关部门协调组织技术交底、审批施工组织设计、组织计量工作及办理合同支付、参与设计变更会审、组织竣工验收等，详见双方约定的职责和委托人下发的《工程建设管理办法》。 </w:t>
      </w:r>
      <w:bookmarkStart w:id="633" w:name="_Toc10624939"/>
      <w:bookmarkStart w:id="634" w:name="_Toc469384095"/>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24. 造价工程师</w:t>
      </w:r>
      <w:bookmarkEnd w:id="633"/>
      <w:bookmarkEnd w:id="634"/>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24.1 负责合同工程的造价咨询单位及任命的造价工程师</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（1）工程造价咨询人（如有）：</w:t>
      </w:r>
      <w:permStart w:id="178"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78"/>
      <w:r>
        <w:rPr>
          <w:rFonts w:hint="eastAsia" w:ascii="仿宋_GB2312" w:hAnsi="仿宋_GB2312" w:eastAsia="仿宋_GB2312" w:cs="仿宋_GB2312"/>
          <w:color w:val="auto"/>
          <w:sz w:val="24"/>
          <w:szCs w:val="24"/>
          <w:highlight w:val="none"/>
        </w:rPr>
        <w:t xml:space="preserve"> 法定代表人：</w:t>
      </w:r>
      <w:permStart w:id="179"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79"/>
      <w:r>
        <w:rPr>
          <w:rFonts w:hint="eastAsia" w:ascii="仿宋_GB2312" w:hAnsi="仿宋_GB2312" w:eastAsia="仿宋_GB2312" w:cs="仿宋_GB2312"/>
          <w:color w:val="auto"/>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（2）任命（</w:t>
      </w:r>
      <w:permStart w:id="180" w:edGrp="everyone"/>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 xml:space="preserve">        </w:t>
      </w:r>
      <w:permEnd w:id="180"/>
      <w:r>
        <w:rPr>
          <w:rFonts w:hint="eastAsia" w:ascii="仿宋_GB2312" w:hAnsi="仿宋_GB2312" w:eastAsia="仿宋_GB2312" w:cs="仿宋_GB2312"/>
          <w:color w:val="auto"/>
          <w:sz w:val="24"/>
          <w:szCs w:val="24"/>
          <w:highlight w:val="none"/>
        </w:rPr>
        <w:t>）为造价工程师，其通讯方式为</w:t>
      </w:r>
    </w:p>
    <w:p>
      <w:pPr>
        <w:spacing w:line="420" w:lineRule="exact"/>
        <w:ind w:left="120"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通讯地址：</w:t>
      </w:r>
      <w:permStart w:id="18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181"/>
      <w:r>
        <w:rPr>
          <w:rFonts w:hint="eastAsia" w:ascii="仿宋_GB2312" w:hAnsi="仿宋_GB2312" w:eastAsia="仿宋_GB2312" w:cs="仿宋_GB2312"/>
          <w:color w:val="auto"/>
          <w:kern w:val="0"/>
          <w:sz w:val="24"/>
          <w:szCs w:val="24"/>
          <w:highlight w:val="none"/>
        </w:rPr>
        <w:t xml:space="preserve"> 邮政编码：</w:t>
      </w:r>
      <w:permStart w:id="182"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182"/>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120" w:firstLineChars="5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联系电话：</w:t>
      </w:r>
      <w:permStart w:id="183"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83"/>
      <w:r>
        <w:rPr>
          <w:rFonts w:hint="eastAsia" w:ascii="仿宋_GB2312" w:hAnsi="仿宋_GB2312" w:eastAsia="仿宋_GB2312" w:cs="仿宋_GB2312"/>
          <w:color w:val="auto"/>
          <w:sz w:val="24"/>
          <w:szCs w:val="24"/>
          <w:highlight w:val="none"/>
        </w:rPr>
        <w:t xml:space="preserve"> 传真号码：</w:t>
      </w:r>
      <w:permStart w:id="184"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84"/>
      <w:r>
        <w:rPr>
          <w:rFonts w:hint="eastAsia" w:ascii="仿宋_GB2312" w:hAnsi="仿宋_GB2312" w:eastAsia="仿宋_GB2312" w:cs="仿宋_GB2312"/>
          <w:color w:val="auto"/>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24.3 （7）需要发包人批准的其他事项：</w:t>
      </w:r>
      <w:permStart w:id="185"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85"/>
      <w:r>
        <w:rPr>
          <w:rFonts w:hint="eastAsia" w:ascii="仿宋_GB2312" w:hAnsi="仿宋_GB2312" w:eastAsia="仿宋_GB2312" w:cs="仿宋_GB2312"/>
          <w:color w:val="auto"/>
          <w:sz w:val="24"/>
          <w:szCs w:val="24"/>
          <w:highlight w:val="none"/>
          <w:u w:val="single"/>
        </w:rPr>
        <w:t xml:space="preserve"> </w:t>
      </w:r>
      <w:bookmarkStart w:id="635" w:name="_Toc10624940"/>
      <w:bookmarkStart w:id="636" w:name="_Toc469384096"/>
    </w:p>
    <w:p>
      <w:pPr>
        <w:spacing w:line="420" w:lineRule="exact"/>
        <w:ind w:firstLine="480" w:firstLineChars="200"/>
        <w:rPr>
          <w:rFonts w:hint="eastAsia" w:ascii="仿宋_GB2312" w:hAnsi="仿宋_GB2312" w:eastAsia="仿宋_GB2312" w:cs="仿宋_GB2312"/>
          <w:color w:val="auto"/>
          <w:sz w:val="24"/>
          <w:szCs w:val="24"/>
          <w:highlight w:val="none"/>
          <w:u w:val="singl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25. 承包人代表</w:t>
      </w:r>
      <w:bookmarkEnd w:id="635"/>
      <w:bookmarkEnd w:id="636"/>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25.1 承包人任命（</w:t>
      </w:r>
      <w:permStart w:id="186" w:edGrp="everyone"/>
      <w:r>
        <w:rPr>
          <w:rFonts w:hint="eastAsia" w:ascii="仿宋_GB2312" w:hAnsi="仿宋_GB2312" w:eastAsia="仿宋_GB2312" w:cs="仿宋_GB2312"/>
          <w:color w:val="auto"/>
          <w:sz w:val="24"/>
          <w:szCs w:val="24"/>
          <w:highlight w:val="none"/>
        </w:rPr>
        <w:t xml:space="preserve">              </w:t>
      </w:r>
      <w:permEnd w:id="186"/>
      <w:r>
        <w:rPr>
          <w:rFonts w:hint="eastAsia" w:ascii="仿宋_GB2312" w:hAnsi="仿宋_GB2312" w:eastAsia="仿宋_GB2312" w:cs="仿宋_GB2312"/>
          <w:color w:val="auto"/>
          <w:sz w:val="24"/>
          <w:szCs w:val="24"/>
          <w:highlight w:val="none"/>
        </w:rPr>
        <w:t>）为承包人代表，其通讯方式为</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通讯地址：</w:t>
      </w:r>
      <w:permStart w:id="187" w:edGrp="everyone"/>
      <w:r>
        <w:rPr>
          <w:rFonts w:hint="eastAsia" w:ascii="仿宋_GB2312" w:hAnsi="仿宋_GB2312" w:eastAsia="仿宋_GB2312" w:cs="仿宋_GB2312"/>
          <w:color w:val="auto"/>
          <w:kern w:val="0"/>
          <w:sz w:val="24"/>
          <w:szCs w:val="24"/>
          <w:highlight w:val="none"/>
          <w:u w:val="single"/>
        </w:rPr>
        <w:t xml:space="preserve">                              </w:t>
      </w:r>
      <w:permEnd w:id="187"/>
      <w:r>
        <w:rPr>
          <w:rFonts w:hint="eastAsia" w:ascii="仿宋_GB2312" w:hAnsi="仿宋_GB2312" w:eastAsia="仿宋_GB2312" w:cs="仿宋_GB2312"/>
          <w:color w:val="auto"/>
          <w:kern w:val="0"/>
          <w:sz w:val="24"/>
          <w:szCs w:val="24"/>
          <w:highlight w:val="none"/>
        </w:rPr>
        <w:t xml:space="preserve"> 邮政编码：</w:t>
      </w:r>
      <w:permStart w:id="188" w:edGrp="everyone"/>
      <w:r>
        <w:rPr>
          <w:rFonts w:hint="eastAsia" w:ascii="仿宋_GB2312" w:hAnsi="仿宋_GB2312" w:eastAsia="仿宋_GB2312" w:cs="仿宋_GB2312"/>
          <w:color w:val="auto"/>
          <w:kern w:val="0"/>
          <w:sz w:val="24"/>
          <w:szCs w:val="24"/>
          <w:highlight w:val="none"/>
          <w:u w:val="single"/>
        </w:rPr>
        <w:t xml:space="preserve">              </w:t>
      </w:r>
      <w:permEnd w:id="188"/>
    </w:p>
    <w:p>
      <w:pPr>
        <w:widowControl w:val="0"/>
        <w:spacing w:after="120" w:line="420" w:lineRule="exact"/>
        <w:ind w:firstLine="480" w:firstLineChars="200"/>
        <w:jc w:val="both"/>
        <w:rPr>
          <w:rFonts w:hint="eastAsia" w:ascii="仿宋_GB2312" w:hAnsi="仿宋_GB2312" w:eastAsia="仿宋_GB2312" w:cs="仿宋_GB2312"/>
          <w:color w:val="auto"/>
          <w:kern w:val="2"/>
          <w:sz w:val="24"/>
          <w:szCs w:val="24"/>
          <w:highlight w:val="none"/>
          <w:u w:val="single"/>
          <w:lang w:val="en-US" w:eastAsia="zh-CN" w:bidi="ar-SA"/>
        </w:rPr>
      </w:pPr>
      <w:r>
        <w:rPr>
          <w:rFonts w:hint="eastAsia" w:ascii="仿宋_GB2312" w:hAnsi="仿宋_GB2312" w:eastAsia="仿宋_GB2312" w:cs="仿宋_GB2312"/>
          <w:color w:val="auto"/>
          <w:kern w:val="2"/>
          <w:sz w:val="24"/>
          <w:szCs w:val="24"/>
          <w:highlight w:val="none"/>
          <w:lang w:val="en-US" w:eastAsia="zh-CN" w:bidi="ar-SA"/>
        </w:rPr>
        <w:t>联系电话：</w:t>
      </w:r>
      <w:permStart w:id="189" w:edGrp="everyone"/>
      <w:r>
        <w:rPr>
          <w:rFonts w:hint="eastAsia" w:ascii="仿宋_GB2312" w:hAnsi="仿宋_GB2312" w:eastAsia="仿宋_GB2312" w:cs="仿宋_GB2312"/>
          <w:color w:val="auto"/>
          <w:kern w:val="2"/>
          <w:sz w:val="24"/>
          <w:szCs w:val="24"/>
          <w:highlight w:val="none"/>
          <w:u w:val="single"/>
          <w:lang w:val="en-US" w:eastAsia="zh-CN" w:bidi="ar-SA"/>
        </w:rPr>
        <w:t xml:space="preserve">                              </w:t>
      </w:r>
      <w:permEnd w:id="189"/>
      <w:r>
        <w:rPr>
          <w:rFonts w:hint="eastAsia" w:ascii="仿宋_GB2312" w:hAnsi="仿宋_GB2312" w:eastAsia="仿宋_GB2312" w:cs="仿宋_GB2312"/>
          <w:color w:val="auto"/>
          <w:kern w:val="2"/>
          <w:sz w:val="24"/>
          <w:szCs w:val="24"/>
          <w:highlight w:val="none"/>
          <w:lang w:val="en-US" w:eastAsia="zh-CN" w:bidi="ar-SA"/>
        </w:rPr>
        <w:t xml:space="preserve"> 传真号码：</w:t>
      </w:r>
      <w:permStart w:id="190" w:edGrp="everyone"/>
      <w:r>
        <w:rPr>
          <w:rFonts w:hint="eastAsia" w:ascii="仿宋_GB2312" w:hAnsi="仿宋_GB2312" w:eastAsia="仿宋_GB2312" w:cs="仿宋_GB2312"/>
          <w:color w:val="auto"/>
          <w:kern w:val="2"/>
          <w:sz w:val="24"/>
          <w:szCs w:val="24"/>
          <w:highlight w:val="none"/>
          <w:u w:val="single"/>
          <w:lang w:val="en-US" w:eastAsia="zh-CN" w:bidi="ar-SA"/>
        </w:rPr>
        <w:t xml:space="preserve">              </w:t>
      </w:r>
      <w:permEnd w:id="190"/>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25.5承包人代表应当在合同约定的开工日期前到任。在监理工程师向承包人颁发（出具）工程接收证书前，承包人代表不得同时兼任其他任何项目的承包人代表。承包人代表的姓名、职称、身份证号、执业资格证书号、注册证书号、执业印章号、安全生产考核合格证书号等细节资料应当在合同协议书中载明。承包人代表应保证全过程负责本工程的各项施工管理工作，不得授权他人代理。</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25.6由发包人组织的工程会议或监理人组织的每周工地例会，承包人代表（注册建造师）和项目技术负责人必须出席（经发包人批准除外）。</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25.7承包人代表（注册建造师）、副经理以及主要行政与技术领导等，必须常驻工地，不得兼职。合同对承包人的各种人员的到位情况和任职是作为一种条件来要求的（特别是承包人的主要管理人员、主要技术人员）。必须保证投标文件中拟定的承包人代表（注册建造师）及其主要管理人员和技术人员能及时地、始终地参与本工程的施工管理。合同签订后，承包人代表（注册建造师）、项目班子主要成员不到位，则监理工程师不签发开工令，工期不顺延；施工中班子主要成员离开工地应向监理工程师请假，经批准后才能离开，擅自离开工地，监理工程师将发出停工令，待人员回到岗位后才批准复工，由此产生的工期及经济损失由承包人自负，造成发包人和建设管理方（如有）损失的，发包人保留索赔的权利。</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25.8</w:t>
      </w:r>
      <w:r>
        <w:rPr>
          <w:rFonts w:hint="eastAsia" w:ascii="仿宋_GB2312" w:hAnsi="仿宋_GB2312" w:eastAsia="仿宋_GB2312" w:cs="仿宋_GB2312"/>
          <w:color w:val="auto"/>
          <w:kern w:val="0"/>
          <w:sz w:val="24"/>
          <w:szCs w:val="24"/>
          <w:highlight w:val="none"/>
        </w:rPr>
        <w:t>在本工程验收前承包人不得更换</w:t>
      </w:r>
      <w:r>
        <w:rPr>
          <w:rFonts w:hint="eastAsia" w:ascii="仿宋_GB2312" w:hAnsi="仿宋_GB2312" w:eastAsia="仿宋_GB2312" w:cs="仿宋_GB2312"/>
          <w:color w:val="auto"/>
          <w:sz w:val="24"/>
          <w:szCs w:val="24"/>
          <w:highlight w:val="none"/>
        </w:rPr>
        <w:t>其投标文件中承诺的管理团队人员</w:t>
      </w:r>
      <w:r>
        <w:rPr>
          <w:rFonts w:hint="eastAsia" w:ascii="仿宋_GB2312" w:hAnsi="仿宋_GB2312" w:eastAsia="仿宋_GB2312" w:cs="仿宋_GB2312"/>
          <w:color w:val="auto"/>
          <w:kern w:val="0"/>
          <w:sz w:val="24"/>
          <w:szCs w:val="24"/>
          <w:highlight w:val="none"/>
        </w:rPr>
        <w:t>。如</w:t>
      </w:r>
      <w:r>
        <w:rPr>
          <w:rFonts w:hint="eastAsia" w:ascii="仿宋_GB2312" w:hAnsi="仿宋_GB2312" w:eastAsia="仿宋_GB2312" w:cs="仿宋_GB2312"/>
          <w:color w:val="auto"/>
          <w:sz w:val="24"/>
          <w:szCs w:val="24"/>
          <w:highlight w:val="none"/>
        </w:rPr>
        <w:t>管理团队人员</w:t>
      </w:r>
      <w:r>
        <w:rPr>
          <w:rFonts w:hint="eastAsia" w:ascii="仿宋_GB2312" w:hAnsi="仿宋_GB2312" w:eastAsia="仿宋_GB2312" w:cs="仿宋_GB2312"/>
          <w:color w:val="auto"/>
          <w:kern w:val="0"/>
          <w:sz w:val="24"/>
          <w:szCs w:val="24"/>
          <w:highlight w:val="none"/>
        </w:rPr>
        <w:t>发生人身意外、突发重大疾病、行政或刑事拘留等特殊情况，承包人确需更换</w:t>
      </w:r>
      <w:r>
        <w:rPr>
          <w:rFonts w:hint="eastAsia" w:ascii="仿宋_GB2312" w:hAnsi="仿宋_GB2312" w:eastAsia="仿宋_GB2312" w:cs="仿宋_GB2312"/>
          <w:color w:val="auto"/>
          <w:sz w:val="24"/>
          <w:szCs w:val="24"/>
          <w:highlight w:val="none"/>
        </w:rPr>
        <w:t>管理团队人员</w:t>
      </w:r>
      <w:r>
        <w:rPr>
          <w:rFonts w:hint="eastAsia" w:ascii="仿宋_GB2312" w:hAnsi="仿宋_GB2312" w:eastAsia="仿宋_GB2312" w:cs="仿宋_GB2312"/>
          <w:color w:val="auto"/>
          <w:kern w:val="0"/>
          <w:sz w:val="24"/>
          <w:szCs w:val="24"/>
          <w:highlight w:val="none"/>
        </w:rPr>
        <w:t>的，应至少提前7天以书面形式通知发包人，并征得发包人书面同意，通知中应当载明继任</w:t>
      </w:r>
      <w:r>
        <w:rPr>
          <w:rFonts w:hint="eastAsia" w:ascii="仿宋_GB2312" w:hAnsi="仿宋_GB2312" w:eastAsia="仿宋_GB2312" w:cs="仿宋_GB2312"/>
          <w:color w:val="auto"/>
          <w:sz w:val="24"/>
          <w:szCs w:val="24"/>
          <w:highlight w:val="none"/>
        </w:rPr>
        <w:t>管理团队人员</w:t>
      </w:r>
      <w:r>
        <w:rPr>
          <w:rFonts w:hint="eastAsia" w:ascii="仿宋_GB2312" w:hAnsi="仿宋_GB2312" w:eastAsia="仿宋_GB2312" w:cs="仿宋_GB2312"/>
          <w:color w:val="auto"/>
          <w:kern w:val="0"/>
          <w:sz w:val="24"/>
          <w:szCs w:val="24"/>
          <w:highlight w:val="none"/>
        </w:rPr>
        <w:t>的注册执业资格或职称、管理经验等资料，继任</w:t>
      </w:r>
      <w:r>
        <w:rPr>
          <w:rFonts w:hint="eastAsia" w:ascii="仿宋_GB2312" w:hAnsi="仿宋_GB2312" w:eastAsia="仿宋_GB2312" w:cs="仿宋_GB2312"/>
          <w:color w:val="auto"/>
          <w:sz w:val="24"/>
          <w:szCs w:val="24"/>
          <w:highlight w:val="none"/>
        </w:rPr>
        <w:t>管理团队人员</w:t>
      </w:r>
      <w:r>
        <w:rPr>
          <w:rFonts w:hint="eastAsia" w:ascii="仿宋_GB2312" w:hAnsi="仿宋_GB2312" w:eastAsia="仿宋_GB2312" w:cs="仿宋_GB2312"/>
          <w:color w:val="auto"/>
          <w:kern w:val="0"/>
          <w:sz w:val="24"/>
          <w:szCs w:val="24"/>
          <w:highlight w:val="none"/>
        </w:rPr>
        <w:t>应继续履行</w:t>
      </w:r>
      <w:r>
        <w:rPr>
          <w:rFonts w:hint="eastAsia" w:ascii="仿宋_GB2312" w:hAnsi="仿宋_GB2312" w:eastAsia="仿宋_GB2312" w:cs="仿宋_GB2312"/>
          <w:color w:val="auto"/>
          <w:sz w:val="24"/>
          <w:szCs w:val="24"/>
          <w:highlight w:val="none"/>
        </w:rPr>
        <w:t>合同约定的管理团队人员的职权及相应义务。</w:t>
      </w:r>
      <w:r>
        <w:rPr>
          <w:rFonts w:hint="eastAsia" w:ascii="仿宋_GB2312" w:hAnsi="仿宋_GB2312" w:eastAsia="仿宋_GB2312" w:cs="仿宋_GB2312"/>
          <w:color w:val="auto"/>
          <w:kern w:val="0"/>
          <w:sz w:val="24"/>
          <w:szCs w:val="24"/>
          <w:highlight w:val="none"/>
        </w:rPr>
        <w:t>拟更换人员的资质、学历、职称、业绩、实际工作能力不得低于原投标书中所承诺人员的综合素质。</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25.9管理团队考勤</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承包人一致同意，承包人应允许发包人或监理人对其投标文件中承诺的管理团队人员施工现场考勤情况进行检查，并记录考勤检查结果。管理团队人员（含承包人代表）每人每月应有25天或以上的出勤记录。</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25.10撤换承包人代表和其他人员</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1）对于不胜任工作的承包人人员，当监理工程师要求更换时，承包人必须立即予以更换，并不得继续在本合同工程供职。若承包人代表（注册建造师）或现场管理机构主要部门负责人的实际工作能力和工作表现达不到招标文件明确要求、或工作态度存在严重不足，不适应现场工作需要，发包人有权向承包人提出撤换。承包人可以提出整改意见；如发包人不予接受，则承包人必须在7天内无条件撤换，所调换来人员的资质、资历、学历、职称、业绩、实际工作能力不低于原投标书中所承诺人员的综合素质。对于不胜任工作的承包人人员，当监理工程师要求更换时，承包人必须立即予以更换，并不得继续在本合同工程供职。</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（2）承包人人员资格的特别规定：所有特殊工种人员、各种领班以上人员均应符合有关规定的资质，并且应持有该项工作的上岗证，在施工期间佩带其上岗证供驻地监理工程师随时检查。</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（3）上述扣款发包人可以在履约金或者工程款中直接扣除，并在结算前办理合同变更。</w:t>
      </w:r>
      <w:bookmarkStart w:id="637" w:name="_Toc10624941"/>
      <w:bookmarkStart w:id="638" w:name="_Toc469384097"/>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26. 指定分包人</w:t>
      </w:r>
      <w:bookmarkEnd w:id="637"/>
      <w:bookmarkEnd w:id="638"/>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26.1 依法指定的分包人</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实施、完成部分永久工程的分包人：</w:t>
      </w:r>
      <w:r>
        <w:rPr>
          <w:rFonts w:hint="eastAsia" w:ascii="仿宋_GB2312" w:hAnsi="仿宋_GB2312" w:eastAsia="仿宋_GB2312" w:cs="仿宋_GB2312"/>
          <w:color w:val="auto"/>
          <w:sz w:val="24"/>
          <w:szCs w:val="24"/>
          <w:highlight w:val="none"/>
          <w:u w:val="single"/>
        </w:rPr>
        <w:t xml:space="preserve">   /。      </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 提供材料和工程设备、服务的分包人：</w:t>
      </w:r>
      <w:r>
        <w:rPr>
          <w:rFonts w:hint="eastAsia" w:ascii="仿宋_GB2312" w:hAnsi="仿宋_GB2312" w:eastAsia="仿宋_GB2312" w:cs="仿宋_GB2312"/>
          <w:color w:val="auto"/>
          <w:sz w:val="24"/>
          <w:szCs w:val="24"/>
          <w:highlight w:val="none"/>
          <w:u w:val="single"/>
        </w:rPr>
        <w:t xml:space="preserve">  /。     </w:t>
      </w:r>
      <w:bookmarkStart w:id="639" w:name="_Toc10624942"/>
      <w:bookmarkStart w:id="640" w:name="_Toc469384098"/>
    </w:p>
    <w:p>
      <w:pPr>
        <w:spacing w:line="420" w:lineRule="exact"/>
        <w:rPr>
          <w:rFonts w:hint="eastAsia" w:ascii="仿宋_GB2312" w:hAnsi="仿宋_GB2312" w:eastAsia="仿宋_GB2312" w:cs="仿宋_GB2312"/>
          <w:color w:val="auto"/>
          <w:sz w:val="24"/>
          <w:szCs w:val="24"/>
          <w:highlight w:val="none"/>
          <w:u w:val="singl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27. 承包人劳务</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27.2承包人人员的雇佣</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除应雇佣投标文件中“主要人员一览表”中指明的人员外，也可以雇佣经监理工程师批准的其他人员，但不得从发包人或服务于发包人的人员中雇佣人员。承包人安排在施工场地的主要管理人员和技术骨干应相对稳定。特殊岗位的工作人员均应持有相应的资格证明，监理工程师有权随时检查。监理工程师认为有必要时，可进行现场考核。</w:t>
      </w:r>
    </w:p>
    <w:p>
      <w:pPr>
        <w:spacing w:line="420" w:lineRule="exact"/>
        <w:ind w:firstLine="480" w:firstLineChars="200"/>
        <w:rPr>
          <w:rFonts w:hint="eastAsia" w:ascii="仿宋_GB2312" w:hAnsi="仿宋_GB2312" w:eastAsia="仿宋_GB2312" w:cs="仿宋_GB2312"/>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28. 工程担保</w:t>
      </w:r>
      <w:bookmarkEnd w:id="639"/>
      <w:bookmarkEnd w:id="640"/>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28.1 承包人提供履约担保的约定</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（1）履约担保的金额按照中标合同额</w:t>
      </w:r>
      <w:permStart w:id="191" w:edGrp="everyone"/>
      <w:r>
        <w:rPr>
          <w:rFonts w:hint="eastAsia" w:ascii="仿宋_GB2312" w:hAnsi="仿宋_GB2312" w:eastAsia="仿宋_GB2312" w:cs="仿宋_GB2312"/>
          <w:color w:val="auto"/>
          <w:sz w:val="24"/>
          <w:szCs w:val="24"/>
          <w:highlight w:val="none"/>
          <w:u w:val="single"/>
        </w:rPr>
        <w:t>10%</w:t>
      </w:r>
      <w:permEnd w:id="191"/>
      <w:r>
        <w:rPr>
          <w:rFonts w:hint="eastAsia" w:ascii="仿宋_GB2312" w:hAnsi="仿宋_GB2312" w:eastAsia="仿宋_GB2312" w:cs="仿宋_GB2312"/>
          <w:color w:val="auto"/>
          <w:sz w:val="24"/>
          <w:szCs w:val="24"/>
          <w:highlight w:val="none"/>
        </w:rPr>
        <w:t>提交（具体由发包人视工程重要性、合同金额等情况确定，但不得高于中标合同额的10%）。</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履约担保的金额：（大写）</w:t>
      </w:r>
      <w:permStart w:id="192" w:edGrp="everyone"/>
      <w:r>
        <w:rPr>
          <w:rFonts w:hint="eastAsia" w:ascii="仿宋_GB2312" w:hAnsi="仿宋_GB2312" w:eastAsia="仿宋_GB2312" w:cs="仿宋_GB2312"/>
          <w:color w:val="auto"/>
          <w:sz w:val="24"/>
          <w:szCs w:val="24"/>
          <w:highlight w:val="none"/>
          <w:u w:val="single"/>
        </w:rPr>
        <w:t xml:space="preserve">                </w:t>
      </w:r>
      <w:permEnd w:id="192"/>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u w:val="single"/>
        </w:rPr>
        <w:t xml:space="preserve"> ￥</w:t>
      </w:r>
      <w:permStart w:id="193" w:edGrp="everyone"/>
      <w:r>
        <w:rPr>
          <w:rFonts w:hint="eastAsia" w:ascii="仿宋_GB2312" w:hAnsi="仿宋_GB2312" w:eastAsia="仿宋_GB2312" w:cs="仿宋_GB2312"/>
          <w:color w:val="auto"/>
          <w:sz w:val="24"/>
          <w:szCs w:val="24"/>
          <w:highlight w:val="none"/>
          <w:u w:val="single"/>
        </w:rPr>
        <w:t xml:space="preserve">          </w:t>
      </w:r>
      <w:permEnd w:id="193"/>
      <w:r>
        <w:rPr>
          <w:rFonts w:hint="eastAsia" w:ascii="仿宋_GB2312" w:hAnsi="仿宋_GB2312" w:eastAsia="仿宋_GB2312" w:cs="仿宋_GB2312"/>
          <w:color w:val="auto"/>
          <w:sz w:val="24"/>
          <w:szCs w:val="24"/>
          <w:highlight w:val="none"/>
        </w:rPr>
        <w:t>元）</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 提供履约担保的时间：</w:t>
      </w:r>
    </w:p>
    <w:p>
      <w:pPr>
        <w:spacing w:line="420" w:lineRule="exact"/>
        <w:ind w:firstLine="960" w:firstLineChars="4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签订本合同时；</w:t>
      </w:r>
    </w:p>
    <w:p>
      <w:pPr>
        <w:spacing w:line="420" w:lineRule="exact"/>
        <w:ind w:firstLine="120" w:firstLineChars="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w:t>
      </w:r>
      <w:permStart w:id="194" w:edGrp="everyone"/>
      <w:r>
        <w:rPr>
          <w:rFonts w:hint="eastAsia" w:ascii="仿宋_GB2312" w:hAnsi="仿宋_GB2312" w:eastAsia="仿宋_GB2312" w:cs="仿宋_GB2312"/>
          <w:color w:val="auto"/>
          <w:kern w:val="0"/>
          <w:sz w:val="24"/>
          <w:szCs w:val="24"/>
          <w:highlight w:val="none"/>
          <w:u w:val="single"/>
        </w:rPr>
        <w:t xml:space="preserve">  签订合同后30天内。  </w:t>
      </w:r>
      <w:permEnd w:id="194"/>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承包人应当按照发包人在招标文件中规定的格式或者其他经过发包人认可的格式向发包人递交一份履约担保。经过发包人事先书面认可的其他格式的履约担保，其担保条款的实质性内容应当与发包人在招标文件中规定的格式内容保持一致。承包人逾期提交履约担保的，发包人有权顺延支付预付款和进度款的时间，且不视为发包人违约。</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承包人以履约银行保函或担保保函或保证保险形式提交履约保证金的，在银行保函或担保保函或保证保险到期前，承包人应提前7天向发包人提交新的保函或保险以替换即将到期的保函或保险，且新提交的保函或保险的期限延长不得少于6个月。如承包人未及时提交的，发包人有权直接要求担保银行或担保机构或保险机构支付其担保的全部金额。当发生违约情形而导致履约保证金被扣罚或因其他原因，而导致履约保证金余额少于剩余工程量的10%,或者少于合同总价的2%的，承包人应在收到发包人通知之日起在7天内补足，补足后的履约保证金金额应相当于剩余工程量的10%，且不得低于合同总价的2%，否则按两者较高者补足。对于未按时限要求补足的，发包人有权扣罚剩余的全部履约保证金并有权解除合同。</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承包人应按时足额向雇员支付劳务工资，并不低于当地最低工资标准。对于因承包人拖欠劳务工资而造成群体性示威、游行等，造成一切不良社会影响后果的，发包人有权从承包人履约保证金或应付、将付给承包人的款项中扣除</w:t>
      </w:r>
      <w:permStart w:id="195" w:edGrp="everyone"/>
      <w:r>
        <w:rPr>
          <w:rFonts w:hint="eastAsia" w:ascii="仿宋_GB2312" w:hAnsi="仿宋_GB2312" w:eastAsia="仿宋_GB2312" w:cs="仿宋_GB2312"/>
          <w:color w:val="auto"/>
          <w:sz w:val="24"/>
          <w:szCs w:val="24"/>
          <w:highlight w:val="none"/>
          <w:u w:val="single"/>
        </w:rPr>
        <w:t>10万元/次</w:t>
      </w:r>
      <w:permEnd w:id="195"/>
      <w:r>
        <w:rPr>
          <w:rFonts w:hint="eastAsia" w:ascii="仿宋_GB2312" w:hAnsi="仿宋_GB2312" w:eastAsia="仿宋_GB2312" w:cs="仿宋_GB2312"/>
          <w:color w:val="auto"/>
          <w:sz w:val="24"/>
          <w:szCs w:val="24"/>
          <w:highlight w:val="none"/>
        </w:rPr>
        <w:t>作为违约金。发包人有权根据承包人的雇员所提供的数据直接将劳务工资支付给承包人雇员，并在应付、将付给承包人的工程款或其他款项中扣除。上述行为对发包人造成损失和（或）导致工期延误的，应赔偿发包人的损失，工期不予顺延。</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28.4 发包人提供支付担保的约定</w:t>
      </w:r>
    </w:p>
    <w:p>
      <w:pPr>
        <w:spacing w:line="420" w:lineRule="exact"/>
        <w:ind w:firstLine="120" w:firstLineChars="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（1）</w:t>
      </w:r>
      <w:permStart w:id="196" w:edGrp="everyone"/>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rPr>
        <w:sym w:font="Wingdings 2" w:char="0051"/>
      </w:r>
      <w:permEnd w:id="196"/>
      <w:r>
        <w:rPr>
          <w:rFonts w:hint="eastAsia" w:ascii="仿宋_GB2312" w:hAnsi="仿宋_GB2312" w:eastAsia="仿宋_GB2312" w:cs="仿宋_GB2312"/>
          <w:color w:val="auto"/>
          <w:sz w:val="24"/>
          <w:szCs w:val="24"/>
          <w:highlight w:val="none"/>
        </w:rPr>
        <w:t>支付担保的金额：（大写）</w:t>
      </w:r>
      <w:permStart w:id="197"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97"/>
      <w:r>
        <w:rPr>
          <w:rFonts w:hint="eastAsia" w:ascii="仿宋_GB2312" w:hAnsi="仿宋_GB2312" w:eastAsia="仿宋_GB2312" w:cs="仿宋_GB2312"/>
          <w:color w:val="auto"/>
          <w:sz w:val="24"/>
          <w:szCs w:val="24"/>
          <w:highlight w:val="none"/>
        </w:rPr>
        <w:t xml:space="preserve">（小写 </w:t>
      </w:r>
      <w:r>
        <w:rPr>
          <w:rFonts w:hint="eastAsia" w:ascii="仿宋_GB2312" w:hAnsi="仿宋_GB2312" w:eastAsia="仿宋_GB2312" w:cs="仿宋_GB2312"/>
          <w:color w:val="auto"/>
          <w:sz w:val="24"/>
          <w:szCs w:val="24"/>
          <w:highlight w:val="none"/>
          <w:u w:val="single"/>
        </w:rPr>
        <w:t xml:space="preserve"> ￥</w:t>
      </w:r>
      <w:permStart w:id="198"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98"/>
      <w:r>
        <w:rPr>
          <w:rFonts w:hint="eastAsia" w:ascii="仿宋_GB2312" w:hAnsi="仿宋_GB2312" w:eastAsia="仿宋_GB2312" w:cs="仿宋_GB2312"/>
          <w:color w:val="auto"/>
          <w:sz w:val="24"/>
          <w:szCs w:val="24"/>
          <w:highlight w:val="none"/>
          <w:lang w:val="en-US" w:eastAsia="zh-CN"/>
        </w:rPr>
        <w:t>元</w:t>
      </w:r>
      <w:r>
        <w:rPr>
          <w:rFonts w:hint="eastAsia" w:ascii="仿宋_GB2312" w:hAnsi="仿宋_GB2312" w:eastAsia="仿宋_GB2312" w:cs="仿宋_GB2312"/>
          <w:color w:val="auto"/>
          <w:sz w:val="24"/>
          <w:szCs w:val="24"/>
          <w:highlight w:val="none"/>
        </w:rPr>
        <w:t>）</w:t>
      </w:r>
    </w:p>
    <w:p>
      <w:pPr>
        <w:spacing w:line="420" w:lineRule="exact"/>
        <w:ind w:firstLine="120" w:firstLineChars="5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（2） 提供支付担保的时间：</w:t>
      </w:r>
    </w:p>
    <w:p>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 xml:space="preserve">       </w:t>
      </w:r>
      <w:permStart w:id="199" w:edGrp="everyone"/>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rPr>
        <w:sym w:font="Wingdings 2" w:char="0051"/>
      </w:r>
      <w:permEnd w:id="199"/>
      <w:r>
        <w:rPr>
          <w:rFonts w:hint="eastAsia" w:ascii="仿宋_GB2312" w:hAnsi="仿宋_GB2312" w:eastAsia="仿宋_GB2312" w:cs="仿宋_GB2312"/>
          <w:color w:val="auto"/>
          <w:kern w:val="0"/>
          <w:sz w:val="24"/>
          <w:szCs w:val="24"/>
          <w:highlight w:val="none"/>
        </w:rPr>
        <w:t xml:space="preserve"> 签订本合同时；</w:t>
      </w:r>
    </w:p>
    <w:p>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200" w:edGrp="everyone"/>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w:t>
      </w:r>
      <w:permEnd w:id="200"/>
      <w:r>
        <w:rPr>
          <w:rFonts w:hint="eastAsia" w:ascii="仿宋_GB2312" w:hAnsi="仿宋_GB2312" w:eastAsia="仿宋_GB2312" w:cs="仿宋_GB2312"/>
          <w:color w:val="auto"/>
          <w:kern w:val="0"/>
          <w:sz w:val="24"/>
          <w:szCs w:val="24"/>
          <w:highlight w:val="none"/>
        </w:rPr>
        <w:t>另作约定：</w:t>
      </w:r>
      <w:permStart w:id="20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01"/>
    </w:p>
    <w:p>
      <w:pPr>
        <w:spacing w:line="420" w:lineRule="exact"/>
        <w:ind w:firstLine="120" w:firstLineChars="5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 xml:space="preserve">  （3） </w:t>
      </w:r>
      <w:permStart w:id="202" w:edGrp="everyone"/>
      <w:r>
        <w:rPr>
          <w:rFonts w:hint="eastAsia" w:ascii="仿宋_GB2312" w:hAnsi="仿宋_GB2312" w:eastAsia="仿宋_GB2312" w:cs="仿宋_GB2312"/>
          <w:color w:val="auto"/>
          <w:sz w:val="24"/>
          <w:szCs w:val="24"/>
          <w:highlight w:val="none"/>
        </w:rPr>
        <w:sym w:font="Wingdings 2" w:char="0051"/>
      </w:r>
      <w:permEnd w:id="202"/>
      <w:r>
        <w:rPr>
          <w:rFonts w:hint="eastAsia" w:ascii="仿宋_GB2312" w:hAnsi="仿宋_GB2312" w:eastAsia="仿宋_GB2312" w:cs="仿宋_GB2312"/>
          <w:color w:val="auto"/>
          <w:kern w:val="0"/>
          <w:sz w:val="24"/>
          <w:szCs w:val="24"/>
          <w:highlight w:val="none"/>
        </w:rPr>
        <w:t>出具支付保函的担保人：</w:t>
      </w:r>
      <w:permStart w:id="203"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03"/>
    </w:p>
    <w:p>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204" w:edGrp="everyone"/>
      <w:r>
        <w:rPr>
          <w:rFonts w:hint="eastAsia" w:ascii="仿宋_GB2312" w:hAnsi="仿宋_GB2312" w:eastAsia="仿宋_GB2312" w:cs="仿宋_GB2312"/>
          <w:color w:val="auto"/>
          <w:sz w:val="24"/>
          <w:szCs w:val="24"/>
          <w:highlight w:val="none"/>
        </w:rPr>
        <w:sym w:font="Wingdings 2" w:char="0051"/>
      </w:r>
      <w:permEnd w:id="204"/>
      <w:r>
        <w:rPr>
          <w:rFonts w:hint="eastAsia" w:ascii="仿宋_GB2312" w:hAnsi="仿宋_GB2312" w:eastAsia="仿宋_GB2312" w:cs="仿宋_GB2312"/>
          <w:color w:val="auto"/>
          <w:kern w:val="0"/>
          <w:sz w:val="24"/>
          <w:szCs w:val="24"/>
          <w:highlight w:val="none"/>
        </w:rPr>
        <w:t>出具</w:t>
      </w:r>
      <w:r>
        <w:rPr>
          <w:rFonts w:hint="eastAsia" w:ascii="仿宋_GB2312" w:hAnsi="仿宋_GB2312" w:eastAsia="仿宋_GB2312" w:cs="仿宋_GB2312"/>
          <w:color w:val="auto"/>
          <w:sz w:val="24"/>
          <w:szCs w:val="24"/>
          <w:highlight w:val="none"/>
          <w:shd w:val="clear" w:color="auto" w:fill="FFFFFF"/>
        </w:rPr>
        <w:t>支付担保</w:t>
      </w:r>
      <w:r>
        <w:rPr>
          <w:rFonts w:hint="eastAsia" w:ascii="仿宋_GB2312" w:hAnsi="仿宋_GB2312" w:eastAsia="仿宋_GB2312" w:cs="仿宋_GB2312"/>
          <w:color w:val="auto"/>
          <w:kern w:val="0"/>
          <w:sz w:val="24"/>
          <w:szCs w:val="24"/>
          <w:highlight w:val="none"/>
        </w:rPr>
        <w:t>的担保人：</w:t>
      </w:r>
      <w:permStart w:id="205"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05"/>
    </w:p>
    <w:p>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206" w:edGrp="everyone"/>
      <w:r>
        <w:rPr>
          <w:rFonts w:hint="eastAsia" w:ascii="仿宋_GB2312" w:hAnsi="仿宋_GB2312" w:eastAsia="仿宋_GB2312" w:cs="仿宋_GB2312"/>
          <w:color w:val="auto"/>
          <w:sz w:val="24"/>
          <w:szCs w:val="24"/>
          <w:highlight w:val="none"/>
        </w:rPr>
        <w:sym w:font="Wingdings 2" w:char="0051"/>
      </w:r>
      <w:permEnd w:id="206"/>
      <w:r>
        <w:rPr>
          <w:rFonts w:hint="eastAsia" w:ascii="仿宋_GB2312" w:hAnsi="仿宋_GB2312" w:eastAsia="仿宋_GB2312" w:cs="仿宋_GB2312"/>
          <w:color w:val="auto"/>
          <w:kern w:val="0"/>
          <w:sz w:val="24"/>
          <w:szCs w:val="24"/>
          <w:highlight w:val="none"/>
        </w:rPr>
        <w:t>出具</w:t>
      </w:r>
      <w:r>
        <w:rPr>
          <w:rFonts w:hint="eastAsia" w:ascii="仿宋_GB2312" w:hAnsi="仿宋_GB2312" w:eastAsia="仿宋_GB2312" w:cs="仿宋_GB2312"/>
          <w:color w:val="auto"/>
          <w:sz w:val="24"/>
          <w:szCs w:val="24"/>
          <w:highlight w:val="none"/>
          <w:shd w:val="clear" w:color="auto" w:fill="FFFFFF"/>
        </w:rPr>
        <w:t>支付保证保险</w:t>
      </w:r>
      <w:r>
        <w:rPr>
          <w:rFonts w:hint="eastAsia" w:ascii="仿宋_GB2312" w:hAnsi="仿宋_GB2312" w:eastAsia="仿宋_GB2312" w:cs="仿宋_GB2312"/>
          <w:color w:val="auto"/>
          <w:kern w:val="0"/>
          <w:sz w:val="24"/>
          <w:szCs w:val="24"/>
          <w:highlight w:val="none"/>
        </w:rPr>
        <w:t>的担保人：</w:t>
      </w:r>
      <w:permStart w:id="207"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07"/>
    </w:p>
    <w:p>
      <w:pPr>
        <w:spacing w:line="420" w:lineRule="exact"/>
        <w:ind w:firstLine="1080" w:firstLineChars="450"/>
        <w:rPr>
          <w:rFonts w:hint="eastAsia" w:ascii="仿宋_GB2312" w:hAnsi="仿宋_GB2312" w:eastAsia="仿宋_GB2312" w:cs="仿宋_GB2312"/>
          <w:color w:val="auto"/>
          <w:kern w:val="0"/>
          <w:sz w:val="24"/>
          <w:szCs w:val="24"/>
          <w:highlight w:val="none"/>
        </w:rPr>
      </w:pPr>
      <w:permStart w:id="208" w:edGrp="everyone"/>
      <w:r>
        <w:rPr>
          <w:rFonts w:hint="eastAsia" w:ascii="仿宋_GB2312" w:hAnsi="仿宋_GB2312" w:eastAsia="仿宋_GB2312" w:cs="仿宋_GB2312"/>
          <w:color w:val="auto"/>
          <w:sz w:val="24"/>
          <w:szCs w:val="24"/>
          <w:highlight w:val="none"/>
        </w:rPr>
        <w:sym w:font="Wingdings 2" w:char="0051"/>
      </w:r>
      <w:permEnd w:id="208"/>
      <w:r>
        <w:rPr>
          <w:rFonts w:hint="eastAsia" w:ascii="仿宋_GB2312" w:hAnsi="仿宋_GB2312" w:eastAsia="仿宋_GB2312" w:cs="仿宋_GB2312"/>
          <w:color w:val="auto"/>
          <w:kern w:val="0"/>
          <w:sz w:val="24"/>
          <w:szCs w:val="24"/>
          <w:highlight w:val="none"/>
        </w:rPr>
        <w:t xml:space="preserve"> 其它：</w:t>
      </w:r>
      <w:permStart w:id="209" w:edGrp="everyone"/>
      <w:r>
        <w:rPr>
          <w:rFonts w:hint="eastAsia" w:ascii="仿宋_GB2312" w:hAnsi="仿宋_GB2312" w:eastAsia="仿宋_GB2312" w:cs="仿宋_GB2312"/>
          <w:color w:val="auto"/>
          <w:kern w:val="0"/>
          <w:sz w:val="24"/>
          <w:szCs w:val="24"/>
          <w:highlight w:val="none"/>
          <w:u w:val="single"/>
        </w:rPr>
        <w:t xml:space="preserve">   以发包人办理为准。                          </w:t>
      </w:r>
      <w:permEnd w:id="209"/>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28.8 担保内容、方式和责任等事项的约定：</w:t>
      </w:r>
      <w:permStart w:id="210"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10"/>
    </w:p>
    <w:p>
      <w:pPr>
        <w:widowControl w:val="0"/>
        <w:numPr>
          <w:ilvl w:val="0"/>
          <w:numId w:val="0"/>
        </w:numPr>
        <w:tabs>
          <w:tab w:val="left" w:pos="420"/>
          <w:tab w:val="left" w:pos="576"/>
        </w:tabs>
        <w:spacing w:before="26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bookmarkStart w:id="641" w:name="_Toc469384099"/>
      <w:bookmarkStart w:id="642" w:name="_Toc10624943"/>
      <w:r>
        <w:rPr>
          <w:rFonts w:hint="eastAsia" w:ascii="黑体" w:hAnsi="黑体" w:eastAsia="黑体" w:cs="黑体"/>
          <w:b w:val="0"/>
          <w:bCs w:val="0"/>
          <w:color w:val="auto"/>
          <w:kern w:val="0"/>
          <w:sz w:val="24"/>
          <w:szCs w:val="24"/>
          <w:highlight w:val="none"/>
          <w:lang w:val="en-US" w:eastAsia="zh-CN" w:bidi="ar-SA"/>
        </w:rPr>
        <w:t>31. 不可抗力</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31.1（1）其他不可抗力情形：</w:t>
      </w:r>
      <w:r>
        <w:rPr>
          <w:rFonts w:hint="eastAsia" w:ascii="仿宋_GB2312" w:hAnsi="仿宋_GB2312" w:eastAsia="仿宋_GB2312" w:cs="仿宋_GB2312"/>
          <w:color w:val="auto"/>
          <w:sz w:val="24"/>
          <w:szCs w:val="24"/>
          <w:highlight w:val="none"/>
          <w:u w:val="single"/>
        </w:rPr>
        <w:t xml:space="preserve">     /。       </w:t>
      </w:r>
    </w:p>
    <w:p>
      <w:pPr>
        <w:spacing w:line="420" w:lineRule="exact"/>
        <w:ind w:firstLine="960" w:firstLine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（2）不可抗力的等级范围约定：指不能预见、不能避免并不能克服的客观情况。本合同双方约定为10级（不含本数）以上大风和5级（不含本数）以上地震；以国家、省、市气象局或地震局公布信息为准。</w:t>
      </w:r>
    </w:p>
    <w:p>
      <w:pPr>
        <w:widowControl w:val="0"/>
        <w:numPr>
          <w:ilvl w:val="0"/>
          <w:numId w:val="0"/>
        </w:numPr>
        <w:tabs>
          <w:tab w:val="left" w:pos="420"/>
          <w:tab w:val="left" w:pos="576"/>
        </w:tabs>
        <w:spacing w:before="260" w:line="420" w:lineRule="exact"/>
        <w:jc w:val="left"/>
        <w:outlineLvl w:val="1"/>
        <w:rPr>
          <w:rFonts w:hint="eastAsia" w:ascii="黑体" w:hAnsi="黑体" w:eastAsia="黑体" w:cs="黑体"/>
          <w:b w:val="0"/>
          <w:bCs w:val="0"/>
          <w:color w:val="auto"/>
          <w:kern w:val="0"/>
          <w:sz w:val="24"/>
          <w:szCs w:val="24"/>
          <w:highlight w:val="none"/>
          <w:lang w:val="en-US" w:eastAsia="zh-CN" w:bidi="ar-SA"/>
        </w:rPr>
      </w:pPr>
      <w:r>
        <w:rPr>
          <w:rFonts w:hint="eastAsia" w:ascii="黑体" w:hAnsi="黑体" w:eastAsia="黑体" w:cs="黑体"/>
          <w:b w:val="0"/>
          <w:bCs w:val="0"/>
          <w:color w:val="auto"/>
          <w:kern w:val="0"/>
          <w:sz w:val="24"/>
          <w:szCs w:val="24"/>
          <w:highlight w:val="none"/>
          <w:lang w:val="en-US" w:eastAsia="zh-CN" w:bidi="ar-SA"/>
        </w:rPr>
        <w:t>32. 保险</w:t>
      </w:r>
      <w:bookmarkEnd w:id="641"/>
      <w:bookmarkEnd w:id="642"/>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32.1 委托承包人办理保险的事项有：</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 xml:space="preserve"> 通用条款第32.1款的第（1）项；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 xml:space="preserve"> 通用条款第32.1款的第（2）项；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 xml:space="preserve"> 通用条款第32.1款的第（3）项。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32.8 投保内容、保险金、保险期限和责任等事项的约定：</w:t>
      </w:r>
      <w:bookmarkStart w:id="643" w:name="_Toc469384100"/>
      <w:bookmarkStart w:id="644" w:name="_Toc10624944"/>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投保人为承包人，通用条款第32.1款的第（1）、（3）项由发包人委托承包人办理的保险，承包人应当在对应的不可竞争性费用预算范围内办理，并在办理前报发包人确认；通用条款第32.2款由承包人办理的保险，保险费用已包含在合同价款中。</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（2）保险期限：工程质量保险自工程开工之日起至工程缺陷责任期终止证书颁发之日止；其余保险自工程开工之日起至工程竣工验收合格之日止。</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（3）承包人应在工程开工前完成办理，并于办理后</w:t>
      </w:r>
      <w:permStart w:id="211" w:edGrp="everyone"/>
      <w:r>
        <w:rPr>
          <w:rFonts w:hint="eastAsia" w:ascii="仿宋_GB2312" w:hAnsi="仿宋_GB2312" w:eastAsia="仿宋_GB2312" w:cs="仿宋_GB2312"/>
          <w:color w:val="auto"/>
          <w:kern w:val="0"/>
          <w:sz w:val="24"/>
          <w:szCs w:val="24"/>
          <w:highlight w:val="none"/>
          <w:u w:val="single"/>
        </w:rPr>
        <w:t xml:space="preserve"> 5 </w:t>
      </w:r>
      <w:permEnd w:id="211"/>
      <w:r>
        <w:rPr>
          <w:rFonts w:hint="eastAsia" w:ascii="仿宋_GB2312" w:hAnsi="仿宋_GB2312" w:eastAsia="仿宋_GB2312" w:cs="仿宋_GB2312"/>
          <w:color w:val="auto"/>
          <w:kern w:val="0"/>
          <w:sz w:val="24"/>
          <w:szCs w:val="24"/>
          <w:highlight w:val="none"/>
        </w:rPr>
        <w:t>日内将办理保险的相关资料及情况向发包人备案，否则，承包人应向发包人支付合同价的</w:t>
      </w:r>
      <w:permStart w:id="212" w:edGrp="everyone"/>
      <w:r>
        <w:rPr>
          <w:rFonts w:hint="eastAsia" w:ascii="仿宋_GB2312" w:hAnsi="仿宋_GB2312" w:eastAsia="仿宋_GB2312" w:cs="仿宋_GB2312"/>
          <w:color w:val="auto"/>
          <w:kern w:val="0"/>
          <w:sz w:val="24"/>
          <w:szCs w:val="24"/>
          <w:highlight w:val="none"/>
          <w:u w:val="single"/>
        </w:rPr>
        <w:t xml:space="preserve"> 10% </w:t>
      </w:r>
      <w:permEnd w:id="212"/>
      <w:r>
        <w:rPr>
          <w:rFonts w:hint="eastAsia" w:ascii="仿宋_GB2312" w:hAnsi="仿宋_GB2312" w:eastAsia="仿宋_GB2312" w:cs="仿宋_GB2312"/>
          <w:color w:val="auto"/>
          <w:kern w:val="0"/>
          <w:sz w:val="24"/>
          <w:szCs w:val="24"/>
          <w:highlight w:val="none"/>
        </w:rPr>
        <w:t>（不高于100万元）作为违约金。由于承包人未按本条约定办理保险，导致受益人未能得到保险人的赔偿，则该项保险赔偿金由承包人支付。</w:t>
      </w:r>
    </w:p>
    <w:p>
      <w:pPr>
        <w:spacing w:line="420" w:lineRule="exact"/>
        <w:ind w:firstLine="480" w:firstLineChars="200"/>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33. 进度计划和报告</w:t>
      </w:r>
      <w:bookmarkEnd w:id="643"/>
      <w:bookmarkEnd w:id="644"/>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33.1 提交工程进度计划</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（1）承包人应当在收到监理工程师发出的开工通知后</w:t>
      </w:r>
      <w:permStart w:id="213" w:edGrp="everyone"/>
      <w:r>
        <w:rPr>
          <w:rFonts w:hint="eastAsia" w:ascii="仿宋_GB2312" w:hAnsi="仿宋_GB2312" w:eastAsia="仿宋_GB2312" w:cs="仿宋_GB2312"/>
          <w:color w:val="auto"/>
          <w:kern w:val="0"/>
          <w:sz w:val="24"/>
          <w:szCs w:val="24"/>
          <w:highlight w:val="none"/>
          <w:u w:val="single"/>
        </w:rPr>
        <w:t xml:space="preserve"> 7天 </w:t>
      </w:r>
      <w:permEnd w:id="213"/>
      <w:r>
        <w:rPr>
          <w:rFonts w:hint="eastAsia" w:ascii="仿宋_GB2312" w:hAnsi="仿宋_GB2312" w:eastAsia="仿宋_GB2312" w:cs="仿宋_GB2312"/>
          <w:color w:val="auto"/>
          <w:kern w:val="0"/>
          <w:sz w:val="24"/>
          <w:szCs w:val="24"/>
          <w:highlight w:val="none"/>
        </w:rPr>
        <w:t>内，编制详细的施工组织设计和施工进度计划并报送监理工程师和发包人审批。承包人编制施工组织设计和施工进度计划的内容：</w:t>
      </w:r>
      <w:permStart w:id="214" w:edGrp="everyone"/>
      <w:r>
        <w:rPr>
          <w:rFonts w:hint="eastAsia" w:ascii="仿宋_GB2312" w:hAnsi="仿宋_GB2312" w:eastAsia="仿宋_GB2312" w:cs="仿宋_GB2312"/>
          <w:color w:val="auto"/>
          <w:kern w:val="0"/>
          <w:sz w:val="24"/>
          <w:szCs w:val="24"/>
          <w:highlight w:val="none"/>
          <w:u w:val="single"/>
        </w:rPr>
        <w:t xml:space="preserve"> 按有关规定、规范要求编制，包括但不限于施工组织方案、地下管线设施保护专项方案、双重预防机制工作方案、安全文明施工措施费用使用计划。三防专项方案、进度计划控制进度控制、施工机具进场及使用管理制度、生产安全应急救援预案、专项交通疏导方案、施工现场安全防护设施搭设(设置)计划、夜间施工方案、占道施工事前、事中宣传告知方案等  </w:t>
      </w:r>
      <w:permEnd w:id="214"/>
      <w:r>
        <w:rPr>
          <w:rFonts w:hint="eastAsia" w:ascii="仿宋_GB2312" w:hAnsi="仿宋_GB2312" w:eastAsia="仿宋_GB2312" w:cs="仿宋_GB2312"/>
          <w:color w:val="auto"/>
          <w:kern w:val="0"/>
          <w:sz w:val="24"/>
          <w:szCs w:val="24"/>
          <w:highlight w:val="none"/>
        </w:rPr>
        <w:t>，施工进度计划中还应载明要求发包人组织设计人进行阶段性工程设计交底的时间，并于每月15日前报送下月“工程进度计划表”。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（2）监理工程师批复或对施工组织设计和施工进度计划提出修改意见的期限：自监理工程师收到承包人报送的相关施工组织设计和进度计划后5天内，并于每月18日前批复“工程进度计划表”。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（3）承包人编制分阶段或分项施工进度计划的内容：</w:t>
      </w:r>
      <w:permStart w:id="215" w:edGrp="everyone"/>
      <w:r>
        <w:rPr>
          <w:rFonts w:hint="eastAsia" w:ascii="仿宋_GB2312" w:hAnsi="仿宋_GB2312" w:eastAsia="仿宋_GB2312" w:cs="仿宋_GB2312"/>
          <w:color w:val="auto"/>
          <w:kern w:val="0"/>
          <w:sz w:val="24"/>
          <w:szCs w:val="24"/>
          <w:highlight w:val="none"/>
          <w:u w:val="single"/>
        </w:rPr>
        <w:t xml:space="preserve"> 在合同总进度计划基础上编制，包括分阶段或分部分项工程的施工进度计划编制说明、施工进度计划表（包括总进度及分进度）、分阶段或分部分项工程的计划分析及控制措施、网络计划及控制节点等内容  </w:t>
      </w:r>
      <w:permEnd w:id="215"/>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承包人报送分阶段或分项施工进度计划的期限：</w:t>
      </w:r>
      <w:permStart w:id="216" w:edGrp="everyone"/>
      <w:r>
        <w:rPr>
          <w:rFonts w:hint="eastAsia" w:ascii="仿宋_GB2312" w:hAnsi="仿宋_GB2312" w:eastAsia="仿宋_GB2312" w:cs="仿宋_GB2312"/>
          <w:color w:val="auto"/>
          <w:kern w:val="0"/>
          <w:sz w:val="24"/>
          <w:szCs w:val="24"/>
          <w:highlight w:val="none"/>
          <w:u w:val="single"/>
        </w:rPr>
        <w:t xml:space="preserve"> 接到开工报告后 7 天内  </w:t>
      </w:r>
      <w:permEnd w:id="216"/>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（4）单位工程分期进行施工的，承包人应按照发包人提供图纸及有关资料的时间，按单位工程编制进度计划。有关进度计划的要求：按单位工程编制进度计划执行。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承包人开工前提供的施工组织设计和施工总进度计划必须详细、全面、切实可行且符合总工期的要求，并且应充分考虑气候、机械设备、各种材料、劳动力、现场条件与状况等一切足以影响工期的因素。经监理工程师和发包人确认的施工组织设计和施工总进度计划开始实施后，除不可抗力或经发包人批准外，将不予调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承包人编制的实施性施工组织设计（施工方案）应切实可行，满足发包人对该工程质量及工期的要求，并不得违反国家及政府有关部门关于安全施工、文明施工和环境保护的相关规定。若与相关规定相抵触或因此而产生其他任何不良后果，即使该施工组织设计（施工方案）得到监理工程师、发包人的认可，承包人仍须承担由此而引至的一切经济赔偿、损失和法律责任。</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承包人应当加强计划管理，严格按照监理工程师确认的施工组织设计（施工方案）和工程进度计划组织施工，并接受监理工程师对工程进度的检查、监督。为便于监理工程师掌握和控制工期，承包人应于每月20日前向监理工程师填报工程（含各分部、分项工程）的当月进度计划完成情况（未完成计划的必须说明原因），并在此基础上更新工程进度计划、资金计划和其它工作计划。监理工程师在接到报告后应当予以确认或提出书面意见，承包人必须按照监理工程师的确认或者书面意见执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33.3 承包人编制月度施工进度报告和修订进度计划的约定：</w:t>
      </w:r>
      <w:permStart w:id="217"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17"/>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33.4 如果监理工程师指出承包人的实际进度和经确认的计划进度不符时，承包人应按照监理工程师的要求提出改进措施，经监理工程师确认后执行。因承包人的原因导致实际进度迟于计划进度的，承包人非但无权就改进措施要求发包人支付任何附加费用，且应按照第66.2款规定向发包人支付由此产生的误期赔偿费。工程进度计划即使经监理工程师确认，也不能免除承包人按照合同约定应承担的任何责任和应履行的任何义务。如承包人未能在监理工程师发布指令后10天内采取有效措施，工程进度仍然无明显改进，发包人有权解除部分或全部合同，将未完工程另行发包或者划拨给其他有能力的第三方，承包人必须无条件服从，由此所造成的损失全部由承包人承担，并不免除承包人的违约赔偿责任。有关部分或全部解除合同按第87条的约定执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（1）承包人报送修订合同进度计划申请报告和相关资料的期限：</w:t>
      </w:r>
      <w:permStart w:id="218" w:edGrp="everyone"/>
      <w:r>
        <w:rPr>
          <w:rFonts w:hint="eastAsia" w:ascii="仿宋_GB2312" w:hAnsi="仿宋_GB2312" w:eastAsia="仿宋_GB2312" w:cs="仿宋_GB2312"/>
          <w:color w:val="auto"/>
          <w:kern w:val="0"/>
          <w:sz w:val="24"/>
          <w:szCs w:val="24"/>
          <w:highlight w:val="none"/>
          <w:u w:val="single"/>
        </w:rPr>
        <w:t xml:space="preserve"> 当实际进度与合同进度计划不符，且采取赶工措施后仍不能按期竣工时，申请修订合同进度计划  </w:t>
      </w:r>
      <w:permEnd w:id="218"/>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（2）监理工程师批复修订合同进度计划申请报告的期限：</w:t>
      </w:r>
      <w:permStart w:id="219" w:edGrp="everyone"/>
      <w:r>
        <w:rPr>
          <w:rFonts w:hint="eastAsia" w:ascii="仿宋_GB2312" w:hAnsi="仿宋_GB2312" w:eastAsia="仿宋_GB2312" w:cs="仿宋_GB2312"/>
          <w:color w:val="auto"/>
          <w:kern w:val="0"/>
          <w:sz w:val="24"/>
          <w:szCs w:val="24"/>
          <w:highlight w:val="none"/>
          <w:u w:val="single"/>
        </w:rPr>
        <w:t xml:space="preserve"> 收到申请报告后 7 天内   </w:t>
      </w:r>
      <w:permEnd w:id="219"/>
      <w:r>
        <w:rPr>
          <w:rFonts w:hint="eastAsia" w:ascii="仿宋_GB2312" w:hAnsi="仿宋_GB2312" w:eastAsia="仿宋_GB2312" w:cs="仿宋_GB2312"/>
          <w:color w:val="auto"/>
          <w:kern w:val="0"/>
          <w:sz w:val="24"/>
          <w:szCs w:val="24"/>
          <w:highlight w:val="none"/>
        </w:rPr>
        <w:t>。</w:t>
      </w:r>
    </w:p>
    <w:p>
      <w:pPr>
        <w:numPr>
          <w:ilvl w:val="255"/>
          <w:numId w:val="0"/>
        </w:numPr>
        <w:spacing w:line="420" w:lineRule="exact"/>
        <w:ind w:firstLine="480"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kern w:val="0"/>
          <w:sz w:val="24"/>
          <w:szCs w:val="24"/>
          <w:highlight w:val="none"/>
        </w:rPr>
        <w:t>（3）监理工程师批复修订合同进度计划的期限：</w:t>
      </w:r>
      <w:permStart w:id="220" w:edGrp="everyone"/>
      <w:r>
        <w:rPr>
          <w:rFonts w:hint="eastAsia" w:ascii="仿宋_GB2312" w:hAnsi="仿宋_GB2312" w:eastAsia="仿宋_GB2312" w:cs="仿宋_GB2312"/>
          <w:color w:val="auto"/>
          <w:kern w:val="0"/>
          <w:sz w:val="24"/>
          <w:szCs w:val="24"/>
          <w:highlight w:val="none"/>
          <w:u w:val="single"/>
        </w:rPr>
        <w:t xml:space="preserve"> 收到申请报告后 7 天内   </w:t>
      </w:r>
      <w:permEnd w:id="220"/>
      <w:r>
        <w:rPr>
          <w:rFonts w:hint="eastAsia" w:ascii="仿宋_GB2312" w:hAnsi="仿宋_GB2312" w:eastAsia="仿宋_GB2312" w:cs="仿宋_GB2312"/>
          <w:color w:val="auto"/>
          <w:kern w:val="0"/>
          <w:sz w:val="24"/>
          <w:szCs w:val="24"/>
          <w:highlight w:val="none"/>
        </w:rPr>
        <w:t>。</w:t>
      </w:r>
      <w:bookmarkStart w:id="645" w:name="_Toc10624945"/>
      <w:bookmarkStart w:id="646" w:name="_Toc469384101"/>
    </w:p>
    <w:p>
      <w:pPr>
        <w:widowControl w:val="0"/>
        <w:numPr>
          <w:ilvl w:val="0"/>
          <w:numId w:val="0"/>
        </w:numPr>
        <w:tabs>
          <w:tab w:val="left" w:pos="420"/>
          <w:tab w:val="left" w:pos="576"/>
        </w:tabs>
        <w:spacing w:before="260" w:line="420" w:lineRule="exact"/>
        <w:ind w:left="576" w:firstLine="120" w:firstLineChars="50"/>
        <w:jc w:val="left"/>
        <w:outlineLvl w:val="1"/>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b/>
          <w:bCs/>
          <w:color w:val="auto"/>
          <w:kern w:val="0"/>
          <w:sz w:val="24"/>
          <w:szCs w:val="24"/>
          <w:highlight w:val="none"/>
          <w:lang w:val="en-US" w:eastAsia="zh-CN" w:bidi="ar-SA"/>
        </w:rPr>
        <w:t>34. 开工</w:t>
      </w:r>
      <w:bookmarkEnd w:id="645"/>
      <w:bookmarkEnd w:id="646"/>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34.2 监理工程师在本合同签订后的（</w:t>
      </w:r>
      <w:permStart w:id="221" w:edGrp="everyone"/>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lang w:val="en-US" w:eastAsia="zh-CN"/>
        </w:rPr>
        <w:t>7</w:t>
      </w:r>
      <w:r>
        <w:rPr>
          <w:rFonts w:hint="eastAsia" w:ascii="仿宋_GB2312" w:hAnsi="仿宋_GB2312" w:eastAsia="仿宋_GB2312" w:cs="仿宋_GB2312"/>
          <w:color w:val="auto"/>
          <w:kern w:val="0"/>
          <w:sz w:val="24"/>
          <w:szCs w:val="24"/>
          <w:highlight w:val="none"/>
        </w:rPr>
        <w:t xml:space="preserve">   </w:t>
      </w:r>
      <w:permEnd w:id="221"/>
      <w:r>
        <w:rPr>
          <w:rFonts w:hint="eastAsia" w:ascii="仿宋_GB2312" w:hAnsi="仿宋_GB2312" w:eastAsia="仿宋_GB2312" w:cs="仿宋_GB2312"/>
          <w:color w:val="auto"/>
          <w:kern w:val="0"/>
          <w:sz w:val="24"/>
          <w:szCs w:val="24"/>
          <w:highlight w:val="none"/>
        </w:rPr>
        <w:t>）天内签发开工令。</w:t>
      </w:r>
    </w:p>
    <w:p>
      <w:pPr>
        <w:spacing w:line="420" w:lineRule="exact"/>
        <w:ind w:firstLine="600" w:firstLineChars="2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按通用条款规定的时间。</w:t>
      </w:r>
    </w:p>
    <w:p>
      <w:pPr>
        <w:spacing w:line="420" w:lineRule="exact"/>
        <w:ind w:firstLine="600" w:firstLineChars="2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bookmarkStart w:id="647" w:name="_Toc469384102"/>
      <w:bookmarkStart w:id="648" w:name="_Toc10624946"/>
      <w:r>
        <w:rPr>
          <w:rFonts w:hint="eastAsia" w:ascii="仿宋_GB2312" w:hAnsi="仿宋_GB2312" w:eastAsia="仿宋_GB2312" w:cs="仿宋_GB2312"/>
          <w:color w:val="auto"/>
          <w:kern w:val="0"/>
          <w:sz w:val="24"/>
          <w:szCs w:val="24"/>
          <w:highlight w:val="none"/>
        </w:rPr>
        <w:t xml:space="preserve">34.3 </w:t>
      </w:r>
      <w:r>
        <w:rPr>
          <w:rFonts w:hint="eastAsia" w:ascii="仿宋_GB2312" w:hAnsi="仿宋_GB2312" w:eastAsia="仿宋_GB2312" w:cs="仿宋_GB2312"/>
          <w:color w:val="auto"/>
          <w:sz w:val="24"/>
          <w:szCs w:val="24"/>
          <w:highlight w:val="none"/>
        </w:rPr>
        <w:t>因承包人原因不能按照协议书约定的开工日期开工，承包人不迟于协议书约定的开工日期前7天，以书面形式向监理工程师提出延期开工的理由和要求。监理工程师应当在接到延期开工申请后的24小时内以书面形式报送发包人，征得发包人书面同意后，工期方能相应顺延。若监理工程师不同意延期要求或承包人未在规定时间内提出延期开工要求，工期不予顺延。</w:t>
      </w:r>
    </w:p>
    <w:p>
      <w:pPr>
        <w:spacing w:line="420" w:lineRule="exact"/>
        <w:rPr>
          <w:rFonts w:hint="eastAsia" w:ascii="仿宋_GB2312" w:hAnsi="仿宋_GB2312" w:eastAsia="仿宋_GB2312" w:cs="仿宋_GB2312"/>
          <w:b/>
          <w:bCs/>
          <w:color w:val="auto"/>
          <w:sz w:val="24"/>
          <w:szCs w:val="24"/>
          <w:highlight w:val="none"/>
        </w:rPr>
      </w:pPr>
    </w:p>
    <w:p>
      <w:pPr>
        <w:spacing w:line="420" w:lineRule="exact"/>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sz w:val="24"/>
          <w:szCs w:val="24"/>
          <w:highlight w:val="none"/>
        </w:rPr>
        <w:t>35.暂停施工和复工</w:t>
      </w:r>
      <w:bookmarkEnd w:id="647"/>
      <w:bookmarkEnd w:id="648"/>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35.4 承包人原因造成暂停施工的其他原因：</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（1）质量事故；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（2）安全生产事故；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（3）拒绝监理工程师管理；</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（4）施工组织计划（方案）未获监理工程师批准而进行施工；</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（5）未经监理工程师检验而进行下一道工序作业者；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（6）擅自采用未经监理工程师及发包人认可获批准的材料，或者使用的原材料、构配件不合格或未经检查确认，或者擅自采用未经认可的代用材料的；</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（7）擅自变更实际图纸的要求；</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（8）转包工程；</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（9）未经监理工程师、发包人同意，擅自让分包单位进场作业；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（10）存在安全隐患，未按监理工程师要求及时进行整改。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35.7 暂停施工持续56天以上，按合同约定由承包人提供的材料和工程设备，由于暂停施工原因导致承包人在暂停施工前已经订购但被暂停运至施工现场的，发包人应按照承包人订购合同的约定支付相应的订购款项。</w:t>
      </w:r>
      <w:bookmarkStart w:id="649" w:name="_Toc469384103"/>
      <w:bookmarkStart w:id="650" w:name="_Toc10624947"/>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36. 工期及工期延误</w:t>
      </w:r>
      <w:bookmarkEnd w:id="649"/>
      <w:bookmarkEnd w:id="650"/>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36.1 合同工程的工期约定为（</w:t>
      </w:r>
      <w:permStart w:id="222" w:edGrp="everyone"/>
      <w:r>
        <w:rPr>
          <w:rFonts w:hint="eastAsia" w:ascii="仿宋_GB2312" w:hAnsi="仿宋_GB2312" w:eastAsia="仿宋_GB2312" w:cs="仿宋_GB2312"/>
          <w:color w:val="auto"/>
          <w:kern w:val="0"/>
          <w:sz w:val="24"/>
          <w:szCs w:val="24"/>
          <w:highlight w:val="none"/>
        </w:rPr>
        <w:t xml:space="preserve">      </w:t>
      </w:r>
      <w:permEnd w:id="222"/>
      <w:r>
        <w:rPr>
          <w:rFonts w:hint="eastAsia" w:ascii="仿宋_GB2312" w:hAnsi="仿宋_GB2312" w:eastAsia="仿宋_GB2312" w:cs="仿宋_GB2312"/>
          <w:color w:val="auto"/>
          <w:kern w:val="0"/>
          <w:sz w:val="24"/>
          <w:szCs w:val="24"/>
          <w:highlight w:val="none"/>
        </w:rPr>
        <w:t>）天。</w:t>
      </w:r>
    </w:p>
    <w:p>
      <w:pPr>
        <w:spacing w:line="420" w:lineRule="exact"/>
        <w:ind w:firstLine="120" w:firstLineChars="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（1）</w:t>
      </w:r>
      <w:permStart w:id="223" w:edGrp="everyone"/>
      <w:r>
        <w:rPr>
          <w:rFonts w:hint="eastAsia" w:ascii="仿宋_GB2312" w:hAnsi="仿宋_GB2312" w:eastAsia="仿宋_GB2312" w:cs="仿宋_GB2312"/>
          <w:color w:val="auto"/>
          <w:sz w:val="24"/>
          <w:szCs w:val="24"/>
          <w:highlight w:val="none"/>
          <w:u w:val="single"/>
        </w:rPr>
        <w:t xml:space="preserve">                 </w:t>
      </w:r>
      <w:permEnd w:id="223"/>
      <w:r>
        <w:rPr>
          <w:rFonts w:hint="eastAsia" w:ascii="仿宋_GB2312" w:hAnsi="仿宋_GB2312" w:eastAsia="仿宋_GB2312" w:cs="仿宋_GB2312"/>
          <w:color w:val="auto"/>
          <w:sz w:val="24"/>
          <w:szCs w:val="24"/>
          <w:highlight w:val="none"/>
        </w:rPr>
        <w:t>（工程名称）单位工程的工期约定为</w:t>
      </w:r>
      <w:permStart w:id="224" w:edGrp="everyone"/>
      <w:r>
        <w:rPr>
          <w:rFonts w:hint="eastAsia" w:ascii="仿宋_GB2312" w:hAnsi="仿宋_GB2312" w:eastAsia="仿宋_GB2312" w:cs="仿宋_GB2312"/>
          <w:color w:val="auto"/>
          <w:sz w:val="24"/>
          <w:szCs w:val="24"/>
          <w:highlight w:val="none"/>
          <w:u w:val="single"/>
        </w:rPr>
        <w:t xml:space="preserve">         </w:t>
      </w:r>
      <w:permEnd w:id="224"/>
      <w:r>
        <w:rPr>
          <w:rFonts w:hint="eastAsia" w:ascii="仿宋_GB2312" w:hAnsi="仿宋_GB2312" w:eastAsia="仿宋_GB2312" w:cs="仿宋_GB2312"/>
          <w:color w:val="auto"/>
          <w:sz w:val="24"/>
          <w:szCs w:val="24"/>
          <w:highlight w:val="none"/>
        </w:rPr>
        <w:t>天。</w:t>
      </w:r>
    </w:p>
    <w:p>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 xml:space="preserve">  （2）</w:t>
      </w:r>
      <w:permStart w:id="225" w:edGrp="everyone"/>
      <w:r>
        <w:rPr>
          <w:rFonts w:hint="eastAsia" w:ascii="仿宋_GB2312" w:hAnsi="仿宋_GB2312" w:eastAsia="仿宋_GB2312" w:cs="仿宋_GB2312"/>
          <w:color w:val="auto"/>
          <w:sz w:val="24"/>
          <w:szCs w:val="24"/>
          <w:highlight w:val="none"/>
          <w:u w:val="single"/>
        </w:rPr>
        <w:t xml:space="preserve">                 </w:t>
      </w:r>
      <w:permEnd w:id="225"/>
      <w:r>
        <w:rPr>
          <w:rFonts w:hint="eastAsia" w:ascii="仿宋_GB2312" w:hAnsi="仿宋_GB2312" w:eastAsia="仿宋_GB2312" w:cs="仿宋_GB2312"/>
          <w:color w:val="auto"/>
          <w:sz w:val="24"/>
          <w:szCs w:val="24"/>
          <w:highlight w:val="none"/>
        </w:rPr>
        <w:t>（工程名称）单位工程的工期约定为</w:t>
      </w:r>
      <w:permStart w:id="226" w:edGrp="everyone"/>
      <w:r>
        <w:rPr>
          <w:rFonts w:hint="eastAsia" w:ascii="仿宋_GB2312" w:hAnsi="仿宋_GB2312" w:eastAsia="仿宋_GB2312" w:cs="仿宋_GB2312"/>
          <w:color w:val="auto"/>
          <w:sz w:val="24"/>
          <w:szCs w:val="24"/>
          <w:highlight w:val="none"/>
          <w:u w:val="single"/>
        </w:rPr>
        <w:t xml:space="preserve">         </w:t>
      </w:r>
      <w:permEnd w:id="226"/>
      <w:r>
        <w:rPr>
          <w:rFonts w:hint="eastAsia" w:ascii="仿宋_GB2312" w:hAnsi="仿宋_GB2312" w:eastAsia="仿宋_GB2312" w:cs="仿宋_GB2312"/>
          <w:color w:val="auto"/>
          <w:sz w:val="24"/>
          <w:szCs w:val="24"/>
          <w:highlight w:val="none"/>
        </w:rPr>
        <w:t>天。</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36.3工期顺延</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（5）设计变更和工程量增加超过原工程量的10%及以上时（按合同价计算，下同），并经监理工程师确认的。</w:t>
      </w:r>
      <w:r>
        <w:rPr>
          <w:rFonts w:hint="eastAsia" w:ascii="仿宋_GB2312" w:hAnsi="仿宋_GB2312" w:eastAsia="仿宋_GB2312" w:cs="仿宋_GB2312"/>
          <w:color w:val="auto"/>
          <w:kern w:val="0"/>
          <w:sz w:val="24"/>
          <w:szCs w:val="24"/>
          <w:highlight w:val="none"/>
        </w:rPr>
        <w:t>如因发包人原因致使承包人暂时无法进行正常施工时，所延误的工期，承包人想方设法弥补，对影响部分经发包人核准并视影响程度再另定顺延期限。</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36.8承包人的工期延误</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本工程工期实行节点工期和总工期双控制。节点工期完成时间经发包人、监理工程师确认后做为控制阶段工期的依据。当承包人实际完成节点进度时间比计划时间拖迟但少于7天的，视为承包人按计划完成，但承包人必须采取有效措施，保证在下一节点工作完成时符合计划进度时间。节点工期拖迟超过7天的，从第八天开始，其所延误的工期赔偿为每天收取工程合同价的1%，整改无效或节点工期延迟超过10天以上，发包人有权解除部分合同，并追究承包人的违约责任。</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的实际工程进度曲线在规定的安全区域下限之外时，监理工程师有权认为合同工程的进度过慢，承包人应采取措施（包括但不限于增加人员机械设备投入、增加施工作业面及施工点等）加快进度，并承担加快进度所增加的费用。由于承包人原因造成的关键工序进度严重滞后时，经监理工程师核实，发包人有权对承包人发出限期改正通知，承包人应调整计划工程进度，报监理工程师审批后，经发包人同意调整工程进度排期。</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对于承包人的原因造成的工期延误，即使采取了赶工措施，但仍不能按合同规定的完工日期完工时，发包人即使同意承包人提出的调整工程进度排期计划的，发包人仍保留因承包人原因造成本合同工程超原计划工期未能按合同约定完工日期完工造成发包人损失的一切追偿索赔权利，承包人还应支付逾期竣工违约金。</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36.9 赶工措施费</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sz w:val="24"/>
          <w:szCs w:val="24"/>
          <w:highlight w:val="none"/>
        </w:rPr>
        <w:t>发包人要求的合同工程工期小于定额工期的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%时，根据广东省建设工程计价依据规定的赶工措施费率为</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%计算</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sz w:val="24"/>
          <w:szCs w:val="24"/>
          <w:highlight w:val="none"/>
        </w:rPr>
        <w:t>发包人要求的合同工程工期小于定额工期的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%时，根据广州市住房和城乡建设局发布的赶工措施费规定的赶工措施费率为</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%计算；</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sz w:val="24"/>
          <w:szCs w:val="24"/>
          <w:highlight w:val="none"/>
        </w:rPr>
        <w:t>发包人要求的合同工程工期小于定额工期的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%时，根据广州市建设工程造价管理站发布的赶工措施费规定的赶工措施费率为</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%计算</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sz w:val="24"/>
          <w:szCs w:val="24"/>
          <w:highlight w:val="none"/>
        </w:rPr>
        <w:t>发包人要求的合同工程工期小于定额工期的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%时，发包人、承包人约定赶工措施费率按</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%计算</w:t>
      </w:r>
      <w:r>
        <w:rPr>
          <w:rFonts w:hint="eastAsia" w:ascii="仿宋_GB2312" w:hAnsi="仿宋_GB2312" w:eastAsia="仿宋_GB2312" w:cs="仿宋_GB2312"/>
          <w:color w:val="auto"/>
          <w:kern w:val="0"/>
          <w:sz w:val="24"/>
          <w:szCs w:val="24"/>
          <w:highlight w:val="none"/>
        </w:rPr>
        <w:t>；</w:t>
      </w:r>
      <w:bookmarkStart w:id="651" w:name="_Toc469384104"/>
      <w:bookmarkStart w:id="652" w:name="_Toc10624948"/>
    </w:p>
    <w:p>
      <w:pPr>
        <w:spacing w:line="420" w:lineRule="exact"/>
        <w:ind w:firstLine="480" w:firstLineChars="200"/>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38. 竣工日期</w:t>
      </w:r>
      <w:bookmarkEnd w:id="651"/>
      <w:bookmarkEnd w:id="652"/>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38.1 计划竣工日期：</w:t>
      </w:r>
      <w:permStart w:id="227" w:edGrp="everyone"/>
      <w:r>
        <w:rPr>
          <w:rFonts w:hint="eastAsia" w:ascii="仿宋_GB2312" w:hAnsi="仿宋_GB2312" w:eastAsia="仿宋_GB2312" w:cs="仿宋_GB2312"/>
          <w:color w:val="auto"/>
          <w:sz w:val="24"/>
          <w:szCs w:val="24"/>
          <w:highlight w:val="none"/>
          <w:u w:val="single"/>
        </w:rPr>
        <w:t xml:space="preserve">                           </w:t>
      </w:r>
      <w:permEnd w:id="227"/>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 xml:space="preserve">38.3 </w:t>
      </w:r>
      <w:r>
        <w:rPr>
          <w:rFonts w:hint="eastAsia" w:ascii="仿宋_GB2312" w:hAnsi="仿宋_GB2312" w:eastAsia="仿宋_GB2312" w:cs="仿宋_GB2312"/>
          <w:color w:val="auto"/>
          <w:kern w:val="0"/>
          <w:sz w:val="24"/>
          <w:szCs w:val="24"/>
          <w:highlight w:val="none"/>
        </w:rPr>
        <w:t>由于承包人原因造成不能按期竣工的，在按合同约定确定的竣工日期（包括按合同延长的工期）后7天内，监理工程师应当书面通知承包人，说明发包人有权得到按本款约定的下列标准和方法计算的逾期竣工违约金，但最终违约金的金额不应超过本款约定的逾期竣工违约金最高限额。监理工程师未在规定的期限内发出本款约定的书面通知的，发包人丧失主张逾期竣工违约金的权利。</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逾期竣工违约金的计算标准：每天收取工程合同价的1.5‰，且不低于每天1万元。</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逾期竣工违约金最高限额：合同价的20%。</w:t>
      </w:r>
    </w:p>
    <w:p>
      <w:pPr>
        <w:spacing w:line="420" w:lineRule="exact"/>
        <w:rPr>
          <w:rFonts w:hint="eastAsia" w:ascii="仿宋_GB2312" w:hAnsi="仿宋_GB2312" w:eastAsia="仿宋_GB2312" w:cs="仿宋_GB2312"/>
          <w:b/>
          <w:bCs/>
          <w:color w:val="auto"/>
          <w:kern w:val="0"/>
          <w:sz w:val="24"/>
          <w:szCs w:val="24"/>
          <w:highlight w:val="none"/>
        </w:rPr>
      </w:pPr>
      <w:bookmarkStart w:id="653" w:name="_Toc469384105"/>
      <w:bookmarkStart w:id="654" w:name="_Toc10624949"/>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kern w:val="0"/>
          <w:sz w:val="24"/>
          <w:szCs w:val="24"/>
          <w:highlight w:val="none"/>
        </w:rPr>
        <w:t>41.质量与安全</w:t>
      </w:r>
    </w:p>
    <w:p>
      <w:pPr>
        <w:spacing w:line="420" w:lineRule="exact"/>
        <w:ind w:left="359" w:leftChars="171"/>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41.7承包人的施工安全责任</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（1）承包人向监理工程师报送施工安全措施计划的期限：开工前15天。</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监理工程师收到承包人报送的施工安全措施计划后应当在5天内给予批复。</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应当按照相关法律法规、规范的要求实施安全文明施工，履行《工程安全生产、质量文明施工协议书》的约定（见附件五）。安全生产和文明施工中的履约保证金管理制度承包人违反《工程安全生产、质量文明施工协议书》约定扣款行为的，由发包人直接从履约保证金中扣除。</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（3）安全生产责任事故追加扣款</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对发生安全生产死亡事故的施工承包人，每死亡一人扣款50万元，由发包人直接从履约保证金中扣除，履约保证金不足的，从应支付的工程款扣除。</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（4）承担施工安全保卫工作及非夜间施工照明的责任和要求：</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应负责现场全部作业的安全，在合同工程施工、完工及修补缺陷的整个工程期限内：全面负责所有留在现场上的人员的安全，保护其管辖范围的现场（包括某些尚未完工的和发包人尚未接管的工程）处于有条不紊和良好的状态。</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根据监理工程师或当地政府要求，在需要的时间和地点，提供和维持所有的照明灯光、护板、围墙、栅栏、警告信号标志和值班人员，对工程进行保护和为公众提供安全和方便，施工围蔽按《广州市住房和城乡建设局等9部门关于印发广州市建设工程绿色施工围蔽指导图集（V2.0版）的通知》（穗建质〔2020〕1号）、《关于修订并重新印发&lt;广州市建设工程现场文明施工管理办法&gt;的通知》（穗建质〔2008〕937号）《广州市市政工程文明施工规范实施细则—2004》和广州市水务投资集团有限公司制定《关于印发&lt;广州市水务投资集团有限公司建设工程文明施工管理方案及措施&gt;的通知》的要求执行。</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3）遵守和执行防火、安全文明施工和夜间施工规定。</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应保证施工期间行人、车辆等的通行，除非得到有关部门批准，否则不能进行全封闭施工。施工临时占用人行道、车道等设施，由承包人办理有关手续，发包人协助，所需费用由承包人负责。同时承包人有责任协助公安、交通等部门维护所在现场地段的交通与人流，既保证施工安全，也保护车辆和行人的畅通和安全。</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承包人应严格按照规范回填，如经发现回填密度不符合规范必须立即返工，合格后才可继续施工。回填完成后由承包人负责检验测定，并提交有效检测报告。如发包人委托第三方对检测结果进行复测，检测合格的，费用由发包人承担；检测不合格的，承包人必须重新进行整改，并负责第三方的检测费用。</w:t>
      </w:r>
      <w:r>
        <w:rPr>
          <w:rFonts w:hint="eastAsia" w:ascii="仿宋_GB2312" w:hAnsi="仿宋_GB2312" w:eastAsia="仿宋_GB2312" w:cs="仿宋_GB2312"/>
          <w:color w:val="auto"/>
          <w:sz w:val="24"/>
          <w:szCs w:val="24"/>
          <w:highlight w:val="none"/>
        </w:rPr>
        <w:t>承</w:t>
      </w:r>
      <w:r>
        <w:rPr>
          <w:rFonts w:hint="eastAsia" w:ascii="仿宋_GB2312" w:hAnsi="仿宋_GB2312" w:eastAsia="仿宋_GB2312" w:cs="仿宋_GB2312"/>
          <w:color w:val="auto"/>
          <w:kern w:val="0"/>
          <w:sz w:val="24"/>
          <w:szCs w:val="24"/>
          <w:highlight w:val="none"/>
        </w:rPr>
        <w:t>包人应严格按照经审查的施工图纸施工，每道焊缝落实编号标记并提供完整的影像记录（包括内外焊缝）并经监理工程师验收确认。</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工程竣工后，承包人应及时清理施工现场，并移交场地；场地移交前，承包人应做好施工现场的维护工作。承包人应在投标报价中考虑有关费用，并保证发包人免于受到或承担应由承包人负责的上述事项所引起的或与之有关的行政处罚、索赔、诉讼以及其它开支，如因承包人的行为对发包人造成损失的，发包人有权向承包人追偿。</w:t>
      </w:r>
    </w:p>
    <w:p>
      <w:pPr>
        <w:spacing w:line="420" w:lineRule="exact"/>
        <w:ind w:firstLine="240" w:firstLineChars="1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（5）安全施工与检查</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1）承包人建立安全责任制，明确各部门安全工作的岗位责任人，建立健全正常运转的各种安全工作保证体系和规章制度，将安全生产目标分解落实到实处。</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2)承包人应根据现场情况，同步作业涉及多个作业点时，须配置足够的具备资质的安全员</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每名安全员只能监管2个作业点</w:t>
      </w:r>
      <w:r>
        <w:rPr>
          <w:rFonts w:hint="eastAsia" w:ascii="仿宋_GB2312" w:hAnsi="仿宋_GB2312" w:eastAsia="仿宋_GB2312" w:cs="仿宋_GB2312"/>
          <w:color w:val="auto"/>
          <w:kern w:val="0"/>
          <w:sz w:val="24"/>
          <w:szCs w:val="24"/>
          <w:highlight w:val="none"/>
        </w:rPr>
        <w:t>。项目管理机构的专职安全员不得兼任其他工作的人员，不得同时负责两个以上工程项目的安全生产管理工作。</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3)承包人在开工前须向质量安全监督机构提交备案的书面资料。</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4)承包人在编制施工组织设计时，应当根据工程的特点编制相应的安全技术措施。</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5)承包人按有关技术安全和防护的规定组织施工生产，不得使用不合标准的防护器材、机具和材料。</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现场安全文明施工必须严格按《建筑施工安全检查标准》（JGJ59-99）《关于修订并重新印发&lt;广州市建设工程现场文明施工管理办法&gt;的通知》（穗建质〔2008〕937号）《广州市市政工程文明施工规范实施细则—2004》等法律法规及本合同专用条款有关安全文明施工条款的规定执行，如有违反或承包人在任何检查中被发现存在安全事故隐患、违章行为或管理不到位现象的，根据专用条款有关规定及《工程安全生产、质量文明施工协议书》的规定进行整改、扣罚。</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7)承包人应落实外来施工人员实名制，施工前按发包人要求为进场施工人员制作《外来人员工作证》（样式见附件九），并督促现场施工人员必须证件方可进场施工。</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乙方应负责为任何用工形式员工配备个人劳动保护用品（包括工作服、安全帽、安全带、安全鞋、工作手套等），乙方应穿着本单位统一的工作服装。乙方施工负责人和安全员应随时检查劳动保护用品的穿戴情况，不按规定穿戴保护用品的人员不得上岗。</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41.8治安保卫</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（1）承包人应当负责统一管理施工场地的治安保卫事项，履行合同工程的治安保卫职责。</w:t>
      </w:r>
    </w:p>
    <w:p>
      <w:pPr>
        <w:spacing w:line="420" w:lineRule="exact"/>
        <w:ind w:left="959" w:leftChars="228" w:hanging="480" w:hangingChars="200"/>
        <w:jc w:val="left"/>
        <w:rPr>
          <w:rFonts w:hint="default" w:ascii="仿宋_GB2312" w:hAnsi="仿宋_GB2312" w:eastAsia="仿宋_GB2312" w:cs="仿宋_GB2312"/>
          <w:color w:val="auto"/>
          <w:kern w:val="0"/>
          <w:sz w:val="24"/>
          <w:szCs w:val="24"/>
          <w:highlight w:val="none"/>
          <w:u w:val="single"/>
          <w:lang w:val="en-US"/>
        </w:rPr>
      </w:pPr>
      <w:r>
        <w:rPr>
          <w:rFonts w:hint="eastAsia" w:ascii="仿宋_GB2312" w:hAnsi="仿宋_GB2312" w:eastAsia="仿宋_GB2312" w:cs="仿宋_GB2312"/>
          <w:color w:val="auto"/>
          <w:kern w:val="0"/>
          <w:sz w:val="24"/>
          <w:szCs w:val="24"/>
          <w:highlight w:val="none"/>
        </w:rPr>
        <w:t>（2）施工场地治安管理计划和突发治安事件紧急预案的编制责任</w:t>
      </w:r>
      <w:r>
        <w:rPr>
          <w:rFonts w:hint="eastAsia" w:ascii="仿宋_GB2312" w:hAnsi="仿宋_GB2312" w:eastAsia="仿宋_GB2312" w:cs="仿宋_GB2312"/>
          <w:color w:val="auto"/>
          <w:kern w:val="0"/>
          <w:sz w:val="24"/>
          <w:szCs w:val="24"/>
          <w:highlight w:val="none"/>
          <w:lang w:val="en-US" w:eastAsia="zh-CN"/>
        </w:rPr>
        <w:t>人：</w:t>
      </w:r>
      <w:permStart w:id="228" w:edGrp="everyone"/>
      <w:r>
        <w:rPr>
          <w:rFonts w:hint="eastAsia" w:ascii="仿宋_GB2312" w:hAnsi="仿宋_GB2312" w:eastAsia="仿宋_GB2312" w:cs="仿宋_GB2312"/>
          <w:color w:val="auto"/>
          <w:kern w:val="0"/>
          <w:sz w:val="24"/>
          <w:szCs w:val="24"/>
          <w:highlight w:val="none"/>
          <w:u w:val="single"/>
          <w:lang w:val="en-US" w:eastAsia="zh-CN"/>
        </w:rPr>
        <w:t xml:space="preserve"> 承包人 </w:t>
      </w:r>
      <w:permEnd w:id="228"/>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41.9环境保护</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（1）施工环保措施计划报送监理工程师审批的时间：开工前7天。监理工程师收到承包人报送的施工环保措施计划后应当在5天内给予批复。</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（2）施工场地清洁卫生的要求：</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本合同工程现场文明施工必须严格按以下文件执行，并挂牌施工接受监督：</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1)《广州市建设工程文明施工管理规定》（广州市人民政府令第62号）；</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2)广州市水务局制定的《广州市水务局关于印发广州市2018年水务工程扬尘污染控制行动方案的通知》（穗水质安〔2018〕45号）；</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应保持现场整洁，保证卫生要求，合理地安排临时设施，存放和处置好设备及材料，及时清运垃圾和余泥，处理好污水、余泥排放，施工范围应定期洒水，减少施工扬尘。工程完工后，承包人应立即从施工现场搬走或清除承包人的设备、材料、垃圾以及各种临时设施，并保持施工现场和工程清洁整齐，但承包人应保留他为在缺陷责任期内履行其义务而需要的材料、设备和临时设施。承包人要组织建立扬尘及施工机械污染防治自我保障体系，编制建设工程扬尘污染防治专项方案，明确控制措施，列明施工机械使用情况;配备相关管理人员，建立扬尘及施工机械污染防治检查制度;建立检查台账，确保各项扬尘及施工机械污染防治措施落实。其费用已包含在合同价款中，不另行计量支付。承包人要在工地图档外公示扬尘及施工机械污染防治措施、负责人、扬尘及施工机械监督管理主管部门等信息，明确投诉举报方式。</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应根据《广东省建设工程施工扬尘污染防治管理办法（试行）的通知》（粤办函〔2017〕708号）《广州市2018年度大气污染综合防治工作计划》（穗水质安〔2018〕45号）《广州市水务局关于印发广州市2018年水务工程扬尘污染控制行动方案的通知》（穗水质安〔2018〕45号）《广州市住房和城乡建设局等8部门关于印发广州市建设工程扬尘防治“6个100%”管理标准图集（V2.0版）的通知》的要求，制定施工现场扬尘污染防治方案并报发包人和监理人审核，审核通过后，承包人应落实方案的实施。</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应根据《广州市住房和城乡建设局等8部门关于印发广州市建设工程扬尘防治“6个100%”管理标准图集（V2.0版）的通知》、《市水投集团关于进一步加强工地扬尘防治“六个100%”管理要求的通知》（穗水投业务〔2018〕160号），做好施工现场100%围蔽、工地砂土100%覆盖、工地路面100%硬地化、拆除工程100%洒水压尘、出工地车辆100%冲净车轮车身、暂不开发的场地100%绿化等工作。</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4)承包人应严格执行《广州市建设工程扬尘整治联席会议办公室关于印发广州市建设工程扬尘治理和文明施工严格管理6条措施的通知》（穗建质〔2021〕512号），落实参建单位责任，落实工地扬尘防治“六个100%”管理要求，加强余泥运输车辆管理，加强工程信息化建设监督管理等工作，承包人未按规定落实《广州市建设工程扬尘整治联席会议办公室关于印发广州市建设工程扬尘治理和文明施工严格管理6条措施的通知》（穗建质〔2021〕512号）要求的，发包人有权将相关承包单位列入失信企业名单，在履约诚信评价中给予扣分。</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（3）施工场地周围地下管线和邻近建筑物、构筑物（含文物保护建筑）、古树名木的保护要求及费用承担：</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施工期间发现文物，应按国家文物和省、市有关文物管理规定保护现场，并通知有关部门。否则，因此造成的损失或被有关部门处罚，均由承包人负责。除文物保护外，其它保护工作费用已包含在合同价款中，不另行计量支付。</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已明确地下管线，承包人有责任保护其安全，如因施工损坏，由承包人承担相关责任并负责经济赔偿。凡标明有地下管线的地方，应挖探坑查明管线的具体位置并作出保护措施后方可施工。为保护好地下管线和构筑物，要求承包人在钻桩开钻及排水沟、基坑开挖前，先进行勘探性探测（钻孔桩施工时应挖相当桩截面不少于3.0米深的探坑），确认没有遇到地下任何管线和构筑物后，才允许开钻及开挖，否则由此引起的一切损失由承包人负责。</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（4）承包人须做好沿线居民用水保障工作，施工过程影响沿线用水的，应严格按照发包人相关规定办理相关手续。</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41.10事故处理</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如发生安全事故，除按法定程序办理有关事宜外，还必须按以下程序进行处理：</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（1）报告安全事故：安全事故发生后，承包人应在1小时内用最快的信息传递方式，将发生事故的时间、地点、伤亡人数、事故原因等情况，报监理工程师和发包人。</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（2）事故处理：承包人负责抢救伤员、排除险情，防止事故蔓延扩大，保护好现场，并做好标识；并启动保险理赔程序。</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（3）事故调查：承包人应组织内部技术安全、质量部门的人员组成调查组，开展调查，并配合做好发包人或政府有关部门组织的调查工作。</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（4）调查报告：承包人应把事故发生经过、原因、性质、损失、责任、处理意见、纠正和预防措施撰写成调查报告，送监理工程师会审后报发包人。</w:t>
      </w:r>
    </w:p>
    <w:p>
      <w:pPr>
        <w:spacing w:line="420" w:lineRule="exact"/>
        <w:jc w:val="left"/>
        <w:rPr>
          <w:rFonts w:hint="eastAsia" w:ascii="仿宋_GB2312" w:hAnsi="仿宋_GB2312" w:eastAsia="仿宋_GB2312" w:cs="仿宋_GB2312"/>
          <w:color w:val="auto"/>
          <w:kern w:val="0"/>
          <w:sz w:val="24"/>
          <w:szCs w:val="24"/>
          <w:highlight w:val="none"/>
        </w:rPr>
      </w:pPr>
    </w:p>
    <w:p>
      <w:pPr>
        <w:spacing w:line="420" w:lineRule="exact"/>
        <w:jc w:val="lef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★42. 质量标准、目标</w:t>
      </w:r>
      <w:bookmarkEnd w:id="653"/>
      <w:bookmarkEnd w:id="654"/>
    </w:p>
    <w:p>
      <w:pPr>
        <w:spacing w:line="420" w:lineRule="exact"/>
        <w:ind w:firstLine="120" w:firstLineChars="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sz w:val="24"/>
          <w:szCs w:val="24"/>
          <w:highlight w:val="none"/>
        </w:rPr>
        <w:t>42.1 约定的工程质量标准</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（1） 合同工程质量标准：</w:t>
      </w:r>
      <w:permStart w:id="229" w:edGrp="everyone"/>
      <w:r>
        <w:rPr>
          <w:rFonts w:hint="eastAsia" w:ascii="仿宋_GB2312" w:hAnsi="仿宋_GB2312" w:eastAsia="仿宋_GB2312" w:cs="仿宋_GB2312"/>
          <w:color w:val="auto"/>
          <w:sz w:val="24"/>
          <w:szCs w:val="24"/>
          <w:highlight w:val="none"/>
          <w:u w:val="single"/>
        </w:rPr>
        <w:t xml:space="preserve">  承包人必须对工程质量全面负责，工程质量标准应达到招标图纸及技术要求以及承包人投标时承诺的工程质量标准，若承包人违反操作规程或施工质量不符合本合同要求，</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发包人或监理单位有权责令承包人停止施工；对不符合本合同质量要求的工程，承包人应无偿返工，直至工程质量达到本合同要求为止，由此造成的经济损失、工期的延误以及由此引起变更设计增加的费用，均由承包人负责。   </w:t>
      </w:r>
      <w:permEnd w:id="229"/>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创优目标：</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30" w:edGrp="everyone"/>
      <w:r>
        <w:rPr>
          <w:rFonts w:hint="eastAsia" w:ascii="仿宋_GB2312" w:hAnsi="仿宋_GB2312" w:eastAsia="仿宋_GB2312" w:cs="仿宋_GB2312"/>
          <w:color w:val="auto"/>
          <w:kern w:val="0"/>
          <w:sz w:val="24"/>
          <w:szCs w:val="24"/>
          <w:highlight w:val="none"/>
          <w:lang w:val="en-US" w:eastAsia="zh-CN"/>
        </w:rPr>
        <w:t>☒</w:t>
      </w:r>
      <w:permEnd w:id="230"/>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市级工程优质奖</w:t>
      </w:r>
      <w:r>
        <w:rPr>
          <w:rFonts w:hint="eastAsia" w:ascii="仿宋_GB2312" w:hAnsi="仿宋_GB2312" w:eastAsia="仿宋_GB2312" w:cs="仿宋_GB2312"/>
          <w:color w:val="auto"/>
          <w:kern w:val="0"/>
          <w:sz w:val="24"/>
          <w:szCs w:val="24"/>
          <w:highlight w:val="none"/>
        </w:rPr>
        <w:t>；</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31" w:edGrp="everyone"/>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231"/>
      <w:r>
        <w:rPr>
          <w:rFonts w:hint="eastAsia" w:ascii="仿宋_GB2312" w:hAnsi="仿宋_GB2312" w:eastAsia="仿宋_GB2312" w:cs="仿宋_GB2312"/>
          <w:color w:val="auto"/>
          <w:sz w:val="24"/>
          <w:szCs w:val="24"/>
          <w:highlight w:val="none"/>
        </w:rPr>
        <w:t>省级工程优质奖</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32" w:edGrp="everyone"/>
      <w:r>
        <w:rPr>
          <w:rFonts w:hint="eastAsia" w:ascii="仿宋_GB2312" w:hAnsi="仿宋_GB2312" w:eastAsia="仿宋_GB2312" w:cs="仿宋_GB2312"/>
          <w:color w:val="auto"/>
          <w:kern w:val="0"/>
          <w:sz w:val="24"/>
          <w:szCs w:val="24"/>
          <w:highlight w:val="none"/>
          <w:lang w:val="en-US" w:eastAsia="zh-CN"/>
        </w:rPr>
        <w:t>☒</w:t>
      </w:r>
      <w:permEnd w:id="232"/>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国家级工程优质奖</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default" w:ascii="仿宋_GB2312" w:hAnsi="仿宋_GB2312" w:eastAsia="仿宋_GB2312" w:cs="仿宋_GB2312"/>
          <w:color w:val="auto"/>
          <w:kern w:val="0"/>
          <w:sz w:val="24"/>
          <w:szCs w:val="24"/>
          <w:highlight w:val="none"/>
          <w:u w:val="single"/>
          <w:lang w:val="en-US" w:eastAsia="zh-CN"/>
        </w:rPr>
      </w:pPr>
      <w:permStart w:id="233" w:edGrp="everyone"/>
      <w:r>
        <w:rPr>
          <w:rFonts w:hint="eastAsia" w:ascii="仿宋_GB2312" w:hAnsi="仿宋_GB2312" w:eastAsia="仿宋_GB2312" w:cs="仿宋_GB2312"/>
          <w:color w:val="auto"/>
          <w:kern w:val="0"/>
          <w:sz w:val="24"/>
          <w:szCs w:val="24"/>
          <w:highlight w:val="none"/>
          <w:lang w:val="en-US" w:eastAsia="zh-CN"/>
        </w:rPr>
        <w:t>☒</w:t>
      </w:r>
      <w:permEnd w:id="233"/>
      <w:r>
        <w:rPr>
          <w:rFonts w:hint="eastAsia" w:ascii="仿宋_GB2312" w:hAnsi="仿宋_GB2312" w:eastAsia="仿宋_GB2312" w:cs="仿宋_GB2312"/>
          <w:color w:val="auto"/>
          <w:kern w:val="0"/>
          <w:sz w:val="24"/>
          <w:szCs w:val="24"/>
          <w:highlight w:val="none"/>
        </w:rPr>
        <w:t xml:space="preserve"> 其它</w:t>
      </w:r>
      <w:permStart w:id="234" w:edGrp="everyone"/>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u w:val="single"/>
          <w:lang w:val="en-US" w:eastAsia="zh-CN"/>
        </w:rPr>
        <w:t xml:space="preserve"> / </w:t>
      </w:r>
    </w:p>
    <w:permEnd w:id="234"/>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kern w:val="0"/>
          <w:sz w:val="24"/>
          <w:szCs w:val="24"/>
          <w:highlight w:val="none"/>
        </w:rPr>
        <w:t>（2）</w:t>
      </w:r>
      <w:r>
        <w:rPr>
          <w:rFonts w:hint="eastAsia" w:ascii="仿宋_GB2312" w:hAnsi="仿宋_GB2312" w:eastAsia="仿宋_GB2312" w:cs="仿宋_GB2312"/>
          <w:color w:val="auto"/>
          <w:sz w:val="24"/>
          <w:szCs w:val="24"/>
          <w:highlight w:val="none"/>
        </w:rPr>
        <w:t>特殊质量标准和要求：</w:t>
      </w:r>
      <w:permStart w:id="235"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235"/>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（3） 工程质量验收标准：</w:t>
      </w:r>
      <w:permStart w:id="236"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236"/>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42.3 质量保证体系</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承包人应当完善质量管理制度，建立质量控制流程，建立并保持一个有效的工程质量管理体系。</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（2）承包人提交监理工程师批准的施工组织设计或者施工方案必须附有完备的工程质量保证措施，包括：</w:t>
      </w:r>
      <w:permStart w:id="237" w:edGrp="everyone"/>
      <w:r>
        <w:rPr>
          <w:rFonts w:hint="eastAsia" w:ascii="仿宋_GB2312" w:hAnsi="仿宋_GB2312" w:eastAsia="仿宋_GB2312" w:cs="仿宋_GB2312"/>
          <w:color w:val="auto"/>
          <w:sz w:val="24"/>
          <w:szCs w:val="24"/>
          <w:highlight w:val="none"/>
          <w:u w:val="single"/>
        </w:rPr>
        <w:t xml:space="preserve">  质量检查机构的组织和岗位责任、质检人员的组成、质量检查程序和实施细则等，报送监理人审批。  </w:t>
      </w:r>
      <w:permEnd w:id="237"/>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（3）单项工程开工前，承包人必须按要求对职工分级进行技术交底，组织学习有关规程、标准、规范和工艺要求，在施工中必须按规程及工艺进行操作。</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单项工程和重要部位必须遵循先试验后铺开施工的程序，开工前承包人应熟悉施工图纸和图纸会审、设计变更内容，并完成施工组织设计和必要的施工准备，送监理工程师审查批准后方可进行实验性施工，完工后由监理工程师检验，符合要求后才能铺开施工或者批量生产。</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42.4工程质量有争议的处理</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同双方当事人对工程质量有争议的，除按照第86.4款规定调解或认定外，监理工程师可提请合同双方委托有相应资质的工程质量检测机构进行鉴定，所需的费用及由此造成的损失，由责任方承担。双方均有责任的，由双方根据其责任划分分别承担。经检测，质量确有缺陷的，已竣工验收或已竣工未验收但实际投入使用的工程，其处理按工程保修书的约定执行；已竣工未验收且未实际投入使用的工程以及停工、停建的工程，根据检测结果确定解决方案，或按工程质量监督机构的处理决定执行。</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42.5承包人的质量管理</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（1）承包人向监理人提交工程质量保证措施文件的期限：本合同签订后</w:t>
      </w:r>
      <w:permStart w:id="238" w:edGrp="everyone"/>
      <w:r>
        <w:rPr>
          <w:rFonts w:hint="eastAsia" w:ascii="仿宋_GB2312" w:hAnsi="仿宋_GB2312" w:eastAsia="仿宋_GB2312" w:cs="仿宋_GB2312"/>
          <w:color w:val="auto"/>
          <w:sz w:val="24"/>
          <w:szCs w:val="24"/>
          <w:highlight w:val="none"/>
          <w:u w:val="single"/>
        </w:rPr>
        <w:t xml:space="preserve"> 10个 </w:t>
      </w:r>
      <w:permEnd w:id="238"/>
      <w:r>
        <w:rPr>
          <w:rFonts w:hint="eastAsia" w:ascii="仿宋_GB2312" w:hAnsi="仿宋_GB2312" w:eastAsia="仿宋_GB2312" w:cs="仿宋_GB2312"/>
          <w:color w:val="auto"/>
          <w:sz w:val="24"/>
          <w:szCs w:val="24"/>
          <w:highlight w:val="none"/>
        </w:rPr>
        <w:t>日历天内，向监理工程师提交一式四份工程质量保证措施文件。监理工程师审批工程质量保证措施文件的期限：</w:t>
      </w:r>
      <w:permStart w:id="239" w:edGrp="everyone"/>
      <w:r>
        <w:rPr>
          <w:rFonts w:hint="eastAsia" w:ascii="仿宋_GB2312" w:hAnsi="仿宋_GB2312" w:eastAsia="仿宋_GB2312" w:cs="仿宋_GB2312"/>
          <w:color w:val="auto"/>
          <w:sz w:val="24"/>
          <w:szCs w:val="24"/>
          <w:highlight w:val="none"/>
          <w:u w:val="single"/>
        </w:rPr>
        <w:t xml:space="preserve"> 5个 </w:t>
      </w:r>
      <w:permEnd w:id="239"/>
      <w:r>
        <w:rPr>
          <w:rFonts w:hint="eastAsia" w:ascii="仿宋_GB2312" w:hAnsi="仿宋_GB2312" w:eastAsia="仿宋_GB2312" w:cs="仿宋_GB2312"/>
          <w:color w:val="auto"/>
          <w:sz w:val="24"/>
          <w:szCs w:val="24"/>
          <w:highlight w:val="none"/>
        </w:rPr>
        <w:t>日历天内。</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（2）承包人必须对工程质量全面负责，工程质量标准应达到承包人投标时承诺的工程质量标准。</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承包人应按施工图纸施工，确保各类工序上的施工质量，配合监理人做好各阶段的隐蔽验收及中间验收工作，确保工程施工质量满足设计图纸、相关规范、上级行政管理部门及质量监督部门检查要求，各项隐蔽验收及中间验收工作应在施工日志中有图片或影像予以记录。</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（4）承包人应在管道完工接驳并网前将管道内腔视频内容提供发包人。</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42.6工程路面底层的水泥石屑稳定层必须按配比拌制，并及时摊铺辗压形成板块，人行道道床必须经过压路机辗压达到密度要求并检平再铺砌混凝土预制块。凡不按上述要求施工的都必须返工重做，承包人负责返工重做的所有费用（由此发生的工期不得顺延），直至达到要求为止，否则发包人将不验收，并拒绝付该部分工程进度款。</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42.7若工程所在地的政府、业主或其他相关部门对本工程提出工程进度、质量方面的要求，且此要求符合本合同的约定时，以工程所在地的政府、发包人或其他相关部门对本工程提出工程进度、质量方面的要求为准。承包人不得以此提出任何工程价款增加的要求。</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42.8承包人应严格按《广州市水务局关于严格规范落实水务工程建设质量终身责任制有关规定的通知》、《广州市水务局转发关于水利工程建设质量终身责任的管理办法（试行）的通知》(穗水质安〔2018〕139号)等文件要求,落实工程质量终身责任管理工作。</w:t>
      </w:r>
    </w:p>
    <w:p>
      <w:pPr>
        <w:widowControl w:val="0"/>
        <w:numPr>
          <w:ilvl w:val="0"/>
          <w:numId w:val="0"/>
        </w:numPr>
        <w:tabs>
          <w:tab w:val="left" w:pos="420"/>
          <w:tab w:val="left" w:pos="576"/>
        </w:tabs>
        <w:spacing w:before="260" w:line="420" w:lineRule="exact"/>
        <w:jc w:val="left"/>
        <w:outlineLvl w:val="1"/>
        <w:rPr>
          <w:rFonts w:hint="eastAsia" w:ascii="黑体" w:hAnsi="黑体" w:eastAsia="黑体" w:cs="黑体"/>
          <w:b w:val="0"/>
          <w:bCs w:val="0"/>
          <w:color w:val="auto"/>
          <w:kern w:val="0"/>
          <w:sz w:val="24"/>
          <w:szCs w:val="24"/>
          <w:highlight w:val="none"/>
          <w:lang w:val="en-US" w:eastAsia="zh-CN" w:bidi="ar-SA"/>
        </w:rPr>
      </w:pPr>
      <w:bookmarkStart w:id="655" w:name="_Toc469384106"/>
      <w:bookmarkStart w:id="656" w:name="_Toc10624950"/>
      <w:r>
        <w:rPr>
          <w:rFonts w:hint="eastAsia" w:ascii="黑体" w:hAnsi="黑体" w:eastAsia="黑体" w:cs="黑体"/>
          <w:b w:val="0"/>
          <w:bCs w:val="0"/>
          <w:color w:val="auto"/>
          <w:kern w:val="0"/>
          <w:sz w:val="24"/>
          <w:szCs w:val="24"/>
          <w:highlight w:val="none"/>
          <w:lang w:val="en-US" w:eastAsia="zh-CN" w:bidi="ar-SA"/>
        </w:rPr>
        <w:t xml:space="preserve">★45. </w:t>
      </w:r>
      <w:bookmarkEnd w:id="655"/>
      <w:r>
        <w:rPr>
          <w:rFonts w:hint="eastAsia" w:ascii="黑体" w:hAnsi="黑体" w:eastAsia="黑体" w:cs="黑体"/>
          <w:b w:val="0"/>
          <w:bCs w:val="0"/>
          <w:color w:val="auto"/>
          <w:kern w:val="0"/>
          <w:sz w:val="24"/>
          <w:szCs w:val="24"/>
          <w:highlight w:val="none"/>
          <w:lang w:val="en-US" w:eastAsia="zh-CN" w:bidi="ar-SA"/>
        </w:rPr>
        <w:t>绿色施工安全防护</w:t>
      </w:r>
      <w:bookmarkEnd w:id="656"/>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45.1绿色施工安全防护的要求：</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按通用条款的规定以及第20.2款相关要求。</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840" w:firstLineChars="3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其中：</w:t>
      </w:r>
      <w:r>
        <w:rPr>
          <w:rFonts w:hint="eastAsia" w:ascii="仿宋_GB2312" w:hAnsi="仿宋_GB2312" w:eastAsia="仿宋_GB2312" w:cs="仿宋_GB2312"/>
          <w:color w:val="auto"/>
          <w:sz w:val="24"/>
          <w:szCs w:val="24"/>
          <w:highlight w:val="none"/>
        </w:rPr>
        <w:t>施工扬尘污染防治措施：</w:t>
      </w:r>
      <w:permStart w:id="240"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40"/>
    </w:p>
    <w:p>
      <w:pPr>
        <w:spacing w:line="420" w:lineRule="exact"/>
        <w:ind w:firstLine="1680" w:firstLineChars="7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sz w:val="24"/>
          <w:szCs w:val="24"/>
          <w:highlight w:val="none"/>
        </w:rPr>
        <w:t>用工实名管理：</w:t>
      </w:r>
      <w:permStart w:id="24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41"/>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45.2</w:t>
      </w:r>
      <w:r>
        <w:rPr>
          <w:rFonts w:hint="eastAsia" w:ascii="仿宋_GB2312" w:hAnsi="仿宋_GB2312" w:eastAsia="仿宋_GB2312" w:cs="仿宋_GB2312"/>
          <w:color w:val="auto"/>
          <w:kern w:val="0"/>
          <w:sz w:val="24"/>
          <w:szCs w:val="24"/>
          <w:highlight w:val="none"/>
        </w:rPr>
        <w:t>用工实名制、工人工资支付分账管理</w:t>
      </w:r>
    </w:p>
    <w:p>
      <w:pPr>
        <w:spacing w:line="420" w:lineRule="exact"/>
        <w:ind w:firstLine="360" w:firstLineChars="1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按通用条款的规定以及以下文件规定：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（1）《住房和城乡建设部人力资源社会保障部关于修改&lt;建筑工人实名制管理办法（试行）&gt;的通知》（建市〔2022〕59号）</w:t>
      </w:r>
    </w:p>
    <w:p>
      <w:pPr>
        <w:spacing w:line="420" w:lineRule="exact"/>
        <w:ind w:firstLine="960" w:firstLineChars="4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《住房城乡建设部 人力资源社会保障部关于印发建筑工人实名</w:t>
      </w:r>
      <w:r>
        <w:rPr>
          <w:rFonts w:hint="eastAsia" w:ascii="仿宋_GB2312" w:hAnsi="仿宋_GB2312" w:eastAsia="仿宋_GB2312" w:cs="仿宋_GB2312"/>
          <w:color w:val="auto"/>
          <w:kern w:val="0"/>
          <w:sz w:val="24"/>
          <w:szCs w:val="24"/>
          <w:highlight w:val="none"/>
          <w:lang w:val="en-US" w:eastAsia="zh-CN"/>
        </w:rPr>
        <w:t>制</w:t>
      </w:r>
      <w:r>
        <w:rPr>
          <w:rFonts w:hint="eastAsia" w:ascii="仿宋_GB2312" w:hAnsi="仿宋_GB2312" w:eastAsia="仿宋_GB2312" w:cs="仿宋_GB2312"/>
          <w:color w:val="auto"/>
          <w:kern w:val="0"/>
          <w:sz w:val="24"/>
          <w:szCs w:val="24"/>
          <w:highlight w:val="none"/>
        </w:rPr>
        <w:t>管理办法（试行）的通知》（建市〔2019〕18号）</w:t>
      </w:r>
    </w:p>
    <w:p>
      <w:pPr>
        <w:widowControl/>
        <w:spacing w:before="0" w:beforeAutospacing="0" w:after="0" w:afterAutospacing="0" w:line="420" w:lineRule="exact"/>
        <w:ind w:firstLine="960" w:firstLineChars="400"/>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《工程建设领域农民工工资专用账户管理暂行办法》（人社部发〔2021〕53号）</w:t>
      </w:r>
    </w:p>
    <w:p>
      <w:pPr>
        <w:widowControl/>
        <w:spacing w:before="0" w:beforeAutospacing="0" w:after="0" w:afterAutospacing="0" w:line="420" w:lineRule="exact"/>
        <w:ind w:firstLine="960" w:firstLineChars="400"/>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《广州市住房和城乡建设局关于印发广州市建筑施工实名制管理办法的通知》（穗建规字〔2020〕18号）</w:t>
      </w:r>
    </w:p>
    <w:p>
      <w:pPr>
        <w:widowControl/>
        <w:spacing w:before="0" w:beforeAutospacing="0" w:after="0" w:afterAutospacing="0" w:line="420" w:lineRule="exact"/>
        <w:ind w:firstLine="960" w:firstLineChars="400"/>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《关于印发广州市建设领域工人工资支付分账管理实施细则的通知》（穗建规字〔2020〕37号）</w:t>
      </w:r>
    </w:p>
    <w:p>
      <w:pPr>
        <w:widowControl/>
        <w:spacing w:before="0" w:beforeAutospacing="0" w:after="0" w:afterAutospacing="0" w:line="420" w:lineRule="exact"/>
        <w:ind w:firstLine="960" w:firstLineChars="400"/>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《广州市住房和城乡建设局关于公布第五批广州市建设领域工人工资支付分账管理业务银行名录的通知》（穗建筑〔2022〕1号）</w:t>
      </w:r>
    </w:p>
    <w:p>
      <w:pPr>
        <w:spacing w:line="420" w:lineRule="exact"/>
        <w:ind w:left="15" w:leftChars="7" w:firstLine="960" w:firstLineChars="4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《广州市住房和城乡建设局关于进一步征集广州市建设领域工人工资支付分账业务银行的通知》（穗建筑〔2021〕673号）</w:t>
      </w:r>
    </w:p>
    <w:p>
      <w:pPr>
        <w:spacing w:line="420" w:lineRule="exact"/>
        <w:ind w:firstLine="960" w:firstLineChars="4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《广州市水务局转发广州市根治拖欠农民工工资工作领导小组办公室关于广州市建设领域工程项目全面实施农民工工资总包代发制度的通知》（穗水投收字〔2020〕5031号）</w:t>
      </w:r>
    </w:p>
    <w:p>
      <w:pPr>
        <w:spacing w:line="420" w:lineRule="exact"/>
        <w:ind w:firstLine="960" w:firstLineChars="4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《保障农民工工资支付条例》</w:t>
      </w:r>
    </w:p>
    <w:p>
      <w:pPr>
        <w:spacing w:line="420" w:lineRule="exact"/>
        <w:ind w:firstLine="960" w:firstLineChars="4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《广州市水务投资集团有限公司农民工工资纠纷突发事件应急处置工作指引（试行）》</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（2）</w:t>
      </w: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其他文件：</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45.6 治安管理：</w:t>
      </w:r>
    </w:p>
    <w:p>
      <w:pPr>
        <w:spacing w:line="420" w:lineRule="exact"/>
        <w:ind w:firstLine="240" w:firstLine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按通用条款的规定以及第20.2款相关要求。</w:t>
      </w:r>
    </w:p>
    <w:p>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45.8</w:t>
      </w:r>
      <w:r>
        <w:rPr>
          <w:rFonts w:hint="eastAsia" w:ascii="仿宋_GB2312" w:hAnsi="仿宋_GB2312" w:eastAsia="仿宋_GB2312" w:cs="仿宋_GB2312"/>
          <w:color w:val="auto"/>
          <w:kern w:val="0"/>
          <w:sz w:val="24"/>
          <w:szCs w:val="24"/>
          <w:highlight w:val="none"/>
        </w:rPr>
        <w:t>创文明工地目标：</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42" w:edGrp="everyone"/>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w:t>
      </w:r>
      <w:permEnd w:id="242"/>
      <w:r>
        <w:rPr>
          <w:rFonts w:hint="eastAsia" w:ascii="仿宋_GB2312" w:hAnsi="仿宋_GB2312" w:eastAsia="仿宋_GB2312" w:cs="仿宋_GB2312"/>
          <w:color w:val="auto"/>
          <w:sz w:val="24"/>
          <w:szCs w:val="24"/>
          <w:highlight w:val="none"/>
        </w:rPr>
        <w:t>市级安全文明绿色施工样板工地</w:t>
      </w:r>
      <w:r>
        <w:rPr>
          <w:rFonts w:hint="eastAsia" w:ascii="仿宋_GB2312" w:hAnsi="仿宋_GB2312" w:eastAsia="仿宋_GB2312" w:cs="仿宋_GB2312"/>
          <w:color w:val="auto"/>
          <w:kern w:val="0"/>
          <w:sz w:val="24"/>
          <w:szCs w:val="24"/>
          <w:highlight w:val="none"/>
        </w:rPr>
        <w:t>；</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43" w:edGrp="everyone"/>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w:t>
      </w:r>
      <w:permEnd w:id="243"/>
      <w:r>
        <w:rPr>
          <w:rFonts w:hint="eastAsia" w:ascii="仿宋_GB2312" w:hAnsi="仿宋_GB2312" w:eastAsia="仿宋_GB2312" w:cs="仿宋_GB2312"/>
          <w:color w:val="auto"/>
          <w:kern w:val="0"/>
          <w:sz w:val="24"/>
          <w:szCs w:val="24"/>
          <w:highlight w:val="none"/>
        </w:rPr>
        <w:t>省级安全文明示范工地；</w:t>
      </w:r>
    </w:p>
    <w:p>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44" w:edGrp="everyone"/>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w:t>
      </w:r>
      <w:permEnd w:id="244"/>
      <w:r>
        <w:rPr>
          <w:rFonts w:hint="eastAsia" w:ascii="仿宋_GB2312" w:hAnsi="仿宋_GB2312" w:eastAsia="仿宋_GB2312" w:cs="仿宋_GB2312"/>
          <w:color w:val="auto"/>
          <w:sz w:val="24"/>
          <w:szCs w:val="24"/>
          <w:highlight w:val="none"/>
        </w:rPr>
        <w:t>国家级安全文明工地</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45" w:edGrp="everyone"/>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w:t>
      </w:r>
      <w:permEnd w:id="245"/>
      <w:r>
        <w:rPr>
          <w:rFonts w:hint="eastAsia" w:ascii="仿宋_GB2312" w:hAnsi="仿宋_GB2312" w:eastAsia="仿宋_GB2312" w:cs="仿宋_GB2312"/>
          <w:color w:val="auto"/>
          <w:kern w:val="0"/>
          <w:sz w:val="24"/>
          <w:szCs w:val="24"/>
          <w:highlight w:val="none"/>
        </w:rPr>
        <w:t>广州市建筑业绿色施工示范工程；</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46" w:edGrp="everyone"/>
      <w:r>
        <w:rPr>
          <w:rFonts w:hint="eastAsia" w:ascii="仿宋_GB2312" w:hAnsi="仿宋_GB2312" w:eastAsia="仿宋_GB2312" w:cs="仿宋_GB2312"/>
          <w:color w:val="auto"/>
          <w:kern w:val="0"/>
          <w:sz w:val="24"/>
          <w:szCs w:val="24"/>
          <w:highlight w:val="none"/>
        </w:rPr>
        <w:sym w:font="Wingdings 2" w:char="0051"/>
      </w:r>
      <w:permEnd w:id="246"/>
      <w:r>
        <w:rPr>
          <w:rFonts w:hint="eastAsia" w:ascii="仿宋_GB2312" w:hAnsi="仿宋_GB2312" w:eastAsia="仿宋_GB2312" w:cs="仿宋_GB2312"/>
          <w:color w:val="auto"/>
          <w:kern w:val="0"/>
          <w:sz w:val="24"/>
          <w:szCs w:val="24"/>
          <w:highlight w:val="none"/>
        </w:rPr>
        <w:t xml:space="preserve"> 广东省建筑业绿色施工示范工程；</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47" w:edGrp="everyone"/>
      <w:r>
        <w:rPr>
          <w:rFonts w:hint="eastAsia" w:ascii="仿宋_GB2312" w:hAnsi="仿宋_GB2312" w:eastAsia="仿宋_GB2312" w:cs="仿宋_GB2312"/>
          <w:color w:val="auto"/>
          <w:kern w:val="0"/>
          <w:sz w:val="24"/>
          <w:szCs w:val="24"/>
          <w:highlight w:val="none"/>
        </w:rPr>
        <w:sym w:font="Wingdings 2" w:char="0051"/>
      </w:r>
      <w:permEnd w:id="247"/>
      <w:r>
        <w:rPr>
          <w:rFonts w:hint="eastAsia" w:ascii="仿宋_GB2312" w:hAnsi="仿宋_GB2312" w:eastAsia="仿宋_GB2312" w:cs="仿宋_GB2312"/>
          <w:color w:val="auto"/>
          <w:kern w:val="0"/>
          <w:sz w:val="24"/>
          <w:szCs w:val="24"/>
          <w:highlight w:val="none"/>
        </w:rPr>
        <w:t xml:space="preserve"> 全国建筑业绿色施工示范工程；</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48" w:edGrp="everyone"/>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w:t>
      </w:r>
      <w:permEnd w:id="248"/>
      <w:r>
        <w:rPr>
          <w:rFonts w:hint="eastAsia" w:ascii="仿宋_GB2312" w:hAnsi="仿宋_GB2312" w:eastAsia="仿宋_GB2312" w:cs="仿宋_GB2312"/>
          <w:color w:val="auto"/>
          <w:kern w:val="0"/>
          <w:sz w:val="24"/>
          <w:szCs w:val="24"/>
          <w:highlight w:val="none"/>
        </w:rPr>
        <w:t>其它</w:t>
      </w:r>
      <w:permStart w:id="249" w:edGrp="everyone"/>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49"/>
      <w:r>
        <w:rPr>
          <w:rFonts w:hint="eastAsia" w:ascii="仿宋_GB2312" w:hAnsi="仿宋_GB2312" w:eastAsia="仿宋_GB2312" w:cs="仿宋_GB2312"/>
          <w:color w:val="auto"/>
          <w:kern w:val="0"/>
          <w:sz w:val="24"/>
          <w:szCs w:val="24"/>
          <w:highlight w:val="none"/>
        </w:rPr>
        <w:t xml:space="preserve"> </w:t>
      </w:r>
    </w:p>
    <w:p>
      <w:pPr>
        <w:spacing w:line="420" w:lineRule="exact"/>
        <w:ind w:firstLine="482"/>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45.9</w:t>
      </w:r>
      <w:r>
        <w:rPr>
          <w:rFonts w:hint="eastAsia" w:ascii="仿宋_GB2312" w:hAnsi="仿宋_GB2312" w:eastAsia="仿宋_GB2312" w:cs="仿宋_GB2312"/>
          <w:color w:val="auto"/>
          <w:kern w:val="0"/>
          <w:sz w:val="24"/>
          <w:szCs w:val="24"/>
          <w:highlight w:val="none"/>
        </w:rPr>
        <w:t>特别安全生产事项</w:t>
      </w:r>
    </w:p>
    <w:p>
      <w:pPr>
        <w:spacing w:line="420" w:lineRule="exact"/>
        <w:ind w:firstLine="482"/>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危险性较大分部分项专项工程施工技术措施标准、要求：</w:t>
      </w:r>
      <w:permStart w:id="250"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250"/>
      <w:r>
        <w:rPr>
          <w:rFonts w:hint="eastAsia" w:ascii="仿宋_GB2312" w:hAnsi="仿宋_GB2312" w:eastAsia="仿宋_GB2312" w:cs="仿宋_GB2312"/>
          <w:color w:val="auto"/>
          <w:sz w:val="24"/>
          <w:szCs w:val="24"/>
          <w:highlight w:val="none"/>
        </w:rPr>
        <w:t>；</w:t>
      </w:r>
    </w:p>
    <w:p>
      <w:pPr>
        <w:spacing w:line="420" w:lineRule="exact"/>
        <w:ind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危险性较大分部分项专项工程施工技术措施费：</w:t>
      </w:r>
      <w:permStart w:id="251"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permEnd w:id="251"/>
      <w:r>
        <w:rPr>
          <w:rFonts w:hint="eastAsia" w:ascii="仿宋_GB2312" w:hAnsi="仿宋_GB2312" w:eastAsia="仿宋_GB2312" w:cs="仿宋_GB2312"/>
          <w:color w:val="auto"/>
          <w:sz w:val="24"/>
          <w:szCs w:val="24"/>
          <w:highlight w:val="none"/>
        </w:rPr>
        <w:t>元。</w:t>
      </w:r>
      <w:bookmarkStart w:id="657" w:name="_Toc10624951"/>
      <w:bookmarkStart w:id="658" w:name="_Toc469384107"/>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46. 测量放线</w:t>
      </w:r>
      <w:bookmarkEnd w:id="657"/>
      <w:bookmarkEnd w:id="658"/>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46.1 发包人通过监理工程师提供测量基准点、基准线和水准点及其书面资料的期限：</w:t>
      </w:r>
      <w:permStart w:id="252" w:edGrp="everyone"/>
      <w:r>
        <w:rPr>
          <w:rFonts w:hint="eastAsia" w:ascii="仿宋_GB2312" w:hAnsi="仿宋_GB2312" w:eastAsia="仿宋_GB2312" w:cs="仿宋_GB2312"/>
          <w:color w:val="auto"/>
          <w:kern w:val="0"/>
          <w:sz w:val="24"/>
          <w:szCs w:val="24"/>
          <w:highlight w:val="none"/>
          <w:u w:val="single"/>
        </w:rPr>
        <w:t>开工前30天。</w:t>
      </w:r>
      <w:permEnd w:id="252"/>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承包人测设施工控制网的要求：根据国家测绘基准、测绘系统和工程测量技术规范，经监理工程师审批报发包人同意后按上述基准点、基准线，根据项目工程测设控制有关规范及精度要求，测绘施工控制网，</w:t>
      </w:r>
      <w:permStart w:id="253" w:edGrp="everyone"/>
      <w:r>
        <w:rPr>
          <w:rFonts w:hint="eastAsia" w:ascii="仿宋_GB2312" w:hAnsi="仿宋_GB2312" w:eastAsia="仿宋_GB2312" w:cs="仿宋_GB2312"/>
          <w:color w:val="auto"/>
          <w:kern w:val="0"/>
          <w:sz w:val="24"/>
          <w:szCs w:val="24"/>
          <w:highlight w:val="none"/>
          <w:u w:val="single"/>
        </w:rPr>
        <w:t>在开工前15天内，</w:t>
      </w:r>
      <w:permEnd w:id="253"/>
      <w:r>
        <w:rPr>
          <w:rFonts w:hint="eastAsia" w:ascii="仿宋_GB2312" w:hAnsi="仿宋_GB2312" w:eastAsia="仿宋_GB2312" w:cs="仿宋_GB2312"/>
          <w:color w:val="auto"/>
          <w:kern w:val="0"/>
          <w:sz w:val="24"/>
          <w:szCs w:val="24"/>
          <w:highlight w:val="none"/>
        </w:rPr>
        <w:t>将施工控制网资料报监理工程师审批。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46.4 测量放线误差的约定：监理工程师有权对承包人施工测量放线工作进行检查验收。如果发现永久工程任何部分的位置、标高、尺寸或定线存在偏差并造成损失的，发包人通过监理工程师提供的工程地质和地下管线资料仅供参考。承包人应当在施工前对资料数据自行核实，并承担由于施工过程地质数据偏差而引起的责任和损失。</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负责委托具备勘察测量资质的单位对所提供的道路测量控制桩、水准点和标高进行现场复测，并填妥《测量复核记录》签字备案，然后将用地边线标识后提交给发包人委托的拆迁单位作为控制边线，其费用已包含在合同价款中。</w:t>
      </w:r>
      <w:bookmarkStart w:id="659" w:name="_Toc10624952"/>
      <w:bookmarkStart w:id="660" w:name="_Toc469384108"/>
    </w:p>
    <w:p>
      <w:pPr>
        <w:spacing w:line="420" w:lineRule="exact"/>
        <w:rPr>
          <w:rFonts w:hint="eastAsia" w:ascii="仿宋_GB2312" w:hAnsi="仿宋_GB2312" w:eastAsia="仿宋_GB2312" w:cs="仿宋_GB2312"/>
          <w:color w:val="auto"/>
          <w:kern w:val="0"/>
          <w:sz w:val="24"/>
          <w:szCs w:val="24"/>
          <w:highlight w:val="none"/>
        </w:rPr>
      </w:pPr>
    </w:p>
    <w:p>
      <w:pPr>
        <w:numPr>
          <w:ilvl w:val="0"/>
          <w:numId w:val="8"/>
        </w:num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发包人供应材料和工程设备</w:t>
      </w:r>
      <w:bookmarkEnd w:id="659"/>
      <w:bookmarkEnd w:id="660"/>
    </w:p>
    <w:p>
      <w:pPr>
        <w:spacing w:line="420" w:lineRule="exact"/>
        <w:ind w:firstLine="600" w:firstLineChars="2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48.1 约定供应的材料和工程设备</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发包人供应材料和工程设备的，应与承包人约定“发包人供应材料和工程设备一览表”，作为本合同的附件。承包人应根据发包人供应材料、设备的有关管理规定办理项目招标文件中关于本项目由发包人供应材料、设备的领用、验收、退料等工作，领用的材料名称、规格、数量详见招标文件中发包人提供的材料和工程设备一览表。承包人每月应当与发包人核对确认当月材料设备的领用情况，同时在工程完工后1个月内，与发包人确认该工程的所有发包人供应材料设备的领用、退料、验收情况。如未按照合同约定时限进行确认的，承包人应当向发包人支付合同价款的</w:t>
      </w:r>
      <w:permStart w:id="254" w:edGrp="everyone"/>
      <w:r>
        <w:rPr>
          <w:rFonts w:hint="eastAsia" w:ascii="仿宋_GB2312" w:hAnsi="仿宋_GB2312" w:eastAsia="仿宋_GB2312" w:cs="仿宋_GB2312"/>
          <w:color w:val="auto"/>
          <w:kern w:val="0"/>
          <w:sz w:val="24"/>
          <w:szCs w:val="24"/>
          <w:highlight w:val="none"/>
          <w:u w:val="single"/>
        </w:rPr>
        <w:t xml:space="preserve"> 1 ‰</w:t>
      </w:r>
      <w:permEnd w:id="254"/>
      <w:r>
        <w:rPr>
          <w:rFonts w:hint="eastAsia" w:ascii="仿宋_GB2312" w:hAnsi="仿宋_GB2312" w:eastAsia="仿宋_GB2312" w:cs="仿宋_GB2312"/>
          <w:color w:val="auto"/>
          <w:kern w:val="0"/>
          <w:sz w:val="24"/>
          <w:szCs w:val="24"/>
          <w:highlight w:val="none"/>
        </w:rPr>
        <w:t>作为违约金。</w:t>
      </w:r>
    </w:p>
    <w:p>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48.3发包人供应材料和工程设备的交货方式：由发包人委托设备供应商运至施工现场，如需承包人到指定地点运输材料时，按第48.8（1）项支付材料运输费，并不再支付承包人其他与发包人供应材料和工程设备相关费用（包括但不限于保管费）。</w:t>
      </w:r>
    </w:p>
    <w:p>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48.5由发包人提供的材料和工程设备验收后，由承包人负责接收、运输（如需要）和保管。发包人供应材料和工程设备的，经合同双方当事人共同清点后由承包人妥善保管，相应保管费用包含在承包人的投标报价中。因承包人保管不善或承包人其他原因导致丢失或损害的，承包人应予赔偿。发包人未通知承包人清点，承包人不负责材料设备的保管，丢失或损害由发包人负责。</w:t>
      </w:r>
    </w:p>
    <w:p>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48.8 发包人供应材料和工程设备的结算方式：</w:t>
      </w:r>
    </w:p>
    <w:p>
      <w:pPr>
        <w:spacing w:line="420" w:lineRule="exact"/>
        <w:ind w:firstLine="720" w:firstLineChars="300"/>
        <w:rPr>
          <w:rFonts w:hint="eastAsia" w:ascii="仿宋_GB2312" w:hAnsi="仿宋_GB2312" w:eastAsia="仿宋_GB2312" w:cs="仿宋_GB2312"/>
          <w:color w:val="auto"/>
          <w:kern w:val="0"/>
          <w:sz w:val="24"/>
          <w:szCs w:val="24"/>
          <w:highlight w:val="none"/>
          <w:lang w:val="zh-CN"/>
        </w:rPr>
      </w:pPr>
      <w:r>
        <w:rPr>
          <w:rFonts w:hint="eastAsia" w:ascii="仿宋_GB2312" w:hAnsi="仿宋_GB2312" w:eastAsia="仿宋_GB2312" w:cs="仿宋_GB2312"/>
          <w:color w:val="auto"/>
          <w:kern w:val="0"/>
          <w:sz w:val="24"/>
          <w:szCs w:val="24"/>
          <w:highlight w:val="none"/>
        </w:rPr>
        <w:t>（1）</w:t>
      </w:r>
      <w:r>
        <w:rPr>
          <w:rFonts w:hint="eastAsia" w:ascii="仿宋_GB2312" w:hAnsi="仿宋_GB2312" w:eastAsia="仿宋_GB2312" w:cs="仿宋_GB2312"/>
          <w:color w:val="auto"/>
          <w:kern w:val="0"/>
          <w:sz w:val="24"/>
          <w:szCs w:val="24"/>
          <w:highlight w:val="none"/>
          <w:lang w:val="zh-CN"/>
        </w:rPr>
        <w:t>如发包人需要承包人到指定地点运输材料时，运输费用按发包人确认的台班签认实际工程量计算。承包人应将运输费发生的原因和自运材料数量以签证的形式报发包人审核确认，作为工程量结算依据。</w:t>
      </w:r>
    </w:p>
    <w:p>
      <w:pPr>
        <w:spacing w:line="420" w:lineRule="exact"/>
        <w:ind w:firstLine="720" w:firstLineChars="300"/>
        <w:rPr>
          <w:rFonts w:hint="eastAsia" w:ascii="仿宋_GB2312" w:hAnsi="仿宋_GB2312" w:eastAsia="仿宋_GB2312" w:cs="仿宋_GB2312"/>
          <w:color w:val="auto"/>
          <w:kern w:val="0"/>
          <w:sz w:val="24"/>
          <w:szCs w:val="24"/>
          <w:highlight w:val="none"/>
          <w:lang w:val="zh-CN"/>
        </w:rPr>
      </w:pPr>
      <w:r>
        <w:rPr>
          <w:rFonts w:hint="eastAsia" w:ascii="仿宋_GB2312" w:hAnsi="仿宋_GB2312" w:eastAsia="仿宋_GB2312" w:cs="仿宋_GB2312"/>
          <w:color w:val="auto"/>
          <w:kern w:val="0"/>
          <w:sz w:val="24"/>
          <w:szCs w:val="24"/>
          <w:highlight w:val="none"/>
          <w:lang w:val="zh-CN"/>
        </w:rPr>
        <w:t>（2）由发包人运到施工现场的材料，承包人不能发生大宗退料情况（因工程变更而发生的大宗退料除外），退料数量不得超过原计划数量的10%。</w:t>
      </w:r>
    </w:p>
    <w:p>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各项材料工程的剩余材料，应按发包人材料管理的相关制度办理退料。承包人超出定额规定的正常消耗量多领或错领材料，且不退料的，将在审核工程费用结算时依据材料实际耗用量确认表确认的差异量，按照工程领料或工程开工时发包人当期材料的中标综合单价1.0倍进行扣罚。基准扣罚单价的确定原则如下：领料时有《收货清单》的，按《收货清单》上的综合单价；领料时没有《收货清单》的，按工程开工时当期发包人材料年度标中标综合单价；当领用相同规格型号的材料涉及不同年度标或同一年度标不同厂家而出现2个或以上综合单价的，取最高综合单价。退料时限：工程材料的退料时间需在完成该项工程形象100%后的90日以内。</w:t>
      </w:r>
    </w:p>
    <w:p>
      <w:pPr>
        <w:widowControl w:val="0"/>
        <w:adjustRightInd w:val="0"/>
        <w:spacing w:line="420" w:lineRule="exact"/>
        <w:ind w:firstLine="720" w:firstLineChars="3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（4）本工程如设置了发包人供应材料和工程设备保管费，按协议书合价包干，不再执行专用条款第48.8（1）项中发包人供应材料和工程设备运输费用的约定。</w:t>
      </w:r>
      <w:bookmarkStart w:id="661" w:name="_Toc10624953"/>
      <w:bookmarkStart w:id="662" w:name="_Toc469384109"/>
    </w:p>
    <w:p>
      <w:pPr>
        <w:adjustRightInd w:val="0"/>
        <w:spacing w:line="420" w:lineRule="exact"/>
        <w:ind w:firstLine="720" w:firstLineChars="300"/>
        <w:textAlignment w:val="baseline"/>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（5）如因客观原因导致发包人无法提供甲供主材，经发包人批准甲转乙后，乙供主材价格按甲方内部的最新年度标执行价格执行。</w:t>
      </w:r>
    </w:p>
    <w:p>
      <w:pPr>
        <w:widowControl w:val="0"/>
        <w:adjustRightInd w:val="0"/>
        <w:spacing w:line="420" w:lineRule="exact"/>
        <w:ind w:firstLine="0"/>
        <w:jc w:val="both"/>
        <w:textAlignment w:val="baseline"/>
        <w:rPr>
          <w:rFonts w:hint="eastAsia" w:ascii="仿宋_GB2312" w:hAnsi="仿宋_GB2312" w:eastAsia="仿宋_GB2312" w:cs="仿宋_GB2312"/>
          <w:color w:val="auto"/>
          <w:kern w:val="0"/>
          <w:sz w:val="24"/>
          <w:szCs w:val="24"/>
          <w:highlight w:val="none"/>
          <w:lang w:val="en-US" w:eastAsia="zh-CN" w:bidi="ar-SA"/>
        </w:rPr>
      </w:pPr>
    </w:p>
    <w:p>
      <w:pPr>
        <w:widowControl w:val="0"/>
        <w:adjustRightInd w:val="0"/>
        <w:spacing w:line="420" w:lineRule="exact"/>
        <w:ind w:firstLine="0"/>
        <w:jc w:val="both"/>
        <w:textAlignment w:val="baseline"/>
        <w:rPr>
          <w:rFonts w:hint="eastAsia" w:ascii="黑体" w:hAnsi="黑体" w:eastAsia="黑体" w:cs="黑体"/>
          <w:b w:val="0"/>
          <w:bCs w:val="0"/>
          <w:color w:val="auto"/>
          <w:kern w:val="2"/>
          <w:sz w:val="24"/>
          <w:szCs w:val="24"/>
          <w:highlight w:val="none"/>
          <w:lang w:val="en-US" w:eastAsia="zh-CN" w:bidi="ar-SA"/>
        </w:rPr>
      </w:pPr>
      <w:r>
        <w:rPr>
          <w:rFonts w:hint="eastAsia" w:ascii="黑体" w:hAnsi="黑体" w:eastAsia="黑体" w:cs="黑体"/>
          <w:b w:val="0"/>
          <w:bCs w:val="0"/>
          <w:color w:val="auto"/>
          <w:kern w:val="2"/>
          <w:sz w:val="24"/>
          <w:szCs w:val="24"/>
          <w:highlight w:val="none"/>
          <w:lang w:val="en-US" w:eastAsia="zh-CN" w:bidi="ar-SA"/>
        </w:rPr>
        <w:t>49. 承包人采购材料和工程设备</w:t>
      </w:r>
      <w:bookmarkEnd w:id="661"/>
      <w:bookmarkEnd w:id="662"/>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49.1 承包人采购材料和工程设备</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按通用条款规定，由承包人负责采购、运输和保管。</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 </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49.2 承包人供货要求： 承包人在采购每一种类的主要材料前（如钢材、钢绞线、水泥、橡胶支座、收缩缝、管材等），须将拟定采购供应的材料生产或供应的厂家的企业概况（包括名称、注册资金、生产许可证、年产量和近三年服务于市政工程业绩等）、产品质量合格证书以及反映厂家实力的证明材料等报给监理工程师和发包人，待发包人批准后才能采购使用。否则，将认为其提供不合格材料。承包人将由其提供的材料和工程设备的供货人及品种、规格、数量和供货时间等报送监理工程师审批的期限：</w:t>
      </w:r>
      <w:permStart w:id="255" w:edGrp="everyone"/>
      <w:r>
        <w:rPr>
          <w:rFonts w:hint="eastAsia" w:ascii="仿宋_GB2312" w:hAnsi="仿宋_GB2312" w:eastAsia="仿宋_GB2312" w:cs="仿宋_GB2312"/>
          <w:color w:val="auto"/>
          <w:kern w:val="0"/>
          <w:sz w:val="24"/>
          <w:szCs w:val="24"/>
          <w:highlight w:val="none"/>
          <w:u w:val="single"/>
        </w:rPr>
        <w:t xml:space="preserve">  合同签订后10天 。</w:t>
      </w:r>
    </w:p>
    <w:permEnd w:id="255"/>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49.6 使用替换材料的申请与批准：</w:t>
      </w:r>
      <w:permStart w:id="256" w:edGrp="everyone"/>
      <w:r>
        <w:rPr>
          <w:rFonts w:hint="eastAsia" w:ascii="仿宋_GB2312" w:hAnsi="仿宋_GB2312" w:eastAsia="仿宋_GB2312" w:cs="仿宋_GB2312"/>
          <w:color w:val="auto"/>
          <w:kern w:val="0"/>
          <w:sz w:val="24"/>
          <w:szCs w:val="24"/>
          <w:highlight w:val="none"/>
          <w:u w:val="single"/>
        </w:rPr>
        <w:t>承包人需要使用替换材料的，应经监理工程师同意并由其报发包人批准后方可实施，由此引起合同价款增加的费用由承包人承担，减少的费用由发包人从合同价款中相应扣减。</w:t>
      </w:r>
    </w:p>
    <w:permEnd w:id="256"/>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49.8 发包人依法指定的生产厂家和供应商：</w:t>
      </w:r>
      <w:r>
        <w:rPr>
          <w:rFonts w:hint="eastAsia" w:ascii="仿宋_GB2312" w:hAnsi="仿宋_GB2312" w:eastAsia="仿宋_GB2312" w:cs="仿宋_GB2312"/>
          <w:color w:val="auto"/>
          <w:kern w:val="0"/>
          <w:sz w:val="24"/>
          <w:szCs w:val="24"/>
          <w:highlight w:val="none"/>
          <w:u w:val="single"/>
        </w:rPr>
        <w:t xml:space="preserve">  /。 </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发包人要求的材料和工程设备建设标准、质量等级：</w:t>
      </w:r>
      <w:r>
        <w:rPr>
          <w:rFonts w:hint="eastAsia" w:ascii="仿宋_GB2312" w:hAnsi="仿宋_GB2312" w:eastAsia="仿宋_GB2312" w:cs="仿宋_GB2312"/>
          <w:color w:val="auto"/>
          <w:kern w:val="0"/>
          <w:sz w:val="24"/>
          <w:szCs w:val="24"/>
          <w:highlight w:val="none"/>
          <w:u w:val="single"/>
        </w:rPr>
        <w:t xml:space="preserve">  /。 </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57" w:edGrp="everyone"/>
      <w:r>
        <w:rPr>
          <w:rFonts w:hint="eastAsia" w:ascii="仿宋_GB2312" w:hAnsi="仿宋_GB2312" w:eastAsia="仿宋_GB2312" w:cs="仿宋_GB2312"/>
          <w:color w:val="auto"/>
          <w:kern w:val="0"/>
          <w:sz w:val="24"/>
          <w:szCs w:val="24"/>
          <w:highlight w:val="none"/>
          <w:lang w:val="en-US" w:eastAsia="zh-CN"/>
        </w:rPr>
        <w:t>☒</w:t>
      </w:r>
      <w:permEnd w:id="257"/>
      <w:r>
        <w:rPr>
          <w:rFonts w:hint="eastAsia" w:ascii="仿宋_GB2312" w:hAnsi="仿宋_GB2312" w:eastAsia="仿宋_GB2312" w:cs="仿宋_GB2312"/>
          <w:color w:val="auto"/>
          <w:kern w:val="0"/>
          <w:sz w:val="24"/>
          <w:szCs w:val="24"/>
          <w:highlight w:val="none"/>
        </w:rPr>
        <w:t>装修、修缮工程：投标人填报附件十五材料表中的“投标单位拟使用品牌”，如未填报，则视为发包人可采用附件十五材料表中的任一推荐品牌。填报品牌必须是“推荐品牌”之一或者不低于“推荐品牌”的档次，采购前需报发包人审核；如填报品牌档次或者最终实际采用材料品牌档次低于“推荐品牌”,发包人有权在结算阶段按协议书调整中标综合单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49.9政府质量安全监督部门和监理工程师有权安排抽检，承包人应积极配合。政府质量安全监督部门出具的检验报告书作为工程竣工验收所需要文件的组成部分。在施工过程中，监理工程师有权随时对工程材料、设备的使用进行抽查，包括成品、半成品、器具、设备、附件、小五金等。抽查范围、比例、数量、批次及检查深度可比照国家现行施工质量验收规范和相关规定。如抽查部分经检测为合格的检测费用由发包人承担；如抽查部分经检测为不合格的检测费用由承包人承担，并按照第90条（13）项承担违约责任。同时，监理工程师还必须扩大对该批材料的抽查范围、增加数量抽检，若仍不合格的，承包人必须在监理工程师书面通知的限期内全部无条件拆除、更换，并运出施工现场，由此所造成的工期延误、费用增加等一切损失均由承包人承担。同时，承包人还应当按照第90条（13）项承担违约责任。</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49.10工程材料、设备的质量依据下列顺序之标准认定：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（1）本工程设计图纸规定的设计标准；</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（2）招投标时确定的规格、技术指标、质量标准、品牌等；</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（3）经设计人、监理人、发包人、承包人共同认定的产品封样、样板；</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（4）国家或行业强制执行的技术标准、技术规范。</w:t>
      </w:r>
      <w:bookmarkStart w:id="663" w:name="_Toc469384110"/>
      <w:bookmarkStart w:id="664" w:name="_Toc10624954"/>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50. 材料和工程设备的检验试验</w:t>
      </w:r>
      <w:bookmarkEnd w:id="663"/>
      <w:bookmarkEnd w:id="664"/>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50.2 见证取样检验试验的材料和工程设备</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（1） 种类：</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1）厂站类工程项目：常规材料检测，包括但不限于水泥、粗集料、细集料、钢筋、钢板、砖、混凝土、砂浆、电力套管用HDPE管、镀锌钢管、镀锌圆钢及扁钢、电缆桥架、混凝土管、聚乙烯波纹管、球墨铸铁管、钢管、阀门、高密度聚乙烯给水管、UPVC管、灰砂砖、井盖、墙砖、PE给水管、铝合金、饰面砖、橡胶止水带、镀锌钢板止水带、防水涂料等；</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2）管网类工程项目：常规材料检测，包括但不限于水泥、砂、粗集料、细集料、钢筋、砼试块、沥青混合料、钢板、砖、混凝土、砂浆、外加剂、砂浆试块、钢筋接头等；</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u w:val="single"/>
        </w:rPr>
        <w:t>甲供管材复验检测，包括但不限于钢管、球墨铸铁管、钢塑复合压力管、阀门类、井盖等。</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（2）检测机构：</w:t>
      </w:r>
      <w:r>
        <w:rPr>
          <w:rFonts w:hint="eastAsia" w:ascii="仿宋_GB2312" w:hAnsi="仿宋_GB2312" w:eastAsia="仿宋_GB2312" w:cs="仿宋_GB2312"/>
          <w:color w:val="auto"/>
          <w:kern w:val="0"/>
          <w:sz w:val="24"/>
          <w:szCs w:val="24"/>
          <w:highlight w:val="none"/>
          <w:u w:val="single"/>
        </w:rPr>
        <w:t xml:space="preserve">    由发包人另行通知。  </w:t>
      </w:r>
    </w:p>
    <w:p>
      <w:pPr>
        <w:spacing w:line="420" w:lineRule="exact"/>
        <w:ind w:firstLine="600" w:firstLineChars="2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50.7 发包人可委托第三方检验试验单位负责本合同工程材料、设备、桩基、CCTV等检测和检验试验。</w:t>
      </w:r>
      <w:bookmarkStart w:id="665" w:name="_Toc10624955"/>
      <w:bookmarkStart w:id="666" w:name="_Toc469384111"/>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51. 施工设备和临时设施</w:t>
      </w:r>
      <w:bookmarkEnd w:id="665"/>
      <w:bookmarkEnd w:id="666"/>
    </w:p>
    <w:p>
      <w:pPr>
        <w:spacing w:line="420" w:lineRule="exact"/>
        <w:ind w:firstLine="600" w:firstLineChars="2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51.1 承包人配置施工设备和临时设施</w:t>
      </w:r>
    </w:p>
    <w:p>
      <w:pPr>
        <w:spacing w:line="420" w:lineRule="exact"/>
        <w:ind w:firstLine="600" w:firstLineChars="2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按通用条款规定，承包人承担修建临时设施的费用。</w:t>
      </w:r>
    </w:p>
    <w:p>
      <w:pPr>
        <w:spacing w:line="420" w:lineRule="exact"/>
        <w:ind w:firstLine="600" w:firstLineChars="2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 </w:t>
      </w:r>
    </w:p>
    <w:p>
      <w:pPr>
        <w:spacing w:line="420" w:lineRule="exact"/>
        <w:ind w:firstLine="600" w:firstLineChars="25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51.2 发包人提供的施工设备和临时设施：</w:t>
      </w:r>
      <w:permStart w:id="258"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58"/>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发包人提供的施工设备和临时设施的运行、维护、拆除、清运费用的承担人：</w:t>
      </w:r>
      <w:r>
        <w:rPr>
          <w:rFonts w:hint="eastAsia" w:ascii="仿宋_GB2312" w:hAnsi="仿宋_GB2312" w:eastAsia="仿宋_GB2312" w:cs="仿宋_GB2312"/>
          <w:color w:val="auto"/>
          <w:kern w:val="0"/>
          <w:sz w:val="24"/>
          <w:szCs w:val="24"/>
          <w:highlight w:val="none"/>
          <w:u w:val="single"/>
        </w:rPr>
        <w:t>承包人</w:t>
      </w:r>
      <w:r>
        <w:rPr>
          <w:rFonts w:hint="eastAsia" w:ascii="仿宋_GB2312" w:hAnsi="仿宋_GB2312" w:eastAsia="仿宋_GB2312" w:cs="仿宋_GB2312"/>
          <w:color w:val="auto"/>
          <w:kern w:val="0"/>
          <w:sz w:val="24"/>
          <w:szCs w:val="24"/>
          <w:highlight w:val="none"/>
        </w:rPr>
        <w:t>。费用已包含在合同价款中。</w:t>
      </w:r>
    </w:p>
    <w:p>
      <w:pPr>
        <w:widowControl w:val="0"/>
        <w:numPr>
          <w:ilvl w:val="255"/>
          <w:numId w:val="0"/>
        </w:numPr>
        <w:tabs>
          <w:tab w:val="left" w:pos="576"/>
        </w:tabs>
        <w:spacing w:before="260" w:line="420" w:lineRule="exact"/>
        <w:ind w:left="574" w:hanging="624" w:hangingChars="260"/>
        <w:jc w:val="left"/>
        <w:outlineLvl w:val="1"/>
        <w:rPr>
          <w:rFonts w:hint="eastAsia" w:ascii="黑体" w:hAnsi="黑体" w:eastAsia="黑体" w:cs="黑体"/>
          <w:b w:val="0"/>
          <w:bCs w:val="0"/>
          <w:color w:val="auto"/>
          <w:kern w:val="0"/>
          <w:sz w:val="24"/>
          <w:szCs w:val="24"/>
          <w:highlight w:val="none"/>
          <w:lang w:val="en-US" w:eastAsia="zh-CN" w:bidi="ar-SA"/>
        </w:rPr>
      </w:pPr>
      <w:bookmarkStart w:id="667" w:name="_Toc469384112"/>
      <w:bookmarkStart w:id="668" w:name="_Toc10624956"/>
      <w:r>
        <w:rPr>
          <w:rFonts w:hint="eastAsia" w:ascii="黑体" w:hAnsi="黑体" w:eastAsia="黑体" w:cs="黑体"/>
          <w:b w:val="0"/>
          <w:bCs w:val="0"/>
          <w:color w:val="auto"/>
          <w:kern w:val="0"/>
          <w:sz w:val="24"/>
          <w:szCs w:val="24"/>
          <w:highlight w:val="none"/>
          <w:lang w:val="en-US" w:eastAsia="zh-CN" w:bidi="ar-SA"/>
        </w:rPr>
        <w:t>52.工程质量检查</w:t>
      </w:r>
    </w:p>
    <w:p>
      <w:pPr>
        <w:widowControl w:val="0"/>
        <w:spacing w:after="120" w:line="42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52.2工程质量检查的要求</w:t>
      </w:r>
    </w:p>
    <w:p>
      <w:pPr>
        <w:widowControl w:val="0"/>
        <w:spacing w:after="120" w:line="42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（1）承包人向监理工程师报送工程质量报表的期限：开工后每月20日前。</w:t>
      </w:r>
    </w:p>
    <w:p>
      <w:pPr>
        <w:widowControl w:val="0"/>
        <w:spacing w:after="120" w:line="420" w:lineRule="exact"/>
        <w:ind w:firstLine="480" w:firstLineChars="2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（2）承包人向监理工程师报送工程质量报表的要求：同时提交施工方案及质量控制措施，材料设备应提交材料设备的质检报告（产品合格证）等资料。</w:t>
      </w:r>
    </w:p>
    <w:p>
      <w:pPr>
        <w:widowControl w:val="0"/>
        <w:spacing w:after="120" w:line="420" w:lineRule="exact"/>
        <w:ind w:firstLine="480" w:firstLineChars="200"/>
        <w:jc w:val="left"/>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（3）监理工程师审查工程质量报表的期限：收到质量报表后5个日历天内。</w:t>
      </w:r>
    </w:p>
    <w:p>
      <w:pPr>
        <w:widowControl w:val="0"/>
        <w:numPr>
          <w:ilvl w:val="0"/>
          <w:numId w:val="0"/>
        </w:numPr>
        <w:tabs>
          <w:tab w:val="left" w:pos="420"/>
          <w:tab w:val="left" w:pos="576"/>
        </w:tabs>
        <w:spacing w:before="260" w:line="420" w:lineRule="exact"/>
        <w:ind w:left="574" w:hanging="624" w:hangingChars="260"/>
        <w:jc w:val="left"/>
        <w:outlineLvl w:val="1"/>
        <w:rPr>
          <w:rFonts w:hint="eastAsia" w:ascii="黑体" w:hAnsi="黑体" w:eastAsia="黑体" w:cs="黑体"/>
          <w:b w:val="0"/>
          <w:bCs w:val="0"/>
          <w:color w:val="auto"/>
          <w:kern w:val="0"/>
          <w:sz w:val="24"/>
          <w:szCs w:val="24"/>
          <w:highlight w:val="none"/>
          <w:lang w:val="en-US" w:eastAsia="zh-CN" w:bidi="ar-SA"/>
        </w:rPr>
      </w:pPr>
      <w:r>
        <w:rPr>
          <w:rFonts w:hint="eastAsia" w:ascii="黑体" w:hAnsi="黑体" w:eastAsia="黑体" w:cs="黑体"/>
          <w:b w:val="0"/>
          <w:bCs w:val="0"/>
          <w:color w:val="auto"/>
          <w:kern w:val="0"/>
          <w:sz w:val="24"/>
          <w:szCs w:val="24"/>
          <w:highlight w:val="none"/>
          <w:lang w:val="en-US" w:eastAsia="zh-CN" w:bidi="ar-SA"/>
        </w:rPr>
        <w:t>53. 隐蔽工程和中间验收</w:t>
      </w:r>
      <w:bookmarkEnd w:id="667"/>
      <w:bookmarkEnd w:id="668"/>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隐蔽工程或中间验收部位未经专业监理工程师验收合格，不得隐蔽或继续施工，否则该部分工程被视为不合格，由此所产生的返工费用由承包人承担。</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53.1 中间验收的部位有：包括但不限于沟槽承载力、压实度等质量、管材焊缝质量检测、防水涂层检测、管坑分层回填压实度、工作井、阀门井等结构工程的质量、路面修复质量等，还包括发包人、监理单位及工程质量监督单位根据规范以及本工程特点提出的隐蔽、设计结构安全、重要施工功能、关键施工部位的分部分项工程。</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当工程进度达到本款约定的中间验收部位时，承包人应当进行自检，并在中间验收前48小时以书面形式通知监理工程师验收，书面通知应包括中间验收的内容、验收时间和地点，并做好验收记录。只有监理工程师验收合格并在验收记录上签字后，承包人方可继续施工；验收不合格的，承包人在3天期限内进行修改后重新验收。</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监理工程师不能按时进行验收的，应在验收前24小时以书面形式向承包人提出延期要求，延期不能超过48小时。监理工程师未能按本款约定的时限提出延期要求，又未按期进行验收的，承包人可自行组织验收，监理工程师必须认同验收记录。</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经监理工程师验收后工程质量符合约定的验收标准，但验收24小时后监理工程师仍不在验收记录上签字的，视为监理工程师已经认可验收记录，承包人可继续施工。</w:t>
      </w:r>
      <w:bookmarkStart w:id="669" w:name="_Toc10624957"/>
      <w:bookmarkStart w:id="670" w:name="_Toc469384113"/>
    </w:p>
    <w:p>
      <w:pPr>
        <w:spacing w:line="420" w:lineRule="exact"/>
        <w:jc w:val="left"/>
        <w:rPr>
          <w:rFonts w:hint="eastAsia" w:ascii="仿宋_GB2312" w:hAnsi="仿宋_GB2312" w:eastAsia="仿宋_GB2312" w:cs="仿宋_GB2312"/>
          <w:color w:val="auto"/>
          <w:kern w:val="0"/>
          <w:sz w:val="24"/>
          <w:szCs w:val="24"/>
          <w:highlight w:val="none"/>
          <w:u w:val="single"/>
        </w:rPr>
      </w:pPr>
    </w:p>
    <w:p>
      <w:pPr>
        <w:spacing w:line="420" w:lineRule="exact"/>
        <w:jc w:val="lef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55. 工程试车</w:t>
      </w:r>
      <w:bookmarkEnd w:id="669"/>
      <w:bookmarkEnd w:id="670"/>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55.1 试车内容</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59" w:edGrp="everyone"/>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permEnd w:id="259"/>
      <w:r>
        <w:rPr>
          <w:rFonts w:hint="eastAsia" w:ascii="仿宋_GB2312" w:hAnsi="仿宋_GB2312" w:eastAsia="仿宋_GB2312" w:cs="仿宋_GB2312"/>
          <w:color w:val="auto"/>
          <w:kern w:val="0"/>
          <w:sz w:val="24"/>
          <w:szCs w:val="24"/>
          <w:highlight w:val="none"/>
        </w:rPr>
        <w:t>不需要试车的，本条不适用。</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permStart w:id="260" w:edGrp="everyone"/>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260"/>
      <w:r>
        <w:rPr>
          <w:rFonts w:hint="eastAsia" w:ascii="仿宋_GB2312" w:hAnsi="仿宋_GB2312" w:eastAsia="仿宋_GB2312" w:cs="仿宋_GB2312"/>
          <w:color w:val="auto"/>
          <w:kern w:val="0"/>
          <w:sz w:val="24"/>
          <w:szCs w:val="24"/>
          <w:highlight w:val="none"/>
        </w:rPr>
        <w:t>需要试车的，试车的内容和要求：</w:t>
      </w:r>
      <w:permStart w:id="26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61"/>
      <w:bookmarkStart w:id="671" w:name="_Toc469384114"/>
      <w:bookmarkStart w:id="672" w:name="_Toc10624958"/>
    </w:p>
    <w:p>
      <w:pPr>
        <w:spacing w:line="420" w:lineRule="exact"/>
        <w:rPr>
          <w:rFonts w:hint="eastAsia" w:ascii="仿宋_GB2312" w:hAnsi="仿宋_GB2312" w:eastAsia="仿宋_GB2312" w:cs="仿宋_GB2312"/>
          <w:color w:val="auto"/>
          <w:kern w:val="0"/>
          <w:sz w:val="24"/>
          <w:szCs w:val="24"/>
          <w:highlight w:val="none"/>
          <w:u w:val="singl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56．工程变更</w:t>
      </w:r>
      <w:bookmarkEnd w:id="671"/>
      <w:bookmarkEnd w:id="672"/>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56.1工程变更应当按照《关于印发&lt;广州市水务建设工程设计变更工作指引&gt;的通知》以及发包人关于设计变更的管理办法及其他相关规定履行报批手续后方可变更。工程变更还应遵循相关法律法规和政策规定以及发包人制定的其他设计变更相关管理办法。</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56.2工程变更内容</w:t>
      </w:r>
    </w:p>
    <w:p>
      <w:pPr>
        <w:widowControl w:val="0"/>
        <w:spacing w:after="120"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（5）工程量偏差</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（6）改变合同中任何一项工作已批准的施工工艺；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（7）图纸范围的增加或减少；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（8）以下情形不属于工程变更范围：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1）发包人在工程招标文件及其配套的补充通知、设计图纸等文件中已明确应由承包人承担的工作内容、义务和风险，如工程实体的实施（含临时工程）、现场安全生产措施、物价正常波动等。</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2）因承包人自身技术力量、施工机械、流动资金以及其他应由承包人自身解决的问题等原因导致的工程无法实施或难以实施。</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ermStart w:id="262" w:edGrp="everyone"/>
      <w:r>
        <w:rPr>
          <w:rFonts w:hint="eastAsia" w:ascii="仿宋_GB2312" w:hAnsi="仿宋_GB2312" w:eastAsia="仿宋_GB2312" w:cs="仿宋_GB2312"/>
          <w:color w:val="auto"/>
          <w:kern w:val="0"/>
          <w:sz w:val="24"/>
          <w:szCs w:val="24"/>
          <w:highlight w:val="none"/>
        </w:rPr>
        <w:sym w:font="Wingdings" w:char="00FE"/>
      </w:r>
      <w:permEnd w:id="262"/>
      <w:r>
        <w:rPr>
          <w:rFonts w:hint="eastAsia" w:ascii="仿宋_GB2312" w:hAnsi="仿宋_GB2312" w:eastAsia="仿宋_GB2312" w:cs="仿宋_GB2312"/>
          <w:color w:val="auto"/>
          <w:kern w:val="0"/>
          <w:sz w:val="24"/>
          <w:szCs w:val="24"/>
          <w:highlight w:val="none"/>
        </w:rPr>
        <w:t>如发包人使用施工图招标的，勾选此项；使用招标图招标的，则不勾选）施工图纸与工程量清单不一致（存在漏项或计量不准确等），但未超出相关合同计量条款约定的调整界限。</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4）承包人投标失误，如工程量、单价、总价计算错误，对现场施工组织考虑不周等。</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5）属于合同约定由承包人统筹包干使用费用的项目（如一般临时工程、一般拆除工程、排水、承包人驻地建设、施工道路与通道、围蔽、支护等）。</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6）其他不属于变更的情形：</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（9）单项工程合同变更追加工程用款金额涉及招投标事项的，按相关规定执行。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包人将被取消的合同中的工作转由发包人或其他人实施的，承包人可向监理工程师发出通知，要求发包人采取有效措施纠正违约行为，发包人在监理人收到承包人通知后28天内仍不纠正违约行为的，应当赔偿承包人损失（包括合理的利润）并承担由此引起的其他责任。承包人应当按第74.2款的约定，在上述28天期限到期后的28 天内，向监理人递交索赔意向通知书，并按第74.2款的约定，及时向监理人递交正式索赔通知书，说明有权得到的损失赔偿金额并附必要的记录和证明材料。发包人支付给承包人的损失赔偿金额应当包括被取消工作的合同价值中所包含的承包人管理费、利润以及相应的税金和规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56.3工程变更程序</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在工程实施过程中，合同工程发生变更，</w:t>
      </w:r>
      <w:r>
        <w:rPr>
          <w:rFonts w:hint="eastAsia" w:ascii="仿宋_GB2312" w:hAnsi="仿宋_GB2312" w:eastAsia="仿宋_GB2312" w:cs="仿宋_GB2312"/>
          <w:color w:val="auto"/>
          <w:kern w:val="0"/>
          <w:sz w:val="24"/>
          <w:szCs w:val="24"/>
          <w:highlight w:val="none"/>
          <w:lang w:val="en-US" w:eastAsia="zh-CN" w:bidi="ar-SA"/>
        </w:rPr>
        <w:t>属于设计变更的合同双方当事人以及监理工程师、造价工程师应遵循发包人关于设计变更的管理办法实施，如承包人提出的设计变更，承包人应当在3天内完成资料并报至监理工程师，监理工程师应在2天内出具变更初步意见，并由发包人、监理人、设计人在工程联系单中明确是否同意进入设计变更审批程序的意见，同时由发包人组织召开设计变更专题会议并出具会议纪要，如会议同意设计变更方案的，由发包人填写洽商记录并盖章确认后发出设计变更通知，承包人在收到设计变更文件后14日内根据施工合同、招投标文件及相关技术标准、规范要求，编制变更预算报监理工程师及发包人审核，发包人在设计变更批准后，通知监理人向承包人下达现场变更的指令，承包人据此实施设计变更。</w:t>
      </w:r>
      <w:r>
        <w:rPr>
          <w:rFonts w:hint="eastAsia" w:ascii="仿宋_GB2312" w:hAnsi="仿宋_GB2312" w:eastAsia="仿宋_GB2312" w:cs="仿宋_GB2312"/>
          <w:color w:val="auto"/>
          <w:kern w:val="2"/>
          <w:sz w:val="24"/>
          <w:szCs w:val="24"/>
          <w:highlight w:val="none"/>
          <w:lang w:val="en-US" w:eastAsia="zh-CN" w:bidi="ar-SA"/>
        </w:rPr>
        <w:t>如承包人逾期未向发包人提出，或未经发包人同意答复的设计变更实施方案，或该项变更无专题会议纪要等相关过程资料，涉及承包人原因导致增加的费用原则上不纳入结算范围。</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除上述设计变更外其余的工程变更，</w:t>
      </w:r>
      <w:r>
        <w:rPr>
          <w:rFonts w:hint="eastAsia" w:ascii="仿宋_GB2312" w:hAnsi="仿宋_GB2312" w:eastAsia="仿宋_GB2312" w:cs="仿宋_GB2312"/>
          <w:color w:val="auto"/>
          <w:kern w:val="2"/>
          <w:sz w:val="24"/>
          <w:szCs w:val="24"/>
          <w:highlight w:val="none"/>
          <w:lang w:val="en-US" w:eastAsia="zh-CN" w:bidi="ar-SA"/>
        </w:rPr>
        <w:t>合同双方当事人以及监理工程师、造价工程师应遵循下列程序实施工程变更的相关工作。</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(1)合同工程可能发生或发生工程变更时，监理工程师或承包人可依据下列情况及时提出。</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合同工程可能发生第56.2款所列情形的，监理工程师可向承包人发出变更意向书，并附必要的施工设计图纸及其说明等资料。承包人应在收到变更意向书后的7天内，向监理工程师书面提交包括拟实施变更工作的计划、措施、竣工时间、修改内容和所需金额等在内的实施方案。经监理工程师审核后，报发包人，发包人应在收到实施方案后的7天内予以答复，同意承包人提交的实施方案的，监理工程师应在收到实施方案后的14天内发出变更指令。</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2）合同工程发生第56.2款所列情形的，监理工程师应至少提前14天以书面形式向承包人发出变更指令，并提供变更的施工设计图纸及其说明等资料。</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承包人收到发包人为实施合同工程所提供的施工设计图纸和文件，经检查认为存在第56.2款所列情形的，可向监理工程师提出书面建议。监理工程师收到承包人书面建议后，应提出确认意见并报发包人审批；确认存在变更的，监理工程师应在收到承包人书面建议后的14天内发出变更指令。不同意作为变更的，应由监理工程师书面答复承包人。</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4）若承包人收到监理工程师的变更意向书后认为难以实施此项变更的，应立即通知监理工程师，说明原因并附详细依据。监理工程师与合同双方当事人协商后确定撤销、改变或不改变原变更意向书。</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承包人应在收到监理工程师发出变更指令或变更意向书后的14天内，向发包人提交工程变更报告，并抄送监理工程师、造价工程师。报告内容应包括变更原因、根据第72条约定详细开列变更工作的价格组成和依据，并附变更的施工设计图纸及其相关说明。变更工作影响工期的，承包人应提出调整工期的要求。发包人认为有必要时，可要求承包人提交提前或者延长工期的施工进度计划或相应施工措施等资料。</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发包人在收到承包人工程变更报告后，应通知监理工程师、造价工程师及时对报告内容予以核实，并在收到报告后的14天内予以确定或提出修改意见。发包人在收到承包人工程变更报告后的14天内未确定也未提出修改意见的，视为承包人提交的工程变更报告已被认可。</w:t>
      </w:r>
    </w:p>
    <w:p>
      <w:pPr>
        <w:widowControl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(4)承包人应在发包人确定工程变更报告后的7天内，按照监理工程师发出的变更指令及时组织实施变更工作。否则，由此引起的损失和（或）延误的工期由承包人承担。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56.4 承包人提出工程变更建议</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发包人采纳承包人建议带来利益的计奖方法：（1）监理工程师同意采用承包人提出的工程变更建议的，所发生的费用和获得的收益，由发包人、承包人另行约定分担或分享；（2）承包人在施工中提出的工程变更建议涉及到对设计图纸或施工组织设计的更改及对材料、设备的换用，须经监理工程师同意。未经同意擅自更改或换用时，承包人承担由此发生的费用，并赔偿发包人的有关损失，延误的工期不予顺延</w:t>
      </w:r>
      <w:r>
        <w:rPr>
          <w:rFonts w:hint="eastAsia" w:ascii="仿宋_GB2312" w:hAnsi="仿宋_GB2312" w:eastAsia="仿宋_GB2312" w:cs="仿宋_GB2312"/>
          <w:color w:val="auto"/>
          <w:kern w:val="0"/>
          <w:sz w:val="24"/>
          <w:szCs w:val="24"/>
          <w:highlight w:val="none"/>
          <w:u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56.6 对于造成合同价款增加的变更，承包人在监理工程师发出变更指示后28天内不向监理工程师提出变更工程价款报告时，视为该项变更不涉及合同价款的变更。对于造成合同价款减少的变更，承包人在监理工程师发出变更指示后28天内不向监理工程师提出变更工程价款报告时，由发包人责成监理工程师制定变更价款报告，视为承包人接受该合同价款的变更。</w:t>
      </w:r>
      <w:bookmarkStart w:id="673" w:name="_Toc10624959"/>
      <w:bookmarkStart w:id="674" w:name="_Toc469384115"/>
    </w:p>
    <w:p>
      <w:pPr>
        <w:spacing w:line="420" w:lineRule="exact"/>
        <w:rPr>
          <w:rFonts w:hint="eastAsia" w:ascii="仿宋_GB2312" w:hAnsi="仿宋_GB2312" w:eastAsia="仿宋_GB2312" w:cs="仿宋_GB2312"/>
          <w:color w:val="auto"/>
          <w:kern w:val="0"/>
          <w:sz w:val="24"/>
          <w:szCs w:val="24"/>
          <w:highlight w:val="none"/>
        </w:rPr>
      </w:pPr>
    </w:p>
    <w:p>
      <w:pPr>
        <w:numPr>
          <w:ilvl w:val="0"/>
          <w:numId w:val="9"/>
        </w:num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竣工验收条件</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57.2提交竣工验收申请报告</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（1）承包人负责整理和提交的竣工验收资料应当符合工程所在地建设行政主管部门和（或）城市建设档案管理机构有关施工资料的要求，具体内容包括：</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1）竣工验收资料的份数：</w:t>
      </w:r>
      <w:r>
        <w:rPr>
          <w:rFonts w:hint="eastAsia" w:ascii="仿宋_GB2312" w:hAnsi="仿宋_GB2312" w:eastAsia="仿宋_GB2312" w:cs="仿宋_GB2312"/>
          <w:color w:val="auto"/>
          <w:kern w:val="0"/>
          <w:sz w:val="24"/>
          <w:szCs w:val="24"/>
          <w:highlight w:val="none"/>
          <w:u w:val="single"/>
        </w:rPr>
        <w:t>一式三份。</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2）竣工验收资料的费用支付方式：</w:t>
      </w:r>
      <w:r>
        <w:rPr>
          <w:rFonts w:hint="eastAsia" w:ascii="仿宋_GB2312" w:hAnsi="仿宋_GB2312" w:eastAsia="仿宋_GB2312" w:cs="仿宋_GB2312"/>
          <w:color w:val="auto"/>
          <w:kern w:val="0"/>
          <w:sz w:val="24"/>
          <w:szCs w:val="24"/>
          <w:highlight w:val="none"/>
          <w:u w:val="single"/>
        </w:rPr>
        <w:t>已包含在合同价款中。</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2）工程竣工验收及竣工验收备案管理应严格按以下文件执行，承包人应按《市政工程施工技术资料管理规定》要求严格认真填写广东省市政工程施工质量技术资料统一用表，按广州市城建档案馆要求整编，作为工程档案资料在竣工时报送发包人。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1）住房城乡建设部文件《房屋建筑和市政基础设施工程竣工验收规定》（建质〔2013〕171号）；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2）建设部令第78号《房屋建筑工程和市政基础设施工程竣工验收备案管理暂行办法》；</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3）建设部办公厅《关于&lt;房屋建筑工程和市政基础设施工程竣工验收备案表&gt;的通知》（建办建〔2001〕18号）；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4）广州市建设委员会文件——《广州市房屋建筑工程和市政基础设施工程竣工验收及备案管理实施办法》（穗建筑〔2002〕61号）；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5）广州地区建设工程质量安全监督站、广州市市政工程安全质量监督站编制的贯彻《建设工程质量管理条例》文件汇编（一）～（八）；</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6）广州市市场监督管理局《建设工程档案编制规范》(DB 4401/T 55-2020）。</w:t>
      </w:r>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★58. 竣工验收</w:t>
      </w:r>
      <w:bookmarkEnd w:id="673"/>
      <w:bookmarkEnd w:id="674"/>
    </w:p>
    <w:p>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kern w:val="0"/>
          <w:sz w:val="24"/>
          <w:szCs w:val="24"/>
          <w:highlight w:val="none"/>
        </w:rPr>
        <w:t xml:space="preserve"> 58.1 竣工验收标准</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（1）合同工程竣工验收标准：</w:t>
      </w:r>
      <w:permStart w:id="263" w:edGrp="everyone"/>
      <w:r>
        <w:rPr>
          <w:rFonts w:hint="eastAsia" w:ascii="仿宋_GB2312" w:hAnsi="仿宋_GB2312" w:eastAsia="仿宋_GB2312" w:cs="仿宋_GB2312"/>
          <w:color w:val="auto"/>
          <w:kern w:val="0"/>
          <w:sz w:val="24"/>
          <w:szCs w:val="24"/>
          <w:highlight w:val="none"/>
          <w:u w:val="single"/>
        </w:rPr>
        <w:t xml:space="preserve">  竣工验收指承包人完成了全部合同工作后，发包人按合同要求进行的验收。 </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 xml:space="preserve">    当工程具备以下条件时，承包人即可向监理人报送竣工验收申请报告：</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 xml:space="preserve">    1）除监理人同意列入缺陷责任期内完成的尾工（甩项）工程和缺陷修补工作外，合同范围内的全部单位工程以及有关工作，包括合同要求的试验、试运行以及检验和验收均已完成，并符合合同要求；</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 xml:space="preserve">    2）已按合同约定的内容和份数备齐了符合要求的竣工资料；</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 xml:space="preserve">    3）已按监理人的要求编制了在缺陷责任期内完成的尾工（甩项）工程和缺陷修补工作清单以及相应施工计划；</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 xml:space="preserve">    4）监理人要求在竣工验收前应完成的其他工作；</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u w:val="single"/>
        </w:rPr>
        <w:t xml:space="preserve">    5）监理人要求提交的竣工验收资料清单    </w:t>
      </w:r>
      <w:permEnd w:id="263"/>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提供竣工档案的约定：承包人应按照广州市城建档案馆及广州市自来水有限公司工程项目档案归档管理的最新规定要求，在工程完工20天内将竣工资料和竣工图报发包人进行档案验收，通过发包人组织的档案竣工验收。在完成了工程建设项目竣工联合验收合格后6个月内，先向城建档案馆报送一套符合规范要求的建设工程档案并取得城建档案馆的接收证明，再将竣工资料及竣工图（均为原件，一式两套）移交给发包人并取得移交凭证；工程竣工验收后30天内必须将结算资料（原件，一式两份）移交给发包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（3）承包人应按照《建设工程文件归档规范》（GB/T 50328-2019）、《建设工程档案编制规范》(DB 4401/T 55-2020）、《广州市建设工程档案归档范围（试行）》和广州市自来水有限公司工程项目档案归档管理的最新规定等要求，在工程施工期间及时收集、汇总、整理、编制竣工档案，并于工程竣工验收后向发包人完整移交竣工档案。</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移交竣工档案的时限：承包人应于工程竣工验收后5天内将竣工档案提交监理工程师签认，监理工程师应在收到竣工档案后5天内签认。经监理工程师签认后，承包人应及时将竣工档案移交给发包人归档并同时移交有关归档的证明文件。发包人经审查合格的，应在收到竣工档案后10天内签署档案验收意见；不合格的，要求承包人限期补正，直至合格为止。</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电子版竣工图的编制，以发包人提供的电子版施工图为基础。承包人在移交竣工档案时，应一并移交发包人提供的电子版施工图及电子版的竣工图。电子版施工图和电子版竣工图的知识产权归属发包人所有，非经发包人许可，承包人不得以任何方式复制、备份、转让和利用。否则，由此引起的任何纠纷和责任由承包人承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3）承包人应督促其工程分包单位及时做好竣工资料整理工作，于分包工程竣工验收后25天内将全部档案资料移交给承包人，由承包人汇总、归档，并在承包人移交竣工档案时一并移交。</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4）承包人在工程实施过程中必须根据广州市建设委员会文件《关于印发&lt;广州市房屋建筑工程和市政基础设施工程竣工验收及备案管理实施办法（试行）&gt;的通知》（穗建筑〔2002〕61号</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的规定做好相关资料，在通过工程竣工验收后1个月内，承包人必须办理工程竣工验收备案。</w:t>
      </w:r>
    </w:p>
    <w:p>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kern w:val="0"/>
          <w:sz w:val="24"/>
          <w:szCs w:val="24"/>
          <w:highlight w:val="none"/>
        </w:rPr>
        <w:t>58.8 单位工程和工程部位验收</w:t>
      </w:r>
    </w:p>
    <w:p>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264" w:edGrp="everyone"/>
      <w:r>
        <w:rPr>
          <w:rFonts w:hint="eastAsia" w:ascii="仿宋_GB2312" w:hAnsi="仿宋_GB2312" w:eastAsia="仿宋_GB2312" w:cs="仿宋_GB2312"/>
          <w:color w:val="auto"/>
          <w:kern w:val="0"/>
          <w:sz w:val="24"/>
          <w:szCs w:val="24"/>
          <w:highlight w:val="none"/>
          <w:lang w:eastAsia="zh-CN"/>
        </w:rPr>
        <w:t>☑</w:t>
      </w:r>
      <w:permEnd w:id="264"/>
      <w:r>
        <w:rPr>
          <w:rFonts w:hint="eastAsia" w:ascii="仿宋_GB2312" w:hAnsi="仿宋_GB2312" w:eastAsia="仿宋_GB2312" w:cs="仿宋_GB2312"/>
          <w:color w:val="auto"/>
          <w:kern w:val="0"/>
          <w:sz w:val="24"/>
          <w:szCs w:val="24"/>
          <w:highlight w:val="none"/>
        </w:rPr>
        <w:t xml:space="preserve"> 合同工程无单位工程、无工程部位提前验收的，本款不适用。</w:t>
      </w:r>
    </w:p>
    <w:p>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265" w:edGrp="everyone"/>
      <w:r>
        <w:rPr>
          <w:rFonts w:hint="eastAsia" w:ascii="仿宋_GB2312" w:hAnsi="仿宋_GB2312" w:eastAsia="仿宋_GB2312" w:cs="仿宋_GB2312"/>
          <w:color w:val="auto"/>
          <w:kern w:val="0"/>
          <w:sz w:val="24"/>
          <w:szCs w:val="24"/>
          <w:highlight w:val="none"/>
          <w:lang w:val="en-US" w:eastAsia="zh-CN"/>
        </w:rPr>
        <w:t>☒</w:t>
      </w:r>
      <w:permEnd w:id="265"/>
      <w:r>
        <w:rPr>
          <w:rFonts w:hint="eastAsia" w:ascii="仿宋_GB2312" w:hAnsi="仿宋_GB2312" w:eastAsia="仿宋_GB2312" w:cs="仿宋_GB2312"/>
          <w:color w:val="auto"/>
          <w:kern w:val="0"/>
          <w:sz w:val="24"/>
          <w:szCs w:val="24"/>
          <w:highlight w:val="none"/>
        </w:rPr>
        <w:t xml:space="preserve"> 合同工程单位工程或工程部位需提前验收的，各单位工程或工程部位的名称、竣工验收时间和范围如下：</w:t>
      </w:r>
    </w:p>
    <w:p>
      <w:pPr>
        <w:spacing w:line="420" w:lineRule="exact"/>
        <w:ind w:firstLine="120" w:firstLineChars="5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 xml:space="preserve"> （1）</w:t>
      </w:r>
      <w:permStart w:id="266"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66"/>
      <w:r>
        <w:rPr>
          <w:rFonts w:hint="eastAsia" w:ascii="仿宋_GB2312" w:hAnsi="仿宋_GB2312" w:eastAsia="仿宋_GB2312" w:cs="仿宋_GB2312"/>
          <w:color w:val="auto"/>
          <w:kern w:val="0"/>
          <w:sz w:val="24"/>
          <w:szCs w:val="24"/>
          <w:highlight w:val="none"/>
        </w:rPr>
        <w:t xml:space="preserve"> （名称）工程或部位，竣工验收时间为 </w:t>
      </w:r>
      <w:permStart w:id="267"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67"/>
      <w:r>
        <w:rPr>
          <w:rFonts w:hint="eastAsia" w:ascii="仿宋_GB2312" w:hAnsi="仿宋_GB2312" w:eastAsia="仿宋_GB2312" w:cs="仿宋_GB2312"/>
          <w:color w:val="auto"/>
          <w:kern w:val="0"/>
          <w:sz w:val="24"/>
          <w:szCs w:val="24"/>
          <w:highlight w:val="none"/>
        </w:rPr>
        <w:t>，其范围包括：</w:t>
      </w:r>
      <w:permStart w:id="268"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ermEnd w:id="268"/>
    <w:p>
      <w:pPr>
        <w:spacing w:line="420" w:lineRule="exac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kern w:val="0"/>
          <w:sz w:val="24"/>
          <w:szCs w:val="24"/>
          <w:highlight w:val="none"/>
        </w:rPr>
        <w:t>（2）</w:t>
      </w:r>
      <w:permStart w:id="269"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69"/>
      <w:r>
        <w:rPr>
          <w:rFonts w:hint="eastAsia" w:ascii="仿宋_GB2312" w:hAnsi="仿宋_GB2312" w:eastAsia="仿宋_GB2312" w:cs="仿宋_GB2312"/>
          <w:color w:val="auto"/>
          <w:kern w:val="0"/>
          <w:sz w:val="24"/>
          <w:szCs w:val="24"/>
          <w:highlight w:val="none"/>
        </w:rPr>
        <w:t xml:space="preserve"> （名称）工程或部位，竣工验收时间为</w:t>
      </w:r>
      <w:permStart w:id="270"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70"/>
      <w:r>
        <w:rPr>
          <w:rFonts w:hint="eastAsia" w:ascii="仿宋_GB2312" w:hAnsi="仿宋_GB2312" w:eastAsia="仿宋_GB2312" w:cs="仿宋_GB2312"/>
          <w:color w:val="auto"/>
          <w:kern w:val="0"/>
          <w:sz w:val="24"/>
          <w:szCs w:val="24"/>
          <w:highlight w:val="none"/>
        </w:rPr>
        <w:t>，其范围包括：</w:t>
      </w:r>
      <w:permStart w:id="27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ermEnd w:id="271"/>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58.9 施工期运行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72" w:edGrp="everyone"/>
      <w:r>
        <w:rPr>
          <w:rFonts w:hint="eastAsia" w:ascii="仿宋_GB2312" w:hAnsi="仿宋_GB2312" w:eastAsia="仿宋_GB2312" w:cs="仿宋_GB2312"/>
          <w:color w:val="auto"/>
          <w:kern w:val="0"/>
          <w:sz w:val="24"/>
          <w:szCs w:val="24"/>
          <w:highlight w:val="none"/>
          <w:lang w:val="en-US" w:eastAsia="zh-CN" w:bidi="ar-SA"/>
        </w:rPr>
        <w:sym w:font="Wingdings 2" w:char="0052"/>
      </w:r>
      <w:r>
        <w:rPr>
          <w:rFonts w:hint="eastAsia" w:ascii="仿宋_GB2312" w:hAnsi="仿宋_GB2312" w:eastAsia="仿宋_GB2312" w:cs="仿宋_GB2312"/>
          <w:color w:val="auto"/>
          <w:kern w:val="0"/>
          <w:sz w:val="24"/>
          <w:szCs w:val="24"/>
          <w:highlight w:val="none"/>
        </w:rPr>
        <w:t xml:space="preserve"> </w:t>
      </w:r>
      <w:permEnd w:id="272"/>
      <w:r>
        <w:rPr>
          <w:rFonts w:hint="eastAsia" w:ascii="仿宋_GB2312" w:hAnsi="仿宋_GB2312" w:eastAsia="仿宋_GB2312" w:cs="仿宋_GB2312"/>
          <w:color w:val="auto"/>
          <w:kern w:val="0"/>
          <w:sz w:val="24"/>
          <w:szCs w:val="24"/>
          <w:highlight w:val="none"/>
        </w:rPr>
        <w:t>合同工程无单位工程、无工程部位在施工期运行的，本款不适用。</w:t>
      </w:r>
    </w:p>
    <w:p>
      <w:pPr>
        <w:widowControl w:val="0"/>
        <w:spacing w:after="120"/>
        <w:jc w:val="both"/>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 xml:space="preserve">    </w:t>
      </w:r>
      <w:permStart w:id="273" w:edGrp="everyone"/>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lang w:val="en-US" w:eastAsia="zh-CN" w:bidi="ar-SA"/>
        </w:rPr>
        <w:t xml:space="preserve"> </w:t>
      </w:r>
      <w:permEnd w:id="273"/>
      <w:r>
        <w:rPr>
          <w:rFonts w:hint="eastAsia" w:ascii="仿宋_GB2312" w:hAnsi="仿宋_GB2312" w:eastAsia="仿宋_GB2312" w:cs="仿宋_GB2312"/>
          <w:color w:val="auto"/>
          <w:kern w:val="0"/>
          <w:sz w:val="24"/>
          <w:szCs w:val="24"/>
          <w:highlight w:val="none"/>
          <w:lang w:val="en-US" w:eastAsia="zh-CN" w:bidi="ar-SA"/>
        </w:rPr>
        <w:t>合同工程单位工程或工程部位需在施工期运行的，各单位工程或工程部位的名称、运行时间如下：</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ermStart w:id="274"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74"/>
      <w:r>
        <w:rPr>
          <w:rFonts w:hint="eastAsia" w:ascii="仿宋_GB2312" w:hAnsi="仿宋_GB2312" w:eastAsia="仿宋_GB2312" w:cs="仿宋_GB2312"/>
          <w:color w:val="auto"/>
          <w:kern w:val="0"/>
          <w:sz w:val="24"/>
          <w:szCs w:val="24"/>
          <w:highlight w:val="none"/>
        </w:rPr>
        <w:t>（名称）工程或部位，运行时间为</w:t>
      </w:r>
      <w:permStart w:id="275"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75"/>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（2）</w:t>
      </w:r>
      <w:permStart w:id="276"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76"/>
      <w:r>
        <w:rPr>
          <w:rFonts w:hint="eastAsia" w:ascii="仿宋_GB2312" w:hAnsi="仿宋_GB2312" w:eastAsia="仿宋_GB2312" w:cs="仿宋_GB2312"/>
          <w:color w:val="auto"/>
          <w:kern w:val="0"/>
          <w:sz w:val="24"/>
          <w:szCs w:val="24"/>
          <w:highlight w:val="none"/>
        </w:rPr>
        <w:t>（名称）工程或部位，运行时间为</w:t>
      </w:r>
      <w:permStart w:id="277"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none"/>
          <w:lang w:val="en-US" w:eastAsia="zh-CN"/>
        </w:rPr>
        <w:t xml:space="preserve"> </w:t>
      </w:r>
      <w:permEnd w:id="277"/>
      <w:r>
        <w:rPr>
          <w:rFonts w:hint="eastAsia" w:ascii="仿宋_GB2312" w:hAnsi="仿宋_GB2312" w:eastAsia="仿宋_GB2312" w:cs="仿宋_GB2312"/>
          <w:color w:val="auto"/>
          <w:kern w:val="0"/>
          <w:sz w:val="24"/>
          <w:szCs w:val="24"/>
          <w:highlight w:val="none"/>
          <w:u w:val="none"/>
          <w:lang w:val="en-US" w:eastAsia="zh-CN"/>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58.10 竣工清场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按通用条款规定。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 </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58.11施工队伍的撤离</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按通用条款规定，承包人的人员和施工设备全部撤离施工现场。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按通用条款规定，承包人的人员和施工设备全部撤离施工现场。承包人撤离施工场地时，监理人和承包人应当办理永久工程和施工场地移交手续，移交手续以书面方式出具，并分别经过发包人、监理工程师和承包人签认。但是监理工程师和发包人未按合同约定的期限办清竣工结算和竣工付款的，本工程不得交付使用，发包人和监理工程师也不得要求承包人按合同约定的期限撤离施工场地和办理工程移交手续。</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58.14 试运行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（1）工程及工程设备试运行的组织与费用承担本合同：</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78" w:edGrp="everyone"/>
      <w:r>
        <w:rPr>
          <w:rFonts w:hint="eastAsia" w:ascii="仿宋_GB2312" w:hAnsi="仿宋_GB2312" w:eastAsia="仿宋_GB2312" w:cs="仿宋_GB2312"/>
          <w:color w:val="auto"/>
          <w:kern w:val="0"/>
          <w:sz w:val="24"/>
          <w:szCs w:val="24"/>
          <w:highlight w:val="none"/>
          <w:lang w:val="en-US" w:eastAsia="zh-CN"/>
        </w:rPr>
        <w:t>☒</w:t>
      </w:r>
      <w:permEnd w:id="278"/>
      <w:r>
        <w:rPr>
          <w:rFonts w:hint="eastAsia" w:ascii="仿宋_GB2312" w:hAnsi="仿宋_GB2312" w:eastAsia="仿宋_GB2312" w:cs="仿宋_GB2312"/>
          <w:color w:val="auto"/>
          <w:kern w:val="0"/>
          <w:sz w:val="24"/>
          <w:szCs w:val="24"/>
          <w:highlight w:val="none"/>
        </w:rPr>
        <w:t>（可选择项）不需要试运行的，本条不适用。</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79" w:edGrp="everyone"/>
      <w:r>
        <w:rPr>
          <w:rFonts w:hint="eastAsia" w:ascii="仿宋_GB2312" w:hAnsi="仿宋_GB2312" w:eastAsia="仿宋_GB2312" w:cs="仿宋_GB2312"/>
          <w:color w:val="auto"/>
          <w:kern w:val="0"/>
          <w:sz w:val="24"/>
          <w:szCs w:val="24"/>
          <w:highlight w:val="none"/>
        </w:rPr>
        <w:sym w:font="Wingdings 2" w:char="0052"/>
      </w:r>
      <w:permEnd w:id="279"/>
      <w:r>
        <w:rPr>
          <w:rFonts w:hint="eastAsia" w:ascii="仿宋_GB2312" w:hAnsi="仿宋_GB2312" w:eastAsia="仿宋_GB2312" w:cs="仿宋_GB2312"/>
          <w:color w:val="auto"/>
          <w:kern w:val="0"/>
          <w:sz w:val="24"/>
          <w:szCs w:val="24"/>
          <w:highlight w:val="none"/>
        </w:rPr>
        <w:t>（可选择项）需要试运行的，按发包人的要求配合发包人完成工程试运行工作，所产生的费用已包含在合同价款中，试运行的内容和要求根据如下条款执行：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1）工程设备安装具备单机无负荷试运行条件，由承包人组织试运行，试运行结果应由监理工程师确认，试运行费用由承包人承担。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如本合同及工程设备需要办理无负荷联动试运行，工程设备安装具备无负荷联动试运行条件，由发包人组织试运行，承包人应根据发包人要求配合做好无负荷联动试运行，试运行结果应由监理工程师确认，试运行费用由承包人承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如本合同及工程设备需办理投料试运行，投料试运行应在工程竣工验收前由承包人申请，试运行方案经监理工程师、发包人审批同意后，发包人配合组织实施，试运行结果应由监理工程师确认，投料试运行产生的相关费用由承包人承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bookmarkStart w:id="675" w:name="_Toc469384116"/>
      <w:bookmarkStart w:id="676" w:name="_Toc10624960"/>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59. 缺陷责任与质量保修</w:t>
      </w:r>
      <w:bookmarkEnd w:id="675"/>
      <w:bookmarkEnd w:id="676"/>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59.1 （1）缺陷责任期计算</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缺陷责任期：</w:t>
      </w:r>
      <w:r>
        <w:rPr>
          <w:rFonts w:hint="eastAsia" w:ascii="仿宋_GB2312" w:hAnsi="仿宋_GB2312" w:eastAsia="仿宋_GB2312" w:cs="仿宋_GB2312"/>
          <w:color w:val="auto"/>
          <w:kern w:val="0"/>
          <w:sz w:val="24"/>
          <w:szCs w:val="24"/>
          <w:highlight w:val="none"/>
          <w:u w:val="single"/>
        </w:rPr>
        <w:t xml:space="preserve">   24个月。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（2）缺陷责任期从工程通过竣工验收之日起计算。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（3）在本条约定的缺陷责任期，包括根据第59.2款延长的期限终止后14 天内，由监理工程师向承包人出具经发包人签认的缺陷责任期终止证书。</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59.8 质量保修期计算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质量保修期： 质量保修期限按照国务院279号《建设工程质量管理条例》执行，具体如下：</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（1）基础设施工程、房屋建筑的地基基础工程和主体结构工程：设计文件规定的该工程的合理使用年限；</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（2）屋面防水工程、有防水要求的卫生间、房间和外墙面的防渗漏：5年；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（3）供热与供冷系统：2个采暖期、供冷期；</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 电气管线、给排水管道、设备安装和装修工程：2年；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（5）其他项目：</w:t>
      </w:r>
      <w:r>
        <w:rPr>
          <w:rFonts w:hint="eastAsia" w:ascii="仿宋_GB2312" w:hAnsi="仿宋_GB2312" w:eastAsia="仿宋_GB2312" w:cs="仿宋_GB2312"/>
          <w:color w:val="auto"/>
          <w:kern w:val="0"/>
          <w:sz w:val="24"/>
          <w:szCs w:val="24"/>
          <w:highlight w:val="none"/>
          <w:u w:val="single"/>
        </w:rPr>
        <w:t xml:space="preserve"> 承包人提供的设备应满足招标技术要求规定的质量保证年限    </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59.11保修期内在正常使用的条件下，确因施工方面的原因而发生的工程质量问题，其返修工作及修复费均由承包人负责，并对造成的损失承担赔偿责任；为了保证设施的正常使用功能，避免发生事故，承包人在接到返修通知后一星期内必须进场返修，否则，发包人有权安排其它施工单位进场返修，所发生的费用由承包人负责支付。工程验收合格之前，工程的保管责任由承包人负责，工程质量按国务院279号《建设工程质量管理条例》执行。</w:t>
      </w:r>
    </w:p>
    <w:p>
      <w:pPr>
        <w:widowControl w:val="0"/>
        <w:numPr>
          <w:ilvl w:val="0"/>
          <w:numId w:val="0"/>
        </w:numPr>
        <w:tabs>
          <w:tab w:val="left" w:pos="420"/>
          <w:tab w:val="left" w:pos="576"/>
        </w:tabs>
        <w:spacing w:before="26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bookmarkStart w:id="677" w:name="_Toc10624961"/>
      <w:bookmarkStart w:id="678" w:name="_Toc469384117"/>
      <w:r>
        <w:rPr>
          <w:rFonts w:hint="eastAsia" w:ascii="黑体" w:hAnsi="黑体" w:eastAsia="黑体" w:cs="黑体"/>
          <w:b w:val="0"/>
          <w:bCs w:val="0"/>
          <w:color w:val="auto"/>
          <w:kern w:val="0"/>
          <w:sz w:val="24"/>
          <w:szCs w:val="24"/>
          <w:highlight w:val="none"/>
          <w:lang w:val="en-US" w:eastAsia="zh-CN" w:bidi="ar-SA"/>
        </w:rPr>
        <w:t>61. 工程量</w:t>
      </w:r>
      <w:bookmarkEnd w:id="677"/>
      <w:bookmarkEnd w:id="678"/>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61.1 清单工程量包括的工作内容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按通用条款规定。</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widowControl w:val="0"/>
        <w:spacing w:after="120"/>
        <w:jc w:val="both"/>
        <w:rPr>
          <w:rFonts w:hint="eastAsia" w:ascii="仿宋_GB2312" w:hAnsi="仿宋_GB2312" w:eastAsia="仿宋_GB2312" w:cs="仿宋_GB2312"/>
          <w:color w:val="auto"/>
          <w:kern w:val="2"/>
          <w:sz w:val="24"/>
          <w:szCs w:val="24"/>
          <w:highlight w:val="none"/>
          <w:lang w:val="en-US" w:eastAsia="zh-CN" w:bidi="ar-SA"/>
        </w:rPr>
      </w:pP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61.2 清单工程量</w:t>
      </w:r>
    </w:p>
    <w:p>
      <w:pPr>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按照专用条款第73条执行。</w:t>
      </w:r>
      <w:bookmarkStart w:id="679" w:name="_Toc10624962"/>
      <w:bookmarkStart w:id="680" w:name="_Toc469384118"/>
    </w:p>
    <w:p>
      <w:pPr>
        <w:rPr>
          <w:rFonts w:hint="eastAsia" w:ascii="仿宋_GB2312" w:hAnsi="仿宋_GB2312" w:eastAsia="仿宋_GB2312" w:cs="仿宋_GB2312"/>
          <w:color w:val="auto"/>
          <w:kern w:val="0"/>
          <w:sz w:val="24"/>
          <w:szCs w:val="24"/>
          <w:highlight w:val="none"/>
        </w:rPr>
      </w:pPr>
    </w:p>
    <w:p>
      <w:pPr>
        <w:numPr>
          <w:ilvl w:val="0"/>
          <w:numId w:val="10"/>
        </w:numPr>
        <w:ind w:firstLine="240" w:firstLineChars="10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工程计量和计价</w:t>
      </w:r>
    </w:p>
    <w:p>
      <w:pPr>
        <w:spacing w:line="420" w:lineRule="exact"/>
        <w:ind w:left="218" w:leftChars="104"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62.2按本合同第一部分《协议书》第六条约定的结算方式对应以下计量方法：</w:t>
      </w:r>
    </w:p>
    <w:p>
      <w:pPr>
        <w:spacing w:line="420" w:lineRule="exact"/>
        <w:ind w:left="323" w:leftChars="154"/>
        <w:rPr>
          <w:rFonts w:hint="eastAsia" w:ascii="仿宋_GB2312" w:hAnsi="仿宋_GB2312" w:eastAsia="仿宋_GB2312" w:cs="仿宋_GB2312"/>
          <w:strike/>
          <w:color w:val="auto"/>
          <w:kern w:val="0"/>
          <w:sz w:val="24"/>
          <w:szCs w:val="24"/>
          <w:highlight w:val="none"/>
        </w:rPr>
      </w:pPr>
      <w:r>
        <w:rPr>
          <w:rFonts w:hint="eastAsia" w:ascii="仿宋_GB2312" w:hAnsi="仿宋_GB2312" w:eastAsia="仿宋_GB2312" w:cs="仿宋_GB2312"/>
          <w:color w:val="auto"/>
          <w:kern w:val="0"/>
          <w:sz w:val="24"/>
          <w:szCs w:val="24"/>
          <w:highlight w:val="none"/>
        </w:rPr>
        <w:t>（1）计量方法</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合同项目的工程承包价是由承包人以招标文件的图纸和工程量清单以及招标文件的规定等为依据，采用工程量清单计价法，根据投标人自身的条件和能力，结合工程现场实际情况，考虑风险后编制。合同价款包括完成该工程项目的成本、利润、税金、技术措施费、其他措施费、大型机械进出场费、意外伤害风险费、各类保险费、政策性文件规定费用以及办理施工许可证、余泥排放证等各种施工证件，并办理报监手续等所有费用。根据中华人民共和国国家标准《建设工程工程量清单计价规范》（GB50500—2013）及工程计价办法，《广东省住房和城乡建设厅关于营业税改征增值税后调整广东省建设工程计划依据的通知》（粤建市函〔2016〕1113号）《广州市建设工程造价管理站关于营业税改征增值税后广州市建设工程计价有关问题的通知》（穗建造价〔2016〕31号）《2013建设工程工程量清单计价规范》（GB50500-2013）、《广东省建设工程计价依据（2018）》文件进行计价，按招标文件中工程量清单所开列的工作内容和估计工程量填报相应的综合单价后，累计合价并加上合价包干的总价措施项目及综合单价包干的措施项目、其他项目费、规费和税金而计算的合同价。结算时发包人以工程师依据中华人民共和国国家标准《建设工程工程量清单计价规范》（GB50500—2013）、工程计价办法、《广东省住房和城乡建设厅关于营业税改征增值税后调整广东省建设工程计划依据的通知》（粤建市函〔2016〕1113号）、《广州市建设工程造价管理站关于营业税改征增值税后广州市建设工程计价有关问题的通知》（穗建造价〔2016〕31号）《2013建设工程工程量清单计价规范》（GB50500-2013）、《广东省建设工程计价依据（2018）》、工程量计算规则、图纸等规定计量确认的实际工程量乘以中标的综合单价（原设计没有发生变更时，中标的综合单价则成为工程结算的依据，不得调整）并加上合价包干的总价措施项目及综合单价包干的措施项目、其他项目费、规费和税金作为结算和支付依据（招标文件约定措施项目费可调整的按约定的调整方法调整）。承包人提供的建筑业增值税发票应与工程计税方式一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本工程采用的计税方式为：</w:t>
      </w:r>
      <w:permStart w:id="280" w:edGrp="everyone"/>
      <w:r>
        <w:rPr>
          <w:rFonts w:hint="eastAsia" w:ascii="仿宋_GB2312" w:hAnsi="仿宋_GB2312" w:eastAsia="仿宋_GB2312" w:cs="仿宋_GB2312"/>
          <w:color w:val="auto"/>
          <w:kern w:val="0"/>
          <w:sz w:val="24"/>
          <w:szCs w:val="24"/>
          <w:highlight w:val="none"/>
        </w:rPr>
        <w:sym w:font="Wingdings" w:char="00FE"/>
      </w:r>
      <w:r>
        <w:rPr>
          <w:rFonts w:hint="eastAsia" w:ascii="仿宋_GB2312" w:hAnsi="仿宋_GB2312" w:eastAsia="仿宋_GB2312" w:cs="仿宋_GB2312"/>
          <w:color w:val="auto"/>
          <w:kern w:val="0"/>
          <w:sz w:val="24"/>
          <w:szCs w:val="24"/>
          <w:highlight w:val="none"/>
        </w:rPr>
        <w:t>简易计税，☒一般计税。</w:t>
      </w:r>
      <w:permEnd w:id="280"/>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（2）计量周期</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1）本合同的计量周期为月，每月日为当月计量截止日期（不含当日）和下月计量起始日期（含当日）。</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2）本合同执行通用合同条款本项约定的单价子目计量。总价子目计量方法按第62.2（4）项总价子目的计量——按实际完成工程量计量。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（3）单价子目的计量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承包人每月20日前向监理人提交已完工程量报告。</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ermStart w:id="281" w:edGrp="everyone"/>
      <w:r>
        <w:rPr>
          <w:rFonts w:hint="eastAsia" w:ascii="仿宋_GB2312" w:hAnsi="仿宋_GB2312" w:eastAsia="仿宋_GB2312" w:cs="仿宋_GB2312"/>
          <w:color w:val="auto"/>
          <w:kern w:val="0"/>
          <w:sz w:val="24"/>
          <w:szCs w:val="24"/>
          <w:highlight w:val="none"/>
        </w:rPr>
        <w:sym w:font="Wingdings" w:char="00FE"/>
      </w:r>
      <w:permEnd w:id="281"/>
      <w:r>
        <w:rPr>
          <w:rFonts w:hint="eastAsia" w:ascii="仿宋_GB2312" w:hAnsi="仿宋_GB2312" w:eastAsia="仿宋_GB2312" w:cs="仿宋_GB2312"/>
          <w:color w:val="auto"/>
          <w:kern w:val="0"/>
          <w:sz w:val="24"/>
          <w:szCs w:val="24"/>
          <w:highlight w:val="none"/>
        </w:rPr>
        <w:t>总价子目的计量——支付分解报告（发包人使用招标图招标的，不勾选此项）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总价子目按照有合同约束力的支付分解表支付。承包人应根据合同进度计划和总价子目的总价构成、费用性质、计划发生时间和相应工作量等因素对各个总价子目的总价按月进行分解，形成支付分解报告。承包人应当在收到经过监理工程师批复的合同进度计划后7天内，将支付分解报告以及形成支付分解报告的分项计量和总价分解等支持性资料报监理工程师审批，监理工程师应当在收到承包人报送的支付分解报告后7天内给予批复或提出修改意见，经监理工程师批准的支付分解报告为有合同约束力的支付分解表。支付分解表应根据合同约定的修订合同进度计划进行修正，修正的程序和期限应当依照本项上述约定，经修正的支付分解表为有合同约束力的支付分解表。</w:t>
      </w:r>
    </w:p>
    <w:p>
      <w:pPr>
        <w:spacing w:line="420" w:lineRule="exact"/>
        <w:ind w:firstLine="480" w:firstLineChars="200"/>
        <w:rPr>
          <w:rFonts w:hint="eastAsia" w:ascii="仿宋_GB2312" w:hAnsi="仿宋_GB2312" w:eastAsia="仿宋_GB2312" w:cs="仿宋_GB2312"/>
          <w:color w:val="auto"/>
          <w:kern w:val="0"/>
          <w:sz w:val="24"/>
          <w:szCs w:val="24"/>
          <w:highlight w:val="none"/>
        </w:rPr>
      </w:pPr>
      <w:bookmarkStart w:id="681" w:name="_Hlk146574360"/>
      <w:r>
        <w:rPr>
          <w:rFonts w:hint="eastAsia" w:ascii="仿宋_GB2312" w:hAnsi="仿宋_GB2312" w:eastAsia="仿宋_GB2312" w:cs="仿宋_GB2312"/>
          <w:color w:val="auto"/>
          <w:kern w:val="0"/>
          <w:sz w:val="24"/>
          <w:szCs w:val="24"/>
          <w:highlight w:val="none"/>
        </w:rPr>
        <w:t>1）</w:t>
      </w:r>
      <w:bookmarkEnd w:id="681"/>
      <w:r>
        <w:rPr>
          <w:rFonts w:hint="eastAsia" w:ascii="仿宋_GB2312" w:hAnsi="仿宋_GB2312" w:eastAsia="仿宋_GB2312" w:cs="仿宋_GB2312"/>
          <w:color w:val="auto"/>
          <w:kern w:val="0"/>
          <w:sz w:val="24"/>
          <w:szCs w:val="24"/>
          <w:highlight w:val="none"/>
        </w:rPr>
        <w:t>总价子目的价格调整方法：中标的投标报价除发包人同意的设计变更和招标文件、招标答疑会议纪要中允许的调整范围外，其余不因市场价格变化、工程造价管理部门公布的价格调整、人员工资福利调整而调整（建设行政主管部门文件下达必须调整的除外）。</w:t>
      </w:r>
    </w:p>
    <w:p>
      <w:pPr>
        <w:spacing w:line="420" w:lineRule="exact"/>
        <w:ind w:firstLine="480" w:firstLineChars="200"/>
        <w:rPr>
          <w:rFonts w:hint="eastAsia" w:ascii="仿宋_GB2312" w:hAnsi="仿宋_GB2312" w:eastAsia="仿宋_GB2312" w:cs="仿宋_GB2312"/>
          <w:color w:val="auto"/>
          <w:kern w:val="0"/>
          <w:sz w:val="24"/>
          <w:szCs w:val="24"/>
          <w:highlight w:val="none"/>
        </w:rPr>
      </w:pPr>
      <w:bookmarkStart w:id="682" w:name="_Hlk146574369"/>
      <w:r>
        <w:rPr>
          <w:rFonts w:hint="eastAsia" w:ascii="仿宋_GB2312" w:hAnsi="仿宋_GB2312" w:eastAsia="仿宋_GB2312" w:cs="仿宋_GB2312"/>
          <w:color w:val="auto"/>
          <w:kern w:val="0"/>
          <w:sz w:val="24"/>
          <w:szCs w:val="24"/>
          <w:highlight w:val="none"/>
        </w:rPr>
        <w:t>2）</w:t>
      </w:r>
      <w:bookmarkEnd w:id="682"/>
      <w:r>
        <w:rPr>
          <w:rFonts w:hint="eastAsia" w:ascii="仿宋_GB2312" w:hAnsi="仿宋_GB2312" w:eastAsia="仿宋_GB2312" w:cs="仿宋_GB2312"/>
          <w:color w:val="auto"/>
          <w:kern w:val="0"/>
          <w:sz w:val="24"/>
          <w:szCs w:val="24"/>
          <w:highlight w:val="none"/>
        </w:rPr>
        <w:t>列入每月进度付款申请单中各总价子目的价值为有合同约束力的支付分解表中对应月份的总价子目总价值。</w:t>
      </w:r>
    </w:p>
    <w:p>
      <w:pPr>
        <w:spacing w:line="420" w:lineRule="exact"/>
        <w:ind w:firstLine="480" w:firstLineChars="200"/>
        <w:rPr>
          <w:rFonts w:hint="eastAsia" w:ascii="仿宋_GB2312" w:hAnsi="仿宋_GB2312" w:eastAsia="仿宋_GB2312" w:cs="仿宋_GB2312"/>
          <w:color w:val="auto"/>
          <w:kern w:val="0"/>
          <w:sz w:val="24"/>
          <w:szCs w:val="24"/>
          <w:highlight w:val="none"/>
        </w:rPr>
      </w:pPr>
      <w:bookmarkStart w:id="683" w:name="_Hlk146574378"/>
      <w:r>
        <w:rPr>
          <w:rFonts w:hint="eastAsia" w:ascii="仿宋_GB2312" w:hAnsi="仿宋_GB2312" w:eastAsia="仿宋_GB2312" w:cs="仿宋_GB2312"/>
          <w:color w:val="auto"/>
          <w:kern w:val="0"/>
          <w:sz w:val="24"/>
          <w:szCs w:val="24"/>
          <w:highlight w:val="none"/>
        </w:rPr>
        <w:t>3）</w:t>
      </w:r>
      <w:bookmarkEnd w:id="683"/>
      <w:r>
        <w:rPr>
          <w:rFonts w:hint="eastAsia" w:ascii="仿宋_GB2312" w:hAnsi="仿宋_GB2312" w:eastAsia="仿宋_GB2312" w:cs="仿宋_GB2312"/>
          <w:color w:val="auto"/>
          <w:kern w:val="0"/>
          <w:sz w:val="24"/>
          <w:szCs w:val="24"/>
          <w:highlight w:val="none"/>
        </w:rPr>
        <w:t>监理工程师根据有合同约束力的支付分解表复核列入每月进度付款申请单中的总价子目的总价值。</w:t>
      </w:r>
    </w:p>
    <w:p>
      <w:pPr>
        <w:spacing w:line="420" w:lineRule="exact"/>
        <w:ind w:firstLine="480" w:firstLineChars="200"/>
        <w:rPr>
          <w:rFonts w:hint="eastAsia" w:ascii="仿宋_GB2312" w:hAnsi="仿宋_GB2312" w:eastAsia="仿宋_GB2312" w:cs="仿宋_GB2312"/>
          <w:color w:val="auto"/>
          <w:kern w:val="0"/>
          <w:sz w:val="24"/>
          <w:szCs w:val="24"/>
          <w:highlight w:val="none"/>
        </w:rPr>
      </w:pPr>
      <w:bookmarkStart w:id="684" w:name="_Hlk146574386"/>
      <w:r>
        <w:rPr>
          <w:rFonts w:hint="eastAsia" w:ascii="仿宋_GB2312" w:hAnsi="仿宋_GB2312" w:eastAsia="仿宋_GB2312" w:cs="仿宋_GB2312"/>
          <w:color w:val="auto"/>
          <w:kern w:val="0"/>
          <w:sz w:val="24"/>
          <w:szCs w:val="24"/>
          <w:highlight w:val="none"/>
        </w:rPr>
        <w:t>4）</w:t>
      </w:r>
      <w:bookmarkEnd w:id="684"/>
      <w:r>
        <w:rPr>
          <w:rFonts w:hint="eastAsia" w:ascii="仿宋_GB2312" w:hAnsi="仿宋_GB2312" w:eastAsia="仿宋_GB2312" w:cs="仿宋_GB2312"/>
          <w:color w:val="auto"/>
          <w:kern w:val="0"/>
          <w:sz w:val="24"/>
          <w:szCs w:val="24"/>
          <w:highlight w:val="none"/>
        </w:rPr>
        <w:t>除按照第56条约定的变更外，在竣工结算时总价子目的工程量不应当重新计量，签约合同价所基于的工程量即是用于竣工结算的最终工程量。</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82" w:edGrp="everyone"/>
      <w:r>
        <w:rPr>
          <w:rFonts w:hint="eastAsia" w:ascii="仿宋_GB2312" w:hAnsi="仿宋_GB2312" w:eastAsia="仿宋_GB2312" w:cs="仿宋_GB2312"/>
          <w:color w:val="auto"/>
          <w:kern w:val="0"/>
          <w:sz w:val="24"/>
          <w:szCs w:val="24"/>
          <w:highlight w:val="none"/>
        </w:rPr>
        <w:sym w:font="Wingdings 2" w:char="0052"/>
      </w:r>
      <w:permEnd w:id="282"/>
      <w:r>
        <w:rPr>
          <w:rFonts w:hint="eastAsia" w:ascii="仿宋_GB2312" w:hAnsi="仿宋_GB2312" w:eastAsia="仿宋_GB2312" w:cs="仿宋_GB2312"/>
          <w:color w:val="auto"/>
          <w:kern w:val="0"/>
          <w:sz w:val="24"/>
          <w:szCs w:val="24"/>
          <w:highlight w:val="none"/>
        </w:rPr>
        <w:t>总价子目的计量——按实际完成工程量计量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总价子目的价格调整方法：中标的投标报价除发包人同意的设计变更和招标文件、招标答疑会议纪要中允许的调整范围外，其余不因市场价格变化、工程造价管理部门公布的价格调整、人员工资福利调整而调整（建设行政主管部门文件下达必须调整的除外）。</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总价子目的计量和支付应以总价为基础，对承包人实际完成的工程量进行计量，是进行工程目标管理和控制进度款支付的依据。</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在第62.2（2）项约定的每月计量截止日期后，对已完成的分部分项工程的子目（包括在工程量清单中给出具体工程量的措施项目的相关子目），按照第62.2（1）项约定的计量方法进行计量，对已完成的工程量清单中没有给出具体工程量的措施项目的相关子目，按其总价构成、费用性质和实际发生比例进行计量，向监理工程师提交进度付款申请单、已完成工程量报表和有关计量资料。</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监理工程师对承包人提交的工程量报表进行复核，以确定实际完成的工程量。对数量有异议的，可要求承包人进行共同复核。承包人应协助监理人进行复核并按监理工程师要求提供补充计量资料。承包人未按监理工程师要求参加复核，监理工程师复核或修正的工程量视为承包人实际完成的工程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4）监理工程师应在收到承包人提交的工程量报表后的7天内进行复核，未取得监理工程师确认的承包人已完成工程量，不能作为工程价款计价依据。</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（5）工程量清单计价相关要求</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按系数计算的绿色施工安全防护措施以外的施工围档，结算时，需提供相关签证、具有日期的有效相片和发包人确认的当日记录。在红线范围内施工的，施工围挡按清单计价和按签证工程量及相应规格的当期水马单价计价两者相比，取低值。</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2）支护（包括但不限于挡土板、钢板桩、拉森钢板桩等）、各类临时机械，依据工程量清单计价，列入措施项目费中。</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3）若发包人提供水电，结算时扣除相应水电费，提供已安装用电用水计量并单独计费或承包人自行供电供水相关证明除外。</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4）本项目结算造价 = 根据协议书第六条及</w:t>
      </w:r>
      <w:permStart w:id="283" w:edGrp="everyone"/>
      <w:r>
        <w:rPr>
          <w:rFonts w:hint="eastAsia" w:ascii="仿宋_GB2312" w:hAnsi="仿宋_GB2312" w:eastAsia="仿宋_GB2312" w:cs="仿宋_GB2312"/>
          <w:color w:val="auto"/>
          <w:kern w:val="0"/>
          <w:sz w:val="24"/>
          <w:szCs w:val="24"/>
          <w:highlight w:val="none"/>
        </w:rPr>
        <w:t>☒招标图纸（招标图招标适用）/</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施工图纸</w:t>
      </w:r>
      <w:permEnd w:id="283"/>
      <w:r>
        <w:rPr>
          <w:rFonts w:hint="eastAsia" w:ascii="仿宋_GB2312" w:hAnsi="仿宋_GB2312" w:eastAsia="仿宋_GB2312" w:cs="仿宋_GB2312"/>
          <w:color w:val="auto"/>
          <w:kern w:val="0"/>
          <w:sz w:val="24"/>
          <w:szCs w:val="24"/>
          <w:highlight w:val="none"/>
        </w:rPr>
        <w:t>计价的工程造价+变更项目的工程造价+现场签证工程造价-原招标未完项目的工程造价-扣罚款项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w:t>
      </w:r>
      <w:permStart w:id="284" w:edGrp="everyone"/>
      <w:r>
        <w:rPr>
          <w:rFonts w:hint="eastAsia" w:ascii="仿宋_GB2312" w:hAnsi="仿宋_GB2312" w:eastAsia="仿宋_GB2312" w:cs="仿宋_GB2312"/>
          <w:color w:val="auto"/>
          <w:kern w:val="0"/>
          <w:sz w:val="24"/>
          <w:szCs w:val="24"/>
          <w:highlight w:val="none"/>
        </w:rPr>
        <w:sym w:font="Wingdings" w:char="00FE"/>
      </w:r>
      <w:permEnd w:id="284"/>
      <w:r>
        <w:rPr>
          <w:rFonts w:hint="eastAsia" w:ascii="仿宋_GB2312" w:hAnsi="仿宋_GB2312" w:eastAsia="仿宋_GB2312" w:cs="仿宋_GB2312"/>
          <w:color w:val="auto"/>
          <w:kern w:val="0"/>
          <w:sz w:val="24"/>
          <w:szCs w:val="24"/>
          <w:highlight w:val="none"/>
        </w:rPr>
        <w:t>土方开挖、回填、支护（包括但不限于挡土板、钢板桩、拉森钢板桩等）等隐蔽工程，需在首次提交结算资料时提供按分段完工里程相关现场工程量确认表及对应计量照片（带花尺）。每个分段完工里程的相片数量不少于8张，照片中小白板需写明项目名称、时间、地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ermStart w:id="285" w:edGrp="everyone"/>
      <w:r>
        <w:rPr>
          <w:rFonts w:hint="eastAsia" w:ascii="仿宋_GB2312" w:hAnsi="仿宋_GB2312" w:eastAsia="仿宋_GB2312" w:cs="仿宋_GB2312"/>
          <w:color w:val="auto"/>
          <w:kern w:val="0"/>
          <w:sz w:val="24"/>
          <w:szCs w:val="24"/>
          <w:highlight w:val="none"/>
        </w:rPr>
        <w:sym w:font="Wingdings" w:char="00FE"/>
      </w:r>
      <w:permEnd w:id="285"/>
      <w:r>
        <w:rPr>
          <w:rFonts w:hint="eastAsia" w:ascii="仿宋_GB2312" w:hAnsi="仿宋_GB2312" w:eastAsia="仿宋_GB2312" w:cs="仿宋_GB2312"/>
          <w:color w:val="auto"/>
          <w:kern w:val="0"/>
          <w:sz w:val="24"/>
          <w:szCs w:val="24"/>
          <w:highlight w:val="none"/>
        </w:rPr>
        <w:t>拆除部分，需提供经业主认可的工程量确认表方可结算。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7）交通疏导员，须在首次提交结算资料时提供对应人员每班的上岗照片，相片要求有明确的时间、地点、项目名称，工程编号，按实际签证计取工程量。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8）消毒冲洗部分，需在首次提交结算资料时提供现场图片，相片要求有明确的时间、地点、项目名称，工程编号、每个消毒冲洗位置材料的安装、拆除，按实际签证计取工程量。</w:t>
      </w:r>
    </w:p>
    <w:p>
      <w:pPr>
        <w:widowControl w:val="0"/>
        <w:adjustRightInd w:val="0"/>
        <w:spacing w:line="360" w:lineRule="auto"/>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9）相片未按要求提供的，项目收审后不得任意重新提交，相关工程量不予计价。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按照经审批的施工组织方案进行施工，且因施工条件不允许，只能夜间施工的项目（不含非夜间施工项目）：大型机械进退场及停滞须在首次提交结算资料时提供签证记录作为结算依据。签证记录要求包括照片，照片应当清晰展示每台大型机械的进场日期、型号、数量等关键信息，其中：大型机械进退场按经核算的机具实际台班发生量扣减1个台班后记取。在施工现场附近停滞的大型机械，停滞期间仅计算停滞费用，不重复计算进退场费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基坑二次开挖须在首次提交结算资料时提供签证记录作为结算依据。签证记录包括照片，照片要求包括但不限于以下信息：开挖的区域、深度、回填厚度、回填材料等。如因客观条件中断施工离场，可提供相关依据，包括但不限于图片、洽商记录等，工程量依据相关依据另行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12）经审批的现场签证应纳入结算资料一次性提交，结算过程内后不得调整补充、替换。</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13）发包人需要承包人到指定地点运输材料时发生的运输费用，签证台班原则上按0.5台班/次签认，且需列明日期。</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14）经三方确认的专项土方平衡施工组织方案、进退场测绘成果及其现场工程量确认表，外运土方超过工程量清单内运距或超出20公里须提供GIS定位辅助图、办理对应现场签证。现场发包人代表及监理人应做好车辆出入原始记录以备核查。场地内的土方调配由承包人按照工序开展，不再签认场地内的土方二次运输。</w:t>
      </w:r>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★63. 暂列金额</w:t>
      </w:r>
      <w:bookmarkEnd w:id="679"/>
      <w:bookmarkEnd w:id="680"/>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63.1 合同工程的暂列金额为</w:t>
      </w:r>
      <w:permStart w:id="286" w:edGrp="everyone"/>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86"/>
      <w:r>
        <w:rPr>
          <w:rFonts w:hint="eastAsia" w:ascii="仿宋_GB2312" w:hAnsi="仿宋_GB2312" w:eastAsia="仿宋_GB2312" w:cs="仿宋_GB2312"/>
          <w:color w:val="auto"/>
          <w:kern w:val="0"/>
          <w:sz w:val="24"/>
          <w:szCs w:val="24"/>
          <w:highlight w:val="none"/>
        </w:rPr>
        <w:t>元。</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63.4 暂列金额计算原则：在不超出经批复的总投资估算的前提下，暂列金额按照不高于分部分项工程直接工程费</w:t>
      </w:r>
      <w:permStart w:id="287"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10</w:t>
      </w:r>
      <w:r>
        <w:rPr>
          <w:rFonts w:hint="eastAsia" w:ascii="仿宋_GB2312" w:hAnsi="仿宋_GB2312" w:eastAsia="仿宋_GB2312" w:cs="仿宋_GB2312"/>
          <w:color w:val="auto"/>
          <w:kern w:val="0"/>
          <w:sz w:val="24"/>
          <w:szCs w:val="24"/>
          <w:highlight w:val="none"/>
          <w:u w:val="single"/>
        </w:rPr>
        <w:t xml:space="preserve">%  </w:t>
      </w:r>
      <w:permEnd w:id="287"/>
      <w:r>
        <w:rPr>
          <w:rFonts w:hint="eastAsia" w:ascii="仿宋_GB2312" w:hAnsi="仿宋_GB2312" w:eastAsia="仿宋_GB2312" w:cs="仿宋_GB2312"/>
          <w:color w:val="auto"/>
          <w:kern w:val="0"/>
          <w:sz w:val="24"/>
          <w:szCs w:val="24"/>
          <w:highlight w:val="none"/>
        </w:rPr>
        <w:t>并按财政部门或发包人委托的第三方造价机构最终审核结果为准。暂列金额不作为结算的依据，其使用应当经过发包人的批准。除发包人批准使用的部分外，其余部分结算时扣除。</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63.5 暂列金额的管理使用：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（1）项目实施过程中要严格按合同、招标文件以及设计变更管理办法等相关规定使用暂列金额，不得超出第63.1款规定的范围使用。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暂列金额的使用应遵循先暂列金额、后预备费的原则，当发生的费用超过暂列金额度需申请动用预备费的，应在申请的上报文本中把项目暂列金额使用情况加以详细说明并附上相关辅证资料。项目中预备费的使用仍执行现行规定，并遵循先批准后使用的原则。</w:t>
      </w:r>
      <w:bookmarkStart w:id="685" w:name="_Toc469384119"/>
      <w:bookmarkStart w:id="686" w:name="_Toc10624963"/>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★65. 暂估价</w:t>
      </w:r>
      <w:bookmarkEnd w:id="685"/>
      <w:bookmarkEnd w:id="686"/>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kern w:val="0"/>
          <w:sz w:val="24"/>
          <w:szCs w:val="24"/>
          <w:highlight w:val="none"/>
        </w:rPr>
        <w:t>65.1 招标暂估价项目</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必须招标暂估价项目合同双方当事人的权利、义务</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88" w:edGrp="everyone"/>
      <w:r>
        <w:rPr>
          <w:rFonts w:hint="eastAsia" w:ascii="仿宋_GB2312" w:hAnsi="仿宋_GB2312" w:eastAsia="仿宋_GB2312" w:cs="仿宋_GB2312"/>
          <w:color w:val="auto"/>
          <w:kern w:val="0"/>
          <w:sz w:val="24"/>
          <w:szCs w:val="24"/>
          <w:highlight w:val="none"/>
          <w:lang w:val="en-US" w:eastAsia="zh-CN"/>
        </w:rPr>
        <w:t>☒</w:t>
      </w:r>
      <w:permEnd w:id="288"/>
      <w:r>
        <w:rPr>
          <w:rFonts w:hint="eastAsia" w:ascii="仿宋_GB2312" w:hAnsi="仿宋_GB2312" w:eastAsia="仿宋_GB2312" w:cs="仿宋_GB2312"/>
          <w:color w:val="auto"/>
          <w:kern w:val="0"/>
          <w:sz w:val="24"/>
          <w:szCs w:val="24"/>
          <w:highlight w:val="none"/>
        </w:rPr>
        <w:t xml:space="preserve"> 材料、工程设备：</w:t>
      </w:r>
      <w:permStart w:id="289"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89"/>
      <w:r>
        <w:rPr>
          <w:rFonts w:hint="eastAsia" w:ascii="仿宋_GB2312" w:hAnsi="仿宋_GB2312" w:eastAsia="仿宋_GB2312" w:cs="仿宋_GB2312"/>
          <w:color w:val="auto"/>
          <w:kern w:val="0"/>
          <w:sz w:val="24"/>
          <w:szCs w:val="24"/>
          <w:highlight w:val="non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90" w:edGrp="everyone"/>
      <w:r>
        <w:rPr>
          <w:rFonts w:hint="eastAsia" w:ascii="仿宋_GB2312" w:hAnsi="仿宋_GB2312" w:eastAsia="仿宋_GB2312" w:cs="仿宋_GB2312"/>
          <w:color w:val="auto"/>
          <w:kern w:val="0"/>
          <w:sz w:val="24"/>
          <w:szCs w:val="24"/>
          <w:highlight w:val="none"/>
          <w:lang w:val="en-US" w:eastAsia="zh-CN"/>
        </w:rPr>
        <w:t>☒</w:t>
      </w:r>
      <w:permEnd w:id="290"/>
      <w:r>
        <w:rPr>
          <w:rFonts w:hint="eastAsia" w:ascii="仿宋_GB2312" w:hAnsi="仿宋_GB2312" w:eastAsia="仿宋_GB2312" w:cs="仿宋_GB2312"/>
          <w:color w:val="auto"/>
          <w:kern w:val="0"/>
          <w:sz w:val="24"/>
          <w:szCs w:val="24"/>
          <w:highlight w:val="none"/>
        </w:rPr>
        <w:t xml:space="preserve"> 专业工程：</w:t>
      </w:r>
      <w:permStart w:id="29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91"/>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按合同约定应当由发包人和承包人采用招标方式选择专项供应商或专业分包人的，应当由承包人作为招标人，依法组织招标工作并接受有管辖权的建设工程招标投标行政监督部门的监督。与组织招标工作有关的费用应当被认为已经包括在承包人的签约合同价（投标总报价）中：</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在任何招标工作启动前，承包人应当提前至少7天编制招标工作计划并通过监理工程师报请发包人审批，招标工作计划应当包括招标工作的时间安排、拟采用的招标方式、拟采用的资格审查方法、主要招标过程文件的编制内容、对投标人的资格条件要求、评标标准和方法、评标委员会组成、是否编制招标控制价和（或）标底以及招标控制价和（或）标底编制原则，发包人应当在监理工程师收到承包人报送的招标工作计划后5天内给予批准或者提出修改意见。承包人应当严格按照经过发包人批准的招标工作计划开展招标工作。</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（2）承包人应当在发出招标公告（或者资格预审公告或者投标邀请书）、资格预审文件和招标文件前至少 7天，分别将相关文件通过监理工程师报请发包人审批，发包人应当在监理工程师收到承包人报送的相关文件后天内给予批准或者提出修改意见，经发包人批准的相关文件，由承包人负责誊清整理并准备开展实际招标工作所需要的份数，通过监理工程师报发包人核查并加盖发包人印章，发包人在相关文件上加盖印章只表明相关文件经过发包人审核批准。最终发出的文件应当分别报送一份给发包人和监理工程师备查。</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如果发、承包任何一方委派评标代表，评标委员会应当由七人以上单数构成。除发包人或者承包人自愿放弃委派评标代表的权利外，招标人评标代表应当分别由发包人和承包人等额委派，其中发包人委派人数应多于承包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设有标底的，承包人应当在开标前提前48小时将标底报发包人审核认可，发包人应当在收到承包人报送的标底后24小时内给予批准或者提出修改意见。承包人和发包人应当共同制定标底保密措施，不得提前泄露标底。标底的最终审核和决定权属于发包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设有招标控制价的，承包人应当在招标文件发出前提前7天将招标控制价报发包人审核认可，发包人应当在收到承包人报送的招标控制价后72小时内给予认可或者提出修改意见。招标控制价的最终审核和决定权属于发包人，未经发包人认可，承包人不得发出招标文件。</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承包人在收到相关招标项目评标委员会提交的评标报告后，应当在24小时内通过监理工程师转报发包人核查，发包人应当在监理工程师收到承包人报送的评标报告后48小时内核查完毕，评标报告经过发包人核查认可后，承包人才可以开始后续程序，依法确定中标人并发出中标通知书。</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（7）承包人与专业分包人或者专项供应商订立合同前7天，应当将准备用于正式签订的合同文件通过监理工程师报发包人审核，发包人应当在监理工程师收到相关文件后 7天内给予批准或者提出修改意见，承包人应当按照发包人批准的合同文件签订相关合同，合同订立后 7天内，承包人应当将其中的两份副本报送监理工程师，其中一份由监理工程师报发包人留存。</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（8）发包人对承包人报送文件进行审批或提出的修改意见应当合理，并符合现行有关法律法规的规定。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承包人违背本项上述约定的程序或者未履行本项上述约定的报批手续的，发包人有权拒绝对相关专业工程或者涉及相关专项供应的材料和工程设备的工程进行验收和拨付相应工程款项，所造成的费用增加和（或）工期延误由承包人承担。发包人未按本项上述约定履行审批手续的，所造成的费用增加和（或）工期延误由发包人承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65.2发包人在工程量清单中给定暂估价的材料、工程设备不属于依法必须招标的范围或者未达到依法必须招标的规模标准的，经发包人确认的技术方案、设备、材料的规格、参数及要求，优先套用专业定额，使用工程量清单计价，清单综合单价综合下浮=1-投标下浮率。定额不适用的，由承包人进行不少于三家市场询比确认价格。紧急特殊委托的，由业主按相关规定流程办理。</w:t>
      </w:r>
    </w:p>
    <w:p>
      <w:pPr>
        <w:spacing w:line="420" w:lineRule="exact"/>
        <w:ind w:firstLine="480" w:firstLineChars="200"/>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属于工程量清单中给定暂估价的材料和设备不属于依法必须招标的范围或者未达到依法必须招标的规模标准的，由承包人进行不少于三家市场询比价格，报发包人审批确认单价，按经发包人审批的材料、设备单价对投标清单综合单价对应的暂估材料、设备价格进行调整换算。结算时，需提供经审批确认单价的设备、材料有效发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如实施总金额高于签约合同价中的暂估价总额，需经发包人批准方可实施。结算时需提供询比材料，发包人有权对该价格进行审核和修正。</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暂估价为服务类别的（包括但不限于建筑垃圾消纳费），其价格具体审核工作应按照市场询价、收费标准（如有的，按收费标准下浮20%处理）、同类项目历史价格、对标价格等维度进行综合评估确定。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65.3 非招标专业工程款的确定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按通用条款规定，由造价工程师与分包人确定。</w:t>
      </w:r>
    </w:p>
    <w:p>
      <w:pPr>
        <w:spacing w:line="420" w:lineRule="exac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bookmarkStart w:id="687" w:name="_Toc469384120"/>
      <w:bookmarkStart w:id="688" w:name="_Toc10624964"/>
    </w:p>
    <w:p>
      <w:pPr>
        <w:spacing w:line="420" w:lineRule="exact"/>
        <w:rPr>
          <w:rFonts w:hint="eastAsia" w:ascii="仿宋_GB2312" w:hAnsi="仿宋_GB2312" w:eastAsia="仿宋_GB2312" w:cs="仿宋_GB2312"/>
          <w:color w:val="auto"/>
          <w:kern w:val="0"/>
          <w:sz w:val="24"/>
          <w:szCs w:val="24"/>
          <w:highlight w:val="none"/>
          <w:u w:val="singl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★66. 提前竣工奖与误期赔偿费</w:t>
      </w:r>
      <w:bookmarkEnd w:id="687"/>
      <w:bookmarkEnd w:id="688"/>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66.1 提前竣工奖</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 提前竣工奖额度</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没约定提前竣工奖的，本款不适用。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约定提前竣工奖的，每日历天应奖额度为 </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元。</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约定提前竣工奖的，为 </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元。</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 提前竣工奖的最高限额</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按通用条款规定为合同价款的5%，即</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元。</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66.2 误期赔偿费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 每日历天应赔偿额度为</w:t>
      </w:r>
      <w:permStart w:id="292"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92"/>
      <w:r>
        <w:rPr>
          <w:rFonts w:hint="eastAsia" w:ascii="仿宋_GB2312" w:hAnsi="仿宋_GB2312" w:eastAsia="仿宋_GB2312" w:cs="仿宋_GB2312"/>
          <w:color w:val="auto"/>
          <w:kern w:val="0"/>
          <w:sz w:val="24"/>
          <w:szCs w:val="24"/>
          <w:highlight w:val="none"/>
        </w:rPr>
        <w:t>元。</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 误期赔偿费的最高限额</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按通用条款规定为合同价款的5%，即</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元。</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按专用条款第90条相关约定执行。     </w:t>
      </w:r>
      <w:bookmarkStart w:id="689" w:name="_Toc469384121"/>
      <w:bookmarkStart w:id="690" w:name="_Toc10624965"/>
    </w:p>
    <w:p>
      <w:pPr>
        <w:spacing w:line="420" w:lineRule="exact"/>
        <w:rPr>
          <w:rFonts w:hint="eastAsia" w:ascii="仿宋_GB2312" w:hAnsi="仿宋_GB2312" w:eastAsia="仿宋_GB2312" w:cs="仿宋_GB2312"/>
          <w:color w:val="auto"/>
          <w:kern w:val="0"/>
          <w:sz w:val="24"/>
          <w:szCs w:val="24"/>
          <w:highlight w:val="none"/>
          <w:u w:val="singl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★67. 工程优质费、工程建设标准费用</w:t>
      </w:r>
      <w:bookmarkEnd w:id="689"/>
      <w:bookmarkEnd w:id="690"/>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67.1 工程优质费的计算方法</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permStart w:id="293" w:edGrp="everyone"/>
      <w:r>
        <w:rPr>
          <w:rFonts w:hint="eastAsia" w:ascii="仿宋_GB2312" w:hAnsi="仿宋_GB2312" w:eastAsia="仿宋_GB2312" w:cs="仿宋_GB2312"/>
          <w:color w:val="auto"/>
          <w:kern w:val="0"/>
          <w:sz w:val="24"/>
          <w:szCs w:val="24"/>
          <w:highlight w:val="none"/>
          <w:lang w:val="en-US" w:eastAsia="zh-CN"/>
        </w:rPr>
        <w:t>☒</w:t>
      </w:r>
      <w:permEnd w:id="293"/>
      <w:r>
        <w:rPr>
          <w:rFonts w:hint="eastAsia" w:ascii="仿宋_GB2312" w:hAnsi="仿宋_GB2312" w:eastAsia="仿宋_GB2312" w:cs="仿宋_GB2312"/>
          <w:color w:val="auto"/>
          <w:kern w:val="0"/>
          <w:sz w:val="24"/>
          <w:szCs w:val="24"/>
          <w:highlight w:val="none"/>
        </w:rPr>
        <w:t xml:space="preserve"> 约定工程优质费的，其计算方法：</w:t>
      </w:r>
      <w:permStart w:id="294"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94"/>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95" w:edGrp="everyone"/>
      <w:r>
        <w:rPr>
          <w:rFonts w:hint="eastAsia" w:ascii="仿宋_GB2312" w:hAnsi="仿宋_GB2312" w:eastAsia="仿宋_GB2312" w:cs="仿宋_GB2312"/>
          <w:color w:val="auto"/>
          <w:kern w:val="0"/>
          <w:sz w:val="24"/>
          <w:szCs w:val="24"/>
          <w:highlight w:val="none"/>
          <w:lang w:val="en-US" w:eastAsia="zh-CN"/>
        </w:rPr>
        <w:t>☒</w:t>
      </w:r>
      <w:permEnd w:id="295"/>
      <w:r>
        <w:rPr>
          <w:rFonts w:hint="eastAsia" w:ascii="仿宋_GB2312" w:hAnsi="仿宋_GB2312" w:eastAsia="仿宋_GB2312" w:cs="仿宋_GB2312"/>
          <w:color w:val="auto"/>
          <w:kern w:val="0"/>
          <w:sz w:val="24"/>
          <w:szCs w:val="24"/>
          <w:highlight w:val="none"/>
        </w:rPr>
        <w:t xml:space="preserve"> 按分部分项工程费为基础计算：</w:t>
      </w:r>
      <w:permStart w:id="296"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96"/>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kern w:val="0"/>
          <w:sz w:val="24"/>
          <w:szCs w:val="24"/>
          <w:highlight w:val="none"/>
        </w:rPr>
        <w:t>67.2 工程优质费的计算额度：</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97" w:edGrp="everyone"/>
      <w:r>
        <w:rPr>
          <w:rFonts w:hint="eastAsia" w:ascii="仿宋_GB2312" w:hAnsi="仿宋_GB2312" w:eastAsia="仿宋_GB2312" w:cs="仿宋_GB2312"/>
          <w:color w:val="auto"/>
          <w:kern w:val="0"/>
          <w:sz w:val="24"/>
          <w:szCs w:val="24"/>
          <w:highlight w:val="none"/>
          <w:lang w:val="en-US" w:eastAsia="zh-CN"/>
        </w:rPr>
        <w:t>☒</w:t>
      </w:r>
      <w:permEnd w:id="297"/>
      <w:r>
        <w:rPr>
          <w:rFonts w:hint="eastAsia" w:ascii="仿宋_GB2312" w:hAnsi="仿宋_GB2312" w:eastAsia="仿宋_GB2312" w:cs="仿宋_GB2312"/>
          <w:color w:val="auto"/>
          <w:kern w:val="0"/>
          <w:sz w:val="24"/>
          <w:szCs w:val="24"/>
          <w:highlight w:val="none"/>
        </w:rPr>
        <w:t xml:space="preserve"> 按通用条款规定计算。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98" w:edGrp="everyone"/>
      <w:r>
        <w:rPr>
          <w:rFonts w:hint="eastAsia" w:ascii="仿宋_GB2312" w:hAnsi="仿宋_GB2312" w:eastAsia="仿宋_GB2312" w:cs="仿宋_GB2312"/>
          <w:color w:val="auto"/>
          <w:kern w:val="0"/>
          <w:sz w:val="24"/>
          <w:szCs w:val="24"/>
          <w:highlight w:val="none"/>
          <w:lang w:val="en-US" w:eastAsia="zh-CN"/>
        </w:rPr>
        <w:t>☒</w:t>
      </w:r>
      <w:permEnd w:id="298"/>
      <w:r>
        <w:rPr>
          <w:rFonts w:hint="eastAsia" w:ascii="仿宋_GB2312" w:hAnsi="仿宋_GB2312" w:eastAsia="仿宋_GB2312" w:cs="仿宋_GB2312"/>
          <w:color w:val="auto"/>
          <w:kern w:val="0"/>
          <w:sz w:val="24"/>
          <w:szCs w:val="24"/>
          <w:highlight w:val="none"/>
        </w:rPr>
        <w:t xml:space="preserve"> 另作约定（工程优质费率参考广东省建设工程计价依据工程优质费、广州市住房和城乡建设局发布的工程优质费率；合同工程同时获得下列多个奖项的，只按最高奖项的额度计算。）：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国家级质量奖，工程优质费</w:t>
      </w:r>
      <w:permStart w:id="299"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99"/>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省级质量奖，工程优质费</w:t>
      </w:r>
      <w:permStart w:id="300"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00"/>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市级质量奖，工程优质费</w:t>
      </w:r>
      <w:permStart w:id="30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 xml:space="preserve"> </w:t>
      </w:r>
      <w:permEnd w:id="301"/>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其它</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，工程优质费</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 xml:space="preserve"> %。</w:t>
      </w:r>
    </w:p>
    <w:p>
      <w:pPr>
        <w:widowControl w:val="0"/>
        <w:numPr>
          <w:ilvl w:val="0"/>
          <w:numId w:val="0"/>
        </w:numPr>
        <w:tabs>
          <w:tab w:val="left" w:pos="420"/>
          <w:tab w:val="left" w:pos="576"/>
        </w:tabs>
        <w:spacing w:before="0" w:line="420" w:lineRule="exact"/>
        <w:ind w:left="576" w:hanging="576"/>
        <w:jc w:val="left"/>
        <w:outlineLvl w:val="1"/>
        <w:rPr>
          <w:rFonts w:hint="eastAsia" w:ascii="仿宋_GB2312" w:hAnsi="仿宋_GB2312" w:eastAsia="仿宋_GB2312" w:cs="仿宋_GB2312"/>
          <w:b/>
          <w:bCs/>
          <w:color w:val="auto"/>
          <w:kern w:val="0"/>
          <w:sz w:val="24"/>
          <w:szCs w:val="24"/>
          <w:highlight w:val="none"/>
          <w:lang w:val="en-US" w:eastAsia="zh-CN" w:bidi="ar-SA"/>
        </w:rPr>
      </w:pPr>
      <w:bookmarkStart w:id="691" w:name="_Toc469384122"/>
      <w:bookmarkStart w:id="692" w:name="_Toc10624966"/>
    </w:p>
    <w:p>
      <w:pPr>
        <w:widowControl w:val="0"/>
        <w:numPr>
          <w:ilvl w:val="0"/>
          <w:numId w:val="0"/>
        </w:numPr>
        <w:tabs>
          <w:tab w:val="left" w:pos="420"/>
          <w:tab w:val="left" w:pos="576"/>
        </w:tabs>
        <w:spacing w:before="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r>
        <w:rPr>
          <w:rFonts w:hint="eastAsia" w:ascii="黑体" w:hAnsi="黑体" w:eastAsia="黑体" w:cs="黑体"/>
          <w:b w:val="0"/>
          <w:bCs w:val="0"/>
          <w:color w:val="auto"/>
          <w:kern w:val="0"/>
          <w:sz w:val="24"/>
          <w:szCs w:val="24"/>
          <w:highlight w:val="none"/>
          <w:lang w:val="en-US" w:eastAsia="zh-CN" w:bidi="ar-SA"/>
        </w:rPr>
        <w:t>★68. 合同价款的约定与调整</w:t>
      </w:r>
      <w:bookmarkEnd w:id="691"/>
      <w:bookmarkEnd w:id="692"/>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68.2合同价款的方式</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总价合同。</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本合同项目的工程承包价是由承包人按招标文件图纸的承包内容、承包范围和工程量以及招标文件的而规定，采用</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计价方法，根据承包人自身的条件和能力，结合工程现场实际情况，考虑风险后编制的，除发包人对原设计要求或同意变更外，承包人必须按本承包价进行按图包工、包料、包质量、包安全、包工期、包文明施工、包</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等总价包干。</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合同总价中包括的风险范围：</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风险费用的计算方法：</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风险范围以外合同价款调整方法：</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本合同项目的承包范围、承包内容为总价包干，当原承包范围、承包内容出现经发包人批准的设计变更（包括超出本合同的承包范围、承包内容的设计变更项目）以及</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时，变更项目的工程造价采用</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计价方法进行计价，并按照国家、省、市有关规范、规定以及计价办法、工程量计算规则执行，工程量按</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计价方法计算，其中的人工、材料、机械台班价格按实际施工期间建设行政主管部门发布的</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规定执行，建设行政主管部门没有发布的某些内容、品种由发包人和承包人约定按</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计算；或由发包人和承包人约定人工、材料、机械台班价格根据建设标准要求按</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计算。变更项目采用清单计价，造价的确定依据广东省计价依据、广东省相关定额、广州市补充定额，若个别项目没有定额可套用，由发包人和承包人根据实际情况签订补充合同或协议作出约定；若项目实施期间定额更新，建设行政主管部门对新旧定额的使用办法有规定的从其规定，没有规定或规定不明确的，由发包人和承包人根据实际情况签订补充合同或协议作出约定。</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措施项目费、其他项目费的调整：</w:t>
      </w: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按通用条款规定的调整事件内容调整；</w:t>
      </w: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按广东省定额规定计算；</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由发包人和承包人根据实际情况约定按</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调整。</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其它调整内容：</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本合同项目的结算造价确定方式：</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w:char="00FE"/>
      </w:r>
      <w:r>
        <w:rPr>
          <w:rFonts w:hint="eastAsia" w:ascii="仿宋_GB2312" w:hAnsi="仿宋_GB2312" w:eastAsia="仿宋_GB2312" w:cs="仿宋_GB2312"/>
          <w:color w:val="auto"/>
          <w:kern w:val="0"/>
          <w:sz w:val="24"/>
          <w:szCs w:val="24"/>
          <w:highlight w:val="none"/>
        </w:rPr>
        <w:t>单价合同</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本合同项目的工程承包价是由承包人以招标文件以及招标文件的图纸为依据，采用工程量清单计价方法，根据国家标准</w:t>
      </w:r>
      <w:r>
        <w:rPr>
          <w:rFonts w:hint="eastAsia" w:ascii="仿宋_GB2312" w:hAnsi="仿宋_GB2312" w:eastAsia="仿宋_GB2312" w:cs="仿宋_GB2312"/>
          <w:color w:val="auto"/>
          <w:sz w:val="24"/>
          <w:szCs w:val="24"/>
          <w:highlight w:val="none"/>
        </w:rPr>
        <w:t>《建设工程工程量清单计价规范》（GB50500—2013）</w:t>
      </w:r>
      <w:r>
        <w:rPr>
          <w:rFonts w:hint="eastAsia" w:ascii="仿宋_GB2312" w:hAnsi="仿宋_GB2312" w:eastAsia="仿宋_GB2312" w:cs="仿宋_GB2312"/>
          <w:color w:val="auto"/>
          <w:kern w:val="0"/>
          <w:sz w:val="24"/>
          <w:szCs w:val="24"/>
          <w:highlight w:val="none"/>
        </w:rPr>
        <w:t>以及</w:t>
      </w:r>
      <w:r>
        <w:rPr>
          <w:rFonts w:hint="eastAsia" w:ascii="仿宋_GB2312" w:hAnsi="仿宋_GB2312" w:eastAsia="仿宋_GB2312" w:cs="仿宋_GB2312"/>
          <w:color w:val="auto"/>
          <w:sz w:val="24"/>
          <w:szCs w:val="24"/>
          <w:highlight w:val="none"/>
        </w:rPr>
        <w:t>《广东省建设工程计价依据（2018）》《广东省住房和城乡建设厅关于营业税改征增值税后调整广东省建设工程计划依据的通知》（粤建市函〔2016〕1113号）《广州市建设工程造价管理站关于营业税改征增值税后广州市建设工程计价有关问题的通知》（穗建造价〔2016〕31号）等</w:t>
      </w:r>
      <w:r>
        <w:rPr>
          <w:rFonts w:hint="eastAsia" w:ascii="仿宋_GB2312" w:hAnsi="仿宋_GB2312" w:eastAsia="仿宋_GB2312" w:cs="仿宋_GB2312"/>
          <w:color w:val="auto"/>
          <w:kern w:val="0"/>
          <w:sz w:val="24"/>
          <w:szCs w:val="24"/>
          <w:highlight w:val="none"/>
        </w:rPr>
        <w:t>计价办法，按照招标文件中工程量清单所开列的工作内容和估计工程量填报相应的综合单价后并累计合价，再加上措施项目费、其他项目费、规费和税金计算的合同价。结算时发包人依据中华人民共和国国家标准</w:t>
      </w:r>
      <w:r>
        <w:rPr>
          <w:rFonts w:hint="eastAsia" w:ascii="仿宋_GB2312" w:hAnsi="仿宋_GB2312" w:eastAsia="仿宋_GB2312" w:cs="仿宋_GB2312"/>
          <w:color w:val="auto"/>
          <w:sz w:val="24"/>
          <w:szCs w:val="24"/>
          <w:highlight w:val="none"/>
        </w:rPr>
        <w:t>《建设工程工程量清单计价规范》（GB50500—2013）</w:t>
      </w:r>
      <w:r>
        <w:rPr>
          <w:rFonts w:hint="eastAsia" w:ascii="仿宋_GB2312" w:hAnsi="仿宋_GB2312" w:eastAsia="仿宋_GB2312" w:cs="仿宋_GB2312"/>
          <w:color w:val="auto"/>
          <w:kern w:val="0"/>
          <w:sz w:val="24"/>
          <w:szCs w:val="24"/>
          <w:highlight w:val="none"/>
        </w:rPr>
        <w:t>和</w:t>
      </w:r>
      <w:r>
        <w:rPr>
          <w:rFonts w:hint="eastAsia" w:ascii="仿宋_GB2312" w:hAnsi="仿宋_GB2312" w:eastAsia="仿宋_GB2312" w:cs="仿宋_GB2312"/>
          <w:color w:val="auto"/>
          <w:sz w:val="24"/>
          <w:szCs w:val="24"/>
          <w:highlight w:val="none"/>
        </w:rPr>
        <w:t>《广东省建设工程计价依据（2018）》《广东省住房和城乡建设厅关于营业税改征增值税后调整广东省建设工程计划依据的通知》（粤建市函〔2016〕1113号）《广州市建设工程造价管理站关于营业税改征增值税后广州市建设工程计价有关问题的通知》（穗建造价〔2016〕31号）等</w:t>
      </w:r>
      <w:r>
        <w:rPr>
          <w:rFonts w:hint="eastAsia" w:ascii="仿宋_GB2312" w:hAnsi="仿宋_GB2312" w:eastAsia="仿宋_GB2312" w:cs="仿宋_GB2312"/>
          <w:color w:val="auto"/>
          <w:kern w:val="0"/>
          <w:sz w:val="24"/>
          <w:szCs w:val="24"/>
          <w:highlight w:val="none"/>
        </w:rPr>
        <w:t>计价办法、</w:t>
      </w:r>
      <w:r>
        <w:rPr>
          <w:rFonts w:hint="eastAsia" w:ascii="仿宋_GB2312" w:hAnsi="仿宋_GB2312" w:eastAsia="仿宋_GB2312" w:cs="仿宋_GB2312"/>
          <w:color w:val="auto"/>
          <w:sz w:val="24"/>
          <w:szCs w:val="24"/>
          <w:highlight w:val="none"/>
        </w:rPr>
        <w:t>工程量计算规则、</w:t>
      </w:r>
      <w:r>
        <w:rPr>
          <w:rFonts w:hint="eastAsia" w:ascii="仿宋_GB2312" w:hAnsi="仿宋_GB2312" w:eastAsia="仿宋_GB2312" w:cs="仿宋_GB2312"/>
          <w:color w:val="auto"/>
          <w:kern w:val="0"/>
          <w:sz w:val="24"/>
          <w:szCs w:val="24"/>
          <w:highlight w:val="none"/>
        </w:rPr>
        <w:t>图纸等规定计量确认的实际工程量乘以中标的综合单价，再加上措施项目费、其他项目费、规费、税金计算的结算造价。</w:t>
      </w:r>
    </w:p>
    <w:p>
      <w:pPr>
        <w:spacing w:line="420" w:lineRule="exact"/>
        <w:ind w:firstLine="480" w:firstLineChars="200"/>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kern w:val="0"/>
          <w:sz w:val="24"/>
          <w:szCs w:val="24"/>
          <w:highlight w:val="none"/>
        </w:rPr>
        <w:t>综合单价包含的风险范围：</w:t>
      </w:r>
      <w:r>
        <w:rPr>
          <w:rFonts w:hint="eastAsia" w:ascii="仿宋_GB2312" w:hAnsi="仿宋_GB2312" w:eastAsia="仿宋_GB2312" w:cs="仿宋_GB2312"/>
          <w:color w:val="auto"/>
          <w:kern w:val="0"/>
          <w:sz w:val="24"/>
          <w:szCs w:val="24"/>
          <w:highlight w:val="none"/>
          <w:u w:val="single"/>
        </w:rPr>
        <w:t>由于承包人使用机械设备、施工技术以及组织管理水平等自身原因造成施工费用增加的，应由承包人全部承担。</w:t>
      </w:r>
    </w:p>
    <w:p>
      <w:pPr>
        <w:spacing w:line="420" w:lineRule="exact"/>
        <w:ind w:firstLine="480" w:firstLineChars="200"/>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kern w:val="0"/>
          <w:sz w:val="24"/>
          <w:szCs w:val="24"/>
          <w:highlight w:val="none"/>
        </w:rPr>
        <w:t>风险费用的计算方法：</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风险范围以外合同价格的调整方法：</w:t>
      </w:r>
      <w:r>
        <w:rPr>
          <w:rFonts w:hint="eastAsia" w:ascii="仿宋_GB2312" w:hAnsi="仿宋_GB2312" w:eastAsia="仿宋_GB2312" w:cs="仿宋_GB2312"/>
          <w:color w:val="auto"/>
          <w:sz w:val="24"/>
          <w:szCs w:val="24"/>
          <w:highlight w:val="none"/>
          <w:u w:val="single"/>
        </w:rPr>
        <w:t xml:space="preserve">    /     </w:t>
      </w:r>
      <w:r>
        <w:rPr>
          <w:rFonts w:hint="eastAsia" w:ascii="仿宋_GB2312" w:hAnsi="仿宋_GB2312" w:eastAsia="仿宋_GB2312" w:cs="仿宋_GB2312"/>
          <w:color w:val="auto"/>
          <w:sz w:val="24"/>
          <w:szCs w:val="24"/>
          <w:highlight w:val="none"/>
        </w:rPr>
        <w:t>。</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在项目实施期间，招标文件工程量清单漏项的项目、设计变更的项目，经发包人审批确认后，按下列办法进行工程量及综合单价的计算：工程量依据国家标准</w:t>
      </w:r>
      <w:r>
        <w:rPr>
          <w:rFonts w:hint="eastAsia" w:ascii="仿宋_GB2312" w:hAnsi="仿宋_GB2312" w:eastAsia="仿宋_GB2312" w:cs="仿宋_GB2312"/>
          <w:color w:val="auto"/>
          <w:sz w:val="24"/>
          <w:szCs w:val="24"/>
          <w:highlight w:val="none"/>
        </w:rPr>
        <w:t>《建设工程工程量清单计价规范》（GB50500—2013）</w:t>
      </w:r>
      <w:r>
        <w:rPr>
          <w:rFonts w:hint="eastAsia" w:ascii="仿宋_GB2312" w:hAnsi="仿宋_GB2312" w:eastAsia="仿宋_GB2312" w:cs="仿宋_GB2312"/>
          <w:color w:val="auto"/>
          <w:kern w:val="0"/>
          <w:sz w:val="24"/>
          <w:szCs w:val="24"/>
          <w:highlight w:val="none"/>
        </w:rPr>
        <w:t>以及</w:t>
      </w:r>
      <w:r>
        <w:rPr>
          <w:rFonts w:hint="eastAsia" w:ascii="仿宋_GB2312" w:hAnsi="仿宋_GB2312" w:eastAsia="仿宋_GB2312" w:cs="仿宋_GB2312"/>
          <w:color w:val="auto"/>
          <w:sz w:val="24"/>
          <w:szCs w:val="24"/>
          <w:highlight w:val="none"/>
        </w:rPr>
        <w:t>《广东省建设工程计价依据（2018）》《广东省住房和城乡建设厅关于营业税改征增值税后调整广东省建设工程计划依据的通知》（粤建市函〔2016〕1113号）《广州市建设工程造价管理站关于营业税改征增值税后广州市建设工程计价有关问题的通知》（穗建造价〔2016〕31号）等</w:t>
      </w:r>
      <w:r>
        <w:rPr>
          <w:rFonts w:hint="eastAsia" w:ascii="仿宋_GB2312" w:hAnsi="仿宋_GB2312" w:eastAsia="仿宋_GB2312" w:cs="仿宋_GB2312"/>
          <w:color w:val="auto"/>
          <w:kern w:val="0"/>
          <w:sz w:val="24"/>
          <w:szCs w:val="24"/>
          <w:highlight w:val="none"/>
        </w:rPr>
        <w:t>计价办法、工程量计算规则、图纸等规定计量确认的实际工程量为准；综合单价计算方法为：</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（1）中标的工程量清单中已有相同项目的综合单价，则沿用该综合单价。</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中标的工程量清单中的项目与清单漏项的项目、设计变更的项目，两者只存在项目中材料费最高的材料的材质、型号、规格不同时，则新的综合单价只换算原清单项目综合单价中材料费最高的材料单价，其它不变。</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中标的工程量清单中没有相同项目的，则作为新增项目采用清单计价办法，依据广东省计价依据、广东省相关定额和广州市补充定额，以及所有定额对应的计价办法进行计价，工程量按《建设工程工程量清单计价规范》（GB50500—2013）《广东省建设工程计价依据（2018）》《广东省住房和城乡建设厅关于营业税改征增值税后调整广东省建设工程计划依据的通知》（粤建市函〔2016〕1113号）《广州市建设工程造价管理站关于营业税改征增值税后广州市建设工程计价有关问题的通知》（穗建造价〔2016〕31号）等计价方法计算，其中的人工、材料、机械台班价格按实际施工期间建设行政主管部门发布的 最新有关 规定执行，建设行政主管部门没有发布的某些内容、品种由发包人和承包人约定按  经发包人确认的设备、材料的规格、参数市场询价 计算；或由发包人和承包人约定人工、材料、机械台班价格根据建设标准要求按 经发包人审核确认的本工程有效发票的材料单价计算。若个别项目没有定额可套用，由发包人和承包人根据实际情况签订补充合同或协议作出约定；若项目实施期间定额更新，建设行政主管部门对新旧定额的使用办法有规定的从其规定，没有规定或规定不明确的，由发包人和承包人根据实际情况签订补充合同或协议作出约定。中标的投标报价相对于招标文件工程量清单有漏项或未填报综合单价项目，此项目的费用按照本合同专用合同条款71.2款约定执行。</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招标文件工程量清单中的项目在实际施工中没有做的项目，此项目的费用不予计价。</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措施项目费、其他项目费的调整：</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按通用条款规定的调整事件内容调整；</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按广东省定额规定计算；</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由发包人和承包人根据实际情况约定按本合同专用合同条款72.3款约定调整。</w:t>
      </w:r>
    </w:p>
    <w:p>
      <w:pPr>
        <w:widowControl w:val="0"/>
        <w:adjustRightInd w:val="0"/>
        <w:snapToGrid w:val="0"/>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其它调整内容：</w:t>
      </w:r>
      <w:r>
        <w:rPr>
          <w:rFonts w:hint="eastAsia" w:ascii="仿宋_GB2312" w:hAnsi="仿宋_GB2312" w:eastAsia="仿宋_GB2312" w:cs="仿宋_GB2312"/>
          <w:color w:val="auto"/>
          <w:kern w:val="2"/>
          <w:sz w:val="24"/>
          <w:szCs w:val="24"/>
          <w:highlight w:val="none"/>
          <w:lang w:val="en-US" w:eastAsia="zh-CN" w:bidi="ar-SA"/>
        </w:rPr>
        <w:t>新增单价，套用施工专业定额，使用工程量清单计价，清单综合单价综合下浮=1-投标下浮率，其中发包人依法供应以及甲控乙供的材料价格原则上不下浮。</w:t>
      </w:r>
      <w:r>
        <w:rPr>
          <w:rFonts w:hint="eastAsia" w:ascii="仿宋_GB2312" w:hAnsi="仿宋_GB2312" w:eastAsia="仿宋_GB2312" w:cs="仿宋_GB2312"/>
          <w:color w:val="auto"/>
          <w:kern w:val="0"/>
          <w:sz w:val="24"/>
          <w:szCs w:val="24"/>
          <w:highlight w:val="none"/>
          <w:lang w:val="en-US" w:eastAsia="zh-CN" w:bidi="ar-SA"/>
        </w:rPr>
        <w:t>本合同项目的结算造价确定方式：</w:t>
      </w:r>
      <w:r>
        <w:rPr>
          <w:rFonts w:hint="eastAsia" w:ascii="仿宋_GB2312" w:hAnsi="仿宋_GB2312" w:eastAsia="仿宋_GB2312" w:cs="仿宋_GB2312"/>
          <w:color w:val="auto"/>
          <w:kern w:val="0"/>
          <w:sz w:val="24"/>
          <w:szCs w:val="24"/>
          <w:highlight w:val="none"/>
          <w:u w:val="single"/>
          <w:lang w:val="en-US" w:eastAsia="zh-CN" w:bidi="ar-SA"/>
        </w:rPr>
        <w:t xml:space="preserve">        /          </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 xml:space="preserve"> 按实结算合同。</w:t>
      </w:r>
    </w:p>
    <w:p>
      <w:pPr>
        <w:widowControl w:val="0"/>
        <w:adjustRightInd w:val="0"/>
        <w:snapToGrid w:val="0"/>
        <w:spacing w:line="420" w:lineRule="exact"/>
        <w:ind w:left="178" w:leftChars="85" w:firstLine="477" w:firstLineChars="199"/>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本合同项目的工程承包价（暂定合同价）由承包人按发包人提供的图纸、勘察资料、工期、质量要求、保养期要求、</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等，结合施工现场实际情况制定的施工方案、施工组织设计，依据有关规范、规定，采用</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计价方法编制的预算价，经监理单位、建设管理单位、发包人、</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审核后，按审核价</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形成的承包价（暂定合同价）。</w:t>
      </w:r>
    </w:p>
    <w:p>
      <w:pPr>
        <w:widowControl w:val="0"/>
        <w:adjustRightInd w:val="0"/>
        <w:snapToGrid w:val="0"/>
        <w:spacing w:line="420" w:lineRule="exact"/>
        <w:ind w:left="178" w:leftChars="85" w:firstLine="477" w:firstLineChars="199"/>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本合同项目结算时，项目的结算造价采用</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计价方法进行计价。并按照国家、省、市有关规范、规定以及计价办法、工程量计算规则执行，工程量按</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计价方法计算，其中的人工、材料、机械台班价格按实际施工期间建设行政主管部门发布的</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规定执行，建设行政主管部门没有发布的某些内容、品种由发包人和承包人约定按</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计算；或由发包人和承包人约定人工、材料、机械台班价格根据建设标准要求按</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计算。如采用定额计价的，造价的确定依据广东省计价依据、广东省相关定额、广州市补充定额，若个别项目没有定额可套用，由发包人和承包人根据实际情况签订补充合同或协议作出约定；若项目实施期间定额更新，建设行政主管部门对新旧定额的使用办法有规定的从其规定，没有规定或规定不明确的，由发包人和承包人根据实际情况签订补充合同或协议作出约定。</w:t>
      </w:r>
    </w:p>
    <w:p>
      <w:pPr>
        <w:widowControl w:val="0"/>
        <w:adjustRightInd w:val="0"/>
        <w:snapToGrid w:val="0"/>
        <w:spacing w:line="420" w:lineRule="exact"/>
        <w:ind w:left="178" w:leftChars="85" w:firstLine="477" w:firstLineChars="199"/>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其它调整内：</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w:t>
      </w:r>
    </w:p>
    <w:p>
      <w:pPr>
        <w:widowControl w:val="0"/>
        <w:adjustRightInd w:val="0"/>
        <w:snapToGrid w:val="0"/>
        <w:spacing w:line="420" w:lineRule="exact"/>
        <w:ind w:left="178" w:leftChars="85" w:firstLine="477" w:firstLineChars="199"/>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本合同项目的结算造价确定方式：</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p>
    <w:p>
      <w:pPr>
        <w:spacing w:line="420" w:lineRule="exact"/>
        <w:ind w:firstLine="480" w:firstLineChars="200"/>
        <w:jc w:val="left"/>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sz w:val="24"/>
          <w:szCs w:val="24"/>
          <w:highlight w:val="none"/>
        </w:rPr>
        <w:t>其它价格形式</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eastAsia="zh-CN"/>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68.3 合同价款的调整事件</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按通用条款规定的调整事件。</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68.3（9）调整合同价款的其他事件： </w:t>
      </w:r>
      <w:permStart w:id="302" w:edGrp="everyone"/>
      <w:r>
        <w:rPr>
          <w:rFonts w:hint="eastAsia" w:ascii="仿宋_GB2312" w:hAnsi="仿宋_GB2312" w:eastAsia="仿宋_GB2312" w:cs="仿宋_GB2312"/>
          <w:color w:val="auto"/>
          <w:kern w:val="0"/>
          <w:sz w:val="24"/>
          <w:szCs w:val="24"/>
          <w:highlight w:val="none"/>
          <w:lang w:val="en-US" w:eastAsia="zh-CN"/>
        </w:rPr>
        <w:t>☒</w:t>
      </w:r>
      <w:permEnd w:id="302"/>
      <w:r>
        <w:rPr>
          <w:rFonts w:hint="eastAsia" w:ascii="仿宋_GB2312" w:hAnsi="仿宋_GB2312" w:eastAsia="仿宋_GB2312" w:cs="仿宋_GB2312"/>
          <w:color w:val="auto"/>
          <w:kern w:val="0"/>
          <w:sz w:val="24"/>
          <w:szCs w:val="24"/>
          <w:highlight w:val="none"/>
        </w:rPr>
        <w:t>（如发包人使用招标图招标的，勾选此项；使用施工图招标的，则不勾选）承包人中标后关于施工图差异量处置原则：</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工程开工后1个月内，应根据现场实际情况，完成招标图与施工图图纸的复核工作并提出设计变更意见，差额达到本合同应签订补充协议的约定，双方应签订补充协议。如超出限期未提出相关变更申请的，因招标图纸与经施工图图纸会审后的图纸之间差异增加工程费用的，不应计取。</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2）如设计方提供的会审后施工图预算差异（扣除发包人供应材料费用后的设计预算-中标价）低于承包人提供的</w:t>
      </w:r>
      <w:r>
        <w:rPr>
          <w:rFonts w:hint="eastAsia" w:ascii="仿宋_GB2312" w:hAnsi="仿宋_GB2312" w:eastAsia="仿宋_GB2312" w:cs="仿宋_GB2312"/>
          <w:color w:val="auto"/>
          <w:kern w:val="0"/>
          <w:sz w:val="24"/>
          <w:szCs w:val="24"/>
          <w:highlight w:val="none"/>
          <w:lang w:val="en-US" w:eastAsia="zh-CN"/>
        </w:rPr>
        <w:t>施工</w:t>
      </w:r>
      <w:r>
        <w:rPr>
          <w:rFonts w:hint="eastAsia" w:ascii="仿宋_GB2312" w:hAnsi="仿宋_GB2312" w:eastAsia="仿宋_GB2312" w:cs="仿宋_GB2312"/>
          <w:color w:val="auto"/>
          <w:kern w:val="0"/>
          <w:sz w:val="24"/>
          <w:szCs w:val="24"/>
          <w:highlight w:val="none"/>
        </w:rPr>
        <w:t>预算，发包人有权按低值作为签订补充协议及后续工程变更、进度款拨付的依据。</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3）因招标图纸与经施工图图纸会审后的图纸之间差异造成的工程费用差的编制，按第77.6款执行。 </w:t>
      </w:r>
      <w:bookmarkStart w:id="693" w:name="_Toc10624967"/>
      <w:bookmarkStart w:id="694" w:name="_Toc469384123"/>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★71.分部分项工程量清单缺项漏项事件</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71.2调整分部分项工程费的方法</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中标的投标报价相对于招标文件工程量清单有漏项或未填综合单价项目，此项目的费用视为已包括在中标的投标报价的其他单价和合价中，该漏项或未填综合单价项目费用结算时，经人计量的实际已完工工程量，与招标文件工程量清单工程量对比：</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（1）两者相等时，该项目费用不得补计；</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（2）前者比后者增加时，增加部份的费用采用上述清单计价办法进行计价，综合单价按下浮10%进行计算；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（3）前者比后者减少时，减少部份的费用采用上述清单计价办法进行扣减；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无论两者相等还是增、减，投标报价漏项或未填综合单价项目的原招标文件工程量清单工程量不得补计；增项清单项目不作为签订合同及结算等的依据。</w:t>
      </w:r>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72. 工程变更事件</w:t>
      </w:r>
      <w:bookmarkEnd w:id="693"/>
      <w:bookmarkEnd w:id="694"/>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72.2 调整分部分项工程费的方法</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(1)中标的工程量清单中已有相同项目的适用的综合单价，则沿用;</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中标的工程量清单中已有类似项目的，则按类似项目的综合单价对相应子目、消耗量、单价等进行调整换算，原管理费、利润水平不变（若招标文件的工程量清单列出多个同类项目，而中标的投标报价有不同的综合单价，则该类项目的单价换算取工料机水平最高即消耗量最少的、管理费和利润取费最低的综合单价进行分析换算）。换算时出现类似项目综合单价中没有的材料单价按《广州地区建设工程材料综合价格》计算，综合价格没有的材料单价但品牌符合《广州地区建设工程材料（设备）厂商价格信息》中的价格下浮20%，《广州地区建设工程材料（设备）厂商价格信息》没有的，依据经业主确认的设备、材料的规</w:t>
      </w:r>
    </w:p>
    <w:p>
      <w:pPr>
        <w:widowControl w:val="0"/>
        <w:adjustRightInd w:val="0"/>
        <w:snapToGrid w:val="0"/>
        <w:spacing w:line="420" w:lineRule="exact"/>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格、参数市场询价确认，或凭业主项目负责人审核确认的本工程有效发票的材料单价计算。</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中标的工程量清单中没有适用或类似的，则作为新增单价（是否为新增单价由发包人确定），采用清单计价办法进行计价并按《建设工程工程量清单计价规范》（GB50500—2013）、《广东省建设工程计价依据（2018）》《广东省住房和城乡建设厅关于营业税改征增值税后调整广东省建设工程计划依据的通知》（粤建市函〔2016〕1113号）《广州市建设工程造价管理站关于营业税改征增值税后广州市建设工程计价有关问题的通知》（穗建造价〔2016〕31号）折算为综合单价，清单综合单价套用本工程相关的专业定额，如：《广东省市政工程综合定额》(2018年)、《广东省安装工程综合定额》(2018年)、《广州市市政工程补充综合定额》(2019年)、《广东省房屋建筑与装饰工程综合定额》（2018年）、《广东省园林绿化工程综合定额》(2018年)，如需采用上述定额以外的专业定额应报发包人。定额采用招标基准期结束前生效的相关专业定额及对应的工程计价办法计算确定。项目的人工、材料、机械台班价格按实际施工期间建设行政主管部门的有关规定执行，其中材料设备品种不属于《综合价格》范围而采用《广州地区建设工程材料（设备）厂商价格信息》中的价格则要求在该价格基础下浮20%，《广州地区建设工程材料（设备）厂商价格信息》没有的，依据经业主确认的设备、材料的规格、参数市场询价确认，或凭业主项目负责人审核确认的本工程有效发票的材料单价计算。</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新增单价，套用施工专业定额，使用工程量清单计价，清单综合单价综合下浮=1-投标下浮率，其中发包人依法供应以及甲控乙供的材料价格原则上不下浮。</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72.3 调整措施项目费的方法</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（1）按系数计算的绿色施工安全防护费，按合同协议书约定执行，</w:t>
      </w:r>
      <w:permStart w:id="303" w:edGrp="everyone"/>
      <w:r>
        <w:rPr>
          <w:rFonts w:hint="eastAsia" w:ascii="仿宋_GB2312" w:hAnsi="仿宋_GB2312" w:eastAsia="仿宋_GB2312" w:cs="仿宋_GB2312"/>
          <w:color w:val="auto"/>
          <w:kern w:val="2"/>
          <w:sz w:val="24"/>
          <w:szCs w:val="24"/>
          <w:highlight w:val="none"/>
          <w:lang w:val="en-US" w:eastAsia="zh-CN" w:bidi="ar-SA"/>
        </w:rPr>
        <w:sym w:font="Wingdings 2" w:char="0052"/>
      </w:r>
      <w:permEnd w:id="303"/>
      <w:r>
        <w:rPr>
          <w:rFonts w:hint="eastAsia" w:ascii="仿宋_GB2312" w:hAnsi="仿宋_GB2312" w:eastAsia="仿宋_GB2312" w:cs="仿宋_GB2312"/>
          <w:color w:val="auto"/>
          <w:kern w:val="2"/>
          <w:sz w:val="24"/>
          <w:szCs w:val="24"/>
          <w:highlight w:val="none"/>
          <w:lang w:val="en-US" w:eastAsia="zh-CN" w:bidi="ar-SA"/>
        </w:rPr>
        <w:t>合价包干；</w:t>
      </w:r>
      <w:permStart w:id="304" w:edGrp="everyone"/>
      <w:r>
        <w:rPr>
          <w:rFonts w:hint="eastAsia" w:ascii="仿宋_GB2312" w:hAnsi="仿宋_GB2312" w:eastAsia="仿宋_GB2312" w:cs="仿宋_GB2312"/>
          <w:color w:val="auto"/>
          <w:kern w:val="2"/>
          <w:sz w:val="24"/>
          <w:szCs w:val="24"/>
          <w:highlight w:val="none"/>
          <w:lang w:val="en-US" w:eastAsia="zh-CN" w:bidi="ar-SA"/>
        </w:rPr>
        <w:t>☒</w:t>
      </w:r>
      <w:permEnd w:id="304"/>
      <w:r>
        <w:rPr>
          <w:rFonts w:hint="eastAsia" w:ascii="仿宋_GB2312" w:hAnsi="仿宋_GB2312" w:eastAsia="仿宋_GB2312" w:cs="仿宋_GB2312"/>
          <w:color w:val="auto"/>
          <w:kern w:val="2"/>
          <w:sz w:val="24"/>
          <w:szCs w:val="24"/>
          <w:highlight w:val="none"/>
          <w:lang w:val="en-US" w:eastAsia="zh-CN" w:bidi="ar-SA"/>
        </w:rPr>
        <w:t>（招标图招标勾选）按照实际发生变化的措施项目调整，不得浮动。</w:t>
      </w:r>
    </w:p>
    <w:p>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（2）凡可计算工程量的措施项目费，按照实际发生变化的措施项目的工程量乘以第72.2款规定的单价或合价调整。</w:t>
      </w:r>
    </w:p>
    <w:p>
      <w:pPr>
        <w:widowControl w:val="0"/>
        <w:spacing w:after="120"/>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72.4 调整承包人报价偏差的方法</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05" w:edGrp="everyone"/>
      <w:r>
        <w:rPr>
          <w:rFonts w:hint="eastAsia" w:ascii="仿宋_GB2312" w:hAnsi="仿宋_GB2312" w:eastAsia="仿宋_GB2312" w:cs="仿宋_GB2312"/>
          <w:color w:val="auto"/>
          <w:kern w:val="0"/>
          <w:sz w:val="24"/>
          <w:szCs w:val="24"/>
          <w:highlight w:val="none"/>
          <w:lang w:val="en-US" w:eastAsia="zh-CN"/>
        </w:rPr>
        <w:t>☒</w:t>
      </w:r>
      <w:permEnd w:id="305"/>
      <w:r>
        <w:rPr>
          <w:rFonts w:hint="eastAsia" w:ascii="仿宋_GB2312" w:hAnsi="仿宋_GB2312" w:eastAsia="仿宋_GB2312" w:cs="仿宋_GB2312"/>
          <w:color w:val="auto"/>
          <w:kern w:val="0"/>
          <w:sz w:val="24"/>
          <w:szCs w:val="24"/>
          <w:highlight w:val="none"/>
        </w:rPr>
        <w:t xml:space="preserve"> 按通用条款的规定调整。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按照下列方法调整：根据合同协议书第六点“结算方式”调整。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72.6 单项工程经批准增加合同规定以外的内容，或者单项工程合同变更追加工程款按相关规定执行。设计变更价款的确定须依据《广东省住房和城乡建设厅关于营业税改征增值税后调整广东省建设工程计划依据的通知》（粤建市函〔2016〕1113号）、《广州市建设工程造价管理站关于营业税改征增值税后广州市建设工程计价有关问题的通知》（穗建造价〔2016〕31号）、《2013建设工程工程量清单计价规范》（GB50500-2013）、《广东省建设工程计价依据（2018）》等文件进行计价。</w:t>
      </w:r>
      <w:bookmarkStart w:id="695" w:name="_Toc469384124"/>
      <w:bookmarkStart w:id="696" w:name="_Toc10624968"/>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73. 工程量偏差事件</w:t>
      </w:r>
      <w:bookmarkEnd w:id="695"/>
      <w:bookmarkEnd w:id="696"/>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73.2 调整分部分项工程费的方法</w:t>
      </w:r>
    </w:p>
    <w:p>
      <w:pPr>
        <w:spacing w:line="420" w:lineRule="exact"/>
        <w:ind w:firstLine="480" w:firstLineChars="200"/>
        <w:rPr>
          <w:rFonts w:hint="eastAsia" w:ascii="仿宋_GB2312" w:hAnsi="仿宋_GB2312" w:eastAsia="仿宋_GB2312" w:cs="仿宋_GB2312"/>
          <w:strike/>
          <w:color w:val="auto"/>
          <w:kern w:val="0"/>
          <w:sz w:val="24"/>
          <w:szCs w:val="24"/>
          <w:highlight w:val="none"/>
        </w:rPr>
      </w:pPr>
      <w:r>
        <w:rPr>
          <w:rFonts w:hint="eastAsia" w:ascii="仿宋_GB2312" w:hAnsi="仿宋_GB2312" w:eastAsia="仿宋_GB2312" w:cs="仿宋_GB2312"/>
          <w:color w:val="auto"/>
          <w:kern w:val="0"/>
          <w:sz w:val="24"/>
          <w:szCs w:val="24"/>
          <w:highlight w:val="none"/>
        </w:rPr>
        <w:t>调整结算分部分项工程费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按通用条款的规定调整。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按照下列方法调整：根据合同协议书第六点“结算方式”调整。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73.3 调整措施项目费的方法</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调整结算措施项目费：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按通用条款的规定调整。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按照下列方法调整：根据合同协议书第六点“结算方式”调整。</w:t>
      </w:r>
      <w:bookmarkStart w:id="697" w:name="_Toc469384125"/>
      <w:bookmarkStart w:id="698" w:name="_Toc10624969"/>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74. 费用索赔事件</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74.7（1）发生索赔事件后，监理工程师应及时书面通知承包人，详细说明发包人有权得到的索赔金额和（或）延长缺陷责任期的细节和依据。发包人提出索赔的期限和要求与第74.2款的约定相同，延长缺陷责任期的通知应在缺陷责任期届满前发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（2）监理工程师按第23.9款商定或确定发包人从承包人处得到赔付的金额和（或）缺陷责任期的延长期。承包人应付给发包人的金额可从拟支付给承包人的合同价款中扣除，或由承包人以其他方式支付给发包人。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74.9（1）在任何索赔和争议期间，不论索赔是否有据，均不能免除承包人按合同规定履行合同义务。承包人不得以此为借口，拒不履行或拖延合同的履行。否则发包人有权终止合同，并要求承包人赔偿由此导致的发包人的损失。</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（2）鉴于工程建设项目的特点，发包人可能会分期提供场地，承包人应据此调整施工进度计划。只有承包人提供足够的资料证明发包人拖延其关键工序的开始，这种拖延才被视为补偿事件，并获得发包人批准。</w:t>
      </w:r>
    </w:p>
    <w:p>
      <w:pPr>
        <w:spacing w:line="420" w:lineRule="exact"/>
        <w:rPr>
          <w:rFonts w:hint="eastAsia" w:ascii="仿宋_GB2312" w:hAnsi="仿宋_GB2312" w:eastAsia="仿宋_GB2312" w:cs="仿宋_GB2312"/>
          <w:b/>
          <w:bCs/>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75. 现场签证事件</w:t>
      </w:r>
      <w:bookmarkEnd w:id="697"/>
      <w:bookmarkEnd w:id="698"/>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75.2现场签证的提出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承包人根据工程现场实际情况提出办理现场签证时，应当依据发包人印发的建设项目现场签证有关管理办法的要求进行办理。</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75.3 现场签证报告的确认</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提交现场签证报告的时间：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按通用条款的规定的时间提交。</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75.4现场签证的要求</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（1）计日工中人工单价以施工期内签证记录各对应时点造价管理机构公布的综合价格中普工的劳务日工资价格中值*（1-投标下浮率）计算。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（2）若招标工程量清单中包含交通疏导员，则交通疏导员结算单价以中标价格计算。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75.8现场签证的估价原则</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有效的现场签证，综合单价计算方法为：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（1）中标的工程量清单中已有相同项目的适用的综合单价，则沿用。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中标的工程量清单中已有类似项目的，则按类似项目的综合单价对相应子目、消耗量、单价等进行调整换算，原管理费、利润水平不变（若招标文件的工程量清单列出多个同类项目，而中标的投标报价有不同的综合单价，则该类项目的单价换算取工料机水平最高即消耗量最少的、管理费和利润取费最低的综合单价进行分析换算）。换算时出现类似项目综合单价中没有的材料单价按《广州地区建设工程材料综合价格》计算，综合价格没有的材料单价但品牌符合《广州地区建设工程材料（设备）厂商价格信息》中的价格下浮20%，《广州地区建设工程材料（设备）厂商价格信息》没有的，依据经业主确认的设备、材料的规格、参数市场询价确认，或凭业主项目负责人审核确认的本工程有效发票的材料单价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中标的工程量清单中没有适用或类似的，则作为新增单价（是否为新增单价由发包人确定），采用清单计价办法进行计价并按照《2013建设工程工程量清单计价规范》（GB50500-2013）、《广东省建设工程计价依据（2018）》、《建设工程工程量清单计价规范》（GB50500—2013）《广东省住房和城乡建设厅关于营业税改征增值税后调整广东省建设工程计划依据的通知》（粤建市函〔2016〕1113号）《广州市建设工程造价管理站关于营业税改征增值税后广州市建设工程计价有关问题的通知》（穗建造价〔2016〕31号）折算为综合单价，清单综合单价套用本工程相关的专业定额，如：《广东省市政工程综合定额》(2018年)、《广东省安装工程综合定额》(2018年)、《广州市市政工程补充综合定额》(2019年)、《广东省房屋建筑与装饰工程综合定额》（2018年）、《广东省园林绿化工程综合定额》(2018年)，如需采用上述定额以外的专业定额应报发包人。定额采用招标基准期结束前生效的相关专业定额及对应的工程计价办法计算确定。项目的人工、材料、机械台班价格按实际施工期间建设行政主管部门的有关规定执行，其中材料设备品种不属于《综合价格》范围而采用《广州地区建设工程材料（设备）厂商价格信息》中的价格则要求在该价格基础下浮20%，《广州地区建设工程材料（设备）厂商价格信息》没有的材料，依据经业主确认的设备、材料的规格、参数市场询价确认，或凭发包人审核确认的本工程有效发票的材料单价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对于新增单价，套用施工专业定额，使用工程量清单计价，清单综合单价综合下浮=1-投标下浮率，其中经发包人依法供应以及甲控乙供的材料价格原则上不下浮。</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75.9 </w:t>
      </w:r>
      <w:bookmarkStart w:id="699" w:name="_Hlk164715087"/>
      <w:r>
        <w:rPr>
          <w:rFonts w:hint="eastAsia" w:ascii="仿宋_GB2312" w:hAnsi="仿宋_GB2312" w:eastAsia="仿宋_GB2312" w:cs="仿宋_GB2312"/>
          <w:color w:val="auto"/>
          <w:kern w:val="0"/>
          <w:sz w:val="24"/>
          <w:szCs w:val="24"/>
          <w:highlight w:val="none"/>
        </w:rPr>
        <w:t>按发包人或其上级主管部门发布的现场签证管理办法流程完成审批的签证及其材料方可视同为有效签证。承包人根据现场情况提出签证需求，填写工程洽商记录、施工现场签证记录等报监理工程师初审，监理工程师在收到上述资料后3天内提出初审意见报发包人，由发包人对现场签证资料进行符合性审查后组织承包人、监理人召开现场签证洽商会，并在会后5天内形成专题会议纪要，由承包人根据会议纪要要求提交工程洽商记录、签证记录后，由发包人完成现场签证审批，并发布签证令、通知承包人、监理人执行签证。</w:t>
      </w:r>
      <w:r>
        <w:rPr>
          <w:rFonts w:hint="eastAsia" w:ascii="仿宋_GB2312" w:hAnsi="仿宋_GB2312" w:eastAsia="仿宋_GB2312" w:cs="仿宋_GB2312"/>
          <w:color w:val="auto"/>
          <w:sz w:val="24"/>
          <w:szCs w:val="24"/>
          <w:highlight w:val="none"/>
        </w:rPr>
        <w:t>如承包人逾期未向监理工程师及发包人提出，或未经发包人同意答复的现场签证事件，或该项现场签证事件无专题会议纪要等相关过程资料，涉及承包人原因导致增加的费用原则上不纳入结算范围。</w:t>
      </w:r>
      <w:bookmarkEnd w:id="699"/>
      <w:bookmarkStart w:id="700" w:name="_Toc469384126"/>
      <w:bookmarkStart w:id="701" w:name="_Toc10624970"/>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★76. 物价涨落事件</w:t>
      </w:r>
      <w:bookmarkEnd w:id="700"/>
      <w:bookmarkEnd w:id="701"/>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市场价格波动是否调整合同价格的约定：</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因市场价格波动调整合同价格，采用以下第</w:t>
      </w:r>
      <w:r>
        <w:rPr>
          <w:rFonts w:hint="eastAsia" w:ascii="仿宋_GB2312" w:hAnsi="仿宋_GB2312" w:eastAsia="仿宋_GB2312" w:cs="仿宋_GB2312"/>
          <w:color w:val="auto"/>
          <w:sz w:val="24"/>
          <w:szCs w:val="24"/>
          <w:highlight w:val="none"/>
          <w:u w:val="single"/>
        </w:rPr>
        <w:t xml:space="preserve">  1  </w:t>
      </w:r>
      <w:r>
        <w:rPr>
          <w:rFonts w:hint="eastAsia" w:ascii="仿宋_GB2312" w:hAnsi="仿宋_GB2312" w:eastAsia="仿宋_GB2312" w:cs="仿宋_GB2312"/>
          <w:color w:val="auto"/>
          <w:kern w:val="0"/>
          <w:sz w:val="24"/>
          <w:szCs w:val="24"/>
          <w:highlight w:val="none"/>
        </w:rPr>
        <w:t>种方式对合同价格进行调整：</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第1种方式：采用造价信息进行价格调整。</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签订合同后一年未开工的，以开工后取得第一笔预付款时的施工属地建设工程造价管理部门发布的综合价格进行调差，调差范围及规则按以下约定执行：</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（1）施工开工一年（365 天）内，发生物价波动的，合同价格不因此而调整（价格管理部门下达专项指导文件的除外）；</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（2）施工开工一年（365 天）后，钢材（含钢筋）、预拌混凝土（含砂浆）、水泥、砂、碎石（含石屑）、混凝土制品（如混凝土砌块、预制管桩等）六大类大宗材料的价格波动幅度在±5%以上时，可调整当期完工清单工作量中对应材料的价格；其他材料、设备以及人工、机械台班等要素价格波动不得调整。六大类大宗材料价格调整办法如下：</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1）当施工属地建设工程造价管理部门发布的信息价的材料综合价格涨幅或跌幅超过招标基准期信息价的±5%时，可对超出±5%的部分进行价格调整，±5%以内（含±5%）的部分不予调整。</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2）当施工属地建设工程造价管理部门发布的信息价的材料综合价格涨幅或跌幅在招标基准期信息价的±5%（含±5%）时，则该价格涨跌视作合同双方应承担的风险，其单价不得调整。</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（3）承包人应在需要进行价格调整的 28 天内提交相关的价格调整预算，其单价调整情况和当期实际完工工作量应由监理工程师及发包人复核确定，并报送造价咨询单位审核后作为调整合同价格差额的依据。</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（4）上述价差列于其他项目费，不作为计算利润、管理费、措施项目费的基础。调差在竣工结算时计算，在施工进度款中不予考虑。</w:t>
      </w:r>
    </w:p>
    <w:p>
      <w:pPr>
        <w:spacing w:line="420" w:lineRule="exact"/>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kern w:val="0"/>
          <w:sz w:val="24"/>
          <w:szCs w:val="24"/>
          <w:highlight w:val="none"/>
        </w:rPr>
        <w:t xml:space="preserve">    第2种方式：其他价格调整方式：</w:t>
      </w:r>
      <w:r>
        <w:rPr>
          <w:rFonts w:hint="eastAsia" w:ascii="仿宋_GB2312" w:hAnsi="仿宋_GB2312" w:eastAsia="仿宋_GB2312" w:cs="仿宋_GB2312"/>
          <w:color w:val="auto"/>
          <w:sz w:val="24"/>
          <w:szCs w:val="24"/>
          <w:highlight w:val="none"/>
          <w:u w:val="single"/>
        </w:rPr>
        <w:t xml:space="preserve">   /。   </w:t>
      </w:r>
    </w:p>
    <w:p>
      <w:pPr>
        <w:numPr>
          <w:ilvl w:val="255"/>
          <w:numId w:val="0"/>
        </w:numPr>
        <w:spacing w:line="420" w:lineRule="exact"/>
        <w:jc w:val="left"/>
        <w:rPr>
          <w:rFonts w:hint="eastAsia" w:ascii="仿宋_GB2312" w:hAnsi="仿宋_GB2312" w:eastAsia="仿宋_GB2312" w:cs="仿宋_GB2312"/>
          <w:b/>
          <w:bCs/>
          <w:color w:val="auto"/>
          <w:kern w:val="0"/>
          <w:sz w:val="24"/>
          <w:szCs w:val="24"/>
          <w:highlight w:val="none"/>
        </w:rPr>
      </w:pPr>
    </w:p>
    <w:p>
      <w:pPr>
        <w:numPr>
          <w:ilvl w:val="0"/>
          <w:numId w:val="11"/>
        </w:numPr>
        <w:spacing w:line="420" w:lineRule="exact"/>
        <w:jc w:val="left"/>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合同价款调整程序</w:t>
      </w:r>
    </w:p>
    <w:p>
      <w:pPr>
        <w:spacing w:line="420" w:lineRule="exact"/>
        <w:ind w:firstLine="720" w:firstLineChars="3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77.4调增价款的支付</w:t>
      </w:r>
    </w:p>
    <w:p>
      <w:pPr>
        <w:spacing w:line="420" w:lineRule="exact"/>
        <w:ind w:firstLine="720" w:firstLineChars="3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经合同双方当事人确认调增的合同价款，作为追加合同价款，如追加的合同价款在原合同价款的10%以内时，则与工程进度款或结算款同期支付；如追加的合同价款超过原合同价款的10%时，应当另行签订补充合同后方可予以支付。</w:t>
      </w:r>
    </w:p>
    <w:p>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77.6因工程变更引起价格调整的处理方式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（1）在项目实施期间，招标文件工程量清单漏项的项目、原设计没有而实际发生设计变更的项目，经发包人审批确认后，按下列办法进行工程量及综合单价的计算：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招标文件工程量清单漏项的项目、原设计没有而实际发生变更的项目，其工程量以监理工程师依据中华人民共和国国家标准《建设工程工程量清单计价规范》（GB50500—2013）、计价办法、《广东省住房和城乡建设厅关于营业税改征增值税后调整广东省建设工程计划依据的通知》（粤建市函〔2016〕1113号）、《广州市建设工程造价管理站关于营业税改征增值税后广州市建设工程计价有关问题的通知》（穗建造价〔2016〕31号）、《广东省建设工程计价依据（2018）》、工程量计算规则、图纸等规定计量确认的实际工程量为准；其综合单价计算方法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1）中标的工程量清单中已有相同项目的适用的综合单价，则沿用。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中标的工程量清单中已有类似项目的，则按类似项目的综合单价对相应子目、消耗量、单价等进行调整换算，原管理费、利润水平不变（若招标文件的工程量清单列出多个同类项目，而中标的投标报价有不同的综合单价，则该类项目的单价换算取工料机水平最高即消耗量最少的、管理费和利润取费最低的综合单价进行分析换算）。换算时出现类似项目综合单价中没有的材料单价按《广州地区建设工程材料综合价格》计算，综合价格没有的材料单价但品牌符合《广州地区建设工程材料（设备）厂商价格信息》中的价格下浮20%，《广州地区建设工程材料（设备）厂商价格信息》没有的，依据经发包人确认的设备、材料的规格、参数市场询价确认，或凭发包人审核确认的本工程有效发票的材料单价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中标的工程量清单中没有适用或类似的，则作为新增单价（是否为新增单价由发包人确定），采用清单计价办法进行计价并按《建设工程工程量清单计价规范》（GB50500—2013）、《广东省建设工程计价依据（2018）》《广东省住房和城乡建设厅关于营业税改征增值税后调整广东省建设工程计划依据的通知》（粤建市函〔2016〕1113号）《广州市建设工程造价管理站关于营业税改征增值税后广州市建设工程计价有关问题的通知》（穗建造价〔2016〕31号）折算为综合单价，清单综合单价套用本工程相关的专业定额，如：《广东省市政工程综合定额》(2018年)、《广东省安装工程综合定额》(2018年)、《广州市市政工程补充综合定额》(2019年)、《广东省房屋建筑与装饰工程综合定额》（2018年）、《广东省园林绿化工程综合定额》(2018年)，如需采用上述定额以外的专业定额应报发包人。定额采用招标基准期结束前生效的相关专业定额及对应的工程计价办法计算确定。项目的人工、材料、机械台班价格按实际施工期间建设行政主管部门的有关规定执行，其中材料设备品种不属于《综合价格》范围而采用《广州地区建设工程材料（设备）厂商价格信息》中的价格则要求在该价格基础下浮20%，《广州地区建设工程材料（设备）厂商价格信息》没有的，依据经发包人确认的设备、材料的规格、参数市场询价确认，或凭发包人审核确认的本工程有效发票的材料单价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新增单价，套用施工专业定额，使用工程量清单计价，清单综合单价综合下浮=1-投标下浮率，其中发包人依法供应以及甲控乙供的材料价格原则上不下浮。</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中标的投标报价相对于招标文件工程量清单有漏项或未填综合单价项目，此项目的费用视为已包括在中标的投标报价的其他单价和合价中，该漏项或未填综合单价项目费用结算时，经人计量的实际已完工工程量，与招标文件工程量清单工程量对比：</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1）两者相等时，该项目费用不得补计；</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2）前者比后者增加时，增加部份的费用采用上述清单计价办法进行计价，综合单价按下浮10%进行计算；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前者比后者减少时，减少部份的费用采用上述清单计价办法进行扣减；无论两者相等还是增、减，投标报价漏项或未填综合单价项目的原招标文件工程量清单工程量不得补计；增项清单项目不作为签订合同及结算等的依据。</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（3）本合同项目的结算造价以发包人或其委托的第三方造价机构审核后工程结算价作为本合同项目的最终结算造价。财政资金项目以财政评审部门审核后工程结算价作为本合同项目的最终结算造价。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（4）承包人的所有施工技术措施和施工方案均必须得到发包人的认可并足以保证本工程项目能按时、按量、保质、安全的完成。</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77.7预算包干费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预算包干费的内容：按相应专业包含对应内容，包干内容不再依据方案或签证计算费用。</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市政工程：包括施工雨（污）水的排除、因地形影响造成的场内料具二次运输、施工材料堆放场地的整理、施工中的临时停水停电、基础埋深2m以内挖土方的塌方、日间照明施工增加费（不包括地下室和特殊工程）、完工清场后的垃圾外运、地上（地下）设施，建筑物的临时保护设施费和二次加工基地设施费、雨季施工增加费、己完工程及设备保护等；</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建筑与装饰工程、通用安装工程：包括施工雨（污）水的排除、因地形影响造成的场内料具二次运输、20m高以下的工程用水加压措施、施工材料堆放场地的整理、机电安装后的补洞（槽）工料费、工程成品保护费、施工中的临时停水停电、基础埋深2m以内挖土方的塌方、日间照明施工增加费（不包括地下室和特殊工程）、完工清场后的垃圾外运等；</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园林绿化工程：包括施工雨（污）水的排除；场内料具二次运输；树穴内的泥浆清除；工程用水加压措施；施工材料堆放场地的整理；工程成品的保护；施工中的临时停水停电；日间施工照明增加费；完工后的场地清理。</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77.8总承包服务费：包括但不限于专业工程、发包人进行分包和自行采购的设备、材料等进行管理、服务以及施工现场管理、竣工资料汇总整理、规划报建及验收、施工场地处置等相关费用及协调。</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总承包服务费（如有）已包含发包人供应材料和设备保管费相关内容，发包人不再支付发包人供应材料和设备保管费相关费用，但承包人仍需履行第77.9款。</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77.9发包人供应材料和设备保管费：承包人负责所有材料的保管包括但不限于租借地、仓库等。</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77.10材料二次运输费：承包人应充分考虑本次招标各线路场地的特点，应对施工范围内各材料（包括但不限于管材、管件、砌筑材料、回填材料、余泥渣土及废弃物）的堆放及运输做好相关措施，根据施工组织设计要求，运送到施工现场指定的地点堆积。相关内容不再依据方案或签证计算费用。</w:t>
      </w:r>
      <w:bookmarkStart w:id="702" w:name="_Toc469384127"/>
      <w:bookmarkStart w:id="703" w:name="_Toc10624971"/>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78. 支付事项</w:t>
      </w:r>
      <w:bookmarkEnd w:id="702"/>
      <w:bookmarkEnd w:id="703"/>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78.2 计算利息的利率</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按照中国人民银行发布的同期同类贷款利率。</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按照不超过中国人民银行发布的同期活期存款利率。   </w:t>
      </w:r>
      <w:bookmarkStart w:id="704" w:name="_Toc469384128"/>
      <w:bookmarkStart w:id="705" w:name="_Toc10624972"/>
    </w:p>
    <w:p>
      <w:pPr>
        <w:spacing w:line="420" w:lineRule="exact"/>
        <w:rPr>
          <w:rFonts w:hint="eastAsia" w:ascii="仿宋_GB2312" w:hAnsi="仿宋_GB2312" w:eastAsia="仿宋_GB2312" w:cs="仿宋_GB2312"/>
          <w:color w:val="auto"/>
          <w:kern w:val="0"/>
          <w:sz w:val="24"/>
          <w:szCs w:val="24"/>
          <w:highlight w:val="none"/>
          <w:u w:val="singl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★79. 预付款</w:t>
      </w:r>
      <w:bookmarkEnd w:id="704"/>
      <w:bookmarkEnd w:id="705"/>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79.1 预付款的约定及管理</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 预付款的约定</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不约定预付款的，本条不适用。</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约定预付款的，预付款的金额为</w:t>
      </w:r>
      <w:permStart w:id="306" w:edGrp="everyone"/>
      <w:r>
        <w:rPr>
          <w:rFonts w:hint="eastAsia" w:ascii="仿宋_GB2312" w:hAnsi="仿宋_GB2312" w:eastAsia="仿宋_GB2312" w:cs="仿宋_GB2312"/>
          <w:color w:val="auto"/>
          <w:kern w:val="0"/>
          <w:sz w:val="24"/>
          <w:szCs w:val="24"/>
          <w:highlight w:val="none"/>
          <w:u w:val="single"/>
        </w:rPr>
        <w:t xml:space="preserve">     </w:t>
      </w:r>
      <w:permEnd w:id="306"/>
      <w:r>
        <w:rPr>
          <w:rFonts w:hint="eastAsia" w:ascii="仿宋_GB2312" w:hAnsi="仿宋_GB2312" w:eastAsia="仿宋_GB2312" w:cs="仿宋_GB2312"/>
          <w:color w:val="auto"/>
          <w:kern w:val="0"/>
          <w:sz w:val="24"/>
          <w:szCs w:val="24"/>
          <w:highlight w:val="none"/>
        </w:rPr>
        <w:t>元，其支付办法和抵扣方式，按本条有关专用条款的约定。</w:t>
      </w:r>
    </w:p>
    <w:p>
      <w:pPr>
        <w:spacing w:line="420" w:lineRule="exact"/>
        <w:ind w:firstLine="240" w:firstLine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 预付款的最高限额</w:t>
      </w:r>
    </w:p>
    <w:p>
      <w:pPr>
        <w:widowControl w:val="0"/>
        <w:adjustRightInd w:val="0"/>
        <w:snapToGrid w:val="0"/>
        <w:ind w:firstLine="480" w:firstLineChars="200"/>
        <w:jc w:val="both"/>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sym w:font="Wingdings 2" w:char="0052"/>
      </w:r>
      <w:r>
        <w:rPr>
          <w:rFonts w:hint="eastAsia" w:ascii="仿宋_GB2312" w:hAnsi="仿宋_GB2312" w:eastAsia="仿宋_GB2312" w:cs="仿宋_GB2312"/>
          <w:color w:val="auto"/>
          <w:kern w:val="0"/>
          <w:sz w:val="24"/>
          <w:szCs w:val="24"/>
          <w:highlight w:val="none"/>
          <w:lang w:val="en-US" w:eastAsia="zh-CN" w:bidi="ar-SA"/>
        </w:rPr>
        <w:t xml:space="preserve">预付比例不低于工程价款（按第1.55款关于工程价款的定义）的10%，不高于工程价款（按第1.55款关于工程价款的定义）的30%，即 </w:t>
      </w:r>
      <w:permStart w:id="307" w:edGrp="everyone"/>
      <w:r>
        <w:rPr>
          <w:rFonts w:hint="eastAsia" w:ascii="仿宋_GB2312" w:hAnsi="仿宋_GB2312" w:eastAsia="仿宋_GB2312" w:cs="仿宋_GB2312"/>
          <w:color w:val="auto"/>
          <w:kern w:val="0"/>
          <w:sz w:val="24"/>
          <w:szCs w:val="24"/>
          <w:highlight w:val="none"/>
          <w:u w:val="single"/>
          <w:lang w:val="en-US" w:eastAsia="zh-CN" w:bidi="ar-SA"/>
        </w:rPr>
        <w:t xml:space="preserve">   30   </w:t>
      </w:r>
      <w:permEnd w:id="307"/>
      <w:r>
        <w:rPr>
          <w:rFonts w:hint="eastAsia" w:ascii="仿宋_GB2312" w:hAnsi="仿宋_GB2312" w:eastAsia="仿宋_GB2312" w:cs="仿宋_GB2312"/>
          <w:color w:val="auto"/>
          <w:kern w:val="0"/>
          <w:sz w:val="24"/>
          <w:szCs w:val="24"/>
          <w:highlight w:val="none"/>
          <w:lang w:val="en-US" w:eastAsia="zh-CN" w:bidi="ar-SA"/>
        </w:rPr>
        <w:t>%，即</w:t>
      </w:r>
      <w:permStart w:id="308" w:edGrp="everyone"/>
      <w:r>
        <w:rPr>
          <w:rFonts w:hint="eastAsia" w:ascii="仿宋_GB2312" w:hAnsi="仿宋_GB2312" w:eastAsia="仿宋_GB2312" w:cs="仿宋_GB2312"/>
          <w:color w:val="auto"/>
          <w:kern w:val="0"/>
          <w:sz w:val="24"/>
          <w:szCs w:val="24"/>
          <w:highlight w:val="none"/>
          <w:u w:val="single"/>
          <w:lang w:val="en-US" w:eastAsia="zh-CN" w:bidi="ar-SA"/>
        </w:rPr>
        <w:t xml:space="preserve">       </w:t>
      </w:r>
      <w:permEnd w:id="308"/>
      <w:r>
        <w:rPr>
          <w:rFonts w:hint="eastAsia" w:ascii="仿宋_GB2312" w:hAnsi="仿宋_GB2312" w:eastAsia="仿宋_GB2312" w:cs="仿宋_GB2312"/>
          <w:color w:val="auto"/>
          <w:kern w:val="0"/>
          <w:sz w:val="24"/>
          <w:szCs w:val="24"/>
          <w:highlight w:val="none"/>
          <w:lang w:val="en-US" w:eastAsia="zh-CN" w:bidi="ar-SA"/>
        </w:rPr>
        <w:t>元。</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79.2 预付款支付申请的提交、核实与支付</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（3）向发包人提供与预付款等额的预付款保函的正本。</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预付款保函的金额与预付款金额相同。预付款保函的提交时间：合同签订后30天内。预付款保函的担保金额应当根据预付款扣回的金额递减，保函条款中可以设立担保金额递减的条款。发包人在签认每一期进度付款证书后14天内，应当以书面方式通知出具预付款保函的担保人并附上一份经其签认的进度付款证书副本，担保人根据发包人的通知和经发包人签认的进度付款证书中累计扣回的预付款金额等额调减预付款保函的担保金额。自担保人收到发包人通知之日起，该经过递减的担保金额为预付款保函担保金额。</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2）预付款保函的格式：承包人应当按照第79.2（3）项约定的金额和时间以及发包人在本工程招标文件中规定的或者其他经过发包人事先认可的格式向发包人递交一份无条件兑付的和不可撤销的预付款保函。</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3）预付款保函的有效期：预付款保函的有效期应当自预付款支付给承包人之日起至发包人签认的进度付款证书说明预付款已完全扣清之日止。</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4）发包人的通知义务：不管保函条款中如何约定，发包人根据担保提出索赔或兑现要求之前，均应通知承包人并说明导致此类索赔或兑现的原因，但此类通知不应理解为是在任何意义上寻求承包人的同意。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5）预付款保函的退还：预付款保函应在发包人签认的进度付款证书说明预付款已完全扣清之日后14天内退还给承包人。发包人不承担承包人与预付款保函有关的任何利息或其它类似的费用或者收益。</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（4）提交预付款支付申请期限：</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按承包人在完成本款三项工作后的7天内。</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另作约定：合同</w:t>
      </w:r>
      <w:r>
        <w:rPr>
          <w:rFonts w:hint="eastAsia" w:ascii="仿宋_GB2312" w:hAnsi="仿宋_GB2312" w:eastAsia="仿宋_GB2312" w:cs="仿宋_GB2312"/>
          <w:color w:val="auto"/>
          <w:kern w:val="0"/>
          <w:sz w:val="24"/>
          <w:szCs w:val="24"/>
          <w:highlight w:val="none"/>
          <w:lang w:val="zh-CN"/>
        </w:rPr>
        <w:t>签订后且收到承包人提交的等额预付款银行保函后，经发包人及监理工程师审核确认后，发包人向承包人支付工程预付款。</w:t>
      </w:r>
      <w:r>
        <w:rPr>
          <w:rFonts w:hint="eastAsia" w:ascii="仿宋_GB2312" w:hAnsi="仿宋_GB2312" w:eastAsia="仿宋_GB2312" w:cs="仿宋_GB2312"/>
          <w:color w:val="auto"/>
          <w:kern w:val="0"/>
          <w:sz w:val="24"/>
          <w:szCs w:val="24"/>
          <w:highlight w:val="none"/>
        </w:rPr>
        <w:t>发包人逾期支付合同约定的预付款，除承担相应的违约责任外，还应向承包人支付按第81.2（1）项约定的标准和方法计算的逾期付款违约金。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79.4 预付款抵扣方式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预付款按照期中应支付工程款的</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%扣回，直到扣完为止。</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其它方式：</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36"/>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0" w:type="dxa"/>
            <w:vAlign w:val="center"/>
          </w:tcPr>
          <w:p>
            <w:pPr>
              <w:widowControl w:val="0"/>
              <w:adjustRightInd w:val="0"/>
              <w:spacing w:line="360" w:lineRule="auto"/>
              <w:ind w:firstLine="0"/>
              <w:jc w:val="both"/>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已完成工作量与合同工程价款（按专用条款1.55工程价款的定义）之比</w:t>
            </w:r>
          </w:p>
        </w:tc>
        <w:tc>
          <w:tcPr>
            <w:tcW w:w="2960" w:type="dxa"/>
            <w:vAlign w:val="center"/>
          </w:tcPr>
          <w:p>
            <w:pPr>
              <w:widowControl w:val="0"/>
              <w:adjustRightInd w:val="0"/>
              <w:spacing w:line="360" w:lineRule="auto"/>
              <w:ind w:firstLine="0"/>
              <w:jc w:val="center"/>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扣回预付款的比例</w:t>
            </w:r>
          </w:p>
        </w:tc>
        <w:tc>
          <w:tcPr>
            <w:tcW w:w="2961" w:type="dxa"/>
            <w:vAlign w:val="center"/>
          </w:tcPr>
          <w:p>
            <w:pPr>
              <w:widowControl w:val="0"/>
              <w:adjustRightInd w:val="0"/>
              <w:spacing w:line="360" w:lineRule="auto"/>
              <w:ind w:firstLine="0"/>
              <w:jc w:val="center"/>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累计扣回比例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960" w:type="dxa"/>
            <w:vAlign w:val="center"/>
          </w:tcPr>
          <w:p>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20%≤a＜30%</w:t>
            </w:r>
          </w:p>
        </w:tc>
        <w:tc>
          <w:tcPr>
            <w:tcW w:w="2960" w:type="dxa"/>
            <w:vAlign w:val="center"/>
          </w:tcPr>
          <w:p>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10%</w:t>
            </w:r>
          </w:p>
        </w:tc>
        <w:tc>
          <w:tcPr>
            <w:tcW w:w="2961" w:type="dxa"/>
            <w:vAlign w:val="center"/>
          </w:tcPr>
          <w:p>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0" w:type="dxa"/>
            <w:vAlign w:val="center"/>
          </w:tcPr>
          <w:p>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30%≤a＜40%</w:t>
            </w:r>
          </w:p>
        </w:tc>
        <w:tc>
          <w:tcPr>
            <w:tcW w:w="2960" w:type="dxa"/>
            <w:vAlign w:val="center"/>
          </w:tcPr>
          <w:p>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20%</w:t>
            </w:r>
          </w:p>
        </w:tc>
        <w:tc>
          <w:tcPr>
            <w:tcW w:w="2961" w:type="dxa"/>
            <w:vAlign w:val="center"/>
          </w:tcPr>
          <w:p>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0" w:type="dxa"/>
            <w:vAlign w:val="center"/>
          </w:tcPr>
          <w:p>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40%≤a＜50%</w:t>
            </w:r>
          </w:p>
        </w:tc>
        <w:tc>
          <w:tcPr>
            <w:tcW w:w="2960" w:type="dxa"/>
            <w:vAlign w:val="center"/>
          </w:tcPr>
          <w:p>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30%</w:t>
            </w:r>
          </w:p>
        </w:tc>
        <w:tc>
          <w:tcPr>
            <w:tcW w:w="2961" w:type="dxa"/>
            <w:vAlign w:val="center"/>
          </w:tcPr>
          <w:p>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0" w:type="dxa"/>
            <w:vAlign w:val="center"/>
          </w:tcPr>
          <w:p>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50%≤a＜60%</w:t>
            </w:r>
          </w:p>
        </w:tc>
        <w:tc>
          <w:tcPr>
            <w:tcW w:w="2960" w:type="dxa"/>
            <w:vAlign w:val="center"/>
          </w:tcPr>
          <w:p>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40%</w:t>
            </w:r>
          </w:p>
        </w:tc>
        <w:tc>
          <w:tcPr>
            <w:tcW w:w="2961" w:type="dxa"/>
            <w:vAlign w:val="center"/>
          </w:tcPr>
          <w:p>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100%</w:t>
            </w:r>
          </w:p>
        </w:tc>
      </w:tr>
    </w:tbl>
    <w:p>
      <w:pPr>
        <w:spacing w:line="420" w:lineRule="exact"/>
        <w:rPr>
          <w:rFonts w:hint="eastAsia" w:ascii="仿宋_GB2312" w:hAnsi="仿宋_GB2312" w:eastAsia="仿宋_GB2312" w:cs="仿宋_GB2312"/>
          <w:color w:val="auto"/>
          <w:kern w:val="0"/>
          <w:sz w:val="24"/>
          <w:szCs w:val="24"/>
          <w:highlight w:val="none"/>
        </w:rPr>
      </w:pPr>
    </w:p>
    <w:p>
      <w:pPr>
        <w:widowControl w:val="0"/>
        <w:numPr>
          <w:ilvl w:val="0"/>
          <w:numId w:val="0"/>
        </w:numPr>
        <w:tabs>
          <w:tab w:val="left" w:pos="420"/>
          <w:tab w:val="left" w:pos="576"/>
        </w:tabs>
        <w:spacing w:before="26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bookmarkStart w:id="706" w:name="_Toc10624973"/>
      <w:bookmarkStart w:id="707" w:name="_Toc469384129"/>
      <w:r>
        <w:rPr>
          <w:rFonts w:hint="eastAsia" w:ascii="黑体" w:hAnsi="黑体" w:eastAsia="黑体" w:cs="黑体"/>
          <w:b w:val="0"/>
          <w:bCs w:val="0"/>
          <w:color w:val="auto"/>
          <w:kern w:val="0"/>
          <w:sz w:val="24"/>
          <w:szCs w:val="24"/>
          <w:highlight w:val="none"/>
          <w:lang w:val="en-US" w:eastAsia="zh-CN" w:bidi="ar-SA"/>
        </w:rPr>
        <w:t>★80. 按系数计算的绿色施工安全防护措施费</w:t>
      </w:r>
      <w:bookmarkEnd w:id="706"/>
      <w:bookmarkEnd w:id="707"/>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kern w:val="0"/>
          <w:sz w:val="24"/>
          <w:szCs w:val="24"/>
          <w:highlight w:val="none"/>
        </w:rPr>
        <w:t>80.1 按系数计算的</w:t>
      </w:r>
      <w:r>
        <w:rPr>
          <w:rFonts w:hint="eastAsia" w:ascii="仿宋_GB2312" w:hAnsi="仿宋_GB2312" w:eastAsia="仿宋_GB2312" w:cs="仿宋_GB2312"/>
          <w:color w:val="auto"/>
          <w:sz w:val="24"/>
          <w:szCs w:val="24"/>
          <w:highlight w:val="none"/>
        </w:rPr>
        <w:t>绿色施工安全防护措施</w:t>
      </w:r>
      <w:r>
        <w:rPr>
          <w:rFonts w:hint="eastAsia" w:ascii="仿宋_GB2312" w:hAnsi="仿宋_GB2312" w:eastAsia="仿宋_GB2312" w:cs="仿宋_GB2312"/>
          <w:color w:val="auto"/>
          <w:kern w:val="0"/>
          <w:sz w:val="24"/>
          <w:szCs w:val="24"/>
          <w:highlight w:val="none"/>
        </w:rPr>
        <w:t>费的内容、范围和金额</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（1）内容和范围</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按通用条款的规定，以现行广东省统一工程计价依据规定、</w:t>
      </w:r>
      <w:r>
        <w:rPr>
          <w:rFonts w:hint="eastAsia" w:ascii="仿宋_GB2312" w:hAnsi="仿宋_GB2312" w:eastAsia="仿宋_GB2312" w:cs="仿宋_GB2312"/>
          <w:color w:val="auto"/>
          <w:sz w:val="24"/>
          <w:szCs w:val="24"/>
          <w:highlight w:val="none"/>
        </w:rPr>
        <w:t>省市造价管理部门发布管理文件</w:t>
      </w:r>
      <w:r>
        <w:rPr>
          <w:rFonts w:hint="eastAsia" w:ascii="仿宋_GB2312" w:hAnsi="仿宋_GB2312" w:eastAsia="仿宋_GB2312" w:cs="仿宋_GB2312"/>
          <w:color w:val="auto"/>
          <w:kern w:val="0"/>
          <w:sz w:val="24"/>
          <w:szCs w:val="24"/>
          <w:highlight w:val="none"/>
        </w:rPr>
        <w:t>为准。其中，计价文件按照以下顺序执行：1.广东省统一工程计价依据规定；2.双方按照市场价进行协商定价；3.承包人提供的发票价格。</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另作约定：</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（2）按系数计算的</w:t>
      </w:r>
      <w:r>
        <w:rPr>
          <w:rFonts w:hint="eastAsia" w:ascii="仿宋_GB2312" w:hAnsi="仿宋_GB2312" w:eastAsia="仿宋_GB2312" w:cs="仿宋_GB2312"/>
          <w:color w:val="auto"/>
          <w:sz w:val="24"/>
          <w:szCs w:val="24"/>
          <w:highlight w:val="none"/>
        </w:rPr>
        <w:t>绿色施工安全防护措施</w:t>
      </w:r>
      <w:r>
        <w:rPr>
          <w:rFonts w:hint="eastAsia" w:ascii="仿宋_GB2312" w:hAnsi="仿宋_GB2312" w:eastAsia="仿宋_GB2312" w:cs="仿宋_GB2312"/>
          <w:color w:val="auto"/>
          <w:kern w:val="0"/>
          <w:sz w:val="24"/>
          <w:szCs w:val="24"/>
          <w:highlight w:val="none"/>
        </w:rPr>
        <w:t>费的总金额为</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元；</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其中：施工扬尘污染防治措施费为</w:t>
      </w:r>
      <w:permStart w:id="309" w:edGrp="everyone"/>
      <w:r>
        <w:rPr>
          <w:rFonts w:hint="eastAsia" w:ascii="仿宋_GB2312" w:hAnsi="仿宋_GB2312" w:eastAsia="仿宋_GB2312" w:cs="仿宋_GB2312"/>
          <w:color w:val="auto"/>
          <w:kern w:val="0"/>
          <w:sz w:val="24"/>
          <w:szCs w:val="24"/>
          <w:highlight w:val="none"/>
          <w:u w:val="single"/>
        </w:rPr>
        <w:t xml:space="preserve">                </w:t>
      </w:r>
      <w:permEnd w:id="309"/>
      <w:r>
        <w:rPr>
          <w:rFonts w:hint="eastAsia" w:ascii="仿宋_GB2312" w:hAnsi="仿宋_GB2312" w:eastAsia="仿宋_GB2312" w:cs="仿宋_GB2312"/>
          <w:color w:val="auto"/>
          <w:kern w:val="0"/>
          <w:sz w:val="24"/>
          <w:szCs w:val="24"/>
          <w:highlight w:val="none"/>
        </w:rPr>
        <w:t>元；</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用工实名管理费为</w:t>
      </w:r>
      <w:permStart w:id="310" w:edGrp="everyone"/>
      <w:r>
        <w:rPr>
          <w:rFonts w:hint="eastAsia" w:ascii="仿宋_GB2312" w:hAnsi="仿宋_GB2312" w:eastAsia="仿宋_GB2312" w:cs="仿宋_GB2312"/>
          <w:color w:val="auto"/>
          <w:kern w:val="0"/>
          <w:sz w:val="24"/>
          <w:szCs w:val="24"/>
          <w:highlight w:val="none"/>
          <w:u w:val="single"/>
        </w:rPr>
        <w:t xml:space="preserve">                </w:t>
      </w:r>
      <w:permEnd w:id="310"/>
      <w:r>
        <w:rPr>
          <w:rFonts w:hint="eastAsia" w:ascii="仿宋_GB2312" w:hAnsi="仿宋_GB2312" w:eastAsia="仿宋_GB2312" w:cs="仿宋_GB2312"/>
          <w:color w:val="auto"/>
          <w:kern w:val="0"/>
          <w:sz w:val="24"/>
          <w:szCs w:val="24"/>
          <w:highlight w:val="none"/>
        </w:rPr>
        <w:t>元。</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危大工程安全防护文明施工措施费</w:t>
      </w:r>
      <w:permStart w:id="311" w:edGrp="everyone"/>
      <w:r>
        <w:rPr>
          <w:rFonts w:hint="eastAsia" w:ascii="仿宋_GB2312" w:hAnsi="仿宋_GB2312" w:eastAsia="仿宋_GB2312" w:cs="仿宋_GB2312"/>
          <w:color w:val="auto"/>
          <w:kern w:val="0"/>
          <w:sz w:val="24"/>
          <w:szCs w:val="24"/>
          <w:highlight w:val="none"/>
          <w:u w:val="single"/>
        </w:rPr>
        <w:t xml:space="preserve">                </w:t>
      </w:r>
      <w:permEnd w:id="311"/>
      <w:r>
        <w:rPr>
          <w:rFonts w:hint="eastAsia" w:ascii="仿宋_GB2312" w:hAnsi="仿宋_GB2312" w:eastAsia="仿宋_GB2312" w:cs="仿宋_GB2312"/>
          <w:color w:val="auto"/>
          <w:kern w:val="0"/>
          <w:sz w:val="24"/>
          <w:szCs w:val="24"/>
          <w:highlight w:val="none"/>
        </w:rPr>
        <w:t>元。</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80.2 支付申请的提交与核实</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另作约定：</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80.3 费用支付</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按系数计算的</w:t>
      </w:r>
      <w:r>
        <w:rPr>
          <w:rFonts w:hint="eastAsia" w:ascii="仿宋_GB2312" w:hAnsi="仿宋_GB2312" w:eastAsia="仿宋_GB2312" w:cs="仿宋_GB2312"/>
          <w:color w:val="auto"/>
          <w:sz w:val="24"/>
          <w:szCs w:val="24"/>
          <w:highlight w:val="none"/>
        </w:rPr>
        <w:t>绿色施工安全防护措施</w:t>
      </w:r>
      <w:r>
        <w:rPr>
          <w:rFonts w:hint="eastAsia" w:ascii="仿宋_GB2312" w:hAnsi="仿宋_GB2312" w:eastAsia="仿宋_GB2312" w:cs="仿宋_GB2312"/>
          <w:color w:val="auto"/>
          <w:kern w:val="0"/>
          <w:sz w:val="24"/>
          <w:szCs w:val="24"/>
          <w:highlight w:val="none"/>
        </w:rPr>
        <w:t>费的支付办法和抵扣方式：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按通用条款的规定。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（1）合同生效后7日内，承包人提供本工程的按系数计算的绿色施工安全防护措施费实施方案，经监理工程师审核并报发包人批准后预付按系数计算的绿色施工安全防护措施费的70%；</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按系数计算的绿色施工安全防护措施费的支付和抵扣：承包人在报送已完工程款额报告和支付申请的同时，应报送上月的“安全文明施工统计表”、“按系数计算的绿色施工安全防护措施费支付申请书”、“按系数计算的绿色施工安全防护措施费使用计划”，按照“专款专用、按实计量、独立拨付、独立核算”的原则，由承包人按实际开支的费用申报，监理工程师和造价工程师进行审查核实后，由发包人按照计量支付的有关程序按实际发生金额支付，先从前款预付金额中进行抵扣，扣完为止。扣完后，应支付的按系数计算的绿色施工安全防护措施费与进度款同期支付。除非根据有关条款进行了调整，否则总的支付金额不超过投标时的按系数计算的绿色施工安全防护措施费总额。</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按系数计算的绿色施工安全防护措施费按照“专款专用、按实计量、独立拨付、独立核算”的原则进行管理，至按系数计算的绿色施工安全防护措施费已经按实全部拨付，还需要进行按系数计算的绿色施工安全防护措施费投入的，则需增加的按系数计算的绿色施工安全防护措施费视为已经包含在投标报价中，承包人仍需提交按系数计算的绿色施工安全防护措施费投入计划，并按批准的计划做好绿色施工安全防护措施，发包人不另行计量支付。</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（4）按照65.2确定的暂估价，经发包人审批后：</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按系数计算的绿色施工安全防护措施费不受80.3.（2）和80.3.（3）的约束；</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结算时，按系数计算的绿色施工安全防护措施费不得超过经审批的暂估价中的按系数计算的绿色施工安全防护措施费。</w:t>
      </w:r>
    </w:p>
    <w:p>
      <w:pPr>
        <w:rPr>
          <w:rFonts w:hint="eastAsia"/>
          <w:color w:val="auto"/>
          <w:highlight w:val="none"/>
        </w:rPr>
      </w:pPr>
    </w:p>
    <w:p>
      <w:pPr>
        <w:spacing w:line="420" w:lineRule="exact"/>
        <w:ind w:firstLine="241" w:firstLineChars="100"/>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kern w:val="0"/>
          <w:sz w:val="24"/>
          <w:szCs w:val="24"/>
          <w:highlight w:val="none"/>
        </w:rPr>
        <w:t>80.6 文明工地增加费</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文明工地增加费的计算额度：</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12" w:edGrp="everyone"/>
      <w:r>
        <w:rPr>
          <w:rFonts w:hint="eastAsia" w:ascii="仿宋_GB2312" w:hAnsi="仿宋_GB2312" w:eastAsia="仿宋_GB2312" w:cs="仿宋_GB2312"/>
          <w:color w:val="auto"/>
          <w:kern w:val="0"/>
          <w:sz w:val="24"/>
          <w:szCs w:val="24"/>
          <w:highlight w:val="none"/>
          <w:lang w:val="en-US" w:eastAsia="zh-CN"/>
        </w:rPr>
        <w:t>☒</w:t>
      </w:r>
      <w:permEnd w:id="312"/>
      <w:r>
        <w:rPr>
          <w:rFonts w:hint="eastAsia" w:ascii="仿宋_GB2312" w:hAnsi="仿宋_GB2312" w:eastAsia="仿宋_GB2312" w:cs="仿宋_GB2312"/>
          <w:color w:val="auto"/>
          <w:kern w:val="0"/>
          <w:sz w:val="24"/>
          <w:szCs w:val="24"/>
          <w:highlight w:val="none"/>
        </w:rPr>
        <w:t xml:space="preserve"> 按通用条款规定计算。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13" w:edGrp="everyone"/>
      <w:r>
        <w:rPr>
          <w:rFonts w:hint="eastAsia" w:ascii="仿宋_GB2312" w:hAnsi="仿宋_GB2312" w:eastAsia="仿宋_GB2312" w:cs="仿宋_GB2312"/>
          <w:color w:val="auto"/>
          <w:kern w:val="0"/>
          <w:sz w:val="24"/>
          <w:szCs w:val="24"/>
          <w:highlight w:val="none"/>
          <w:lang w:val="en-US" w:eastAsia="zh-CN"/>
        </w:rPr>
        <w:t>☒</w:t>
      </w:r>
      <w:permEnd w:id="313"/>
      <w:r>
        <w:rPr>
          <w:rFonts w:hint="eastAsia" w:ascii="仿宋_GB2312" w:hAnsi="仿宋_GB2312" w:eastAsia="仿宋_GB2312" w:cs="仿宋_GB2312"/>
          <w:color w:val="auto"/>
          <w:kern w:val="0"/>
          <w:sz w:val="24"/>
          <w:szCs w:val="24"/>
          <w:highlight w:val="none"/>
        </w:rPr>
        <w:t xml:space="preserve"> 按分部分项工程费为基础计算。</w:t>
      </w:r>
    </w:p>
    <w:p>
      <w:pPr>
        <w:spacing w:line="420" w:lineRule="exact"/>
        <w:ind w:left="660" w:hanging="720" w:hanging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314" w:edGrp="everyone"/>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lang w:val="en-US" w:eastAsia="zh-CN"/>
        </w:rPr>
        <w:t>☒</w:t>
      </w:r>
      <w:permEnd w:id="314"/>
      <w:r>
        <w:rPr>
          <w:rFonts w:hint="eastAsia" w:ascii="仿宋_GB2312" w:hAnsi="仿宋_GB2312" w:eastAsia="仿宋_GB2312" w:cs="仿宋_GB2312"/>
          <w:color w:val="auto"/>
          <w:kern w:val="0"/>
          <w:sz w:val="24"/>
          <w:szCs w:val="24"/>
          <w:highlight w:val="none"/>
        </w:rPr>
        <w:t xml:space="preserve"> 另作约定（文明工地增加费率参考广东省建设工程计价依据文明工地增加费、广州市住房和城乡建设局发布的文明工地增加费；合同工程同时获得下列多个奖项的，只按最高奖项的额度计算。）：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市级安全文明工地</w:t>
      </w:r>
      <w:r>
        <w:rPr>
          <w:rFonts w:hint="eastAsia" w:ascii="仿宋_GB2312" w:hAnsi="仿宋_GB2312" w:eastAsia="仿宋_GB2312" w:cs="仿宋_GB2312"/>
          <w:color w:val="auto"/>
          <w:kern w:val="0"/>
          <w:sz w:val="24"/>
          <w:szCs w:val="24"/>
          <w:highlight w:val="none"/>
        </w:rPr>
        <w:t>增加费</w:t>
      </w:r>
      <w:permStart w:id="315"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15"/>
      <w:r>
        <w:rPr>
          <w:rFonts w:hint="eastAsia" w:ascii="仿宋_GB2312" w:hAnsi="仿宋_GB2312" w:eastAsia="仿宋_GB2312" w:cs="仿宋_GB2312"/>
          <w:color w:val="auto"/>
          <w:kern w:val="0"/>
          <w:sz w:val="24"/>
          <w:szCs w:val="24"/>
          <w:highlight w:val="non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省级安全文明工地</w:t>
      </w:r>
      <w:r>
        <w:rPr>
          <w:rFonts w:hint="eastAsia" w:ascii="仿宋_GB2312" w:hAnsi="仿宋_GB2312" w:eastAsia="仿宋_GB2312" w:cs="仿宋_GB2312"/>
          <w:color w:val="auto"/>
          <w:kern w:val="0"/>
          <w:sz w:val="24"/>
          <w:szCs w:val="24"/>
          <w:highlight w:val="none"/>
        </w:rPr>
        <w:t>增加费</w:t>
      </w:r>
      <w:permStart w:id="316"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16"/>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国家级安全文明工地</w:t>
      </w:r>
      <w:r>
        <w:rPr>
          <w:rFonts w:hint="eastAsia" w:ascii="仿宋_GB2312" w:hAnsi="仿宋_GB2312" w:eastAsia="仿宋_GB2312" w:cs="仿宋_GB2312"/>
          <w:color w:val="auto"/>
          <w:kern w:val="0"/>
          <w:sz w:val="24"/>
          <w:szCs w:val="24"/>
          <w:highlight w:val="none"/>
        </w:rPr>
        <w:t>增加费</w:t>
      </w:r>
      <w:permStart w:id="317"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17"/>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其它</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，文明工地增加费</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w:t>
      </w:r>
      <w:bookmarkStart w:id="708" w:name="_Toc469384130"/>
      <w:bookmarkStart w:id="709" w:name="_Toc10624974"/>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★81. 进度款</w:t>
      </w:r>
      <w:bookmarkEnd w:id="708"/>
      <w:bookmarkEnd w:id="709"/>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81.1 约定支付期限和提交支付申请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 支付期限、比例</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以月为单位，支付比例及其他支付要求：</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1）承包人向监理工程师提交付款申请，进度付款申请单应</w:t>
      </w:r>
      <w:permStart w:id="318" w:edGrp="everyone"/>
      <w:r>
        <w:rPr>
          <w:rFonts w:hint="eastAsia" w:ascii="仿宋_GB2312" w:hAnsi="仿宋_GB2312" w:eastAsia="仿宋_GB2312" w:cs="仿宋_GB2312"/>
          <w:color w:val="auto"/>
          <w:kern w:val="0"/>
          <w:sz w:val="24"/>
          <w:szCs w:val="24"/>
          <w:highlight w:val="none"/>
          <w:lang w:val="en-US" w:eastAsia="zh-CN"/>
        </w:rPr>
        <w:t>☒</w:t>
      </w:r>
      <w:permEnd w:id="318"/>
      <w:r>
        <w:rPr>
          <w:rFonts w:hint="eastAsia" w:ascii="仿宋_GB2312" w:hAnsi="仿宋_GB2312" w:eastAsia="仿宋_GB2312" w:cs="仿宋_GB2312"/>
          <w:color w:val="auto"/>
          <w:kern w:val="0"/>
          <w:sz w:val="24"/>
          <w:szCs w:val="24"/>
          <w:highlight w:val="none"/>
          <w:u w:val="single"/>
        </w:rPr>
        <w:t>分片区</w:t>
      </w:r>
      <w:r>
        <w:rPr>
          <w:rFonts w:hint="eastAsia" w:ascii="仿宋_GB2312" w:hAnsi="仿宋_GB2312" w:eastAsia="仿宋_GB2312" w:cs="仿宋_GB2312"/>
          <w:color w:val="auto"/>
          <w:kern w:val="0"/>
          <w:sz w:val="24"/>
          <w:szCs w:val="24"/>
          <w:highlight w:val="none"/>
        </w:rPr>
        <w:t>列明完成的工程量折算的工程价款，经监理工程师和发包人确认后出具进度付款证书。进度款按照当月（当期）实际完成工程量折算的工程价款的80%（扣除违约金、赔偿金和工程预付款扣回金额）支付。在工程完工时，累计最多支付至合同工程价款的80%（</w:t>
      </w:r>
      <w:permStart w:id="319" w:edGrp="everyone"/>
      <w:r>
        <w:rPr>
          <w:rFonts w:hint="eastAsia" w:ascii="仿宋_GB2312" w:hAnsi="仿宋_GB2312" w:eastAsia="仿宋_GB2312" w:cs="仿宋_GB2312"/>
          <w:color w:val="auto"/>
          <w:kern w:val="0"/>
          <w:sz w:val="24"/>
          <w:szCs w:val="24"/>
          <w:highlight w:val="none"/>
          <w:lang w:val="en-US" w:eastAsia="zh-CN"/>
        </w:rPr>
        <w:t>☒</w:t>
      </w:r>
      <w:permEnd w:id="319"/>
      <w:r>
        <w:rPr>
          <w:rFonts w:hint="eastAsia" w:ascii="仿宋_GB2312" w:hAnsi="仿宋_GB2312" w:eastAsia="仿宋_GB2312" w:cs="仿宋_GB2312"/>
          <w:color w:val="auto"/>
          <w:kern w:val="0"/>
          <w:sz w:val="24"/>
          <w:szCs w:val="24"/>
          <w:highlight w:val="none"/>
        </w:rPr>
        <w:t>同时最多支付至该片区对应合同工程价款的80%）。</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竣工资料和竣工图在工程完工20天内必须报发包人档案部门进行档案验收，通过发包人组织的档案竣工验收。在完成了工程建设项目竣工联合验收合格后6个月内，先向城建档案馆报送一套符合规范要求的建设工程档案并取得城建档案馆的接收证明，再将竣工资料及竣工图（均为原件，一式两套）移交给发包人档案管理部门并取得发包人档案管理部门的移交凭证。如期完成工程档案移交的，由发包人支付至工程价款的85％（</w:t>
      </w:r>
      <w:permStart w:id="320" w:edGrp="everyone"/>
      <w:r>
        <w:rPr>
          <w:rFonts w:hint="eastAsia" w:ascii="仿宋_GB2312" w:hAnsi="仿宋_GB2312" w:eastAsia="仿宋_GB2312" w:cs="仿宋_GB2312"/>
          <w:color w:val="auto"/>
          <w:kern w:val="0"/>
          <w:sz w:val="24"/>
          <w:szCs w:val="24"/>
          <w:highlight w:val="none"/>
          <w:lang w:val="en-US" w:eastAsia="zh-CN"/>
        </w:rPr>
        <w:t>☒</w:t>
      </w:r>
      <w:permEnd w:id="320"/>
      <w:r>
        <w:rPr>
          <w:rFonts w:hint="eastAsia" w:ascii="仿宋_GB2312" w:hAnsi="仿宋_GB2312" w:eastAsia="仿宋_GB2312" w:cs="仿宋_GB2312"/>
          <w:color w:val="auto"/>
          <w:kern w:val="0"/>
          <w:sz w:val="24"/>
          <w:szCs w:val="24"/>
          <w:highlight w:val="none"/>
        </w:rPr>
        <w:t>分片区的，支付至对应片区工程价款的85%）；未能如期移交的，每天扣罚合同价的</w:t>
      </w:r>
      <w:permStart w:id="321" w:edGrp="everyone"/>
      <w:r>
        <w:rPr>
          <w:rFonts w:hint="eastAsia" w:ascii="仿宋_GB2312" w:hAnsi="仿宋_GB2312" w:eastAsia="仿宋_GB2312" w:cs="仿宋_GB2312"/>
          <w:color w:val="auto"/>
          <w:kern w:val="0"/>
          <w:sz w:val="24"/>
          <w:szCs w:val="24"/>
          <w:highlight w:val="none"/>
          <w:u w:val="single"/>
        </w:rPr>
        <w:t>1.5‰</w:t>
      </w:r>
      <w:permEnd w:id="321"/>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r>
        <w:rPr>
          <w:rFonts w:hint="eastAsia" w:ascii="仿宋_GB2312" w:hAnsi="仿宋_GB2312" w:eastAsia="仿宋_GB2312" w:cs="仿宋_GB2312"/>
          <w:color w:val="auto"/>
          <w:kern w:val="0"/>
          <w:sz w:val="24"/>
          <w:szCs w:val="24"/>
          <w:highlight w:val="none"/>
          <w:lang w:val="zh-CN"/>
        </w:rPr>
        <w:t>本工程</w:t>
      </w:r>
      <w:permStart w:id="322" w:edGrp="everyone"/>
      <w:r>
        <w:rPr>
          <w:rFonts w:hint="eastAsia" w:ascii="仿宋_GB2312" w:hAnsi="仿宋_GB2312" w:eastAsia="仿宋_GB2312" w:cs="仿宋_GB2312"/>
          <w:color w:val="auto"/>
          <w:kern w:val="0"/>
          <w:sz w:val="24"/>
          <w:szCs w:val="24"/>
          <w:highlight w:val="none"/>
          <w:lang w:val="en-US" w:eastAsia="zh-CN"/>
        </w:rPr>
        <w:t>☒</w:t>
      </w:r>
      <w:permEnd w:id="322"/>
      <w:r>
        <w:rPr>
          <w:rFonts w:hint="eastAsia" w:ascii="仿宋_GB2312" w:hAnsi="仿宋_GB2312" w:eastAsia="仿宋_GB2312" w:cs="仿宋_GB2312"/>
          <w:color w:val="auto"/>
          <w:kern w:val="0"/>
          <w:sz w:val="24"/>
          <w:szCs w:val="24"/>
          <w:highlight w:val="none"/>
        </w:rPr>
        <w:t>按片区分别结算，</w:t>
      </w:r>
      <w:r>
        <w:rPr>
          <w:rFonts w:hint="eastAsia" w:ascii="仿宋_GB2312" w:hAnsi="仿宋_GB2312" w:eastAsia="仿宋_GB2312" w:cs="仿宋_GB2312"/>
          <w:color w:val="auto"/>
          <w:kern w:val="0"/>
          <w:sz w:val="24"/>
          <w:szCs w:val="24"/>
          <w:highlight w:val="none"/>
          <w:lang w:val="zh-CN"/>
        </w:rPr>
        <w:t>结算工程量最终以现场监理工程师及发包人代表确认的工程量为准；</w:t>
      </w:r>
      <w:r>
        <w:rPr>
          <w:rFonts w:hint="eastAsia" w:ascii="仿宋_GB2312" w:hAnsi="仿宋_GB2312" w:eastAsia="仿宋_GB2312" w:cs="仿宋_GB2312"/>
          <w:color w:val="auto"/>
          <w:kern w:val="0"/>
          <w:sz w:val="24"/>
          <w:szCs w:val="24"/>
          <w:highlight w:val="none"/>
        </w:rPr>
        <w:t>工程结算经财政评审或发包人委托的第三方造价咨询单位审核、竣工资料和竣工图经市城建档案馆验收合格并已办理工程竣工验收备案和竣工档案认可手续后，</w:t>
      </w:r>
      <w:permStart w:id="323" w:edGrp="everyone"/>
      <w:r>
        <w:rPr>
          <w:rFonts w:hint="eastAsia" w:ascii="仿宋_GB2312" w:hAnsi="仿宋_GB2312" w:eastAsia="仿宋_GB2312" w:cs="仿宋_GB2312"/>
          <w:color w:val="auto"/>
          <w:kern w:val="0"/>
          <w:sz w:val="24"/>
          <w:szCs w:val="24"/>
          <w:highlight w:val="none"/>
        </w:rPr>
        <w:sym w:font="Wingdings 2" w:char="0052"/>
      </w:r>
      <w:permEnd w:id="323"/>
      <w:r>
        <w:rPr>
          <w:rFonts w:hint="eastAsia" w:ascii="仿宋_GB2312" w:hAnsi="仿宋_GB2312" w:eastAsia="仿宋_GB2312" w:cs="仿宋_GB2312"/>
          <w:color w:val="auto"/>
          <w:kern w:val="0"/>
          <w:sz w:val="24"/>
          <w:szCs w:val="24"/>
          <w:highlight w:val="none"/>
        </w:rPr>
        <w:t>发包人支付结算款/</w:t>
      </w:r>
      <w:permStart w:id="324" w:edGrp="everyone"/>
      <w:r>
        <w:rPr>
          <w:rFonts w:hint="eastAsia" w:ascii="仿宋_GB2312" w:hAnsi="仿宋_GB2312" w:eastAsia="仿宋_GB2312" w:cs="仿宋_GB2312"/>
          <w:color w:val="auto"/>
          <w:kern w:val="0"/>
          <w:sz w:val="24"/>
          <w:szCs w:val="24"/>
          <w:highlight w:val="none"/>
          <w:lang w:val="en-US" w:eastAsia="zh-CN"/>
        </w:rPr>
        <w:t>☒</w:t>
      </w:r>
      <w:permEnd w:id="324"/>
      <w:r>
        <w:rPr>
          <w:rFonts w:hint="eastAsia" w:ascii="仿宋_GB2312" w:hAnsi="仿宋_GB2312" w:eastAsia="仿宋_GB2312" w:cs="仿宋_GB2312"/>
          <w:color w:val="auto"/>
          <w:kern w:val="0"/>
          <w:sz w:val="24"/>
          <w:szCs w:val="24"/>
          <w:highlight w:val="none"/>
        </w:rPr>
        <w:t>发包人按已完结算的片区支付结算款，结算款付至结算价的97％(已包含因乙方未按规定履行合同义务而产生的各种违约金、扣罚金以及应由乙方交纳的各种费用等)。</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4）工程竣工验收后30天内承包人必须提交完整的结算资料，由承包人原因造成未能如期提交的，每天扣罚合同价的</w:t>
      </w:r>
      <w:permStart w:id="325" w:edGrp="everyone"/>
      <w:r>
        <w:rPr>
          <w:rFonts w:hint="eastAsia" w:ascii="仿宋_GB2312" w:hAnsi="仿宋_GB2312" w:eastAsia="仿宋_GB2312" w:cs="仿宋_GB2312"/>
          <w:color w:val="auto"/>
          <w:kern w:val="0"/>
          <w:sz w:val="24"/>
          <w:szCs w:val="24"/>
          <w:highlight w:val="none"/>
          <w:u w:val="single"/>
        </w:rPr>
        <w:t>0.1‰</w:t>
      </w:r>
      <w:permEnd w:id="325"/>
      <w:r>
        <w:rPr>
          <w:rFonts w:hint="eastAsia" w:ascii="仿宋_GB2312" w:hAnsi="仿宋_GB2312" w:eastAsia="仿宋_GB2312" w:cs="仿宋_GB2312"/>
          <w:color w:val="auto"/>
          <w:kern w:val="0"/>
          <w:sz w:val="24"/>
          <w:szCs w:val="24"/>
          <w:highlight w:val="none"/>
        </w:rPr>
        <w:t>。在本合同约定的缺陷责任期包括按本合同约定延长的期限终止后14天内，由监理人向承包人出具经发包人签认的缺陷责任期终止证书，并退还剩余的质量保证金（无息）。</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5）暂估价，根据第65条，经发包人审定金额后，按第81.1款执行。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6）建筑垃圾消纳费，根据本合同第一部分《协议书》第六条，经发包人审定金额后，按第81.1款执行。</w:t>
      </w:r>
    </w:p>
    <w:p>
      <w:pPr>
        <w:spacing w:line="420" w:lineRule="exact"/>
        <w:ind w:firstLine="480" w:firstLineChars="200"/>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7）发包人供应材料运输费，根据第48.8（1）项，经发包人审定金额后，按第81.1款执行。</w:t>
      </w:r>
    </w:p>
    <w:p>
      <w:pPr>
        <w:spacing w:line="420" w:lineRule="exact"/>
        <w:ind w:firstLine="480" w:firstLineChars="200"/>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以季度为单位，支付比例：</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以形象进度为准，具体为：</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jc w:val="both"/>
        <w:rPr>
          <w:rFonts w:hint="eastAsia" w:ascii="仿宋_GB2312" w:hAnsi="仿宋_GB2312" w:eastAsia="仿宋_GB2312" w:cs="仿宋_GB2312"/>
          <w:color w:val="auto"/>
          <w:kern w:val="0"/>
          <w:sz w:val="24"/>
          <w:szCs w:val="24"/>
          <w:highlight w:val="none"/>
          <w:lang w:val="en-US" w:eastAsia="zh-CN"/>
        </w:rPr>
      </w:pPr>
      <w:permStart w:id="326" w:edGrp="everyone"/>
      <w:r>
        <w:rPr>
          <w:rFonts w:hint="eastAsia" w:ascii="仿宋_GB2312" w:hAnsi="仿宋_GB2312" w:eastAsia="仿宋_GB2312" w:cs="仿宋_GB2312"/>
          <w:color w:val="auto"/>
          <w:kern w:val="0"/>
          <w:sz w:val="24"/>
          <w:szCs w:val="24"/>
          <w:highlight w:val="none"/>
          <w:lang w:val="en-US" w:eastAsia="zh-CN"/>
        </w:rPr>
        <w:t>☒</w:t>
      </w:r>
      <w:permEnd w:id="326"/>
      <w:r>
        <w:rPr>
          <w:rFonts w:hint="eastAsia" w:ascii="仿宋_GB2312" w:hAnsi="仿宋_GB2312" w:eastAsia="仿宋_GB2312" w:cs="仿宋_GB2312"/>
          <w:color w:val="auto"/>
          <w:kern w:val="0"/>
          <w:sz w:val="24"/>
          <w:szCs w:val="24"/>
          <w:highlight w:val="none"/>
        </w:rPr>
        <w:t>实施施工过程结算方式，具体为：</w:t>
      </w:r>
      <w:permStart w:id="327"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permEnd w:id="327"/>
    </w:p>
    <w:p>
      <w:pPr>
        <w:spacing w:line="420" w:lineRule="exact"/>
        <w:ind w:firstLine="480" w:firstLineChars="200"/>
        <w:rPr>
          <w:rFonts w:hint="eastAsia" w:ascii="仿宋_GB2312" w:hAnsi="仿宋_GB2312" w:eastAsia="仿宋_GB2312" w:cs="仿宋_GB2312"/>
          <w:color w:val="auto"/>
          <w:kern w:val="0"/>
          <w:sz w:val="24"/>
          <w:szCs w:val="24"/>
          <w:highlight w:val="none"/>
          <w:u w:val="single"/>
          <w:lang w:val="en-US" w:eastAsia="zh-CN"/>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其它方式：</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支付申请内容：（11）本期间应支付或扣留（回）的其他款项：</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（13）根据发包人要求、发包人委托的第三方社审机构要求提供的其他清单内容。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（2）政府资金投资工程的支付期、支付办法</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按通用条款的规定。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28" w:edGrp="everyone"/>
      <w:r>
        <w:rPr>
          <w:rFonts w:hint="eastAsia" w:ascii="仿宋_GB2312" w:hAnsi="仿宋_GB2312" w:eastAsia="仿宋_GB2312" w:cs="仿宋_GB2312"/>
          <w:color w:val="auto"/>
          <w:kern w:val="0"/>
          <w:sz w:val="24"/>
          <w:szCs w:val="24"/>
          <w:highlight w:val="none"/>
          <w:lang w:val="en-US" w:eastAsia="zh-CN"/>
        </w:rPr>
        <w:t>☒</w:t>
      </w:r>
      <w:permEnd w:id="328"/>
      <w:r>
        <w:rPr>
          <w:rFonts w:hint="eastAsia" w:ascii="仿宋_GB2312" w:hAnsi="仿宋_GB2312" w:eastAsia="仿宋_GB2312" w:cs="仿宋_GB2312"/>
          <w:color w:val="auto"/>
          <w:kern w:val="0"/>
          <w:sz w:val="24"/>
          <w:szCs w:val="24"/>
          <w:highlight w:val="none"/>
        </w:rPr>
        <w:t xml:space="preserve"> 实施施工过程结算方式：</w:t>
      </w:r>
      <w:permStart w:id="329"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29"/>
    </w:p>
    <w:p>
      <w:pPr>
        <w:spacing w:line="420" w:lineRule="exact"/>
        <w:ind w:left="220" w:hanging="240" w:hangingChars="1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其它方式：</w:t>
      </w:r>
      <w:r>
        <w:rPr>
          <w:rFonts w:hint="eastAsia" w:ascii="仿宋_GB2312" w:hAnsi="仿宋_GB2312" w:eastAsia="仿宋_GB2312" w:cs="仿宋_GB2312"/>
          <w:color w:val="auto"/>
          <w:kern w:val="0"/>
          <w:sz w:val="24"/>
          <w:szCs w:val="24"/>
          <w:highlight w:val="none"/>
          <w:u w:val="single"/>
        </w:rPr>
        <w:t xml:space="preserve">  项目资金涉及政府财政资金的，按照国库集中支付等国家相关规定办理，承包人申请合同进度款时应考虑市财政局资金拨付的周期较长，经承包人申请、发包人配合办理本合同涉财政资金进度款拨付期间，承包人不得以合同进度款未支付为由，拒绝履行本合同所有义务和职责或向发包人主张任何权利。</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81.2 期中支付的最低限额为</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元。</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（1）发包人逾期付款违约金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包人未按本合同约定的期限支付承包人依合同约定应当得到的款项，应当从应付之日起向承包人支付逾期付款违约金。承包人应当按照第74.2款的约定，在最终付款期限到期后28天内，向监理工程师递交索赔意向通知书，说明有权得到按本款约定的下列标准和方法计算的逾期付款违约金。承包人要求发包人支付逾期付款违约金不影响承包人要求发包人承担本合同约定的其他违约责任的权利。</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逾期付款违约金的计算标准为：逾期付款金额的日万分之三（单利计算）。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逾期付款违约金的计算方法为：逾期付款违约金从当期应付款的期限截止日之后的一天起开始计算。 </w:t>
      </w:r>
    </w:p>
    <w:p>
      <w:pPr>
        <w:spacing w:line="420" w:lineRule="exact"/>
        <w:ind w:left="437" w:leftChars="208"/>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（2）耗水费支付方式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新装管道试压、冲洗及消毒前，承包人凭由承包人发包人下属的供水分公司签发的《水费收缴通知单》及相关计量依据，向发包人申请耗水费的拨付。承包人应在收到耗水费后 5 日内向发包人下属的供水分公司足额缴纳耗水费。</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81.3 进度款支付</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发包人应在监理工程师和发包人确认并完成付款审批后的14个工作日内，按照进度付款证书列明的金额向承包人支付进度款。</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81.7工程进度款的暂停支付</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双方约定，任何时候发包人有权对承包人提供的资料进行复查，包括但不限于承包人提供的工程量报告，当发包人对施工现场的工作进度进行拍照取证后，与承包人提供的资料不符时，即认定承包人存在弄虚作假的行为，发包人有权对承包人的行为作严重违约处理，所有工程进度款暂停支付。</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（2）承包人未能提交本合同履约保证金或以银行保函形式提交的履约保函未在有效期内的，发包人有权暂停所有工程进度款支付。</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81.8 临时付款证书</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在合同约定的期限内，承包人和监理工程师无法对当期已完工程量和按合同约定应当支付的其他款项达成一致的，监理工程师应当在收到承包人报送的进度付款申请单等文件后14天内，就承包人没有异议的金额准备一个临时付款证书，报送发包人审查。临时付款证书中应当说明承包人有异议部分的金额及其原因，经发包人签认后，由监理工程师向承包人出具临时付款证书。发包人应当在监理工程师收到进度付款申请单后28天内，将临时付款证书中确定的应付金额支付给承包人。发包人和监理工程师均不得以任何理由延期支付工程进度付款。对临时付款证书中列明的承包人有异议部分的金额，承包人应当按照监理工程师要求，提交进一步的支持性文件和（或）与监理工程师做进一步共同复核工作，经监理工程师进一步审核并认可的应付金额，应当按照第81.6款的约定纳入到下一期进度付款证书中。经过进一步努力，承包人仍有异议的，按照第86条的约定办理。</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有异议款项中经监理工程师进一步审核后认可的或者经过合同条款第86条约定的争议解决方式确定的应付金额，其应付之日为引发异议的进度付款证书的应付之日，承包人有权得到按照第81.2（1）项约定计算的逾期付款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81.9工人工资的支付</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承包人应根据《住房和城乡建设部人力资源社会保障部关于修改&lt;建筑工人实名制管理办法（试行）&gt;的通知》（建市〔2022〕59号）、《住房城乡建设部 人力资源社会保障部关于印发建筑工人实名管理办法（试行）的通知》（建市〔2019〕18号）、《工程建设领域农民工工资专用账户管理暂行办法）（人社部发〔2021〕53号）、《广州市住房和城乡建设局关于印发广州市建筑施工实名制管理办法的通知》（穗建规字〔2020〕18号）、《关于印发广州市建设领域工人工资支付分账管理实施细则的通知》（穗建规字〔2020〕37号）、《广州市住房和城乡建设局关于公布第五批广州市建设领域工人工资支付分账管理业务银行名录的通知》（穗建筑〔2022〕1号）、《广州市住房和城乡建设局关于进一步征集广州市建设领域工人工资支付分账业务银行的通知》（穗建筑〔2021〕673号）、《广州市水务局转发广州市根治拖欠农民工工资工作领导小组办公室关于广州市建设领域工程项目全面实施农民工工资总包代发制度的通知》（穗水投收字〔2020〕5031号）、《保障农民工工资支付条例》、《广州市水务投资集团有限公司农民工工资纠纷突发事件应急处置工作指引（试行）》等有关要求，做好农民工工资支付工作及落实实名制和工人工资支付分账制度。</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应在办理施工许可手续前，在建设行业主管部门公布的、项目所在地的商业银行办理工人工资支付专用账户，并将工人工资支付专用账户相关信息报监理工程师和发包人。同时，承包人应在用工之日起15日内为每个工人办理工人工资个人账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应当建立工人实名、考勤、工资结算、支付等制度和管理台账，并存档备查，并将相关信息按月报送监理工程师，承包人的工人工资支付分账管理落实情况资料作为当期工程进度款申请拨付依据之一。</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发包人按本合同约定的工人工资款比例，将每期工程进度款中的工人工资款拨付到承包人的工人工资支付专用账户。承包人应将每期工人工资的银行支付凭证资料作为下期工程进度款请款资料提交给发包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1）工程进度款中的工人工资款比例：参照施工招标的《中标通知书》中单列的人工费金额除以中标金额对应的工程价款计算。</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对实名制管理和工人工资支付负总责，分包单位支付工资情况进行监督。承包人依法将部分工程分包的，应当按第7条约定执行，与分包单位签订分包合同，并明确工人工资比例。工人工资支付专用账户资金少于应支付工人工资的，承包人应当及时补足。</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如存在客观原因，承包人未能在广州市建设领域管理应用信息平台办理实名制登记情况下，承包人仍须按本合同约定自行落实工人工资实名制，设置专门的工人工资支付账户。发包人将不定期对工人工资支付的银行划转凭证及台账资料进行抽查，如承包人未自行落实实名制和工人工资支付分账制度，按约定追究其违约责任。</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（5）承包人若没有实施上述措施，在工程结算时将对该项包干管理费用予以扣减。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81.10暂估价，根据第65条，经发包人审定金额后，按第81.1款执行。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81.11建筑垃圾消纳费，根据本合同第一部分《协议书》第六条，经发包人审定金额后，按第81.1款执行。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81.12发包人供应材料运输费，根据第48.8（1）项，经发包人审定金额后，按第81.1款执行。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81.13</w:t>
      </w:r>
      <w:permStart w:id="330" w:edGrp="everyone"/>
      <w:r>
        <w:rPr>
          <w:rFonts w:hint="eastAsia" w:ascii="仿宋_GB2312" w:hAnsi="仿宋_GB2312" w:eastAsia="仿宋_GB2312" w:cs="仿宋_GB2312"/>
          <w:color w:val="auto"/>
          <w:kern w:val="0"/>
          <w:sz w:val="24"/>
          <w:szCs w:val="24"/>
          <w:highlight w:val="none"/>
          <w:lang w:val="en-US" w:eastAsia="zh-CN"/>
        </w:rPr>
        <w:t>☒</w:t>
      </w:r>
      <w:permEnd w:id="330"/>
      <w:r>
        <w:rPr>
          <w:rFonts w:hint="eastAsia" w:ascii="仿宋_GB2312" w:hAnsi="仿宋_GB2312" w:eastAsia="仿宋_GB2312" w:cs="仿宋_GB2312"/>
          <w:color w:val="auto"/>
          <w:kern w:val="0"/>
          <w:sz w:val="24"/>
          <w:szCs w:val="24"/>
          <w:highlight w:val="none"/>
        </w:rPr>
        <w:t>总价措施费中的“盾构段钢结构工作平台”原则上按包含五次搭拆摊销费用，根据投标报价包干使用。如因客观原因或发包人意见，最终搭拆次数超出该范围，超出部分双方友好协商适度计算。</w:t>
      </w:r>
      <w:bookmarkStart w:id="710" w:name="_Toc469384131"/>
      <w:bookmarkStart w:id="711" w:name="_Toc10624975"/>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82. 竣工结算</w:t>
      </w:r>
      <w:bookmarkEnd w:id="710"/>
      <w:bookmarkEnd w:id="711"/>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82.1 （1）竣工结算的程序和时限：</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331" w:edGrp="everyone"/>
      <w:r>
        <w:rPr>
          <w:rFonts w:hint="eastAsia" w:ascii="仿宋_GB2312" w:hAnsi="仿宋_GB2312" w:eastAsia="仿宋_GB2312" w:cs="仿宋_GB2312"/>
          <w:color w:val="auto"/>
          <w:kern w:val="0"/>
          <w:sz w:val="24"/>
          <w:szCs w:val="24"/>
          <w:highlight w:val="none"/>
        </w:rPr>
        <w:sym w:font="Wingdings 2" w:char="0052"/>
      </w:r>
      <w:permEnd w:id="331"/>
      <w:r>
        <w:rPr>
          <w:rFonts w:hint="eastAsia" w:ascii="仿宋_GB2312" w:hAnsi="仿宋_GB2312" w:eastAsia="仿宋_GB2312" w:cs="仿宋_GB2312"/>
          <w:color w:val="auto"/>
          <w:kern w:val="0"/>
          <w:sz w:val="24"/>
          <w:szCs w:val="24"/>
          <w:highlight w:val="none"/>
        </w:rPr>
        <w:t xml:space="preserve"> 按通用条款的规定办理。</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332" w:edGrp="everyone"/>
      <w:r>
        <w:rPr>
          <w:rFonts w:hint="eastAsia" w:ascii="仿宋_GB2312" w:hAnsi="仿宋_GB2312" w:eastAsia="仿宋_GB2312" w:cs="仿宋_GB2312"/>
          <w:color w:val="auto"/>
          <w:kern w:val="0"/>
          <w:sz w:val="24"/>
          <w:szCs w:val="24"/>
          <w:highlight w:val="none"/>
          <w:lang w:val="en-US" w:eastAsia="zh-CN"/>
        </w:rPr>
        <w:t>☒</w:t>
      </w:r>
      <w:permEnd w:id="332"/>
      <w:r>
        <w:rPr>
          <w:rFonts w:hint="eastAsia" w:ascii="仿宋_GB2312" w:hAnsi="仿宋_GB2312" w:eastAsia="仿宋_GB2312" w:cs="仿宋_GB2312"/>
          <w:color w:val="auto"/>
          <w:kern w:val="0"/>
          <w:sz w:val="24"/>
          <w:szCs w:val="24"/>
          <w:highlight w:val="none"/>
        </w:rPr>
        <w:t xml:space="preserve"> 另作约定：</w:t>
      </w:r>
      <w:permStart w:id="333"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33"/>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（2）施工过程结算约定：</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1）施工过程结算的程序</w:t>
      </w:r>
      <w:r>
        <w:rPr>
          <w:rFonts w:hint="eastAsia" w:ascii="仿宋_GB2312" w:hAnsi="仿宋_GB2312" w:eastAsia="仿宋_GB2312" w:cs="仿宋_GB2312"/>
          <w:color w:val="auto"/>
          <w:kern w:val="0"/>
          <w:sz w:val="24"/>
          <w:szCs w:val="24"/>
          <w:highlight w:val="none"/>
        </w:rPr>
        <w:t>：</w:t>
      </w:r>
      <w:permStart w:id="334"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34"/>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r>
        <w:rPr>
          <w:rFonts w:hint="eastAsia" w:ascii="仿宋_GB2312" w:hAnsi="仿宋_GB2312" w:eastAsia="仿宋_GB2312" w:cs="仿宋_GB2312"/>
          <w:color w:val="auto"/>
          <w:sz w:val="24"/>
          <w:szCs w:val="24"/>
          <w:highlight w:val="none"/>
        </w:rPr>
        <w:t>施工过程结算节点：</w:t>
      </w:r>
    </w:p>
    <w:p>
      <w:pPr>
        <w:spacing w:line="420" w:lineRule="exact"/>
        <w:ind w:firstLine="480" w:firstLineChars="200"/>
        <w:rPr>
          <w:rFonts w:hint="eastAsia" w:ascii="仿宋_GB2312" w:hAnsi="仿宋_GB2312" w:eastAsia="仿宋_GB2312" w:cs="仿宋_GB2312"/>
          <w:color w:val="auto"/>
          <w:sz w:val="24"/>
          <w:szCs w:val="24"/>
          <w:highlight w:val="none"/>
        </w:rPr>
      </w:pPr>
      <w:permStart w:id="335" w:edGrp="everyone"/>
      <w:r>
        <w:rPr>
          <w:rFonts w:hint="eastAsia" w:ascii="仿宋_GB2312" w:hAnsi="仿宋_GB2312" w:eastAsia="仿宋_GB2312" w:cs="仿宋_GB2312"/>
          <w:color w:val="auto"/>
          <w:kern w:val="0"/>
          <w:sz w:val="24"/>
          <w:szCs w:val="24"/>
          <w:highlight w:val="none"/>
          <w:lang w:val="en-US" w:eastAsia="zh-CN"/>
        </w:rPr>
        <w:t>☒</w:t>
      </w:r>
      <w:permEnd w:id="335"/>
      <w:r>
        <w:rPr>
          <w:rFonts w:hint="eastAsia" w:ascii="仿宋_GB2312" w:hAnsi="仿宋_GB2312" w:eastAsia="仿宋_GB2312" w:cs="仿宋_GB2312"/>
          <w:color w:val="auto"/>
          <w:sz w:val="24"/>
          <w:szCs w:val="24"/>
          <w:highlight w:val="none"/>
        </w:rPr>
        <w:t>工程分标段施工的，以标段完成后作为施工过程结算节点：</w:t>
      </w:r>
      <w:permStart w:id="336"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36"/>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permStart w:id="337" w:edGrp="everyone"/>
      <w:r>
        <w:rPr>
          <w:rFonts w:hint="eastAsia" w:ascii="仿宋_GB2312" w:hAnsi="仿宋_GB2312" w:eastAsia="仿宋_GB2312" w:cs="仿宋_GB2312"/>
          <w:color w:val="auto"/>
          <w:kern w:val="0"/>
          <w:sz w:val="24"/>
          <w:szCs w:val="24"/>
          <w:highlight w:val="none"/>
          <w:lang w:val="en-US" w:eastAsia="zh-CN"/>
        </w:rPr>
        <w:t>☒</w:t>
      </w:r>
      <w:permEnd w:id="337"/>
      <w:r>
        <w:rPr>
          <w:rFonts w:hint="eastAsia" w:ascii="仿宋_GB2312" w:hAnsi="仿宋_GB2312" w:eastAsia="仿宋_GB2312" w:cs="仿宋_GB2312"/>
          <w:color w:val="auto"/>
          <w:sz w:val="24"/>
          <w:szCs w:val="24"/>
          <w:highlight w:val="none"/>
        </w:rPr>
        <w:t>以完成单项工程、单位工程、分部工程作为施工过程结算节点：</w:t>
      </w:r>
      <w:permStart w:id="338"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38"/>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permStart w:id="339" w:edGrp="everyone"/>
      <w:r>
        <w:rPr>
          <w:rFonts w:hint="eastAsia" w:ascii="仿宋_GB2312" w:hAnsi="仿宋_GB2312" w:eastAsia="仿宋_GB2312" w:cs="仿宋_GB2312"/>
          <w:color w:val="auto"/>
          <w:kern w:val="0"/>
          <w:sz w:val="24"/>
          <w:szCs w:val="24"/>
          <w:highlight w:val="none"/>
          <w:lang w:val="en-US" w:eastAsia="zh-CN"/>
        </w:rPr>
        <w:t>☒</w:t>
      </w:r>
      <w:permEnd w:id="339"/>
      <w:r>
        <w:rPr>
          <w:rFonts w:hint="eastAsia" w:ascii="仿宋_GB2312" w:hAnsi="仿宋_GB2312" w:eastAsia="仿宋_GB2312" w:cs="仿宋_GB2312"/>
          <w:color w:val="auto"/>
          <w:sz w:val="24"/>
          <w:szCs w:val="24"/>
          <w:highlight w:val="none"/>
        </w:rPr>
        <w:t>规模较大的分部工程或分部工程计划完成时间一年以上的，以完成分部工程的进度节点或时间（季、年等）节点作为施工过程结算节点：</w:t>
      </w:r>
      <w:permStart w:id="340"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40"/>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permStart w:id="341" w:edGrp="everyone"/>
      <w:r>
        <w:rPr>
          <w:rFonts w:hint="eastAsia" w:ascii="仿宋_GB2312" w:hAnsi="仿宋_GB2312" w:eastAsia="仿宋_GB2312" w:cs="仿宋_GB2312"/>
          <w:color w:val="auto"/>
          <w:kern w:val="0"/>
          <w:sz w:val="24"/>
          <w:szCs w:val="24"/>
          <w:highlight w:val="none"/>
          <w:lang w:val="en-US" w:eastAsia="zh-CN"/>
        </w:rPr>
        <w:t>☒</w:t>
      </w:r>
      <w:permEnd w:id="341"/>
      <w:r>
        <w:rPr>
          <w:rFonts w:hint="eastAsia" w:ascii="仿宋_GB2312" w:hAnsi="仿宋_GB2312" w:eastAsia="仿宋_GB2312" w:cs="仿宋_GB2312"/>
          <w:color w:val="auto"/>
          <w:sz w:val="24"/>
          <w:szCs w:val="24"/>
          <w:highlight w:val="none"/>
        </w:rPr>
        <w:t>以完成工程功能内容或专业工程作为施工过程结算节点：</w:t>
      </w:r>
      <w:permStart w:id="342"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42"/>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43" w:edGrp="everyone"/>
      <w:r>
        <w:rPr>
          <w:rFonts w:hint="eastAsia" w:ascii="仿宋_GB2312" w:hAnsi="仿宋_GB2312" w:eastAsia="仿宋_GB2312" w:cs="仿宋_GB2312"/>
          <w:color w:val="auto"/>
          <w:kern w:val="0"/>
          <w:sz w:val="24"/>
          <w:szCs w:val="24"/>
          <w:highlight w:val="none"/>
          <w:lang w:val="en-US" w:eastAsia="zh-CN"/>
        </w:rPr>
        <w:t>☒</w:t>
      </w:r>
      <w:permEnd w:id="343"/>
      <w:r>
        <w:rPr>
          <w:rFonts w:hint="eastAsia" w:ascii="仿宋_GB2312" w:hAnsi="仿宋_GB2312" w:eastAsia="仿宋_GB2312" w:cs="仿宋_GB2312"/>
          <w:color w:val="auto"/>
          <w:kern w:val="0"/>
          <w:sz w:val="24"/>
          <w:szCs w:val="24"/>
          <w:highlight w:val="none"/>
        </w:rPr>
        <w:t>其它：</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3）</w:t>
      </w:r>
      <w:r>
        <w:rPr>
          <w:rFonts w:hint="eastAsia" w:ascii="仿宋_GB2312" w:hAnsi="仿宋_GB2312" w:eastAsia="仿宋_GB2312" w:cs="仿宋_GB2312"/>
          <w:color w:val="auto"/>
          <w:sz w:val="24"/>
          <w:szCs w:val="24"/>
          <w:highlight w:val="none"/>
        </w:rPr>
        <w:t>施工过程结算价款的编制与核对：</w:t>
      </w:r>
      <w:permStart w:id="344"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44"/>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4）采用施工过程结算方法时竣工结算价款的编制与核对：</w:t>
      </w:r>
      <w:permStart w:id="345"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45"/>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5）</w:t>
      </w:r>
      <w:r>
        <w:rPr>
          <w:rFonts w:hint="eastAsia" w:ascii="仿宋_GB2312" w:hAnsi="仿宋_GB2312" w:eastAsia="仿宋_GB2312" w:cs="仿宋_GB2312"/>
          <w:color w:val="auto"/>
          <w:sz w:val="24"/>
          <w:szCs w:val="24"/>
          <w:highlight w:val="none"/>
        </w:rPr>
        <w:t>施工过程结算支付时限</w:t>
      </w:r>
      <w:r>
        <w:rPr>
          <w:rFonts w:hint="eastAsia" w:ascii="仿宋_GB2312" w:hAnsi="仿宋_GB2312" w:eastAsia="仿宋_GB2312" w:cs="仿宋_GB2312"/>
          <w:color w:val="auto"/>
          <w:kern w:val="0"/>
          <w:sz w:val="24"/>
          <w:szCs w:val="24"/>
          <w:highlight w:val="none"/>
        </w:rPr>
        <w:t>：</w:t>
      </w:r>
      <w:permStart w:id="346"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46"/>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6）</w:t>
      </w:r>
      <w:r>
        <w:rPr>
          <w:rFonts w:hint="eastAsia" w:ascii="仿宋_GB2312" w:hAnsi="仿宋_GB2312" w:eastAsia="仿宋_GB2312" w:cs="仿宋_GB2312"/>
          <w:color w:val="auto"/>
          <w:sz w:val="24"/>
          <w:szCs w:val="24"/>
          <w:highlight w:val="none"/>
        </w:rPr>
        <w:t>分段结算的其他约定</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spacing w:line="420" w:lineRule="exact"/>
        <w:ind w:left="94" w:leftChars="45"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（3）对属于《广州市财政投资评审管理办法》评审范围的财政性资金投资项目，财政投资评审结果作为该项目价款结算的依据。</w:t>
      </w:r>
    </w:p>
    <w:p>
      <w:pPr>
        <w:spacing w:line="420" w:lineRule="exact"/>
        <w:ind w:left="101" w:leftChars="48"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应在提交竣工验收报告的同时向发包人提供完整的工程竣工结算资料，双方按照协议书约定的合同价款及专用条款约定的合同价款调整内容，进行工程竣工结算。工程量结算最终以现场监理工程师及业主代表确认的工程量为准，工程结算造价以财政部门或业主委托的第三方造价机构审核后的工程结算价作为本合同项目的最终结算造价。</w:t>
      </w:r>
    </w:p>
    <w:p>
      <w:pPr>
        <w:spacing w:line="420" w:lineRule="exact"/>
        <w:ind w:left="94" w:leftChars="45"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工程师收到承包人递交的竣工结算报告及符合发包人要求的结算资料后进行核实，提出审核意见后送交发包人。发包人进行结算审核，承包人应配合发包人的结算工作，承包人未在合同约定时间内提供完整的工程竣工结算资料，经发包人催促后14天内仍未提供或没有明确答复的或提出不正当理由延期的，发包人有权根据已有资料办理结算，责任由承包人自负。</w:t>
      </w:r>
    </w:p>
    <w:p>
      <w:pPr>
        <w:spacing w:line="420" w:lineRule="exact"/>
        <w:ind w:left="101" w:leftChars="48"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（6）对于结算送审价超</w:t>
      </w:r>
      <w:r>
        <w:rPr>
          <w:rFonts w:hint="eastAsia" w:ascii="仿宋_GB2312" w:hAnsi="仿宋_GB2312" w:eastAsia="仿宋_GB2312" w:cs="仿宋_GB2312"/>
          <w:color w:val="auto"/>
          <w:kern w:val="0"/>
          <w:sz w:val="24"/>
          <w:szCs w:val="24"/>
          <w:highlight w:val="none"/>
        </w:rPr>
        <w:sym w:font="Wingdings" w:char="00FE"/>
      </w:r>
      <w:r>
        <w:rPr>
          <w:rFonts w:hint="eastAsia" w:ascii="仿宋_GB2312" w:hAnsi="仿宋_GB2312" w:eastAsia="仿宋_GB2312" w:cs="仿宋_GB2312"/>
          <w:color w:val="auto"/>
          <w:kern w:val="0"/>
          <w:sz w:val="24"/>
          <w:szCs w:val="24"/>
          <w:highlight w:val="none"/>
        </w:rPr>
        <w:t>合同签订价/☒承包人提供的会审后施工预算（招标图招标适用）10%（含10%），如按分区或单元工程送审结算的，则各单元工程应同步送审（甩项除外），如要求按单元工程分别送审的，送审价按各区或单元工程送审总额核算的，若其结算核减率（即核减金额比送审金额）超过10%，超出10%的部分结算核减额所产生的结算评审服务费用须由承包单位承担，并在工程结算款内扣除。经发包人同意分批出具结算意见的，按总额核算后在最后一批结算款内扣减。</w:t>
      </w:r>
    </w:p>
    <w:p>
      <w:pPr>
        <w:spacing w:line="420" w:lineRule="exact"/>
        <w:ind w:left="94" w:leftChars="45"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（7）若项目列入政府审核或主管部门的社会审核计划，承包人有义务配合相关抽审工作；审核机构认为需调整终审金额的，应当无条件按审核机构出具的审核意见执行，办理多退少补。</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82.2</w:t>
      </w:r>
      <w:r>
        <w:rPr>
          <w:rFonts w:hint="eastAsia" w:ascii="仿宋_GB2312" w:hAnsi="仿宋_GB2312" w:eastAsia="仿宋_GB2312" w:cs="仿宋_GB2312"/>
          <w:color w:val="auto"/>
          <w:sz w:val="24"/>
          <w:szCs w:val="24"/>
          <w:highlight w:val="none"/>
        </w:rPr>
        <w:t>（1）竣工结算文件清单：</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 xml:space="preserve">1）工程结算书及电子文件：要求分两部分编制：第一部分是以竣工图为依据编制部分,包括图纸会审记录、设计变更、监理工程师通知或发包人施工指令等；第二部分以现场签证、工程洽商记录以及其它有关费用为依据编制部分。上述两部分不应有重复列项的内容，用电脑编制的结算书要求提供相应的电子版本并注明使用软件。必须使用清单计价，并严格按照清单规范编制。 </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2）工程量计算书：工程量计算书应由工程量汇总表和详细的工程量计算式组成，工程量应有详细的计算表达式，施工图、图纸会审记录、设计变更、工程洽商记录、现场签证单、监理工程师通知或发包人施工指令等部分的内容应在工程量计算式中一次计量。</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3）钢筋抽料表（如有）：钢筋抽料表应提供详细的抽料表和明细汇总表，详细的抽料表应注明钢筋所在构件名称、施工部位、钢筋编号、图样、计算式等，明细汇总表应区分不同类型、不同构件的汇总数量。</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4）合同文件：包括发包人与承包人签订的工程承发包合同、经发包人确认的承包人与第三方签订的分包合同、各类补充合同、合同附件等，要求将上述合同文件列出总目录按顺序整理装订成册。</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5）工程竣工图（含电子版和相关部门要求的专用软件版本）：竣工图是工程结算依据的关键部分，必须与现场实际情况完全一致，必须有施工单位竣工图专用章及其相关人员签字。经发包人、设计、监理等单位确认的图纸会审记录、设计变更、监理工程师通知或发包人施工指令等内容均应反映在相应的竣工图上。对未在竣工图上反映的图纸会审记录、设计变更等内容，其费用在结算时发包人有权不予考虑；对未在竣工图纸上反映的事实变更，结算时发包人有权作出调整。</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6）工程竣工资料（含电子版及相关部门要求的专用软件版本、单位工程开工申请报告、单位工程工程竣工验收报告）：开工报告、工程质量验收评定证书、材料检验报告、产品质量合格证、经发包人批准的施工组织设计或施工方案、隐蔽工程验收记录、安装工程的调试方案和调试记录等。要求监理工程师和发包人在确认表上盖章确认。</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7）图纸会审记录：要求按图纸会审的时间先后整理装订成册，图纸会审记录须有各单位参加会审人员签字及会审单位盖章确认。</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8）工程设计变更文件：要求分专业，按变更的时间先后整理装订成册。设计变更审批表要求原件，审批手续完备。</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9）工程洽商记录：要求根据工程洽商记录的时间先后整理装订成册，统一编号，要有监理单位和发包人相关人员的签字和单位盖章确认。</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10）监理工程师通知或发包人施工指令：要求根据监理工程师通知或发包人施工指令的时间先后整理装订成册，统一编号。监理工程师通知及发包人施工指令要求为原件。</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11）会议纪要：指工程质量、安全、技术、经济等现场协调会会议纪要等。要求根据会议纪要的时间先后整理装订成册，统一编号。会议纪要要求有参与会议的各方代表签字，并有监理人和发包人盖章确认。</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12）工程签证文件：要求根据现场签证单的时间先后整理装订成册，现场签证单上应有工程数量的计算过程、具体部位和施工简图，审批手续完备。</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13）材料设备单价呈批审核单：承包人采购的材料设备要求根据材料设备单价呈批审核单的编号顺序整理装订成册。每项审核单应附有相关的资料或注明相关资料在送审结算资料的具体位置，审批手续完备；发包人供应的材料设备应由承包人提供材料实际耗用量确认表。</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14）综合单价呈批审核单</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15）招标文件（含工程量清单）、答疑纪要：包括招标图纸、招标文件所附合同条款和技术规范、投标须知、招标澄清、招标答疑纪要、工程量清单等整套招标文件及其附件（由发包人另行提供）。</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16）投标文件（含经济标软件版）、中标通知书：包括技术标、经济标、投标承诺书、投标补充函等所有投标文件和中标通知书。</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17）发包人供应材料收货验收签收单（如有）</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18）其他结算资料：在结算审核中需要的其他资料均需提供，例如：打桩、地基处理、回填等隐蔽记录、施工日记、地质勘察报告、非常用的标准图集、应由施工单位承担而由建设单位支付的费用证明等。</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19）工期履行审核表</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20）移交资料签收表</w:t>
      </w:r>
    </w:p>
    <w:p>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21）增项目审批文件：要求分专业，按新增项目的时间先后整理装订成册。新增项目审批表要求原件，审批手续完备。</w:t>
      </w:r>
    </w:p>
    <w:p>
      <w:pPr>
        <w:spacing w:line="420" w:lineRule="exact"/>
        <w:ind w:firstLine="480" w:firstLineChars="200"/>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22）其它</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（2）发包人对送审结算资料的具体要求： 竣工结算资料一式两套，有关竣工结算文件的编制和审核均须经承包人签字及盖章确认。</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（3）承包人应在发包人相关结算管理制度规定的响应时间内完成对数，如需补充资料需按发包人相关结算管理制度规定的响应时间内补充相关资料。未按时完成对数或补充资料的，每逾期一天扣罚合同价的</w:t>
      </w:r>
      <w:r>
        <w:rPr>
          <w:rFonts w:hint="eastAsia" w:ascii="仿宋_GB2312" w:hAnsi="仿宋_GB2312" w:eastAsia="仿宋_GB2312" w:cs="仿宋_GB2312"/>
          <w:color w:val="auto"/>
          <w:kern w:val="0"/>
          <w:sz w:val="24"/>
          <w:szCs w:val="24"/>
          <w:highlight w:val="none"/>
          <w:u w:val="single"/>
        </w:rPr>
        <w:t>1.5‰</w:t>
      </w:r>
      <w:r>
        <w:rPr>
          <w:rFonts w:hint="eastAsia" w:ascii="仿宋_GB2312" w:hAnsi="仿宋_GB2312" w:eastAsia="仿宋_GB2312" w:cs="仿宋_GB2312"/>
          <w:color w:val="auto"/>
          <w:kern w:val="0"/>
          <w:sz w:val="24"/>
          <w:szCs w:val="24"/>
          <w:highlight w:val="none"/>
        </w:rPr>
        <w:t>，且发包人有权根据已有资料办理结算。</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（4）单方结算</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承包人必须按时提交完整的结算资料。</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1）竣工后超出合同规定的结算资料提交时间并经发包人书面发函催办仍然不响应提交结算资料的，发包人可执行3）条款。</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结算审核期间，对发包人或第三方审核机构出具的审核意见，通过下述途径仍无法达到一致意见的，发包人可执行3）条款。结算清单内项目（是否结算清单由发包人决定），三个月内无实质性响应和回复，并且经发包人、第三方审核机构、承包人参加的协调会均无法达成一致意见的；非结算清单内项目，六个月内无实质性响应和回复，并且经发包人、第三方审核机构、承包人参加的协调会均无法达成一致意见的；</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发包人根据已有资料、现场实际情况及监理工程师审核确认后，办理单方结算，并将结算成果发函至承包人。承包人不得因单方结算减少自身的保修责任，发包人保留相关因单方结算导致的损失向施工方追讨实际损失的权利。</w:t>
      </w:r>
      <w:bookmarkStart w:id="712" w:name="_Toc469384132"/>
      <w:bookmarkStart w:id="713" w:name="_Toc10624976"/>
    </w:p>
    <w:p>
      <w:pPr>
        <w:spacing w:line="420" w:lineRule="exact"/>
        <w:jc w:val="left"/>
        <w:rPr>
          <w:rFonts w:hint="eastAsia" w:ascii="仿宋_GB2312" w:hAnsi="仿宋_GB2312" w:eastAsia="仿宋_GB2312" w:cs="仿宋_GB2312"/>
          <w:color w:val="auto"/>
          <w:kern w:val="0"/>
          <w:sz w:val="24"/>
          <w:szCs w:val="24"/>
          <w:highlight w:val="none"/>
        </w:rPr>
      </w:pPr>
    </w:p>
    <w:p>
      <w:pPr>
        <w:spacing w:line="420" w:lineRule="exact"/>
        <w:jc w:val="lef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★83. 结算款</w:t>
      </w:r>
      <w:bookmarkEnd w:id="712"/>
      <w:bookmarkEnd w:id="713"/>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83.1 提交竣工支付申请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 竣工支付申请单</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承包人提交竣工支付申请单的份数：</w:t>
      </w:r>
      <w:permStart w:id="347"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eastAsia="zh-CN"/>
        </w:rPr>
        <w:t>一式两份</w:t>
      </w:r>
      <w:r>
        <w:rPr>
          <w:rFonts w:hint="eastAsia" w:ascii="仿宋_GB2312" w:hAnsi="仿宋_GB2312" w:eastAsia="仿宋_GB2312" w:cs="仿宋_GB2312"/>
          <w:color w:val="auto"/>
          <w:kern w:val="0"/>
          <w:sz w:val="24"/>
          <w:szCs w:val="24"/>
          <w:highlight w:val="none"/>
          <w:u w:val="single"/>
        </w:rPr>
        <w:t xml:space="preserve">    </w:t>
      </w:r>
      <w:permEnd w:id="347"/>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承包人提交竣工支付申请单的期限：</w:t>
      </w:r>
      <w:permStart w:id="348"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eastAsia="zh-CN"/>
        </w:rPr>
        <w:t>工程竣工验收后</w:t>
      </w:r>
      <w:r>
        <w:rPr>
          <w:rFonts w:hint="eastAsia" w:ascii="仿宋_GB2312" w:hAnsi="仿宋_GB2312" w:eastAsia="仿宋_GB2312" w:cs="仿宋_GB2312"/>
          <w:color w:val="auto"/>
          <w:kern w:val="0"/>
          <w:sz w:val="24"/>
          <w:szCs w:val="24"/>
          <w:highlight w:val="none"/>
          <w:u w:val="single"/>
          <w:lang w:val="en-US" w:eastAsia="zh-CN"/>
        </w:rPr>
        <w:t>45天内</w:t>
      </w:r>
      <w:r>
        <w:rPr>
          <w:rFonts w:hint="eastAsia" w:ascii="仿宋_GB2312" w:hAnsi="仿宋_GB2312" w:eastAsia="仿宋_GB2312" w:cs="仿宋_GB2312"/>
          <w:color w:val="auto"/>
          <w:kern w:val="0"/>
          <w:sz w:val="24"/>
          <w:szCs w:val="24"/>
          <w:highlight w:val="none"/>
          <w:u w:val="single"/>
        </w:rPr>
        <w:t xml:space="preserve">  </w:t>
      </w:r>
      <w:permEnd w:id="348"/>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竣工支付申请单的内容：</w:t>
      </w:r>
      <w:permStart w:id="349"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eastAsia="zh-CN"/>
        </w:rPr>
        <w:t>不限于竣工（完工）结算合同总价、发包人已支付承包人的工程价款、应扣留的质量保证金、应支付的竣工（完工）结算付款金额等。</w:t>
      </w:r>
      <w:r>
        <w:rPr>
          <w:rFonts w:hint="eastAsia" w:ascii="仿宋_GB2312" w:hAnsi="仿宋_GB2312" w:eastAsia="仿宋_GB2312" w:cs="仿宋_GB2312"/>
          <w:color w:val="auto"/>
          <w:kern w:val="0"/>
          <w:sz w:val="24"/>
          <w:szCs w:val="24"/>
          <w:highlight w:val="none"/>
          <w:u w:val="single"/>
        </w:rPr>
        <w:t xml:space="preserve">    </w:t>
      </w:r>
      <w:permEnd w:id="349"/>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未按本项约定的期限和内容提交竣工付款申请单或者未按第83.1（2）项约定提交修正后的竣工支付申请单，经监理工程师催促后14天内仍未提交或者没有明确答复的，监理工程师和发包人有权根据已有资料进行审查，审查确定的竣工结算合同总价和竣工付款金额视同是经承包人认可的工程竣工结算合同总价和竣工付款金额。</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发包人在项目竣工验收后，6个月内完成本工程结算工作内办清竣工结算和竣工付款。</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（2）监理工程师对竣工支付申请单有异议的，有权要求承包人进行修正和提供补充资料。经监理工程师和承包人协商后，由承包人向监理工程师提交修正后的竣工支付申请单。</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 竣工支付期限</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按通用条款的规定，在造价工程师签发竣工结算支付证书后的28天内。</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另有约定：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 政府资金投资工程的支付期、支付办法</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（5）实施</w:t>
      </w:r>
      <w:r>
        <w:rPr>
          <w:rFonts w:hint="eastAsia" w:ascii="仿宋_GB2312" w:hAnsi="仿宋_GB2312" w:eastAsia="仿宋_GB2312" w:cs="仿宋_GB2312"/>
          <w:color w:val="auto"/>
          <w:sz w:val="24"/>
          <w:szCs w:val="24"/>
          <w:highlight w:val="none"/>
        </w:rPr>
        <w:t>施工过程结算</w:t>
      </w:r>
      <w:r>
        <w:rPr>
          <w:rFonts w:hint="eastAsia" w:ascii="仿宋_GB2312" w:hAnsi="仿宋_GB2312" w:eastAsia="仿宋_GB2312" w:cs="仿宋_GB2312"/>
          <w:color w:val="auto"/>
          <w:kern w:val="0"/>
          <w:sz w:val="24"/>
          <w:szCs w:val="24"/>
          <w:highlight w:val="none"/>
        </w:rPr>
        <w:t>的，其竣工结算支付方法：</w:t>
      </w:r>
      <w:permStart w:id="350"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50"/>
      <w:bookmarkStart w:id="714" w:name="_Toc10624977"/>
      <w:bookmarkStart w:id="715" w:name="_Toc469384133"/>
    </w:p>
    <w:p>
      <w:pPr>
        <w:spacing w:line="420" w:lineRule="exact"/>
        <w:rPr>
          <w:rFonts w:hint="eastAsia" w:ascii="仿宋_GB2312" w:hAnsi="仿宋_GB2312" w:eastAsia="仿宋_GB2312" w:cs="仿宋_GB2312"/>
          <w:b/>
          <w:bCs/>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★84. 质量保证金</w:t>
      </w:r>
      <w:bookmarkEnd w:id="714"/>
      <w:bookmarkEnd w:id="715"/>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84.2 质量保证金的约定与扣留</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 质量保证金的约定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按通用条款规定为合同价款的 3%(采用银行保函)，即 </w:t>
      </w:r>
      <w:permStart w:id="35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51"/>
      <w:r>
        <w:rPr>
          <w:rFonts w:hint="eastAsia" w:ascii="仿宋_GB2312" w:hAnsi="仿宋_GB2312" w:eastAsia="仿宋_GB2312" w:cs="仿宋_GB2312"/>
          <w:color w:val="auto"/>
          <w:kern w:val="0"/>
          <w:sz w:val="24"/>
          <w:szCs w:val="24"/>
          <w:highlight w:val="none"/>
        </w:rPr>
        <w:t>元。</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另有约定：</w:t>
      </w:r>
      <w:r>
        <w:rPr>
          <w:rFonts w:hint="eastAsia" w:ascii="仿宋_GB2312" w:hAnsi="仿宋_GB2312" w:eastAsia="仿宋_GB2312" w:cs="仿宋_GB2312"/>
          <w:color w:val="auto"/>
          <w:kern w:val="0"/>
          <w:sz w:val="24"/>
          <w:szCs w:val="24"/>
          <w:highlight w:val="none"/>
          <w:u w:val="single"/>
        </w:rPr>
        <w:t xml:space="preserve"> 质量保证金为审定后结算价的 3%。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 质量保证金的扣留</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按通用条款的规定，按每支付期应支付给承包人的进度款和结算款的3%扣留。</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另有约定：</w:t>
      </w:r>
      <w:r>
        <w:rPr>
          <w:rFonts w:hint="eastAsia" w:ascii="仿宋_GB2312" w:hAnsi="仿宋_GB2312" w:eastAsia="仿宋_GB2312" w:cs="仿宋_GB2312"/>
          <w:color w:val="auto"/>
          <w:kern w:val="0"/>
          <w:sz w:val="24"/>
          <w:szCs w:val="24"/>
          <w:highlight w:val="none"/>
          <w:u w:val="single"/>
        </w:rPr>
        <w:t xml:space="preserve"> 按应支付给承包人的审定后结算价的 3%扣留。质量缺陷期满后，在收到承包人退还申请的 14 日内无息退还。     </w:t>
      </w:r>
      <w:r>
        <w:rPr>
          <w:rFonts w:hint="eastAsia" w:ascii="仿宋_GB2312" w:hAnsi="仿宋_GB2312" w:eastAsia="仿宋_GB2312" w:cs="仿宋_GB2312"/>
          <w:color w:val="auto"/>
          <w:kern w:val="0"/>
          <w:sz w:val="24"/>
          <w:szCs w:val="24"/>
          <w:highlight w:val="none"/>
        </w:rPr>
        <w:t xml:space="preserve">    </w:t>
      </w:r>
      <w:bookmarkStart w:id="716" w:name="_Toc10624978"/>
      <w:bookmarkStart w:id="717" w:name="_Toc469384134"/>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85. 最终清算款</w:t>
      </w:r>
      <w:bookmarkEnd w:id="716"/>
      <w:bookmarkEnd w:id="717"/>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85.1 提交最终清算支付申请</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 最终清算支付申请</w:t>
      </w:r>
    </w:p>
    <w:p>
      <w:pPr>
        <w:spacing w:line="420" w:lineRule="exact"/>
        <w:ind w:firstLine="48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提交份数：</w:t>
      </w:r>
      <w:r>
        <w:rPr>
          <w:rFonts w:hint="eastAsia" w:ascii="仿宋_GB2312" w:hAnsi="仿宋_GB2312" w:eastAsia="仿宋_GB2312" w:cs="仿宋_GB2312"/>
          <w:color w:val="auto"/>
          <w:kern w:val="0"/>
          <w:sz w:val="24"/>
          <w:szCs w:val="24"/>
          <w:highlight w:val="none"/>
          <w:u w:val="single"/>
        </w:rPr>
        <w:t xml:space="preserve">   2份。        </w:t>
      </w:r>
    </w:p>
    <w:p>
      <w:pPr>
        <w:spacing w:line="420" w:lineRule="exact"/>
        <w:ind w:firstLine="48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提交期限：</w:t>
      </w:r>
      <w:r>
        <w:rPr>
          <w:rFonts w:hint="eastAsia" w:ascii="仿宋_GB2312" w:hAnsi="仿宋_GB2312" w:eastAsia="仿宋_GB2312" w:cs="仿宋_GB2312"/>
          <w:color w:val="auto"/>
          <w:kern w:val="0"/>
          <w:sz w:val="24"/>
          <w:szCs w:val="24"/>
          <w:highlight w:val="none"/>
          <w:u w:val="single"/>
        </w:rPr>
        <w:t xml:space="preserve">    按第85.2、85.5款办理。       </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(2)  最终清算支付时限</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按通用条款的规定，在造价工程师签发最终清算支付证书后的14天内。</w:t>
      </w:r>
    </w:p>
    <w:p>
      <w:pPr>
        <w:spacing w:line="420" w:lineRule="exact"/>
        <w:ind w:firstLine="44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另有约定：</w:t>
      </w:r>
      <w:r>
        <w:rPr>
          <w:rFonts w:hint="eastAsia" w:ascii="仿宋_GB2312" w:hAnsi="仿宋_GB2312" w:eastAsia="仿宋_GB2312" w:cs="仿宋_GB2312"/>
          <w:color w:val="auto"/>
          <w:kern w:val="0"/>
          <w:sz w:val="24"/>
          <w:szCs w:val="24"/>
          <w:highlight w:val="none"/>
          <w:u w:val="single"/>
        </w:rPr>
        <w:t xml:space="preserve">    /。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85.7 相关计价文件的有效性</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本合同中涉及的相关计价、价格文件，如遇上级部门最新调整的，则按最新版执行。</w:t>
      </w:r>
    </w:p>
    <w:p>
      <w:pPr>
        <w:widowControl w:val="0"/>
        <w:spacing w:after="120"/>
        <w:ind w:firstLine="440"/>
        <w:jc w:val="both"/>
        <w:rPr>
          <w:rFonts w:hint="eastAsia" w:ascii="仿宋_GB2312" w:hAnsi="仿宋_GB2312" w:eastAsia="仿宋_GB2312" w:cs="仿宋_GB2312"/>
          <w:color w:val="auto"/>
          <w:kern w:val="0"/>
          <w:sz w:val="24"/>
          <w:szCs w:val="24"/>
          <w:highlight w:val="none"/>
          <w:lang w:val="en-US" w:eastAsia="zh-CN" w:bidi="ar-SA"/>
        </w:rPr>
      </w:pPr>
    </w:p>
    <w:p>
      <w:pPr>
        <w:widowControl w:val="0"/>
        <w:numPr>
          <w:ilvl w:val="0"/>
          <w:numId w:val="0"/>
        </w:numPr>
        <w:tabs>
          <w:tab w:val="left" w:pos="420"/>
          <w:tab w:val="left" w:pos="576"/>
        </w:tabs>
        <w:spacing w:before="26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bookmarkStart w:id="718" w:name="_Toc469384135"/>
      <w:bookmarkStart w:id="719" w:name="_Toc10624979"/>
      <w:r>
        <w:rPr>
          <w:rFonts w:hint="eastAsia" w:ascii="黑体" w:hAnsi="黑体" w:eastAsia="黑体" w:cs="黑体"/>
          <w:b w:val="0"/>
          <w:bCs w:val="0"/>
          <w:color w:val="auto"/>
          <w:kern w:val="0"/>
          <w:sz w:val="24"/>
          <w:szCs w:val="24"/>
          <w:highlight w:val="none"/>
          <w:lang w:val="en-US" w:eastAsia="zh-CN" w:bidi="ar-SA"/>
        </w:rPr>
        <w:t>86. 合同争议</w:t>
      </w:r>
      <w:bookmarkEnd w:id="718"/>
      <w:bookmarkEnd w:id="719"/>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86.4 调解或认定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争议调解或认定机构：</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按通用条款的规定。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另有约定：</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r>
        <w:rPr>
          <w:rFonts w:hint="eastAsia" w:ascii="仿宋_GB2312" w:hAnsi="仿宋_GB2312" w:eastAsia="仿宋_GB2312" w:cs="仿宋_GB2312"/>
          <w:color w:val="auto"/>
          <w:kern w:val="0"/>
          <w:sz w:val="24"/>
          <w:szCs w:val="24"/>
          <w:highlight w:val="none"/>
          <w:u w:val="single"/>
        </w:rPr>
        <w:t xml:space="preserve"> 按通用条款的规定。  </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r>
        <w:rPr>
          <w:rFonts w:hint="eastAsia" w:ascii="仿宋_GB2312" w:hAnsi="仿宋_GB2312" w:eastAsia="仿宋_GB2312" w:cs="仿宋_GB2312"/>
          <w:color w:val="auto"/>
          <w:kern w:val="0"/>
          <w:sz w:val="24"/>
          <w:szCs w:val="24"/>
          <w:highlight w:val="none"/>
          <w:u w:val="single"/>
        </w:rPr>
        <w:t xml:space="preserve"> 按通用条款的规定。  </w:t>
      </w:r>
    </w:p>
    <w:p>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（3）</w:t>
      </w:r>
      <w:r>
        <w:rPr>
          <w:rFonts w:hint="eastAsia" w:ascii="仿宋_GB2312" w:hAnsi="仿宋_GB2312" w:eastAsia="仿宋_GB2312" w:cs="仿宋_GB2312"/>
          <w:color w:val="auto"/>
          <w:kern w:val="0"/>
          <w:sz w:val="24"/>
          <w:szCs w:val="24"/>
          <w:highlight w:val="none"/>
          <w:u w:val="single"/>
        </w:rPr>
        <w:t xml:space="preserve"> 对于工程造价相关的争议，自争议发生之日起3个月内如合同双方仍无法协商达成一致的，应当将相关资料提交到项目发生地所属定额站，并根据相关定额站的认定意见进行处理。</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86.6 仲裁或诉讼</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解决争议的最终方式：</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向广州仲裁委员会申请仲裁。</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向工程所在地有管辖权的人民法院提起诉讼。</w:t>
      </w:r>
      <w:bookmarkStart w:id="720" w:name="_Toc469384136"/>
      <w:bookmarkStart w:id="721" w:name="_Toc10624980"/>
    </w:p>
    <w:p>
      <w:pPr>
        <w:spacing w:line="420" w:lineRule="exact"/>
        <w:rPr>
          <w:rFonts w:hint="eastAsia" w:ascii="仿宋_GB2312" w:hAnsi="仿宋_GB2312" w:eastAsia="仿宋_GB2312" w:cs="仿宋_GB2312"/>
          <w:color w:val="auto"/>
          <w:kern w:val="0"/>
          <w:sz w:val="24"/>
          <w:szCs w:val="24"/>
          <w:highlight w:val="none"/>
        </w:rPr>
      </w:pPr>
    </w:p>
    <w:p>
      <w:pPr>
        <w:spacing w:line="420" w:lineRule="exact"/>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90. 承包人的违约责任</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未履行或未按时履行或未按质履行合同约定义务时（合同另有约定除外），承包人须向发包人支付违约金，或发包人有权从应支付给承包人的工程款中直接抵扣，承包人不得有异议。二次限期改正责任相当于一次一般违约；三次一般违约责任相当于一次严重违约；承包人在合同期内累计三次严重违约，发包人有权单方解除部分或全部合同，本合同条款中将部分合同或全部合同解除后，发包人有权按有关规定另行选择承包人。</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1）限期改正：承包人未履行或未按时履行或未按质履行义务时，监理工程师应发出书面通知，并要求承包人必须在7天内履行义务或整改完毕。</w:t>
      </w:r>
    </w:p>
    <w:p>
      <w:pPr>
        <w:spacing w:line="420" w:lineRule="exact"/>
        <w:ind w:left="218" w:leftChars="104" w:firstLine="240" w:firstLine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2）一般违约责任：承包人违反本合同的约定须承担一般违约责任时，应当支付发包人合同价款人民币</w:t>
      </w:r>
      <w:permStart w:id="352" w:edGrp="everyone"/>
      <w:r>
        <w:rPr>
          <w:rFonts w:hint="eastAsia" w:ascii="仿宋_GB2312" w:hAnsi="仿宋_GB2312" w:eastAsia="仿宋_GB2312" w:cs="仿宋_GB2312"/>
          <w:color w:val="auto"/>
          <w:kern w:val="0"/>
          <w:sz w:val="24"/>
          <w:szCs w:val="24"/>
          <w:highlight w:val="none"/>
          <w:u w:val="single"/>
        </w:rPr>
        <w:t xml:space="preserve">1万元/次 </w:t>
      </w:r>
      <w:permEnd w:id="352"/>
      <w:r>
        <w:rPr>
          <w:rFonts w:hint="eastAsia" w:ascii="仿宋_GB2312" w:hAnsi="仿宋_GB2312" w:eastAsia="仿宋_GB2312" w:cs="仿宋_GB2312"/>
          <w:color w:val="auto"/>
          <w:kern w:val="0"/>
          <w:sz w:val="24"/>
          <w:szCs w:val="24"/>
          <w:highlight w:val="none"/>
        </w:rPr>
        <w:t>作为违约金；若承包人再犯性质相同的违约责任，第2次支付发包人合同价款人民币</w:t>
      </w:r>
      <w:permStart w:id="353" w:edGrp="everyone"/>
      <w:r>
        <w:rPr>
          <w:rFonts w:hint="eastAsia" w:ascii="仿宋_GB2312" w:hAnsi="仿宋_GB2312" w:eastAsia="仿宋_GB2312" w:cs="仿宋_GB2312"/>
          <w:color w:val="auto"/>
          <w:kern w:val="0"/>
          <w:sz w:val="24"/>
          <w:szCs w:val="24"/>
          <w:highlight w:val="none"/>
          <w:u w:val="single"/>
        </w:rPr>
        <w:t xml:space="preserve"> 1.5万元  </w:t>
      </w:r>
      <w:permEnd w:id="353"/>
      <w:r>
        <w:rPr>
          <w:rFonts w:hint="eastAsia" w:ascii="仿宋_GB2312" w:hAnsi="仿宋_GB2312" w:eastAsia="仿宋_GB2312" w:cs="仿宋_GB2312"/>
          <w:color w:val="auto"/>
          <w:kern w:val="0"/>
          <w:sz w:val="24"/>
          <w:szCs w:val="24"/>
          <w:highlight w:val="none"/>
        </w:rPr>
        <w:t>作为违约金，2次以上（不含本数）按合同价款</w:t>
      </w:r>
      <w:r>
        <w:rPr>
          <w:rFonts w:hint="eastAsia" w:ascii="仿宋_GB2312" w:hAnsi="仿宋_GB2312" w:eastAsia="仿宋_GB2312" w:cs="仿宋_GB2312"/>
          <w:color w:val="auto"/>
          <w:kern w:val="0"/>
          <w:sz w:val="24"/>
          <w:szCs w:val="24"/>
          <w:highlight w:val="none"/>
          <w:u w:val="single"/>
        </w:rPr>
        <w:t xml:space="preserve"> </w:t>
      </w:r>
      <w:permStart w:id="354" w:edGrp="everyone"/>
      <w:r>
        <w:rPr>
          <w:rFonts w:hint="eastAsia" w:ascii="仿宋_GB2312" w:hAnsi="仿宋_GB2312" w:eastAsia="仿宋_GB2312" w:cs="仿宋_GB2312"/>
          <w:color w:val="auto"/>
          <w:kern w:val="0"/>
          <w:sz w:val="24"/>
          <w:szCs w:val="24"/>
          <w:highlight w:val="none"/>
          <w:u w:val="single"/>
        </w:rPr>
        <w:t>2万元/次</w:t>
      </w:r>
      <w:permEnd w:id="354"/>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支付发包人作为违约金。</w:t>
      </w:r>
    </w:p>
    <w:p>
      <w:pPr>
        <w:spacing w:line="420" w:lineRule="exact"/>
        <w:ind w:left="218" w:leftChars="104" w:firstLine="240" w:firstLine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3）严重违约责任：承包人违反本合同的约定须承担严重违约责任时，应当支付发包人合同价款人民币</w:t>
      </w:r>
      <w:permStart w:id="355" w:edGrp="everyone"/>
      <w:r>
        <w:rPr>
          <w:rFonts w:hint="eastAsia" w:ascii="仿宋_GB2312" w:hAnsi="仿宋_GB2312" w:eastAsia="仿宋_GB2312" w:cs="仿宋_GB2312"/>
          <w:color w:val="auto"/>
          <w:kern w:val="0"/>
          <w:sz w:val="24"/>
          <w:szCs w:val="24"/>
          <w:highlight w:val="none"/>
          <w:u w:val="single"/>
        </w:rPr>
        <w:t xml:space="preserve">5万元/次 </w:t>
      </w:r>
      <w:permEnd w:id="355"/>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作为违约金。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解除部分合同：当承包人违反本合同的约定符合解除部分合同的条件时，发包人有权向承包人发出书面解除部分合同的通知，该通知在送达承包人时部分解除合同即生效。部分解除合同的法律后果按照第87条的相关约定执行。</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解除合同：当承包人违反本合同的约定符合解除全部合同的条件时，发包人有权向承包人发出书面解除全部合同的通知，该通知在送达承包人时解除合同即生效。解除合同的法律后果按照第87条的相关约定执行。</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违反第49条、第50条、第51条的约定使用了不合格材料或工程设备，工程质量达不到标准要求，又拒绝清除不合格工程，监理工程师可向承包人发出整改通知，要求其在指定的期限内改正。承包人应承担其违约所引起的费用增加和（或）工期延误。</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未能按合同进度计划及时完成合同约定的工作，已造成或预期造成工期延误，监理工程师可向承包人发出整改通知，要求其在指定的期限内改正。承包人应承担其违约所引起的费用增加和（或）工期延误。</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在缺陷责任期内，未能对工程接收证书所列的缺陷清单的内容或缺陷责任期内发生的缺陷进行修复，而又拒绝按监理工程师指示再进行修补，监理工程师可向承包人发出整改通知，要求其在指定的期限内改正。承包人应承担其违约所引起的费用增加和（或）工期延误。</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（5）承包人无法继续履行或明确表示不履行或实质上已停止履行合同，发包人可通知承包人立即解除合同，并按有关法律处理。</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监理工程师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在工程实施期间或缺陷责任期内发生危及工程安全的事件，监理工程师通知承包人进行抢救，承包人声明无能力或不愿立即执行的，发包人有权雇佣其他人员进行抢救。此类抢救按合同约定属于承包人义务的，由此发生的金额和（或）工期延误由承包人承担。</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（8）承包人未按发包人或监理工程师开工令要求时间开工的，每迟延开工1天，应向发包人支付违约金</w:t>
      </w:r>
      <w:permStart w:id="356" w:edGrp="everyone"/>
      <w:r>
        <w:rPr>
          <w:rFonts w:hint="eastAsia" w:ascii="仿宋_GB2312" w:hAnsi="仿宋_GB2312" w:eastAsia="仿宋_GB2312" w:cs="仿宋_GB2312"/>
          <w:color w:val="auto"/>
          <w:kern w:val="0"/>
          <w:sz w:val="24"/>
          <w:szCs w:val="24"/>
          <w:highlight w:val="none"/>
          <w:u w:val="single"/>
        </w:rPr>
        <w:t xml:space="preserve">  1万元  </w:t>
      </w:r>
      <w:permEnd w:id="356"/>
      <w:r>
        <w:rPr>
          <w:rFonts w:hint="eastAsia" w:ascii="仿宋_GB2312" w:hAnsi="仿宋_GB2312" w:eastAsia="仿宋_GB2312" w:cs="仿宋_GB2312"/>
          <w:color w:val="auto"/>
          <w:kern w:val="0"/>
          <w:sz w:val="24"/>
          <w:szCs w:val="24"/>
          <w:highlight w:val="none"/>
        </w:rPr>
        <w:t>；迟延开工超过30天的，发包人有权根据实际情况单方面解除合同。</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承包人不能按照协议书约定的竣工日期或工程师同意顺延的工期竣工，延误的工期每延误</w:t>
      </w:r>
      <w:permStart w:id="357" w:edGrp="everyone"/>
      <w:r>
        <w:rPr>
          <w:rFonts w:hint="eastAsia" w:ascii="仿宋_GB2312" w:hAnsi="仿宋_GB2312" w:eastAsia="仿宋_GB2312" w:cs="仿宋_GB2312"/>
          <w:color w:val="auto"/>
          <w:kern w:val="0"/>
          <w:sz w:val="24"/>
          <w:szCs w:val="24"/>
          <w:highlight w:val="none"/>
          <w:u w:val="single"/>
        </w:rPr>
        <w:t>1天</w:t>
      </w:r>
      <w:permEnd w:id="357"/>
      <w:r>
        <w:rPr>
          <w:rFonts w:hint="eastAsia" w:ascii="仿宋_GB2312" w:hAnsi="仿宋_GB2312" w:eastAsia="仿宋_GB2312" w:cs="仿宋_GB2312"/>
          <w:color w:val="auto"/>
          <w:kern w:val="0"/>
          <w:sz w:val="24"/>
          <w:szCs w:val="24"/>
          <w:highlight w:val="none"/>
        </w:rPr>
        <w:t>，应向发包人支付本工程合同价款的</w:t>
      </w:r>
      <w:permStart w:id="358" w:edGrp="everyone"/>
      <w:r>
        <w:rPr>
          <w:rFonts w:hint="eastAsia" w:ascii="仿宋_GB2312" w:hAnsi="仿宋_GB2312" w:eastAsia="仿宋_GB2312" w:cs="仿宋_GB2312"/>
          <w:color w:val="auto"/>
          <w:kern w:val="0"/>
          <w:sz w:val="24"/>
          <w:szCs w:val="24"/>
          <w:highlight w:val="none"/>
          <w:u w:val="single"/>
        </w:rPr>
        <w:t xml:space="preserve">  1.5%  </w:t>
      </w:r>
      <w:permEnd w:id="358"/>
      <w:r>
        <w:rPr>
          <w:rFonts w:hint="eastAsia" w:ascii="仿宋_GB2312" w:hAnsi="仿宋_GB2312" w:eastAsia="仿宋_GB2312" w:cs="仿宋_GB2312"/>
          <w:color w:val="auto"/>
          <w:kern w:val="0"/>
          <w:sz w:val="24"/>
          <w:szCs w:val="24"/>
          <w:highlight w:val="none"/>
        </w:rPr>
        <w:t xml:space="preserve">作为违约金，且不低于每天1万元，误期赔偿限额为合同价款的 </w:t>
      </w:r>
      <w:permStart w:id="359" w:edGrp="everyone"/>
      <w:r>
        <w:rPr>
          <w:rFonts w:hint="eastAsia" w:ascii="仿宋_GB2312" w:hAnsi="仿宋_GB2312" w:eastAsia="仿宋_GB2312" w:cs="仿宋_GB2312"/>
          <w:color w:val="auto"/>
          <w:kern w:val="0"/>
          <w:sz w:val="24"/>
          <w:szCs w:val="24"/>
          <w:highlight w:val="none"/>
          <w:u w:val="single"/>
        </w:rPr>
        <w:t xml:space="preserve">20% </w:t>
      </w:r>
      <w:permEnd w:id="359"/>
      <w:r>
        <w:rPr>
          <w:rFonts w:hint="eastAsia" w:ascii="仿宋_GB2312" w:hAnsi="仿宋_GB2312" w:eastAsia="仿宋_GB2312" w:cs="仿宋_GB2312"/>
          <w:color w:val="auto"/>
          <w:kern w:val="0"/>
          <w:sz w:val="24"/>
          <w:szCs w:val="24"/>
          <w:highlight w:val="none"/>
        </w:rPr>
        <w:t>；延误工期超过30天的，发包人有权解除合同，将本工程另行发包，并不免除承包人的违约赔偿责任。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对各工序必须报验核查质量控制点。如承包人申请报验后，经监理工程师或发包人检查发现存在质量问题，则该工序质量为不合格，承包人必须全部返工，返工后经检查合格才准进入下一工序，工期不予顺延。复检的结果，按每一分项工程计算，总计发现3次或连续发现2次质量控制点不合格的，承包人承担严重违约责任；总计发现3次以上（不含本数）或连续发现2次以上（不含本数）质量控制点不合格的，发包人有权部分解除合同，将该分项工程另行发包，并不免除承包人应承担的违约赔偿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（10）工程竣工验收达不到合同约定的质量标准的，承包人向发包人支付审定结算总价的</w:t>
      </w:r>
      <w:permStart w:id="360" w:edGrp="everyone"/>
      <w:r>
        <w:rPr>
          <w:rFonts w:hint="eastAsia" w:ascii="仿宋_GB2312" w:hAnsi="仿宋_GB2312" w:eastAsia="仿宋_GB2312" w:cs="仿宋_GB2312"/>
          <w:color w:val="auto"/>
          <w:kern w:val="0"/>
          <w:sz w:val="24"/>
          <w:szCs w:val="24"/>
          <w:highlight w:val="none"/>
          <w:u w:val="single"/>
        </w:rPr>
        <w:t xml:space="preserve"> 2% </w:t>
      </w:r>
      <w:permEnd w:id="360"/>
      <w:r>
        <w:rPr>
          <w:rFonts w:hint="eastAsia" w:ascii="仿宋_GB2312" w:hAnsi="仿宋_GB2312" w:eastAsia="仿宋_GB2312" w:cs="仿宋_GB2312"/>
          <w:color w:val="auto"/>
          <w:kern w:val="0"/>
          <w:sz w:val="24"/>
          <w:szCs w:val="24"/>
          <w:highlight w:val="none"/>
        </w:rPr>
        <w:t>作为违约金。</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（11）工程保修期内发现质量不合格，承包人必须在规定的期限返工并达到合同约定的质量等级，并向发包人支付按该不合格项目所处分项工程造价的</w:t>
      </w:r>
      <w:permStart w:id="361" w:edGrp="everyone"/>
      <w:r>
        <w:rPr>
          <w:rFonts w:hint="eastAsia" w:ascii="仿宋_GB2312" w:hAnsi="仿宋_GB2312" w:eastAsia="仿宋_GB2312" w:cs="仿宋_GB2312"/>
          <w:color w:val="auto"/>
          <w:kern w:val="0"/>
          <w:sz w:val="24"/>
          <w:szCs w:val="24"/>
          <w:highlight w:val="none"/>
          <w:u w:val="single"/>
        </w:rPr>
        <w:t xml:space="preserve"> 3%</w:t>
      </w:r>
      <w:permEnd w:id="361"/>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作为违约金。</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（12）承包人应协助发包人办理有关工程报建手续。若因施工单位的原因导致工程受影响，造成发包人的经济损失，由施工单位承担全部的经济和法律责任。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监理工程师按照第49.9款约定抽查承包人的工程材料时，发现所检查的材料与该条款约定的标准的任何一项不符合时，承包人除必须全部退货、返工，并赔偿由此造成的损失外，承包人应当按照该批次材料的价值，按照如下方式承担违约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1）单宗或批次材料价值在10万元以上100万元以下（含100万元），承包人承担1次一般违约责任。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2）单宗或批次材料价值100-200万元（含200万元），承包人承担1次严重违约责任。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3）单宗或批次材料价值在200万元以上的，发包人有权部分解除合同或全部解除合同，并要求承包人赔偿发包人由此遭受的实际损失。</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4）对于单宗或批次材料价值不高于10万元的（含10万元），但累计抽检不合格达5次，承包人承担1次一般违约责任。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14）承包人不按文明施工要求和规定进行施工，在发包人发出通知2日内，承包人应按要求进行整改，如承包人不整改或整改后仍达不到要求的，监理人有权委托第三人进行整改，所发生的费用由承包人承担，发包人可在应付的合同费用或履约保证金内直接抵扣。</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（15）承包人应根据进度同步组织、整理档案资料，经发包人定期或不定期检查确定档案资料与进度不符且未在发包人发出书面整改通知的30天内落实整改的，承包人每次应支付发包人合同价的</w:t>
      </w:r>
      <w:permStart w:id="362" w:edGrp="everyone"/>
      <w:r>
        <w:rPr>
          <w:rFonts w:hint="eastAsia" w:ascii="仿宋_GB2312" w:hAnsi="仿宋_GB2312" w:eastAsia="仿宋_GB2312" w:cs="仿宋_GB2312"/>
          <w:color w:val="auto"/>
          <w:kern w:val="0"/>
          <w:sz w:val="24"/>
          <w:szCs w:val="24"/>
          <w:highlight w:val="none"/>
          <w:u w:val="single"/>
        </w:rPr>
        <w:t xml:space="preserve"> 0.01% </w:t>
      </w:r>
      <w:permEnd w:id="362"/>
      <w:r>
        <w:rPr>
          <w:rFonts w:hint="eastAsia" w:ascii="仿宋_GB2312" w:hAnsi="仿宋_GB2312" w:eastAsia="仿宋_GB2312" w:cs="仿宋_GB2312"/>
          <w:color w:val="auto"/>
          <w:kern w:val="0"/>
          <w:sz w:val="24"/>
          <w:szCs w:val="24"/>
          <w:highlight w:val="none"/>
        </w:rPr>
        <w:t>作为违约金。如承包人未能如期完成竣工资料、结算资料等工程档案的移交手续，每逾期一天向发包人支付合同价款的</w:t>
      </w:r>
      <w:permStart w:id="363" w:edGrp="everyone"/>
      <w:r>
        <w:rPr>
          <w:rFonts w:hint="eastAsia" w:ascii="仿宋_GB2312" w:hAnsi="仿宋_GB2312" w:eastAsia="仿宋_GB2312" w:cs="仿宋_GB2312"/>
          <w:color w:val="auto"/>
          <w:kern w:val="0"/>
          <w:sz w:val="24"/>
          <w:szCs w:val="24"/>
          <w:highlight w:val="none"/>
          <w:u w:val="single"/>
        </w:rPr>
        <w:t xml:space="preserve"> 1.5‰ </w:t>
      </w:r>
      <w:permEnd w:id="363"/>
      <w:r>
        <w:rPr>
          <w:rFonts w:hint="eastAsia" w:ascii="仿宋_GB2312" w:hAnsi="仿宋_GB2312" w:eastAsia="仿宋_GB2312" w:cs="仿宋_GB2312"/>
          <w:color w:val="auto"/>
          <w:kern w:val="0"/>
          <w:sz w:val="24"/>
          <w:szCs w:val="24"/>
          <w:highlight w:val="none"/>
        </w:rPr>
        <w:t>作为违约金，若因承包人的原因致使发包人未能按照国家规定向政府有关部门移交工程竣工档案而受到经济处罚的，由承包人承担全额赔偿责任。</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16）建设管理方（如有）定期对主要管理和技术人员的到位情况进行检查；若无正当理由、未经建设管理方同意更换承包人代表（负责人）或承包人代表（负责人）未按要求在施工现场进行施工管理工作的，则无条件接受发包人和建设管理方经济处罚，将从合同总价中扣减</w:t>
      </w:r>
      <w:permStart w:id="364" w:edGrp="everyone"/>
      <w:r>
        <w:rPr>
          <w:rFonts w:hint="eastAsia" w:ascii="仿宋_GB2312" w:hAnsi="仿宋_GB2312" w:eastAsia="仿宋_GB2312" w:cs="仿宋_GB2312"/>
          <w:color w:val="auto"/>
          <w:kern w:val="0"/>
          <w:sz w:val="24"/>
          <w:szCs w:val="24"/>
          <w:highlight w:val="none"/>
          <w:u w:val="single"/>
        </w:rPr>
        <w:t xml:space="preserve"> 50万元/人/次 </w:t>
      </w:r>
      <w:permEnd w:id="364"/>
      <w:r>
        <w:rPr>
          <w:rFonts w:hint="eastAsia" w:ascii="仿宋_GB2312" w:hAnsi="仿宋_GB2312" w:eastAsia="仿宋_GB2312" w:cs="仿宋_GB2312"/>
          <w:color w:val="auto"/>
          <w:kern w:val="0"/>
          <w:sz w:val="24"/>
          <w:szCs w:val="24"/>
          <w:highlight w:val="none"/>
        </w:rPr>
        <w:t>的扣款（具体由发包人视工程重要程度和合同额按</w:t>
      </w:r>
      <w:r>
        <w:rPr>
          <w:rFonts w:hint="eastAsia" w:ascii="仿宋_GB2312" w:hAnsi="仿宋_GB2312" w:eastAsia="仿宋_GB2312" w:cs="仿宋_GB2312"/>
          <w:color w:val="auto"/>
          <w:kern w:val="0"/>
          <w:sz w:val="24"/>
          <w:szCs w:val="24"/>
          <w:highlight w:val="none"/>
          <w:u w:val="none"/>
        </w:rPr>
        <w:t xml:space="preserve"> 10-50 万元/人/次约定） </w:t>
      </w:r>
      <w:r>
        <w:rPr>
          <w:rFonts w:hint="eastAsia" w:ascii="仿宋_GB2312" w:hAnsi="仿宋_GB2312" w:eastAsia="仿宋_GB2312" w:cs="仿宋_GB2312"/>
          <w:color w:val="auto"/>
          <w:kern w:val="0"/>
          <w:sz w:val="24"/>
          <w:szCs w:val="24"/>
          <w:highlight w:val="none"/>
        </w:rPr>
        <w:t>（意外身亡、司法拘留情况除外），并按建设管理方要求重新整顿落实。若发现施工现场承包人代表（负责人）和总工每月驻工地时间少于25天，以每月少于25天为一次计算，根据对发包人的影响程度，每次支付合同价款的</w:t>
      </w:r>
      <w:permStart w:id="365" w:edGrp="everyone"/>
      <w:r>
        <w:rPr>
          <w:rFonts w:hint="eastAsia" w:ascii="仿宋_GB2312" w:hAnsi="仿宋_GB2312" w:eastAsia="仿宋_GB2312" w:cs="仿宋_GB2312"/>
          <w:color w:val="auto"/>
          <w:kern w:val="0"/>
          <w:sz w:val="24"/>
          <w:szCs w:val="24"/>
          <w:highlight w:val="none"/>
          <w:u w:val="single"/>
        </w:rPr>
        <w:t xml:space="preserve">  1％ </w:t>
      </w:r>
      <w:permEnd w:id="365"/>
      <w:r>
        <w:rPr>
          <w:rFonts w:hint="eastAsia" w:ascii="仿宋_GB2312" w:hAnsi="仿宋_GB2312" w:eastAsia="仿宋_GB2312" w:cs="仿宋_GB2312"/>
          <w:color w:val="auto"/>
          <w:kern w:val="0"/>
          <w:sz w:val="24"/>
          <w:szCs w:val="24"/>
          <w:highlight w:val="none"/>
        </w:rPr>
        <w:t>作为违约金。若人员、设备、机械设备及检测设备不按照投标书中的承诺投入，根据对发包人的影响程度，每发现一次支付合同价款的</w:t>
      </w:r>
      <w:permStart w:id="366" w:edGrp="everyone"/>
      <w:r>
        <w:rPr>
          <w:rFonts w:hint="eastAsia" w:ascii="仿宋_GB2312" w:hAnsi="仿宋_GB2312" w:eastAsia="仿宋_GB2312" w:cs="仿宋_GB2312"/>
          <w:color w:val="auto"/>
          <w:kern w:val="0"/>
          <w:sz w:val="24"/>
          <w:szCs w:val="24"/>
          <w:highlight w:val="none"/>
          <w:u w:val="single"/>
        </w:rPr>
        <w:t xml:space="preserve">  2％ </w:t>
      </w:r>
      <w:permEnd w:id="366"/>
      <w:r>
        <w:rPr>
          <w:rFonts w:hint="eastAsia" w:ascii="仿宋_GB2312" w:hAnsi="仿宋_GB2312" w:eastAsia="仿宋_GB2312" w:cs="仿宋_GB2312"/>
          <w:color w:val="auto"/>
          <w:kern w:val="0"/>
          <w:sz w:val="24"/>
          <w:szCs w:val="24"/>
          <w:highlight w:val="none"/>
        </w:rPr>
        <w:t>作为违约金。如发现承包人代表及主要负责人兼职情况，经监理工程师核实后，发包人要求立即撤换该人员，承包人承担违约责任并向发包人支付违约金</w:t>
      </w:r>
      <w:permStart w:id="367" w:edGrp="everyone"/>
      <w:r>
        <w:rPr>
          <w:rFonts w:hint="eastAsia" w:ascii="仿宋_GB2312" w:hAnsi="仿宋_GB2312" w:eastAsia="仿宋_GB2312" w:cs="仿宋_GB2312"/>
          <w:color w:val="auto"/>
          <w:kern w:val="0"/>
          <w:sz w:val="24"/>
          <w:szCs w:val="24"/>
          <w:highlight w:val="none"/>
          <w:u w:val="single"/>
        </w:rPr>
        <w:t>10万元/人/次</w:t>
      </w:r>
      <w:permEnd w:id="367"/>
      <w:r>
        <w:rPr>
          <w:rFonts w:hint="eastAsia" w:ascii="仿宋_GB2312" w:hAnsi="仿宋_GB2312" w:eastAsia="仿宋_GB2312" w:cs="仿宋_GB2312"/>
          <w:color w:val="auto"/>
          <w:kern w:val="0"/>
          <w:sz w:val="24"/>
          <w:szCs w:val="24"/>
          <w:highlight w:val="none"/>
        </w:rPr>
        <w:t>。</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（17）根据《广州市水务局关于印发广州市水务工程施工和监理企业诚信评价管理办法的通知》（穗水规字〔2020〕11号）</w:t>
      </w:r>
      <w:r>
        <w:rPr>
          <w:rFonts w:hint="eastAsia" w:ascii="仿宋_GB2312" w:hAnsi="仿宋_GB2312" w:eastAsia="仿宋_GB2312" w:cs="仿宋_GB2312"/>
          <w:color w:val="auto"/>
          <w:kern w:val="0"/>
          <w:sz w:val="24"/>
          <w:szCs w:val="24"/>
          <w:highlight w:val="none"/>
          <w:lang w:eastAsia="zh-CN"/>
        </w:rPr>
        <w:t>、广州市水务局关于调整《广州市水务工程施工和监理企业诚信评价管理办法》部分条款的通知(穗水建管</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lang w:eastAsia="zh-CN"/>
        </w:rPr>
        <w:t>2023</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lang w:eastAsia="zh-CN"/>
        </w:rPr>
        <w:t>123号)等有关规定，</w:t>
      </w:r>
      <w:r>
        <w:rPr>
          <w:rFonts w:hint="eastAsia" w:ascii="仿宋_GB2312" w:hAnsi="仿宋_GB2312" w:eastAsia="仿宋_GB2312" w:cs="仿宋_GB2312"/>
          <w:color w:val="auto"/>
          <w:kern w:val="0"/>
          <w:sz w:val="24"/>
          <w:szCs w:val="24"/>
          <w:highlight w:val="none"/>
        </w:rPr>
        <w:t>广州市自来水有限公司组织实施的建设项目，广州市自来水有限公司对不充分履约或严重违反合同约定的企业，按诚信评价标准对其作出评价，且该评价结果由广州市自来水有限公司直接录入诚信评价信息系统，并运用于建设项目招投标活动中。</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（18）工程结算方面的违约</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未在合同约定时间内提供完整的工程竣工结算资料，经发包人催促后14天内仍未提供或没有明确答复的或提出不正当理由延期的，发包人有权根据已有资料办理结算，责任由承包人自负，并向发包人支付合同价款的</w:t>
      </w:r>
      <w:permStart w:id="368" w:edGrp="everyone"/>
      <w:r>
        <w:rPr>
          <w:rFonts w:hint="eastAsia" w:ascii="仿宋_GB2312" w:hAnsi="仿宋_GB2312" w:eastAsia="仿宋_GB2312" w:cs="仿宋_GB2312"/>
          <w:color w:val="auto"/>
          <w:kern w:val="0"/>
          <w:sz w:val="24"/>
          <w:szCs w:val="24"/>
          <w:highlight w:val="none"/>
          <w:u w:val="single"/>
        </w:rPr>
        <w:t xml:space="preserve"> 0.1‰/天 </w:t>
      </w:r>
      <w:permEnd w:id="368"/>
      <w:r>
        <w:rPr>
          <w:rFonts w:hint="eastAsia" w:ascii="仿宋_GB2312" w:hAnsi="仿宋_GB2312" w:eastAsia="仿宋_GB2312" w:cs="仿宋_GB2312"/>
          <w:color w:val="auto"/>
          <w:kern w:val="0"/>
          <w:sz w:val="24"/>
          <w:szCs w:val="24"/>
          <w:highlight w:val="none"/>
        </w:rPr>
        <w:t>作为违约金。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2）若承包人不配合结算审核工作以至工程结算不能按时完成或承包人对终审部门的审核结果拒不确认，则发包人有权根据已有资料，与终审部门共同确认最终的审核结果，责任由承包人自负。</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19）承包人未能按照第20.2（8）项约定做好施工场地地下管线和邻近建筑物、构筑物（包括文物保护建筑）、古树名木保护工作的约定的，承包人出现未经相关行政主管部门许可，随意砍伐树木、破坏绿化或文物等行为，所造成的的损失由承包人承担，并向发包人支付合同价款的</w:t>
      </w:r>
      <w:permStart w:id="369" w:edGrp="everyone"/>
      <w:r>
        <w:rPr>
          <w:rFonts w:hint="eastAsia" w:ascii="仿宋_GB2312" w:hAnsi="仿宋_GB2312" w:eastAsia="仿宋_GB2312" w:cs="仿宋_GB2312"/>
          <w:color w:val="auto"/>
          <w:kern w:val="0"/>
          <w:sz w:val="24"/>
          <w:szCs w:val="24"/>
          <w:highlight w:val="none"/>
          <w:u w:val="single"/>
        </w:rPr>
        <w:t xml:space="preserve"> 1% </w:t>
      </w:r>
      <w:permEnd w:id="369"/>
      <w:r>
        <w:rPr>
          <w:rFonts w:hint="eastAsia" w:ascii="仿宋_GB2312" w:hAnsi="仿宋_GB2312" w:eastAsia="仿宋_GB2312" w:cs="仿宋_GB2312"/>
          <w:color w:val="auto"/>
          <w:kern w:val="0"/>
          <w:sz w:val="24"/>
          <w:szCs w:val="24"/>
          <w:highlight w:val="none"/>
        </w:rPr>
        <w:t>作为违约金。</w:t>
      </w:r>
    </w:p>
    <w:p>
      <w:pPr>
        <w:spacing w:after="120"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（20）由于承包人原因未能按照第20.2（22）项约定如期完成竣工验收及备案工作的，每逾期一天承包人应向发包人支付合同价款的</w:t>
      </w:r>
      <w:permStart w:id="370" w:edGrp="everyone"/>
      <w:r>
        <w:rPr>
          <w:rFonts w:hint="eastAsia" w:ascii="仿宋_GB2312" w:hAnsi="仿宋_GB2312" w:eastAsia="仿宋_GB2312" w:cs="仿宋_GB2312"/>
          <w:color w:val="auto"/>
          <w:kern w:val="0"/>
          <w:sz w:val="24"/>
          <w:szCs w:val="24"/>
          <w:highlight w:val="none"/>
          <w:u w:val="single"/>
        </w:rPr>
        <w:t xml:space="preserve"> 1‰ </w:t>
      </w:r>
      <w:permEnd w:id="370"/>
      <w:r>
        <w:rPr>
          <w:rFonts w:hint="eastAsia" w:ascii="仿宋_GB2312" w:hAnsi="仿宋_GB2312" w:eastAsia="仿宋_GB2312" w:cs="仿宋_GB2312"/>
          <w:color w:val="auto"/>
          <w:kern w:val="0"/>
          <w:sz w:val="24"/>
          <w:szCs w:val="24"/>
          <w:highlight w:val="none"/>
        </w:rPr>
        <w:t>作为违约金。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（21）由于承包人原因未能按照第20.2（23）项约定如期完成本工程结算工作的，每逾期一天承包人应向发包人支付合同价款的</w:t>
      </w:r>
      <w:permStart w:id="371" w:edGrp="everyone"/>
      <w:r>
        <w:rPr>
          <w:rFonts w:hint="eastAsia" w:ascii="仿宋_GB2312" w:hAnsi="仿宋_GB2312" w:eastAsia="仿宋_GB2312" w:cs="仿宋_GB2312"/>
          <w:color w:val="auto"/>
          <w:kern w:val="0"/>
          <w:sz w:val="24"/>
          <w:szCs w:val="24"/>
          <w:highlight w:val="none"/>
          <w:u w:val="single"/>
        </w:rPr>
        <w:t xml:space="preserve"> 1‰ </w:t>
      </w:r>
      <w:permEnd w:id="371"/>
      <w:r>
        <w:rPr>
          <w:rFonts w:hint="eastAsia" w:ascii="仿宋_GB2312" w:hAnsi="仿宋_GB2312" w:eastAsia="仿宋_GB2312" w:cs="仿宋_GB2312"/>
          <w:color w:val="auto"/>
          <w:kern w:val="0"/>
          <w:sz w:val="24"/>
          <w:szCs w:val="24"/>
          <w:highlight w:val="none"/>
        </w:rPr>
        <w:t>作为违约金。</w:t>
      </w:r>
    </w:p>
    <w:p>
      <w:pPr>
        <w:spacing w:after="120"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（22）承包人未能按照第20.2（35）项落实生态环境保护相关要求的，发包人或行政主管部门检查发现施工现场环境不合规问题，承包人应支付发包人合同价的</w:t>
      </w:r>
      <w:permStart w:id="372" w:edGrp="everyone"/>
      <w:r>
        <w:rPr>
          <w:rFonts w:hint="eastAsia" w:ascii="仿宋_GB2312" w:hAnsi="仿宋_GB2312" w:eastAsia="仿宋_GB2312" w:cs="仿宋_GB2312"/>
          <w:color w:val="auto"/>
          <w:kern w:val="0"/>
          <w:sz w:val="24"/>
          <w:szCs w:val="24"/>
          <w:highlight w:val="none"/>
          <w:u w:val="single"/>
        </w:rPr>
        <w:t>1‰</w:t>
      </w:r>
      <w:permEnd w:id="372"/>
      <w:r>
        <w:rPr>
          <w:rFonts w:hint="eastAsia" w:ascii="仿宋_GB2312" w:hAnsi="仿宋_GB2312" w:eastAsia="仿宋_GB2312" w:cs="仿宋_GB2312"/>
          <w:color w:val="auto"/>
          <w:kern w:val="0"/>
          <w:sz w:val="24"/>
          <w:szCs w:val="24"/>
          <w:highlight w:val="none"/>
        </w:rPr>
        <w:t>作为违约金。如发现问题后仍未能按规定时  限整改应当向发包人支付合同价款的</w:t>
      </w:r>
      <w:permStart w:id="373" w:edGrp="everyone"/>
      <w:r>
        <w:rPr>
          <w:rFonts w:hint="eastAsia" w:ascii="仿宋_GB2312" w:hAnsi="仿宋_GB2312" w:eastAsia="仿宋_GB2312" w:cs="仿宋_GB2312"/>
          <w:color w:val="auto"/>
          <w:kern w:val="0"/>
          <w:sz w:val="24"/>
          <w:szCs w:val="24"/>
          <w:highlight w:val="none"/>
          <w:u w:val="single"/>
        </w:rPr>
        <w:t>1‰</w:t>
      </w:r>
      <w:permEnd w:id="373"/>
      <w:r>
        <w:rPr>
          <w:rFonts w:hint="eastAsia" w:ascii="仿宋_GB2312" w:hAnsi="仿宋_GB2312" w:eastAsia="仿宋_GB2312" w:cs="仿宋_GB2312"/>
          <w:color w:val="auto"/>
          <w:kern w:val="0"/>
          <w:sz w:val="24"/>
          <w:szCs w:val="24"/>
          <w:highlight w:val="none"/>
        </w:rPr>
        <w:t>作为违约金。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（23）承包人未能按照第25.6款约定出席发包人组织的工程会议或监理人组织的每周工地例会的，每缺席一次，承包人应向发包人支付</w:t>
      </w:r>
      <w:permStart w:id="374" w:edGrp="everyone"/>
      <w:r>
        <w:rPr>
          <w:rFonts w:hint="eastAsia" w:ascii="仿宋_GB2312" w:hAnsi="仿宋_GB2312" w:eastAsia="仿宋_GB2312" w:cs="仿宋_GB2312"/>
          <w:color w:val="auto"/>
          <w:kern w:val="0"/>
          <w:sz w:val="24"/>
          <w:szCs w:val="24"/>
          <w:highlight w:val="none"/>
          <w:u w:val="single"/>
        </w:rPr>
        <w:t xml:space="preserve"> 2万元/人/次 </w:t>
      </w:r>
      <w:permEnd w:id="374"/>
      <w:r>
        <w:rPr>
          <w:rFonts w:hint="eastAsia" w:ascii="仿宋_GB2312" w:hAnsi="仿宋_GB2312" w:eastAsia="仿宋_GB2312" w:cs="仿宋_GB2312"/>
          <w:color w:val="auto"/>
          <w:kern w:val="0"/>
          <w:sz w:val="24"/>
          <w:szCs w:val="24"/>
          <w:highlight w:val="none"/>
        </w:rPr>
        <w:t>作为违约金。</w:t>
      </w:r>
    </w:p>
    <w:p>
      <w:pPr>
        <w:spacing w:after="120"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24）如发包人或监理人在施工现场考勤检查中，发现管理团队人员的考勤情况未达到每人每月25天或以上的，承包人应支付每人每次1万元作为违约金；如因考勤天数未达上述要求导致缺席发包人组织的工程会议或监理人组织的每周工地例会，承包人除支付考勤违约金外，应当按第90条（23）项约定支付相应的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（25）如承包人未经发包人同意擅自更换承包人代表的（包括</w:t>
      </w:r>
      <w:r>
        <w:rPr>
          <w:rFonts w:hint="eastAsia" w:ascii="仿宋_GB2312" w:hAnsi="仿宋_GB2312" w:eastAsia="仿宋_GB2312" w:cs="仿宋_GB2312"/>
          <w:color w:val="auto"/>
          <w:sz w:val="24"/>
          <w:szCs w:val="24"/>
          <w:highlight w:val="none"/>
        </w:rPr>
        <w:t>不能按要求到位累计1个月或以上</w:t>
      </w:r>
      <w:r>
        <w:rPr>
          <w:rFonts w:hint="eastAsia" w:ascii="仿宋_GB2312" w:hAnsi="仿宋_GB2312" w:eastAsia="仿宋_GB2312" w:cs="仿宋_GB2312"/>
          <w:color w:val="auto"/>
          <w:kern w:val="0"/>
          <w:sz w:val="24"/>
          <w:szCs w:val="24"/>
          <w:highlight w:val="none"/>
        </w:rPr>
        <w:t>），或由于承包人代表辞职、调换岗位等除第21.2款约定的情形以外的承包人原因更换承包人代表的，或因承包人代表不胜任发包人要求撤换而承包人拒不撤换的，承包人应向发包人支付</w:t>
      </w:r>
      <w:permStart w:id="375" w:edGrp="everyone"/>
      <w:r>
        <w:rPr>
          <w:rFonts w:hint="eastAsia" w:ascii="仿宋_GB2312" w:hAnsi="仿宋_GB2312" w:eastAsia="仿宋_GB2312" w:cs="仿宋_GB2312"/>
          <w:color w:val="auto"/>
          <w:kern w:val="0"/>
          <w:sz w:val="24"/>
          <w:szCs w:val="24"/>
          <w:highlight w:val="none"/>
          <w:u w:val="single"/>
        </w:rPr>
        <w:t>50万元/人/次</w:t>
      </w:r>
      <w:permEnd w:id="375"/>
      <w:r>
        <w:rPr>
          <w:rFonts w:hint="eastAsia" w:ascii="仿宋_GB2312" w:hAnsi="仿宋_GB2312" w:eastAsia="仿宋_GB2312" w:cs="仿宋_GB2312"/>
          <w:color w:val="auto"/>
          <w:kern w:val="0"/>
          <w:sz w:val="24"/>
          <w:szCs w:val="24"/>
          <w:highlight w:val="none"/>
        </w:rPr>
        <w:t>（具体由发包人视工程重要程度和合同金额按10-50 万元/人次约定）作为违约金。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如承包人未经发包人同意擅自更换其他管理团队人员的（包括</w:t>
      </w:r>
      <w:r>
        <w:rPr>
          <w:rFonts w:hint="eastAsia" w:ascii="仿宋_GB2312" w:hAnsi="仿宋_GB2312" w:eastAsia="仿宋_GB2312" w:cs="仿宋_GB2312"/>
          <w:color w:val="auto"/>
          <w:sz w:val="24"/>
          <w:szCs w:val="24"/>
          <w:highlight w:val="none"/>
        </w:rPr>
        <w:t>不能按要求到位累计1个月或以上</w:t>
      </w:r>
      <w:r>
        <w:rPr>
          <w:rFonts w:hint="eastAsia" w:ascii="仿宋_GB2312" w:hAnsi="仿宋_GB2312" w:eastAsia="仿宋_GB2312" w:cs="仿宋_GB2312"/>
          <w:color w:val="auto"/>
          <w:kern w:val="0"/>
          <w:sz w:val="24"/>
          <w:szCs w:val="24"/>
          <w:highlight w:val="none"/>
        </w:rPr>
        <w:t>），或由于其他管理团队人员辞职、调换岗位等除第25.8款约定的情形以外的承包人原因更换其他管理团队人员的，或因其他管理团队人员不胜任发包人要求撤换而承包人拒不撤换的，承包人应向发包人支付</w:t>
      </w:r>
      <w:permStart w:id="376" w:edGrp="everyone"/>
      <w:r>
        <w:rPr>
          <w:rFonts w:hint="eastAsia" w:ascii="仿宋_GB2312" w:hAnsi="仿宋_GB2312" w:eastAsia="仿宋_GB2312" w:cs="仿宋_GB2312"/>
          <w:color w:val="auto"/>
          <w:kern w:val="0"/>
          <w:sz w:val="24"/>
          <w:szCs w:val="24"/>
          <w:highlight w:val="none"/>
          <w:u w:val="single"/>
        </w:rPr>
        <w:t>25万元/人/次</w:t>
      </w:r>
      <w:permEnd w:id="376"/>
      <w:r>
        <w:rPr>
          <w:rFonts w:hint="eastAsia" w:ascii="仿宋_GB2312" w:hAnsi="仿宋_GB2312" w:eastAsia="仿宋_GB2312" w:cs="仿宋_GB2312"/>
          <w:color w:val="auto"/>
          <w:kern w:val="0"/>
          <w:sz w:val="24"/>
          <w:szCs w:val="24"/>
          <w:highlight w:val="none"/>
        </w:rPr>
        <w:t>（具体由发包人视工程重要程度和合同金额按5-25 万元/人次约定）作为违约金。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（26）经发包人现场检查，承包人代表不在现场1次，承包人应向发包人支付</w:t>
      </w:r>
      <w:permStart w:id="377" w:edGrp="everyone"/>
      <w:r>
        <w:rPr>
          <w:rFonts w:hint="eastAsia" w:ascii="仿宋_GB2312" w:hAnsi="仿宋_GB2312" w:eastAsia="仿宋_GB2312" w:cs="仿宋_GB2312"/>
          <w:color w:val="auto"/>
          <w:kern w:val="0"/>
          <w:sz w:val="24"/>
          <w:szCs w:val="24"/>
          <w:highlight w:val="none"/>
          <w:u w:val="single"/>
        </w:rPr>
        <w:t>2万元/人/次</w:t>
      </w:r>
      <w:permEnd w:id="377"/>
      <w:r>
        <w:rPr>
          <w:rFonts w:hint="eastAsia" w:ascii="仿宋_GB2312" w:hAnsi="仿宋_GB2312" w:eastAsia="仿宋_GB2312" w:cs="仿宋_GB2312"/>
          <w:color w:val="auto"/>
          <w:kern w:val="0"/>
          <w:sz w:val="24"/>
          <w:szCs w:val="24"/>
          <w:highlight w:val="none"/>
        </w:rPr>
        <w:t>作为违约金，累计达到5次的，发包人可同时要求撤换该承包人代表，并报水行政主管部门记承包人代表和承包人不良行为各一次。</w:t>
      </w:r>
    </w:p>
    <w:p>
      <w:pPr>
        <w:spacing w:after="120"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（27）经发包人现场检查，承包人的技术、安全生产负责人不在现场1次，承包人应向发包人支付</w:t>
      </w:r>
      <w:permStart w:id="378" w:edGrp="everyone"/>
      <w:r>
        <w:rPr>
          <w:rFonts w:hint="eastAsia" w:ascii="仿宋_GB2312" w:hAnsi="仿宋_GB2312" w:eastAsia="仿宋_GB2312" w:cs="仿宋_GB2312"/>
          <w:color w:val="auto"/>
          <w:kern w:val="0"/>
          <w:sz w:val="24"/>
          <w:szCs w:val="24"/>
          <w:highlight w:val="none"/>
          <w:u w:val="single"/>
        </w:rPr>
        <w:t>1万元/人/次</w:t>
      </w:r>
      <w:permEnd w:id="378"/>
      <w:r>
        <w:rPr>
          <w:rFonts w:hint="eastAsia" w:ascii="仿宋_GB2312" w:hAnsi="仿宋_GB2312" w:eastAsia="仿宋_GB2312" w:cs="仿宋_GB2312"/>
          <w:color w:val="auto"/>
          <w:kern w:val="0"/>
          <w:sz w:val="24"/>
          <w:szCs w:val="24"/>
          <w:highlight w:val="none"/>
        </w:rPr>
        <w:t>作为违约金，累计达到5次的，发包人可同时要求撤换该项目技术、安全生产负责人，并报水行政主管部门记技术负责人和承包人不良行为各一次。</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（28）经发包人现场检查，如发现在特殊工种的施工中，特殊工种人员、各种领班以上人员在施工期间未佩带上岗证的，每发现一次，承包人应向发包人支付</w:t>
      </w:r>
      <w:permStart w:id="379" w:edGrp="everyone"/>
      <w:r>
        <w:rPr>
          <w:rFonts w:hint="eastAsia" w:ascii="仿宋_GB2312" w:hAnsi="仿宋_GB2312" w:eastAsia="仿宋_GB2312" w:cs="仿宋_GB2312"/>
          <w:color w:val="auto"/>
          <w:kern w:val="0"/>
          <w:sz w:val="24"/>
          <w:szCs w:val="24"/>
          <w:highlight w:val="none"/>
          <w:u w:val="single"/>
        </w:rPr>
        <w:t>100元/人/次</w:t>
      </w:r>
      <w:permEnd w:id="379"/>
      <w:r>
        <w:rPr>
          <w:rFonts w:hint="eastAsia" w:ascii="仿宋_GB2312" w:hAnsi="仿宋_GB2312" w:eastAsia="仿宋_GB2312" w:cs="仿宋_GB2312"/>
          <w:color w:val="auto"/>
          <w:kern w:val="0"/>
          <w:sz w:val="24"/>
          <w:szCs w:val="24"/>
          <w:highlight w:val="none"/>
        </w:rPr>
        <w:t>作为违约金。</w:t>
      </w:r>
    </w:p>
    <w:p>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29）承包人如违反操作规程或施工质量不符合本合同要求，发包人或监理人有权责令承包人停止施工；对不符合本合同质量要求的工程，承包人应无偿返工，直至工程质量达到本合同要求为止，由此造成的经济损失、工期的延误以及由此引起变更设计增加的费用，均由承包人负责。</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30）如因承包人原因导致的工程质量问题，承包人应立即返修，并承担因此造成的其他损失及赔偿责任，返修的一切费用均由承包人负责支付；如因承包人施工质量问题等原因造成质量监管部门或上级管理部门下达的整改通知责任书的，承包人每次因工程质量问题需要整改的，承包人应向发包人支付合同价款的1.5‰作为违约金，并在当季的诚信履约评价中予以扣分，累计两次，发包人有权将承包人的失信情况报上级部门。</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(31)承包人未按规定加强占道施工现场管理，未落实相关法律法规、规范、标准等对占道施工管理的要求，发生如未办理道路挖掘占用许可手续、超出许可有效期施工、超出许可批准范围施工、未按标准进行占道施工围蔽、未按标准进行占道施工信息公示、未按标准进行道路修复、未按要求落实占道施工管理相关工作等违约行为的，承包人除承担因此造成的法律责任和经济责任外，还应由发包人按照合同专用条款中规定的“承包人未履行或未按时履行或未按质履行合同约定义务”的情形进行扣罚，并酌情在当季施工、监理企业诚信评价中对相关责任单位实施扣分处理。</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（32）如因承包人未按时报送竣工档案资料和规划验收资料导致发包人的供水管道由于规划或路由问题，被其他管线或物体骑压、损坏而造成顺势，承包人需赔偿经济损失并承担相应的法律责任。</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（33）承包人所提交的竣工图与现场实际情况不一致的，承包人应支付违约金，按照不一致部分工程量偏差对应的造价金额</w:t>
      </w:r>
      <w:permStart w:id="380" w:edGrp="everyone"/>
      <w:r>
        <w:rPr>
          <w:rFonts w:hint="eastAsia" w:ascii="仿宋_GB2312" w:hAnsi="仿宋_GB2312" w:eastAsia="仿宋_GB2312" w:cs="仿宋_GB2312"/>
          <w:color w:val="auto"/>
          <w:kern w:val="0"/>
          <w:sz w:val="24"/>
          <w:szCs w:val="24"/>
          <w:highlight w:val="none"/>
          <w:u w:val="single"/>
          <w:lang w:val="en-US" w:eastAsia="zh-CN" w:bidi="ar-SA"/>
        </w:rPr>
        <w:t>1.5-2倍</w:t>
      </w:r>
      <w:permEnd w:id="380"/>
      <w:r>
        <w:rPr>
          <w:rFonts w:hint="eastAsia" w:ascii="仿宋_GB2312" w:hAnsi="仿宋_GB2312" w:eastAsia="仿宋_GB2312" w:cs="仿宋_GB2312"/>
          <w:color w:val="auto"/>
          <w:kern w:val="0"/>
          <w:sz w:val="24"/>
          <w:szCs w:val="24"/>
          <w:highlight w:val="none"/>
          <w:lang w:val="en-US" w:eastAsia="zh-CN" w:bidi="ar-SA"/>
        </w:rPr>
        <w:t>计算，违约金限额为合同价款的</w:t>
      </w:r>
      <w:permStart w:id="381" w:edGrp="everyone"/>
      <w:r>
        <w:rPr>
          <w:rFonts w:hint="eastAsia" w:ascii="仿宋_GB2312" w:hAnsi="仿宋_GB2312" w:eastAsia="仿宋_GB2312" w:cs="仿宋_GB2312"/>
          <w:color w:val="auto"/>
          <w:kern w:val="0"/>
          <w:sz w:val="24"/>
          <w:szCs w:val="24"/>
          <w:highlight w:val="none"/>
          <w:u w:val="single"/>
          <w:lang w:val="en-US" w:eastAsia="zh-CN" w:bidi="ar-SA"/>
        </w:rPr>
        <w:t xml:space="preserve"> 20% </w:t>
      </w:r>
      <w:permEnd w:id="381"/>
      <w:r>
        <w:rPr>
          <w:rFonts w:hint="eastAsia" w:ascii="仿宋_GB2312" w:hAnsi="仿宋_GB2312" w:eastAsia="仿宋_GB2312" w:cs="仿宋_GB2312"/>
          <w:color w:val="auto"/>
          <w:kern w:val="0"/>
          <w:sz w:val="24"/>
          <w:szCs w:val="24"/>
          <w:highlight w:val="none"/>
          <w:lang w:val="en-US" w:eastAsia="zh-CN" w:bidi="ar-SA"/>
        </w:rPr>
        <w:t>。</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（34）承包人未按经审查的施工图、经监理、发包人审核的各类专项方案进行施工，违反设计、施工等有关规范、规程的施工行为。承包人应向发包人支付</w:t>
      </w:r>
      <w:permStart w:id="382" w:edGrp="everyone"/>
      <w:r>
        <w:rPr>
          <w:rFonts w:hint="eastAsia" w:ascii="仿宋_GB2312" w:hAnsi="仿宋_GB2312" w:eastAsia="仿宋_GB2312" w:cs="仿宋_GB2312"/>
          <w:color w:val="auto"/>
          <w:kern w:val="0"/>
          <w:sz w:val="24"/>
          <w:szCs w:val="24"/>
          <w:highlight w:val="none"/>
          <w:u w:val="single"/>
        </w:rPr>
        <w:t>5万元/次</w:t>
      </w:r>
      <w:permEnd w:id="382"/>
      <w:r>
        <w:rPr>
          <w:rFonts w:hint="eastAsia" w:ascii="仿宋_GB2312" w:hAnsi="仿宋_GB2312" w:eastAsia="仿宋_GB2312" w:cs="仿宋_GB2312"/>
          <w:color w:val="auto"/>
          <w:kern w:val="0"/>
          <w:sz w:val="24"/>
          <w:szCs w:val="24"/>
          <w:highlight w:val="none"/>
        </w:rPr>
        <w:t>作为违约金，同时承担因上述违约行为引起的费用增加和(或)工期延误等责任，违约金不足以补偿发包人损失的，发包人有权就其所遭受的实际经济损失继续向承包人追偿，并承担1次严重违约责任。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35）承包人未按工程所在地当地政府相关部门、权属单位要求做好安全文明施工、扬尘防治、环境保护、水土保持防治、河涌保护、涉路涉桥安全等专项保护方案等规定及要求等一系列施工行为。承包人应向发包人支付</w:t>
      </w:r>
      <w:permStart w:id="383" w:edGrp="everyone"/>
      <w:r>
        <w:rPr>
          <w:rFonts w:hint="eastAsia" w:ascii="仿宋_GB2312" w:hAnsi="仿宋_GB2312" w:eastAsia="仿宋_GB2312" w:cs="仿宋_GB2312"/>
          <w:color w:val="auto"/>
          <w:kern w:val="0"/>
          <w:sz w:val="24"/>
          <w:szCs w:val="24"/>
          <w:highlight w:val="none"/>
          <w:u w:val="single"/>
        </w:rPr>
        <w:t>5万元/次</w:t>
      </w:r>
      <w:permEnd w:id="383"/>
      <w:r>
        <w:rPr>
          <w:rFonts w:hint="eastAsia" w:ascii="仿宋_GB2312" w:hAnsi="仿宋_GB2312" w:eastAsia="仿宋_GB2312" w:cs="仿宋_GB2312"/>
          <w:color w:val="auto"/>
          <w:kern w:val="0"/>
          <w:sz w:val="24"/>
          <w:szCs w:val="24"/>
          <w:highlight w:val="none"/>
        </w:rPr>
        <w:t>作为违约金，同时承担因上述违约行为引起的费用增加和(或)工期延误等责任，违约金不足以补偿发包人损失的，发包人有权就其所遭受的实际经济损失继续向承包人追偿，并承担1次严重违约责任。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（36）承包人原因导致本项目未达到工程质量及标准、未完成隐蔽验收、项目未能通过验收等一系列行为。承包人应向发包人支付</w:t>
      </w:r>
      <w:permStart w:id="384" w:edGrp="everyone"/>
      <w:r>
        <w:rPr>
          <w:rFonts w:hint="eastAsia" w:ascii="仿宋_GB2312" w:hAnsi="仿宋_GB2312" w:eastAsia="仿宋_GB2312" w:cs="仿宋_GB2312"/>
          <w:color w:val="auto"/>
          <w:kern w:val="0"/>
          <w:sz w:val="24"/>
          <w:szCs w:val="24"/>
          <w:highlight w:val="none"/>
          <w:u w:val="single"/>
        </w:rPr>
        <w:t>5万元/次</w:t>
      </w:r>
      <w:permEnd w:id="384"/>
      <w:r>
        <w:rPr>
          <w:rFonts w:hint="eastAsia" w:ascii="仿宋_GB2312" w:hAnsi="仿宋_GB2312" w:eastAsia="仿宋_GB2312" w:cs="仿宋_GB2312"/>
          <w:color w:val="auto"/>
          <w:kern w:val="0"/>
          <w:sz w:val="24"/>
          <w:szCs w:val="24"/>
          <w:highlight w:val="none"/>
        </w:rPr>
        <w:t>作为违约金，同时承担因上述违约行为引起的费用增加和(或)工期延误等责任，违约金不足以补偿发包人损失的，发包人有权就其所遭受的实际经济损失继续向承包人追偿，并承担1次严重违约责任。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（37）承包人未按监理、发包人及质量监督等行政管理部门发出的整改通知进行整改、或限期未及时纠正、多次出现上述涉施工安全、质量、进度等施工行为。承包人应向发包人支付</w:t>
      </w:r>
      <w:permStart w:id="385" w:edGrp="everyone"/>
      <w:r>
        <w:rPr>
          <w:rFonts w:hint="eastAsia" w:ascii="仿宋_GB2312" w:hAnsi="仿宋_GB2312" w:eastAsia="仿宋_GB2312" w:cs="仿宋_GB2312"/>
          <w:color w:val="auto"/>
          <w:kern w:val="0"/>
          <w:sz w:val="24"/>
          <w:szCs w:val="24"/>
          <w:highlight w:val="none"/>
          <w:u w:val="single"/>
        </w:rPr>
        <w:t>5万元/次</w:t>
      </w:r>
      <w:permEnd w:id="385"/>
      <w:r>
        <w:rPr>
          <w:rFonts w:hint="eastAsia" w:ascii="仿宋_GB2312" w:hAnsi="仿宋_GB2312" w:eastAsia="仿宋_GB2312" w:cs="仿宋_GB2312"/>
          <w:color w:val="auto"/>
          <w:kern w:val="0"/>
          <w:sz w:val="24"/>
          <w:szCs w:val="24"/>
          <w:highlight w:val="none"/>
        </w:rPr>
        <w:t>作为违约金，同时承担因上述违约行为引起的费用增加和(或)工期延误等责任，违约金不足以补偿发包人损失的，发包人有权就其所遭受的实际经济损失继续向承包人追偿，并承担1次严重违约责任。</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（38）未按政府部门相关规定、合同约定等要求及时支付工人工资。承包人应向发包人支付</w:t>
      </w:r>
      <w:permStart w:id="386" w:edGrp="everyone"/>
      <w:r>
        <w:rPr>
          <w:rFonts w:hint="eastAsia" w:ascii="仿宋_GB2312" w:hAnsi="仿宋_GB2312" w:eastAsia="仿宋_GB2312" w:cs="仿宋_GB2312"/>
          <w:color w:val="auto"/>
          <w:kern w:val="0"/>
          <w:sz w:val="24"/>
          <w:szCs w:val="24"/>
          <w:highlight w:val="none"/>
          <w:u w:val="single"/>
        </w:rPr>
        <w:t>5万元/次</w:t>
      </w:r>
      <w:permEnd w:id="386"/>
      <w:r>
        <w:rPr>
          <w:rFonts w:hint="eastAsia" w:ascii="仿宋_GB2312" w:hAnsi="仿宋_GB2312" w:eastAsia="仿宋_GB2312" w:cs="仿宋_GB2312"/>
          <w:color w:val="auto"/>
          <w:kern w:val="0"/>
          <w:sz w:val="24"/>
          <w:szCs w:val="24"/>
          <w:highlight w:val="none"/>
        </w:rPr>
        <w:t>作为违约金，同时承担因上述违约行为引起的费用增加和(或)工期延误等责任，违约金不足以补偿发包人损失的，发包人有权就其所遭受的实际经济损失继续向承包人追偿，并承担1次严重违约责任。</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（39）安全、文明施工违约处理</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承包人必须按本合同的约定编制施工组织设计(施工方案、包括安全文明施工措施),经过监理工程师和发包人审核确认后按其施工，不得随意更改。如果根据实际情况确需修改，则需经监理工程师及发包人审批同意。如果未经监理工程师及发包人审批同意而擅自更改施工组织设计(施工方案，包括安全文明施工措施)或不按照施工组织设计(施工方案，包括安全文明施工措施)施工，则发包人将扣减更改部分的造价(该造价按广东省相关综合定额和取费标准计算，不下浮)；同时，每擅自更改一次，承包人应向发包人支付人民币1万元作为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承包人应严格遵守国家、省、市及区有关防火、爆破和施工安全以及文明施工、深夜施工、环卫和城市管理等规定，建立规章制度和防护措施，并组织施工。在相关部门的检查中，承包人施工场地被评为不合格工地或被通报批评或者被新闻媒体曝光的，每发生一次，承包人向发包人支付</w:t>
      </w:r>
      <w:permStart w:id="387" w:edGrp="everyone"/>
      <w:r>
        <w:rPr>
          <w:rFonts w:hint="eastAsia" w:ascii="仿宋_GB2312" w:hAnsi="仿宋_GB2312" w:eastAsia="仿宋_GB2312" w:cs="仿宋_GB2312"/>
          <w:color w:val="auto"/>
          <w:kern w:val="0"/>
          <w:sz w:val="24"/>
          <w:szCs w:val="24"/>
          <w:highlight w:val="none"/>
          <w:u w:val="single"/>
          <w:lang w:val="en-US" w:eastAsia="zh-CN" w:bidi="ar-SA"/>
        </w:rPr>
        <w:t>20万元</w:t>
      </w:r>
      <w:permEnd w:id="387"/>
      <w:r>
        <w:rPr>
          <w:rFonts w:hint="eastAsia" w:ascii="仿宋_GB2312" w:hAnsi="仿宋_GB2312" w:eastAsia="仿宋_GB2312" w:cs="仿宋_GB2312"/>
          <w:color w:val="auto"/>
          <w:kern w:val="0"/>
          <w:sz w:val="24"/>
          <w:szCs w:val="24"/>
          <w:highlight w:val="none"/>
          <w:lang w:val="en-US" w:eastAsia="zh-CN" w:bidi="ar-SA"/>
        </w:rPr>
        <w:t>作为违约金，如发包人因此被相关部门处罚的，罚金由承包人承担。造成严重社会影响或累计被通报或被曝光2次以上(含本数)的，发包人有权解除合同，将本工程另行发包，但并不免除承包人应承担的违约赔偿责任。若造成发包人被他人索赔时，承包人应赔偿发包人因此遭受的损失。</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3）如果承包人未按招投标文件及本合同要求做好安全、文明施工相关措施，经监理工程师或发包人检查发现的，每发现一次，承包人向发包人支付</w:t>
      </w:r>
      <w:permStart w:id="388" w:edGrp="everyone"/>
      <w:r>
        <w:rPr>
          <w:rFonts w:hint="eastAsia" w:ascii="仿宋_GB2312" w:hAnsi="仿宋_GB2312" w:eastAsia="仿宋_GB2312" w:cs="仿宋_GB2312"/>
          <w:color w:val="auto"/>
          <w:kern w:val="0"/>
          <w:sz w:val="24"/>
          <w:szCs w:val="24"/>
          <w:highlight w:val="none"/>
          <w:u w:val="single"/>
          <w:lang w:val="en-US" w:eastAsia="zh-CN" w:bidi="ar-SA"/>
        </w:rPr>
        <w:t>10000元</w:t>
      </w:r>
      <w:permEnd w:id="388"/>
      <w:r>
        <w:rPr>
          <w:rFonts w:hint="eastAsia" w:ascii="仿宋_GB2312" w:hAnsi="仿宋_GB2312" w:eastAsia="仿宋_GB2312" w:cs="仿宋_GB2312"/>
          <w:color w:val="auto"/>
          <w:kern w:val="0"/>
          <w:sz w:val="24"/>
          <w:szCs w:val="24"/>
          <w:highlight w:val="none"/>
          <w:lang w:val="en-US" w:eastAsia="zh-CN" w:bidi="ar-SA"/>
        </w:rPr>
        <w:t>作为违约金，并按发包人或监理工程师要求限期整改，未在限期内完成整改的，每延期一天，承包人向发包人支付</w:t>
      </w:r>
      <w:permStart w:id="389" w:edGrp="everyone"/>
      <w:r>
        <w:rPr>
          <w:rFonts w:hint="eastAsia" w:ascii="仿宋_GB2312" w:hAnsi="仿宋_GB2312" w:eastAsia="仿宋_GB2312" w:cs="仿宋_GB2312"/>
          <w:color w:val="auto"/>
          <w:kern w:val="0"/>
          <w:sz w:val="24"/>
          <w:szCs w:val="24"/>
          <w:highlight w:val="none"/>
          <w:u w:val="single"/>
          <w:lang w:val="en-US" w:eastAsia="zh-CN" w:bidi="ar-SA"/>
        </w:rPr>
        <w:t>5000元</w:t>
      </w:r>
      <w:permEnd w:id="389"/>
      <w:r>
        <w:rPr>
          <w:rFonts w:hint="eastAsia" w:ascii="仿宋_GB2312" w:hAnsi="仿宋_GB2312" w:eastAsia="仿宋_GB2312" w:cs="仿宋_GB2312"/>
          <w:color w:val="auto"/>
          <w:kern w:val="0"/>
          <w:sz w:val="24"/>
          <w:szCs w:val="24"/>
          <w:highlight w:val="none"/>
          <w:lang w:val="en-US" w:eastAsia="zh-CN" w:bidi="ar-SA"/>
        </w:rPr>
        <w:t>作为违约金。此类问题的认定，以发包人、监理工程师书面通知、指令、通报和会议纪要为准。</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承包人因自身原因造成重大安全事故的(含工程质量事故，事故的标准以国务院颁发的《生产安全事故报告和调查处理条例》为准),除按国家规定由承包人承担发包人主管部门的处罚外，承包人必须依照下列约定承担违约责任，并赔偿由此造成的一切损失，发包人有权部分或全部解除合同：</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①发生特别重大事故，承包人按事故所造成损失额的</w:t>
      </w:r>
      <w:permStart w:id="390" w:edGrp="everyone"/>
      <w:r>
        <w:rPr>
          <w:rFonts w:hint="eastAsia" w:ascii="仿宋_GB2312" w:hAnsi="仿宋_GB2312" w:eastAsia="仿宋_GB2312" w:cs="仿宋_GB2312"/>
          <w:color w:val="auto"/>
          <w:kern w:val="0"/>
          <w:sz w:val="24"/>
          <w:szCs w:val="24"/>
          <w:highlight w:val="none"/>
          <w:u w:val="single"/>
          <w:lang w:val="en-US" w:eastAsia="zh-CN" w:bidi="ar-SA"/>
        </w:rPr>
        <w:t>15%</w:t>
      </w:r>
      <w:permEnd w:id="390"/>
      <w:r>
        <w:rPr>
          <w:rFonts w:hint="eastAsia" w:ascii="仿宋_GB2312" w:hAnsi="仿宋_GB2312" w:eastAsia="仿宋_GB2312" w:cs="仿宋_GB2312"/>
          <w:color w:val="auto"/>
          <w:kern w:val="0"/>
          <w:sz w:val="24"/>
          <w:szCs w:val="24"/>
          <w:highlight w:val="none"/>
          <w:lang w:val="en-US" w:eastAsia="zh-CN" w:bidi="ar-SA"/>
        </w:rPr>
        <w:t>,向发包人支付违约金；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②发生重大事故，承包人按事故所处分项工程总价</w:t>
      </w:r>
      <w:permStart w:id="391" w:edGrp="everyone"/>
      <w:r>
        <w:rPr>
          <w:rFonts w:hint="eastAsia" w:ascii="仿宋_GB2312" w:hAnsi="仿宋_GB2312" w:eastAsia="仿宋_GB2312" w:cs="仿宋_GB2312"/>
          <w:color w:val="auto"/>
          <w:kern w:val="0"/>
          <w:sz w:val="24"/>
          <w:szCs w:val="24"/>
          <w:highlight w:val="none"/>
          <w:u w:val="single"/>
          <w:lang w:val="en-US" w:eastAsia="zh-CN" w:bidi="ar-SA"/>
        </w:rPr>
        <w:t>12%</w:t>
      </w:r>
      <w:permEnd w:id="391"/>
      <w:r>
        <w:rPr>
          <w:rFonts w:hint="eastAsia" w:ascii="仿宋_GB2312" w:hAnsi="仿宋_GB2312" w:eastAsia="仿宋_GB2312" w:cs="仿宋_GB2312"/>
          <w:color w:val="auto"/>
          <w:kern w:val="0"/>
          <w:sz w:val="24"/>
          <w:szCs w:val="24"/>
          <w:highlight w:val="none"/>
          <w:lang w:val="en-US" w:eastAsia="zh-CN" w:bidi="ar-SA"/>
        </w:rPr>
        <w:t>,向发包人支付违约金；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③发生较大事故，承包人按事故所处分项工程总价</w:t>
      </w:r>
      <w:permStart w:id="392" w:edGrp="everyone"/>
      <w:r>
        <w:rPr>
          <w:rFonts w:hint="eastAsia" w:ascii="仿宋_GB2312" w:hAnsi="仿宋_GB2312" w:eastAsia="仿宋_GB2312" w:cs="仿宋_GB2312"/>
          <w:color w:val="auto"/>
          <w:kern w:val="0"/>
          <w:sz w:val="24"/>
          <w:szCs w:val="24"/>
          <w:highlight w:val="none"/>
          <w:u w:val="single"/>
          <w:lang w:val="en-US" w:eastAsia="zh-CN" w:bidi="ar-SA"/>
        </w:rPr>
        <w:t>10%</w:t>
      </w:r>
      <w:permEnd w:id="392"/>
      <w:r>
        <w:rPr>
          <w:rFonts w:hint="eastAsia" w:ascii="仿宋_GB2312" w:hAnsi="仿宋_GB2312" w:eastAsia="仿宋_GB2312" w:cs="仿宋_GB2312"/>
          <w:color w:val="auto"/>
          <w:kern w:val="0"/>
          <w:sz w:val="24"/>
          <w:szCs w:val="24"/>
          <w:highlight w:val="none"/>
          <w:lang w:val="en-US" w:eastAsia="zh-CN" w:bidi="ar-SA"/>
        </w:rPr>
        <w:t>,向发包人支付违约金；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④发生一般事故，承包人按事故所处分项工程总价</w:t>
      </w:r>
      <w:permStart w:id="393" w:edGrp="everyone"/>
      <w:r>
        <w:rPr>
          <w:rFonts w:hint="eastAsia" w:ascii="仿宋_GB2312" w:hAnsi="仿宋_GB2312" w:eastAsia="仿宋_GB2312" w:cs="仿宋_GB2312"/>
          <w:color w:val="auto"/>
          <w:kern w:val="0"/>
          <w:sz w:val="24"/>
          <w:szCs w:val="24"/>
          <w:highlight w:val="none"/>
          <w:u w:val="single"/>
          <w:lang w:val="en-US" w:eastAsia="zh-CN" w:bidi="ar-SA"/>
        </w:rPr>
        <w:t>8%</w:t>
      </w:r>
      <w:permEnd w:id="393"/>
      <w:r>
        <w:rPr>
          <w:rFonts w:hint="eastAsia" w:ascii="仿宋_GB2312" w:hAnsi="仿宋_GB2312" w:eastAsia="仿宋_GB2312" w:cs="仿宋_GB2312"/>
          <w:color w:val="auto"/>
          <w:kern w:val="0"/>
          <w:sz w:val="24"/>
          <w:szCs w:val="24"/>
          <w:highlight w:val="none"/>
          <w:u w:val="none"/>
          <w:lang w:val="en-US" w:eastAsia="zh-CN" w:bidi="ar-SA"/>
        </w:rPr>
        <w:t>,</w:t>
      </w:r>
      <w:r>
        <w:rPr>
          <w:rFonts w:hint="eastAsia" w:ascii="仿宋_GB2312" w:hAnsi="仿宋_GB2312" w:eastAsia="仿宋_GB2312" w:cs="仿宋_GB2312"/>
          <w:color w:val="auto"/>
          <w:kern w:val="0"/>
          <w:sz w:val="24"/>
          <w:szCs w:val="24"/>
          <w:highlight w:val="none"/>
          <w:lang w:val="en-US" w:eastAsia="zh-CN" w:bidi="ar-SA"/>
        </w:rPr>
        <w:t>向发包人支付违约金；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5）在本工程余泥渣土清运施工和建筑垃圾排放运输时，承包人必须严格执行《广州市余泥渣土管理条例》、《广州市市容环境卫生管理规定》、《广州市建设工程现场文明施工管理办法》《关于加强施工现场余泥渣土排放管理工作的通知》等相关管理规定的标准和要求，保证落实“一不准进，三不准出”规定，办齐排放有关证照，雇请有合格准运证车辆和具备资质的运输企业，设立专职人员管理余泥渣土、建筑垃圾的运输工作，并对分包单位依法排放余泥渣土、建筑垃圾进行监管。承包人因违反本款约定所造成的一切责任后果全部由承包人承担。经发包人或相关部门检查发现承包人未执行本款约定的，每发现一次，承包人向发包人支付</w:t>
      </w:r>
      <w:permStart w:id="394" w:edGrp="everyone"/>
      <w:r>
        <w:rPr>
          <w:rFonts w:hint="eastAsia" w:ascii="仿宋_GB2312" w:hAnsi="仿宋_GB2312" w:eastAsia="仿宋_GB2312" w:cs="仿宋_GB2312"/>
          <w:color w:val="auto"/>
          <w:kern w:val="0"/>
          <w:sz w:val="24"/>
          <w:szCs w:val="24"/>
          <w:highlight w:val="none"/>
          <w:u w:val="single"/>
          <w:lang w:val="en-US" w:eastAsia="zh-CN" w:bidi="ar-SA"/>
        </w:rPr>
        <w:t>1万元</w:t>
      </w:r>
      <w:permEnd w:id="394"/>
      <w:r>
        <w:rPr>
          <w:rFonts w:hint="eastAsia" w:ascii="仿宋_GB2312" w:hAnsi="仿宋_GB2312" w:eastAsia="仿宋_GB2312" w:cs="仿宋_GB2312"/>
          <w:color w:val="auto"/>
          <w:kern w:val="0"/>
          <w:sz w:val="24"/>
          <w:szCs w:val="24"/>
          <w:highlight w:val="none"/>
          <w:lang w:val="en-US" w:eastAsia="zh-CN" w:bidi="ar-SA"/>
        </w:rPr>
        <w:t>作为违约金。同时，发包人将根据承包人违反余泥渣土运输管理有关规定而造成的不良后果的严重程度，上报区、市水行政、建设行政主管部门进行处理。</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6）经发包人或监理工程师抽查发现承包人违反合同专用条款的约定，其技术管理人员或施工作业人员没有佩带平安卡的，承包人按每人次</w:t>
      </w:r>
      <w:permStart w:id="395" w:edGrp="everyone"/>
      <w:r>
        <w:rPr>
          <w:rFonts w:hint="eastAsia" w:ascii="仿宋_GB2312" w:hAnsi="仿宋_GB2312" w:eastAsia="仿宋_GB2312" w:cs="仿宋_GB2312"/>
          <w:color w:val="auto"/>
          <w:kern w:val="0"/>
          <w:sz w:val="24"/>
          <w:szCs w:val="24"/>
          <w:highlight w:val="none"/>
          <w:u w:val="single"/>
          <w:lang w:val="en-US" w:eastAsia="zh-CN" w:bidi="ar-SA"/>
        </w:rPr>
        <w:t>1000元</w:t>
      </w:r>
      <w:permEnd w:id="395"/>
      <w:r>
        <w:rPr>
          <w:rFonts w:hint="eastAsia" w:ascii="仿宋_GB2312" w:hAnsi="仿宋_GB2312" w:eastAsia="仿宋_GB2312" w:cs="仿宋_GB2312"/>
          <w:color w:val="auto"/>
          <w:kern w:val="0"/>
          <w:sz w:val="24"/>
          <w:szCs w:val="24"/>
          <w:highlight w:val="none"/>
          <w:lang w:val="en-US" w:eastAsia="zh-CN" w:bidi="ar-SA"/>
        </w:rPr>
        <w:t>的标准向发包人支付违约金。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（40）环境保护、水土防治、河涌保护、涉路涉桥等安全专项保护方案等规定及要求等一系列施工行为的违约责任</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承包人必须按本合同的约定编制环境保护、水土保持防治、河涌保护、涉路涉桥安全等专项保护方案措施，经过监理工程师和发包人审核确认后按其施工，不得随意更改。如果根据实际情况确需修改，则需经监理工程师及发包人审批同意。如果未经监理工程师及发包人审批同意而擅自更改环境保护、水土保持防治、河涌保护、涉路涉桥安全等专项保护方案措施，则发包人将扣减更改部分的造价(该造价按广东省相关综合定额和取费标准计算，不下浮)；同时，每擅自更改一次，承包人需支付发包人</w:t>
      </w:r>
      <w:permStart w:id="396" w:edGrp="everyone"/>
      <w:r>
        <w:rPr>
          <w:rFonts w:hint="eastAsia" w:ascii="仿宋_GB2312" w:hAnsi="仿宋_GB2312" w:eastAsia="仿宋_GB2312" w:cs="仿宋_GB2312"/>
          <w:color w:val="auto"/>
          <w:kern w:val="0"/>
          <w:sz w:val="24"/>
          <w:szCs w:val="24"/>
          <w:highlight w:val="none"/>
          <w:u w:val="single"/>
          <w:lang w:val="en-US" w:eastAsia="zh-CN" w:bidi="ar-SA"/>
        </w:rPr>
        <w:t>10000元</w:t>
      </w:r>
      <w:permEnd w:id="396"/>
      <w:r>
        <w:rPr>
          <w:rFonts w:hint="eastAsia" w:ascii="仿宋_GB2312" w:hAnsi="仿宋_GB2312" w:eastAsia="仿宋_GB2312" w:cs="仿宋_GB2312"/>
          <w:color w:val="auto"/>
          <w:kern w:val="0"/>
          <w:sz w:val="24"/>
          <w:szCs w:val="24"/>
          <w:highlight w:val="none"/>
          <w:lang w:val="en-US" w:eastAsia="zh-CN" w:bidi="ar-SA"/>
        </w:rPr>
        <w:t>人民币作为违约金。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2）在相关部门的检查中，因上述问题，承包人施工场地被评为不合格工地或被通报批评或者被新闻媒体曝光的，每发生一次，承包人向发包人支付</w:t>
      </w:r>
      <w:permStart w:id="397" w:edGrp="everyone"/>
      <w:r>
        <w:rPr>
          <w:rFonts w:hint="eastAsia" w:ascii="仿宋_GB2312" w:hAnsi="仿宋_GB2312" w:eastAsia="仿宋_GB2312" w:cs="仿宋_GB2312"/>
          <w:color w:val="auto"/>
          <w:kern w:val="0"/>
          <w:sz w:val="24"/>
          <w:szCs w:val="24"/>
          <w:highlight w:val="none"/>
          <w:u w:val="single"/>
          <w:lang w:val="en-US" w:eastAsia="zh-CN" w:bidi="ar-SA"/>
        </w:rPr>
        <w:t>20万元</w:t>
      </w:r>
      <w:permEnd w:id="397"/>
      <w:r>
        <w:rPr>
          <w:rFonts w:hint="eastAsia" w:ascii="仿宋_GB2312" w:hAnsi="仿宋_GB2312" w:eastAsia="仿宋_GB2312" w:cs="仿宋_GB2312"/>
          <w:color w:val="auto"/>
          <w:kern w:val="0"/>
          <w:sz w:val="24"/>
          <w:szCs w:val="24"/>
          <w:highlight w:val="none"/>
          <w:lang w:val="en-US" w:eastAsia="zh-CN" w:bidi="ar-SA"/>
        </w:rPr>
        <w:t>作为违约金，如发包人因此被相关部门处罚的，罚金由承包人承担。造成严重社会影响或累计被通报或被曝光2次以上(含本数)的，发包人有权解除合同，将本工程另行发包，但并不免除承包人应承担的违约赔偿责任。若造成发包人被他人索赔时，承包人应赔偿发包人因此遭受的损失。</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3）如果承包人未按招投标文件及本合同要求做好环境保护、水土保持防治、河涌保护、涉路涉桥安全等专项保护方案措施，经监理工程师或发包人检查发现的，每发现一次，承包人向发包人支付</w:t>
      </w:r>
      <w:permStart w:id="398" w:edGrp="everyone"/>
      <w:r>
        <w:rPr>
          <w:rFonts w:hint="eastAsia" w:ascii="仿宋_GB2312" w:hAnsi="仿宋_GB2312" w:eastAsia="仿宋_GB2312" w:cs="仿宋_GB2312"/>
          <w:color w:val="auto"/>
          <w:kern w:val="0"/>
          <w:sz w:val="24"/>
          <w:szCs w:val="24"/>
          <w:highlight w:val="none"/>
          <w:u w:val="single"/>
          <w:lang w:val="en-US" w:eastAsia="zh-CN" w:bidi="ar-SA"/>
        </w:rPr>
        <w:t>10000元</w:t>
      </w:r>
      <w:permEnd w:id="398"/>
      <w:r>
        <w:rPr>
          <w:rFonts w:hint="eastAsia" w:ascii="仿宋_GB2312" w:hAnsi="仿宋_GB2312" w:eastAsia="仿宋_GB2312" w:cs="仿宋_GB2312"/>
          <w:color w:val="auto"/>
          <w:kern w:val="0"/>
          <w:sz w:val="24"/>
          <w:szCs w:val="24"/>
          <w:highlight w:val="none"/>
          <w:lang w:val="en-US" w:eastAsia="zh-CN" w:bidi="ar-SA"/>
        </w:rPr>
        <w:t>作为违约金，并按发包人或监理工程师要求限期整改，未在限期内完成整改的，每延期一天，承包人向发包人支付</w:t>
      </w:r>
      <w:permStart w:id="399" w:edGrp="everyone"/>
      <w:r>
        <w:rPr>
          <w:rFonts w:hint="eastAsia" w:ascii="仿宋_GB2312" w:hAnsi="仿宋_GB2312" w:eastAsia="仿宋_GB2312" w:cs="仿宋_GB2312"/>
          <w:color w:val="auto"/>
          <w:kern w:val="0"/>
          <w:sz w:val="24"/>
          <w:szCs w:val="24"/>
          <w:highlight w:val="none"/>
          <w:u w:val="single"/>
          <w:lang w:val="en-US" w:eastAsia="zh-CN" w:bidi="ar-SA"/>
        </w:rPr>
        <w:t>5000元</w:t>
      </w:r>
      <w:permEnd w:id="399"/>
      <w:r>
        <w:rPr>
          <w:rFonts w:hint="eastAsia" w:ascii="仿宋_GB2312" w:hAnsi="仿宋_GB2312" w:eastAsia="仿宋_GB2312" w:cs="仿宋_GB2312"/>
          <w:color w:val="auto"/>
          <w:kern w:val="0"/>
          <w:sz w:val="24"/>
          <w:szCs w:val="24"/>
          <w:highlight w:val="none"/>
          <w:lang w:val="en-US" w:eastAsia="zh-CN" w:bidi="ar-SA"/>
        </w:rPr>
        <w:t>作为违约金。此类问题的认定，以发包人、监理工程师书面通知、指令、通报和会议纪要为准。</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4）如果承包人未按国土部门批复的土地复垦实施方案要求、招投标文件及本合同要求做土地复垦措施，经监理工程师或发包人检查发现的，每发现一次，承包人向发包人支付</w:t>
      </w:r>
      <w:permStart w:id="400" w:edGrp="everyone"/>
      <w:r>
        <w:rPr>
          <w:rFonts w:hint="eastAsia" w:ascii="仿宋_GB2312" w:hAnsi="仿宋_GB2312" w:eastAsia="仿宋_GB2312" w:cs="仿宋_GB2312"/>
          <w:color w:val="auto"/>
          <w:kern w:val="0"/>
          <w:sz w:val="24"/>
          <w:szCs w:val="24"/>
          <w:highlight w:val="none"/>
          <w:u w:val="single"/>
          <w:lang w:val="en-US" w:eastAsia="zh-CN" w:bidi="ar-SA"/>
        </w:rPr>
        <w:t>10000元</w:t>
      </w:r>
      <w:permEnd w:id="400"/>
      <w:r>
        <w:rPr>
          <w:rFonts w:hint="eastAsia" w:ascii="仿宋_GB2312" w:hAnsi="仿宋_GB2312" w:eastAsia="仿宋_GB2312" w:cs="仿宋_GB2312"/>
          <w:color w:val="auto"/>
          <w:kern w:val="0"/>
          <w:sz w:val="24"/>
          <w:szCs w:val="24"/>
          <w:highlight w:val="none"/>
          <w:lang w:val="en-US" w:eastAsia="zh-CN" w:bidi="ar-SA"/>
        </w:rPr>
        <w:t>作为违约金，并按发包人或监理工程师要求限期整改，未在限期内完成整改的，每延期一天，承包人向发包人支付</w:t>
      </w:r>
      <w:permStart w:id="401" w:edGrp="everyone"/>
      <w:r>
        <w:rPr>
          <w:rFonts w:hint="eastAsia" w:ascii="仿宋_GB2312" w:hAnsi="仿宋_GB2312" w:eastAsia="仿宋_GB2312" w:cs="仿宋_GB2312"/>
          <w:color w:val="auto"/>
          <w:kern w:val="0"/>
          <w:sz w:val="24"/>
          <w:szCs w:val="24"/>
          <w:highlight w:val="none"/>
          <w:u w:val="single"/>
          <w:lang w:val="en-US" w:eastAsia="zh-CN" w:bidi="ar-SA"/>
        </w:rPr>
        <w:t>5000元</w:t>
      </w:r>
      <w:permEnd w:id="401"/>
      <w:r>
        <w:rPr>
          <w:rFonts w:hint="eastAsia" w:ascii="仿宋_GB2312" w:hAnsi="仿宋_GB2312" w:eastAsia="仿宋_GB2312" w:cs="仿宋_GB2312"/>
          <w:color w:val="auto"/>
          <w:kern w:val="0"/>
          <w:sz w:val="24"/>
          <w:szCs w:val="24"/>
          <w:highlight w:val="none"/>
          <w:lang w:val="en-US" w:eastAsia="zh-CN" w:bidi="ar-SA"/>
        </w:rPr>
        <w:t>作为违约金。此类问题的认定，以发包人、监理工程师书面通知、指令、通报和会议纪要为准。因承包人实施的土地复垦措施未达到国土部门批复的土地复垦实施方案要求、招投标文件以及本合同要求而造成土地复垦验收不合格，承包人须按要求在规定时间内完成整改并白行承担整改费用以及由此引发增加的临时用地租金等费用。如承包人不履行土地复垦责任导致发包人在与国土部门签署的复垦协议项下发生违约而造成的违约金、赔偿损失等一切经济支出，发包人有权要求承包人全额赔偿，并向发包人支付合同价款的</w:t>
      </w:r>
      <w:permStart w:id="402" w:edGrp="everyone"/>
      <w:r>
        <w:rPr>
          <w:rFonts w:hint="eastAsia" w:ascii="仿宋_GB2312" w:hAnsi="仿宋_GB2312" w:eastAsia="仿宋_GB2312" w:cs="仿宋_GB2312"/>
          <w:color w:val="auto"/>
          <w:kern w:val="0"/>
          <w:sz w:val="24"/>
          <w:szCs w:val="24"/>
          <w:highlight w:val="none"/>
          <w:u w:val="single"/>
          <w:lang w:val="en-US" w:eastAsia="zh-CN" w:bidi="ar-SA"/>
        </w:rPr>
        <w:t>0.1%</w:t>
      </w:r>
      <w:permEnd w:id="402"/>
      <w:r>
        <w:rPr>
          <w:rFonts w:hint="eastAsia" w:ascii="仿宋_GB2312" w:hAnsi="仿宋_GB2312" w:eastAsia="仿宋_GB2312" w:cs="仿宋_GB2312"/>
          <w:color w:val="auto"/>
          <w:kern w:val="0"/>
          <w:sz w:val="24"/>
          <w:szCs w:val="24"/>
          <w:highlight w:val="none"/>
          <w:lang w:val="en-US" w:eastAsia="zh-CN" w:bidi="ar-SA"/>
        </w:rPr>
        <w:t>作为违约金。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（41）工程质量方面的违约责任</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经监理工程师或发包人检查发现工序存在较大质量问题(如存在质量问题的部分超过检查部分工程的5%的),则该工序质量为不合格，承包人必须对不合格部分进行返工，返工后经检查合格才准进入下一工序，工期不予顺延。复检的结果，按单项分项工程计算，总计发现3次或连续发现2次质量控制点不合格的，承包人向发包人支付合同价款的</w:t>
      </w:r>
      <w:permStart w:id="403" w:edGrp="everyone"/>
      <w:r>
        <w:rPr>
          <w:rFonts w:hint="eastAsia" w:ascii="仿宋_GB2312" w:hAnsi="仿宋_GB2312" w:eastAsia="仿宋_GB2312" w:cs="仿宋_GB2312"/>
          <w:color w:val="auto"/>
          <w:kern w:val="0"/>
          <w:sz w:val="24"/>
          <w:szCs w:val="24"/>
          <w:highlight w:val="none"/>
          <w:u w:val="single"/>
          <w:lang w:val="en-US" w:eastAsia="zh-CN" w:bidi="ar-SA"/>
        </w:rPr>
        <w:t>0.1%</w:t>
      </w:r>
      <w:permEnd w:id="403"/>
      <w:r>
        <w:rPr>
          <w:rFonts w:hint="eastAsia" w:ascii="仿宋_GB2312" w:hAnsi="仿宋_GB2312" w:eastAsia="仿宋_GB2312" w:cs="仿宋_GB2312"/>
          <w:color w:val="auto"/>
          <w:kern w:val="0"/>
          <w:sz w:val="24"/>
          <w:szCs w:val="24"/>
          <w:highlight w:val="none"/>
          <w:lang w:val="en-US" w:eastAsia="zh-CN" w:bidi="ar-SA"/>
        </w:rPr>
        <w:t>作为违约金；总计发现3次以上(不含本数)或连续发现2次以上(不含本数)质量控制点不合格的，承包人向发包人支付合同价款的</w:t>
      </w:r>
      <w:permStart w:id="404" w:edGrp="everyone"/>
      <w:r>
        <w:rPr>
          <w:rFonts w:hint="eastAsia" w:ascii="仿宋_GB2312" w:hAnsi="仿宋_GB2312" w:eastAsia="仿宋_GB2312" w:cs="仿宋_GB2312"/>
          <w:color w:val="auto"/>
          <w:kern w:val="0"/>
          <w:sz w:val="24"/>
          <w:szCs w:val="24"/>
          <w:highlight w:val="none"/>
          <w:u w:val="single"/>
          <w:lang w:val="en-US" w:eastAsia="zh-CN" w:bidi="ar-SA"/>
        </w:rPr>
        <w:t>0.2%</w:t>
      </w:r>
      <w:permEnd w:id="404"/>
      <w:r>
        <w:rPr>
          <w:rFonts w:hint="eastAsia" w:ascii="仿宋_GB2312" w:hAnsi="仿宋_GB2312" w:eastAsia="仿宋_GB2312" w:cs="仿宋_GB2312"/>
          <w:color w:val="auto"/>
          <w:kern w:val="0"/>
          <w:sz w:val="24"/>
          <w:szCs w:val="24"/>
          <w:highlight w:val="none"/>
          <w:lang w:val="en-US" w:eastAsia="zh-CN" w:bidi="ar-SA"/>
        </w:rPr>
        <w:t>作为违约金(连续违约可累计计算)；承包人采取整改措施后仍出现质量问题的，发包人有权部分解除合同，将该分项工程另行发包，并不免除承包人应承担的违约赔偿责任。</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2）工程竣工验收达不到合同约定的质量标准的，承包人向发包人支付审定结算总价的</w:t>
      </w:r>
      <w:permStart w:id="405" w:edGrp="everyone"/>
      <w:r>
        <w:rPr>
          <w:rFonts w:hint="eastAsia" w:ascii="仿宋_GB2312" w:hAnsi="仿宋_GB2312" w:eastAsia="仿宋_GB2312" w:cs="仿宋_GB2312"/>
          <w:color w:val="auto"/>
          <w:kern w:val="0"/>
          <w:sz w:val="24"/>
          <w:szCs w:val="24"/>
          <w:highlight w:val="none"/>
          <w:u w:val="single"/>
          <w:lang w:val="en-US" w:eastAsia="zh-CN" w:bidi="ar-SA"/>
        </w:rPr>
        <w:t>2%</w:t>
      </w:r>
      <w:permEnd w:id="405"/>
      <w:r>
        <w:rPr>
          <w:rFonts w:hint="eastAsia" w:ascii="仿宋_GB2312" w:hAnsi="仿宋_GB2312" w:eastAsia="仿宋_GB2312" w:cs="仿宋_GB2312"/>
          <w:color w:val="auto"/>
          <w:kern w:val="0"/>
          <w:sz w:val="24"/>
          <w:szCs w:val="24"/>
          <w:highlight w:val="none"/>
          <w:lang w:val="en-US" w:eastAsia="zh-CN" w:bidi="ar-SA"/>
        </w:rPr>
        <w:t>作为违约金。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3）施工期和工程保修期内发现重大质量不合格问题，承包人必须在规定的期限返工并达到合同约定的质量等级，并按该不合格项目所处分项工程造价的</w:t>
      </w:r>
      <w:permStart w:id="406" w:edGrp="everyone"/>
      <w:r>
        <w:rPr>
          <w:rFonts w:hint="eastAsia" w:ascii="仿宋_GB2312" w:hAnsi="仿宋_GB2312" w:eastAsia="仿宋_GB2312" w:cs="仿宋_GB2312"/>
          <w:color w:val="auto"/>
          <w:kern w:val="0"/>
          <w:sz w:val="24"/>
          <w:szCs w:val="24"/>
          <w:highlight w:val="none"/>
          <w:u w:val="single"/>
          <w:lang w:val="en-US" w:eastAsia="zh-CN" w:bidi="ar-SA"/>
        </w:rPr>
        <w:t>5%</w:t>
      </w:r>
      <w:permEnd w:id="406"/>
      <w:r>
        <w:rPr>
          <w:rFonts w:hint="eastAsia" w:ascii="仿宋_GB2312" w:hAnsi="仿宋_GB2312" w:eastAsia="仿宋_GB2312" w:cs="仿宋_GB2312"/>
          <w:color w:val="auto"/>
          <w:kern w:val="0"/>
          <w:sz w:val="24"/>
          <w:szCs w:val="24"/>
          <w:highlight w:val="none"/>
          <w:lang w:val="en-US" w:eastAsia="zh-CN" w:bidi="ar-SA"/>
        </w:rPr>
        <w:t>向发包人支付违约金。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由于承包人原因造成工程质量不合格，由此引起返工的一切费用由承包人自行承担，若因此带给其他项目(专业)的承包人连带损失时，一切赔偿责任由本工程承包人承担；造成发包人被他人索赔时，承包人应赔偿发包人因此遭受的损失。</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5）承包人必须保证用于本合同工程所有的材料设备的品牌、型号、规格、质量等符合本合同及招投标文件的要求，严禁假冒伪劣产品，严禁以次充好，严禁未经发包人批准即以其他产品(包括承包人的产品)顶替本合同及招投标文件中规定的产品。承包人在施工中偷工减料、使用不合格的建筑材料、建筑构配件或设备、不按照工程设计图纸、施工技术标准施工，或者未对建筑材料、建筑构配件、设备、商品混凝土进行检验，或者未对涉及结构安全的试块、试件以及有关材料取样送检的，应负责无偿修理或返工，并应就每处不符合要求的行为向发包人支付合同价款的</w:t>
      </w:r>
      <w:permStart w:id="407" w:edGrp="everyone"/>
      <w:r>
        <w:rPr>
          <w:rFonts w:hint="eastAsia" w:ascii="仿宋_GB2312" w:hAnsi="仿宋_GB2312" w:eastAsia="仿宋_GB2312" w:cs="仿宋_GB2312"/>
          <w:color w:val="auto"/>
          <w:kern w:val="0"/>
          <w:sz w:val="24"/>
          <w:szCs w:val="24"/>
          <w:highlight w:val="none"/>
          <w:u w:val="single"/>
          <w:lang w:val="en-US" w:eastAsia="zh-CN" w:bidi="ar-SA"/>
        </w:rPr>
        <w:t xml:space="preserve"> 1% </w:t>
      </w:r>
      <w:permEnd w:id="407"/>
      <w:r>
        <w:rPr>
          <w:rFonts w:hint="eastAsia" w:ascii="仿宋_GB2312" w:hAnsi="仿宋_GB2312" w:eastAsia="仿宋_GB2312" w:cs="仿宋_GB2312"/>
          <w:color w:val="auto"/>
          <w:kern w:val="0"/>
          <w:sz w:val="24"/>
          <w:szCs w:val="24"/>
          <w:highlight w:val="none"/>
          <w:lang w:val="en-US" w:eastAsia="zh-CN" w:bidi="ar-SA"/>
        </w:rPr>
        <w:t>作为违约金。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6）若承包人在投标文件中已承诺本标段所有单位工程验收均达到优良等级，但在验收时未全部达到优良等级的，应支付合同价款</w:t>
      </w:r>
      <w:permStart w:id="408" w:edGrp="everyone"/>
      <w:r>
        <w:rPr>
          <w:rFonts w:hint="eastAsia" w:ascii="仿宋_GB2312" w:hAnsi="仿宋_GB2312" w:eastAsia="仿宋_GB2312" w:cs="仿宋_GB2312"/>
          <w:color w:val="auto"/>
          <w:kern w:val="0"/>
          <w:sz w:val="24"/>
          <w:szCs w:val="24"/>
          <w:highlight w:val="none"/>
          <w:u w:val="single"/>
          <w:lang w:val="en-US" w:eastAsia="zh-CN" w:bidi="ar-SA"/>
        </w:rPr>
        <w:t>2%</w:t>
      </w:r>
      <w:permEnd w:id="408"/>
      <w:r>
        <w:rPr>
          <w:rFonts w:hint="eastAsia" w:ascii="仿宋_GB2312" w:hAnsi="仿宋_GB2312" w:eastAsia="仿宋_GB2312" w:cs="仿宋_GB2312"/>
          <w:color w:val="auto"/>
          <w:kern w:val="0"/>
          <w:sz w:val="24"/>
          <w:szCs w:val="24"/>
          <w:highlight w:val="none"/>
          <w:lang w:val="en-US" w:eastAsia="zh-CN" w:bidi="ar-SA"/>
        </w:rPr>
        <w:t>的违约金给发包人。</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承包人违反第51.4款的约定，未经监理工程师批准，私自将已按合同约定进入施工场地的施工设备、临时设施或材料撤离施工场地，监理工程师可向承包人发出整改通知，要求其在指定的期限内改正。承包人应承担其违约所引起的费用增加和（或）工期延误。</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（42）项目管理机构人员、机械设备、劳动力到位方面的违约责任</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1）如果承包人未按投标文件中的机械设备投入计划投入机械设备，经监理工程师或发包人代表检查发现的，将书面告知限期整改，未在限期内完成整改的，每延期一天，承包人需支付</w:t>
      </w:r>
      <w:permStart w:id="409" w:edGrp="everyone"/>
      <w:r>
        <w:rPr>
          <w:rFonts w:hint="eastAsia" w:ascii="仿宋_GB2312" w:hAnsi="仿宋_GB2312" w:eastAsia="仿宋_GB2312" w:cs="仿宋_GB2312"/>
          <w:color w:val="auto"/>
          <w:kern w:val="0"/>
          <w:sz w:val="24"/>
          <w:szCs w:val="24"/>
          <w:highlight w:val="none"/>
          <w:u w:val="single"/>
          <w:lang w:val="en-US" w:eastAsia="zh-CN" w:bidi="ar-SA"/>
        </w:rPr>
        <w:t xml:space="preserve"> 3000元 </w:t>
      </w:r>
      <w:permEnd w:id="409"/>
      <w:r>
        <w:rPr>
          <w:rFonts w:hint="eastAsia" w:ascii="仿宋_GB2312" w:hAnsi="仿宋_GB2312" w:eastAsia="仿宋_GB2312" w:cs="仿宋_GB2312"/>
          <w:color w:val="auto"/>
          <w:kern w:val="0"/>
          <w:sz w:val="24"/>
          <w:szCs w:val="24"/>
          <w:highlight w:val="none"/>
          <w:lang w:val="en-US" w:eastAsia="zh-CN" w:bidi="ar-SA"/>
        </w:rPr>
        <w:t>违约金给发包人。</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2）如果承包人未按投标文件中的人力投入计划投入人力，经监理工程师和发包人代表检查发现的，每发现一次，承包人向发包人支付</w:t>
      </w:r>
      <w:permStart w:id="410" w:edGrp="everyone"/>
      <w:r>
        <w:rPr>
          <w:rFonts w:hint="eastAsia" w:ascii="仿宋_GB2312" w:hAnsi="仿宋_GB2312" w:eastAsia="仿宋_GB2312" w:cs="仿宋_GB2312"/>
          <w:color w:val="auto"/>
          <w:kern w:val="0"/>
          <w:sz w:val="24"/>
          <w:szCs w:val="24"/>
          <w:highlight w:val="none"/>
          <w:u w:val="single"/>
          <w:lang w:val="en-US" w:eastAsia="zh-CN" w:bidi="ar-SA"/>
        </w:rPr>
        <w:t xml:space="preserve"> 3000元 </w:t>
      </w:r>
      <w:permEnd w:id="410"/>
      <w:r>
        <w:rPr>
          <w:rFonts w:hint="eastAsia" w:ascii="仿宋_GB2312" w:hAnsi="仿宋_GB2312" w:eastAsia="仿宋_GB2312" w:cs="仿宋_GB2312"/>
          <w:color w:val="auto"/>
          <w:kern w:val="0"/>
          <w:sz w:val="24"/>
          <w:szCs w:val="24"/>
          <w:highlight w:val="none"/>
          <w:lang w:val="en-US" w:eastAsia="zh-CN" w:bidi="ar-SA"/>
        </w:rPr>
        <w:t>作为违约金。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如果检查发现承包人超过三次未按承诺投入的人力、机械、物力组织施工，发包人将作为不良纪录报区建设行政主管部门备案。如果检查发现承包人没有按施工组织设计的进度安排推进工程建设，使主要工序的工期延误超过10天，没有按发包人的意见撤换现场负责人；或者按发包人的意见撤换现场负责人后，仍然无法有效控制工程进度，发包人将发出书面警告，警告发出后15天内，主要工序的工期延误仍然超过10天，发包人将作为不良纪录报区、市建设行政主管部门备案。对此，承包人不得有异议。</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承包人代表、项目技术负责人、安全负责人、质量负责人、防火负责人等必须常驻施工现场，且须无条件参加每周的工地例会以及双方约定的其他重要会议，如有缺席，则每人每缺席一次，承包人向发包人支付</w:t>
      </w:r>
      <w:permStart w:id="411" w:edGrp="everyone"/>
      <w:r>
        <w:rPr>
          <w:rFonts w:hint="eastAsia" w:ascii="仿宋_GB2312" w:hAnsi="仿宋_GB2312" w:eastAsia="仿宋_GB2312" w:cs="仿宋_GB2312"/>
          <w:color w:val="auto"/>
          <w:kern w:val="0"/>
          <w:sz w:val="24"/>
          <w:szCs w:val="24"/>
          <w:highlight w:val="none"/>
          <w:u w:val="single"/>
          <w:lang w:val="en-US" w:eastAsia="zh-CN" w:bidi="ar-SA"/>
        </w:rPr>
        <w:t xml:space="preserve">  5000元 </w:t>
      </w:r>
      <w:permEnd w:id="411"/>
      <w:r>
        <w:rPr>
          <w:rFonts w:hint="eastAsia" w:ascii="仿宋_GB2312" w:hAnsi="仿宋_GB2312" w:eastAsia="仿宋_GB2312" w:cs="仿宋_GB2312"/>
          <w:color w:val="auto"/>
          <w:kern w:val="0"/>
          <w:sz w:val="24"/>
          <w:szCs w:val="24"/>
          <w:highlight w:val="none"/>
          <w:lang w:val="en-US" w:eastAsia="zh-CN" w:bidi="ar-SA"/>
        </w:rPr>
        <w:t>人民币作为违约金。</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（43）工程违法分包、转包违约责任</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承包人在本工程中擅自分包、违法分包或者转包工程、转让、出借资质证书或者以其他方式允许他人以本企业的名义承揽工程的，或者私自将合同的全部或部分权利转让给其他人，或者私自将合同的全部或部分义务转移给其他人的，须向发包人支付合同价款的</w:t>
      </w:r>
      <w:permStart w:id="412" w:edGrp="everyone"/>
      <w:r>
        <w:rPr>
          <w:rFonts w:hint="eastAsia" w:ascii="仿宋_GB2312" w:hAnsi="仿宋_GB2312" w:eastAsia="仿宋_GB2312" w:cs="仿宋_GB2312"/>
          <w:color w:val="auto"/>
          <w:kern w:val="0"/>
          <w:sz w:val="24"/>
          <w:szCs w:val="24"/>
          <w:highlight w:val="none"/>
          <w:u w:val="single"/>
          <w:lang w:val="en-US" w:eastAsia="zh-CN" w:bidi="ar-SA"/>
        </w:rPr>
        <w:t xml:space="preserve"> 1.5‰ </w:t>
      </w:r>
      <w:permEnd w:id="412"/>
      <w:r>
        <w:rPr>
          <w:rFonts w:hint="eastAsia" w:ascii="仿宋_GB2312" w:hAnsi="仿宋_GB2312" w:eastAsia="仿宋_GB2312" w:cs="仿宋_GB2312"/>
          <w:color w:val="auto"/>
          <w:kern w:val="0"/>
          <w:sz w:val="24"/>
          <w:szCs w:val="24"/>
          <w:highlight w:val="none"/>
          <w:lang w:val="en-US" w:eastAsia="zh-CN" w:bidi="ar-SA"/>
        </w:rPr>
        <w:t>作为违约金，同时，发包人有权单方解除部分合同或解除合同，由此而造成的经济损失由承包人负责赔偿。</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分包工程应当事先需取得监理工程师、发包人的审查同意后方可进场施工。否则，发包人有权单方面终止合同，并令其立即退场，工程项目另行处理，承包人还应按履约担保金额支付违约金，发包人的损失超过履约担保金额的部分，承包人还应承担赔偿责任。</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（44）承包人违约责任的认定方式、送达程序及违约金的处理</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1）认定方式：以发包人发出的通知、通报、会议纪要等书面文件确定的内容为准。</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2）送达程序：发包人以下列方式之一将书面违约处理决定送达承包人：</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①承包人现场管理机构工作人员签收。</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②承包人其他工作人员签收。</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③发包人邮寄送达。</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发包人以书面形式作出的违约处理决定一经送达承包人立即生效。承包人如有足够证据证明不应由其承担违约责任的，应在收到违约处理决定后3天内以书面形式向发包人提出异议并附上有关证据。发包人在收到承包人的异议后15个工作日内审核完毕且作出书面决定并通知承包人。在异议审核期间，承包人须正常施工，不得以审核未确定为由拖延或者中止工程施工。</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（45）如发现承包人所提交的竣工图、工程量及结算资料存在弄虚作假等情形的，无论何时发包人均保留追究承包人相应违约责任及相关法律责任的权利。</w:t>
      </w:r>
    </w:p>
    <w:p>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（46）承包人的其他违约责任。</w:t>
      </w:r>
    </w:p>
    <w:p>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除上述违约责任外，因承包人履行本合同不符合约定或相关规定，发包人可根据实际情况，给予承包人通报批评及作不良记录等处罚措施；监理工程师可向承包人发出整改通知，要求其在指定的期限内纠正。同时，承包人须向发包人支付合同价款的</w:t>
      </w:r>
      <w:permStart w:id="413" w:edGrp="everyone"/>
      <w:r>
        <w:rPr>
          <w:rFonts w:hint="eastAsia" w:ascii="仿宋_GB2312" w:hAnsi="仿宋_GB2312" w:eastAsia="仿宋_GB2312" w:cs="仿宋_GB2312"/>
          <w:color w:val="auto"/>
          <w:kern w:val="0"/>
          <w:sz w:val="24"/>
          <w:szCs w:val="24"/>
          <w:highlight w:val="none"/>
          <w:u w:val="single"/>
          <w:lang w:val="en-US" w:eastAsia="zh-CN" w:bidi="ar-SA"/>
        </w:rPr>
        <w:t xml:space="preserve"> 0.1% </w:t>
      </w:r>
      <w:permEnd w:id="413"/>
      <w:r>
        <w:rPr>
          <w:rFonts w:hint="eastAsia" w:ascii="仿宋_GB2312" w:hAnsi="仿宋_GB2312" w:eastAsia="仿宋_GB2312" w:cs="仿宋_GB2312"/>
          <w:color w:val="auto"/>
          <w:kern w:val="0"/>
          <w:sz w:val="24"/>
          <w:szCs w:val="24"/>
          <w:highlight w:val="none"/>
          <w:lang w:val="en-US" w:eastAsia="zh-CN" w:bidi="ar-SA"/>
        </w:rPr>
        <w:t>作为违约金，并承担其违约所引起的费用增加和(或)工期延误。</w:t>
      </w:r>
    </w:p>
    <w:p>
      <w:pPr>
        <w:widowControl w:val="0"/>
        <w:adjustRightInd w:val="0"/>
        <w:spacing w:line="420" w:lineRule="exact"/>
        <w:ind w:firstLine="0"/>
        <w:jc w:val="both"/>
        <w:textAlignment w:val="baseline"/>
        <w:rPr>
          <w:rFonts w:hint="eastAsia" w:ascii="仿宋_GB2312" w:hAnsi="仿宋_GB2312" w:eastAsia="仿宋_GB2312" w:cs="仿宋_GB2312"/>
          <w:color w:val="auto"/>
          <w:kern w:val="0"/>
          <w:sz w:val="24"/>
          <w:szCs w:val="24"/>
          <w:highlight w:val="none"/>
          <w:lang w:val="en-US" w:eastAsia="zh-CN" w:bidi="ar-SA"/>
        </w:rPr>
      </w:pPr>
    </w:p>
    <w:p>
      <w:pPr>
        <w:widowControl w:val="0"/>
        <w:adjustRightInd w:val="0"/>
        <w:spacing w:line="420" w:lineRule="exact"/>
        <w:ind w:firstLine="0"/>
        <w:jc w:val="both"/>
        <w:textAlignment w:val="baseline"/>
        <w:rPr>
          <w:rFonts w:hint="eastAsia" w:ascii="黑体" w:hAnsi="黑体" w:eastAsia="黑体" w:cs="黑体"/>
          <w:b w:val="0"/>
          <w:bCs w:val="0"/>
          <w:color w:val="auto"/>
          <w:kern w:val="0"/>
          <w:sz w:val="24"/>
          <w:szCs w:val="24"/>
          <w:highlight w:val="none"/>
          <w:lang w:val="en-US" w:eastAsia="zh-CN" w:bidi="ar-SA"/>
        </w:rPr>
      </w:pPr>
      <w:r>
        <w:rPr>
          <w:rFonts w:hint="eastAsia" w:ascii="黑体" w:hAnsi="黑体" w:eastAsia="黑体" w:cs="黑体"/>
          <w:b w:val="0"/>
          <w:bCs w:val="0"/>
          <w:color w:val="auto"/>
          <w:kern w:val="0"/>
          <w:sz w:val="24"/>
          <w:szCs w:val="24"/>
          <w:highlight w:val="none"/>
          <w:lang w:val="en-US" w:eastAsia="zh-CN" w:bidi="ar-SA"/>
        </w:rPr>
        <w:t>91. 发包人的违约责任</w:t>
      </w:r>
    </w:p>
    <w:p>
      <w:pPr>
        <w:numPr>
          <w:ilvl w:val="255"/>
          <w:numId w:val="0"/>
        </w:num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发包人未能按合同约定支付预付款或合同价款，或拖延、拒绝批准付款申请和支付凭证，导致付款延误的，承包人可向发包人发出通知，要求发包人采取有效措施纠正违约行为。发包人收到承包人通知后的28天内仍不履行合同义务，承包人有权暂停施工，并通知监理工程师，发包人应承担由此增加的费用和（或）工期延误，并支付承包人合理利润。</w:t>
      </w:r>
    </w:p>
    <w:p>
      <w:pPr>
        <w:numPr>
          <w:ilvl w:val="255"/>
          <w:numId w:val="0"/>
        </w:num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发包人原因造成停工的，承包人可向发包人发出通知，要求发包人采取有效措施纠正违约行为。发包人收到承包人通知后的28天内仍不履行合同义务，承包人有权暂停施工，并通知监理工程师，发包人应承担由此增加的费用和（或）工期延误，并支付承包人合理利润。</w:t>
      </w:r>
    </w:p>
    <w:p>
      <w:pPr>
        <w:numPr>
          <w:ilvl w:val="255"/>
          <w:numId w:val="0"/>
        </w:num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监理人无正当理由没有在约定期限内发出复工指示，导致承包人无法复工的，承包人可向发包人发出通知，要求发包人采取有效措施纠正违约行为。发包人收到承包人通知后的28天内仍不履行合同义务，承包人有权暂停施工，并通知监理工程师，发包人应承担由此增加的费用和（或）工期延误，并支付承包人合理利润。</w:t>
      </w:r>
    </w:p>
    <w:p>
      <w:pPr>
        <w:numPr>
          <w:ilvl w:val="255"/>
          <w:numId w:val="0"/>
        </w:num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（4）发包人无法继续履行或明确表示不履行或实质上已停止履行合同的，承包人可书面通知发包人解除合同。</w:t>
      </w:r>
    </w:p>
    <w:p>
      <w:pPr>
        <w:numPr>
          <w:ilvl w:val="255"/>
          <w:numId w:val="0"/>
        </w:num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（5）承包人暂停施工28天后，发包人仍不纠正违约行为的，承包人可向发包人发出解除合同通知。但承包人的这一行动不免除发包人承担的违约责任，也不影响承包人根据合同约定享有的索赔权利。</w:t>
      </w:r>
    </w:p>
    <w:p>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（6）发包人的其他违约责任。</w:t>
      </w:r>
    </w:p>
    <w:p>
      <w:pPr>
        <w:spacing w:line="420" w:lineRule="exact"/>
        <w:jc w:val="left"/>
        <w:rPr>
          <w:rFonts w:hint="eastAsia" w:ascii="仿宋_GB2312" w:hAnsi="仿宋_GB2312" w:eastAsia="仿宋_GB2312" w:cs="仿宋_GB2312"/>
          <w:color w:val="auto"/>
          <w:kern w:val="0"/>
          <w:sz w:val="24"/>
          <w:szCs w:val="24"/>
          <w:highlight w:val="none"/>
        </w:rPr>
      </w:pPr>
    </w:p>
    <w:p>
      <w:pPr>
        <w:spacing w:line="420" w:lineRule="exact"/>
        <w:jc w:val="lef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94. 保密要求</w:t>
      </w:r>
      <w:bookmarkEnd w:id="720"/>
      <w:bookmarkEnd w:id="721"/>
    </w:p>
    <w:p>
      <w:pPr>
        <w:spacing w:line="420" w:lineRule="exac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 xml:space="preserve">  94.1 提供保密信息的期限：</w:t>
      </w:r>
      <w:permStart w:id="414" w:edGrp="everyone"/>
      <w:bookmarkStart w:id="722" w:name="_Toc469384137"/>
      <w:bookmarkStart w:id="723" w:name="_Toc10624981"/>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414"/>
    </w:p>
    <w:p>
      <w:pPr>
        <w:spacing w:line="420" w:lineRule="exact"/>
        <w:rPr>
          <w:rFonts w:hint="eastAsia" w:ascii="仿宋_GB2312" w:hAnsi="仿宋_GB2312" w:eastAsia="仿宋_GB2312" w:cs="仿宋_GB2312"/>
          <w:b/>
          <w:bCs/>
          <w:color w:val="auto"/>
          <w:sz w:val="24"/>
          <w:szCs w:val="24"/>
          <w:highlight w:val="none"/>
        </w:rPr>
      </w:pPr>
    </w:p>
    <w:p>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97. 合同份数</w:t>
      </w:r>
      <w:bookmarkEnd w:id="722"/>
      <w:bookmarkEnd w:id="723"/>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97.1 约定提供合同文件</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提供合同文本：</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按通用条款的规定，由发包人向承包人提供。</w:t>
      </w:r>
    </w:p>
    <w:p>
      <w:pPr>
        <w:spacing w:line="420" w:lineRule="exact"/>
        <w:ind w:firstLine="240" w:firstLine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另有约定：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97.2 正副本效力</w:t>
      </w:r>
    </w:p>
    <w:p>
      <w:pPr>
        <w:spacing w:line="420" w:lineRule="exact"/>
        <w:ind w:left="218" w:leftChars="104"/>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合同的份数：正本</w:t>
      </w:r>
      <w:permStart w:id="415"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贰</w:t>
      </w:r>
      <w:r>
        <w:rPr>
          <w:rFonts w:hint="eastAsia" w:ascii="仿宋_GB2312" w:hAnsi="仿宋_GB2312" w:eastAsia="仿宋_GB2312" w:cs="仿宋_GB2312"/>
          <w:color w:val="auto"/>
          <w:kern w:val="0"/>
          <w:sz w:val="24"/>
          <w:szCs w:val="24"/>
          <w:highlight w:val="none"/>
          <w:u w:val="single"/>
        </w:rPr>
        <w:t xml:space="preserve"> </w:t>
      </w:r>
      <w:permEnd w:id="415"/>
      <w:r>
        <w:rPr>
          <w:rFonts w:hint="eastAsia" w:ascii="仿宋_GB2312" w:hAnsi="仿宋_GB2312" w:eastAsia="仿宋_GB2312" w:cs="仿宋_GB2312"/>
          <w:color w:val="auto"/>
          <w:kern w:val="0"/>
          <w:sz w:val="24"/>
          <w:szCs w:val="24"/>
          <w:highlight w:val="none"/>
        </w:rPr>
        <w:t>份，副本</w:t>
      </w:r>
      <w:permStart w:id="416"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伍</w:t>
      </w:r>
      <w:r>
        <w:rPr>
          <w:rFonts w:hint="eastAsia" w:ascii="仿宋_GB2312" w:hAnsi="仿宋_GB2312" w:eastAsia="仿宋_GB2312" w:cs="仿宋_GB2312"/>
          <w:color w:val="auto"/>
          <w:kern w:val="0"/>
          <w:sz w:val="24"/>
          <w:szCs w:val="24"/>
          <w:highlight w:val="none"/>
          <w:u w:val="single"/>
        </w:rPr>
        <w:t xml:space="preserve"> </w:t>
      </w:r>
      <w:permEnd w:id="416"/>
      <w:r>
        <w:rPr>
          <w:rFonts w:hint="eastAsia" w:ascii="仿宋_GB2312" w:hAnsi="仿宋_GB2312" w:eastAsia="仿宋_GB2312" w:cs="仿宋_GB2312"/>
          <w:color w:val="auto"/>
          <w:kern w:val="0"/>
          <w:sz w:val="24"/>
          <w:szCs w:val="24"/>
          <w:highlight w:val="none"/>
        </w:rPr>
        <w:t>份。其中：发包人正本</w:t>
      </w:r>
      <w:permStart w:id="417"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壹</w:t>
      </w:r>
      <w:r>
        <w:rPr>
          <w:rFonts w:hint="eastAsia" w:ascii="仿宋_GB2312" w:hAnsi="仿宋_GB2312" w:eastAsia="仿宋_GB2312" w:cs="仿宋_GB2312"/>
          <w:color w:val="auto"/>
          <w:kern w:val="0"/>
          <w:sz w:val="24"/>
          <w:szCs w:val="24"/>
          <w:highlight w:val="none"/>
          <w:u w:val="single"/>
        </w:rPr>
        <w:t xml:space="preserve"> </w:t>
      </w:r>
      <w:permEnd w:id="417"/>
      <w:r>
        <w:rPr>
          <w:rFonts w:hint="eastAsia" w:ascii="仿宋_GB2312" w:hAnsi="仿宋_GB2312" w:eastAsia="仿宋_GB2312" w:cs="仿宋_GB2312"/>
          <w:color w:val="auto"/>
          <w:kern w:val="0"/>
          <w:sz w:val="24"/>
          <w:szCs w:val="24"/>
          <w:highlight w:val="none"/>
        </w:rPr>
        <w:t>份，副本</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叁</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份；承包人正本</w:t>
      </w:r>
      <w:permStart w:id="418"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壹</w:t>
      </w:r>
      <w:r>
        <w:rPr>
          <w:rFonts w:hint="eastAsia" w:ascii="仿宋_GB2312" w:hAnsi="仿宋_GB2312" w:eastAsia="仿宋_GB2312" w:cs="仿宋_GB2312"/>
          <w:color w:val="auto"/>
          <w:kern w:val="0"/>
          <w:sz w:val="24"/>
          <w:szCs w:val="24"/>
          <w:highlight w:val="none"/>
          <w:u w:val="single"/>
        </w:rPr>
        <w:t xml:space="preserve">  </w:t>
      </w:r>
      <w:permEnd w:id="418"/>
      <w:r>
        <w:rPr>
          <w:rFonts w:hint="eastAsia" w:ascii="仿宋_GB2312" w:hAnsi="仿宋_GB2312" w:eastAsia="仿宋_GB2312" w:cs="仿宋_GB2312"/>
          <w:color w:val="auto"/>
          <w:kern w:val="0"/>
          <w:sz w:val="24"/>
          <w:szCs w:val="24"/>
          <w:highlight w:val="none"/>
        </w:rPr>
        <w:t>份，副本</w:t>
      </w:r>
      <w:permStart w:id="419" w:edGrp="everyone"/>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贰</w:t>
      </w:r>
      <w:r>
        <w:rPr>
          <w:rFonts w:hint="eastAsia" w:ascii="仿宋_GB2312" w:hAnsi="仿宋_GB2312" w:eastAsia="仿宋_GB2312" w:cs="仿宋_GB2312"/>
          <w:color w:val="auto"/>
          <w:kern w:val="0"/>
          <w:sz w:val="24"/>
          <w:szCs w:val="24"/>
          <w:highlight w:val="none"/>
          <w:u w:val="single"/>
        </w:rPr>
        <w:t xml:space="preserve">  </w:t>
      </w:r>
      <w:permEnd w:id="419"/>
      <w:r>
        <w:rPr>
          <w:rFonts w:hint="eastAsia" w:ascii="仿宋_GB2312" w:hAnsi="仿宋_GB2312" w:eastAsia="仿宋_GB2312" w:cs="仿宋_GB2312"/>
          <w:color w:val="auto"/>
          <w:kern w:val="0"/>
          <w:sz w:val="24"/>
          <w:szCs w:val="24"/>
          <w:highlight w:val="none"/>
        </w:rPr>
        <w:t>份。</w:t>
      </w:r>
      <w:bookmarkStart w:id="724" w:name="_Toc10624982"/>
      <w:bookmarkStart w:id="725" w:name="_Toc469384138"/>
      <w:bookmarkStart w:id="726" w:name="_Toc266892922"/>
    </w:p>
    <w:p>
      <w:pPr>
        <w:spacing w:line="420" w:lineRule="exact"/>
        <w:jc w:val="center"/>
        <w:rPr>
          <w:rFonts w:ascii="方正黑体_GBK" w:hAnsi="方正黑体_GBK" w:eastAsia="方正黑体_GBK" w:cs="方正黑体_GBK"/>
          <w:b/>
          <w:bCs/>
          <w:color w:val="auto"/>
          <w:szCs w:val="21"/>
          <w:highlight w:val="none"/>
        </w:rPr>
      </w:pPr>
      <w:r>
        <w:rPr>
          <w:rFonts w:hint="eastAsia" w:ascii="方正黑体_GBK" w:hAnsi="方正黑体_GBK" w:eastAsia="方正黑体_GBK" w:cs="方正黑体_GBK"/>
          <w:b/>
          <w:bCs/>
          <w:color w:val="auto"/>
          <w:szCs w:val="21"/>
          <w:highlight w:val="none"/>
        </w:rPr>
        <w:br w:type="page"/>
      </w:r>
    </w:p>
    <w:p>
      <w:pPr>
        <w:keepNext/>
        <w:keepLines/>
        <w:widowControl/>
        <w:numPr>
          <w:ilvl w:val="255"/>
          <w:numId w:val="0"/>
        </w:numPr>
        <w:tabs>
          <w:tab w:val="left" w:pos="420"/>
        </w:tabs>
        <w:spacing w:before="0" w:after="0"/>
        <w:ind w:left="432" w:hanging="432"/>
        <w:jc w:val="center"/>
        <w:outlineLvl w:val="0"/>
        <w:rPr>
          <w:rFonts w:ascii="方正黑体_GBK" w:hAnsi="方正黑体_GBK" w:eastAsia="方正黑体_GBK" w:cs="方正黑体_GBK"/>
          <w:b/>
          <w:bCs/>
          <w:color w:val="auto"/>
          <w:kern w:val="0"/>
          <w:sz w:val="28"/>
          <w:szCs w:val="28"/>
          <w:highlight w:val="none"/>
          <w:lang w:val="en-US" w:eastAsia="zh-CN" w:bidi="ar-SA"/>
        </w:rPr>
      </w:pPr>
    </w:p>
    <w:p>
      <w:pPr>
        <w:keepNext/>
        <w:keepLines/>
        <w:widowControl/>
        <w:numPr>
          <w:ilvl w:val="255"/>
          <w:numId w:val="0"/>
        </w:numPr>
        <w:tabs>
          <w:tab w:val="left" w:pos="420"/>
        </w:tabs>
        <w:spacing w:before="0" w:after="0"/>
        <w:ind w:left="432" w:hanging="432"/>
        <w:jc w:val="center"/>
        <w:outlineLvl w:val="0"/>
        <w:rPr>
          <w:rFonts w:hint="eastAsia" w:ascii="方正小标宋简体" w:hAnsi="方正小标宋简体" w:eastAsia="方正小标宋简体" w:cs="方正小标宋简体"/>
          <w:b w:val="0"/>
          <w:bCs w:val="0"/>
          <w:color w:val="auto"/>
          <w:kern w:val="0"/>
          <w:sz w:val="32"/>
          <w:szCs w:val="32"/>
          <w:highlight w:val="none"/>
          <w:lang w:val="en-US" w:eastAsia="zh-CN" w:bidi="ar-SA"/>
        </w:rPr>
      </w:pPr>
      <w:r>
        <w:rPr>
          <w:rFonts w:hint="eastAsia" w:ascii="方正小标宋简体" w:hAnsi="方正小标宋简体" w:eastAsia="方正小标宋简体" w:cs="方正小标宋简体"/>
          <w:b w:val="0"/>
          <w:bCs w:val="0"/>
          <w:color w:val="auto"/>
          <w:kern w:val="0"/>
          <w:sz w:val="32"/>
          <w:szCs w:val="32"/>
          <w:highlight w:val="none"/>
          <w:lang w:val="en-US" w:eastAsia="zh-CN" w:bidi="ar-SA"/>
        </w:rPr>
        <w:t>第四部分 附件与格式</w:t>
      </w:r>
      <w:bookmarkEnd w:id="724"/>
      <w:bookmarkEnd w:id="725"/>
      <w:bookmarkEnd w:id="726"/>
    </w:p>
    <w:p>
      <w:pPr>
        <w:spacing w:line="560" w:lineRule="exact"/>
        <w:ind w:firstLine="640" w:firstLineChars="200"/>
        <w:rPr>
          <w:rFonts w:ascii="仿宋_GB2312" w:hAnsi="宋体" w:eastAsia="仿宋_GB2312" w:cs="宋体"/>
          <w:color w:val="auto"/>
          <w:kern w:val="0"/>
          <w:sz w:val="32"/>
          <w:szCs w:val="32"/>
          <w:highlight w:val="none"/>
        </w:rPr>
      </w:pPr>
      <w:bookmarkStart w:id="727" w:name="_Toc266892923"/>
      <w:bookmarkStart w:id="728" w:name="_Toc469384139"/>
      <w:bookmarkStart w:id="729" w:name="_Toc10624983"/>
    </w:p>
    <w:p>
      <w:pPr>
        <w:spacing w:line="560" w:lineRule="exact"/>
        <w:ind w:firstLine="480" w:firstLineChars="200"/>
        <w:rPr>
          <w:rFonts w:ascii="仿宋_GB2312" w:hAnsi="宋体" w:eastAsia="仿宋_GB2312" w:cs="宋体"/>
          <w:color w:val="auto"/>
          <w:kern w:val="0"/>
          <w:sz w:val="24"/>
          <w:szCs w:val="24"/>
          <w:highlight w:val="none"/>
        </w:rPr>
      </w:pPr>
      <w:permStart w:id="420" w:edGrp="everyone"/>
      <w:r>
        <w:rPr>
          <w:rFonts w:hint="eastAsia" w:ascii="仿宋_GB2312" w:hAnsi="宋体" w:eastAsia="仿宋_GB2312" w:cs="宋体"/>
          <w:strike/>
          <w:color w:val="auto"/>
          <w:kern w:val="0"/>
          <w:sz w:val="24"/>
          <w:szCs w:val="24"/>
          <w:highlight w:val="none"/>
        </w:rPr>
        <w:t>附件1联合体施工协议书</w:t>
      </w:r>
    </w:p>
    <w:p>
      <w:pPr>
        <w:spacing w:line="560" w:lineRule="exact"/>
        <w:ind w:firstLine="480" w:firstLineChars="200"/>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附件2</w:t>
      </w:r>
      <w:r>
        <w:rPr>
          <w:rFonts w:hint="eastAsia" w:ascii="仿宋_GB2312" w:hAnsi="宋体" w:eastAsia="仿宋_GB2312" w:cs="宋体"/>
          <w:color w:val="auto"/>
          <w:kern w:val="0"/>
          <w:sz w:val="24"/>
          <w:szCs w:val="24"/>
          <w:highlight w:val="none"/>
          <w:lang w:val="en-US" w:eastAsia="zh-CN"/>
        </w:rPr>
        <w:t>项目管理机构组成表</w:t>
      </w:r>
    </w:p>
    <w:p>
      <w:pPr>
        <w:spacing w:line="560" w:lineRule="exact"/>
        <w:ind w:firstLine="480" w:firstLineChars="200"/>
        <w:rPr>
          <w:rFonts w:hint="default" w:ascii="仿宋_GB2312" w:hAnsi="宋体" w:eastAsia="仿宋_GB2312" w:cs="宋体"/>
          <w:color w:val="auto"/>
          <w:kern w:val="0"/>
          <w:sz w:val="24"/>
          <w:szCs w:val="24"/>
          <w:highlight w:val="none"/>
          <w:lang w:val="en-US" w:eastAsia="zh-CN"/>
        </w:rPr>
      </w:pPr>
      <w:r>
        <w:rPr>
          <w:rFonts w:hint="eastAsia" w:ascii="仿宋_GB2312" w:hAnsi="宋体" w:eastAsia="仿宋_GB2312" w:cs="宋体"/>
          <w:color w:val="auto"/>
          <w:kern w:val="0"/>
          <w:sz w:val="24"/>
          <w:szCs w:val="24"/>
          <w:highlight w:val="none"/>
        </w:rPr>
        <w:t>附件3</w:t>
      </w:r>
      <w:r>
        <w:rPr>
          <w:rFonts w:hint="eastAsia" w:ascii="仿宋_GB2312" w:hAnsi="宋体" w:eastAsia="仿宋_GB2312" w:cs="宋体"/>
          <w:color w:val="auto"/>
          <w:kern w:val="0"/>
          <w:sz w:val="24"/>
          <w:szCs w:val="24"/>
          <w:highlight w:val="none"/>
          <w:lang w:val="en-US" w:eastAsia="zh-CN"/>
        </w:rPr>
        <w:t>甲供主材清单</w:t>
      </w:r>
    </w:p>
    <w:p>
      <w:pPr>
        <w:spacing w:line="560" w:lineRule="exact"/>
        <w:ind w:firstLine="480" w:firstLineChars="200"/>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附件4工程质量保修书</w:t>
      </w:r>
    </w:p>
    <w:p>
      <w:pPr>
        <w:spacing w:line="560" w:lineRule="exact"/>
        <w:ind w:firstLine="480" w:firstLineChars="200"/>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附件5工程安全生产、质量文明施工协议书</w:t>
      </w:r>
    </w:p>
    <w:p>
      <w:pPr>
        <w:spacing w:line="560" w:lineRule="exact"/>
        <w:ind w:firstLine="480" w:firstLineChars="200"/>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附件6廉洁责任书</w:t>
      </w:r>
    </w:p>
    <w:p>
      <w:pPr>
        <w:spacing w:line="560" w:lineRule="exact"/>
        <w:ind w:firstLine="484" w:firstLineChars="200"/>
        <w:rPr>
          <w:rFonts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附件7建设工程按系数计算的绿色施工安全防护措施费协议书</w:t>
      </w:r>
    </w:p>
    <w:p>
      <w:pPr>
        <w:spacing w:line="560" w:lineRule="exact"/>
        <w:ind w:firstLine="484" w:firstLineChars="200"/>
        <w:rPr>
          <w:rFonts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附件8环保承诺书</w:t>
      </w:r>
    </w:p>
    <w:p>
      <w:pPr>
        <w:spacing w:line="560" w:lineRule="exact"/>
        <w:ind w:firstLine="484" w:firstLineChars="200"/>
        <w:rPr>
          <w:rFonts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附件9外来人员工作证样式</w:t>
      </w:r>
    </w:p>
    <w:p>
      <w:pPr>
        <w:spacing w:line="560" w:lineRule="exact"/>
        <w:ind w:firstLine="484" w:firstLineChars="200"/>
        <w:rPr>
          <w:rFonts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附件10施工现场安全管理处罚细则</w:t>
      </w:r>
    </w:p>
    <w:p>
      <w:pPr>
        <w:spacing w:line="560" w:lineRule="exact"/>
        <w:ind w:firstLine="484" w:firstLineChars="200"/>
        <w:rPr>
          <w:rFonts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 xml:space="preserve">附件11日间施工标准化清单 </w:t>
      </w:r>
    </w:p>
    <w:p>
      <w:pPr>
        <w:spacing w:line="560" w:lineRule="exact"/>
        <w:ind w:firstLine="484" w:firstLineChars="200"/>
        <w:rPr>
          <w:rFonts w:ascii="仿宋_GB2312" w:hAnsi="Calibri" w:eastAsia="仿宋_GB2312" w:cs="Calibri"/>
          <w:color w:val="auto"/>
          <w:kern w:val="0"/>
          <w:sz w:val="24"/>
          <w:szCs w:val="24"/>
          <w:highlight w:val="none"/>
        </w:rPr>
      </w:pPr>
      <w:r>
        <w:rPr>
          <w:rFonts w:hint="eastAsia" w:ascii="仿宋_GB2312" w:hAnsi="Calibri" w:eastAsia="仿宋_GB2312" w:cs="宋体"/>
          <w:color w:val="auto"/>
          <w:spacing w:val="1"/>
          <w:kern w:val="0"/>
          <w:sz w:val="24"/>
          <w:szCs w:val="24"/>
          <w:highlight w:val="none"/>
        </w:rPr>
        <w:t>附件12夜间施工标准化清单</w:t>
      </w:r>
    </w:p>
    <w:p>
      <w:pPr>
        <w:spacing w:line="560" w:lineRule="exact"/>
        <w:ind w:firstLine="484" w:firstLineChars="200"/>
        <w:jc w:val="left"/>
        <w:rPr>
          <w:rFonts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附件13拟投入的机械设备承诺函</w:t>
      </w:r>
    </w:p>
    <w:p>
      <w:pPr>
        <w:spacing w:line="560" w:lineRule="exact"/>
        <w:ind w:firstLine="484" w:firstLineChars="200"/>
        <w:jc w:val="left"/>
        <w:rPr>
          <w:rFonts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附件14其他附件</w:t>
      </w:r>
    </w:p>
    <w:p>
      <w:pPr>
        <w:spacing w:line="560" w:lineRule="exact"/>
        <w:ind w:firstLine="484" w:firstLineChars="200"/>
        <w:rPr>
          <w:rFonts w:hint="eastAsia" w:ascii="仿宋_GB2312" w:hAnsi="Calibri" w:eastAsia="仿宋_GB2312" w:cs="宋体"/>
          <w:color w:val="auto"/>
          <w:spacing w:val="1"/>
          <w:kern w:val="0"/>
          <w:sz w:val="24"/>
          <w:szCs w:val="24"/>
          <w:highlight w:val="none"/>
        </w:rPr>
      </w:pPr>
    </w:p>
    <w:p>
      <w:pPr>
        <w:rPr>
          <w:rFonts w:hint="eastAsia"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br w:type="page"/>
      </w:r>
    </w:p>
    <w:bookmarkEnd w:id="727"/>
    <w:bookmarkEnd w:id="728"/>
    <w:bookmarkEnd w:id="729"/>
    <w:p>
      <w:pPr>
        <w:pStyle w:val="2"/>
        <w:rPr>
          <w:color w:val="auto"/>
          <w:highlight w:val="none"/>
        </w:rPr>
      </w:pPr>
    </w:p>
    <w:permEnd w:id="420"/>
    <w:p>
      <w:pPr>
        <w:outlineLvl w:val="1"/>
        <w:rPr>
          <w:rFonts w:ascii="宋体" w:hAnsi="宋体" w:cs="宋体"/>
          <w:color w:val="auto"/>
          <w:sz w:val="22"/>
          <w:szCs w:val="22"/>
          <w:highlight w:val="none"/>
        </w:rPr>
      </w:pP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lang w:val="en-US" w:eastAsia="zh-CN"/>
        </w:rPr>
      </w:pPr>
      <w:permStart w:id="421" w:edGrp="everyone"/>
      <w:bookmarkStart w:id="730" w:name="_Toc10624984"/>
      <w:bookmarkStart w:id="731" w:name="_Toc469384140"/>
      <w:bookmarkStart w:id="732" w:name="_Toc266892924"/>
      <w:r>
        <w:rPr>
          <w:rFonts w:hint="eastAsia" w:ascii="黑体" w:hAnsi="黑体" w:eastAsia="黑体" w:cs="黑体"/>
          <w:b w:val="0"/>
          <w:bCs w:val="0"/>
          <w:color w:val="auto"/>
          <w:kern w:val="0"/>
          <w:sz w:val="24"/>
          <w:szCs w:val="24"/>
          <w:highlight w:val="none"/>
        </w:rPr>
        <w:t>附件</w:t>
      </w:r>
      <w:r>
        <w:rPr>
          <w:rFonts w:hint="eastAsia" w:ascii="黑体" w:hAnsi="黑体" w:eastAsia="黑体" w:cs="黑体"/>
          <w:b w:val="0"/>
          <w:bCs w:val="0"/>
          <w:color w:val="auto"/>
          <w:kern w:val="0"/>
          <w:sz w:val="24"/>
          <w:szCs w:val="24"/>
          <w:highlight w:val="none"/>
          <w:lang w:val="en-US" w:eastAsia="zh-CN"/>
        </w:rPr>
        <w:t>2</w:t>
      </w:r>
    </w:p>
    <w:permEnd w:id="421"/>
    <w:p>
      <w:pPr>
        <w:spacing w:line="420" w:lineRule="exact"/>
        <w:jc w:val="center"/>
        <w:rPr>
          <w:rFonts w:hint="default" w:ascii="方正小标宋简体" w:hAnsi="方正小标宋简体" w:eastAsia="方正小标宋简体" w:cs="方正小标宋简体"/>
          <w:b w:val="0"/>
          <w:bCs w:val="0"/>
          <w:color w:val="auto"/>
          <w:spacing w:val="32"/>
          <w:kern w:val="36"/>
          <w:sz w:val="32"/>
          <w:szCs w:val="32"/>
          <w:highlight w:val="none"/>
          <w:lang w:val="en-US" w:eastAsia="zh-CN"/>
        </w:rPr>
      </w:pPr>
      <w:r>
        <w:rPr>
          <w:rFonts w:hint="eastAsia" w:ascii="方正小标宋简体" w:hAnsi="方正小标宋简体" w:eastAsia="方正小标宋简体" w:cs="方正小标宋简体"/>
          <w:b w:val="0"/>
          <w:bCs w:val="0"/>
          <w:color w:val="auto"/>
          <w:spacing w:val="32"/>
          <w:kern w:val="36"/>
          <w:sz w:val="32"/>
          <w:szCs w:val="32"/>
          <w:highlight w:val="none"/>
          <w:lang w:val="en-US" w:eastAsia="zh-CN"/>
        </w:rPr>
        <w:t>项目管理机构组成表</w:t>
      </w:r>
    </w:p>
    <w:p>
      <w:pPr>
        <w:spacing w:line="420" w:lineRule="exact"/>
        <w:jc w:val="both"/>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   工程名称：</w:t>
      </w:r>
      <w:permStart w:id="422" w:edGrp="everyone"/>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lang w:val="en-US" w:eastAsia="zh-CN"/>
        </w:rPr>
        <w:t xml:space="preserve">              </w:t>
      </w:r>
      <w:permEnd w:id="422"/>
      <w:r>
        <w:rPr>
          <w:rFonts w:hint="eastAsia" w:ascii="宋体" w:hAnsi="宋体" w:cs="宋体"/>
          <w:color w:val="auto"/>
          <w:sz w:val="22"/>
          <w:szCs w:val="22"/>
          <w:highlight w:val="none"/>
        </w:rPr>
        <w:t>编号：</w:t>
      </w:r>
      <w:permStart w:id="423" w:edGrp="everyone"/>
    </w:p>
    <w:p>
      <w:pPr>
        <w:pStyle w:val="2"/>
        <w:rPr>
          <w:rFonts w:hint="eastAsia" w:ascii="宋体" w:hAnsi="宋体" w:cs="宋体"/>
          <w:color w:val="auto"/>
          <w:sz w:val="22"/>
          <w:szCs w:val="22"/>
          <w:highlight w:val="none"/>
        </w:rPr>
      </w:pPr>
    </w:p>
    <w:p>
      <w:pPr>
        <w:rPr>
          <w:rFonts w:hint="eastAsia" w:ascii="宋体" w:hAnsi="宋体" w:cs="宋体"/>
          <w:color w:val="auto"/>
          <w:sz w:val="22"/>
          <w:szCs w:val="22"/>
          <w:highlight w:val="none"/>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750"/>
        <w:gridCol w:w="660"/>
        <w:gridCol w:w="1110"/>
        <w:gridCol w:w="555"/>
        <w:gridCol w:w="795"/>
        <w:gridCol w:w="750"/>
        <w:gridCol w:w="1098"/>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 w:type="dxa"/>
            <w:vMerge w:val="restart"/>
            <w:noWrap w:val="0"/>
            <w:vAlign w:val="center"/>
          </w:tcPr>
          <w:p>
            <w:pPr>
              <w:spacing w:line="400" w:lineRule="exact"/>
              <w:jc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职务</w:t>
            </w:r>
          </w:p>
        </w:tc>
        <w:tc>
          <w:tcPr>
            <w:tcW w:w="750" w:type="dxa"/>
            <w:vMerge w:val="restart"/>
            <w:noWrap w:val="0"/>
            <w:vAlign w:val="center"/>
          </w:tcPr>
          <w:p>
            <w:pPr>
              <w:spacing w:line="400" w:lineRule="exact"/>
              <w:jc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姓名</w:t>
            </w:r>
          </w:p>
        </w:tc>
        <w:tc>
          <w:tcPr>
            <w:tcW w:w="660" w:type="dxa"/>
            <w:vMerge w:val="restart"/>
            <w:noWrap w:val="0"/>
            <w:vAlign w:val="center"/>
          </w:tcPr>
          <w:p>
            <w:pPr>
              <w:spacing w:line="400" w:lineRule="exact"/>
              <w:jc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职称</w:t>
            </w:r>
          </w:p>
        </w:tc>
        <w:tc>
          <w:tcPr>
            <w:tcW w:w="4308" w:type="dxa"/>
            <w:gridSpan w:val="5"/>
            <w:noWrap w:val="0"/>
            <w:vAlign w:val="center"/>
          </w:tcPr>
          <w:p>
            <w:pPr>
              <w:spacing w:line="400" w:lineRule="exact"/>
              <w:jc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执业或职业资格证明</w:t>
            </w:r>
          </w:p>
        </w:tc>
        <w:tc>
          <w:tcPr>
            <w:tcW w:w="1767" w:type="dxa"/>
            <w:noWrap w:val="0"/>
            <w:vAlign w:val="center"/>
          </w:tcPr>
          <w:p>
            <w:pPr>
              <w:spacing w:line="400" w:lineRule="exact"/>
              <w:jc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 w:type="dxa"/>
            <w:vMerge w:val="continue"/>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750" w:type="dxa"/>
            <w:vMerge w:val="continue"/>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660" w:type="dxa"/>
            <w:vMerge w:val="continue"/>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1110" w:type="dxa"/>
            <w:noWrap w:val="0"/>
            <w:vAlign w:val="center"/>
          </w:tcPr>
          <w:p>
            <w:pPr>
              <w:spacing w:line="400" w:lineRule="exact"/>
              <w:jc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证书名称</w:t>
            </w:r>
          </w:p>
        </w:tc>
        <w:tc>
          <w:tcPr>
            <w:tcW w:w="555" w:type="dxa"/>
            <w:noWrap w:val="0"/>
            <w:vAlign w:val="center"/>
          </w:tcPr>
          <w:p>
            <w:pPr>
              <w:spacing w:line="400" w:lineRule="exact"/>
              <w:jc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级别</w:t>
            </w:r>
          </w:p>
        </w:tc>
        <w:tc>
          <w:tcPr>
            <w:tcW w:w="795" w:type="dxa"/>
            <w:noWrap w:val="0"/>
            <w:vAlign w:val="center"/>
          </w:tcPr>
          <w:p>
            <w:pPr>
              <w:spacing w:line="400" w:lineRule="exact"/>
              <w:jc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证号</w:t>
            </w:r>
          </w:p>
        </w:tc>
        <w:tc>
          <w:tcPr>
            <w:tcW w:w="750" w:type="dxa"/>
            <w:noWrap w:val="0"/>
            <w:vAlign w:val="center"/>
          </w:tcPr>
          <w:p>
            <w:pPr>
              <w:spacing w:line="400" w:lineRule="exact"/>
              <w:jc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专业</w:t>
            </w:r>
          </w:p>
        </w:tc>
        <w:tc>
          <w:tcPr>
            <w:tcW w:w="1098" w:type="dxa"/>
            <w:noWrap w:val="0"/>
            <w:vAlign w:val="center"/>
          </w:tcPr>
          <w:p>
            <w:pPr>
              <w:spacing w:line="400" w:lineRule="exact"/>
              <w:jc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社会保险</w:t>
            </w:r>
          </w:p>
        </w:tc>
        <w:tc>
          <w:tcPr>
            <w:tcW w:w="1767"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750"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660"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1110"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555"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795"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750"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1098"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1767"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750"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660"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1110"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555"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795"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750"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1098"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1767"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750"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660"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1110"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555"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795"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750"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1098"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1767"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750"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660"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1110"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555"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795"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750"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1098"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c>
          <w:tcPr>
            <w:tcW w:w="1767" w:type="dxa"/>
            <w:noWrap w:val="0"/>
            <w:vAlign w:val="center"/>
          </w:tcPr>
          <w:p>
            <w:pPr>
              <w:spacing w:line="400" w:lineRule="exact"/>
              <w:jc w:val="center"/>
              <w:rPr>
                <w:rFonts w:hint="eastAsia" w:ascii="仿宋_GB2312" w:hAnsi="仿宋_GB2312" w:eastAsia="仿宋_GB2312" w:cs="仿宋_GB2312"/>
                <w:color w:val="auto"/>
                <w:szCs w:val="21"/>
                <w:highlight w:val="none"/>
              </w:rPr>
            </w:pPr>
          </w:p>
        </w:tc>
      </w:tr>
    </w:tbl>
    <w:p>
      <w:pPr>
        <w:pStyle w:val="2"/>
        <w:rPr>
          <w:color w:val="auto"/>
          <w:highlight w:val="none"/>
        </w:rPr>
      </w:pPr>
    </w:p>
    <w:permEnd w:id="423"/>
    <w:p>
      <w:pPr>
        <w:spacing w:line="420" w:lineRule="exact"/>
        <w:ind w:left="899" w:leftChars="428"/>
        <w:rPr>
          <w:rFonts w:ascii="宋体" w:hAnsi="宋体" w:cs="宋体"/>
          <w:color w:val="auto"/>
          <w:sz w:val="22"/>
          <w:szCs w:val="22"/>
          <w:highlight w:val="none"/>
        </w:rPr>
      </w:pPr>
    </w:p>
    <w:p>
      <w:pPr>
        <w:pStyle w:val="2"/>
        <w:rPr>
          <w:color w:val="auto"/>
          <w:highlight w:val="none"/>
        </w:rPr>
      </w:pPr>
    </w:p>
    <w:p>
      <w:pPr>
        <w:spacing w:line="420" w:lineRule="exact"/>
        <w:ind w:left="0" w:leftChars="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说明：1.表中人员一经确认不得随意修改变换。如需变换，应按照通用条款第 21 条规定执行。 </w:t>
      </w:r>
    </w:p>
    <w:p>
      <w:pPr>
        <w:spacing w:line="420" w:lineRule="exact"/>
        <w:ind w:left="0" w:leftChars="0" w:firstLine="0" w:firstLineChars="0"/>
        <w:rPr>
          <w:rFonts w:ascii="宋体" w:hAnsi="宋体" w:cs="宋体"/>
          <w:color w:val="auto"/>
          <w:sz w:val="22"/>
          <w:szCs w:val="22"/>
          <w:highlight w:val="none"/>
        </w:rPr>
      </w:pPr>
      <w:r>
        <w:rPr>
          <w:rFonts w:hint="eastAsia" w:ascii="宋体" w:hAnsi="宋体" w:cs="宋体"/>
          <w:color w:val="auto"/>
          <w:sz w:val="22"/>
          <w:szCs w:val="22"/>
          <w:highlight w:val="none"/>
        </w:rPr>
        <w:t>2.表中人员必须提供为其购买的社会养老保险费用凭证。</w:t>
      </w:r>
    </w:p>
    <w:p>
      <w:pPr>
        <w:spacing w:line="420" w:lineRule="exact"/>
        <w:ind w:left="0" w:leftChars="0" w:firstLine="0" w:firstLineChars="0"/>
        <w:rPr>
          <w:rFonts w:ascii="宋体" w:hAnsi="宋体" w:cs="宋体"/>
          <w:color w:val="auto"/>
          <w:sz w:val="22"/>
          <w:szCs w:val="22"/>
          <w:highlight w:val="none"/>
        </w:rPr>
      </w:pPr>
      <w:r>
        <w:rPr>
          <w:rFonts w:hint="eastAsia" w:ascii="宋体" w:hAnsi="宋体" w:cs="宋体"/>
          <w:color w:val="auto"/>
          <w:sz w:val="22"/>
          <w:szCs w:val="22"/>
          <w:highlight w:val="none"/>
        </w:rPr>
        <w:t>3.承包人应提供表中人员的聘用合同、专业技术职称书等复印件。</w:t>
      </w:r>
    </w:p>
    <w:p>
      <w:pPr>
        <w:widowControl/>
        <w:spacing w:line="420" w:lineRule="exact"/>
        <w:jc w:val="left"/>
        <w:rPr>
          <w:rFonts w:ascii="宋体" w:hAnsi="宋体" w:cs="宋体"/>
          <w:color w:val="auto"/>
          <w:kern w:val="0"/>
          <w:sz w:val="22"/>
          <w:szCs w:val="22"/>
          <w:highlight w:val="none"/>
        </w:rPr>
        <w:sectPr>
          <w:endnotePr>
            <w:numFmt w:val="decimal"/>
          </w:endnotePr>
          <w:pgSz w:w="11905" w:h="16838"/>
          <w:pgMar w:top="1440" w:right="1800" w:bottom="1440" w:left="1800" w:header="0" w:footer="0" w:gutter="0"/>
          <w:cols w:space="0" w:num="1"/>
          <w:titlePg/>
          <w:rtlGutter w:val="0"/>
          <w:docGrid w:linePitch="0" w:charSpace="0"/>
        </w:sectPr>
      </w:pPr>
    </w:p>
    <w:p>
      <w:pPr>
        <w:spacing w:line="420" w:lineRule="exact"/>
        <w:ind w:firstLine="360" w:firstLineChars="150"/>
        <w:outlineLvl w:val="1"/>
        <w:rPr>
          <w:rFonts w:hint="eastAsia" w:ascii="黑体" w:hAnsi="黑体" w:eastAsia="黑体" w:cs="黑体"/>
          <w:b w:val="0"/>
          <w:bCs w:val="0"/>
          <w:color w:val="auto"/>
          <w:sz w:val="24"/>
          <w:szCs w:val="24"/>
          <w:highlight w:val="none"/>
          <w:lang w:val="en-US" w:eastAsia="zh-CN"/>
        </w:rPr>
      </w:pPr>
      <w:permStart w:id="424" w:edGrp="everyone"/>
      <w:r>
        <w:rPr>
          <w:rFonts w:hint="eastAsia" w:ascii="黑体" w:hAnsi="黑体" w:eastAsia="黑体" w:cs="黑体"/>
          <w:b w:val="0"/>
          <w:bCs w:val="0"/>
          <w:color w:val="auto"/>
          <w:sz w:val="24"/>
          <w:szCs w:val="24"/>
          <w:highlight w:val="none"/>
        </w:rPr>
        <w:t>附件</w:t>
      </w:r>
      <w:bookmarkEnd w:id="730"/>
      <w:bookmarkEnd w:id="731"/>
      <w:bookmarkEnd w:id="732"/>
      <w:r>
        <w:rPr>
          <w:rFonts w:hint="eastAsia" w:ascii="黑体" w:hAnsi="黑体" w:eastAsia="黑体" w:cs="黑体"/>
          <w:b w:val="0"/>
          <w:bCs w:val="0"/>
          <w:color w:val="auto"/>
          <w:sz w:val="24"/>
          <w:szCs w:val="24"/>
          <w:highlight w:val="none"/>
          <w:lang w:val="en-US" w:eastAsia="zh-CN"/>
        </w:rPr>
        <w:t>3</w:t>
      </w:r>
    </w:p>
    <w:p>
      <w:pPr>
        <w:spacing w:line="420" w:lineRule="exact"/>
        <w:jc w:val="center"/>
        <w:rPr>
          <w:rFonts w:hint="default" w:ascii="方正小标宋简体" w:hAnsi="方正小标宋简体" w:eastAsia="方正小标宋简体" w:cs="方正小标宋简体"/>
          <w:b w:val="0"/>
          <w:bCs w:val="0"/>
          <w:color w:val="auto"/>
          <w:spacing w:val="32"/>
          <w:kern w:val="36"/>
          <w:sz w:val="32"/>
          <w:szCs w:val="32"/>
          <w:highlight w:val="none"/>
          <w:lang w:val="en-US" w:eastAsia="zh-CN"/>
        </w:rPr>
      </w:pPr>
      <w:r>
        <w:rPr>
          <w:rFonts w:hint="eastAsia" w:ascii="方正小标宋简体" w:hAnsi="方正小标宋简体" w:eastAsia="方正小标宋简体" w:cs="方正小标宋简体"/>
          <w:b w:val="0"/>
          <w:bCs w:val="0"/>
          <w:color w:val="auto"/>
          <w:spacing w:val="32"/>
          <w:kern w:val="36"/>
          <w:sz w:val="32"/>
          <w:szCs w:val="32"/>
          <w:highlight w:val="none"/>
          <w:lang w:val="en-US" w:eastAsia="zh-CN"/>
        </w:rPr>
        <w:t>甲供主材清单</w:t>
      </w:r>
    </w:p>
    <w:p>
      <w:pPr>
        <w:spacing w:line="42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 xml:space="preserve">   工程名称：                                            工程编号：</w:t>
      </w:r>
    </w:p>
    <w:p>
      <w:pPr>
        <w:spacing w:line="420" w:lineRule="exact"/>
        <w:jc w:val="left"/>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（以工程量清单为准）</w:t>
      </w:r>
    </w:p>
    <w:p>
      <w:pPr>
        <w:spacing w:line="420" w:lineRule="exact"/>
        <w:jc w:val="left"/>
        <w:rPr>
          <w:rFonts w:hint="eastAsia" w:ascii="宋体" w:hAnsi="宋体" w:cs="宋体"/>
          <w:color w:val="auto"/>
          <w:sz w:val="22"/>
          <w:szCs w:val="22"/>
          <w:highlight w:val="none"/>
        </w:rPr>
      </w:pPr>
    </w:p>
    <w:permEnd w:id="424"/>
    <w:p>
      <w:pPr>
        <w:spacing w:line="420" w:lineRule="exact"/>
        <w:rPr>
          <w:rFonts w:ascii="宋体" w:hAnsi="宋体" w:cs="宋体"/>
          <w:color w:val="auto"/>
          <w:sz w:val="22"/>
          <w:szCs w:val="22"/>
          <w:highlight w:val="none"/>
        </w:rPr>
      </w:pPr>
    </w:p>
    <w:p>
      <w:pPr>
        <w:widowControl/>
        <w:spacing w:afterAutospacing="1" w:line="420" w:lineRule="exact"/>
        <w:jc w:val="left"/>
        <w:rPr>
          <w:rFonts w:ascii="宋体" w:hAnsi="宋体" w:cs="宋体"/>
          <w:b/>
          <w:bCs/>
          <w:color w:val="auto"/>
          <w:kern w:val="0"/>
          <w:sz w:val="22"/>
          <w:szCs w:val="22"/>
          <w:highlight w:val="none"/>
        </w:rPr>
        <w:sectPr>
          <w:endnotePr>
            <w:numFmt w:val="decimal"/>
          </w:endnotePr>
          <w:pgSz w:w="11905" w:h="16838"/>
          <w:pgMar w:top="1440" w:right="1800" w:bottom="1440" w:left="1800" w:header="0" w:footer="0" w:gutter="0"/>
          <w:cols w:space="0" w:num="1"/>
          <w:titlePg/>
          <w:rtlGutter w:val="0"/>
          <w:docGrid w:linePitch="0" w:charSpace="0"/>
        </w:sectPr>
      </w:pPr>
    </w:p>
    <w:p>
      <w:pPr>
        <w:spacing w:line="420" w:lineRule="exact"/>
        <w:outlineLvl w:val="1"/>
        <w:rPr>
          <w:rFonts w:hint="eastAsia" w:ascii="黑体" w:hAnsi="黑体" w:eastAsia="黑体" w:cs="黑体"/>
          <w:b w:val="0"/>
          <w:bCs w:val="0"/>
          <w:color w:val="auto"/>
          <w:sz w:val="24"/>
          <w:szCs w:val="24"/>
          <w:highlight w:val="none"/>
          <w:lang w:val="en-US" w:eastAsia="zh-CN"/>
        </w:rPr>
      </w:pPr>
      <w:bookmarkStart w:id="733" w:name="_Toc266892925"/>
      <w:bookmarkStart w:id="734" w:name="_Toc10624985"/>
      <w:bookmarkStart w:id="735" w:name="_Toc469384141"/>
      <w:permStart w:id="425" w:edGrp="everyone"/>
      <w:r>
        <w:rPr>
          <w:rFonts w:hint="eastAsia" w:ascii="黑体" w:hAnsi="黑体" w:eastAsia="黑体" w:cs="黑体"/>
          <w:b w:val="0"/>
          <w:bCs w:val="0"/>
          <w:color w:val="auto"/>
          <w:sz w:val="24"/>
          <w:szCs w:val="24"/>
          <w:highlight w:val="none"/>
        </w:rPr>
        <w:t>附件</w:t>
      </w:r>
      <w:bookmarkEnd w:id="733"/>
      <w:bookmarkEnd w:id="734"/>
      <w:bookmarkEnd w:id="735"/>
      <w:r>
        <w:rPr>
          <w:rFonts w:hint="eastAsia" w:ascii="黑体" w:hAnsi="黑体" w:eastAsia="黑体" w:cs="黑体"/>
          <w:b w:val="0"/>
          <w:bCs w:val="0"/>
          <w:color w:val="auto"/>
          <w:sz w:val="24"/>
          <w:szCs w:val="24"/>
          <w:highlight w:val="none"/>
          <w:lang w:val="en-US" w:eastAsia="zh-CN"/>
        </w:rPr>
        <w:t>4</w:t>
      </w:r>
    </w:p>
    <w:permEnd w:id="425"/>
    <w:p>
      <w:pPr>
        <w:spacing w:line="420" w:lineRule="exact"/>
        <w:rPr>
          <w:rFonts w:ascii="宋体" w:hAnsi="宋体" w:cs="宋体"/>
          <w:color w:val="auto"/>
          <w:sz w:val="22"/>
          <w:szCs w:val="22"/>
          <w:highlight w:val="none"/>
        </w:rPr>
      </w:pPr>
    </w:p>
    <w:p>
      <w:pPr>
        <w:adjustRightInd w:val="0"/>
        <w:snapToGrid w:val="0"/>
        <w:spacing w:line="420" w:lineRule="exact"/>
        <w:jc w:val="center"/>
        <w:rPr>
          <w:rFonts w:hint="eastAsia" w:ascii="方正小标宋简体" w:hAnsi="方正小标宋简体" w:eastAsia="方正小标宋简体" w:cs="方正小标宋简体"/>
          <w:b w:val="0"/>
          <w:bCs w:val="0"/>
          <w:color w:val="auto"/>
          <w:spacing w:val="32"/>
          <w:sz w:val="32"/>
          <w:szCs w:val="32"/>
          <w:highlight w:val="none"/>
        </w:rPr>
      </w:pPr>
      <w:r>
        <w:rPr>
          <w:rFonts w:hint="eastAsia" w:ascii="方正小标宋简体" w:hAnsi="方正小标宋简体" w:eastAsia="方正小标宋简体" w:cs="方正小标宋简体"/>
          <w:b w:val="0"/>
          <w:bCs w:val="0"/>
          <w:color w:val="auto"/>
          <w:spacing w:val="32"/>
          <w:sz w:val="32"/>
          <w:szCs w:val="32"/>
          <w:highlight w:val="none"/>
        </w:rPr>
        <w:t>工程质量保修书</w:t>
      </w:r>
    </w:p>
    <w:p>
      <w:pPr>
        <w:adjustRightInd w:val="0"/>
        <w:snapToGrid w:val="0"/>
        <w:spacing w:line="420" w:lineRule="exact"/>
        <w:rPr>
          <w:rFonts w:ascii="宋体" w:hAnsi="宋体" w:cs="宋体"/>
          <w:color w:val="auto"/>
          <w:sz w:val="22"/>
          <w:szCs w:val="22"/>
          <w:highlight w:val="none"/>
        </w:rPr>
      </w:pP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发包人：（全称）</w:t>
      </w:r>
      <w:permStart w:id="426" w:edGrp="everyone"/>
      <w:r>
        <w:rPr>
          <w:rFonts w:hint="eastAsia" w:ascii="仿宋_GB2312" w:hAnsi="仿宋_GB2312" w:eastAsia="仿宋_GB2312" w:cs="仿宋_GB2312"/>
          <w:color w:val="auto"/>
          <w:sz w:val="24"/>
          <w:szCs w:val="24"/>
          <w:highlight w:val="none"/>
          <w:u w:val="single"/>
        </w:rPr>
        <w:t xml:space="preserve">                            </w:t>
      </w:r>
      <w:permEnd w:id="426"/>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承包人：（全称）</w:t>
      </w:r>
      <w:permStart w:id="427" w:edGrp="everyone"/>
      <w:r>
        <w:rPr>
          <w:rFonts w:hint="eastAsia" w:ascii="仿宋_GB2312" w:hAnsi="仿宋_GB2312" w:eastAsia="仿宋_GB2312" w:cs="仿宋_GB2312"/>
          <w:color w:val="auto"/>
          <w:sz w:val="24"/>
          <w:szCs w:val="24"/>
          <w:highlight w:val="none"/>
          <w:u w:val="single"/>
        </w:rPr>
        <w:t xml:space="preserve">                            </w:t>
      </w:r>
      <w:permEnd w:id="427"/>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为保证 </w:t>
      </w:r>
      <w:permStart w:id="428" w:edGrp="everyone"/>
      <w:r>
        <w:rPr>
          <w:rFonts w:hint="eastAsia" w:ascii="仿宋_GB2312" w:hAnsi="仿宋_GB2312" w:eastAsia="仿宋_GB2312" w:cs="仿宋_GB2312"/>
          <w:color w:val="auto"/>
          <w:sz w:val="24"/>
          <w:szCs w:val="24"/>
          <w:highlight w:val="none"/>
          <w:u w:val="single"/>
        </w:rPr>
        <w:t xml:space="preserve">                       </w:t>
      </w:r>
      <w:permEnd w:id="428"/>
      <w:r>
        <w:rPr>
          <w:rFonts w:hint="eastAsia" w:ascii="仿宋_GB2312" w:hAnsi="仿宋_GB2312" w:eastAsia="仿宋_GB2312" w:cs="仿宋_GB2312"/>
          <w:color w:val="auto"/>
          <w:sz w:val="24"/>
          <w:szCs w:val="24"/>
          <w:highlight w:val="none"/>
        </w:rPr>
        <w:t>（工程名称）在合理使用期限内正常使用，合同双方当事人根据《中华人民共和国建筑法》、《建设工程质量管理条例》和《房屋建筑工程质量保修办法》等规定，经协商一致，订立本质量保修书。</w:t>
      </w:r>
    </w:p>
    <w:p>
      <w:pPr>
        <w:numPr>
          <w:ilvl w:val="0"/>
          <w:numId w:val="12"/>
        </w:numPr>
        <w:adjustRightInd w:val="0"/>
        <w:snapToGrid w:val="0"/>
        <w:spacing w:line="420" w:lineRule="exact"/>
        <w:ind w:left="902" w:leftChars="200" w:hanging="482" w:hanging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质量保修范围</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permStart w:id="429" w:edGrp="everyone"/>
      <w:r>
        <w:rPr>
          <w:rFonts w:hint="eastAsia" w:ascii="仿宋_GB2312" w:hAnsi="仿宋_GB2312" w:eastAsia="仿宋_GB2312" w:cs="仿宋_GB2312"/>
          <w:color w:val="auto"/>
          <w:sz w:val="24"/>
          <w:szCs w:val="24"/>
          <w:highlight w:val="none"/>
        </w:rPr>
        <w:t xml:space="preserve">1．                                                                                    </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2．                                                                                   </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3．                                                                             </w:t>
      </w:r>
      <w:permEnd w:id="429"/>
      <w:r>
        <w:rPr>
          <w:rFonts w:hint="eastAsia" w:ascii="仿宋_GB2312" w:hAnsi="仿宋_GB2312" w:eastAsia="仿宋_GB2312" w:cs="仿宋_GB2312"/>
          <w:color w:val="auto"/>
          <w:sz w:val="24"/>
          <w:szCs w:val="24"/>
          <w:highlight w:val="none"/>
        </w:rPr>
        <w:t xml:space="preserve">      </w:t>
      </w:r>
    </w:p>
    <w:p>
      <w:pPr>
        <w:numPr>
          <w:ilvl w:val="0"/>
          <w:numId w:val="12"/>
        </w:numPr>
        <w:adjustRightInd w:val="0"/>
        <w:snapToGrid w:val="0"/>
        <w:spacing w:line="420" w:lineRule="exact"/>
        <w:ind w:left="902" w:leftChars="200" w:hanging="482" w:hanging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质量保修期</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 质量保修期从工程实际竣工之日算起。单项竣工验收的工程，按单项工程分别计算质量保修期。</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2.2 </w:t>
      </w:r>
      <w:r>
        <w:rPr>
          <w:rFonts w:hint="eastAsia" w:ascii="仿宋_GB2312" w:hAnsi="仿宋_GB2312" w:eastAsia="仿宋_GB2312" w:cs="仿宋_GB2312"/>
          <w:color w:val="auto"/>
          <w:kern w:val="0"/>
          <w:sz w:val="24"/>
          <w:szCs w:val="24"/>
          <w:highlight w:val="none"/>
          <w:lang w:val="zh-CN"/>
        </w:rPr>
        <w:t>合同工程质量保修期，合同双方当事人约定如下</w:t>
      </w:r>
      <w:r>
        <w:rPr>
          <w:rFonts w:hint="eastAsia" w:ascii="仿宋_GB2312" w:hAnsi="仿宋_GB2312" w:eastAsia="仿宋_GB2312" w:cs="仿宋_GB2312"/>
          <w:color w:val="auto"/>
          <w:sz w:val="24"/>
          <w:szCs w:val="24"/>
          <w:highlight w:val="none"/>
        </w:rPr>
        <w:t>：</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1．地基基础工程、主体结构工程为设计文件规定的合理使用年限；</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2．屋面防水工程、有防水要求的卫生间、房间和外墙面的防渗漏工程为</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5</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p>
    <w:p>
      <w:pPr>
        <w:adjustRightInd w:val="0"/>
        <w:snapToGrid w:val="0"/>
        <w:spacing w:line="420" w:lineRule="exact"/>
        <w:ind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3．电气管线工程、给排水管道工程、设备安装工程为</w:t>
      </w:r>
      <w:permStart w:id="430"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2</w:t>
      </w:r>
      <w:r>
        <w:rPr>
          <w:rFonts w:hint="eastAsia" w:ascii="仿宋_GB2312" w:hAnsi="仿宋_GB2312" w:eastAsia="仿宋_GB2312" w:cs="仿宋_GB2312"/>
          <w:color w:val="auto"/>
          <w:sz w:val="24"/>
          <w:szCs w:val="24"/>
          <w:highlight w:val="none"/>
          <w:u w:val="single"/>
        </w:rPr>
        <w:t xml:space="preserve">      </w:t>
      </w:r>
      <w:permEnd w:id="430"/>
      <w:r>
        <w:rPr>
          <w:rFonts w:hint="eastAsia" w:ascii="仿宋_GB2312" w:hAnsi="仿宋_GB2312" w:eastAsia="仿宋_GB2312" w:cs="仿宋_GB2312"/>
          <w:color w:val="auto"/>
          <w:sz w:val="24"/>
          <w:szCs w:val="24"/>
          <w:highlight w:val="none"/>
        </w:rPr>
        <w:t>年；</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4．供热、供冷系统工程为</w:t>
      </w:r>
      <w:permStart w:id="431" w:edGrp="everyone"/>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2</w:t>
      </w:r>
      <w:r>
        <w:rPr>
          <w:rFonts w:hint="eastAsia" w:ascii="仿宋_GB2312" w:hAnsi="仿宋_GB2312" w:eastAsia="仿宋_GB2312" w:cs="仿宋_GB2312"/>
          <w:color w:val="auto"/>
          <w:sz w:val="24"/>
          <w:szCs w:val="24"/>
          <w:highlight w:val="none"/>
          <w:u w:val="single"/>
        </w:rPr>
        <w:t xml:space="preserve">  </w:t>
      </w:r>
      <w:permEnd w:id="431"/>
      <w:r>
        <w:rPr>
          <w:rFonts w:hint="eastAsia" w:ascii="仿宋_GB2312" w:hAnsi="仿宋_GB2312" w:eastAsia="仿宋_GB2312" w:cs="仿宋_GB2312"/>
          <w:color w:val="auto"/>
          <w:sz w:val="24"/>
          <w:szCs w:val="24"/>
          <w:highlight w:val="none"/>
        </w:rPr>
        <w:t>个采暖期、供冷期；</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5．装饰装修工程为</w:t>
      </w:r>
      <w:permStart w:id="432"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2</w:t>
      </w:r>
      <w:r>
        <w:rPr>
          <w:rFonts w:hint="eastAsia" w:ascii="仿宋_GB2312" w:hAnsi="仿宋_GB2312" w:eastAsia="仿宋_GB2312" w:cs="仿宋_GB2312"/>
          <w:color w:val="auto"/>
          <w:sz w:val="24"/>
          <w:szCs w:val="24"/>
          <w:highlight w:val="none"/>
          <w:u w:val="single"/>
        </w:rPr>
        <w:t xml:space="preserve">     </w:t>
      </w:r>
      <w:permEnd w:id="432"/>
      <w:r>
        <w:rPr>
          <w:rFonts w:hint="eastAsia" w:ascii="仿宋_GB2312" w:hAnsi="仿宋_GB2312" w:eastAsia="仿宋_GB2312" w:cs="仿宋_GB2312"/>
          <w:color w:val="auto"/>
          <w:sz w:val="24"/>
          <w:szCs w:val="24"/>
          <w:highlight w:val="none"/>
        </w:rPr>
        <w:t>年；</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6．其他项目</w:t>
      </w:r>
      <w:r>
        <w:rPr>
          <w:rFonts w:hint="eastAsia" w:ascii="仿宋_GB2312" w:hAnsi="仿宋_GB2312" w:eastAsia="仿宋_GB2312" w:cs="仿宋_GB2312"/>
          <w:color w:val="auto"/>
          <w:sz w:val="24"/>
          <w:szCs w:val="24"/>
          <w:highlight w:val="none"/>
          <w:u w:val="single"/>
        </w:rPr>
        <w:t xml:space="preserve"> 承包人提供的设备应满足招标技术要求规定的质量保证年限 </w:t>
      </w:r>
      <w:r>
        <w:rPr>
          <w:rFonts w:hint="eastAsia" w:ascii="仿宋_GB2312" w:hAnsi="仿宋_GB2312" w:eastAsia="仿宋_GB2312" w:cs="仿宋_GB2312"/>
          <w:color w:val="auto"/>
          <w:sz w:val="24"/>
          <w:szCs w:val="24"/>
          <w:highlight w:val="none"/>
        </w:rPr>
        <w:t>。</w:t>
      </w:r>
    </w:p>
    <w:p>
      <w:pPr>
        <w:adjustRightInd w:val="0"/>
        <w:snapToGrid w:val="0"/>
        <w:spacing w:line="420" w:lineRule="exact"/>
        <w:ind w:left="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3． </w:t>
      </w:r>
      <w:r>
        <w:rPr>
          <w:rFonts w:hint="eastAsia" w:ascii="仿宋_GB2312" w:hAnsi="仿宋_GB2312" w:eastAsia="仿宋_GB2312" w:cs="仿宋_GB2312"/>
          <w:b/>
          <w:bCs/>
          <w:color w:val="auto"/>
          <w:sz w:val="24"/>
          <w:szCs w:val="24"/>
          <w:highlight w:val="none"/>
        </w:rPr>
        <w:t>质量保修责任</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3.1  </w:t>
      </w:r>
      <w:r>
        <w:rPr>
          <w:rFonts w:hint="eastAsia" w:ascii="仿宋_GB2312" w:hAnsi="仿宋_GB2312" w:eastAsia="仿宋_GB2312" w:cs="仿宋_GB2312"/>
          <w:color w:val="auto"/>
          <w:kern w:val="0"/>
          <w:sz w:val="24"/>
          <w:szCs w:val="24"/>
          <w:highlight w:val="none"/>
          <w:lang w:val="zh-CN"/>
        </w:rPr>
        <w:t>属于保修范围的项目，承包人应在接到发包人通知后的</w:t>
      </w:r>
      <w:r>
        <w:rPr>
          <w:rFonts w:hint="eastAsia" w:ascii="仿宋_GB2312" w:hAnsi="仿宋_GB2312" w:eastAsia="仿宋_GB2312" w:cs="仿宋_GB2312"/>
          <w:color w:val="auto"/>
          <w:kern w:val="0"/>
          <w:sz w:val="24"/>
          <w:szCs w:val="24"/>
          <w:highlight w:val="none"/>
        </w:rPr>
        <w:t xml:space="preserve"> 7 </w:t>
      </w:r>
      <w:r>
        <w:rPr>
          <w:rFonts w:hint="eastAsia" w:ascii="仿宋_GB2312" w:hAnsi="仿宋_GB2312" w:eastAsia="仿宋_GB2312" w:cs="仿宋_GB2312"/>
          <w:color w:val="auto"/>
          <w:kern w:val="0"/>
          <w:sz w:val="24"/>
          <w:szCs w:val="24"/>
          <w:highlight w:val="none"/>
          <w:lang w:val="zh-CN"/>
        </w:rPr>
        <w:t>天内派人保修。承包人未能在规定时间内派人保修的，发包人可自行或委托第三方保修</w:t>
      </w:r>
      <w:r>
        <w:rPr>
          <w:rFonts w:hint="eastAsia" w:ascii="仿宋_GB2312" w:hAnsi="仿宋_GB2312" w:eastAsia="仿宋_GB2312" w:cs="仿宋_GB2312"/>
          <w:color w:val="auto"/>
          <w:sz w:val="24"/>
          <w:szCs w:val="24"/>
          <w:highlight w:val="none"/>
        </w:rPr>
        <w:t>。</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  发生紧急抢修事故的，承包人在接到通知后，应立即到达事故现场抢修。</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3.3  在国家规定的工程合理使用期限内，承包人应确保地基基础工程和主体结构的质量和安全。凡出现其质量问题，应立即报告当地建设行政主管部门，经设计人提出保修方案后，承包人应立即实施保修。</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3.4  质量保修完成后，由发包人组织验收。</w:t>
      </w:r>
    </w:p>
    <w:p>
      <w:pPr>
        <w:adjustRightInd w:val="0"/>
        <w:snapToGrid w:val="0"/>
        <w:spacing w:line="420" w:lineRule="exact"/>
        <w:ind w:left="48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b/>
          <w:bCs/>
          <w:color w:val="auto"/>
          <w:sz w:val="24"/>
          <w:szCs w:val="24"/>
          <w:highlight w:val="none"/>
        </w:rPr>
        <w:t>质量保修费用</w:t>
      </w:r>
    </w:p>
    <w:p>
      <w:pPr>
        <w:adjustRightInd w:val="0"/>
        <w:snapToGrid w:val="0"/>
        <w:spacing w:line="420" w:lineRule="exact"/>
        <w:ind w:left="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zh-CN"/>
        </w:rPr>
        <w:t>质量保修等费用，由责任方承担</w:t>
      </w:r>
      <w:r>
        <w:rPr>
          <w:rFonts w:hint="eastAsia" w:ascii="仿宋_GB2312" w:hAnsi="仿宋_GB2312" w:eastAsia="仿宋_GB2312" w:cs="仿宋_GB2312"/>
          <w:color w:val="auto"/>
          <w:sz w:val="24"/>
          <w:szCs w:val="24"/>
          <w:highlight w:val="none"/>
        </w:rPr>
        <w:t>。</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r>
        <w:rPr>
          <w:rFonts w:hint="eastAsia" w:ascii="仿宋_GB2312" w:hAnsi="仿宋_GB2312" w:eastAsia="仿宋_GB2312" w:cs="仿宋_GB2312"/>
          <w:b/>
          <w:bCs/>
          <w:color w:val="auto"/>
          <w:sz w:val="24"/>
          <w:szCs w:val="24"/>
          <w:highlight w:val="none"/>
        </w:rPr>
        <w:t>质量保证金</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zh-CN"/>
        </w:rPr>
        <w:t>质量保证金的约定、支付和使用与本合同第二部分《通用条款》第</w:t>
      </w:r>
      <w:r>
        <w:rPr>
          <w:rFonts w:hint="eastAsia" w:ascii="仿宋_GB2312" w:hAnsi="仿宋_GB2312" w:eastAsia="仿宋_GB2312" w:cs="仿宋_GB2312"/>
          <w:color w:val="auto"/>
          <w:kern w:val="0"/>
          <w:sz w:val="24"/>
          <w:szCs w:val="24"/>
          <w:highlight w:val="none"/>
        </w:rPr>
        <w:t xml:space="preserve"> 84 </w:t>
      </w:r>
      <w:r>
        <w:rPr>
          <w:rFonts w:hint="eastAsia" w:ascii="仿宋_GB2312" w:hAnsi="仿宋_GB2312" w:eastAsia="仿宋_GB2312" w:cs="仿宋_GB2312"/>
          <w:color w:val="auto"/>
          <w:kern w:val="0"/>
          <w:sz w:val="24"/>
          <w:szCs w:val="24"/>
          <w:highlight w:val="none"/>
          <w:lang w:val="zh-CN"/>
        </w:rPr>
        <w:t>条赋予的规</w:t>
      </w:r>
      <w:r>
        <w:rPr>
          <w:rFonts w:hint="eastAsia" w:ascii="仿宋_GB2312" w:hAnsi="仿宋_GB2312" w:eastAsia="仿宋_GB2312" w:cs="仿宋_GB2312"/>
          <w:color w:val="auto"/>
          <w:sz w:val="24"/>
          <w:szCs w:val="24"/>
          <w:highlight w:val="none"/>
        </w:rPr>
        <w:t>定一致。</w:t>
      </w:r>
    </w:p>
    <w:p>
      <w:pPr>
        <w:adjustRightInd w:val="0"/>
        <w:snapToGrid w:val="0"/>
        <w:spacing w:line="420" w:lineRule="exact"/>
        <w:ind w:left="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r>
        <w:rPr>
          <w:rFonts w:hint="eastAsia" w:ascii="仿宋_GB2312" w:hAnsi="仿宋_GB2312" w:eastAsia="仿宋_GB2312" w:cs="仿宋_GB2312"/>
          <w:b/>
          <w:bCs/>
          <w:color w:val="auto"/>
          <w:sz w:val="24"/>
          <w:szCs w:val="24"/>
          <w:highlight w:val="none"/>
        </w:rPr>
        <w:t>其他</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6.1  </w:t>
      </w:r>
      <w:r>
        <w:rPr>
          <w:rFonts w:hint="eastAsia" w:ascii="仿宋_GB2312" w:hAnsi="仿宋_GB2312" w:eastAsia="仿宋_GB2312" w:cs="仿宋_GB2312"/>
          <w:color w:val="auto"/>
          <w:kern w:val="0"/>
          <w:sz w:val="24"/>
          <w:szCs w:val="24"/>
          <w:highlight w:val="none"/>
          <w:lang w:val="zh-CN"/>
        </w:rPr>
        <w:t>合同双方当事人约定的其他质量保修事</w:t>
      </w:r>
      <w:r>
        <w:rPr>
          <w:rFonts w:hint="eastAsia" w:ascii="仿宋_GB2312" w:hAnsi="仿宋_GB2312" w:eastAsia="仿宋_GB2312" w:cs="仿宋_GB2312"/>
          <w:color w:val="auto"/>
          <w:sz w:val="24"/>
          <w:szCs w:val="24"/>
          <w:highlight w:val="none"/>
        </w:rPr>
        <w:t>项：</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6.2  </w:t>
      </w:r>
      <w:r>
        <w:rPr>
          <w:rFonts w:hint="eastAsia" w:ascii="仿宋_GB2312" w:hAnsi="仿宋_GB2312" w:eastAsia="仿宋_GB2312" w:cs="仿宋_GB2312"/>
          <w:color w:val="auto"/>
          <w:kern w:val="0"/>
          <w:sz w:val="24"/>
          <w:szCs w:val="24"/>
          <w:highlight w:val="none"/>
          <w:lang w:val="zh-CN"/>
        </w:rPr>
        <w:t>本质量保修书，由合同双方当事人在承包人向发包人提交竣工验收申请报告时签署，作为本合同的附件</w:t>
      </w:r>
      <w:r>
        <w:rPr>
          <w:rFonts w:hint="eastAsia" w:ascii="仿宋_GB2312" w:hAnsi="仿宋_GB2312" w:eastAsia="仿宋_GB2312" w:cs="仿宋_GB2312"/>
          <w:color w:val="auto"/>
          <w:sz w:val="24"/>
          <w:szCs w:val="24"/>
          <w:highlight w:val="none"/>
        </w:rPr>
        <w:t>。</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6.3  </w:t>
      </w:r>
      <w:r>
        <w:rPr>
          <w:rFonts w:hint="eastAsia" w:ascii="仿宋_GB2312" w:hAnsi="仿宋_GB2312" w:eastAsia="仿宋_GB2312" w:cs="仿宋_GB2312"/>
          <w:color w:val="auto"/>
          <w:kern w:val="0"/>
          <w:sz w:val="24"/>
          <w:szCs w:val="24"/>
          <w:highlight w:val="none"/>
          <w:lang w:val="zh-CN"/>
        </w:rPr>
        <w:t>本质量保修书，自合同双方当事人签署之日起生效，至质量保修期满后失效。</w:t>
      </w: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p>
    <w:tbl>
      <w:tblPr>
        <w:tblStyle w:val="20"/>
        <w:tblpPr w:leftFromText="180" w:rightFromText="180" w:vertAnchor="text" w:horzAnchor="page" w:tblpX="1869" w:tblpY="259"/>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0"/>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tcPr>
          <w:p>
            <w:pPr>
              <w:pStyle w:val="2"/>
              <w:rPr>
                <w:rFonts w:hint="eastAsia"/>
                <w:color w:val="auto"/>
                <w:highlight w:val="none"/>
                <w:vertAlign w:val="baseline"/>
              </w:rPr>
            </w:pPr>
            <w:permStart w:id="433" w:edGrp="everyone"/>
            <w:r>
              <w:rPr>
                <w:rFonts w:hint="eastAsia" w:ascii="仿宋_GB2312" w:hAnsi="仿宋_GB2312" w:eastAsia="仿宋_GB2312" w:cs="仿宋_GB2312"/>
                <w:color w:val="auto"/>
                <w:sz w:val="24"/>
                <w:szCs w:val="24"/>
                <w:highlight w:val="none"/>
              </w:rPr>
              <w:t>发 包 人：（盖章）</w:t>
            </w:r>
          </w:p>
        </w:tc>
        <w:tc>
          <w:tcPr>
            <w:tcW w:w="4261" w:type="dxa"/>
          </w:tcPr>
          <w:p>
            <w:pPr>
              <w:pStyle w:val="2"/>
              <w:rPr>
                <w:rFonts w:hint="eastAsia"/>
                <w:color w:val="auto"/>
                <w:highlight w:val="none"/>
                <w:vertAlign w:val="baseline"/>
              </w:rPr>
            </w:pPr>
            <w:r>
              <w:rPr>
                <w:rFonts w:hint="eastAsia" w:ascii="仿宋_GB2312" w:hAnsi="仿宋_GB2312" w:eastAsia="仿宋_GB2312" w:cs="仿宋_GB2312"/>
                <w:color w:val="auto"/>
                <w:sz w:val="24"/>
                <w:szCs w:val="24"/>
                <w:highlight w:val="none"/>
              </w:rPr>
              <w:t>承 包 人：（盖章）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tcPr>
          <w:p>
            <w:pPr>
              <w:pStyle w:val="2"/>
              <w:rPr>
                <w:rFonts w:hint="eastAsia"/>
                <w:color w:val="auto"/>
                <w:highlight w:val="none"/>
                <w:vertAlign w:val="baseline"/>
              </w:rPr>
            </w:pPr>
            <w:r>
              <w:rPr>
                <w:rFonts w:hint="eastAsia" w:ascii="仿宋_GB2312" w:hAnsi="仿宋_GB2312" w:eastAsia="仿宋_GB2312" w:cs="仿宋_GB2312"/>
                <w:color w:val="auto"/>
                <w:sz w:val="24"/>
                <w:szCs w:val="24"/>
                <w:highlight w:val="none"/>
              </w:rPr>
              <w:t>法定代表人</w:t>
            </w:r>
            <w:r>
              <w:rPr>
                <w:rFonts w:hint="eastAsia" w:ascii="仿宋_GB2312" w:hAnsi="仿宋_GB2312" w:eastAsia="仿宋_GB2312" w:cs="仿宋_GB2312"/>
                <w:color w:val="auto"/>
                <w:sz w:val="24"/>
                <w:szCs w:val="24"/>
                <w:highlight w:val="none"/>
                <w:lang w:val="en-US" w:eastAsia="zh-CN"/>
              </w:rPr>
              <w:t>或</w:t>
            </w:r>
            <w:r>
              <w:rPr>
                <w:rFonts w:hint="eastAsia" w:ascii="仿宋_GB2312" w:hAnsi="仿宋_GB2312" w:eastAsia="仿宋_GB2312" w:cs="仿宋_GB2312"/>
                <w:color w:val="auto"/>
                <w:sz w:val="24"/>
                <w:szCs w:val="24"/>
                <w:highlight w:val="none"/>
              </w:rPr>
              <w:t>委托代理人：（签字）</w:t>
            </w:r>
          </w:p>
        </w:tc>
        <w:tc>
          <w:tcPr>
            <w:tcW w:w="4261" w:type="dxa"/>
          </w:tcPr>
          <w:p>
            <w:pPr>
              <w:pStyle w:val="2"/>
              <w:rPr>
                <w:rFonts w:hint="eastAsia"/>
                <w:color w:val="auto"/>
                <w:highlight w:val="none"/>
                <w:vertAlign w:val="baseline"/>
              </w:rPr>
            </w:pPr>
            <w:r>
              <w:rPr>
                <w:rFonts w:hint="eastAsia" w:ascii="仿宋_GB2312" w:hAnsi="仿宋_GB2312" w:eastAsia="仿宋_GB2312" w:cs="仿宋_GB2312"/>
                <w:color w:val="auto"/>
                <w:sz w:val="24"/>
                <w:szCs w:val="24"/>
                <w:highlight w:val="none"/>
              </w:rPr>
              <w:t>法定代表人</w:t>
            </w:r>
            <w:r>
              <w:rPr>
                <w:rFonts w:hint="eastAsia" w:ascii="仿宋_GB2312" w:hAnsi="仿宋_GB2312" w:eastAsia="仿宋_GB2312" w:cs="仿宋_GB2312"/>
                <w:color w:val="auto"/>
                <w:sz w:val="24"/>
                <w:szCs w:val="24"/>
                <w:highlight w:val="none"/>
                <w:lang w:val="en-US" w:eastAsia="zh-CN"/>
              </w:rPr>
              <w:t>或</w:t>
            </w:r>
            <w:r>
              <w:rPr>
                <w:rFonts w:hint="eastAsia" w:ascii="仿宋_GB2312" w:hAnsi="仿宋_GB2312" w:eastAsia="仿宋_GB2312" w:cs="仿宋_GB2312"/>
                <w:color w:val="auto"/>
                <w:sz w:val="24"/>
                <w:szCs w:val="24"/>
                <w:highlight w:val="none"/>
              </w:rPr>
              <w:t>委托代理人：（签字）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tcPr>
          <w:p>
            <w:pPr>
              <w:pStyle w:val="2"/>
              <w:rPr>
                <w:rFonts w:hint="eastAsia"/>
                <w:color w:val="auto"/>
                <w:highlight w:val="none"/>
                <w:vertAlign w:val="baseline"/>
              </w:rPr>
            </w:pPr>
            <w:r>
              <w:rPr>
                <w:rFonts w:hint="eastAsia" w:ascii="仿宋_GB2312" w:hAnsi="仿宋_GB2312" w:eastAsia="仿宋_GB2312" w:cs="仿宋_GB2312"/>
                <w:color w:val="auto"/>
                <w:sz w:val="24"/>
                <w:szCs w:val="24"/>
                <w:highlight w:val="none"/>
              </w:rPr>
              <w:t>联系电话：</w:t>
            </w:r>
          </w:p>
        </w:tc>
        <w:tc>
          <w:tcPr>
            <w:tcW w:w="4261" w:type="dxa"/>
          </w:tcPr>
          <w:p>
            <w:pPr>
              <w:pStyle w:val="2"/>
              <w:rPr>
                <w:rFonts w:hint="eastAsia"/>
                <w:color w:val="auto"/>
                <w:highlight w:val="none"/>
                <w:vertAlign w:val="baseline"/>
              </w:rPr>
            </w:pPr>
            <w:r>
              <w:rPr>
                <w:rFonts w:hint="eastAsia" w:ascii="仿宋_GB2312" w:hAnsi="仿宋_GB2312" w:eastAsia="仿宋_GB2312" w:cs="仿宋_GB2312"/>
                <w:color w:val="auto"/>
                <w:sz w:val="24"/>
                <w:szCs w:val="24"/>
                <w:highlight w:val="none"/>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tcPr>
          <w:p>
            <w:pPr>
              <w:pStyle w:val="2"/>
              <w:rPr>
                <w:rFonts w:hint="eastAsia"/>
                <w:color w:val="auto"/>
                <w:highlight w:val="none"/>
                <w:vertAlign w:val="baseline"/>
              </w:rPr>
            </w:pPr>
          </w:p>
        </w:tc>
        <w:tc>
          <w:tcPr>
            <w:tcW w:w="4261" w:type="dxa"/>
          </w:tcPr>
          <w:p>
            <w:pPr>
              <w:pStyle w:val="2"/>
              <w:rPr>
                <w:rFonts w:hint="eastAsia"/>
                <w:color w:val="auto"/>
                <w:highlight w:val="none"/>
                <w:vertAlign w:val="baseline"/>
              </w:rPr>
            </w:pPr>
          </w:p>
        </w:tc>
      </w:tr>
      <w:permEnd w:id="433"/>
    </w:tbl>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p>
    <w:p>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pPr>
        <w:pStyle w:val="2"/>
        <w:rPr>
          <w:rFonts w:hint="eastAsia"/>
          <w:color w:val="auto"/>
          <w:highlight w:val="none"/>
        </w:rPr>
      </w:pPr>
    </w:p>
    <w:p>
      <w:pPr>
        <w:spacing w:line="420" w:lineRule="exact"/>
        <w:rPr>
          <w:rFonts w:ascii="宋体" w:hAnsi="宋体" w:cs="宋体"/>
          <w:color w:val="auto"/>
          <w:sz w:val="22"/>
          <w:szCs w:val="22"/>
          <w:highlight w:val="none"/>
        </w:rPr>
      </w:pPr>
    </w:p>
    <w:p>
      <w:pPr>
        <w:spacing w:line="460" w:lineRule="exact"/>
        <w:jc w:val="left"/>
        <w:rPr>
          <w:rFonts w:hint="eastAsia" w:ascii="宋体" w:hAnsi="宋体" w:eastAsia="黑体" w:cs="宋体"/>
          <w:color w:val="auto"/>
          <w:kern w:val="0"/>
          <w:sz w:val="22"/>
          <w:szCs w:val="22"/>
          <w:highlight w:val="none"/>
          <w:lang w:val="en-US" w:eastAsia="zh-CN"/>
        </w:rPr>
      </w:pPr>
      <w:r>
        <w:rPr>
          <w:rFonts w:hint="eastAsia" w:ascii="宋体" w:hAnsi="宋体" w:cs="宋体"/>
          <w:color w:val="auto"/>
          <w:kern w:val="0"/>
          <w:sz w:val="22"/>
          <w:szCs w:val="22"/>
          <w:highlight w:val="none"/>
        </w:rPr>
        <w:br w:type="page"/>
      </w:r>
      <w:permStart w:id="434" w:edGrp="everyone"/>
      <w:bookmarkStart w:id="736" w:name="_Toc469384142"/>
      <w:bookmarkStart w:id="737" w:name="_Toc266892926"/>
      <w:bookmarkStart w:id="738" w:name="_Toc10624986"/>
      <w:r>
        <w:rPr>
          <w:rFonts w:hint="eastAsia" w:ascii="黑体" w:hAnsi="黑体" w:eastAsia="黑体" w:cs="黑体"/>
          <w:b w:val="0"/>
          <w:bCs w:val="0"/>
          <w:color w:val="auto"/>
          <w:kern w:val="0"/>
          <w:sz w:val="22"/>
          <w:szCs w:val="22"/>
          <w:highlight w:val="none"/>
        </w:rPr>
        <w:t>附件</w:t>
      </w:r>
      <w:r>
        <w:rPr>
          <w:rFonts w:hint="eastAsia" w:ascii="黑体" w:hAnsi="黑体" w:eastAsia="黑体" w:cs="黑体"/>
          <w:b w:val="0"/>
          <w:bCs w:val="0"/>
          <w:color w:val="auto"/>
          <w:kern w:val="0"/>
          <w:sz w:val="22"/>
          <w:szCs w:val="22"/>
          <w:highlight w:val="none"/>
          <w:lang w:val="en-US" w:eastAsia="zh-CN"/>
        </w:rPr>
        <w:t>5</w:t>
      </w:r>
    </w:p>
    <w:p>
      <w:pPr>
        <w:spacing w:line="460" w:lineRule="exact"/>
        <w:jc w:val="righ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【标准文本】合同-SG-202111</w:t>
      </w:r>
    </w:p>
    <w:p>
      <w:pPr>
        <w:spacing w:line="460" w:lineRule="exact"/>
        <w:jc w:val="center"/>
        <w:rPr>
          <w:rFonts w:ascii="宋体" w:hAnsi="宋体" w:cs="宋体"/>
          <w:color w:val="auto"/>
          <w:kern w:val="0"/>
          <w:sz w:val="22"/>
          <w:szCs w:val="22"/>
          <w:highlight w:val="none"/>
        </w:rPr>
      </w:pPr>
    </w:p>
    <w:p>
      <w:pPr>
        <w:spacing w:line="460" w:lineRule="exact"/>
        <w:jc w:val="center"/>
        <w:rPr>
          <w:rFonts w:hint="eastAsia" w:ascii="方正小标宋简体" w:hAnsi="方正小标宋简体" w:eastAsia="方正小标宋简体" w:cs="方正小标宋简体"/>
          <w:b w:val="0"/>
          <w:bCs w:val="0"/>
          <w:color w:val="auto"/>
          <w:kern w:val="0"/>
          <w:sz w:val="32"/>
          <w:szCs w:val="32"/>
          <w:highlight w:val="none"/>
        </w:rPr>
      </w:pPr>
      <w:r>
        <w:rPr>
          <w:rFonts w:hint="eastAsia" w:ascii="方正小标宋简体" w:hAnsi="方正小标宋简体" w:eastAsia="方正小标宋简体" w:cs="方正小标宋简体"/>
          <w:b w:val="0"/>
          <w:bCs w:val="0"/>
          <w:color w:val="auto"/>
          <w:kern w:val="0"/>
          <w:sz w:val="32"/>
          <w:szCs w:val="32"/>
          <w:highlight w:val="none"/>
        </w:rPr>
        <w:t>工程安全生产、质量文明施工协议书</w:t>
      </w:r>
    </w:p>
    <w:p>
      <w:pPr>
        <w:spacing w:line="460" w:lineRule="exact"/>
        <w:jc w:val="center"/>
        <w:rPr>
          <w:rFonts w:hint="eastAsia" w:ascii="仿宋_GB2312" w:hAnsi="仿宋_GB2312" w:eastAsia="仿宋_GB2312" w:cs="仿宋_GB2312"/>
          <w:color w:val="auto"/>
          <w:sz w:val="24"/>
          <w:szCs w:val="24"/>
          <w:highlight w:val="none"/>
        </w:rPr>
      </w:pPr>
      <w:r>
        <w:rPr>
          <w:rFonts w:hint="eastAsia" w:ascii="宋体" w:hAnsi="宋体" w:cs="宋体"/>
          <w:bCs/>
          <w:color w:val="auto"/>
          <w:sz w:val="22"/>
          <w:szCs w:val="22"/>
          <w:highlight w:val="none"/>
        </w:rPr>
        <w:t>（</w:t>
      </w:r>
      <w:r>
        <w:rPr>
          <w:rFonts w:hint="eastAsia" w:ascii="仿宋_GB2312" w:hAnsi="仿宋_GB2312" w:eastAsia="仿宋_GB2312" w:cs="仿宋_GB2312"/>
          <w:bCs/>
          <w:color w:val="auto"/>
          <w:sz w:val="24"/>
          <w:szCs w:val="24"/>
          <w:highlight w:val="none"/>
        </w:rPr>
        <w:t>适用于大型工程项目）</w:t>
      </w:r>
    </w:p>
    <w:p>
      <w:pPr>
        <w:spacing w:line="460" w:lineRule="exact"/>
        <w:ind w:firstLine="482" w:firstLineChars="200"/>
        <w:rPr>
          <w:rFonts w:hint="default" w:ascii="仿宋_GB2312" w:hAnsi="仿宋_GB2312" w:eastAsia="仿宋_GB2312" w:cs="仿宋_GB2312"/>
          <w:b/>
          <w:color w:val="auto"/>
          <w:sz w:val="24"/>
          <w:szCs w:val="24"/>
          <w:highlight w:val="none"/>
          <w:u w:val="single"/>
          <w:lang w:val="en-US" w:eastAsia="zh-CN"/>
        </w:rPr>
      </w:pPr>
      <w:r>
        <w:rPr>
          <w:rFonts w:hint="eastAsia" w:ascii="仿宋_GB2312" w:hAnsi="仿宋_GB2312" w:eastAsia="仿宋_GB2312" w:cs="仿宋_GB2312"/>
          <w:b/>
          <w:color w:val="auto"/>
          <w:sz w:val="24"/>
          <w:szCs w:val="24"/>
          <w:highlight w:val="none"/>
        </w:rPr>
        <w:t>发包人：</w:t>
      </w:r>
      <w:r>
        <w:rPr>
          <w:rFonts w:hint="eastAsia" w:ascii="仿宋_GB2312" w:hAnsi="仿宋_GB2312" w:eastAsia="仿宋_GB2312" w:cs="仿宋_GB2312"/>
          <w:b/>
          <w:color w:val="auto"/>
          <w:sz w:val="24"/>
          <w:szCs w:val="24"/>
          <w:highlight w:val="none"/>
          <w:lang w:val="en-US" w:eastAsia="zh-CN"/>
        </w:rPr>
        <w:t xml:space="preserve">                    </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 xml:space="preserve">承包人：                    </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 xml:space="preserve">工程名称：                         </w:t>
      </w:r>
    </w:p>
    <w:p>
      <w:pPr>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为贯彻“安全第一，预防为主，综合治理”“百年大计，质量第一”的方针，努力提高工程安全质量管理水平，根据《中华人民共和国安全生产法》，结合本工程具体情况，为确保该工程的施工安全，双方协商一致，特制定本协议书。 </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b/>
          <w:bCs/>
          <w:color w:val="auto"/>
          <w:sz w:val="24"/>
          <w:szCs w:val="24"/>
          <w:highlight w:val="none"/>
        </w:rPr>
        <w:t>一、发包人的责任、权利和义务</w:t>
      </w:r>
      <w:r>
        <w:rPr>
          <w:rFonts w:hint="eastAsia" w:ascii="仿宋_GB2312" w:hAnsi="仿宋_GB2312" w:eastAsia="仿宋_GB2312" w:cs="仿宋_GB2312"/>
          <w:b/>
          <w:bCs/>
          <w:color w:val="auto"/>
          <w:sz w:val="24"/>
          <w:szCs w:val="24"/>
          <w:highlight w:val="none"/>
        </w:rPr>
        <w:br w:type="textWrapping"/>
      </w:r>
      <w:r>
        <w:rPr>
          <w:rFonts w:hint="eastAsia" w:ascii="仿宋_GB2312" w:hAnsi="仿宋_GB2312" w:eastAsia="仿宋_GB2312" w:cs="仿宋_GB2312"/>
          <w:color w:val="auto"/>
          <w:sz w:val="24"/>
          <w:szCs w:val="24"/>
          <w:highlight w:val="none"/>
        </w:rPr>
        <w:t xml:space="preserve">    （一）贯彻执行国家和地方有关安全生产、文明施工、法律法规，支持和监督承包人依法履行安全生产工作。</w:t>
      </w:r>
    </w:p>
    <w:p>
      <w:pPr>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（二）定期或不定期组织检查承包人安全生产、文明施工状况，提出对存在隐患的整改措施，对存在的重大安全隐患或承包人对一般隐患整改不力，发包人有权责令承包人停工整改，直至隐患排除。</w:t>
      </w:r>
    </w:p>
    <w:p>
      <w:pPr>
        <w:tabs>
          <w:tab w:val="left" w:pos="709"/>
          <w:tab w:val="left" w:pos="8505"/>
        </w:tabs>
        <w:spacing w:line="460" w:lineRule="exact"/>
        <w:ind w:firstLine="482" w:firstLineChars="200"/>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二、承包人的责任、权利和义务</w:t>
      </w:r>
    </w:p>
    <w:p>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（一）承包人应当具备《安全生产法》和有关</w:t>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"http://www.govyi.com/html/gongwenxiezuo/gongjianfa/Index.shtml"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法律</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t>、行政法规和国家标准规定的安全生产条件，不具备安全条件的不得进行施工作业。</w:t>
      </w:r>
    </w:p>
    <w:p>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（二）严格执行《国家和地方有关安全生产、文明施工法律法规》，并接受发包人和政府相关部门的检查考核。</w:t>
      </w:r>
    </w:p>
    <w:p>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（三）承包人应进一步建立、健全本工程安全生产管理架构和安全生产责任制，制定和完善各项安全生产</w:t>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"http://www.govyi.com/html/gongwenxiezuo/guanlizhidu/Index.shtml"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规章</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"http://www.govyi.com/html/gongwenxiezuo/guanlizhidu/Index.shtml"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制度</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t>和操作规程，落实施工安全责任。</w:t>
      </w:r>
    </w:p>
    <w:p>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承包人应当按照《安全生产法》规定建立安全风险分级管控制度，针对所承建工程可能发生的生产安全事故的特点和危害，自行组织或委托第三方服务机构、专家进行风险评估，全面开展危险源辨识和风险评价，落实安全风险管控措施，做好安全风险管控各项工作；建立健全并落实生产安全事故隐患排查治理制度，采取技术、管理措施，及时发现并消除事故隐患。</w:t>
      </w:r>
    </w:p>
    <w:p>
      <w:p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监理方或第三方安全监督机构将全面排查安全隐患，督促、检查本工程的安全生产工作，检查时发现的隐患问题，承包人必须在规定的时限内整改完毕，无条件服从发包人、监理方或第三方安全监督机构的整改指令，对于隐患整改不及时，现场管理未到位或反复出现同性质的整改问题的，发包人将严格按合同约定进行违约处罚，同时报送行政主管部门进行通报批评和诚信扣分。</w:t>
      </w:r>
    </w:p>
    <w:p>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（五）承包人必须建立和健全事故应急救援机制，根据本工程项目特点，制订事故应急救援预案并开展演练，告知从业人员和相关人员在紧急情况下应当采取的应急措施。</w:t>
      </w:r>
    </w:p>
    <w:p>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（六）保证对具备安全生产条件所必需资金的投入，并对由于安全生产所必须的资金投入不足而导致的后果承担全部责任。</w:t>
      </w:r>
    </w:p>
    <w:p>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（七）承包人按照国家规定配备专职或兼职的安全管理人员。</w:t>
      </w:r>
    </w:p>
    <w:p>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（八）承包人主要负责人和安全生产管理人员必须具备与本工程项目相适应的安全生产知识和管理能力，并经专门培训考核合格后方可上岗。</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九）根据《安全生产法》的规定，承包人务必加大从业人员的安全教育，确保全体施工人员均参加安全教育培训，保证从业人员具备安全生产知识，熟悉安全生产规章制度和安全操作规程，掌握本岗位的安全操作技能，未经安全生产教育培训合格的人员不得上岗作业。培训时承包人应通知监理方到场指导、见证，培训结束后2个工作日内，承包人应将安全教育的方案、培训时的签到表、培训现场照片等相关资料，报监理方和发包人备案。</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特种作业人员必须按照国家有关规定经专门的安全作业培训，取得相应资格，方可上岗作业。特种作业人员的范围由国务院应急管理部门会同国务院有关部门确定，特种作业大致包括：电工作业、焊接与热切割作业、高处作业、制冷与空调作业、危险化学品安全作业等。</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承包人按照国家有关规定配备特种设备安全管理人员和作业人员，并对其进行必要的安全教育和技能培训。承包人需提供特种作业人员花名册、操作证复印件和培训记录。</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（十一）施工人员进场作业时，承包人应对其进行安全教育培训及安全技术交底，没有进行安全教育或进场施工人员与安全交底时签署的人员姓名不一致时，一律禁止该作业人员进场施工。</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十二）发包人有权不定期监督或检查现场施工人员的安全教育培训情况，对现场施工人员进行安全保护知识、岗位技能知识的抽查。如发现现场施工人员未经安全教育培训或安全教育培训不合格，将责令承包人在2个工作日内再次组织现场施工人员进行安全教育培训。 </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（十三）对有较大危险因素的作业场所和有关设施、设备要设置明显的安全警示标志及其相应的安全防护措施。</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（十四）承包人应对员工配备相应劳动防护用品，施工负责人和安全检查员应随时检查劳动防护用品的穿戴情况，不按规定穿戴防护用品的人员不得上岗。</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（十五）发包人和安全生产监督管理部门进行安全监督检查时，承包人要主动接受检查，并积极配合，不得拒绝、阻挠和拖延，并在检查记录上签字确认。</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（十六）定期召开安全文明生产会议，自查自纠不安全因素及隐患，保证工程顺利进行，会议记录上报发包人备案。</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（十七）用电必须符合《施工现场临时用电安全技术规范》的要求。</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（十八）工程安全管理架构、审核(或专家评审)通过后施工方案、事故应急抢险预案等资料要工程施工前报发包人备案。</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（十九）施工人员要严格遵守发包人出入生产场所的管理规定，未经许可，严禁闯入。</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（二十）施工过程中遇不明的地下设施时，必须报发包人人员鉴别后，才能继续施工。</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（二十一）在工程建设过程中，对检查出的违法、违规、违章行为，将按合同相关条款扣罚违约责任金，承包人承担因承包人的原因造成的法律责任和经济责任。</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二）严格执行《生产安全事故报告和调查处理条例》。如承包人发生生产安全事故时，必须立即向发包人和政府有关部门报告，并启动事故应急救援预案，全力抢救伤员，保护事故现场。如因施救伤员必须移动现场设备、设施时，要做好记录和拍照，不得破坏事故现场。并做好善后工作，积极配合相关部门做好事故调整及取证。并负责工伤统计、安全事故指标及处理费用，发包人视事故程度，提供必要的协助。</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（二十三）承包人不得将工程项目层层转包，专业分包必须具备相应的资质及安全生产条件。</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（二十四）承包人根据工程项目的施工特点，编制各项安全技术方案，完善方案审批手续，并在施工过程中严格执行。</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（二十五）承包人务须加强按系数计算的绿色施工安全防护措施费的使用与管理，确保各标段按系数计算的绿色施工安全防护措施费“专款专用”，建立健全</w:t>
      </w:r>
      <w:r>
        <w:rPr>
          <w:rFonts w:ascii="仿宋_GB2312" w:hAnsi="仿宋_GB2312" w:eastAsia="仿宋_GB2312" w:cs="仿宋_GB2312"/>
          <w:color w:val="auto"/>
          <w:sz w:val="24"/>
          <w:szCs w:val="24"/>
          <w:highlight w:val="none"/>
        </w:rPr>
        <w:t>按系数计算的绿色施工安全防护措施费</w:t>
      </w:r>
      <w:r>
        <w:rPr>
          <w:rFonts w:hint="eastAsia" w:ascii="仿宋_GB2312" w:hAnsi="仿宋_GB2312" w:eastAsia="仿宋_GB2312" w:cs="仿宋_GB2312"/>
          <w:color w:val="auto"/>
          <w:sz w:val="24"/>
          <w:szCs w:val="24"/>
          <w:highlight w:val="none"/>
        </w:rPr>
        <w:t>使用台账，按月度报监理方审核，报发包人备案。</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六）发包人有权不定期监督或检查承包人的按系数计算的绿色施工安全防护措施费的投入情况，对承包人的按系数计算的绿色施工安全防护措施费的使用台账进行检查。如发现承包人的按系数计算的绿色施工安全防护措施费未按规定投入，将责令承包人立即对按系数计算的绿色施工安全防护措施费的使用与管理工作进行整改。</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七）进场的特种设备应当符合我国安全技术规范的要求，并经检验合格，具有专业资质的检测、检验单位出具的安全技术检验证明，否则，不得投入使用。承包人应建立特种设备安全技术档案。安全技术档案应当包括以下内容：1、特种设备的设计文件、产品质量合格证明、安装及使用维护保养说明、监督检验证明等相关技术资料和文件；2、特种设备的定期检验和定期自行检查记录；3、特种设备的日常使用状况记录；4、特种设备及其附属仪器仪表的维护保养记录；5、特种设备的运行故障和事故记录。</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八）禁止使用国家明令淘汰和已经报废的特种设备。承包人对其使用的特种设备进行经常性维护保养和定期自行检查，并作出记录。承包人对其使用的特种设备的安全附件、安全保护装置进行定期校验、检修，并作出记录。对于达不到安全要求又不能修复的特种设备必须停用，撤离施工现场。</w:t>
      </w:r>
    </w:p>
    <w:p>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（二十九）必须为进场人员购买工伤保险，必须向发包人提供购买工伤保险情况的材料。</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（三十）承包人应按照《广东省住房和城乡建设厅关于印发&lt;房屋市政工程施工安全日志(范本)&gt;的通知》（粤建质[2023]94号）的要求，规范填写《安全日志》。</w:t>
      </w:r>
    </w:p>
    <w:p>
      <w:pPr>
        <w:spacing w:line="46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三、违约责任</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承包人必须保证发包人免于受到或承担应由承包人负责的因未按规定做好安全文明施工所引起的或与之有关的索赔、诉讼、行政处罚以及其他费用的开支；若因承包人未按规定做好安全文明施工牵连发包人受到行政处罚或对发包人造成严重社会影响的，由承包人承担全部的经济和法律责任。</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（二）承包人出现以下情形时，发包人有权按规定进行处罚：</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承包人在上级行政主管部门组织的质量安全或文明施工检查中，被发现存在安全隐患，或施工场地被评为不合格工地，或被通报批评，或被新闻媒体曝光造成不良影响的，承包人应立即采取切实有效措施予以整改，并承担违约责任，向发包人支付每次人民币伍万元整（¥50000.00元/次）的违约金，由发包人在当期应付的工程进度款内直接扣除。</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从业人员未按照使用规则正确佩戴、使用劳动防护用品，发现立即处罚，例如安全帽（100元/人.次）、安全带（200元/人.次）、防疫口罩（50元/人.次）、电工焊工绝缘手套（100元/人.次）、电工焊工绝缘鞋（200元/人.次）等。</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承包人在建设过程中须严格按要求落实安全文明施工管理措施，若因承包人工作管理不到位造成被发包人上级管理单位（如：市水投集团、水务质监站等）在检查中发现较大问题，导致发包人被通报批评、考核扣分，相关责任人员被扣罚的，发包人可对承包人连带扣罚。</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承包人应立即采取切实有效措施予以整改，并承担违约责任，向发包人支付相应金额的处罚金，由发包人在当期应付的工程进度款内直接扣除。对承包人拒不采取切实有效的措施整改的，或整改效果不明显的，或造成严重社会影响，或被检查两次（含本数）仍不合格而被通报或被曝光的，发包人有权解除部分或全部合同，并追究承包人的违约赔偿责任，发包人全部解除合同后可将本工程另行发包。</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发包人或监理方在日常检查中发现承包人存在安全隐患、违章行为、文明施工措施未落实或管理不到位现象的，由发包人或监理方及时发出书面整改通知书，承包人应立即采取切实有效措施，在整改期限内予以整改，发包人或监理方复检时发现仍未整改或整改不及格的，承包人除无条件进行整改外，发包人可按实际情况给予1000元/项次的处罚，由发包人在当期应付给承包人的工程进度款内直接扣除。</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承包人在发包人或政府行政主管部门组织的质量安全或文明施工检查中，被发现现场施工人员的安全意识薄弱或安全防护知识严重不足的，承包人须向发包人支付每次人民币伍万元整（¥50000.00元/次）的违约金（由发包人在当期应付的工程进度款内直接扣除）外，还应采取以下整改措施：</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对第一次经查问，安全意识薄弱或安全防护知识严重不足的施工人员进行安全教育培训；第二次抽查时，如发现同一施工人员仍存在安全意识薄弱或安全防护知识严重不足的，应立即暂停其作业并再次进行安全教育培训；如同一施工人员被抽查3次及以上，均存在安全意识薄弱或安全防护知识严重不足的，承包人应立即将该施工人员撤离施工现场，并进行人员撤换。</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2.对承包人拒不采取切实有效的措施整改的，发包人有权解除部分或全部合同，并追究承包人的违约赔偿责任，发包人全部解除合同后可将本工程另行发包。</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（五）承包人因自身原因造成的安全事故（含工程质量事故），按国家规定由相关主管部门处罚，发包人视情况严重性，有权解除部分或全部合同，按施工合同专用条款中关于合同解除的规定执行。</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（六）发包人有权不定期监督或检查承包人的</w:t>
      </w:r>
      <w:r>
        <w:rPr>
          <w:rFonts w:hint="eastAsia" w:ascii="仿宋_GB2312" w:hAnsi="仿宋_GB2312" w:eastAsia="仿宋_GB2312" w:cs="仿宋_GB2312"/>
          <w:strike w:val="0"/>
          <w:color w:val="auto"/>
          <w:sz w:val="24"/>
          <w:szCs w:val="24"/>
          <w:highlight w:val="none"/>
          <w:lang w:val="en-US" w:eastAsia="zh-CN"/>
        </w:rPr>
        <w:t>按系数计算的绿色施工安全防护措施费</w:t>
      </w:r>
      <w:r>
        <w:rPr>
          <w:rFonts w:hint="eastAsia" w:ascii="仿宋_GB2312" w:hAnsi="仿宋_GB2312" w:eastAsia="仿宋_GB2312" w:cs="仿宋_GB2312"/>
          <w:color w:val="auto"/>
          <w:sz w:val="24"/>
          <w:szCs w:val="24"/>
          <w:highlight w:val="none"/>
        </w:rPr>
        <w:t>的投入情况，发现承包人的</w:t>
      </w:r>
      <w:r>
        <w:rPr>
          <w:rFonts w:hint="eastAsia" w:ascii="仿宋_GB2312" w:hAnsi="仿宋_GB2312" w:eastAsia="仿宋_GB2312" w:cs="仿宋_GB2312"/>
          <w:strike w:val="0"/>
          <w:color w:val="auto"/>
          <w:sz w:val="24"/>
          <w:szCs w:val="24"/>
          <w:highlight w:val="none"/>
          <w:lang w:val="en-US" w:eastAsia="zh-CN"/>
        </w:rPr>
        <w:t>按系数计算的绿色施工安全防护措施费</w:t>
      </w:r>
      <w:r>
        <w:rPr>
          <w:rFonts w:hint="eastAsia" w:ascii="仿宋_GB2312" w:hAnsi="仿宋_GB2312" w:eastAsia="仿宋_GB2312" w:cs="仿宋_GB2312"/>
          <w:color w:val="auto"/>
          <w:sz w:val="24"/>
          <w:szCs w:val="24"/>
          <w:highlight w:val="none"/>
        </w:rPr>
        <w:t>未按规定投入，承包人应立即采取切实有效措施予以整改，并承担违约责任，向发包人支付每次人民币伍万元整（¥50000.00元/次）的违约金，由发包人在当期应付的工程进度款内直接扣除。</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四、本协议双方签字盖章生效，具有与施工合同同等法律效力，工程竣工验收后失效。未尽事宜，双方协商解决。</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                           承包人：</w:t>
      </w:r>
    </w:p>
    <w:p>
      <w:pPr>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盖章</w:t>
      </w:r>
      <w:r>
        <w:rPr>
          <w:rFonts w:hint="eastAsia" w:ascii="仿宋_GB2312" w:hAnsi="仿宋_GB2312" w:eastAsia="仿宋_GB2312" w:cs="仿宋_GB2312"/>
          <w:color w:val="auto"/>
          <w:sz w:val="24"/>
          <w:szCs w:val="24"/>
          <w:highlight w:val="none"/>
        </w:rPr>
        <w:t>）                           （</w:t>
      </w:r>
      <w:r>
        <w:rPr>
          <w:rFonts w:hint="eastAsia" w:ascii="仿宋_GB2312" w:hAnsi="仿宋_GB2312" w:eastAsia="仿宋_GB2312" w:cs="仿宋_GB2312"/>
          <w:color w:val="auto"/>
          <w:sz w:val="24"/>
          <w:szCs w:val="24"/>
          <w:highlight w:val="none"/>
          <w:lang w:val="en-US" w:eastAsia="zh-CN"/>
        </w:rPr>
        <w:t>盖章</w:t>
      </w:r>
      <w:r>
        <w:rPr>
          <w:rFonts w:hint="eastAsia" w:ascii="仿宋_GB2312" w:hAnsi="仿宋_GB2312" w:eastAsia="仿宋_GB2312" w:cs="仿宋_GB2312"/>
          <w:color w:val="auto"/>
          <w:sz w:val="24"/>
          <w:szCs w:val="24"/>
          <w:highlight w:val="none"/>
        </w:rPr>
        <w:t>）</w:t>
      </w:r>
    </w:p>
    <w:p>
      <w:pPr>
        <w:jc w:val="left"/>
        <w:rPr>
          <w:rFonts w:ascii="宋体" w:hAnsi="宋体" w:cs="宋体"/>
          <w:color w:val="auto"/>
          <w:sz w:val="22"/>
          <w:szCs w:val="22"/>
          <w:highlight w:val="none"/>
        </w:rPr>
      </w:pPr>
      <w:r>
        <w:rPr>
          <w:rFonts w:hint="eastAsia" w:ascii="宋体" w:hAnsi="宋体" w:cs="宋体"/>
          <w:color w:val="auto"/>
          <w:sz w:val="22"/>
          <w:szCs w:val="22"/>
          <w:highlight w:val="none"/>
        </w:rPr>
        <w:br w:type="page"/>
      </w:r>
    </w:p>
    <w:permEnd w:id="434"/>
    <w:p>
      <w:pPr>
        <w:rPr>
          <w:rFonts w:ascii="仿宋" w:hAnsi="仿宋" w:eastAsia="仿宋" w:cs="Calibri"/>
          <w:color w:val="auto"/>
          <w:szCs w:val="24"/>
          <w:highlight w:val="none"/>
        </w:rPr>
      </w:pPr>
    </w:p>
    <w:p>
      <w:pPr>
        <w:spacing w:line="420" w:lineRule="exact"/>
        <w:outlineLvl w:val="1"/>
        <w:rPr>
          <w:rFonts w:hint="eastAsia" w:ascii="黑体" w:hAnsi="黑体" w:eastAsia="黑体" w:cs="黑体"/>
          <w:b w:val="0"/>
          <w:bCs w:val="0"/>
          <w:color w:val="auto"/>
          <w:sz w:val="24"/>
          <w:szCs w:val="24"/>
          <w:highlight w:val="none"/>
          <w:lang w:val="en-US" w:eastAsia="zh-CN"/>
        </w:rPr>
      </w:pPr>
      <w:permStart w:id="435" w:edGrp="everyone"/>
      <w:r>
        <w:rPr>
          <w:rFonts w:hint="eastAsia" w:ascii="黑体" w:hAnsi="黑体" w:eastAsia="黑体" w:cs="黑体"/>
          <w:b w:val="0"/>
          <w:bCs w:val="0"/>
          <w:color w:val="auto"/>
          <w:sz w:val="24"/>
          <w:szCs w:val="24"/>
          <w:highlight w:val="none"/>
        </w:rPr>
        <w:t>附件</w:t>
      </w:r>
      <w:bookmarkEnd w:id="736"/>
      <w:bookmarkEnd w:id="737"/>
      <w:bookmarkEnd w:id="738"/>
      <w:r>
        <w:rPr>
          <w:rFonts w:hint="eastAsia" w:ascii="黑体" w:hAnsi="黑体" w:eastAsia="黑体" w:cs="黑体"/>
          <w:b w:val="0"/>
          <w:bCs w:val="0"/>
          <w:color w:val="auto"/>
          <w:sz w:val="24"/>
          <w:szCs w:val="24"/>
          <w:highlight w:val="none"/>
          <w:lang w:val="en-US" w:eastAsia="zh-CN"/>
        </w:rPr>
        <w:t>6</w:t>
      </w:r>
    </w:p>
    <w:permEnd w:id="435"/>
    <w:p>
      <w:pPr>
        <w:tabs>
          <w:tab w:val="left" w:pos="709"/>
        </w:tabs>
        <w:spacing w:line="560" w:lineRule="exact"/>
        <w:jc w:val="center"/>
        <w:rPr>
          <w:rFonts w:hint="eastAsia" w:ascii="方正小标宋简体" w:hAnsi="方正小标宋简体" w:eastAsia="方正小标宋简体" w:cs="方正小标宋简体"/>
          <w:b w:val="0"/>
          <w:bCs/>
          <w:color w:val="auto"/>
          <w:sz w:val="32"/>
          <w:szCs w:val="32"/>
          <w:highlight w:val="none"/>
        </w:rPr>
      </w:pPr>
      <w:r>
        <w:rPr>
          <w:rFonts w:hint="eastAsia" w:ascii="方正小标宋简体" w:hAnsi="方正小标宋简体" w:eastAsia="方正小标宋简体" w:cs="方正小标宋简体"/>
          <w:b w:val="0"/>
          <w:bCs/>
          <w:color w:val="auto"/>
          <w:sz w:val="32"/>
          <w:szCs w:val="32"/>
          <w:highlight w:val="none"/>
        </w:rPr>
        <w:t>廉洁责任书</w:t>
      </w:r>
    </w:p>
    <w:p>
      <w:pPr>
        <w:spacing w:line="5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（2023年修订版标准文本）</w:t>
      </w:r>
    </w:p>
    <w:p>
      <w:pPr>
        <w:spacing w:line="560" w:lineRule="exact"/>
        <w:rPr>
          <w:rFonts w:hint="eastAsia" w:ascii="仿宋_GB2312" w:hAnsi="仿宋_GB2312" w:eastAsia="仿宋_GB2312" w:cs="仿宋_GB2312"/>
          <w:b/>
          <w:bCs/>
          <w:color w:val="auto"/>
          <w:sz w:val="24"/>
          <w:szCs w:val="24"/>
          <w:highlight w:val="none"/>
          <w:u w:val="single"/>
        </w:rPr>
      </w:pPr>
      <w:r>
        <w:rPr>
          <w:rFonts w:hint="eastAsia" w:ascii="仿宋_GB2312" w:hAnsi="仿宋_GB2312" w:eastAsia="仿宋_GB2312" w:cs="仿宋_GB2312"/>
          <w:b/>
          <w:bCs/>
          <w:color w:val="auto"/>
          <w:sz w:val="24"/>
          <w:szCs w:val="24"/>
          <w:highlight w:val="none"/>
        </w:rPr>
        <w:t>发包人（甲方）：</w:t>
      </w:r>
      <w:permStart w:id="436" w:edGrp="everyone"/>
      <w:r>
        <w:rPr>
          <w:rFonts w:hint="eastAsia" w:ascii="仿宋_GB2312" w:hAnsi="仿宋_GB2312" w:eastAsia="仿宋_GB2312" w:cs="仿宋_GB2312"/>
          <w:b/>
          <w:bCs/>
          <w:color w:val="auto"/>
          <w:sz w:val="24"/>
          <w:szCs w:val="24"/>
          <w:highlight w:val="none"/>
          <w:u w:val="single"/>
        </w:rPr>
        <w:t xml:space="preserve">                    </w:t>
      </w:r>
      <w:permEnd w:id="436"/>
    </w:p>
    <w:p>
      <w:pPr>
        <w:tabs>
          <w:tab w:val="left" w:pos="709"/>
        </w:tabs>
        <w:spacing w:line="560" w:lineRule="exac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承包人（乙方）：</w:t>
      </w:r>
      <w:permStart w:id="437" w:edGrp="everyone"/>
      <w:r>
        <w:rPr>
          <w:rFonts w:hint="eastAsia" w:ascii="仿宋_GB2312" w:hAnsi="仿宋_GB2312" w:eastAsia="仿宋_GB2312" w:cs="仿宋_GB2312"/>
          <w:b/>
          <w:bCs/>
          <w:color w:val="auto"/>
          <w:sz w:val="24"/>
          <w:szCs w:val="24"/>
          <w:highlight w:val="none"/>
          <w:u w:val="single"/>
        </w:rPr>
        <w:t xml:space="preserve">                    </w:t>
      </w:r>
      <w:permEnd w:id="437"/>
    </w:p>
    <w:p>
      <w:pPr>
        <w:tabs>
          <w:tab w:val="left" w:pos="709"/>
        </w:tabs>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为加强廉洁建设，防止主合同履约过程中发生各种谋取不正当利益的违法违纪行为，甲、乙双方经共同协商，在双方签订的</w:t>
      </w:r>
      <w:permStart w:id="438" w:edGrp="everyone"/>
      <w:r>
        <w:rPr>
          <w:rFonts w:hint="eastAsia" w:ascii="仿宋_GB2312" w:hAnsi="仿宋_GB2312" w:eastAsia="仿宋_GB2312" w:cs="仿宋_GB2312"/>
          <w:color w:val="auto"/>
          <w:sz w:val="24"/>
          <w:szCs w:val="24"/>
          <w:highlight w:val="none"/>
          <w:u w:val="single"/>
        </w:rPr>
        <w:t xml:space="preserve">     </w:t>
      </w:r>
      <w:permEnd w:id="438"/>
      <w:r>
        <w:rPr>
          <w:rFonts w:hint="eastAsia" w:ascii="仿宋_GB2312" w:hAnsi="仿宋_GB2312" w:eastAsia="仿宋_GB2312" w:cs="仿宋_GB2312"/>
          <w:color w:val="auto"/>
          <w:sz w:val="24"/>
          <w:szCs w:val="24"/>
          <w:highlight w:val="none"/>
        </w:rPr>
        <w:t>项目（以下简称“本项目”）合同（合同编号：</w:t>
      </w:r>
      <w:permStart w:id="439" w:edGrp="everyone"/>
      <w:r>
        <w:rPr>
          <w:rFonts w:hint="eastAsia" w:ascii="仿宋_GB2312" w:hAnsi="仿宋_GB2312" w:eastAsia="仿宋_GB2312" w:cs="仿宋_GB2312"/>
          <w:color w:val="auto"/>
          <w:sz w:val="24"/>
          <w:szCs w:val="24"/>
          <w:highlight w:val="none"/>
          <w:u w:val="single"/>
        </w:rPr>
        <w:t xml:space="preserve">      </w:t>
      </w:r>
      <w:permEnd w:id="439"/>
      <w:r>
        <w:rPr>
          <w:rFonts w:hint="eastAsia" w:ascii="仿宋_GB2312" w:hAnsi="仿宋_GB2312" w:eastAsia="仿宋_GB2312" w:cs="仿宋_GB2312"/>
          <w:color w:val="auto"/>
          <w:sz w:val="24"/>
          <w:szCs w:val="24"/>
          <w:highlight w:val="none"/>
        </w:rPr>
        <w:t>，以下简称“主合同”）约定条款的基础上，根据国家有关法律法规和廉政建设的有关规定，特订立本廉洁责任书，以资共同遵守。</w:t>
      </w:r>
    </w:p>
    <w:p>
      <w:pPr>
        <w:spacing w:before="72" w:beforeLines="30" w:line="560" w:lineRule="exact"/>
        <w:ind w:firstLine="479" w:firstLineChars="19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一、双方的责任</w:t>
      </w:r>
    </w:p>
    <w:p>
      <w:pPr>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（一）严格遵守国家关于</w:t>
      </w:r>
      <w:permStart w:id="440" w:edGrp="everyone"/>
      <w:r>
        <w:rPr>
          <w:rFonts w:hint="eastAsia" w:ascii="仿宋_GB2312" w:hAnsi="仿宋_GB2312" w:eastAsia="仿宋_GB2312" w:cs="仿宋_GB2312"/>
          <w:color w:val="auto"/>
          <w:sz w:val="24"/>
          <w:szCs w:val="24"/>
          <w:highlight w:val="none"/>
        </w:rPr>
        <w:sym w:font="Wingdings 2" w:char="0052"/>
      </w:r>
      <w:permEnd w:id="440"/>
      <w:r>
        <w:rPr>
          <w:rFonts w:hint="eastAsia" w:ascii="仿宋_GB2312" w:hAnsi="仿宋_GB2312" w:eastAsia="仿宋_GB2312" w:cs="仿宋_GB2312"/>
          <w:color w:val="auto"/>
          <w:sz w:val="24"/>
          <w:szCs w:val="24"/>
          <w:highlight w:val="none"/>
          <w:u w:val="single"/>
        </w:rPr>
        <w:t>建设工程、</w:t>
      </w:r>
      <w:permStart w:id="441" w:edGrp="everyone"/>
      <w:r>
        <w:rPr>
          <w:rFonts w:hint="eastAsia" w:ascii="仿宋_GB2312" w:hAnsi="仿宋_GB2312" w:eastAsia="仿宋_GB2312" w:cs="仿宋_GB2312"/>
          <w:color w:val="auto"/>
          <w:kern w:val="0"/>
          <w:sz w:val="24"/>
          <w:szCs w:val="24"/>
          <w:highlight w:val="none"/>
        </w:rPr>
        <w:sym w:font="Wingdings 2" w:char="0051"/>
      </w:r>
      <w:permEnd w:id="441"/>
      <w:r>
        <w:rPr>
          <w:rFonts w:hint="eastAsia" w:ascii="仿宋_GB2312" w:hAnsi="仿宋_GB2312" w:eastAsia="仿宋_GB2312" w:cs="仿宋_GB2312"/>
          <w:color w:val="auto"/>
          <w:sz w:val="24"/>
          <w:szCs w:val="24"/>
          <w:highlight w:val="none"/>
          <w:u w:val="single"/>
        </w:rPr>
        <w:t>物资采购、</w:t>
      </w:r>
      <w:permStart w:id="442" w:edGrp="everyone"/>
      <w:r>
        <w:rPr>
          <w:rFonts w:hint="eastAsia" w:ascii="仿宋_GB2312" w:hAnsi="仿宋_GB2312" w:eastAsia="仿宋_GB2312" w:cs="仿宋_GB2312"/>
          <w:color w:val="auto"/>
          <w:kern w:val="0"/>
          <w:sz w:val="24"/>
          <w:szCs w:val="24"/>
          <w:highlight w:val="none"/>
        </w:rPr>
        <w:sym w:font="Wingdings 2" w:char="0051"/>
      </w:r>
      <w:permEnd w:id="442"/>
      <w:r>
        <w:rPr>
          <w:rFonts w:hint="eastAsia" w:ascii="仿宋_GB2312" w:hAnsi="仿宋_GB2312" w:eastAsia="仿宋_GB2312" w:cs="仿宋_GB2312"/>
          <w:color w:val="auto"/>
          <w:sz w:val="24"/>
          <w:szCs w:val="24"/>
          <w:highlight w:val="none"/>
          <w:u w:val="single"/>
        </w:rPr>
        <w:t>营运类服务</w:t>
      </w:r>
      <w:r>
        <w:rPr>
          <w:rFonts w:hint="eastAsia" w:ascii="仿宋_GB2312" w:hAnsi="仿宋_GB2312" w:eastAsia="仿宋_GB2312" w:cs="仿宋_GB2312"/>
          <w:color w:val="auto"/>
          <w:sz w:val="24"/>
          <w:szCs w:val="24"/>
          <w:highlight w:val="none"/>
        </w:rPr>
        <w:t>等有关法律法规、相关政策以及廉政建设的各项规定。</w:t>
      </w:r>
    </w:p>
    <w:p>
      <w:pPr>
        <w:spacing w:line="560" w:lineRule="exact"/>
        <w:ind w:firstLine="352" w:firstLineChars="147"/>
        <w:rPr>
          <w:rFonts w:hint="eastAsia" w:ascii="仿宋_GB2312" w:hAnsi="仿宋_GB2312" w:eastAsia="仿宋_GB2312" w:cs="仿宋_GB2312"/>
          <w:color w:val="auto"/>
          <w:sz w:val="24"/>
          <w:szCs w:val="24"/>
          <w:highlight w:val="none"/>
          <w:shd w:val="clear" w:color="FFFFFF" w:fill="D9D9D9"/>
        </w:rPr>
      </w:pPr>
      <w:r>
        <w:rPr>
          <w:rFonts w:hint="eastAsia" w:ascii="仿宋_GB2312" w:hAnsi="仿宋_GB2312" w:eastAsia="仿宋_GB2312" w:cs="仿宋_GB2312"/>
          <w:color w:val="auto"/>
          <w:sz w:val="24"/>
          <w:szCs w:val="24"/>
          <w:highlight w:val="none"/>
        </w:rPr>
        <w:t>（二）严格执行主合同条款，自觉按合同办事。</w:t>
      </w:r>
    </w:p>
    <w:p>
      <w:pPr>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（三）业务活动必须坚持公开、公平、公正、诚信的原则，损害国家、集体和对方利益，不得违反</w:t>
      </w:r>
      <w:permStart w:id="443" w:edGrp="everyone"/>
      <w:r>
        <w:rPr>
          <w:rFonts w:hint="eastAsia" w:ascii="仿宋_GB2312" w:hAnsi="仿宋_GB2312" w:eastAsia="仿宋_GB2312" w:cs="仿宋_GB2312"/>
          <w:color w:val="auto"/>
          <w:sz w:val="24"/>
          <w:szCs w:val="24"/>
          <w:highlight w:val="none"/>
        </w:rPr>
        <w:sym w:font="Wingdings 2" w:char="0052"/>
      </w:r>
      <w:permEnd w:id="443"/>
      <w:r>
        <w:rPr>
          <w:rFonts w:hint="eastAsia" w:ascii="仿宋_GB2312" w:hAnsi="仿宋_GB2312" w:eastAsia="仿宋_GB2312" w:cs="仿宋_GB2312"/>
          <w:color w:val="auto"/>
          <w:sz w:val="24"/>
          <w:szCs w:val="24"/>
          <w:highlight w:val="none"/>
          <w:u w:val="single"/>
        </w:rPr>
        <w:t>建设工程、</w:t>
      </w:r>
      <w:permStart w:id="444" w:edGrp="everyone"/>
      <w:r>
        <w:rPr>
          <w:rFonts w:hint="eastAsia" w:ascii="仿宋_GB2312" w:hAnsi="仿宋_GB2312" w:eastAsia="仿宋_GB2312" w:cs="仿宋_GB2312"/>
          <w:color w:val="auto"/>
          <w:kern w:val="0"/>
          <w:sz w:val="24"/>
          <w:szCs w:val="24"/>
          <w:highlight w:val="none"/>
        </w:rPr>
        <w:sym w:font="Wingdings 2" w:char="0051"/>
      </w:r>
      <w:permEnd w:id="444"/>
      <w:r>
        <w:rPr>
          <w:rFonts w:hint="eastAsia" w:ascii="仿宋_GB2312" w:hAnsi="仿宋_GB2312" w:eastAsia="仿宋_GB2312" w:cs="仿宋_GB2312"/>
          <w:color w:val="auto"/>
          <w:sz w:val="24"/>
          <w:szCs w:val="24"/>
          <w:highlight w:val="none"/>
          <w:u w:val="single"/>
        </w:rPr>
        <w:t>物资采购、</w:t>
      </w:r>
      <w:permStart w:id="445" w:edGrp="everyone"/>
      <w:r>
        <w:rPr>
          <w:rFonts w:hint="eastAsia" w:ascii="仿宋_GB2312" w:hAnsi="仿宋_GB2312" w:eastAsia="仿宋_GB2312" w:cs="仿宋_GB2312"/>
          <w:color w:val="auto"/>
          <w:kern w:val="0"/>
          <w:sz w:val="24"/>
          <w:szCs w:val="24"/>
          <w:highlight w:val="none"/>
        </w:rPr>
        <w:sym w:font="Wingdings 2" w:char="0051"/>
      </w:r>
      <w:permEnd w:id="445"/>
      <w:r>
        <w:rPr>
          <w:rFonts w:hint="eastAsia" w:ascii="仿宋_GB2312" w:hAnsi="仿宋_GB2312" w:eastAsia="仿宋_GB2312" w:cs="仿宋_GB2312"/>
          <w:color w:val="auto"/>
          <w:sz w:val="24"/>
          <w:szCs w:val="24"/>
          <w:highlight w:val="none"/>
          <w:u w:val="single"/>
        </w:rPr>
        <w:t>营运类服务</w:t>
      </w:r>
      <w:r>
        <w:rPr>
          <w:rFonts w:hint="eastAsia" w:ascii="仿宋_GB2312" w:hAnsi="仿宋_GB2312" w:eastAsia="仿宋_GB2312" w:cs="仿宋_GB2312"/>
          <w:color w:val="auto"/>
          <w:sz w:val="24"/>
          <w:szCs w:val="24"/>
          <w:highlight w:val="none"/>
        </w:rPr>
        <w:t>管理的规章制度。</w:t>
      </w:r>
    </w:p>
    <w:p>
      <w:pPr>
        <w:tabs>
          <w:tab w:val="left" w:pos="709"/>
        </w:tabs>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（四）在业务活动中任何一方如发现单位或人员有违规、违纪、违法行为的，均有义务向其上级主管部门或纪检监察、司法等机关举报。</w:t>
      </w:r>
    </w:p>
    <w:p>
      <w:pPr>
        <w:tabs>
          <w:tab w:val="left" w:pos="709"/>
        </w:tabs>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（五）建立健全廉洁从业制度，开展项目人员廉洁教育，公布监督举报电话，接受群众监督。</w:t>
      </w:r>
    </w:p>
    <w:p>
      <w:pPr>
        <w:spacing w:before="72" w:beforeLines="30" w:line="560" w:lineRule="exact"/>
        <w:ind w:firstLine="479" w:firstLineChars="19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二、甲方责任</w:t>
      </w:r>
    </w:p>
    <w:p>
      <w:pPr>
        <w:spacing w:line="560" w:lineRule="exact"/>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（一）甲方须向乙方介绍本单位有关廉政建设的各项制度和规定，并有权监督乙方履行主合同的廉洁情况。</w:t>
      </w:r>
    </w:p>
    <w:p>
      <w:pPr>
        <w:spacing w:line="560" w:lineRule="exact"/>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（二）甲方须对本单位项目相关人员开展廉洁教育,督促本单位从业人员遵守以下规定：</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1.不得利用职务之便向乙方索要或接受回扣、礼金、有价证券、贵重物品、手续费、加班费、咨询费、劳务费、协调费、辛苦费等各种名义给予或赠送的钱物，难以拒收的，必须按登记上交。</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2.不得要求乙方报销任何应由甲方或其工作人员支付的费用。</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3.不得要求、暗示或接受乙方为甲方工作人员的住房装修、婚丧嫁娶、配偶子女工作安排以及出国（境）、旅游等事项提供方便。</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4.不得参加有可能影响公正履行岗位职责或相关业务公平公正开展的乙方安排的宴请、健身、娱乐等活动。</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5.不得向乙方推荐与主合同有关的劳务分包单位。</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6.不得向乙方推荐甲方工作人员的配偶、子女、亲属参与双方合同履行有关的经济活动。</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7.不得参与任何形式的赌博，并通过赌博方式收受乙方财物；不得接受乙方提供的通讯工具、交通工具（合同约定除外）和高档办公用品等。</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8.不得有其他可能影响公正履行岗位职责的行为或其他违反廉洁规定。</w:t>
      </w:r>
    </w:p>
    <w:p>
      <w:pPr>
        <w:spacing w:before="72" w:beforeLines="30" w:line="560" w:lineRule="exact"/>
        <w:ind w:firstLine="479" w:firstLineChars="19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三、乙方责任</w:t>
      </w:r>
    </w:p>
    <w:p>
      <w:pPr>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（一）乙方应了解并配合执行甲方有关廉政建设的各项制度和规定。</w:t>
      </w:r>
    </w:p>
    <w:p>
      <w:pPr>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（二）乙方应对本单位工作人员开展廉洁教育（包括甲方制定的有关廉政建设方面的各项制度和规定），按时出席甲方召集的有关会议。</w:t>
      </w:r>
    </w:p>
    <w:p>
      <w:pPr>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（三）乙方应与甲方保持正常的业务交往，按照有关法律法规和程序开展业务工作，严格执行有关政策规定，并遵守以下规定：</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1.不得向甲方及其工作人员以赠送回扣、礼金、有价证券、贵重物品、手续费、加班费、咨询费、劳务费、协调费、辛苦费等各种名义给予或赠送的钱物。</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2.不得为甲方报销应由甲方或其工作人员支付的费用。</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3.不得接受为甲方工作人员的住房装修、婚丧嫁娶、配偶子女工作安排以及出国（境）、旅游等事项提供便利。</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4.不得为甲方及其工作人员安排、组织有可能影响公正履行岗位职责的宴请、健身、娱乐等活动。</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5.不得接受甲方推荐的与主合同有关的劳务分包单位。</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6.不得接受甲方工作人员推荐其配偶、子女、亲属参与主合同的设备材料、劳务分包等经济活动。</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7.乙方不得为甲方单位和个人购置或提供通讯工具和高档办公用品等物品，也不得为甲方提供与工作无关的房屋、汽车等。</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8.乙方不得擅自与甲方工作人员就主合同中的质量、数量、价格、工程量、验收等条款进行私下商谈或者达成默契。</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9.乙方不得向甲方工作人员提供干股或红利。</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10.不得有其他可能影响甲方工作人员公正履行岗位职责的行为或其他违反廉洁规定。</w:t>
      </w:r>
    </w:p>
    <w:p>
      <w:pPr>
        <w:spacing w:before="72" w:beforeLines="30" w:line="560" w:lineRule="exact"/>
        <w:ind w:firstLine="479" w:firstLineChars="19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四、违约责任及处理</w:t>
      </w:r>
    </w:p>
    <w:p>
      <w:pPr>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（一）甲方工作人员有违反本责任书“一”“二”款约定的，视情节轻重，依据有关法律法规和甲方相关制度规定给予组织处理、党纪政纪处分；涉嫌犯罪的，移交司法机关追究刑事责任。</w:t>
      </w:r>
    </w:p>
    <w:p>
      <w:pPr>
        <w:adjustRightInd w:val="0"/>
        <w:snapToGrid w:val="0"/>
        <w:spacing w:line="56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甲方举报投诉联系部门：广州市自来水有限公司纪检室，联系电话：020-87159082，电子邮箱：jjs@gzwatersupply.com。</w:t>
      </w:r>
    </w:p>
    <w:p>
      <w:pPr>
        <w:numPr>
          <w:ilvl w:val="0"/>
          <w:numId w:val="13"/>
        </w:numPr>
        <w:adjustRightInd w:val="0"/>
        <w:snapToGrid w:val="0"/>
        <w:spacing w:line="56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乙方工作人员有违反本责任书“一”“三”款约定的，甲方均有权根据具体情节和造成的后果，对乙方采取以下处理方式：</w:t>
      </w:r>
    </w:p>
    <w:p>
      <w:pPr>
        <w:adjustRightInd w:val="0"/>
        <w:snapToGrid w:val="0"/>
        <w:spacing w:line="56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1.扣除主合同的全部履约保证金。</w:t>
      </w:r>
    </w:p>
    <w:p>
      <w:pPr>
        <w:adjustRightInd w:val="0"/>
        <w:snapToGrid w:val="0"/>
        <w:spacing w:line="56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2.对违纪违法相关责任人依规依法进行处理和更换，并取消乙方单位服务资格。</w:t>
      </w:r>
    </w:p>
    <w:p>
      <w:pPr>
        <w:adjustRightInd w:val="0"/>
        <w:snapToGrid w:val="0"/>
        <w:spacing w:line="56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3.追究乙方其他违约责任和损失赔偿。</w:t>
      </w:r>
    </w:p>
    <w:p>
      <w:pPr>
        <w:adjustRightInd w:val="0"/>
        <w:snapToGrid w:val="0"/>
        <w:spacing w:line="56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4.甲方有权向乙方单位上级纪检监察部门、有关行政管理部门等提出对乙方相关责任人进行责任追究和处罚；涉嫌犯罪的，移送司法机关追究刑事责任。</w:t>
      </w:r>
    </w:p>
    <w:p>
      <w:pPr>
        <w:adjustRightInd w:val="0"/>
        <w:snapToGrid w:val="0"/>
        <w:spacing w:line="56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5.针对典型案例，形成廉洁问题专报，视情节严重程度上报上级管理部门，或在甲乙双方单位进行情况通报。</w:t>
      </w:r>
    </w:p>
    <w:p>
      <w:pPr>
        <w:tabs>
          <w:tab w:val="left" w:pos="709"/>
        </w:tabs>
        <w:spacing w:line="560" w:lineRule="exact"/>
        <w:ind w:firstLine="482" w:firstLineChars="200"/>
        <w:rPr>
          <w:rFonts w:hint="eastAsia" w:ascii="仿宋_GB2312" w:hAnsi="仿宋_GB2312" w:eastAsia="仿宋_GB2312" w:cs="仿宋_GB2312"/>
          <w:b/>
          <w:bCs/>
          <w:color w:val="auto"/>
          <w:sz w:val="24"/>
          <w:szCs w:val="24"/>
          <w:highlight w:val="none"/>
        </w:rPr>
      </w:pPr>
      <w:permStart w:id="446" w:edGrp="everyone"/>
      <w:r>
        <w:rPr>
          <w:rFonts w:hint="eastAsia" w:ascii="仿宋_GB2312" w:hAnsi="仿宋_GB2312" w:eastAsia="仿宋_GB2312" w:cs="仿宋_GB2312"/>
          <w:b/>
          <w:bCs/>
          <w:color w:val="auto"/>
          <w:sz w:val="24"/>
          <w:szCs w:val="24"/>
          <w:highlight w:val="none"/>
        </w:rPr>
        <w:sym w:font="Wingdings 2" w:char="0052"/>
      </w:r>
      <w:r>
        <w:rPr>
          <w:rFonts w:hint="eastAsia" w:ascii="仿宋_GB2312" w:hAnsi="仿宋_GB2312" w:eastAsia="仿宋_GB2312" w:cs="仿宋_GB2312"/>
          <w:b/>
          <w:bCs/>
          <w:color w:val="auto"/>
          <w:sz w:val="24"/>
          <w:szCs w:val="24"/>
          <w:highlight w:val="none"/>
        </w:rPr>
        <w:t xml:space="preserve"> </w:t>
      </w:r>
      <w:permEnd w:id="446"/>
      <w:r>
        <w:rPr>
          <w:rFonts w:hint="eastAsia" w:ascii="仿宋_GB2312" w:hAnsi="仿宋_GB2312" w:eastAsia="仿宋_GB2312" w:cs="仿宋_GB2312"/>
          <w:b/>
          <w:bCs/>
          <w:color w:val="auto"/>
          <w:sz w:val="24"/>
          <w:szCs w:val="24"/>
          <w:highlight w:val="none"/>
        </w:rPr>
        <w:t>工程建设项目选择此项</w:t>
      </w:r>
    </w:p>
    <w:p>
      <w:pPr>
        <w:tabs>
          <w:tab w:val="left" w:pos="709"/>
        </w:tabs>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乙方应严格执行有关勘察设计、建筑施工安装的强制性标准和规范，以及监理法规，根据广州市及甲方关于水务工程勘察设计、施工和监理企业诚信评价的有关规定，如乙方存在被纪检监察部门认定有行贿行为、被法院判决犯有行贿罪记录等违反廉政规定的，甲方书面提请水务行政主管部门处理。</w:t>
      </w:r>
    </w:p>
    <w:p>
      <w:pPr>
        <w:tabs>
          <w:tab w:val="left" w:pos="7513"/>
        </w:tabs>
        <w:spacing w:before="72" w:beforeLines="30" w:line="560" w:lineRule="exact"/>
        <w:ind w:firstLine="479" w:firstLineChars="19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五、责任书有效期</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（一）本责任书作为主合同组成部分，与主合同具有同等法律效力。经双方签署后立即生效。</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（二）本责任书的有效期为合同生效之日起至主合同履约结束时止。</w:t>
      </w:r>
    </w:p>
    <w:p>
      <w:pPr>
        <w:pStyle w:val="2"/>
        <w:rPr>
          <w:rFonts w:hint="eastAsia" w:ascii="仿宋_GB2312" w:hAnsi="仿宋_GB2312" w:eastAsia="仿宋_GB2312" w:cs="仿宋_GB2312"/>
          <w:color w:val="auto"/>
          <w:sz w:val="24"/>
          <w:szCs w:val="24"/>
          <w:highlight w:val="none"/>
        </w:rPr>
      </w:pPr>
    </w:p>
    <w:tbl>
      <w:tblPr>
        <w:tblStyle w:val="20"/>
        <w:tblpPr w:leftFromText="180" w:rightFromText="180" w:vertAnchor="text" w:horzAnchor="page" w:tblpX="1774" w:tblpY="231"/>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0"/>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60" w:type="dxa"/>
          </w:tcPr>
          <w:p>
            <w:pPr>
              <w:spacing w:line="560" w:lineRule="exact"/>
              <w:rPr>
                <w:rFonts w:hint="eastAsia" w:ascii="仿宋_GB2312" w:hAnsi="仿宋_GB2312" w:eastAsia="仿宋_GB2312" w:cs="仿宋_GB2312"/>
                <w:color w:val="auto"/>
                <w:kern w:val="0"/>
                <w:sz w:val="24"/>
                <w:szCs w:val="24"/>
                <w:highlight w:val="none"/>
                <w:vertAlign w:val="baseline"/>
              </w:rPr>
            </w:pPr>
            <w:permStart w:id="447" w:edGrp="everyone"/>
            <w:r>
              <w:rPr>
                <w:rFonts w:hint="eastAsia" w:ascii="仿宋_GB2312" w:hAnsi="仿宋_GB2312" w:eastAsia="仿宋_GB2312" w:cs="仿宋_GB2312"/>
                <w:color w:val="auto"/>
                <w:sz w:val="24"/>
                <w:szCs w:val="24"/>
                <w:highlight w:val="none"/>
              </w:rPr>
              <w:t xml:space="preserve">甲方单位：（盖章） </w:t>
            </w:r>
          </w:p>
        </w:tc>
        <w:tc>
          <w:tcPr>
            <w:tcW w:w="4261" w:type="dxa"/>
          </w:tcPr>
          <w:p>
            <w:pPr>
              <w:spacing w:line="560" w:lineRule="exact"/>
              <w:rPr>
                <w:rFonts w:hint="eastAsia" w:ascii="仿宋_GB2312" w:hAnsi="仿宋_GB2312" w:eastAsia="仿宋_GB2312" w:cs="仿宋_GB2312"/>
                <w:color w:val="auto"/>
                <w:kern w:val="0"/>
                <w:sz w:val="24"/>
                <w:szCs w:val="24"/>
                <w:highlight w:val="none"/>
                <w:vertAlign w:val="baseline"/>
              </w:rPr>
            </w:pPr>
            <w:r>
              <w:rPr>
                <w:rFonts w:hint="eastAsia" w:ascii="仿宋_GB2312" w:hAnsi="仿宋_GB2312" w:eastAsia="仿宋_GB2312" w:cs="仿宋_GB2312"/>
                <w:color w:val="auto"/>
                <w:sz w:val="24"/>
                <w:szCs w:val="24"/>
                <w:highlight w:val="none"/>
              </w:rPr>
              <w:t>乙方单位：（盖章）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tcPr>
          <w:p>
            <w:pPr>
              <w:spacing w:line="560" w:lineRule="exact"/>
              <w:rPr>
                <w:rFonts w:hint="eastAsia" w:ascii="仿宋_GB2312" w:hAnsi="仿宋_GB2312" w:eastAsia="仿宋_GB2312" w:cs="仿宋_GB2312"/>
                <w:color w:val="auto"/>
                <w:kern w:val="0"/>
                <w:sz w:val="24"/>
                <w:szCs w:val="24"/>
                <w:highlight w:val="none"/>
                <w:vertAlign w:val="baseline"/>
              </w:rPr>
            </w:pPr>
            <w:r>
              <w:rPr>
                <w:rFonts w:hint="eastAsia" w:ascii="仿宋_GB2312" w:hAnsi="仿宋_GB2312" w:eastAsia="仿宋_GB2312" w:cs="仿宋_GB2312"/>
                <w:color w:val="auto"/>
                <w:sz w:val="24"/>
                <w:szCs w:val="24"/>
                <w:highlight w:val="none"/>
              </w:rPr>
              <w:t xml:space="preserve">甲方监督单位：广州市自来水有限公司纪检室 </w:t>
            </w:r>
          </w:p>
        </w:tc>
        <w:tc>
          <w:tcPr>
            <w:tcW w:w="4261" w:type="dxa"/>
          </w:tcPr>
          <w:p>
            <w:pPr>
              <w:spacing w:line="560" w:lineRule="exact"/>
              <w:rPr>
                <w:rFonts w:hint="eastAsia" w:ascii="仿宋_GB2312" w:hAnsi="仿宋_GB2312" w:eastAsia="仿宋_GB2312" w:cs="仿宋_GB2312"/>
                <w:color w:val="auto"/>
                <w:kern w:val="0"/>
                <w:sz w:val="24"/>
                <w:szCs w:val="24"/>
                <w:highlight w:val="none"/>
                <w:vertAlign w:val="baseline"/>
              </w:rPr>
            </w:pPr>
            <w:r>
              <w:rPr>
                <w:rFonts w:hint="eastAsia" w:ascii="仿宋_GB2312" w:hAnsi="仿宋_GB2312" w:eastAsia="仿宋_GB2312" w:cs="仿宋_GB2312"/>
                <w:color w:val="auto"/>
                <w:sz w:val="24"/>
                <w:szCs w:val="24"/>
                <w:highlight w:val="none"/>
              </w:rPr>
              <w:t>乙方监督单位：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tcPr>
          <w:p>
            <w:pPr>
              <w:spacing w:line="560" w:lineRule="exact"/>
              <w:rPr>
                <w:rFonts w:hint="eastAsia" w:ascii="仿宋_GB2312" w:hAnsi="仿宋_GB2312" w:eastAsia="仿宋_GB2312" w:cs="仿宋_GB2312"/>
                <w:color w:val="auto"/>
                <w:kern w:val="0"/>
                <w:sz w:val="24"/>
                <w:szCs w:val="24"/>
                <w:highlight w:val="none"/>
                <w:vertAlign w:val="baseline"/>
              </w:rPr>
            </w:pPr>
            <w:r>
              <w:rPr>
                <w:rFonts w:hint="eastAsia" w:ascii="仿宋_GB2312" w:hAnsi="仿宋_GB2312" w:eastAsia="仿宋_GB2312" w:cs="仿宋_GB2312"/>
                <w:color w:val="auto"/>
                <w:sz w:val="24"/>
                <w:szCs w:val="24"/>
                <w:highlight w:val="none"/>
              </w:rPr>
              <w:t xml:space="preserve">甲方监督电话：020-87159082 </w:t>
            </w:r>
          </w:p>
        </w:tc>
        <w:tc>
          <w:tcPr>
            <w:tcW w:w="4261" w:type="dxa"/>
          </w:tcPr>
          <w:p>
            <w:pPr>
              <w:spacing w:line="560" w:lineRule="exact"/>
              <w:rPr>
                <w:rFonts w:hint="eastAsia" w:ascii="仿宋_GB2312" w:hAnsi="仿宋_GB2312" w:eastAsia="仿宋_GB2312" w:cs="仿宋_GB2312"/>
                <w:color w:val="auto"/>
                <w:kern w:val="0"/>
                <w:sz w:val="24"/>
                <w:szCs w:val="24"/>
                <w:highlight w:val="none"/>
                <w:vertAlign w:val="baseline"/>
              </w:rPr>
            </w:pPr>
            <w:r>
              <w:rPr>
                <w:rFonts w:hint="eastAsia" w:ascii="仿宋_GB2312" w:hAnsi="仿宋_GB2312" w:eastAsia="仿宋_GB2312" w:cs="仿宋_GB2312"/>
                <w:color w:val="auto"/>
                <w:sz w:val="24"/>
                <w:szCs w:val="24"/>
                <w:highlight w:val="none"/>
              </w:rPr>
              <w:t>乙方监督电话：</w:t>
            </w:r>
          </w:p>
        </w:tc>
      </w:tr>
      <w:permEnd w:id="447"/>
    </w:tbl>
    <w:p>
      <w:pPr>
        <w:rPr>
          <w:rFonts w:hint="eastAsia"/>
          <w:color w:val="auto"/>
          <w:highlight w:val="none"/>
        </w:rPr>
      </w:pPr>
    </w:p>
    <w:p>
      <w:pPr>
        <w:rPr>
          <w:rFonts w:hint="eastAsia" w:ascii="黑体" w:hAnsi="黑体" w:eastAsia="黑体" w:cs="黑体"/>
          <w:b w:val="0"/>
          <w:bCs w:val="0"/>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br w:type="page"/>
      </w:r>
      <w:permStart w:id="448" w:edGrp="everyone"/>
      <w:bookmarkStart w:id="739" w:name="_Toc10624987"/>
      <w:bookmarkStart w:id="740" w:name="_Toc266892927"/>
      <w:bookmarkStart w:id="741" w:name="_Toc469384143"/>
      <w:r>
        <w:rPr>
          <w:rFonts w:hint="eastAsia" w:ascii="黑体" w:hAnsi="黑体" w:eastAsia="黑体" w:cs="黑体"/>
          <w:b w:val="0"/>
          <w:bCs w:val="0"/>
          <w:color w:val="auto"/>
          <w:kern w:val="0"/>
          <w:sz w:val="24"/>
          <w:szCs w:val="24"/>
          <w:highlight w:val="none"/>
        </w:rPr>
        <w:t>附件</w:t>
      </w:r>
      <w:r>
        <w:rPr>
          <w:rFonts w:hint="eastAsia" w:ascii="黑体" w:hAnsi="黑体" w:eastAsia="黑体" w:cs="黑体"/>
          <w:b w:val="0"/>
          <w:bCs w:val="0"/>
          <w:color w:val="auto"/>
          <w:kern w:val="0"/>
          <w:sz w:val="24"/>
          <w:szCs w:val="24"/>
          <w:highlight w:val="none"/>
          <w:lang w:val="en-US" w:eastAsia="zh-CN"/>
        </w:rPr>
        <w:t>7</w:t>
      </w:r>
      <w:permEnd w:id="448"/>
    </w:p>
    <w:p>
      <w:pPr>
        <w:keepNext/>
        <w:keepLines/>
        <w:ind w:right="85"/>
        <w:jc w:val="center"/>
        <w:outlineLvl w:val="0"/>
        <w:rPr>
          <w:rFonts w:hint="eastAsia" w:ascii="宋体" w:hAnsi="宋体" w:cs="宋体"/>
          <w:b/>
          <w:bCs/>
          <w:color w:val="auto"/>
          <w:kern w:val="44"/>
          <w:sz w:val="22"/>
          <w:szCs w:val="22"/>
          <w:highlight w:val="none"/>
        </w:rPr>
      </w:pPr>
      <w:bookmarkStart w:id="742" w:name="_Toc457222692"/>
      <w:bookmarkStart w:id="743" w:name="_Toc451352266"/>
      <w:bookmarkStart w:id="744" w:name="_Toc493602599"/>
      <w:bookmarkStart w:id="745" w:name="_Toc451351753"/>
    </w:p>
    <w:p>
      <w:pPr>
        <w:keepNext/>
        <w:keepLines/>
        <w:ind w:right="85"/>
        <w:jc w:val="center"/>
        <w:outlineLvl w:val="0"/>
        <w:rPr>
          <w:rFonts w:hint="eastAsia" w:ascii="方正小标宋简体" w:hAnsi="方正小标宋简体" w:eastAsia="方正小标宋简体" w:cs="方正小标宋简体"/>
          <w:b w:val="0"/>
          <w:bCs w:val="0"/>
          <w:color w:val="auto"/>
          <w:kern w:val="44"/>
          <w:sz w:val="32"/>
          <w:szCs w:val="32"/>
          <w:highlight w:val="none"/>
        </w:rPr>
      </w:pPr>
      <w:r>
        <w:rPr>
          <w:rFonts w:hint="eastAsia" w:ascii="方正小标宋简体" w:hAnsi="方正小标宋简体" w:eastAsia="方正小标宋简体" w:cs="方正小标宋简体"/>
          <w:b w:val="0"/>
          <w:bCs w:val="0"/>
          <w:color w:val="auto"/>
          <w:kern w:val="44"/>
          <w:sz w:val="32"/>
          <w:szCs w:val="32"/>
          <w:highlight w:val="none"/>
        </w:rPr>
        <w:t>建设工程按系数计算的绿色施工安全防护措施费协议书</w:t>
      </w:r>
      <w:bookmarkEnd w:id="742"/>
      <w:bookmarkEnd w:id="743"/>
      <w:bookmarkEnd w:id="744"/>
      <w:bookmarkEnd w:id="745"/>
    </w:p>
    <w:p>
      <w:pPr>
        <w:spacing w:line="560" w:lineRule="exact"/>
        <w:jc w:val="left"/>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项目名称：</w:t>
      </w:r>
      <w:permStart w:id="449" w:edGrp="everyone"/>
      <w:r>
        <w:rPr>
          <w:rFonts w:hint="eastAsia" w:ascii="仿宋_GB2312" w:hAnsi="仿宋_GB2312" w:eastAsia="仿宋_GB2312" w:cs="仿宋_GB2312"/>
          <w:b/>
          <w:bCs/>
          <w:color w:val="auto"/>
          <w:kern w:val="0"/>
          <w:sz w:val="24"/>
          <w:szCs w:val="24"/>
          <w:highlight w:val="none"/>
          <w:u w:val="single"/>
        </w:rPr>
        <w:t xml:space="preserve">                </w:t>
      </w:r>
      <w:permEnd w:id="449"/>
    </w:p>
    <w:p>
      <w:pPr>
        <w:spacing w:line="560" w:lineRule="exact"/>
        <w:jc w:val="left"/>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甲方：</w:t>
      </w:r>
      <w:permStart w:id="450" w:edGrp="everyone"/>
      <w:r>
        <w:rPr>
          <w:rFonts w:hint="eastAsia" w:ascii="仿宋_GB2312" w:hAnsi="仿宋_GB2312" w:eastAsia="仿宋_GB2312" w:cs="仿宋_GB2312"/>
          <w:b/>
          <w:bCs/>
          <w:color w:val="auto"/>
          <w:kern w:val="0"/>
          <w:sz w:val="24"/>
          <w:szCs w:val="24"/>
          <w:highlight w:val="none"/>
          <w:u w:val="single"/>
        </w:rPr>
        <w:t xml:space="preserve">                     </w:t>
      </w:r>
    </w:p>
    <w:permEnd w:id="450"/>
    <w:p>
      <w:pPr>
        <w:spacing w:line="560" w:lineRule="exact"/>
        <w:jc w:val="left"/>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乙方：</w:t>
      </w:r>
      <w:permStart w:id="451" w:edGrp="everyone"/>
      <w:r>
        <w:rPr>
          <w:rFonts w:hint="eastAsia" w:ascii="仿宋_GB2312" w:hAnsi="仿宋_GB2312" w:eastAsia="仿宋_GB2312" w:cs="仿宋_GB2312"/>
          <w:b/>
          <w:bCs/>
          <w:color w:val="auto"/>
          <w:kern w:val="0"/>
          <w:sz w:val="24"/>
          <w:szCs w:val="24"/>
          <w:highlight w:val="none"/>
          <w:u w:val="single"/>
        </w:rPr>
        <w:t xml:space="preserve">                      </w:t>
      </w:r>
      <w:permEnd w:id="451"/>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根据《关于印发﹙建筑工程绿色施工安全防护措施费用及使用管理规定〉的通知》规定要求内容，经双方协商，对本工程的</w:t>
      </w:r>
      <w:r>
        <w:rPr>
          <w:rFonts w:hint="eastAsia" w:ascii="仿宋_GB2312" w:hAnsi="仿宋_GB2312" w:eastAsia="仿宋_GB2312" w:cs="仿宋_GB2312"/>
          <w:color w:val="auto"/>
          <w:kern w:val="0"/>
          <w:sz w:val="24"/>
          <w:szCs w:val="24"/>
          <w:highlight w:val="none"/>
          <w:lang w:val="en-US" w:eastAsia="zh-CN"/>
        </w:rPr>
        <w:t>按系数计算的</w:t>
      </w:r>
      <w:r>
        <w:rPr>
          <w:rFonts w:hint="eastAsia" w:ascii="仿宋_GB2312" w:hAnsi="仿宋_GB2312" w:eastAsia="仿宋_GB2312" w:cs="仿宋_GB2312"/>
          <w:color w:val="auto"/>
          <w:kern w:val="0"/>
          <w:sz w:val="24"/>
          <w:szCs w:val="24"/>
          <w:highlight w:val="none"/>
        </w:rPr>
        <w:t>施工绿色施工安全防护措施费用达成以下协定共同遵守，并作为工程施工合同的补充。</w:t>
      </w:r>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一、按系数计算的绿色施工安全防护措施费全部用于施工中的安全文明生产及文明施工方面，单列设立，专款专用。</w:t>
      </w:r>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二、双方责任：甲乙双方共同遵守《关于印发﹙建筑工程绿色施工安全防护措施费用及使用管理规定〉的通知》，并按其内容执行。</w:t>
      </w:r>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三、根据文件内容要求甲方将按系数计算的绿色施工安全防护措施费划拨给乙方专款专用，做到符合《关于印发﹙建筑工程绿色施工安全防护措施费用及使用管理规定〉的通知》的要求。</w:t>
      </w:r>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四、按照文件要求，甲方支付乙方按系数计算的绿色施工安全防护措施费为￥</w:t>
      </w:r>
      <w:permStart w:id="452" w:edGrp="everyone"/>
      <w:r>
        <w:rPr>
          <w:rFonts w:hint="eastAsia" w:ascii="仿宋_GB2312" w:hAnsi="仿宋_GB2312" w:eastAsia="仿宋_GB2312" w:cs="仿宋_GB2312"/>
          <w:color w:val="auto"/>
          <w:kern w:val="0"/>
          <w:sz w:val="24"/>
          <w:szCs w:val="24"/>
          <w:highlight w:val="none"/>
          <w:u w:val="single"/>
        </w:rPr>
        <w:t xml:space="preserve">     </w:t>
      </w:r>
      <w:permEnd w:id="452"/>
      <w:r>
        <w:rPr>
          <w:rFonts w:hint="eastAsia" w:ascii="仿宋_GB2312" w:hAnsi="仿宋_GB2312" w:eastAsia="仿宋_GB2312" w:cs="仿宋_GB2312"/>
          <w:color w:val="auto"/>
          <w:kern w:val="0"/>
          <w:sz w:val="24"/>
          <w:szCs w:val="24"/>
          <w:highlight w:val="none"/>
        </w:rPr>
        <w:t>元（大写：</w:t>
      </w:r>
      <w:permStart w:id="453" w:edGrp="everyone"/>
      <w:r>
        <w:rPr>
          <w:rFonts w:hint="eastAsia" w:ascii="仿宋_GB2312" w:hAnsi="仿宋_GB2312" w:eastAsia="仿宋_GB2312" w:cs="仿宋_GB2312"/>
          <w:color w:val="auto"/>
          <w:kern w:val="0"/>
          <w:sz w:val="24"/>
          <w:szCs w:val="24"/>
          <w:highlight w:val="none"/>
          <w:u w:val="single"/>
        </w:rPr>
        <w:t xml:space="preserve">      </w:t>
      </w:r>
      <w:permEnd w:id="453"/>
      <w:r>
        <w:rPr>
          <w:rFonts w:hint="eastAsia" w:ascii="仿宋_GB2312" w:hAnsi="仿宋_GB2312" w:eastAsia="仿宋_GB2312" w:cs="仿宋_GB2312"/>
          <w:color w:val="auto"/>
          <w:kern w:val="0"/>
          <w:sz w:val="24"/>
          <w:szCs w:val="24"/>
          <w:highlight w:val="none"/>
        </w:rPr>
        <w:t>元）。此项费用已包含在中标总价内。</w:t>
      </w:r>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五、按系数计算的绿色施工安全防护措施费用的支付及结算：</w:t>
      </w:r>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1.合同生效后7日内，承包人提供本工程的按系数计算的绿色施工安全防护措施费实施方案，经监理工程师审核并报发包人批准后预付按系数计算的绿色施工安全防护措施费的70%。</w:t>
      </w:r>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2.承包人申请第一次工程进度款时，经监理工程师审核并报发包人批准后支付按系数计算的绿色施工安全防护措施费的20%；</w:t>
      </w:r>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3.工程施工安全评价合格后，承包人按实际发生的金额办理按系数计算的绿色施工安全防护措施费结算，经监理工程师审核并报发包人批准后，一次性支付绿色施工安全防护措施费余款。</w:t>
      </w:r>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六、违约责任：如果乙方提取了工程按系数计算的绿色施工安全防护措施费用而达不到安监机构有关规定，或未办理好施工许可证的，乙方须承担全部责任。</w:t>
      </w:r>
    </w:p>
    <w:p>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以上条款共同遵守。未尽事宜，双方协商解决。</w:t>
      </w:r>
    </w:p>
    <w:tbl>
      <w:tblPr>
        <w:tblStyle w:val="20"/>
        <w:tblpPr w:leftFromText="180" w:rightFromText="180" w:vertAnchor="text" w:horzAnchor="page" w:tblpX="1812" w:tblpY="36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0"/>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tcPr>
          <w:p>
            <w:pPr>
              <w:spacing w:line="560" w:lineRule="exact"/>
              <w:jc w:val="left"/>
              <w:rPr>
                <w:rFonts w:hint="eastAsia" w:ascii="仿宋_GB2312" w:hAnsi="仿宋_GB2312" w:eastAsia="仿宋_GB2312" w:cs="仿宋_GB2312"/>
                <w:color w:val="auto"/>
                <w:kern w:val="0"/>
                <w:sz w:val="24"/>
                <w:szCs w:val="24"/>
                <w:highlight w:val="none"/>
                <w:vertAlign w:val="baseline"/>
              </w:rPr>
            </w:pPr>
            <w:permStart w:id="454" w:edGrp="everyone"/>
            <w:r>
              <w:rPr>
                <w:rFonts w:hint="eastAsia" w:ascii="仿宋_GB2312" w:hAnsi="仿宋_GB2312" w:eastAsia="仿宋_GB2312" w:cs="仿宋_GB2312"/>
                <w:color w:val="auto"/>
                <w:kern w:val="0"/>
                <w:sz w:val="24"/>
                <w:szCs w:val="24"/>
                <w:highlight w:val="none"/>
              </w:rPr>
              <w:t>甲方：（盖章）</w:t>
            </w:r>
          </w:p>
        </w:tc>
        <w:tc>
          <w:tcPr>
            <w:tcW w:w="4261" w:type="dxa"/>
          </w:tcPr>
          <w:p>
            <w:pPr>
              <w:spacing w:line="560" w:lineRule="exact"/>
              <w:jc w:val="left"/>
              <w:rPr>
                <w:rFonts w:hint="eastAsia" w:ascii="仿宋_GB2312" w:hAnsi="仿宋_GB2312" w:eastAsia="仿宋_GB2312" w:cs="仿宋_GB2312"/>
                <w:color w:val="auto"/>
                <w:kern w:val="0"/>
                <w:sz w:val="24"/>
                <w:szCs w:val="24"/>
                <w:highlight w:val="none"/>
                <w:vertAlign w:val="baseline"/>
              </w:rPr>
            </w:pPr>
            <w:r>
              <w:rPr>
                <w:rFonts w:hint="eastAsia" w:ascii="仿宋_GB2312" w:hAnsi="仿宋_GB2312" w:eastAsia="仿宋_GB2312" w:cs="仿宋_GB2312"/>
                <w:color w:val="auto"/>
                <w:kern w:val="0"/>
                <w:sz w:val="24"/>
                <w:szCs w:val="24"/>
                <w:highlight w:val="none"/>
              </w:rPr>
              <w:t>乙方：（盖章）</w:t>
            </w:r>
          </w:p>
        </w:tc>
      </w:tr>
      <w:permEnd w:id="454"/>
    </w:tbl>
    <w:p>
      <w:pPr>
        <w:pStyle w:val="2"/>
        <w:rPr>
          <w:rFonts w:hint="eastAsia"/>
          <w:color w:val="auto"/>
          <w:highlight w:val="none"/>
        </w:rPr>
      </w:pPr>
    </w:p>
    <w:p>
      <w:pPr>
        <w:jc w:val="left"/>
        <w:rPr>
          <w:rFonts w:hint="default" w:ascii="黑体" w:hAnsi="黑体" w:eastAsia="黑体" w:cs="黑体"/>
          <w:b w:val="0"/>
          <w:bCs w:val="0"/>
          <w:color w:val="auto"/>
          <w:sz w:val="24"/>
          <w:szCs w:val="24"/>
          <w:highlight w:val="none"/>
          <w:lang w:val="en-US" w:eastAsia="zh-CN"/>
        </w:rPr>
      </w:pPr>
      <w:r>
        <w:rPr>
          <w:rFonts w:hint="eastAsia" w:ascii="仿宋_GB2312" w:hAnsi="仿宋_GB2312" w:eastAsia="仿宋_GB2312" w:cs="仿宋_GB2312"/>
          <w:color w:val="auto"/>
          <w:sz w:val="24"/>
          <w:szCs w:val="24"/>
          <w:highlight w:val="none"/>
        </w:rPr>
        <w:br w:type="column"/>
      </w:r>
      <w:permStart w:id="455" w:edGrp="everyone"/>
      <w:r>
        <w:rPr>
          <w:rFonts w:hint="eastAsia" w:ascii="黑体" w:hAnsi="黑体" w:eastAsia="黑体" w:cs="黑体"/>
          <w:b w:val="0"/>
          <w:bCs w:val="0"/>
          <w:color w:val="auto"/>
          <w:sz w:val="24"/>
          <w:szCs w:val="24"/>
          <w:highlight w:val="none"/>
        </w:rPr>
        <w:t>附件</w:t>
      </w:r>
      <w:r>
        <w:rPr>
          <w:rFonts w:hint="eastAsia" w:ascii="黑体" w:hAnsi="黑体" w:eastAsia="黑体" w:cs="黑体"/>
          <w:b w:val="0"/>
          <w:bCs w:val="0"/>
          <w:color w:val="auto"/>
          <w:sz w:val="24"/>
          <w:szCs w:val="24"/>
          <w:highlight w:val="none"/>
          <w:lang w:val="en-US" w:eastAsia="zh-CN"/>
        </w:rPr>
        <w:t>8</w:t>
      </w:r>
      <w:permEnd w:id="455"/>
    </w:p>
    <w:p>
      <w:pPr>
        <w:jc w:val="center"/>
        <w:rPr>
          <w:rFonts w:hint="eastAsia" w:ascii="方正小标宋简体" w:hAnsi="方正小标宋简体" w:eastAsia="方正小标宋简体" w:cs="方正小标宋简体"/>
          <w:b w:val="0"/>
          <w:bCs w:val="0"/>
          <w:color w:val="auto"/>
          <w:sz w:val="32"/>
          <w:szCs w:val="32"/>
          <w:highlight w:val="none"/>
        </w:rPr>
      </w:pPr>
      <w:r>
        <w:rPr>
          <w:rFonts w:hint="eastAsia" w:ascii="方正小标宋简体" w:hAnsi="方正小标宋简体" w:eastAsia="方正小标宋简体" w:cs="方正小标宋简体"/>
          <w:b w:val="0"/>
          <w:bCs w:val="0"/>
          <w:color w:val="auto"/>
          <w:sz w:val="32"/>
          <w:szCs w:val="32"/>
          <w:highlight w:val="none"/>
        </w:rPr>
        <w:t>环保承诺书</w:t>
      </w:r>
    </w:p>
    <w:p>
      <w:pPr>
        <w:spacing w:line="560" w:lineRule="exact"/>
        <w:rPr>
          <w:rFonts w:hint="eastAsia" w:ascii="仿宋_GB2312" w:hAnsi="仿宋_GB2312" w:eastAsia="仿宋_GB2312" w:cs="仿宋_GB2312"/>
          <w:b/>
          <w:bCs/>
          <w:color w:val="auto"/>
          <w:sz w:val="24"/>
          <w:szCs w:val="24"/>
          <w:highlight w:val="none"/>
        </w:rPr>
      </w:pPr>
      <w:permStart w:id="456" w:edGrp="everyone"/>
      <w:r>
        <w:rPr>
          <w:rFonts w:hint="eastAsia" w:ascii="仿宋_GB2312" w:hAnsi="仿宋_GB2312" w:eastAsia="仿宋_GB2312" w:cs="仿宋_GB2312"/>
          <w:b/>
          <w:bCs/>
          <w:color w:val="auto"/>
          <w:sz w:val="24"/>
          <w:szCs w:val="24"/>
          <w:highlight w:val="none"/>
        </w:rPr>
        <w:t>项目名称:</w:t>
      </w:r>
      <w:r>
        <w:rPr>
          <w:rFonts w:hint="eastAsia" w:ascii="仿宋_GB2312" w:hAnsi="仿宋_GB2312" w:eastAsia="仿宋_GB2312" w:cs="仿宋_GB2312"/>
          <w:b/>
          <w:bCs/>
          <w:color w:val="auto"/>
          <w:sz w:val="24"/>
          <w:szCs w:val="24"/>
          <w:highlight w:val="none"/>
          <w:u w:val="single"/>
        </w:rPr>
        <w:t xml:space="preserve">          </w:t>
      </w:r>
      <w:r>
        <w:rPr>
          <w:rFonts w:hint="eastAsia" w:ascii="仿宋_GB2312" w:hAnsi="仿宋_GB2312" w:eastAsia="仿宋_GB2312" w:cs="仿宋_GB2312"/>
          <w:b/>
          <w:bCs/>
          <w:color w:val="auto"/>
          <w:sz w:val="24"/>
          <w:szCs w:val="24"/>
          <w:highlight w:val="none"/>
        </w:rPr>
        <w:t xml:space="preserve">          项目地址：</w:t>
      </w:r>
      <w:r>
        <w:rPr>
          <w:rFonts w:hint="eastAsia" w:ascii="仿宋_GB2312" w:hAnsi="仿宋_GB2312" w:eastAsia="仿宋_GB2312" w:cs="仿宋_GB2312"/>
          <w:b/>
          <w:bCs/>
          <w:color w:val="auto"/>
          <w:sz w:val="24"/>
          <w:szCs w:val="24"/>
          <w:highlight w:val="none"/>
          <w:u w:val="single"/>
        </w:rPr>
        <w:t xml:space="preserve">            </w:t>
      </w:r>
    </w:p>
    <w:p>
      <w:pPr>
        <w:spacing w:line="560" w:lineRule="exac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承包范围：</w:t>
      </w:r>
      <w:r>
        <w:rPr>
          <w:rFonts w:hint="eastAsia" w:ascii="仿宋_GB2312" w:hAnsi="仿宋_GB2312" w:eastAsia="仿宋_GB2312" w:cs="仿宋_GB2312"/>
          <w:b/>
          <w:bCs/>
          <w:color w:val="auto"/>
          <w:sz w:val="24"/>
          <w:szCs w:val="24"/>
          <w:highlight w:val="none"/>
          <w:u w:val="single"/>
        </w:rPr>
        <w:t xml:space="preserve">         </w:t>
      </w:r>
      <w:r>
        <w:rPr>
          <w:rFonts w:hint="eastAsia" w:ascii="仿宋_GB2312" w:hAnsi="仿宋_GB2312" w:eastAsia="仿宋_GB2312" w:cs="仿宋_GB2312"/>
          <w:b/>
          <w:bCs/>
          <w:color w:val="auto"/>
          <w:sz w:val="24"/>
          <w:szCs w:val="24"/>
          <w:highlight w:val="none"/>
        </w:rPr>
        <w:t xml:space="preserve">          承包方式：</w:t>
      </w:r>
      <w:r>
        <w:rPr>
          <w:rFonts w:hint="eastAsia" w:ascii="仿宋_GB2312" w:hAnsi="仿宋_GB2312" w:eastAsia="仿宋_GB2312" w:cs="仿宋_GB2312"/>
          <w:b/>
          <w:bCs/>
          <w:color w:val="auto"/>
          <w:sz w:val="24"/>
          <w:szCs w:val="24"/>
          <w:highlight w:val="none"/>
          <w:u w:val="single"/>
        </w:rPr>
        <w:t xml:space="preserve">            </w:t>
      </w:r>
    </w:p>
    <w:p>
      <w:pPr>
        <w:spacing w:line="560" w:lineRule="exac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项目合同编号：</w:t>
      </w:r>
    </w:p>
    <w:p>
      <w:pPr>
        <w:spacing w:line="480" w:lineRule="exac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项目期限：</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日起开工至</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日完工。</w:t>
      </w:r>
    </w:p>
    <w:permEnd w:id="456"/>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为确保</w:t>
      </w:r>
      <w:permStart w:id="457" w:edGrp="everyone"/>
      <w:r>
        <w:rPr>
          <w:rFonts w:hint="eastAsia" w:ascii="仿宋_GB2312" w:hAnsi="仿宋_GB2312" w:eastAsia="仿宋_GB2312" w:cs="仿宋_GB2312"/>
          <w:color w:val="auto"/>
          <w:sz w:val="24"/>
          <w:szCs w:val="24"/>
          <w:highlight w:val="none"/>
          <w:u w:val="single"/>
        </w:rPr>
        <w:t xml:space="preserve">             </w:t>
      </w:r>
      <w:permEnd w:id="457"/>
      <w:r>
        <w:rPr>
          <w:rFonts w:hint="eastAsia" w:ascii="仿宋_GB2312" w:hAnsi="仿宋_GB2312" w:eastAsia="仿宋_GB2312" w:cs="仿宋_GB2312"/>
          <w:color w:val="auto"/>
          <w:sz w:val="24"/>
          <w:szCs w:val="24"/>
          <w:highlight w:val="none"/>
        </w:rPr>
        <w:t>项目的顺利实施，特向甲方和各级主管部门作出如下承诺：</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一、项目实施期间我方将严格遵守国家、省市相关环保法律、法规。</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二、作为责任主体，我方对项目实施期间造成的环境侵权事故、不良环境影响及由此产生的所有费用及损失承担全部责任（包括给第三人造成损害导致的赔偿责任）。</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三、做好人员的环保教育培训，对经考核合格的人员，发放上岗证。乙方不定期对工作人员进行安全教育培训。</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四、作业之前，负责项目管理的技术人员对有关环保施工的技术要求向项目作业班组、作业人员作出详细说明。项目实施期间，我方采取必要的环境保护措施，作业人员严格遵守环保规章制度与环保操作规程。</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五、我方将采取有效措施控制能源、资源消耗，杜绝排放物造成环境污染。</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六、项目废料按规定地点分类堆放和处理，特别是严格按要求堆放和处理危险废弃物，做到工完、料净、场地清，杜绝安全隐患和环境污染。</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七、其他承诺</w:t>
      </w:r>
    </w:p>
    <w:p>
      <w:pPr>
        <w:spacing w:line="56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本承诺书作为合同附件，与合同条款具有同等的法律效力。</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本承诺书一式两份，甲方执一份，乙方执一份。</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pPr>
        <w:spacing w:line="560" w:lineRule="exact"/>
        <w:ind w:firstLine="3840" w:firstLineChars="1600"/>
        <w:rPr>
          <w:rFonts w:hint="eastAsia" w:ascii="仿宋_GB2312" w:hAnsi="仿宋_GB2312" w:eastAsia="仿宋_GB2312" w:cs="仿宋_GB2312"/>
          <w:color w:val="auto"/>
          <w:sz w:val="24"/>
          <w:szCs w:val="24"/>
          <w:highlight w:val="none"/>
        </w:rPr>
      </w:pPr>
      <w:permStart w:id="458" w:edGrp="everyone"/>
      <w:r>
        <w:rPr>
          <w:rFonts w:hint="eastAsia" w:ascii="仿宋_GB2312" w:hAnsi="仿宋_GB2312" w:eastAsia="仿宋_GB2312" w:cs="仿宋_GB2312"/>
          <w:color w:val="auto"/>
          <w:sz w:val="24"/>
          <w:szCs w:val="24"/>
          <w:highlight w:val="none"/>
        </w:rPr>
        <w:t>承诺单位（盖章）：</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法定代表人</w:t>
      </w:r>
      <w:r>
        <w:rPr>
          <w:rFonts w:hint="eastAsia" w:ascii="仿宋_GB2312" w:hAnsi="仿宋_GB2312" w:eastAsia="仿宋_GB2312" w:cs="仿宋_GB2312"/>
          <w:color w:val="auto"/>
          <w:sz w:val="24"/>
          <w:szCs w:val="24"/>
          <w:highlight w:val="none"/>
          <w:lang w:val="en-US" w:eastAsia="zh-CN"/>
        </w:rPr>
        <w:t>或</w:t>
      </w:r>
      <w:r>
        <w:rPr>
          <w:rFonts w:hint="eastAsia" w:ascii="仿宋_GB2312" w:hAnsi="仿宋_GB2312" w:eastAsia="仿宋_GB2312" w:cs="仿宋_GB2312"/>
          <w:color w:val="auto"/>
          <w:sz w:val="24"/>
          <w:szCs w:val="24"/>
          <w:highlight w:val="none"/>
        </w:rPr>
        <w:t>委托代理人：</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 xml:space="preserve">                                联系人：</w:t>
      </w:r>
    </w:p>
    <w:p>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pPr>
        <w:spacing w:before="240" w:beforeLines="100" w:after="240" w:afterLines="100" w:line="420" w:lineRule="exact"/>
        <w:outlineLvl w:val="1"/>
        <w:rPr>
          <w:rFonts w:hint="eastAsia" w:ascii="仿宋_GB2312" w:hAnsi="仿宋_GB2312" w:eastAsia="仿宋_GB2312" w:cs="仿宋_GB2312"/>
          <w:b/>
          <w:bCs/>
          <w:color w:val="auto"/>
          <w:kern w:val="0"/>
          <w:sz w:val="24"/>
          <w:szCs w:val="24"/>
          <w:highlight w:val="none"/>
        </w:rPr>
        <w:sectPr>
          <w:endnotePr>
            <w:numFmt w:val="decimal"/>
          </w:endnotePr>
          <w:pgSz w:w="11905" w:h="16838"/>
          <w:pgMar w:top="1440" w:right="1800" w:bottom="1440" w:left="1800" w:header="0" w:footer="0" w:gutter="0"/>
          <w:cols w:space="0" w:num="1"/>
          <w:titlePg/>
          <w:rtlGutter w:val="0"/>
          <w:docGrid w:linePitch="0" w:charSpace="0"/>
        </w:sectPr>
      </w:pPr>
    </w:p>
    <w:p>
      <w:pPr>
        <w:ind w:right="87"/>
        <w:jc w:val="left"/>
        <w:rPr>
          <w:rFonts w:hint="default" w:ascii="黑体" w:hAnsi="黑体" w:eastAsia="黑体" w:cs="黑体"/>
          <w:b w:val="0"/>
          <w:bCs w:val="0"/>
          <w:color w:val="auto"/>
          <w:kern w:val="0"/>
          <w:sz w:val="24"/>
          <w:szCs w:val="24"/>
          <w:highlight w:val="none"/>
          <w:lang w:val="en-US" w:eastAsia="zh-CN"/>
        </w:rPr>
      </w:pPr>
      <w:r>
        <w:rPr>
          <w:rFonts w:hint="eastAsia" w:ascii="黑体" w:hAnsi="黑体" w:eastAsia="黑体" w:cs="黑体"/>
          <w:b w:val="0"/>
          <w:bCs w:val="0"/>
          <w:color w:val="auto"/>
          <w:kern w:val="0"/>
          <w:sz w:val="24"/>
          <w:szCs w:val="24"/>
          <w:highlight w:val="none"/>
        </w:rPr>
        <w:t>附件</w:t>
      </w:r>
      <w:r>
        <w:rPr>
          <w:rFonts w:hint="eastAsia" w:ascii="黑体" w:hAnsi="黑体" w:eastAsia="黑体" w:cs="黑体"/>
          <w:b w:val="0"/>
          <w:bCs w:val="0"/>
          <w:color w:val="auto"/>
          <w:kern w:val="0"/>
          <w:sz w:val="24"/>
          <w:szCs w:val="24"/>
          <w:highlight w:val="none"/>
          <w:lang w:val="en-US" w:eastAsia="zh-CN"/>
        </w:rPr>
        <w:t>9</w:t>
      </w:r>
    </w:p>
    <w:permEnd w:id="458"/>
    <w:p>
      <w:pPr>
        <w:jc w:val="center"/>
        <w:rPr>
          <w:rFonts w:hint="eastAsia" w:ascii="方正小标宋简体" w:hAnsi="方正小标宋简体" w:eastAsia="方正小标宋简体" w:cs="方正小标宋简体"/>
          <w:b w:val="0"/>
          <w:bCs w:val="0"/>
          <w:color w:val="auto"/>
          <w:sz w:val="32"/>
          <w:szCs w:val="32"/>
          <w:highlight w:val="none"/>
        </w:rPr>
      </w:pPr>
      <w:r>
        <w:rPr>
          <w:rFonts w:hint="eastAsia" w:ascii="方正小标宋简体" w:hAnsi="方正小标宋简体" w:eastAsia="方正小标宋简体" w:cs="方正小标宋简体"/>
          <w:b w:val="0"/>
          <w:bCs w:val="0"/>
          <w:color w:val="auto"/>
          <w:sz w:val="32"/>
          <w:szCs w:val="32"/>
          <w:highlight w:val="none"/>
        </w:rPr>
        <w:drawing>
          <wp:anchor distT="0" distB="0" distL="114300" distR="114300" simplePos="0" relativeHeight="252085248" behindDoc="1" locked="0" layoutInCell="1" allowOverlap="1">
            <wp:simplePos x="0" y="0"/>
            <wp:positionH relativeFrom="column">
              <wp:posOffset>-17780</wp:posOffset>
            </wp:positionH>
            <wp:positionV relativeFrom="paragraph">
              <wp:posOffset>328930</wp:posOffset>
            </wp:positionV>
            <wp:extent cx="4336415" cy="3286125"/>
            <wp:effectExtent l="0" t="0" r="6985" b="9525"/>
            <wp:wrapNone/>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pic:cNvPicPr>
                      <a:picLocks noChangeAspect="1" noChangeArrowheads="1"/>
                    </pic:cNvPicPr>
                  </pic:nvPicPr>
                  <pic:blipFill>
                    <a:blip r:embed="rId13" cstate="print"/>
                    <a:srcRect/>
                    <a:stretch>
                      <a:fillRect/>
                    </a:stretch>
                  </pic:blipFill>
                  <pic:spPr>
                    <a:xfrm>
                      <a:off x="0" y="0"/>
                      <a:ext cx="4336415" cy="3286125"/>
                    </a:xfrm>
                    <a:prstGeom prst="rect">
                      <a:avLst/>
                    </a:prstGeom>
                    <a:noFill/>
                    <a:ln w="9525">
                      <a:noFill/>
                      <a:miter lim="800000"/>
                      <a:headEnd/>
                      <a:tailEnd/>
                    </a:ln>
                    <a:effectLst/>
                  </pic:spPr>
                </pic:pic>
              </a:graphicData>
            </a:graphic>
          </wp:anchor>
        </w:drawing>
      </w:r>
      <w:r>
        <w:rPr>
          <w:rFonts w:hint="eastAsia" w:ascii="方正小标宋简体" w:hAnsi="方正小标宋简体" w:eastAsia="方正小标宋简体" w:cs="方正小标宋简体"/>
          <w:b w:val="0"/>
          <w:bCs w:val="0"/>
          <w:color w:val="auto"/>
          <w:sz w:val="32"/>
          <w:szCs w:val="32"/>
          <w:highlight w:val="none"/>
        </w:rPr>
        <w:t>外来人员工作证样式</w:t>
      </w:r>
    </w:p>
    <w:p>
      <w:pPr>
        <w:jc w:val="center"/>
        <w:rPr>
          <w:rFonts w:ascii="宋体" w:hAnsi="宋体" w:cs="Calibri"/>
          <w:b/>
          <w:color w:val="auto"/>
          <w:sz w:val="44"/>
          <w:szCs w:val="44"/>
          <w:highlight w:val="none"/>
        </w:rPr>
      </w:pPr>
      <w:r>
        <w:rPr>
          <w:rFonts w:hint="eastAsia" w:ascii="仿宋_GB2312" w:hAnsi="Times New Roman" w:eastAsia="仿宋_GB2312" w:cs="Calibri"/>
          <w:color w:val="auto"/>
          <w:sz w:val="32"/>
          <w:szCs w:val="32"/>
          <w:highlight w:val="none"/>
        </w:rPr>
        <w:drawing>
          <wp:anchor distT="0" distB="0" distL="114300" distR="114300" simplePos="0" relativeHeight="252087296" behindDoc="0" locked="0" layoutInCell="1" allowOverlap="1">
            <wp:simplePos x="0" y="0"/>
            <wp:positionH relativeFrom="column">
              <wp:posOffset>4612005</wp:posOffset>
            </wp:positionH>
            <wp:positionV relativeFrom="paragraph">
              <wp:posOffset>243840</wp:posOffset>
            </wp:positionV>
            <wp:extent cx="4000500" cy="2933700"/>
            <wp:effectExtent l="0" t="0" r="0" b="0"/>
            <wp:wrapNone/>
            <wp:docPr id="416"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pic:cNvPicPr>
                      <a:picLocks noChangeAspect="1" noChangeArrowheads="1"/>
                    </pic:cNvPicPr>
                  </pic:nvPicPr>
                  <pic:blipFill>
                    <a:blip r:embed="rId14" cstate="print"/>
                    <a:srcRect/>
                    <a:stretch>
                      <a:fillRect/>
                    </a:stretch>
                  </pic:blipFill>
                  <pic:spPr>
                    <a:xfrm>
                      <a:off x="0" y="0"/>
                      <a:ext cx="4000500" cy="2933700"/>
                    </a:xfrm>
                    <a:prstGeom prst="rect">
                      <a:avLst/>
                    </a:prstGeom>
                    <a:noFill/>
                    <a:ln w="9525">
                      <a:noFill/>
                      <a:miter lim="800000"/>
                      <a:headEnd/>
                      <a:tailEnd/>
                    </a:ln>
                    <a:effectLst/>
                  </pic:spPr>
                </pic:pic>
              </a:graphicData>
            </a:graphic>
          </wp:anchor>
        </w:drawing>
      </w:r>
    </w:p>
    <w:p>
      <w:pPr>
        <w:rPr>
          <w:rFonts w:ascii="仿宋_GB2312" w:hAnsi="Times New Roman" w:eastAsia="仿宋_GB2312" w:cs="Calibri"/>
          <w:color w:val="auto"/>
          <w:sz w:val="32"/>
          <w:szCs w:val="32"/>
          <w:highlight w:val="none"/>
        </w:rPr>
      </w:pPr>
      <w:r>
        <w:rPr>
          <w:rFonts w:ascii="仿宋_GB2312" w:hAnsi="Times New Roman" w:eastAsia="仿宋_GB2312" w:cs="Calibri"/>
          <w:color w:val="auto"/>
          <w:sz w:val="32"/>
          <w:szCs w:val="32"/>
          <w:highlight w:val="none"/>
        </w:rPr>
        <w:pict>
          <v:shape id="艺术字 13" o:spid="_x0000_s1030" o:spt="136" type="#_x0000_t136" style="position:absolute;left:0pt;margin-left:403.5pt;margin-top:-0.1pt;height:24.25pt;width:248.25pt;z-index:252089344;mso-width-relative:page;mso-height-relative:page;" fillcolor="#0070C0" filled="t" coordsize="21600,21600">
            <v:path/>
            <v:fill on="t" focussize="0,0"/>
            <v:stroke/>
            <v:imagedata o:title=""/>
            <o:lock v:ext="edit"/>
            <v:textpath on="t" fitshape="t" fitpath="t" trim="t" xscale="f" string="广州市xxx有限公司" style="font-family:??;font-size:36pt;font-weight:bold;v-text-align:center;"/>
          </v:shape>
        </w:pict>
      </w:r>
      <w:r>
        <w:rPr>
          <w:rFonts w:ascii="仿宋_GB2312" w:hAnsi="Times New Roman" w:eastAsia="仿宋_GB2312" w:cs="Calibri"/>
          <w:color w:val="auto"/>
          <w:sz w:val="32"/>
          <w:szCs w:val="32"/>
          <w:highlight w:val="none"/>
        </w:rPr>
        <w:pict>
          <v:shape id="艺术字 14" o:spid="_x0000_s1031" o:spt="136" type="#_x0000_t136" style="position:absolute;left:0pt;margin-left:57pt;margin-top:8.35pt;height:24.25pt;width:248.25pt;z-index:252092416;mso-width-relative:page;mso-height-relative:page;" fillcolor="#0070C0" filled="t" coordsize="21600,21600">
            <v:path/>
            <v:fill on="t" focussize="0,0"/>
            <v:stroke/>
            <v:imagedata o:title=""/>
            <o:lock v:ext="edit"/>
            <v:textpath on="t" fitshape="t" fitpath="t" trim="t" xscale="f" string="广州市xxx有限公司" style="font-family:??;font-size:36pt;font-weight:bold;v-text-align:center;"/>
          </v:shape>
        </w:pict>
      </w:r>
    </w:p>
    <w:p>
      <w:pPr>
        <w:rPr>
          <w:rFonts w:ascii="仿宋_GB2312" w:hAnsi="Times New Roman" w:eastAsia="仿宋_GB2312" w:cs="Calibri"/>
          <w:color w:val="auto"/>
          <w:sz w:val="32"/>
          <w:szCs w:val="32"/>
          <w:highlight w:val="none"/>
        </w:rPr>
      </w:pPr>
      <w:r>
        <w:rPr>
          <w:rFonts w:hint="eastAsia" w:ascii="仿宋_GB2312" w:hAnsi="Times New Roman" w:eastAsia="仿宋_GB2312" w:cs="Calibri"/>
          <w:color w:val="auto"/>
          <w:sz w:val="32"/>
          <w:szCs w:val="32"/>
          <w:highlight w:val="none"/>
        </w:rPr>
        <mc:AlternateContent>
          <mc:Choice Requires="wpc">
            <w:drawing>
              <wp:anchor distT="0" distB="0" distL="114300" distR="114300" simplePos="0" relativeHeight="252086272" behindDoc="0" locked="0" layoutInCell="1" allowOverlap="1">
                <wp:simplePos x="0" y="0"/>
                <wp:positionH relativeFrom="column">
                  <wp:posOffset>523875</wp:posOffset>
                </wp:positionH>
                <wp:positionV relativeFrom="paragraph">
                  <wp:posOffset>137795</wp:posOffset>
                </wp:positionV>
                <wp:extent cx="3848100" cy="885825"/>
                <wp:effectExtent l="0" t="0" r="0" b="0"/>
                <wp:wrapNone/>
                <wp:docPr id="417" name="画布 417"/>
                <wp:cNvGraphicFramePr/>
                <a:graphic xmlns:a="http://schemas.openxmlformats.org/drawingml/2006/main">
                  <a:graphicData uri="http://schemas.microsoft.com/office/word/2010/wordprocessingCanvas">
                    <wpc:wpc>
                      <wpc:bg>
                        <a:noFill/>
                      </wpc:bg>
                      <wpc:whole>
                        <a:ln>
                          <a:noFill/>
                        </a:ln>
                      </wpc:whole>
                    </wpc:wpc>
                  </a:graphicData>
                </a:graphic>
              </wp:anchor>
            </w:drawing>
          </mc:Choice>
          <mc:Fallback>
            <w:pict>
              <v:group id="_x0000_s1026" o:spid="_x0000_s1026" o:spt="203" style="position:absolute;left:0pt;margin-left:41.25pt;margin-top:10.85pt;height:69.75pt;width:303pt;z-index:252086272;mso-width-relative:page;mso-height-relative:page;" coordsize="3848100,885825" editas="canvas" o:gfxdata="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DYbL/N2QAAAAkBAAAPAAAAAAAAAAEAIAAAACIAAABkcnMvZG93bnJldi54bWxQSwECFAAUAAAA&#10;CACHTuJAwnEtNXsBAAARAwAADgAAAAAAAAABACAAAAAoAQAAZHJzL2Uyb0RvYy54bWxQSwUGAAAA&#10;AAYABgBZAQAAFQUAAAAA&#10;">
                <o:lock v:ext="edit" aspectratio="f"/>
                <v:shape id="_x0000_s1026" o:spid="_x0000_s1026" style="position:absolute;left:0;top:0;height:885825;width:3848100;" filled="f" stroked="f" coordsize="21600,21600" o:gfxdata="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">
                  <v:fill on="f" focussize="0,0"/>
                  <v:stroke on="f"/>
                  <v:imagedata o:title=""/>
                  <o:lock v:ext="edit" aspectratio="f"/>
                </v:shape>
              </v:group>
            </w:pict>
          </mc:Fallback>
        </mc:AlternateContent>
      </w:r>
    </w:p>
    <w:p>
      <w:pPr>
        <w:rPr>
          <w:rFonts w:ascii="仿宋_GB2312" w:hAnsi="Times New Roman" w:eastAsia="仿宋_GB2312" w:cs="Calibri"/>
          <w:color w:val="auto"/>
          <w:sz w:val="32"/>
          <w:szCs w:val="32"/>
          <w:highlight w:val="none"/>
        </w:rPr>
      </w:pPr>
    </w:p>
    <w:p>
      <w:pPr>
        <w:rPr>
          <w:rFonts w:ascii="仿宋_GB2312" w:hAnsi="Times New Roman" w:eastAsia="仿宋_GB2312" w:cs="Calibri"/>
          <w:color w:val="auto"/>
          <w:sz w:val="32"/>
          <w:szCs w:val="32"/>
          <w:highlight w:val="none"/>
        </w:rPr>
      </w:pPr>
    </w:p>
    <w:p>
      <w:pPr>
        <w:rPr>
          <w:rFonts w:ascii="仿宋_GB2312" w:hAnsi="Times New Roman" w:eastAsia="仿宋_GB2312" w:cs="Calibri"/>
          <w:color w:val="auto"/>
          <w:sz w:val="32"/>
          <w:szCs w:val="32"/>
          <w:highlight w:val="none"/>
        </w:rPr>
      </w:pPr>
      <w:r>
        <w:rPr>
          <w:rFonts w:ascii="仿宋_GB2312" w:hAnsi="Times New Roman" w:eastAsia="仿宋_GB2312" w:cs="Calibri"/>
          <w:color w:val="auto"/>
          <w:sz w:val="32"/>
          <w:szCs w:val="32"/>
          <w:highlight w:val="none"/>
        </w:rPr>
        <w:pict>
          <v:shape id="艺术字 10" o:spid="_x0000_s1032" o:spt="136" type="#_x0000_t136" style="position:absolute;left:0pt;margin-left:466.6pt;margin-top:19.35pt;height:15.75pt;width:105pt;z-index:252090368;mso-width-relative:page;mso-height-relative:page;" fillcolor="#0070C0" filled="t" coordsize="21600,21600">
            <v:path/>
            <v:fill on="t" focussize="0,0"/>
            <v:stroke/>
            <v:imagedata o:title=""/>
            <o:lock v:ext="edit"/>
            <v:textpath on="t" fitshape="t" fitpath="t" trim="t" xscale="f" string="证件编号：00000123" style="font-family:??;font-size:36pt;v-text-align:center;"/>
          </v:shape>
        </w:pict>
      </w:r>
      <w:r>
        <w:rPr>
          <w:rFonts w:ascii="仿宋_GB2312" w:hAnsi="Times New Roman" w:eastAsia="仿宋_GB2312" w:cs="Calibri"/>
          <w:color w:val="auto"/>
          <w:sz w:val="32"/>
          <w:szCs w:val="32"/>
          <w:highlight w:val="none"/>
        </w:rPr>
        <w:pict>
          <v:shape id="艺术字 16" o:spid="_x0000_s1033" o:spt="144" type="#_x0000_t144" style="position:absolute;left:0pt;margin-left:103.15pt;margin-top:21.7pt;height:71.25pt;width:60pt;z-index:252091392;mso-width-relative:page;mso-height-relative:page;" fillcolor="#FF0000" filled="t" stroked="t" coordsize="21600,21600">
            <v:path/>
            <v:fill on="t" focussize="0,0"/>
            <v:stroke color="#FF0000"/>
            <v:imagedata o:title=""/>
            <o:lock v:ext="edit"/>
            <v:textpath on="t" fitshape="t" fitpath="t" trim="t" xscale="f" string="广州市xxx有限公司" style="font-family:宋体;font-size:36pt;v-text-align:center;"/>
          </v:shape>
        </w:pict>
      </w:r>
      <w:r>
        <w:rPr>
          <w:rFonts w:hint="eastAsia" w:ascii="仿宋_GB2312" w:hAnsi="Times New Roman" w:eastAsia="仿宋_GB2312" w:cs="Calibri"/>
          <w:color w:val="auto"/>
          <w:sz w:val="32"/>
          <w:szCs w:val="32"/>
          <w:highlight w:val="none"/>
        </w:rPr>
        <mc:AlternateContent>
          <mc:Choice Requires="wpc">
            <w:drawing>
              <wp:anchor distT="0" distB="0" distL="114300" distR="114300" simplePos="0" relativeHeight="252088320" behindDoc="0" locked="0" layoutInCell="1" allowOverlap="1">
                <wp:simplePos x="0" y="0"/>
                <wp:positionH relativeFrom="column">
                  <wp:posOffset>4867275</wp:posOffset>
                </wp:positionH>
                <wp:positionV relativeFrom="paragraph">
                  <wp:posOffset>28575</wp:posOffset>
                </wp:positionV>
                <wp:extent cx="3848100" cy="885825"/>
                <wp:effectExtent l="0" t="0" r="0" b="0"/>
                <wp:wrapNone/>
                <wp:docPr id="418" name="画布 418"/>
                <wp:cNvGraphicFramePr/>
                <a:graphic xmlns:a="http://schemas.openxmlformats.org/drawingml/2006/main">
                  <a:graphicData uri="http://schemas.microsoft.com/office/word/2010/wordprocessingCanvas">
                    <wpc:wpc>
                      <wpc:bg>
                        <a:noFill/>
                      </wpc:bg>
                      <wpc:whole>
                        <a:ln>
                          <a:noFill/>
                        </a:ln>
                      </wpc:whole>
                    </wpc:wpc>
                  </a:graphicData>
                </a:graphic>
              </wp:anchor>
            </w:drawing>
          </mc:Choice>
          <mc:Fallback>
            <w:pict>
              <v:group id="_x0000_s1026" o:spid="_x0000_s1026" o:spt="203" style="position:absolute;left:0pt;margin-left:383.25pt;margin-top:2.25pt;height:69.75pt;width:303pt;z-index:252088320;mso-width-relative:page;mso-height-relative:page;" coordsize="3848100,885825" editas="canvas" o:gfxdata="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DNd5A62gAAAAoBAAAPAAAAAAAAAAEAIAAAACIAAABkcnMvZG93bnJldi54bWxQSwECFAAUAAAA&#10;CACHTuJAKIX1knoBAAARAwAADgAAAAAAAAABACAAAAApAQAAZHJzL2Uyb0RvYy54bWxQSwUGAAAA&#10;AAYABgBZAQAAFQUAAAAA&#10;">
                <o:lock v:ext="edit" aspectratio="f"/>
                <v:shape id="_x0000_s1026" o:spid="_x0000_s1026" style="position:absolute;left:0;top:0;height:885825;width:3848100;" filled="f" stroked="f" coordsize="21600,21600" o:gfxdata="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">
                  <v:fill on="f" focussize="0,0"/>
                  <v:stroke on="f"/>
                  <v:imagedata o:title=""/>
                  <o:lock v:ext="edit" aspectratio="f"/>
                </v:shape>
              </v:group>
            </w:pict>
          </mc:Fallback>
        </mc:AlternateContent>
      </w:r>
    </w:p>
    <w:p>
      <w:pPr>
        <w:rPr>
          <w:rFonts w:ascii="仿宋_GB2312" w:hAnsi="Times New Roman" w:eastAsia="仿宋_GB2312" w:cs="Calibri"/>
          <w:color w:val="auto"/>
          <w:sz w:val="32"/>
          <w:szCs w:val="32"/>
          <w:highlight w:val="none"/>
        </w:rPr>
      </w:pPr>
    </w:p>
    <w:p>
      <w:pPr>
        <w:rPr>
          <w:rFonts w:ascii="仿宋_GB2312" w:hAnsi="Times New Roman" w:eastAsia="仿宋_GB2312" w:cs="Calibri"/>
          <w:color w:val="auto"/>
          <w:sz w:val="32"/>
          <w:szCs w:val="32"/>
          <w:highlight w:val="none"/>
        </w:rPr>
      </w:pPr>
    </w:p>
    <w:p>
      <w:pPr>
        <w:jc w:val="center"/>
        <w:rPr>
          <w:rFonts w:ascii="宋体" w:hAnsi="宋体" w:eastAsia="仿宋_GB2312" w:cs="Calibri"/>
          <w:b/>
          <w:color w:val="auto"/>
          <w:sz w:val="32"/>
          <w:szCs w:val="32"/>
          <w:highlight w:val="none"/>
        </w:rPr>
      </w:pPr>
      <w:r>
        <w:rPr>
          <w:rFonts w:hint="eastAsia" w:ascii="宋体" w:hAnsi="宋体" w:eastAsia="仿宋_GB2312" w:cs="Calibri"/>
          <w:b/>
          <w:color w:val="auto"/>
          <w:sz w:val="32"/>
          <w:szCs w:val="32"/>
          <w:highlight w:val="none"/>
        </w:rPr>
        <w:t>正面                                               背面</w:t>
      </w:r>
    </w:p>
    <w:p>
      <w:pPr>
        <w:ind w:firstLine="560" w:firstLineChars="200"/>
        <w:rPr>
          <w:rFonts w:hint="eastAsia" w:ascii="仿宋_GB2312" w:hAnsi="Times New Roman" w:eastAsia="仿宋_GB2312" w:cs="Calibri"/>
          <w:color w:val="auto"/>
          <w:sz w:val="28"/>
          <w:szCs w:val="28"/>
          <w:highlight w:val="none"/>
        </w:rPr>
      </w:pPr>
    </w:p>
    <w:p>
      <w:pPr>
        <w:ind w:firstLine="560" w:firstLineChars="200"/>
        <w:rPr>
          <w:rFonts w:hint="eastAsia" w:ascii="仿宋_GB2312" w:hAnsi="Times New Roman" w:eastAsia="仿宋_GB2312" w:cs="Calibri"/>
          <w:color w:val="auto"/>
          <w:sz w:val="28"/>
          <w:szCs w:val="28"/>
          <w:highlight w:val="none"/>
        </w:rPr>
      </w:pPr>
    </w:p>
    <w:p>
      <w:pPr>
        <w:ind w:firstLine="560" w:firstLineChars="200"/>
        <w:rPr>
          <w:rFonts w:hint="eastAsia" w:ascii="仿宋_GB2312" w:hAnsi="Times New Roman" w:eastAsia="仿宋_GB2312" w:cs="Calibri"/>
          <w:color w:val="auto"/>
          <w:sz w:val="28"/>
          <w:szCs w:val="28"/>
          <w:highlight w:val="none"/>
        </w:rPr>
      </w:pPr>
    </w:p>
    <w:p>
      <w:pPr>
        <w:ind w:firstLine="560" w:firstLineChars="200"/>
        <w:rPr>
          <w:rFonts w:hint="eastAsia" w:ascii="仿宋_GB2312" w:hAnsi="Times New Roman" w:eastAsia="仿宋_GB2312" w:cs="Calibri"/>
          <w:color w:val="auto"/>
          <w:sz w:val="28"/>
          <w:szCs w:val="28"/>
          <w:highlight w:val="none"/>
        </w:rPr>
      </w:pPr>
    </w:p>
    <w:p>
      <w:pPr>
        <w:ind w:firstLine="560" w:firstLineChars="200"/>
        <w:rPr>
          <w:rFonts w:hint="eastAsia" w:ascii="仿宋_GB2312" w:hAnsi="Times New Roman" w:eastAsia="仿宋_GB2312" w:cs="Calibri"/>
          <w:color w:val="auto"/>
          <w:sz w:val="28"/>
          <w:szCs w:val="28"/>
          <w:highlight w:val="none"/>
        </w:rPr>
      </w:pPr>
    </w:p>
    <w:p>
      <w:pPr>
        <w:ind w:firstLine="560" w:firstLineChars="200"/>
        <w:rPr>
          <w:rFonts w:hint="eastAsia" w:ascii="仿宋_GB2312" w:hAnsi="Times New Roman" w:eastAsia="仿宋_GB2312" w:cs="Calibri"/>
          <w:color w:val="auto"/>
          <w:sz w:val="28"/>
          <w:szCs w:val="28"/>
          <w:highlight w:val="none"/>
        </w:rPr>
      </w:pPr>
    </w:p>
    <w:p>
      <w:pPr>
        <w:ind w:firstLine="560" w:firstLineChars="200"/>
        <w:rPr>
          <w:rFonts w:ascii="仿宋_GB2312" w:hAnsi="Times New Roman" w:eastAsia="仿宋_GB2312"/>
          <w:color w:val="auto"/>
          <w:sz w:val="32"/>
          <w:szCs w:val="32"/>
          <w:highlight w:val="none"/>
        </w:rPr>
        <w:sectPr>
          <w:pgSz w:w="16838" w:h="11905" w:orient="landscape"/>
          <w:pgMar w:top="1440" w:right="1800" w:bottom="1440" w:left="1800" w:header="0" w:footer="0" w:gutter="0"/>
          <w:pgNumType w:fmt="numberInDash"/>
          <w:cols w:space="0" w:num="1"/>
          <w:titlePg/>
          <w:rtlGutter w:val="0"/>
          <w:docGrid w:linePitch="319" w:charSpace="0"/>
        </w:sectPr>
      </w:pPr>
      <w:r>
        <w:rPr>
          <w:rFonts w:hint="eastAsia" w:ascii="仿宋_GB2312" w:hAnsi="Times New Roman" w:eastAsia="仿宋_GB2312" w:cs="Calibri"/>
          <w:color w:val="auto"/>
          <w:sz w:val="28"/>
          <w:szCs w:val="28"/>
          <w:highlight w:val="none"/>
        </w:rPr>
        <w:t>注：1.“工种”类包括：现场施工管理人员、电工、焊工等。2.“有效期”：该工程施工时段。3.“证件编号”：按照“一人一编号”原则进行编排。4.照片为小一寸彩色照片。5.公章必须骑缝照片之上。</w:t>
      </w:r>
    </w:p>
    <w:p>
      <w:pPr>
        <w:ind w:right="87"/>
        <w:jc w:val="left"/>
        <w:rPr>
          <w:rFonts w:hint="default" w:ascii="黑体" w:hAnsi="黑体" w:eastAsia="黑体" w:cs="黑体"/>
          <w:b w:val="0"/>
          <w:bCs w:val="0"/>
          <w:color w:val="auto"/>
          <w:kern w:val="0"/>
          <w:sz w:val="24"/>
          <w:szCs w:val="24"/>
          <w:highlight w:val="none"/>
          <w:lang w:val="en-US" w:eastAsia="zh-CN"/>
        </w:rPr>
      </w:pPr>
      <w:permStart w:id="459" w:edGrp="everyone"/>
      <w:r>
        <w:rPr>
          <w:rFonts w:hint="eastAsia" w:ascii="黑体" w:hAnsi="黑体" w:eastAsia="黑体" w:cs="黑体"/>
          <w:b w:val="0"/>
          <w:bCs w:val="0"/>
          <w:color w:val="auto"/>
          <w:kern w:val="0"/>
          <w:sz w:val="24"/>
          <w:szCs w:val="24"/>
          <w:highlight w:val="none"/>
        </w:rPr>
        <w:t>附件</w:t>
      </w:r>
      <w:r>
        <w:rPr>
          <w:rFonts w:hint="eastAsia" w:ascii="黑体" w:hAnsi="黑体" w:eastAsia="黑体" w:cs="黑体"/>
          <w:b w:val="0"/>
          <w:bCs w:val="0"/>
          <w:color w:val="auto"/>
          <w:kern w:val="0"/>
          <w:sz w:val="24"/>
          <w:szCs w:val="24"/>
          <w:highlight w:val="none"/>
          <w:lang w:val="en-US" w:eastAsia="zh-CN"/>
        </w:rPr>
        <w:t>10</w:t>
      </w:r>
    </w:p>
    <w:permEnd w:id="459"/>
    <w:p>
      <w:pPr>
        <w:jc w:val="center"/>
        <w:rPr>
          <w:rFonts w:hint="eastAsia" w:ascii="方正小标宋简体" w:hAnsi="方正小标宋简体" w:eastAsia="方正小标宋简体" w:cs="方正小标宋简体"/>
          <w:b w:val="0"/>
          <w:bCs w:val="0"/>
          <w:color w:val="auto"/>
          <w:sz w:val="32"/>
          <w:szCs w:val="32"/>
          <w:highlight w:val="none"/>
        </w:rPr>
      </w:pPr>
      <w:r>
        <w:rPr>
          <w:rFonts w:hint="eastAsia" w:ascii="方正小标宋简体" w:hAnsi="方正小标宋简体" w:eastAsia="方正小标宋简体" w:cs="方正小标宋简体"/>
          <w:b w:val="0"/>
          <w:bCs w:val="0"/>
          <w:color w:val="auto"/>
          <w:sz w:val="32"/>
          <w:szCs w:val="32"/>
          <w:highlight w:val="none"/>
        </w:rPr>
        <w:t>施工现场安全管理处罚细则</w:t>
      </w:r>
    </w:p>
    <w:p>
      <w:pPr>
        <w:ind w:firstLine="480" w:firstLineChars="20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一、安全文明施工方面</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（一）进入工地的任何人员必须戴安全帽、扣好帽绳，违反者每人罚款100元。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（二）在施工现场作业的人员必须正确穿戴劳动保护用品，亚禁穿高跟鞋、拖鞋或光脚，违者每例罚款100元。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（三）酒后作业的，罚款300元。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（四）特种作业人员不持有效证件上岗的，罚款500元；超过有效期，罚款300元；人员未备案，罚款300元。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（五）在施工现场打架斗殴的，罚款1000元；工作时间在施工现场戏耍打闹的，罚款100元。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（六）施工人员私自拆除或随意挪动(用)施工现场的防护设施或消防设施、安全标志的，罚款500-1000元。</w:t>
      </w:r>
    </w:p>
    <w:p>
      <w:pPr>
        <w:keepNext w:val="0"/>
        <w:keepLines w:val="0"/>
        <w:widowControl/>
        <w:numPr>
          <w:ilvl w:val="255"/>
          <w:numId w:val="0"/>
        </w:numPr>
        <w:spacing w:before="0" w:after="0" w:line="240" w:lineRule="auto"/>
        <w:ind w:firstLine="480" w:firstLineChars="200"/>
        <w:jc w:val="left"/>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（七）在没有防护设施的高空、悬崖和陡坡上作业必须系好安全带，违者每例罚款100元。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（八）施工期间，外脚手架、钢井架各立面设置密目安全网和挡脚板，两侧面和外立面设置疏目安全网，违者每例罚款200-500元。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（九）从高处向下抛掷物品及建筑垃圾的，每件罚款500-1000元。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（十）安排未经三级安全教育和没有安全培训证的新工人上岗作业，每一人罚款200元。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（十一）木工拆卸顶架模板时，先将顶架满堂红拆卸，再拆梁板底板枋的，罚款500元。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（十二）井架无搭设方案或无验收使用，每台罚款200元。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（十三）凡施工机械应设防护罩的必须按规定设置，如没有设置安全防护罩的每台罚款200元。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（十四）在施工现场随地大小便，大便罚款300元/人/次，小便罚款100元/人/次。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（十五）进入施工现场禁烟区域吸烟，罚款200元/人/次。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（十六）施工现场不得使用电褥子、煤油炉、热得快、电炉、酒精炉、汽油炉，罚款1000元/台/次。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（十七）建筑物内和库房内不准住人，否则，罚款100元/人/次。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（十八）施工、装卸材料的过程中故意制造人为噪音、扬尘，罚款，500元/人/次。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（十九）施工现场做到活完场地清、不得有建筑垃圾，否则，罚款100元/处/次。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（二十）油漆库单独设置，否则，罚款200元/次。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（二十一）建筑垃圾及时分拣、运到指定的堆放点，否则，罚款100元/人/次。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（二十二）对其他单位已完成工序、工程造成破坏的，视破坏的情况和大小否罚款500-10000/处/次。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（二十三）未经许可擅自进入禁止区域或乱动电柜、电器、机械开关者的，100-500元/次。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（二十四）各种机械、材料进出场必须有进出门须登记，遵守现场的保卫规定，否则，罚款500元/人/次。</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（二十五）对于要求的隐患整改必须按照要求的时间完成，否则每拖延一天罚款500元。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（二十六）未按规定定期对施工现场作业人员的行为规范和安全措施的落实情况进行监督检查，每起扣除2000元。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（二十七）不配合安全检查(包括建设单位、监理单位和主管部门对工程项目的检查)，每起扣除1000元；对存在问题不落实整改，每起扣除2000元；重复发生上述同类问题，加倍扣除。</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（二十八）未按照甲方监理审批过总平面布置和安全文明施工管理制度、标准，制定安全技术措施计划，每起扣除2000元；未报甲方备案，每起扣除1000元。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（二十九）未建立完善相关安全记录台帐，每起扣除500元。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（三十）施工方案和安全措施未向全体施工人员交底，未经双方签字确认，每起扣除1000元，出现代签字的每起罚款500元。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（三十一）未按照国家规定为施工人员办理人身意外保险，每人次扣除1000元。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（三十二）未按规定配备具备相应的任职资格的专职安全员，每人次扣除1000-2000元。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（三十三）使用不符合资质要求的劳务分包单位，责令停止作业、终止合同，并扣除5000元；劳务分包未经甲方同意，扣除1000-5000元;使用不符合资格要求的人员，每人次扣除200-500元。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（三十四）未签订分包安全协议提前开工，责令停工并扣除2000-5000元。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（三十五）夜间施工对周边造成环境影响而被投诉，每起扣除2000元。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（三十六）交叉作业时未采取相应的隔离和措施施工等安全措施，每处扣除2000元。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（三十七）未执行对危险化学品采购、运输、储存、领用、保管、退库和废料处理的安全措施，每项扣除500-1000元。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（三十八）作业场所未按规定设置危险点告知牌，每处扣除500-1000元。</w:t>
      </w:r>
    </w:p>
    <w:p>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九）未为施工人员配备合格、规范的劳动防护用品，每起扣除1000元；施工人员未佩带和使用劳动防护用品，每人次扣除200元;未正确使用劳动防护用品的，每人次扣除100元。使用不合格的安全帽、安全带、绝缘鞋等劳动防护用品，视为未使用安全防护用品。</w:t>
      </w:r>
    </w:p>
    <w:p>
      <w:pPr>
        <w:ind w:left="105" w:firstLine="480" w:firstLineChars="20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二、工程实体方面</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（一）基坑支护无方案，未经过专家论证，未按方案实施，罚款 1000元。基坑周边堆料距坑边距离小于设计规定的每处罚款500元。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脚手架无方案施工的，罚款1000元。剪刀撑搭设情况、与建筑物拉接不符合方案的每处罚款300元。外脚手架架体要求高出建筑物1.2m，并与建筑物锚固，严禁随意抽取外脚手架棚板(延长累计1米为一处)，或拆卸拉顶的，违者每处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（三）模板工程方案未按规定编制与审批，高支模、大跨度模板方案未按规定组织专家论证就施工的罚款1000元。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（四）作业面临边防护未同步的每处罚款500元。“四口”无防护措施的每处罚款500元。“五临边”无防护措施的每处罚款500元。</w:t>
      </w:r>
    </w:p>
    <w:p>
      <w:pPr>
        <w:ind w:left="105" w:firstLine="480" w:firstLineChars="20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三、安全用电方面</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（一）无临时施工用电方案或无审批即实施的，每项罚款200元。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（二）配电箱、开关箱无防雨装置，箱体结构不符合要求，或安装位置不正确的，每处罚款50元。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（三）不按规定采用三相五线制，或不按规定采用三级配电、三级保护的，每处罚款200元。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（四）违反“一机、一闸、一漏、一箱”规定的，每处罚款 100 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（五）工地现场不得乱拉乱接电线，电线、电缆不得拖地，违者每项罚款100元。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（六）电工、焊工、机械工、起重机司机、架子工、工地内机动车辆驾驶员等特种作业人员无证上岗的，每项罚款200元。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（七）手持电动工具、潜水泵、电锯、移动式电气设备、宿舍用电线路等没有按规定装设漏电保护开关的，每项罚款100元。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（八）电焊机的电源线、焊钳或其接线的绝缘破损、接线柱无护罩的，每台罚款50元。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（九）乙炔发生器或乙炔气瓶没有防止回火安全装置的，气瓶间距小于5米，距离明火小于10米而又没有隔离措施的，现场没有防晒、防雨措施的，每处罚款100元。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（十）湿作业时未及时对灯线盒、地漏、管口等采取保护措施的，罚200元。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（十一）使用破损的插头或用导a线直接插在插座上的，罚200元。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（十二）违反焊割作业“十不烧”规定，每起扣除500元。</w:t>
      </w:r>
    </w:p>
    <w:p>
      <w:pPr>
        <w:ind w:left="105" w:firstLine="480" w:firstLineChars="20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四、现场消防方面</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（一）施工现场临时消防车通道未设置、不满足消防车通行、停靠和扑救作业要求的或者被堆物、堆料或者挤占的每发现一次罚款500元。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（二）施工现场消防管网未设置或不能保持充足的管网压力和流量的罚款500元。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（三）两个相邻消火栓间距大于60米每发现一次罚款200元。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（四）手提式灭火器配备地下室重点防火部位少于2组的或者地上重点防火部位、现场可燃材料库房、工程实体内明火作业部位少于1组的，每次罚款500元。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（五）易燃易爆物品库房或堆放处距离工程实体小于10m的每次罚款500元。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（六）现场内动用电气焊及明火作业未开动火证或动火地点与证上地点不符的，罚200元。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（七）未按规定在施工场所、生活区域配置消防设施和器材、设置消防安全标志和安全通道，每处扣除500-1000元；未定期组织检验、维修，保障消防设施和器材有效、完好，每起扣除500-1000元。</w:t>
      </w:r>
    </w:p>
    <w:p>
      <w:pPr>
        <w:ind w:left="105" w:firstLine="480" w:firstLineChars="20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五、设备管理方面</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（一）塔机方面</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（1）没有编制安装拆卸方案的罚款500元。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（2）作业人员无证上岗的罚款200元。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（3）无指挥人员或无证指挥的罚款100元。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（4）未按要求办理起重机械登记编号，塔机安装没有验收就使用的罚款1000元。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（5）塔机指挥不使用对讲机的罚款100元。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（6）违反“十不吊”的每次罚款500元。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（7）每天巡视检查未有详细的记录、未定期保养的每次罚款200元。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（二）施工电梯方面</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（1）司机无证上岗的罚款500元。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（2）没有编制安装拆卸方案的罚款500元。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（3）电梯安装后没有验收就使用的罚款1000元。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（4）楼层出入口没有安全防护门或有防护门不使用的每处罚款200元。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（5）超过规定承载人数的罚款500元。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（三）吊篮、施工升降机等方面</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（1）未进行检测、验收而投入使用，罚款1000元。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（2）施工升降机防护门10%以内未设置或常开的，每处罚款200元。</w:t>
      </w:r>
    </w:p>
    <w:p>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（3）大型起重机械安全装置不完善或失效，每台扣除500元。</w:t>
      </w:r>
    </w:p>
    <w:p>
      <w:pPr>
        <w:rPr>
          <w:rFonts w:hint="eastAsia" w:ascii="仿宋_GB2312" w:hAnsi="仿宋_GB2312" w:eastAsia="仿宋_GB2312" w:cs="仿宋_GB2312"/>
          <w:color w:val="auto"/>
          <w:sz w:val="24"/>
          <w:szCs w:val="24"/>
          <w:highlight w:val="none"/>
        </w:rPr>
        <w:sectPr>
          <w:pgSz w:w="11905" w:h="16838"/>
          <w:pgMar w:top="1440" w:right="1800" w:bottom="1440" w:left="1800" w:header="0" w:footer="0" w:gutter="0"/>
          <w:cols w:space="0" w:num="1"/>
          <w:titlePg/>
          <w:rtlGutter w:val="0"/>
          <w:docGrid w:linePitch="312" w:charSpace="0"/>
        </w:sectPr>
      </w:pPr>
    </w:p>
    <w:p>
      <w:pPr>
        <w:rPr>
          <w:rFonts w:hint="default" w:ascii="黑体" w:hAnsi="黑体" w:eastAsia="黑体" w:cs="黑体"/>
          <w:b w:val="0"/>
          <w:bCs w:val="0"/>
          <w:color w:val="auto"/>
          <w:sz w:val="24"/>
          <w:szCs w:val="24"/>
          <w:highlight w:val="none"/>
          <w:lang w:val="en-US" w:eastAsia="zh-CN"/>
        </w:rPr>
      </w:pPr>
      <w:permStart w:id="460" w:edGrp="everyone"/>
      <w:r>
        <w:rPr>
          <w:rFonts w:hint="eastAsia" w:ascii="黑体" w:hAnsi="黑体" w:eastAsia="黑体" w:cs="黑体"/>
          <w:b w:val="0"/>
          <w:bCs w:val="0"/>
          <w:color w:val="auto"/>
          <w:kern w:val="0"/>
          <w:sz w:val="24"/>
          <w:szCs w:val="24"/>
          <w:highlight w:val="none"/>
        </w:rPr>
        <w:t>附件</w:t>
      </w:r>
      <w:r>
        <w:rPr>
          <w:rFonts w:hint="eastAsia" w:ascii="黑体" w:hAnsi="黑体" w:eastAsia="黑体" w:cs="黑体"/>
          <w:b w:val="0"/>
          <w:bCs w:val="0"/>
          <w:color w:val="auto"/>
          <w:kern w:val="0"/>
          <w:sz w:val="24"/>
          <w:szCs w:val="24"/>
          <w:highlight w:val="none"/>
          <w:lang w:val="en-US" w:eastAsia="zh-CN"/>
        </w:rPr>
        <w:t>11</w:t>
      </w:r>
    </w:p>
    <w:permEnd w:id="460"/>
    <w:tbl>
      <w:tblPr>
        <w:tblStyle w:val="19"/>
        <w:tblW w:w="9750" w:type="dxa"/>
        <w:tblInd w:w="-408" w:type="dxa"/>
        <w:tblLayout w:type="fixed"/>
        <w:tblCellMar>
          <w:top w:w="0" w:type="dxa"/>
          <w:left w:w="108" w:type="dxa"/>
          <w:bottom w:w="0" w:type="dxa"/>
          <w:right w:w="108" w:type="dxa"/>
        </w:tblCellMar>
      </w:tblPr>
      <w:tblGrid>
        <w:gridCol w:w="694"/>
        <w:gridCol w:w="3919"/>
        <w:gridCol w:w="3693"/>
        <w:gridCol w:w="1444"/>
      </w:tblGrid>
      <w:tr>
        <w:tblPrEx>
          <w:tblCellMar>
            <w:top w:w="0" w:type="dxa"/>
            <w:left w:w="108" w:type="dxa"/>
            <w:bottom w:w="0" w:type="dxa"/>
            <w:right w:w="108" w:type="dxa"/>
          </w:tblCellMar>
        </w:tblPrEx>
        <w:trPr>
          <w:trHeight w:val="700" w:hRule="atLeast"/>
        </w:trPr>
        <w:tc>
          <w:tcPr>
            <w:tcW w:w="9750" w:type="dxa"/>
            <w:gridSpan w:val="4"/>
            <w:tcBorders>
              <w:top w:val="nil"/>
              <w:left w:val="nil"/>
              <w:bottom w:val="single" w:color="000000" w:sz="4" w:space="0"/>
              <w:right w:val="nil"/>
            </w:tcBorders>
            <w:vAlign w:val="center"/>
          </w:tcPr>
          <w:p>
            <w:pPr>
              <w:widowControl/>
              <w:jc w:val="center"/>
              <w:textAlignment w:val="center"/>
              <w:rPr>
                <w:rFonts w:ascii="宋体" w:hAnsi="宋体" w:cs="宋体"/>
                <w:color w:val="auto"/>
                <w:sz w:val="22"/>
                <w:szCs w:val="22"/>
                <w:highlight w:val="none"/>
              </w:rPr>
            </w:pPr>
            <w:r>
              <w:rPr>
                <w:rFonts w:hint="eastAsia" w:ascii="方正小标宋简体" w:hAnsi="方正小标宋简体" w:eastAsia="方正小标宋简体" w:cs="方正小标宋简体"/>
                <w:b w:val="0"/>
                <w:bCs w:val="0"/>
                <w:color w:val="auto"/>
                <w:sz w:val="32"/>
                <w:szCs w:val="32"/>
                <w:highlight w:val="none"/>
              </w:rPr>
              <w:t>日间施工标准化清单</w:t>
            </w:r>
          </w:p>
        </w:tc>
      </w:tr>
      <w:tr>
        <w:tblPrEx>
          <w:tblCellMar>
            <w:top w:w="0" w:type="dxa"/>
            <w:left w:w="108" w:type="dxa"/>
            <w:bottom w:w="0" w:type="dxa"/>
            <w:right w:w="108" w:type="dxa"/>
          </w:tblCellMar>
        </w:tblPrEx>
        <w:trPr>
          <w:trHeight w:val="496" w:hRule="atLeast"/>
        </w:trPr>
        <w:tc>
          <w:tcPr>
            <w:tcW w:w="4613"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b/>
                <w:bCs/>
                <w:color w:val="auto"/>
                <w:sz w:val="20"/>
                <w:szCs w:val="20"/>
                <w:highlight w:val="none"/>
              </w:rPr>
            </w:pPr>
            <w:r>
              <w:rPr>
                <w:rFonts w:hint="eastAsia" w:ascii="等线" w:hAnsi="等线" w:eastAsia="等线" w:cs="等线"/>
                <w:b/>
                <w:bCs/>
                <w:color w:val="auto"/>
                <w:kern w:val="0"/>
                <w:sz w:val="20"/>
                <w:szCs w:val="20"/>
                <w:highlight w:val="none"/>
                <w:lang w:bidi="ar"/>
              </w:rPr>
              <w:t>管控要点</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b/>
                <w:bCs/>
                <w:color w:val="auto"/>
                <w:sz w:val="20"/>
                <w:szCs w:val="20"/>
                <w:highlight w:val="none"/>
              </w:rPr>
            </w:pPr>
            <w:r>
              <w:rPr>
                <w:rFonts w:hint="eastAsia" w:ascii="等线" w:hAnsi="等线" w:eastAsia="等线" w:cs="等线"/>
                <w:b/>
                <w:bCs/>
                <w:color w:val="auto"/>
                <w:kern w:val="0"/>
                <w:sz w:val="20"/>
                <w:szCs w:val="20"/>
                <w:highlight w:val="none"/>
                <w:lang w:bidi="ar"/>
              </w:rPr>
              <w:t>注意事项</w:t>
            </w:r>
          </w:p>
        </w:tc>
        <w:tc>
          <w:tcPr>
            <w:tcW w:w="14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b/>
                <w:bCs/>
                <w:color w:val="auto"/>
                <w:sz w:val="20"/>
                <w:szCs w:val="20"/>
                <w:highlight w:val="none"/>
              </w:rPr>
            </w:pPr>
            <w:r>
              <w:rPr>
                <w:rFonts w:hint="eastAsia" w:ascii="等线" w:hAnsi="等线" w:eastAsia="等线" w:cs="等线"/>
                <w:b/>
                <w:bCs/>
                <w:color w:val="auto"/>
                <w:kern w:val="0"/>
                <w:sz w:val="20"/>
                <w:szCs w:val="20"/>
                <w:highlight w:val="none"/>
                <w:lang w:bidi="ar"/>
              </w:rPr>
              <w:t>记录情况</w:t>
            </w:r>
          </w:p>
        </w:tc>
      </w:tr>
      <w:tr>
        <w:tblPrEx>
          <w:tblCellMar>
            <w:top w:w="0" w:type="dxa"/>
            <w:left w:w="108" w:type="dxa"/>
            <w:bottom w:w="0" w:type="dxa"/>
            <w:right w:w="108" w:type="dxa"/>
          </w:tblCellMar>
        </w:tblPrEx>
        <w:trPr>
          <w:trHeight w:val="850"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总则</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展板</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要求展板上各类证件齐全，如占道、开挖、施工、延迟作业等证</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107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五牌一图</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工程概况牌、管理人员名单及监督电话牌、消防保卫牌、安全生产牌、文明施工牌和施工现场总平面图</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5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危险源公示牌</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前方施工、基坑开挖等公示</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77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安全警示标识</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当心坑洞、当心坠落、当心用电等警示标识</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施工单位安全员到位（实名制）</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需佩戴红袖章</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项目经理、现场负责人到位（实名制）</w:t>
            </w:r>
          </w:p>
        </w:tc>
        <w:tc>
          <w:tcPr>
            <w:tcW w:w="3693" w:type="dxa"/>
            <w:tcBorders>
              <w:top w:val="single" w:color="000000" w:sz="4" w:space="0"/>
              <w:left w:val="single" w:color="000000" w:sz="4" w:space="0"/>
              <w:bottom w:val="single" w:color="000000" w:sz="4" w:space="0"/>
              <w:right w:val="single" w:color="000000" w:sz="4" w:space="0"/>
            </w:tcBorders>
            <w:vAlign w:val="center"/>
          </w:tcPr>
          <w:p>
            <w:pPr>
              <w:jc w:val="left"/>
              <w:rPr>
                <w:rFonts w:ascii="等线" w:hAnsi="等线" w:eastAsia="等线" w:cs="等线"/>
                <w:color w:val="auto"/>
                <w:sz w:val="20"/>
                <w:szCs w:val="20"/>
                <w:highlight w:val="none"/>
              </w:rPr>
            </w:pP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90"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旁站监理到位（实名制）</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每个施工点一名旁站监理</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1153"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班前教育</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每日根据现场不同状况按实教育，对当天难点、危险点进行交底，如穿越地下管线、架空线、电车线、绿化带等</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84"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施工、监理日志</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检查前一天的记录，应有人员、施工工序、工程计量等记录</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0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整改通知单</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检查之前的整改单有无落实整改闭环</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0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特种作业人员证件核查（实名制）</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焊工、电工、吊装工等</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181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资料箱</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kern w:val="0"/>
                <w:sz w:val="20"/>
                <w:szCs w:val="20"/>
                <w:highlight w:val="none"/>
                <w:lang w:bidi="ar"/>
              </w:rPr>
            </w:pPr>
            <w:r>
              <w:rPr>
                <w:rFonts w:hint="eastAsia" w:ascii="等线" w:hAnsi="等线" w:eastAsia="等线" w:cs="等线"/>
                <w:color w:val="auto"/>
                <w:kern w:val="0"/>
                <w:sz w:val="20"/>
                <w:szCs w:val="20"/>
                <w:highlight w:val="none"/>
                <w:lang w:bidi="ar"/>
              </w:rPr>
              <w:t>当日参与施工所有人员的花名册、防疫一人一册；</w:t>
            </w:r>
          </w:p>
          <w:p>
            <w:pPr>
              <w:widowControl/>
              <w:jc w:val="left"/>
              <w:textAlignment w:val="center"/>
              <w:rPr>
                <w:rFonts w:ascii="等线" w:hAnsi="等线" w:eastAsia="等线" w:cs="等线"/>
                <w:color w:val="auto"/>
                <w:kern w:val="0"/>
                <w:sz w:val="20"/>
                <w:szCs w:val="20"/>
                <w:highlight w:val="none"/>
                <w:lang w:bidi="ar"/>
              </w:rPr>
            </w:pPr>
            <w:r>
              <w:rPr>
                <w:rFonts w:hint="eastAsia" w:ascii="等线" w:hAnsi="等线" w:eastAsia="等线" w:cs="等线"/>
                <w:color w:val="auto"/>
                <w:kern w:val="0"/>
                <w:sz w:val="20"/>
                <w:szCs w:val="20"/>
                <w:highlight w:val="none"/>
                <w:lang w:bidi="ar"/>
              </w:rPr>
              <w:t>当日涉及的施工工序的审批文件如动火作业、有限空间作业等;</w:t>
            </w:r>
          </w:p>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所有特殊工种作业人员的特殊工种作业证</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815"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监控</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1个工作面1个监控，可连接手机观看</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现场打开监控APP检查，不满足条件不允许开工</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15"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监控是否能清晰看到施工面</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不满足条件及时调整位置</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46"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人身安全</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安全帽是否过期</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检查有效日期，过期及时更换</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有无穿戴反光衣</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提醒穿戴</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40"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有无急救箱</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应有止血贴、纱布等</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作业人员有无佩戴防护手套</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提醒穿戴</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87"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交疏围蔽</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是否按交疏方案进行围蔽</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现场查看交警批准的交疏方案</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5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施工面前后围蔽长度是否足够</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按规范留有足够缓冲带</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756"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在围蔽来车方向放置一部车辆作为防撞缓冲</w:t>
            </w:r>
          </w:p>
        </w:tc>
        <w:tc>
          <w:tcPr>
            <w:tcW w:w="3693" w:type="dxa"/>
            <w:tcBorders>
              <w:top w:val="single" w:color="000000" w:sz="4" w:space="0"/>
              <w:left w:val="single" w:color="000000" w:sz="4" w:space="0"/>
              <w:bottom w:val="single" w:color="000000" w:sz="4" w:space="0"/>
              <w:right w:val="single" w:color="000000" w:sz="4" w:space="0"/>
            </w:tcBorders>
            <w:vAlign w:val="center"/>
          </w:tcPr>
          <w:p>
            <w:pPr>
              <w:jc w:val="left"/>
              <w:rPr>
                <w:rFonts w:ascii="等线" w:hAnsi="等线" w:eastAsia="等线" w:cs="等线"/>
                <w:color w:val="auto"/>
                <w:sz w:val="20"/>
                <w:szCs w:val="20"/>
                <w:highlight w:val="none"/>
              </w:rPr>
            </w:pP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365"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爆闪灯、警示灯、信号灯等是否足够</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有损坏及时更换，数量不足及时补充</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箭头指示灯、车流、行人导向标识</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设置在来车方向</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5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雪糕桶、水马、隔栏是否足够</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有损坏及时更换，数量不足及时补充</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疏导员是否足够</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记录人数</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03"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施工人员是否随意横穿马路</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作业期间是否提前撤走设备</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39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有无测分贝仪及打路面时分贝</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记录分贝</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7"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用火安全</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瓶身是否完好，有否防倾倒装置</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有损坏及时更换，缺少装置及时整改</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96"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动火作业审批</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查看申请时间、审批人员，严禁造假</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压力表是否完好</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有损坏及时更换</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365"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有无防回火装置</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有损坏及时更换，缺少装置及时整改</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9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乙炔瓶与氧气瓶间隔最少5米摆放</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5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瓶子是否远离火源及施工现场</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0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现场是否配备灭火装置</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检查有效日期，记录数量</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2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焊工有无特殊作业证</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实名制</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40"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施工现场有无人员抽烟</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如有，记录数量进行扣罚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8"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用电安全</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电缆有否有破损、是否架空</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用黄色专用三脚架架空，严禁拖地或违规架设</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00"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电箱有无检查记录及检查时间</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检查及记录人员应为有特殊作业证的电工</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发电机、配电箱有否接地</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附近要有危险警示标识</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漏电开关是否正常</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有损坏及时更换</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7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电工有无特殊作业证</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实名制</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53"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有无防止触电等安全警示牌及标识</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如无，及时补充</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34"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LED灯接线柱是否有绝缘防护</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如无，及时补充</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电箱开关上是否有对应设备标识</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如无，及时补充</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90"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发电机是否远离施工现场</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78"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有限空间作业安全</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有无通风设备</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鼓风机、送风带</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65"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有限空间作业审批</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查看申请时间、审批人员，严禁造假</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300"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有无毒气检测设备</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进入有限空间前记录数值</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进入管道内施工人员是否佩戴安全绳</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佩戴才能进入基坑</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719"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基坑作业</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施工作业机具转动半径是否超出围蔽范围</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专人指挥作业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淤泥外运车辆有否相关检测、运输证</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进场前进行检查</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90"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重型机械有否骑压管坑</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34"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破路面时有无喷水</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防尘专项方案</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75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淤泥外运车辆是否堆放过高，车身、车轮是否冲洗干净</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7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有无钢梯，钢梯是否满足要求</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有损坏及时更换，缺少装置及时整改</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33"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基坑是否有积水</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严禁积水乱排放</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5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有无配备抽水泵</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台数、大小</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122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是否存在基坑裸露而不施工的情况</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kern w:val="0"/>
                <w:sz w:val="20"/>
                <w:szCs w:val="20"/>
                <w:highlight w:val="none"/>
                <w:lang w:bidi="ar"/>
              </w:rPr>
            </w:pPr>
            <w:r>
              <w:rPr>
                <w:rFonts w:hint="eastAsia" w:ascii="等线" w:hAnsi="等线" w:eastAsia="等线" w:cs="等线"/>
                <w:color w:val="auto"/>
                <w:kern w:val="0"/>
                <w:sz w:val="20"/>
                <w:szCs w:val="20"/>
                <w:highlight w:val="none"/>
                <w:lang w:bidi="ar"/>
              </w:rPr>
              <w:t>如有特殊原因致使基坑裸露，应设置临边防护及铺设防坠网以及警示标识；</w:t>
            </w:r>
          </w:p>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如无原因，应及时提醒回填，累犯扣罚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122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是否有淤泥不及时外运的情况</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kern w:val="0"/>
                <w:sz w:val="20"/>
                <w:szCs w:val="20"/>
                <w:highlight w:val="none"/>
                <w:lang w:bidi="ar"/>
              </w:rPr>
            </w:pPr>
            <w:r>
              <w:rPr>
                <w:rFonts w:hint="eastAsia" w:ascii="等线" w:hAnsi="等线" w:eastAsia="等线" w:cs="等线"/>
                <w:color w:val="auto"/>
                <w:kern w:val="0"/>
                <w:sz w:val="20"/>
                <w:szCs w:val="20"/>
                <w:highlight w:val="none"/>
                <w:lang w:bidi="ar"/>
              </w:rPr>
              <w:t>如有特殊原因致使淤泥无法及时装车运走，覆盖绿网；</w:t>
            </w:r>
          </w:p>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如无原因，应及时提醒运走，累犯扣罚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53"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是否回填前就拆除支护</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7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基坑作业完成后有否清点人数</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记录人数</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27"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地下管线</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有无探到地下管线及做好标识</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记录地下管线种类</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5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有否通知产权单位相关人员到场旁站施工</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记录到场产权单位及人员数量、名字</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0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图上是否有该管，迁改还是保护</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记录作为变更依据</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32"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管道安装</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管道吊装</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检查吊装司机证件、吊装丝索和防脱钩装置是否完好</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管道卸载</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下地前铺垫木方进行固定</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0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是否按图做好支护</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记录支护方式及数量</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53"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有无横撑、腰梁</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是否按图施工</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34"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有无配备虾壳弯</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记录数量</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53"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球管胶圈</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是否完好无损</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4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管道焊接</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检测单位是否到场</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1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管道防腐</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焊接后冷却一定时间才能按图进行防腐</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96"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路面修复</w:t>
            </w: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钢板</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记录数量及尺寸</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沥青冷料</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记录数量</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45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回填时有无分层压实</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按要求达到密实度</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74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恢复后有无坑洼不平</w:t>
            </w:r>
          </w:p>
        </w:tc>
        <w:tc>
          <w:tcPr>
            <w:tcW w:w="369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每次2日对路面进行巡查，把照片发到工作群内</w:t>
            </w:r>
          </w:p>
        </w:tc>
        <w:tc>
          <w:tcPr>
            <w:tcW w:w="1444"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24" w:hRule="atLeast"/>
        </w:trPr>
        <w:tc>
          <w:tcPr>
            <w:tcW w:w="9750" w:type="dxa"/>
            <w:gridSpan w:val="4"/>
            <w:vMerge w:val="restart"/>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其他需落实工作：</w:t>
            </w:r>
          </w:p>
        </w:tc>
      </w:tr>
      <w:tr>
        <w:tblPrEx>
          <w:tblCellMar>
            <w:top w:w="0" w:type="dxa"/>
            <w:left w:w="108" w:type="dxa"/>
            <w:bottom w:w="0" w:type="dxa"/>
            <w:right w:w="108" w:type="dxa"/>
          </w:tblCellMar>
        </w:tblPrEx>
        <w:trPr>
          <w:trHeight w:val="624" w:hRule="atLeast"/>
        </w:trPr>
        <w:tc>
          <w:tcPr>
            <w:tcW w:w="9750" w:type="dxa"/>
            <w:gridSpan w:val="4"/>
            <w:vMerge w:val="continue"/>
            <w:tcBorders>
              <w:top w:val="single" w:color="000000" w:sz="4" w:space="0"/>
              <w:left w:val="single" w:color="000000" w:sz="4" w:space="0"/>
              <w:bottom w:val="single" w:color="000000" w:sz="4" w:space="0"/>
              <w:right w:val="single" w:color="000000" w:sz="4" w:space="0"/>
            </w:tcBorders>
          </w:tcPr>
          <w:p>
            <w:pPr>
              <w:jc w:val="left"/>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24" w:hRule="atLeast"/>
        </w:trPr>
        <w:tc>
          <w:tcPr>
            <w:tcW w:w="9750" w:type="dxa"/>
            <w:gridSpan w:val="4"/>
            <w:vMerge w:val="continue"/>
            <w:tcBorders>
              <w:top w:val="single" w:color="000000" w:sz="4" w:space="0"/>
              <w:left w:val="single" w:color="000000" w:sz="4" w:space="0"/>
              <w:bottom w:val="single" w:color="000000" w:sz="4" w:space="0"/>
              <w:right w:val="single" w:color="000000" w:sz="4" w:space="0"/>
            </w:tcBorders>
          </w:tcPr>
          <w:p>
            <w:pPr>
              <w:jc w:val="left"/>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24" w:hRule="atLeast"/>
        </w:trPr>
        <w:tc>
          <w:tcPr>
            <w:tcW w:w="9750" w:type="dxa"/>
            <w:gridSpan w:val="4"/>
            <w:vMerge w:val="continue"/>
            <w:tcBorders>
              <w:top w:val="single" w:color="000000" w:sz="4" w:space="0"/>
              <w:left w:val="single" w:color="000000" w:sz="4" w:space="0"/>
              <w:bottom w:val="single" w:color="000000" w:sz="4" w:space="0"/>
              <w:right w:val="single" w:color="000000" w:sz="4" w:space="0"/>
            </w:tcBorders>
          </w:tcPr>
          <w:p>
            <w:pPr>
              <w:jc w:val="left"/>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312" w:hRule="atLeast"/>
        </w:trPr>
        <w:tc>
          <w:tcPr>
            <w:tcW w:w="9750" w:type="dxa"/>
            <w:gridSpan w:val="4"/>
            <w:vMerge w:val="continue"/>
            <w:tcBorders>
              <w:top w:val="single" w:color="000000" w:sz="4" w:space="0"/>
              <w:left w:val="single" w:color="000000" w:sz="4" w:space="0"/>
              <w:bottom w:val="single" w:color="000000" w:sz="4" w:space="0"/>
              <w:right w:val="single" w:color="000000" w:sz="4" w:space="0"/>
            </w:tcBorders>
          </w:tcPr>
          <w:p>
            <w:pPr>
              <w:jc w:val="left"/>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24" w:hRule="atLeast"/>
        </w:trPr>
        <w:tc>
          <w:tcPr>
            <w:tcW w:w="4613" w:type="dxa"/>
            <w:gridSpan w:val="2"/>
            <w:vMerge w:val="restart"/>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施工路段：</w:t>
            </w:r>
          </w:p>
        </w:tc>
        <w:tc>
          <w:tcPr>
            <w:tcW w:w="5137" w:type="dxa"/>
            <w:gridSpan w:val="2"/>
            <w:vMerge w:val="restart"/>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值班业主代表：</w:t>
            </w:r>
          </w:p>
        </w:tc>
      </w:tr>
      <w:tr>
        <w:tblPrEx>
          <w:tblCellMar>
            <w:top w:w="0" w:type="dxa"/>
            <w:left w:w="108" w:type="dxa"/>
            <w:bottom w:w="0" w:type="dxa"/>
            <w:right w:w="108" w:type="dxa"/>
          </w:tblCellMar>
        </w:tblPrEx>
        <w:trPr>
          <w:trHeight w:val="312" w:hRule="atLeast"/>
        </w:trPr>
        <w:tc>
          <w:tcPr>
            <w:tcW w:w="4613" w:type="dxa"/>
            <w:gridSpan w:val="2"/>
            <w:vMerge w:val="continue"/>
            <w:tcBorders>
              <w:top w:val="single" w:color="000000" w:sz="4" w:space="0"/>
              <w:left w:val="single" w:color="000000" w:sz="4" w:space="0"/>
              <w:bottom w:val="single" w:color="000000" w:sz="4" w:space="0"/>
              <w:right w:val="single" w:color="000000" w:sz="4" w:space="0"/>
            </w:tcBorders>
          </w:tcPr>
          <w:p>
            <w:pPr>
              <w:jc w:val="left"/>
              <w:rPr>
                <w:rFonts w:ascii="等线" w:hAnsi="等线" w:eastAsia="等线" w:cs="等线"/>
                <w:color w:val="auto"/>
                <w:sz w:val="20"/>
                <w:szCs w:val="20"/>
                <w:highlight w:val="none"/>
              </w:rPr>
            </w:pPr>
          </w:p>
        </w:tc>
        <w:tc>
          <w:tcPr>
            <w:tcW w:w="5137" w:type="dxa"/>
            <w:gridSpan w:val="2"/>
            <w:vMerge w:val="continue"/>
            <w:tcBorders>
              <w:top w:val="single" w:color="000000" w:sz="4" w:space="0"/>
              <w:left w:val="single" w:color="000000" w:sz="4" w:space="0"/>
              <w:bottom w:val="single" w:color="000000" w:sz="4" w:space="0"/>
              <w:right w:val="single" w:color="000000" w:sz="4" w:space="0"/>
            </w:tcBorders>
          </w:tcPr>
          <w:p>
            <w:pPr>
              <w:jc w:val="left"/>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trHeight w:val="624" w:hRule="atLeast"/>
        </w:trPr>
        <w:tc>
          <w:tcPr>
            <w:tcW w:w="4613" w:type="dxa"/>
            <w:gridSpan w:val="2"/>
            <w:vMerge w:val="restart"/>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旁站监理：</w:t>
            </w:r>
          </w:p>
        </w:tc>
        <w:tc>
          <w:tcPr>
            <w:tcW w:w="5137" w:type="dxa"/>
            <w:gridSpan w:val="2"/>
            <w:vMerge w:val="restart"/>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施工负责人：</w:t>
            </w:r>
          </w:p>
        </w:tc>
      </w:tr>
      <w:tr>
        <w:tblPrEx>
          <w:tblCellMar>
            <w:top w:w="0" w:type="dxa"/>
            <w:left w:w="108" w:type="dxa"/>
            <w:bottom w:w="0" w:type="dxa"/>
            <w:right w:w="108" w:type="dxa"/>
          </w:tblCellMar>
        </w:tblPrEx>
        <w:trPr>
          <w:trHeight w:val="312" w:hRule="atLeast"/>
        </w:trPr>
        <w:tc>
          <w:tcPr>
            <w:tcW w:w="4613" w:type="dxa"/>
            <w:gridSpan w:val="2"/>
            <w:vMerge w:val="continue"/>
            <w:tcBorders>
              <w:top w:val="single" w:color="000000" w:sz="4" w:space="0"/>
              <w:left w:val="single" w:color="000000" w:sz="4" w:space="0"/>
              <w:bottom w:val="single" w:color="000000" w:sz="4" w:space="0"/>
              <w:right w:val="single" w:color="000000" w:sz="4" w:space="0"/>
            </w:tcBorders>
          </w:tcPr>
          <w:p>
            <w:pPr>
              <w:jc w:val="left"/>
              <w:rPr>
                <w:rFonts w:ascii="等线" w:hAnsi="等线" w:eastAsia="等线" w:cs="等线"/>
                <w:color w:val="auto"/>
                <w:sz w:val="20"/>
                <w:szCs w:val="20"/>
                <w:highlight w:val="none"/>
              </w:rPr>
            </w:pPr>
          </w:p>
        </w:tc>
        <w:tc>
          <w:tcPr>
            <w:tcW w:w="5137" w:type="dxa"/>
            <w:gridSpan w:val="2"/>
            <w:vMerge w:val="continue"/>
            <w:tcBorders>
              <w:top w:val="single" w:color="000000" w:sz="4" w:space="0"/>
              <w:left w:val="single" w:color="000000" w:sz="4" w:space="0"/>
              <w:bottom w:val="single" w:color="000000" w:sz="4" w:space="0"/>
              <w:right w:val="single" w:color="000000" w:sz="4" w:space="0"/>
            </w:tcBorders>
          </w:tcPr>
          <w:p>
            <w:pPr>
              <w:jc w:val="left"/>
              <w:rPr>
                <w:rFonts w:ascii="等线" w:hAnsi="等线" w:eastAsia="等线" w:cs="等线"/>
                <w:color w:val="auto"/>
                <w:sz w:val="20"/>
                <w:szCs w:val="20"/>
                <w:highlight w:val="none"/>
              </w:rPr>
            </w:pPr>
          </w:p>
        </w:tc>
      </w:tr>
    </w:tbl>
    <w:p>
      <w:pPr>
        <w:rPr>
          <w:rFonts w:ascii="黑体" w:hAnsi="黑体" w:eastAsia="黑体" w:cs="黑体"/>
          <w:color w:val="auto"/>
          <w:highlight w:val="none"/>
        </w:rPr>
        <w:sectPr>
          <w:pgSz w:w="11905" w:h="16838"/>
          <w:pgMar w:top="1440" w:right="1800" w:bottom="1440" w:left="1800" w:header="0" w:footer="0" w:gutter="0"/>
          <w:cols w:space="0" w:num="1"/>
          <w:titlePg/>
          <w:rtlGutter w:val="0"/>
          <w:docGrid w:linePitch="312" w:charSpace="0"/>
        </w:sectPr>
      </w:pPr>
    </w:p>
    <w:tbl>
      <w:tblPr>
        <w:tblStyle w:val="19"/>
        <w:tblW w:w="9506" w:type="dxa"/>
        <w:tblInd w:w="-333" w:type="dxa"/>
        <w:tblLayout w:type="fixed"/>
        <w:tblCellMar>
          <w:top w:w="0" w:type="dxa"/>
          <w:left w:w="108" w:type="dxa"/>
          <w:bottom w:w="0" w:type="dxa"/>
          <w:right w:w="108" w:type="dxa"/>
        </w:tblCellMar>
      </w:tblPr>
      <w:tblGrid>
        <w:gridCol w:w="1106"/>
        <w:gridCol w:w="909"/>
        <w:gridCol w:w="776"/>
        <w:gridCol w:w="2984"/>
        <w:gridCol w:w="1014"/>
        <w:gridCol w:w="2717"/>
      </w:tblGrid>
      <w:tr>
        <w:tblPrEx>
          <w:tblCellMar>
            <w:top w:w="0" w:type="dxa"/>
            <w:left w:w="108" w:type="dxa"/>
            <w:bottom w:w="0" w:type="dxa"/>
            <w:right w:w="108" w:type="dxa"/>
          </w:tblCellMar>
        </w:tblPrEx>
        <w:trPr>
          <w:trHeight w:val="1079" w:hRule="atLeast"/>
        </w:trPr>
        <w:tc>
          <w:tcPr>
            <w:tcW w:w="9506" w:type="dxa"/>
            <w:gridSpan w:val="6"/>
            <w:tcBorders>
              <w:top w:val="nil"/>
              <w:left w:val="nil"/>
              <w:bottom w:val="nil"/>
              <w:right w:val="nil"/>
            </w:tcBorders>
            <w:noWrap/>
            <w:vAlign w:val="center"/>
          </w:tcPr>
          <w:p>
            <w:pPr>
              <w:ind w:right="87" w:firstLine="480" w:firstLineChars="200"/>
              <w:rPr>
                <w:rFonts w:hint="default" w:ascii="黑体" w:hAnsi="黑体" w:eastAsia="黑体" w:cs="黑体"/>
                <w:b w:val="0"/>
                <w:bCs w:val="0"/>
                <w:color w:val="auto"/>
                <w:sz w:val="24"/>
                <w:szCs w:val="24"/>
                <w:highlight w:val="none"/>
                <w:lang w:val="en-US" w:eastAsia="zh-CN"/>
              </w:rPr>
            </w:pPr>
            <w:permStart w:id="461" w:edGrp="everyone"/>
            <w:r>
              <w:rPr>
                <w:rFonts w:hint="eastAsia" w:ascii="黑体" w:hAnsi="黑体" w:eastAsia="黑体" w:cs="黑体"/>
                <w:b w:val="0"/>
                <w:bCs w:val="0"/>
                <w:color w:val="auto"/>
                <w:sz w:val="24"/>
                <w:szCs w:val="24"/>
                <w:highlight w:val="none"/>
              </w:rPr>
              <w:t>附件</w:t>
            </w:r>
            <w:r>
              <w:rPr>
                <w:rFonts w:hint="eastAsia" w:ascii="黑体" w:hAnsi="黑体" w:eastAsia="黑体" w:cs="黑体"/>
                <w:b w:val="0"/>
                <w:bCs w:val="0"/>
                <w:color w:val="auto"/>
                <w:sz w:val="24"/>
                <w:szCs w:val="24"/>
                <w:highlight w:val="none"/>
                <w:lang w:val="en-US" w:eastAsia="zh-CN"/>
              </w:rPr>
              <w:t>12</w:t>
            </w:r>
          </w:p>
          <w:permEnd w:id="461"/>
          <w:p>
            <w:pPr>
              <w:widowControl/>
              <w:jc w:val="center"/>
              <w:textAlignment w:val="center"/>
              <w:rPr>
                <w:rFonts w:ascii="方正小标宋简体" w:hAnsi="方正小标宋简体" w:eastAsia="方正小标宋简体" w:cs="方正小标宋简体"/>
                <w:color w:val="auto"/>
                <w:sz w:val="56"/>
                <w:szCs w:val="56"/>
                <w:highlight w:val="none"/>
              </w:rPr>
            </w:pPr>
            <w:r>
              <w:rPr>
                <w:rFonts w:hint="eastAsia" w:ascii="方正小标宋简体" w:hAnsi="方正小标宋简体" w:eastAsia="方正小标宋简体" w:cs="方正小标宋简体"/>
                <w:b w:val="0"/>
                <w:bCs w:val="0"/>
                <w:color w:val="auto"/>
                <w:sz w:val="32"/>
                <w:szCs w:val="32"/>
                <w:highlight w:val="none"/>
              </w:rPr>
              <w:t>夜间施工标准化清单</w:t>
            </w:r>
          </w:p>
        </w:tc>
      </w:tr>
      <w:tr>
        <w:tblPrEx>
          <w:tblCellMar>
            <w:top w:w="0" w:type="dxa"/>
            <w:left w:w="108" w:type="dxa"/>
            <w:bottom w:w="0" w:type="dxa"/>
            <w:right w:w="108" w:type="dxa"/>
          </w:tblCellMar>
        </w:tblPrEx>
        <w:trPr>
          <w:trHeight w:val="748" w:hRule="atLeast"/>
        </w:trPr>
        <w:tc>
          <w:tcPr>
            <w:tcW w:w="2015" w:type="dxa"/>
            <w:gridSpan w:val="2"/>
            <w:tcBorders>
              <w:top w:val="nil"/>
              <w:left w:val="nil"/>
              <w:bottom w:val="single" w:color="000000" w:sz="8" w:space="0"/>
              <w:right w:val="nil"/>
            </w:tcBorders>
            <w:noWrap/>
            <w:vAlign w:val="center"/>
          </w:tcPr>
          <w:p>
            <w:pPr>
              <w:widowControl/>
              <w:jc w:val="left"/>
              <w:textAlignment w:val="center"/>
              <w:rPr>
                <w:rFonts w:ascii="等线" w:hAnsi="等线" w:eastAsia="等线" w:cs="等线"/>
                <w:color w:val="auto"/>
                <w:sz w:val="36"/>
                <w:szCs w:val="36"/>
                <w:highlight w:val="none"/>
              </w:rPr>
            </w:pPr>
            <w:r>
              <w:rPr>
                <w:rFonts w:hint="eastAsia" w:ascii="等线" w:hAnsi="等线" w:eastAsia="等线" w:cs="等线"/>
                <w:color w:val="auto"/>
                <w:kern w:val="0"/>
                <w:sz w:val="18"/>
                <w:szCs w:val="18"/>
                <w:highlight w:val="none"/>
                <w:lang w:bidi="ar"/>
              </w:rPr>
              <w:t>工程名称：</w:t>
            </w:r>
            <w:r>
              <w:rPr>
                <w:rFonts w:hint="eastAsia" w:ascii="等线" w:hAnsi="等线" w:eastAsia="等线" w:cs="等线"/>
                <w:color w:val="auto"/>
                <w:kern w:val="0"/>
                <w:sz w:val="36"/>
                <w:szCs w:val="36"/>
                <w:highlight w:val="none"/>
                <w:lang w:bidi="ar"/>
              </w:rPr>
              <w:t>　　　　　　　　　　　　　　　　　　　　　　　　　</w:t>
            </w:r>
          </w:p>
        </w:tc>
        <w:tc>
          <w:tcPr>
            <w:tcW w:w="776" w:type="dxa"/>
            <w:tcBorders>
              <w:top w:val="nil"/>
              <w:left w:val="nil"/>
              <w:bottom w:val="single" w:color="000000" w:sz="8" w:space="0"/>
              <w:right w:val="nil"/>
            </w:tcBorders>
            <w:noWrap/>
            <w:vAlign w:val="bottom"/>
          </w:tcPr>
          <w:p>
            <w:pPr>
              <w:rPr>
                <w:rFonts w:ascii="等线" w:hAnsi="等线" w:eastAsia="等线" w:cs="等线"/>
                <w:color w:val="auto"/>
                <w:sz w:val="36"/>
                <w:szCs w:val="36"/>
                <w:highlight w:val="none"/>
              </w:rPr>
            </w:pPr>
          </w:p>
        </w:tc>
        <w:tc>
          <w:tcPr>
            <w:tcW w:w="3998" w:type="dxa"/>
            <w:gridSpan w:val="2"/>
            <w:tcBorders>
              <w:top w:val="nil"/>
              <w:left w:val="nil"/>
              <w:bottom w:val="single" w:color="000000" w:sz="8" w:space="0"/>
              <w:right w:val="nil"/>
            </w:tcBorders>
            <w:noWrap/>
            <w:vAlign w:val="bottom"/>
          </w:tcPr>
          <w:p>
            <w:pPr>
              <w:rPr>
                <w:rFonts w:ascii="等线" w:hAnsi="等线" w:eastAsia="等线" w:cs="等线"/>
                <w:color w:val="auto"/>
                <w:sz w:val="36"/>
                <w:szCs w:val="36"/>
                <w:highlight w:val="none"/>
              </w:rPr>
            </w:pPr>
          </w:p>
        </w:tc>
        <w:tc>
          <w:tcPr>
            <w:tcW w:w="2717" w:type="dxa"/>
            <w:tcBorders>
              <w:top w:val="nil"/>
              <w:left w:val="nil"/>
              <w:bottom w:val="single" w:color="000000" w:sz="8" w:space="0"/>
              <w:right w:val="nil"/>
            </w:tcBorders>
            <w:noWrap/>
            <w:vAlign w:val="bottom"/>
          </w:tcPr>
          <w:p>
            <w:pPr>
              <w:rPr>
                <w:rFonts w:ascii="等线" w:hAnsi="等线" w:eastAsia="等线" w:cs="等线"/>
                <w:color w:val="auto"/>
                <w:sz w:val="36"/>
                <w:szCs w:val="36"/>
                <w:highlight w:val="none"/>
              </w:rPr>
            </w:pPr>
          </w:p>
        </w:tc>
      </w:tr>
      <w:tr>
        <w:tblPrEx>
          <w:tblCellMar>
            <w:top w:w="0" w:type="dxa"/>
            <w:left w:w="108" w:type="dxa"/>
            <w:bottom w:w="0" w:type="dxa"/>
            <w:right w:w="108" w:type="dxa"/>
          </w:tblCellMar>
        </w:tblPrEx>
        <w:trPr>
          <w:trHeight w:val="436" w:hRule="atLeast"/>
        </w:trPr>
        <w:tc>
          <w:tcPr>
            <w:tcW w:w="1106" w:type="dxa"/>
            <w:vMerge w:val="restart"/>
            <w:tcBorders>
              <w:top w:val="nil"/>
              <w:left w:val="single" w:color="000000" w:sz="4" w:space="0"/>
              <w:bottom w:val="single" w:color="000000" w:sz="4" w:space="0"/>
              <w:right w:val="single" w:color="000000" w:sz="4" w:space="0"/>
              <w:tl2br w:val="single" w:color="000000" w:sz="4" w:space="0"/>
            </w:tcBorders>
          </w:tcPr>
          <w:p>
            <w:pPr>
              <w:widowControl/>
              <w:jc w:val="left"/>
              <w:textAlignment w:val="top"/>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 xml:space="preserve">  工序时间</w:t>
            </w:r>
          </w:p>
          <w:p>
            <w:pPr>
              <w:widowControl/>
              <w:jc w:val="left"/>
              <w:textAlignment w:val="top"/>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 xml:space="preserve">                  要素                </w:t>
            </w:r>
          </w:p>
        </w:tc>
        <w:tc>
          <w:tcPr>
            <w:tcW w:w="4669" w:type="dxa"/>
            <w:gridSpan w:val="3"/>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T1（21：30-22：15）</w:t>
            </w:r>
          </w:p>
        </w:tc>
        <w:tc>
          <w:tcPr>
            <w:tcW w:w="3731" w:type="dxa"/>
            <w:gridSpan w:val="2"/>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T2（22：15-00：30）</w:t>
            </w:r>
          </w:p>
        </w:tc>
      </w:tr>
      <w:tr>
        <w:tblPrEx>
          <w:tblCellMar>
            <w:top w:w="0" w:type="dxa"/>
            <w:left w:w="108" w:type="dxa"/>
            <w:bottom w:w="0" w:type="dxa"/>
            <w:right w:w="108" w:type="dxa"/>
          </w:tblCellMar>
        </w:tblPrEx>
        <w:trPr>
          <w:trHeight w:val="439" w:hRule="atLeast"/>
        </w:trPr>
        <w:tc>
          <w:tcPr>
            <w:tcW w:w="1106" w:type="dxa"/>
            <w:vMerge w:val="continue"/>
            <w:tcBorders>
              <w:top w:val="nil"/>
              <w:left w:val="single" w:color="000000" w:sz="4" w:space="0"/>
              <w:bottom w:val="single" w:color="000000" w:sz="4" w:space="0"/>
              <w:right w:val="single" w:color="000000" w:sz="4" w:space="0"/>
              <w:tl2br w:val="single" w:color="000000" w:sz="4" w:space="0"/>
            </w:tcBorders>
          </w:tcPr>
          <w:p>
            <w:pPr>
              <w:jc w:val="left"/>
              <w:rPr>
                <w:rFonts w:ascii="微软雅黑" w:hAnsi="微软雅黑" w:eastAsia="微软雅黑" w:cs="微软雅黑"/>
                <w:color w:val="auto"/>
                <w:sz w:val="16"/>
                <w:szCs w:val="16"/>
                <w:highlight w:val="none"/>
              </w:rPr>
            </w:pPr>
          </w:p>
        </w:tc>
        <w:tc>
          <w:tcPr>
            <w:tcW w:w="4669"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施工前准备工作、交疏围蔽</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路面打凿、管坑支护、管坑开挖、测量标高</w:t>
            </w:r>
          </w:p>
        </w:tc>
      </w:tr>
      <w:tr>
        <w:tblPrEx>
          <w:tblCellMar>
            <w:top w:w="0" w:type="dxa"/>
            <w:left w:w="108" w:type="dxa"/>
            <w:bottom w:w="0" w:type="dxa"/>
            <w:right w:w="108" w:type="dxa"/>
          </w:tblCellMar>
        </w:tblPrEx>
        <w:trPr>
          <w:trHeight w:val="6518" w:hRule="atLeast"/>
        </w:trPr>
        <w:tc>
          <w:tcPr>
            <w:tcW w:w="1106" w:type="dxa"/>
            <w:tcBorders>
              <w:top w:val="single" w:color="000000" w:sz="4" w:space="0"/>
              <w:left w:val="single" w:color="000000" w:sz="4" w:space="0"/>
              <w:bottom w:val="nil"/>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人</w:t>
            </w:r>
          </w:p>
        </w:tc>
        <w:tc>
          <w:tcPr>
            <w:tcW w:w="4669" w:type="dxa"/>
            <w:gridSpan w:val="3"/>
            <w:tcBorders>
              <w:top w:val="single" w:color="000000" w:sz="4" w:space="0"/>
              <w:left w:val="single" w:color="000000" w:sz="4" w:space="0"/>
              <w:bottom w:val="nil"/>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施工班组人员及交疏、物探班组人员到场进行班前教育：</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1.对当晚施工内容、安全点进行交底（安全教育留痕）</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2.对技术难点进行交底</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3.对交疏班组当晚的交疏布置及关键点进行交底</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4.交疏指挥人员进场围蔽</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5.对所有进场人员的核酸、行程码、口罩佩戴等防疫检查</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6.对作业人员状态、防护用品佩戴、特种作业人员证件核查</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风险点：交通安全风险、超龄、酒后上岗、疲劳作业</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□人员必须在安全地点进行集中，不得在道路边聚集；交疏人员辅助过马路。</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交疏人员按照交疏方案进行交通疏导围蔽，配备反光锥、爆闪灯、警示灯等警示设施，特别是围蔽开始阶段，未完成交疏布置前施工人员及其他施工车辆不得进入道路；在路口及交通疏导缓冲区，安排交疏人员进行交通指挥。</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□不符合一周两检要求的严禁进入施工围蔽现场，并由防疫专班负责人抽检复核。</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□涉地下管线产权单位旁站人员到位。</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□禁止作业人员超龄、酒后上岗、疲劳作业。</w:t>
            </w:r>
          </w:p>
        </w:tc>
        <w:tc>
          <w:tcPr>
            <w:tcW w:w="3731" w:type="dxa"/>
            <w:gridSpan w:val="2"/>
            <w:tcBorders>
              <w:top w:val="single" w:color="000000" w:sz="4" w:space="0"/>
              <w:left w:val="single" w:color="000000" w:sz="4" w:space="0"/>
              <w:bottom w:val="nil"/>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施工班组及交疏人员：</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1.挖机路面破除、钢板桩打插、管坑开挖、渣土清运</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2.标高控制、测量</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3.管材到场</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1.交通车辆风险</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2.基坑稳定风险</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3.地下管线破坏风险</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4.土方挖掘过程中的人员风险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□交疏人员合理配置、设施摆放合理、警示标志足够且有效；管材到场须安排人员指挥交通，保障运输车辆安全进入施工区域。</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□按要求做好管坑支护，未进行支护前禁止安排人员下管坑作业。</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□开挖前进行物探并进行现场标识，牵涉到地下管线的联系好产权单位进行现场交底，地下管线复杂的位置必须采用人工探挖，直至完全暴露；按要求做好保护措施。</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□管控人员在未完成支护前不得离管坑边缘过近，机械专人指挥，挖机转盘半径内不得站人。</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□仅限晚上10点至11点可破路。</w:t>
            </w:r>
          </w:p>
        </w:tc>
      </w:tr>
      <w:tr>
        <w:tblPrEx>
          <w:tblCellMar>
            <w:top w:w="0" w:type="dxa"/>
            <w:left w:w="108" w:type="dxa"/>
            <w:bottom w:w="0" w:type="dxa"/>
            <w:right w:w="108" w:type="dxa"/>
          </w:tblCellMar>
        </w:tblPrEx>
        <w:trPr>
          <w:trHeight w:val="3939"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机</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人员运输车辆、交疏车辆、打压设备等。</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风险点：交通安全风险。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□车辆按照交通管控要求，停放至交警要求停放的区域，并做好警示；所有车辆在完成交疏围蔽后进入围蔽区内。</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□在围蔽来车方向放置一部车辆。</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□渣土运输车合理安排进场时间，避免扎堆到场。</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□做好打压设备管口密封胶连接，连接口严格扳手拧紧，管道笔直，不得任意弯沉。</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挖掘机、随车吊、渣土运输车。</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风险点：打凿路面时的碎石飞溅、交通安全风险，设备故障风险，土方开挖时挖掘机操作不当倾倒风险。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□打凿路面时用高水马进行围蔽并用水雾炮机进行降尘。</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□车辆按照交通管控要求，在完成交疏围蔽后进入围蔽区内。</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□渣土运输车在靠近围蔽边缘进行作业时，安排人员进行指挥，渣土车进入围蔽区过程中安排交疏人员进行交通指挥。</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□车辆必须符合车辆检测要求，有相关检测证明及运输证，在进场前进行检查并报审，并在现场进行检查，不符合的不得进入现场施工区域。</w:t>
            </w:r>
          </w:p>
        </w:tc>
      </w:tr>
      <w:tr>
        <w:tblPrEx>
          <w:tblCellMar>
            <w:top w:w="0" w:type="dxa"/>
            <w:left w:w="108" w:type="dxa"/>
            <w:bottom w:w="0" w:type="dxa"/>
            <w:right w:w="108" w:type="dxa"/>
          </w:tblCellMar>
        </w:tblPrEx>
        <w:trPr>
          <w:trHeight w:val="3308"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料</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交通疏解围蔽材料；围蔽、警示灯、信号灯、水马、箭头指示灯、行人指引牌；防疫物资、医药箱；应急物资核查</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风险点：设施损坏、老化、故障等；物资不足。</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□在出车前须对交疏设施进行检查，故障不能使用的必须进行更换，电池无效的进行更换。</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□标牌、警示灯具不足进行补充。</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□专人核查后及时补充物资。</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钢管、渣土</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风险点：钢管运输到场时，固定不牢导致钢管滚落；渣土堆放过高或未进行封闭运输导致物料抛洒；渣土含水量过高导致运输过程，泥水撒漏污染路面。</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□钢管出厂装车一定要进行固定并检查。</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□渣土堆放不能高过盖板，对进场渣土车进行检查，不正规的渣土车不能进场运输；及时清扫散落渣土，存在裸土及时覆盖。</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□对含水量高的渣土在挖运入车前，先利用水泵排水，不得将水和泥土一并挖运入车。</w:t>
            </w:r>
          </w:p>
        </w:tc>
      </w:tr>
      <w:tr>
        <w:tblPrEx>
          <w:tblCellMar>
            <w:top w:w="0" w:type="dxa"/>
            <w:left w:w="108" w:type="dxa"/>
            <w:bottom w:w="0" w:type="dxa"/>
            <w:right w:w="108" w:type="dxa"/>
          </w:tblCellMar>
        </w:tblPrEx>
        <w:trPr>
          <w:trHeight w:val="2743"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法</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开工前：</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□通过专业的交疏单位编制交通流量评估报告及交通疏解方案，现场按照交警意见及交疏方案，合理安排交疏设置及人员；对于涉及路口、公交车站施工，提前规划，疏导标牌设置。</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□地下管线现场复核。</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□危险源公示牌、许可证件设置。</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□视频监控正常运行，对准作业点。</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□安全检查、隐患治理。</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土方开挖风险点：土方超挖、渗水积水。</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按照要求，严格落实每晚23点后严禁路面破除工作，编制夜间降噪、扬尘防治专项方案，按方案落实相关降尘降噪措施，减少投诉；配备噪音检测设备，做好监测台账；编制基坑开挖专项方案，并进行专家评审，严格按照方案进行开挖及支护，现场未做好支护不得下管坑作业。</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□定期基坑监测，做好日常监测，拟定应急预案、开展应急演练。</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□安全检查、隐患治理。</w:t>
            </w:r>
          </w:p>
        </w:tc>
      </w:tr>
      <w:tr>
        <w:tblPrEx>
          <w:tblCellMar>
            <w:top w:w="0" w:type="dxa"/>
            <w:left w:w="108" w:type="dxa"/>
            <w:bottom w:w="0" w:type="dxa"/>
            <w:right w:w="108" w:type="dxa"/>
          </w:tblCellMar>
        </w:tblPrEx>
        <w:trPr>
          <w:trHeight w:val="2099" w:hRule="atLeast"/>
        </w:trPr>
        <w:tc>
          <w:tcPr>
            <w:tcW w:w="1106" w:type="dxa"/>
            <w:tcBorders>
              <w:top w:val="single" w:color="000000" w:sz="4" w:space="0"/>
              <w:left w:val="single" w:color="000000" w:sz="4" w:space="0"/>
              <w:bottom w:val="single" w:color="000000" w:sz="8"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环</w:t>
            </w:r>
          </w:p>
        </w:tc>
        <w:tc>
          <w:tcPr>
            <w:tcW w:w="4669" w:type="dxa"/>
            <w:gridSpan w:val="3"/>
            <w:tcBorders>
              <w:top w:val="single" w:color="000000" w:sz="4" w:space="0"/>
              <w:left w:val="nil"/>
              <w:bottom w:val="single" w:color="000000" w:sz="8"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□交通标识线。</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□特殊天气（雷雨、酷暑、寒冬），预判是否作业；若作业，施工告知注意事项。</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□施工照明灯光源扰民。</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□架空线、电车线、桥墩、人行天桥、绿化带等安全距离。</w:t>
            </w:r>
          </w:p>
        </w:tc>
        <w:tc>
          <w:tcPr>
            <w:tcW w:w="3731" w:type="dxa"/>
            <w:gridSpan w:val="2"/>
            <w:tcBorders>
              <w:top w:val="single" w:color="000000" w:sz="4" w:space="0"/>
              <w:left w:val="single" w:color="000000" w:sz="4" w:space="0"/>
              <w:bottom w:val="single" w:color="000000" w:sz="8"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□噪声扰民管理。</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□路面清扫，泥水处理。</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□基坑影响范围巡视。</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□架空线、电车线、桥墩、人行天桥、绿化带等安全距离。</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□施工照明灯光源扰民。</w:t>
            </w:r>
          </w:p>
        </w:tc>
      </w:tr>
      <w:tr>
        <w:tblPrEx>
          <w:tblCellMar>
            <w:top w:w="0" w:type="dxa"/>
            <w:left w:w="108" w:type="dxa"/>
            <w:bottom w:w="0" w:type="dxa"/>
            <w:right w:w="108" w:type="dxa"/>
          </w:tblCellMar>
        </w:tblPrEx>
        <w:trPr>
          <w:trHeight w:val="436" w:hRule="atLeast"/>
        </w:trPr>
        <w:tc>
          <w:tcPr>
            <w:tcW w:w="1106" w:type="dxa"/>
            <w:vMerge w:val="restart"/>
            <w:tcBorders>
              <w:top w:val="nil"/>
              <w:left w:val="single" w:color="000000" w:sz="4" w:space="0"/>
              <w:bottom w:val="single" w:color="000000" w:sz="4" w:space="0"/>
              <w:right w:val="single" w:color="000000" w:sz="4" w:space="0"/>
              <w:tl2br w:val="single" w:color="000000" w:sz="4" w:space="0"/>
            </w:tcBorders>
          </w:tcPr>
          <w:p>
            <w:pPr>
              <w:widowControl/>
              <w:jc w:val="left"/>
              <w:textAlignment w:val="top"/>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 xml:space="preserve">  工序时间</w:t>
            </w:r>
          </w:p>
          <w:p>
            <w:pPr>
              <w:widowControl/>
              <w:jc w:val="left"/>
              <w:textAlignment w:val="top"/>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 xml:space="preserve">                  要素                </w:t>
            </w:r>
          </w:p>
        </w:tc>
        <w:tc>
          <w:tcPr>
            <w:tcW w:w="4669" w:type="dxa"/>
            <w:gridSpan w:val="3"/>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T4（01：30-03：30）</w:t>
            </w:r>
          </w:p>
        </w:tc>
        <w:tc>
          <w:tcPr>
            <w:tcW w:w="3731" w:type="dxa"/>
            <w:gridSpan w:val="2"/>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T3（00：30-01：30）</w:t>
            </w:r>
          </w:p>
        </w:tc>
      </w:tr>
      <w:tr>
        <w:tblPrEx>
          <w:tblCellMar>
            <w:top w:w="0" w:type="dxa"/>
            <w:left w:w="108" w:type="dxa"/>
            <w:bottom w:w="0" w:type="dxa"/>
            <w:right w:w="108" w:type="dxa"/>
          </w:tblCellMar>
        </w:tblPrEx>
        <w:trPr>
          <w:trHeight w:val="439" w:hRule="atLeast"/>
        </w:trPr>
        <w:tc>
          <w:tcPr>
            <w:tcW w:w="1106" w:type="dxa"/>
            <w:vMerge w:val="continue"/>
            <w:tcBorders>
              <w:top w:val="nil"/>
              <w:left w:val="single" w:color="000000" w:sz="4" w:space="0"/>
              <w:bottom w:val="single" w:color="auto" w:sz="4" w:space="0"/>
              <w:right w:val="single" w:color="000000" w:sz="4" w:space="0"/>
              <w:tl2br w:val="single" w:color="000000" w:sz="4" w:space="0"/>
            </w:tcBorders>
          </w:tcPr>
          <w:p>
            <w:pPr>
              <w:jc w:val="left"/>
              <w:rPr>
                <w:rFonts w:ascii="微软雅黑" w:hAnsi="微软雅黑" w:eastAsia="微软雅黑" w:cs="微软雅黑"/>
                <w:color w:val="auto"/>
                <w:sz w:val="16"/>
                <w:szCs w:val="16"/>
                <w:highlight w:val="none"/>
              </w:rPr>
            </w:pPr>
          </w:p>
        </w:tc>
        <w:tc>
          <w:tcPr>
            <w:tcW w:w="4669" w:type="dxa"/>
            <w:gridSpan w:val="3"/>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管道焊接、铺设、防腐处理</w:t>
            </w:r>
          </w:p>
        </w:tc>
        <w:tc>
          <w:tcPr>
            <w:tcW w:w="3731" w:type="dxa"/>
            <w:gridSpan w:val="2"/>
            <w:tcBorders>
              <w:top w:val="single" w:color="000000" w:sz="4" w:space="0"/>
              <w:left w:val="single" w:color="000000" w:sz="4" w:space="0"/>
              <w:bottom w:val="single" w:color="auto" w:sz="4" w:space="0"/>
              <w:right w:val="single" w:color="000000" w:sz="4" w:space="0"/>
            </w:tcBorders>
            <w:noWrap/>
            <w:vAlign w:val="center"/>
          </w:tcPr>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基础处理、管道吊装</w:t>
            </w:r>
          </w:p>
        </w:tc>
      </w:tr>
      <w:tr>
        <w:tblPrEx>
          <w:tblCellMar>
            <w:top w:w="0" w:type="dxa"/>
            <w:left w:w="108" w:type="dxa"/>
            <w:bottom w:w="0" w:type="dxa"/>
            <w:right w:w="108" w:type="dxa"/>
          </w:tblCellMar>
        </w:tblPrEx>
        <w:trPr>
          <w:trHeight w:val="2335" w:hRule="atLeast"/>
        </w:trPr>
        <w:tc>
          <w:tcPr>
            <w:tcW w:w="110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人</w:t>
            </w:r>
          </w:p>
        </w:tc>
        <w:tc>
          <w:tcPr>
            <w:tcW w:w="4669" w:type="dxa"/>
            <w:gridSpan w:val="3"/>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施工班组及交疏人员：</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管道焊接，防腐及下管对接</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1.交通车辆风险</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2.有限空间作业风险</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3.吊装风险</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4.用电及消防风险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□交疏人员合理配置、设施摆放合理、警示标志足够且有效。</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□焊工、电工、司索工等特种作业人员必须持证上岗且进行了班前交底教育。</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□吊装指挥人员持证上岗，现场管控严格执行“十不吊”，特别注意管道吊装过程与围蔽边缘的位置，吊物在需跨过通行车道前须安排人员指挥暂停交通。</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□现场电箱配置严格按照施工临时用电规范要求，检查电箱接地是否牢固，电箱是否有日常检查记录，各级电箱接线是否规范，电线是否破损，电线是否拖地；用电设备在使用前检查是否有故障。</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□现场使用的气瓶是否有检定在有效期内，是否配置安全阀，各种气体是否存在混放，乙炔气瓶是否按要求离明火及氧气瓶的距离足够。是否用专用架子存放，标识是否清晰，灭火器材是否配备足够。</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□焊接位置必须保证无易燃易爆物品，现场不能存放发电机、水泵等使用的柴油。</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□有限空间作业必须严格按照规范要求，提前打开通风井通风，未经作业审批、通风、检测合格，未配备防护设施及监护人员，不得进入管道内作业。</w:t>
            </w:r>
          </w:p>
        </w:tc>
        <w:tc>
          <w:tcPr>
            <w:tcW w:w="3731"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施工班组及交疏人员：</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1.基础换填</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2.管道卸车、吊装</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3.管道基础垫层</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1.交通车辆风险</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2.吊装风险</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3.基坑风险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□交疏人员合理配置、设施摆放合理、警示标志足够且有效。</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□吊装指挥司索工持证上岗，现场管控严格执行“十不吊”，特别注意管道吊装过程与围蔽边缘的位置，吊物在需跨过通行车道前须安排人员指挥暂停交通。</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□按要求做好管坑支护，未进行支护前禁止安排人员下管坑作业。</w:t>
            </w:r>
          </w:p>
        </w:tc>
      </w:tr>
      <w:tr>
        <w:tblPrEx>
          <w:tblCellMar>
            <w:top w:w="0" w:type="dxa"/>
            <w:left w:w="108" w:type="dxa"/>
            <w:bottom w:w="0" w:type="dxa"/>
            <w:right w:w="108" w:type="dxa"/>
          </w:tblCellMar>
        </w:tblPrEx>
        <w:trPr>
          <w:trHeight w:val="2657" w:hRule="atLeast"/>
        </w:trPr>
        <w:tc>
          <w:tcPr>
            <w:tcW w:w="1106"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机</w:t>
            </w:r>
          </w:p>
        </w:tc>
        <w:tc>
          <w:tcPr>
            <w:tcW w:w="4669" w:type="dxa"/>
            <w:gridSpan w:val="3"/>
            <w:tcBorders>
              <w:top w:val="single" w:color="auto"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汽车吊、焊机、抽风机</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风险点：吊具老化故障风险，汽车吊吊运前支脚未固定导致倾倒风险，焊机故障风险，风机故障风险。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□定时检查吊具，出现老化破损的吊索必须进行更换。</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□吊运前检查必须固定支脚后方可作业。</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□定时检查焊机，保障设备安全。</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□消防设施齐全。</w:t>
            </w:r>
          </w:p>
        </w:tc>
        <w:tc>
          <w:tcPr>
            <w:tcW w:w="3731" w:type="dxa"/>
            <w:gridSpan w:val="2"/>
            <w:tcBorders>
              <w:top w:val="single" w:color="auto"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汽车吊、挖掘机</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风险点：吊具老化故障风险，汽车吊吊运前支脚未固定导致倾倒风险，土方开挖时挖掘机操作不当倾倒风险。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□定时检查吊具，出现老化破损的吊索必须进行更换。</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□吊运前检查必须固定支脚后方可作业。</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□挖掘机司机须严格按照要求进行开挖，不得冒险作业，现场施工人员进行指挥，无指挥不得作业。</w:t>
            </w:r>
          </w:p>
        </w:tc>
      </w:tr>
      <w:tr>
        <w:tblPrEx>
          <w:tblCellMar>
            <w:top w:w="0" w:type="dxa"/>
            <w:left w:w="108" w:type="dxa"/>
            <w:bottom w:w="0" w:type="dxa"/>
            <w:right w:w="108" w:type="dxa"/>
          </w:tblCellMar>
        </w:tblPrEx>
        <w:trPr>
          <w:trHeight w:val="3402"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料</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钢管、防腐涂料、纤维布等</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风险点：钢管吊运过程产生的碰撞风险；防腐涂敷时烫伤风险；焊口打磨时火花飞溅风险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□安排人员负责在吊运时进行指挥，在围蔽边缘作业时注意交通安全。</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□吊管下管坑时必须保证管坑内无人员作业。</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□专人监护防腐作业，作业人员佩戴好防护手套，采用工具涂敷。</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□专人监护，作业人员佩戴好护目镜，火花朝向安全区域，适时遮挡，周围无易燃易爆物品，灭火器材充足。</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钢管</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风险点：钢管卸车落地时未进行保护及固定导致钢管滚动、土方材料堆放不稳、坑边堆载。</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□安排人员负责在卸管时进行指挥，并在钢管下地前铺垫木方及木楔进行保护及固定，防止钢管破话及滚动。</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土方材料</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□回填料质量把控，运送入基坑时均匀有序。</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□严禁超高堆载及坑边重力堆载。</w:t>
            </w:r>
          </w:p>
        </w:tc>
      </w:tr>
      <w:tr>
        <w:tblPrEx>
          <w:tblCellMar>
            <w:top w:w="0" w:type="dxa"/>
            <w:left w:w="108" w:type="dxa"/>
            <w:bottom w:w="0" w:type="dxa"/>
            <w:right w:w="108" w:type="dxa"/>
          </w:tblCellMar>
        </w:tblPrEx>
        <w:trPr>
          <w:trHeight w:val="2220"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法</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□制定有限空间作业专项方案，现场落实有限空间作业审批制度；编制临时用电专项安全方案，现场进行检查落实，保障用电安全。</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□动火方案、消防方案。</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□配备气体检测仪器，做好气体检测。</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□编制应急演练方案，定期演练。</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□安全检查、隐患治理。</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□编制吊装安全专项方案，落实吊装作业安全措施。</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□管道施工技术方案。</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□安全检查、隐患治理。</w:t>
            </w:r>
          </w:p>
        </w:tc>
      </w:tr>
      <w:tr>
        <w:tblPrEx>
          <w:tblCellMar>
            <w:top w:w="0" w:type="dxa"/>
            <w:left w:w="108" w:type="dxa"/>
            <w:bottom w:w="0" w:type="dxa"/>
            <w:right w:w="108" w:type="dxa"/>
          </w:tblCellMar>
        </w:tblPrEx>
        <w:trPr>
          <w:trHeight w:val="1382" w:hRule="atLeast"/>
        </w:trPr>
        <w:tc>
          <w:tcPr>
            <w:tcW w:w="1106" w:type="dxa"/>
            <w:tcBorders>
              <w:top w:val="single" w:color="000000" w:sz="4" w:space="0"/>
              <w:left w:val="single" w:color="000000" w:sz="4" w:space="0"/>
              <w:bottom w:val="single" w:color="000000" w:sz="8"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环</w:t>
            </w:r>
          </w:p>
        </w:tc>
        <w:tc>
          <w:tcPr>
            <w:tcW w:w="4669" w:type="dxa"/>
            <w:gridSpan w:val="3"/>
            <w:tcBorders>
              <w:top w:val="single" w:color="000000" w:sz="4" w:space="0"/>
              <w:left w:val="single" w:color="000000" w:sz="4" w:space="0"/>
              <w:bottom w:val="single" w:color="000000" w:sz="8"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□施工照明充足。</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□基坑影响范围巡视（含基坑监测）。</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□施工照明灯光源扰民。</w:t>
            </w:r>
          </w:p>
        </w:tc>
        <w:tc>
          <w:tcPr>
            <w:tcW w:w="3731" w:type="dxa"/>
            <w:gridSpan w:val="2"/>
            <w:tcBorders>
              <w:top w:val="single" w:color="000000" w:sz="4" w:space="0"/>
              <w:left w:val="single" w:color="000000" w:sz="4" w:space="0"/>
              <w:bottom w:val="single" w:color="000000" w:sz="8"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□施工照明充足。</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□基坑影响范围巡视（含基坑监测）。</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□架空线、电车线、桥墩、人行天桥、绿化带等安全距离。</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□施工照明灯光源扰民。</w:t>
            </w:r>
          </w:p>
        </w:tc>
      </w:tr>
      <w:tr>
        <w:tblPrEx>
          <w:tblCellMar>
            <w:top w:w="0" w:type="dxa"/>
            <w:left w:w="108" w:type="dxa"/>
            <w:bottom w:w="0" w:type="dxa"/>
            <w:right w:w="108" w:type="dxa"/>
          </w:tblCellMar>
        </w:tblPrEx>
        <w:trPr>
          <w:trHeight w:val="436" w:hRule="atLeast"/>
        </w:trPr>
        <w:tc>
          <w:tcPr>
            <w:tcW w:w="1106" w:type="dxa"/>
            <w:vMerge w:val="restart"/>
            <w:tcBorders>
              <w:top w:val="nil"/>
              <w:left w:val="single" w:color="000000" w:sz="4" w:space="0"/>
              <w:bottom w:val="single" w:color="000000" w:sz="4" w:space="0"/>
              <w:right w:val="single" w:color="000000" w:sz="4" w:space="0"/>
              <w:tl2br w:val="single" w:color="000000" w:sz="4" w:space="0"/>
            </w:tcBorders>
          </w:tcPr>
          <w:p>
            <w:pPr>
              <w:widowControl/>
              <w:jc w:val="left"/>
              <w:textAlignment w:val="top"/>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 xml:space="preserve">  工序时间</w:t>
            </w:r>
          </w:p>
          <w:p>
            <w:pPr>
              <w:widowControl/>
              <w:jc w:val="left"/>
              <w:textAlignment w:val="top"/>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 xml:space="preserve">                  要素                </w:t>
            </w:r>
          </w:p>
        </w:tc>
        <w:tc>
          <w:tcPr>
            <w:tcW w:w="4669" w:type="dxa"/>
            <w:gridSpan w:val="3"/>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T5（03：30-05：00）</w:t>
            </w:r>
          </w:p>
        </w:tc>
        <w:tc>
          <w:tcPr>
            <w:tcW w:w="3731" w:type="dxa"/>
            <w:gridSpan w:val="2"/>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T6（05：00-06：00）</w:t>
            </w:r>
          </w:p>
        </w:tc>
      </w:tr>
      <w:tr>
        <w:tblPrEx>
          <w:tblCellMar>
            <w:top w:w="0" w:type="dxa"/>
            <w:left w:w="108" w:type="dxa"/>
            <w:bottom w:w="0" w:type="dxa"/>
            <w:right w:w="108" w:type="dxa"/>
          </w:tblCellMar>
        </w:tblPrEx>
        <w:trPr>
          <w:trHeight w:val="439" w:hRule="atLeast"/>
        </w:trPr>
        <w:tc>
          <w:tcPr>
            <w:tcW w:w="1106" w:type="dxa"/>
            <w:vMerge w:val="continue"/>
            <w:tcBorders>
              <w:top w:val="nil"/>
              <w:left w:val="single" w:color="000000" w:sz="4" w:space="0"/>
              <w:bottom w:val="single" w:color="000000" w:sz="4" w:space="0"/>
              <w:right w:val="single" w:color="000000" w:sz="4" w:space="0"/>
              <w:tl2br w:val="single" w:color="000000" w:sz="4" w:space="0"/>
            </w:tcBorders>
          </w:tcPr>
          <w:p>
            <w:pPr>
              <w:jc w:val="left"/>
              <w:rPr>
                <w:rFonts w:ascii="微软雅黑" w:hAnsi="微软雅黑" w:eastAsia="微软雅黑" w:cs="微软雅黑"/>
                <w:color w:val="auto"/>
                <w:sz w:val="16"/>
                <w:szCs w:val="16"/>
                <w:highlight w:val="none"/>
              </w:rPr>
            </w:pPr>
          </w:p>
        </w:tc>
        <w:tc>
          <w:tcPr>
            <w:tcW w:w="4669"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管坑回填、路面修复</w:t>
            </w:r>
          </w:p>
        </w:tc>
        <w:tc>
          <w:tcPr>
            <w:tcW w:w="3731"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路面冲洗、恢复交通</w:t>
            </w:r>
          </w:p>
        </w:tc>
      </w:tr>
      <w:tr>
        <w:tblPrEx>
          <w:tblCellMar>
            <w:top w:w="0" w:type="dxa"/>
            <w:left w:w="108" w:type="dxa"/>
            <w:bottom w:w="0" w:type="dxa"/>
            <w:right w:w="108" w:type="dxa"/>
          </w:tblCellMar>
        </w:tblPrEx>
        <w:trPr>
          <w:trHeight w:val="4181" w:hRule="atLeast"/>
        </w:trPr>
        <w:tc>
          <w:tcPr>
            <w:tcW w:w="1106" w:type="dxa"/>
            <w:tcBorders>
              <w:top w:val="single" w:color="000000" w:sz="4" w:space="0"/>
              <w:left w:val="single" w:color="000000" w:sz="4" w:space="0"/>
              <w:bottom w:val="nil"/>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人</w:t>
            </w:r>
          </w:p>
        </w:tc>
        <w:tc>
          <w:tcPr>
            <w:tcW w:w="4669" w:type="dxa"/>
            <w:gridSpan w:val="3"/>
            <w:tcBorders>
              <w:top w:val="single" w:color="000000" w:sz="4" w:space="0"/>
              <w:left w:val="single" w:color="000000" w:sz="4" w:space="0"/>
              <w:bottom w:val="nil"/>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施工班组及交疏人员：</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1.沟槽回填、分层压实</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2.沥青铺摊压实</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1.交通车辆风险</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2.机械设备风险</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3.临时修复路面质量风险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□交疏人员合理配置、设施摆放合理、警示标志足够且有效。</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□合理安排现场机械，并保证有专人指挥。</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□专人指挥压实作业，检查回填材料质量，保证压实度；沥青摊铺保证摊铺厚度及沥青料的质量；对于压路机无法压实的井口等位置，采用人工蛙夯等压实。</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施工班组及交疏人员：</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沥青冷却后进行冲洗、冲洗完毕后对围蔽进行拆除、人员撤离</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1.交通车辆风险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□交疏人员及设施按规范要求进行拆除撤离，场内施工人员及机械设备撤场后，交疏及设施方最后撤离。</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□必须留足至少20分钟的沥青冷却时间，才能进行路面冲洗，防止沥青过快冷却强度降低引起路面问题。</w:t>
            </w:r>
          </w:p>
        </w:tc>
      </w:tr>
      <w:tr>
        <w:tblPrEx>
          <w:tblCellMar>
            <w:top w:w="0" w:type="dxa"/>
            <w:left w:w="108" w:type="dxa"/>
            <w:bottom w:w="0" w:type="dxa"/>
            <w:right w:w="108" w:type="dxa"/>
          </w:tblCellMar>
        </w:tblPrEx>
        <w:trPr>
          <w:trHeight w:val="1588"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机</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压路机</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风险点：操作不当引发的交通风险及倾倒风险。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□教育压路机驾驶员按操作规范作业，施工员进行指挥。</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洒水车、交疏车辆</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风险点：操作不当、故障引发的交通风险。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□教育驾驶员按操作规范作业；定期维修保养，保证设备正常运作。</w:t>
            </w:r>
          </w:p>
        </w:tc>
      </w:tr>
      <w:tr>
        <w:tblPrEx>
          <w:tblCellMar>
            <w:top w:w="0" w:type="dxa"/>
            <w:left w:w="108" w:type="dxa"/>
            <w:bottom w:w="0" w:type="dxa"/>
            <w:right w:w="108" w:type="dxa"/>
          </w:tblCellMar>
        </w:tblPrEx>
        <w:trPr>
          <w:trHeight w:val="1954"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料</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石屑、水泥、碎石、沥青</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风险点：材料质量不达标引起的临时路面质量风险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□材料入场前进行报审检查合格证，对进场材料进行抽检，现场材料不符合标准的及时更换；管道两侧均匀对称回填。</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□通车前，全面排查路面是否散落石子、块料、钢板等，及时清场。</w:t>
            </w:r>
          </w:p>
        </w:tc>
      </w:tr>
      <w:tr>
        <w:tblPrEx>
          <w:tblCellMar>
            <w:top w:w="0" w:type="dxa"/>
            <w:left w:w="108" w:type="dxa"/>
            <w:bottom w:w="0" w:type="dxa"/>
            <w:right w:w="108" w:type="dxa"/>
          </w:tblCellMar>
        </w:tblPrEx>
        <w:trPr>
          <w:trHeight w:val="1936"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法</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地面沉降风险：变形、结构破坏、沉降、路面开裂、空洞。</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□进行压实度的检测。</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□做好日常路面巡查措施，做好日常维护，把控基坑回填及沥青路面摊铺质量。</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□安全检查、隐患治理。</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□先人工清扫，后冲洗，注意冲洗压力、时间、接缝位置。</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□安全检查、隐患治理。</w:t>
            </w:r>
          </w:p>
        </w:tc>
      </w:tr>
      <w:tr>
        <w:tblPrEx>
          <w:tblCellMar>
            <w:top w:w="0" w:type="dxa"/>
            <w:left w:w="108" w:type="dxa"/>
            <w:bottom w:w="0" w:type="dxa"/>
            <w:right w:w="108" w:type="dxa"/>
          </w:tblCellMar>
        </w:tblPrEx>
        <w:trPr>
          <w:trHeight w:val="1462" w:hRule="atLeast"/>
        </w:trPr>
        <w:tc>
          <w:tcPr>
            <w:tcW w:w="1106" w:type="dxa"/>
            <w:tcBorders>
              <w:top w:val="single" w:color="000000" w:sz="4" w:space="0"/>
              <w:left w:val="single" w:color="000000" w:sz="4" w:space="0"/>
              <w:bottom w:val="single" w:color="000000" w:sz="8"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环</w:t>
            </w:r>
          </w:p>
        </w:tc>
        <w:tc>
          <w:tcPr>
            <w:tcW w:w="4669" w:type="dxa"/>
            <w:gridSpan w:val="3"/>
            <w:tcBorders>
              <w:top w:val="single" w:color="000000" w:sz="4" w:space="0"/>
              <w:left w:val="single" w:color="000000" w:sz="4" w:space="0"/>
              <w:bottom w:val="single" w:color="000000" w:sz="8"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□施工照明充足。</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□架空线、电车线、桥墩、人行天桥、绿化带等安全距离。</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□施工照明灯光源扰民。</w:t>
            </w:r>
          </w:p>
        </w:tc>
        <w:tc>
          <w:tcPr>
            <w:tcW w:w="3731" w:type="dxa"/>
            <w:gridSpan w:val="2"/>
            <w:tcBorders>
              <w:top w:val="single" w:color="000000" w:sz="4" w:space="0"/>
              <w:left w:val="single" w:color="000000" w:sz="4" w:space="0"/>
              <w:bottom w:val="single" w:color="auto" w:sz="4" w:space="0"/>
              <w:right w:val="single" w:color="000000"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□施工照明充足。</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□施工照明灯光源扰民。</w:t>
            </w:r>
          </w:p>
        </w:tc>
      </w:tr>
      <w:tr>
        <w:tblPrEx>
          <w:tblCellMar>
            <w:top w:w="0" w:type="dxa"/>
            <w:left w:w="108" w:type="dxa"/>
            <w:bottom w:w="0" w:type="dxa"/>
            <w:right w:w="108" w:type="dxa"/>
          </w:tblCellMar>
        </w:tblPrEx>
        <w:trPr>
          <w:trHeight w:val="436" w:hRule="atLeast"/>
        </w:trPr>
        <w:tc>
          <w:tcPr>
            <w:tcW w:w="1106" w:type="dxa"/>
            <w:vMerge w:val="restart"/>
            <w:tcBorders>
              <w:top w:val="nil"/>
              <w:left w:val="single" w:color="000000" w:sz="4" w:space="0"/>
              <w:bottom w:val="single" w:color="000000" w:sz="4" w:space="0"/>
              <w:right w:val="single" w:color="000000" w:sz="4" w:space="0"/>
              <w:tl2br w:val="single" w:color="000000" w:sz="4" w:space="0"/>
            </w:tcBorders>
          </w:tcPr>
          <w:p>
            <w:pPr>
              <w:widowControl/>
              <w:jc w:val="left"/>
              <w:textAlignment w:val="top"/>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 xml:space="preserve">  工序时间</w:t>
            </w:r>
          </w:p>
          <w:p>
            <w:pPr>
              <w:widowControl/>
              <w:jc w:val="left"/>
              <w:textAlignment w:val="top"/>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 xml:space="preserve">             要素                </w:t>
            </w:r>
          </w:p>
        </w:tc>
        <w:tc>
          <w:tcPr>
            <w:tcW w:w="4669" w:type="dxa"/>
            <w:gridSpan w:val="3"/>
            <w:tcBorders>
              <w:top w:val="nil"/>
              <w:left w:val="single" w:color="000000" w:sz="4" w:space="0"/>
              <w:bottom w:val="single" w:color="000000" w:sz="4" w:space="0"/>
              <w:right w:val="single" w:color="auto"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T7（06：00-08：00）</w:t>
            </w:r>
          </w:p>
        </w:tc>
        <w:tc>
          <w:tcPr>
            <w:tcW w:w="3731" w:type="dxa"/>
            <w:gridSpan w:val="2"/>
            <w:tcBorders>
              <w:top w:val="single" w:color="auto" w:sz="4" w:space="0"/>
              <w:left w:val="single" w:color="auto" w:sz="4" w:space="0"/>
              <w:bottom w:val="single" w:color="auto" w:sz="4" w:space="0"/>
              <w:right w:val="single" w:color="auto" w:sz="4" w:space="0"/>
            </w:tcBorders>
            <w:vAlign w:val="center"/>
          </w:tcPr>
          <w:p>
            <w:pPr>
              <w:rPr>
                <w:rFonts w:ascii="微软雅黑" w:hAnsi="微软雅黑" w:eastAsia="微软雅黑" w:cs="微软雅黑"/>
                <w:color w:val="auto"/>
                <w:sz w:val="16"/>
                <w:szCs w:val="16"/>
                <w:highlight w:val="none"/>
              </w:rPr>
            </w:pPr>
          </w:p>
        </w:tc>
      </w:tr>
      <w:tr>
        <w:tblPrEx>
          <w:tblCellMar>
            <w:top w:w="0" w:type="dxa"/>
            <w:left w:w="108" w:type="dxa"/>
            <w:bottom w:w="0" w:type="dxa"/>
            <w:right w:w="108" w:type="dxa"/>
          </w:tblCellMar>
        </w:tblPrEx>
        <w:trPr>
          <w:trHeight w:val="439" w:hRule="atLeast"/>
        </w:trPr>
        <w:tc>
          <w:tcPr>
            <w:tcW w:w="1106" w:type="dxa"/>
            <w:vMerge w:val="continue"/>
            <w:tcBorders>
              <w:top w:val="nil"/>
              <w:left w:val="single" w:color="000000" w:sz="4" w:space="0"/>
              <w:bottom w:val="single" w:color="000000" w:sz="4" w:space="0"/>
              <w:right w:val="single" w:color="000000" w:sz="4" w:space="0"/>
              <w:tl2br w:val="single" w:color="000000" w:sz="4" w:space="0"/>
            </w:tcBorders>
          </w:tcPr>
          <w:p>
            <w:pPr>
              <w:jc w:val="left"/>
              <w:rPr>
                <w:rFonts w:ascii="微软雅黑" w:hAnsi="微软雅黑" w:eastAsia="微软雅黑" w:cs="微软雅黑"/>
                <w:color w:val="auto"/>
                <w:sz w:val="16"/>
                <w:szCs w:val="16"/>
                <w:highlight w:val="none"/>
              </w:rPr>
            </w:pPr>
          </w:p>
        </w:tc>
        <w:tc>
          <w:tcPr>
            <w:tcW w:w="4669" w:type="dxa"/>
            <w:gridSpan w:val="3"/>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路面巡查及应急抢险</w:t>
            </w:r>
          </w:p>
        </w:tc>
        <w:tc>
          <w:tcPr>
            <w:tcW w:w="3731" w:type="dxa"/>
            <w:gridSpan w:val="2"/>
            <w:tcBorders>
              <w:top w:val="single" w:color="auto" w:sz="4" w:space="0"/>
              <w:left w:val="single" w:color="auto" w:sz="4" w:space="0"/>
              <w:bottom w:val="single" w:color="auto" w:sz="4" w:space="0"/>
              <w:right w:val="single" w:color="auto" w:sz="4" w:space="0"/>
            </w:tcBorders>
            <w:vAlign w:val="center"/>
          </w:tcPr>
          <w:p>
            <w:pPr>
              <w:rPr>
                <w:rFonts w:ascii="微软雅黑" w:hAnsi="微软雅黑" w:eastAsia="微软雅黑" w:cs="微软雅黑"/>
                <w:color w:val="auto"/>
                <w:sz w:val="16"/>
                <w:szCs w:val="16"/>
                <w:highlight w:val="none"/>
              </w:rPr>
            </w:pPr>
          </w:p>
        </w:tc>
      </w:tr>
      <w:tr>
        <w:tblPrEx>
          <w:tblCellMar>
            <w:top w:w="0" w:type="dxa"/>
            <w:left w:w="108" w:type="dxa"/>
            <w:bottom w:w="0" w:type="dxa"/>
            <w:right w:w="108" w:type="dxa"/>
          </w:tblCellMar>
        </w:tblPrEx>
        <w:trPr>
          <w:trHeight w:val="3009" w:hRule="atLeast"/>
        </w:trPr>
        <w:tc>
          <w:tcPr>
            <w:tcW w:w="1106"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人</w:t>
            </w:r>
          </w:p>
        </w:tc>
        <w:tc>
          <w:tcPr>
            <w:tcW w:w="4669" w:type="dxa"/>
            <w:gridSpan w:val="3"/>
            <w:tcBorders>
              <w:top w:val="single" w:color="000000" w:sz="4" w:space="0"/>
              <w:left w:val="single" w:color="000000" w:sz="4" w:space="0"/>
              <w:bottom w:val="single" w:color="auto" w:sz="4" w:space="0"/>
              <w:right w:val="single" w:color="auto"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路面巡查人员及应急抢险人员：对新修复的临时路面进行巡查，出现路面问题时进行路面问题抢修</w:t>
            </w: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1.交通安全风险</w:t>
            </w:r>
          </w:p>
          <w:p>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□第一时间汇报并与交警部门报备。</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□围蔽设施摆放合理、警示标志足够且有效。</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□及时与交警部门沟通，进行有效交通疏导。</w:t>
            </w:r>
          </w:p>
          <w:p>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□抢修人员及物资配备充足，物资存放点合理，较短时间内能快速反应及有效修复。</w:t>
            </w:r>
          </w:p>
          <w:p>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□专人巡查，抢修位置专人监视。</w:t>
            </w:r>
          </w:p>
        </w:tc>
        <w:tc>
          <w:tcPr>
            <w:tcW w:w="3731" w:type="dxa"/>
            <w:gridSpan w:val="2"/>
            <w:tcBorders>
              <w:top w:val="single" w:color="auto" w:sz="4" w:space="0"/>
              <w:left w:val="single" w:color="auto" w:sz="4" w:space="0"/>
              <w:bottom w:val="single" w:color="auto" w:sz="4" w:space="0"/>
              <w:right w:val="single" w:color="auto" w:sz="4" w:space="0"/>
            </w:tcBorders>
            <w:vAlign w:val="center"/>
          </w:tcPr>
          <w:p>
            <w:pPr>
              <w:rPr>
                <w:rFonts w:ascii="微软雅黑" w:hAnsi="微软雅黑" w:eastAsia="微软雅黑" w:cs="微软雅黑"/>
                <w:color w:val="auto"/>
                <w:sz w:val="16"/>
                <w:szCs w:val="16"/>
                <w:highlight w:val="none"/>
              </w:rPr>
            </w:pPr>
          </w:p>
        </w:tc>
      </w:tr>
      <w:tr>
        <w:tblPrEx>
          <w:tblCellMar>
            <w:top w:w="0" w:type="dxa"/>
            <w:left w:w="108" w:type="dxa"/>
            <w:bottom w:w="0" w:type="dxa"/>
            <w:right w:w="108" w:type="dxa"/>
          </w:tblCellMar>
        </w:tblPrEx>
        <w:trPr>
          <w:trHeight w:val="672" w:hRule="atLeast"/>
        </w:trPr>
        <w:tc>
          <w:tcPr>
            <w:tcW w:w="1106" w:type="dxa"/>
            <w:tcBorders>
              <w:top w:val="single" w:color="auto" w:sz="4" w:space="0"/>
              <w:left w:val="single" w:color="auto"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机</w:t>
            </w:r>
          </w:p>
        </w:tc>
        <w:tc>
          <w:tcPr>
            <w:tcW w:w="4669" w:type="dxa"/>
            <w:gridSpan w:val="3"/>
            <w:tcBorders>
              <w:top w:val="single" w:color="auto" w:sz="4" w:space="0"/>
              <w:left w:val="single" w:color="000000" w:sz="4" w:space="0"/>
              <w:bottom w:val="single" w:color="000000" w:sz="4" w:space="0"/>
              <w:right w:val="single" w:color="auto" w:sz="4" w:space="0"/>
            </w:tcBorders>
            <w:vAlign w:val="center"/>
          </w:tcPr>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配备巡查车辆及应急抢险设备。</w:t>
            </w:r>
          </w:p>
        </w:tc>
        <w:tc>
          <w:tcPr>
            <w:tcW w:w="3731" w:type="dxa"/>
            <w:gridSpan w:val="2"/>
            <w:tcBorders>
              <w:top w:val="single" w:color="auto" w:sz="4" w:space="0"/>
              <w:left w:val="single" w:color="auto" w:sz="4" w:space="0"/>
              <w:bottom w:val="single" w:color="auto" w:sz="4" w:space="0"/>
              <w:right w:val="single" w:color="auto" w:sz="4" w:space="0"/>
            </w:tcBorders>
            <w:vAlign w:val="center"/>
          </w:tcPr>
          <w:p>
            <w:pPr>
              <w:rPr>
                <w:rFonts w:ascii="微软雅黑" w:hAnsi="微软雅黑" w:eastAsia="微软雅黑" w:cs="微软雅黑"/>
                <w:color w:val="auto"/>
                <w:sz w:val="16"/>
                <w:szCs w:val="16"/>
                <w:highlight w:val="none"/>
              </w:rPr>
            </w:pPr>
          </w:p>
        </w:tc>
      </w:tr>
      <w:tr>
        <w:tblPrEx>
          <w:tblCellMar>
            <w:top w:w="0" w:type="dxa"/>
            <w:left w:w="108" w:type="dxa"/>
            <w:bottom w:w="0" w:type="dxa"/>
            <w:right w:w="108" w:type="dxa"/>
          </w:tblCellMar>
        </w:tblPrEx>
        <w:trPr>
          <w:trHeight w:val="1005" w:hRule="atLeast"/>
        </w:trPr>
        <w:tc>
          <w:tcPr>
            <w:tcW w:w="1106" w:type="dxa"/>
            <w:tcBorders>
              <w:top w:val="single" w:color="000000" w:sz="4" w:space="0"/>
              <w:left w:val="single" w:color="auto"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料</w:t>
            </w:r>
          </w:p>
        </w:tc>
        <w:tc>
          <w:tcPr>
            <w:tcW w:w="4669" w:type="dxa"/>
            <w:gridSpan w:val="3"/>
            <w:tcBorders>
              <w:top w:val="single" w:color="000000" w:sz="4" w:space="0"/>
              <w:left w:val="single" w:color="000000" w:sz="4" w:space="0"/>
              <w:bottom w:val="single" w:color="000000" w:sz="4" w:space="0"/>
              <w:right w:val="single" w:color="auto"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□在各应急物资存放点，按应急预案要求储备足够的应急物资：沥青冷料、钢板等。</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□使用后及时核查数量与补充。</w:t>
            </w:r>
          </w:p>
        </w:tc>
        <w:tc>
          <w:tcPr>
            <w:tcW w:w="3731" w:type="dxa"/>
            <w:gridSpan w:val="2"/>
            <w:tcBorders>
              <w:top w:val="single" w:color="auto" w:sz="4" w:space="0"/>
              <w:left w:val="single" w:color="auto" w:sz="4" w:space="0"/>
              <w:bottom w:val="single" w:color="auto" w:sz="4" w:space="0"/>
              <w:right w:val="single" w:color="auto" w:sz="4" w:space="0"/>
            </w:tcBorders>
            <w:vAlign w:val="center"/>
          </w:tcPr>
          <w:p>
            <w:pPr>
              <w:rPr>
                <w:rFonts w:ascii="微软雅黑" w:hAnsi="微软雅黑" w:eastAsia="微软雅黑" w:cs="微软雅黑"/>
                <w:color w:val="auto"/>
                <w:sz w:val="16"/>
                <w:szCs w:val="16"/>
                <w:highlight w:val="none"/>
              </w:rPr>
            </w:pPr>
          </w:p>
        </w:tc>
      </w:tr>
      <w:tr>
        <w:tblPrEx>
          <w:tblCellMar>
            <w:top w:w="0" w:type="dxa"/>
            <w:left w:w="108" w:type="dxa"/>
            <w:bottom w:w="0" w:type="dxa"/>
            <w:right w:w="108" w:type="dxa"/>
          </w:tblCellMar>
        </w:tblPrEx>
        <w:trPr>
          <w:trHeight w:val="921" w:hRule="atLeast"/>
        </w:trPr>
        <w:tc>
          <w:tcPr>
            <w:tcW w:w="1106" w:type="dxa"/>
            <w:tcBorders>
              <w:top w:val="single" w:color="000000" w:sz="4" w:space="0"/>
              <w:left w:val="single" w:color="auto" w:sz="4" w:space="0"/>
              <w:bottom w:val="single" w:color="000000"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法</w:t>
            </w:r>
          </w:p>
        </w:tc>
        <w:tc>
          <w:tcPr>
            <w:tcW w:w="4669" w:type="dxa"/>
            <w:gridSpan w:val="3"/>
            <w:tcBorders>
              <w:top w:val="single" w:color="000000" w:sz="4" w:space="0"/>
              <w:left w:val="single" w:color="000000" w:sz="4" w:space="0"/>
              <w:bottom w:val="single" w:color="000000" w:sz="4" w:space="0"/>
              <w:right w:val="single" w:color="auto" w:sz="4" w:space="0"/>
            </w:tcBorders>
            <w:vAlign w:val="center"/>
          </w:tcPr>
          <w:p>
            <w:pPr>
              <w:widowControl/>
              <w:jc w:val="left"/>
              <w:textAlignment w:val="center"/>
              <w:rPr>
                <w:rFonts w:ascii="微软雅黑" w:hAnsi="微软雅黑" w:eastAsia="微软雅黑" w:cs="微软雅黑"/>
                <w:color w:val="auto"/>
                <w:kern w:val="0"/>
                <w:sz w:val="16"/>
                <w:szCs w:val="16"/>
                <w:highlight w:val="none"/>
                <w:lang w:bidi="ar"/>
              </w:rPr>
            </w:pPr>
          </w:p>
          <w:p>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□编制路面应急预案，交底与演练。</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□安全检查、隐患治理。</w:t>
            </w:r>
          </w:p>
        </w:tc>
        <w:tc>
          <w:tcPr>
            <w:tcW w:w="3731" w:type="dxa"/>
            <w:gridSpan w:val="2"/>
            <w:tcBorders>
              <w:top w:val="single" w:color="auto" w:sz="4" w:space="0"/>
              <w:left w:val="single" w:color="auto" w:sz="4" w:space="0"/>
              <w:bottom w:val="single" w:color="auto" w:sz="4" w:space="0"/>
              <w:right w:val="single" w:color="auto" w:sz="4" w:space="0"/>
            </w:tcBorders>
            <w:vAlign w:val="center"/>
          </w:tcPr>
          <w:p>
            <w:pPr>
              <w:rPr>
                <w:rFonts w:ascii="微软雅黑" w:hAnsi="微软雅黑" w:eastAsia="微软雅黑" w:cs="微软雅黑"/>
                <w:color w:val="auto"/>
                <w:sz w:val="16"/>
                <w:szCs w:val="16"/>
                <w:highlight w:val="none"/>
              </w:rPr>
            </w:pPr>
          </w:p>
        </w:tc>
      </w:tr>
      <w:tr>
        <w:tblPrEx>
          <w:tblCellMar>
            <w:top w:w="0" w:type="dxa"/>
            <w:left w:w="108" w:type="dxa"/>
            <w:bottom w:w="0" w:type="dxa"/>
            <w:right w:w="108" w:type="dxa"/>
          </w:tblCellMar>
        </w:tblPrEx>
        <w:trPr>
          <w:trHeight w:val="763" w:hRule="atLeast"/>
        </w:trPr>
        <w:tc>
          <w:tcPr>
            <w:tcW w:w="1106" w:type="dxa"/>
            <w:tcBorders>
              <w:top w:val="single" w:color="000000" w:sz="4" w:space="0"/>
              <w:left w:val="single" w:color="auto" w:sz="4" w:space="0"/>
              <w:bottom w:val="single" w:color="auto" w:sz="4" w:space="0"/>
              <w:right w:val="single" w:color="000000" w:sz="4" w:space="0"/>
            </w:tcBorders>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环</w:t>
            </w:r>
          </w:p>
        </w:tc>
        <w:tc>
          <w:tcPr>
            <w:tcW w:w="4669" w:type="dxa"/>
            <w:gridSpan w:val="3"/>
            <w:tcBorders>
              <w:top w:val="single" w:color="000000" w:sz="4" w:space="0"/>
              <w:left w:val="single" w:color="000000" w:sz="4" w:space="0"/>
              <w:bottom w:val="single" w:color="auto" w:sz="4" w:space="0"/>
              <w:right w:val="single" w:color="auto" w:sz="4" w:space="0"/>
            </w:tcBorders>
            <w:vAlign w:val="center"/>
          </w:tcPr>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□特殊天气加强巡查频率，抢修位置完成后专人监视。</w:t>
            </w:r>
          </w:p>
        </w:tc>
        <w:tc>
          <w:tcPr>
            <w:tcW w:w="3731" w:type="dxa"/>
            <w:gridSpan w:val="2"/>
            <w:tcBorders>
              <w:top w:val="single" w:color="auto" w:sz="4" w:space="0"/>
              <w:left w:val="single" w:color="auto" w:sz="4" w:space="0"/>
              <w:bottom w:val="single" w:color="auto" w:sz="4" w:space="0"/>
              <w:right w:val="single" w:color="auto" w:sz="4" w:space="0"/>
            </w:tcBorders>
            <w:vAlign w:val="center"/>
          </w:tcPr>
          <w:p>
            <w:pPr>
              <w:rPr>
                <w:rFonts w:ascii="微软雅黑" w:hAnsi="微软雅黑" w:eastAsia="微软雅黑" w:cs="微软雅黑"/>
                <w:color w:val="auto"/>
                <w:sz w:val="16"/>
                <w:szCs w:val="16"/>
                <w:highlight w:val="none"/>
              </w:rPr>
            </w:pPr>
          </w:p>
        </w:tc>
      </w:tr>
      <w:tr>
        <w:tblPrEx>
          <w:tblCellMar>
            <w:top w:w="0" w:type="dxa"/>
            <w:left w:w="108" w:type="dxa"/>
            <w:bottom w:w="0" w:type="dxa"/>
            <w:right w:w="108" w:type="dxa"/>
          </w:tblCellMar>
        </w:tblPrEx>
        <w:trPr>
          <w:trHeight w:val="2016" w:hRule="atLeast"/>
        </w:trPr>
        <w:tc>
          <w:tcPr>
            <w:tcW w:w="9506" w:type="dxa"/>
            <w:gridSpan w:val="6"/>
            <w:tcBorders>
              <w:top w:val="single" w:color="000000" w:sz="8" w:space="0"/>
              <w:left w:val="nil"/>
              <w:bottom w:val="nil"/>
              <w:right w:val="nil"/>
            </w:tcBorders>
            <w:noWrap/>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检查单位：　　　　　　　　　　监理单位：                       施工单位：                        检查日期：</w:t>
            </w:r>
          </w:p>
        </w:tc>
      </w:tr>
    </w:tbl>
    <w:p>
      <w:pPr>
        <w:rPr>
          <w:rFonts w:ascii="Calibri" w:hAnsi="Calibri" w:cs="Calibri"/>
          <w:color w:val="auto"/>
          <w:szCs w:val="21"/>
          <w:highlight w:val="none"/>
        </w:rPr>
      </w:pPr>
    </w:p>
    <w:p>
      <w:pP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br w:type="page"/>
      </w:r>
    </w:p>
    <w:p>
      <w:pPr>
        <w:widowControl w:val="0"/>
        <w:adjustRightInd w:val="0"/>
        <w:spacing w:line="360" w:lineRule="auto"/>
        <w:ind w:left="0" w:leftChars="0" w:firstLine="0" w:firstLineChars="0"/>
        <w:jc w:val="left"/>
        <w:textAlignment w:val="baseline"/>
        <w:outlineLvl w:val="0"/>
        <w:rPr>
          <w:rFonts w:hint="eastAsia" w:ascii="宋体" w:hAnsi="宋体" w:eastAsia="宋体" w:cs="宋体"/>
          <w:b/>
          <w:bCs/>
          <w:color w:val="auto"/>
          <w:kern w:val="2"/>
          <w:sz w:val="22"/>
          <w:szCs w:val="22"/>
          <w:highlight w:val="none"/>
          <w:lang w:val="en-US" w:eastAsia="zh-CN" w:bidi="ar"/>
        </w:rPr>
      </w:pPr>
      <w:permStart w:id="462" w:edGrp="everyone"/>
      <w:r>
        <w:rPr>
          <w:rFonts w:hint="eastAsia" w:ascii="黑体" w:hAnsi="黑体" w:eastAsia="黑体" w:cs="黑体"/>
          <w:b w:val="0"/>
          <w:bCs w:val="0"/>
          <w:color w:val="auto"/>
          <w:kern w:val="2"/>
          <w:sz w:val="24"/>
          <w:szCs w:val="24"/>
          <w:highlight w:val="none"/>
          <w:lang w:val="en-US" w:eastAsia="zh-CN" w:bidi="ar"/>
        </w:rPr>
        <w:t xml:space="preserve">附件13     </w:t>
      </w:r>
      <w:r>
        <w:rPr>
          <w:rFonts w:hint="eastAsia" w:ascii="宋体" w:hAnsi="宋体" w:eastAsia="宋体" w:cs="宋体"/>
          <w:b/>
          <w:bCs/>
          <w:color w:val="auto"/>
          <w:kern w:val="2"/>
          <w:sz w:val="24"/>
          <w:szCs w:val="24"/>
          <w:highlight w:val="none"/>
          <w:lang w:val="en-US" w:eastAsia="zh-CN" w:bidi="ar"/>
        </w:rPr>
        <w:t xml:space="preserve">  </w:t>
      </w:r>
      <w:r>
        <w:rPr>
          <w:rFonts w:hint="eastAsia" w:ascii="宋体" w:hAnsi="宋体" w:eastAsia="宋体" w:cs="宋体"/>
          <w:b/>
          <w:bCs/>
          <w:color w:val="auto"/>
          <w:kern w:val="2"/>
          <w:sz w:val="22"/>
          <w:szCs w:val="22"/>
          <w:highlight w:val="none"/>
          <w:lang w:val="en-US" w:eastAsia="zh-CN" w:bidi="ar"/>
        </w:rPr>
        <w:t xml:space="preserve">           </w:t>
      </w:r>
    </w:p>
    <w:p>
      <w:pPr>
        <w:widowControl w:val="0"/>
        <w:adjustRightInd w:val="0"/>
        <w:spacing w:line="360" w:lineRule="auto"/>
        <w:ind w:left="0" w:leftChars="0" w:firstLine="0" w:firstLineChars="0"/>
        <w:jc w:val="center"/>
        <w:textAlignment w:val="baseline"/>
        <w:outlineLvl w:val="0"/>
        <w:rPr>
          <w:rFonts w:hint="eastAsia" w:ascii="方正小标宋简体" w:hAnsi="方正小标宋简体" w:eastAsia="方正小标宋简体" w:cs="方正小标宋简体"/>
          <w:b w:val="0"/>
          <w:bCs w:val="0"/>
          <w:color w:val="auto"/>
          <w:kern w:val="2"/>
          <w:sz w:val="32"/>
          <w:szCs w:val="32"/>
          <w:highlight w:val="none"/>
          <w:lang w:val="en-US" w:eastAsia="zh-CN" w:bidi="ar"/>
        </w:rPr>
      </w:pPr>
      <w:r>
        <w:rPr>
          <w:rFonts w:hint="eastAsia" w:ascii="方正小标宋简体" w:hAnsi="方正小标宋简体" w:eastAsia="方正小标宋简体" w:cs="方正小标宋简体"/>
          <w:b w:val="0"/>
          <w:bCs w:val="0"/>
          <w:color w:val="auto"/>
          <w:kern w:val="2"/>
          <w:sz w:val="32"/>
          <w:szCs w:val="32"/>
          <w:highlight w:val="none"/>
          <w:lang w:val="en-US" w:eastAsia="zh-CN" w:bidi="ar"/>
        </w:rPr>
        <w:t>拟投入的机械设备承诺函</w:t>
      </w:r>
    </w:p>
    <w:p>
      <w:pPr>
        <w:adjustRightInd w:val="0"/>
        <w:snapToGrid w:val="0"/>
        <w:spacing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w:t>
      </w:r>
    </w:p>
    <w:permEnd w:id="462"/>
    <w:p>
      <w:pP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br w:type="page"/>
      </w:r>
    </w:p>
    <w:bookmarkEnd w:id="739"/>
    <w:bookmarkEnd w:id="740"/>
    <w:bookmarkEnd w:id="741"/>
    <w:p>
      <w:pPr>
        <w:rPr>
          <w:rFonts w:hint="eastAsia" w:ascii="黑体" w:hAnsi="黑体" w:eastAsia="黑体" w:cs="黑体"/>
          <w:b w:val="0"/>
          <w:bCs w:val="0"/>
          <w:color w:val="auto"/>
          <w:kern w:val="2"/>
          <w:sz w:val="24"/>
          <w:szCs w:val="24"/>
          <w:highlight w:val="none"/>
          <w:lang w:val="en-US" w:eastAsia="zh-CN" w:bidi="ar"/>
        </w:rPr>
      </w:pPr>
      <w:bookmarkStart w:id="746" w:name="_Toc469384144"/>
      <w:bookmarkStart w:id="747" w:name="_Toc10624988"/>
      <w:bookmarkStart w:id="748" w:name="_Toc266892928"/>
    </w:p>
    <w:p>
      <w:pPr>
        <w:widowControl w:val="0"/>
        <w:adjustRightInd w:val="0"/>
        <w:spacing w:line="360" w:lineRule="auto"/>
        <w:ind w:left="0" w:leftChars="0" w:firstLine="0" w:firstLineChars="0"/>
        <w:jc w:val="left"/>
        <w:textAlignment w:val="baseline"/>
        <w:outlineLvl w:val="0"/>
        <w:rPr>
          <w:rFonts w:hint="eastAsia" w:ascii="黑体" w:hAnsi="黑体" w:eastAsia="黑体" w:cs="黑体"/>
          <w:b w:val="0"/>
          <w:bCs w:val="0"/>
          <w:color w:val="auto"/>
          <w:kern w:val="2"/>
          <w:sz w:val="24"/>
          <w:szCs w:val="24"/>
          <w:highlight w:val="none"/>
          <w:lang w:val="en-US" w:eastAsia="zh-CN" w:bidi="ar"/>
        </w:rPr>
      </w:pPr>
      <w:permStart w:id="463" w:edGrp="everyone"/>
      <w:r>
        <w:rPr>
          <w:rFonts w:hint="eastAsia" w:ascii="黑体" w:hAnsi="黑体" w:eastAsia="黑体" w:cs="黑体"/>
          <w:b w:val="0"/>
          <w:bCs w:val="0"/>
          <w:color w:val="auto"/>
          <w:kern w:val="2"/>
          <w:sz w:val="24"/>
          <w:szCs w:val="24"/>
          <w:highlight w:val="none"/>
          <w:lang w:val="en-US" w:eastAsia="zh-CN" w:bidi="ar"/>
        </w:rPr>
        <w:t>附件14</w:t>
      </w:r>
    </w:p>
    <w:permEnd w:id="463"/>
    <w:p>
      <w:pPr>
        <w:widowControl w:val="0"/>
        <w:adjustRightInd w:val="0"/>
        <w:spacing w:line="240" w:lineRule="auto"/>
        <w:ind w:firstLine="0"/>
        <w:jc w:val="both"/>
        <w:textAlignment w:val="baseline"/>
        <w:rPr>
          <w:rFonts w:hint="eastAsia" w:ascii="黑体" w:hAnsi="黑体" w:eastAsia="黑体" w:cs="黑体"/>
          <w:b w:val="0"/>
          <w:bCs w:val="0"/>
          <w:color w:val="auto"/>
          <w:kern w:val="2"/>
          <w:sz w:val="22"/>
          <w:szCs w:val="22"/>
          <w:highlight w:val="none"/>
          <w:lang w:val="en-US" w:eastAsia="zh-CN" w:bidi="ar-SA"/>
        </w:rPr>
      </w:pPr>
    </w:p>
    <w:p>
      <w:pPr>
        <w:widowControl w:val="0"/>
        <w:adjustRightInd w:val="0"/>
        <w:spacing w:line="560" w:lineRule="exact"/>
        <w:ind w:firstLine="0"/>
        <w:jc w:val="center"/>
        <w:textAlignment w:val="baseline"/>
        <w:rPr>
          <w:rFonts w:hint="eastAsia" w:ascii="方正小标宋简体" w:hAnsi="方正小标宋简体" w:eastAsia="方正小标宋简体" w:cs="方正小标宋简体"/>
          <w:b w:val="0"/>
          <w:bCs w:val="0"/>
          <w:color w:val="auto"/>
          <w:kern w:val="2"/>
          <w:sz w:val="32"/>
          <w:szCs w:val="32"/>
          <w:highlight w:val="none"/>
          <w:lang w:val="en-US" w:eastAsia="zh-CN" w:bidi="ar-SA"/>
        </w:rPr>
      </w:pPr>
      <w:r>
        <w:rPr>
          <w:rFonts w:hint="eastAsia" w:ascii="方正小标宋简体" w:hAnsi="方正小标宋简体" w:eastAsia="方正小标宋简体" w:cs="方正小标宋简体"/>
          <w:b w:val="0"/>
          <w:bCs w:val="0"/>
          <w:color w:val="auto"/>
          <w:kern w:val="2"/>
          <w:sz w:val="32"/>
          <w:szCs w:val="32"/>
          <w:highlight w:val="none"/>
          <w:lang w:val="en-US" w:eastAsia="zh-CN" w:bidi="ar-SA"/>
        </w:rPr>
        <w:t>其他附件</w:t>
      </w:r>
    </w:p>
    <w:p>
      <w:pPr>
        <w:widowControl w:val="0"/>
        <w:adjustRightInd w:val="0"/>
        <w:spacing w:line="560" w:lineRule="exact"/>
        <w:ind w:firstLine="480" w:firstLineChars="200"/>
        <w:jc w:val="both"/>
        <w:textAlignment w:val="baseline"/>
        <w:rPr>
          <w:rFonts w:hint="eastAsia" w:ascii="仿宋_GB2312" w:hAnsi="仿宋_GB2312" w:eastAsia="仿宋_GB2312" w:cs="仿宋_GB2312"/>
          <w:color w:val="auto"/>
          <w:kern w:val="2"/>
          <w:sz w:val="24"/>
          <w:szCs w:val="24"/>
          <w:highlight w:val="none"/>
          <w:lang w:val="en-US" w:eastAsia="zh-CN" w:bidi="ar-SA"/>
        </w:rPr>
      </w:pPr>
      <w:permStart w:id="464" w:edGrp="everyone"/>
      <w:r>
        <w:rPr>
          <w:rFonts w:hint="eastAsia" w:ascii="仿宋_GB2312" w:hAnsi="仿宋_GB2312" w:eastAsia="仿宋_GB2312" w:cs="仿宋_GB2312"/>
          <w:color w:val="auto"/>
          <w:kern w:val="2"/>
          <w:sz w:val="24"/>
          <w:szCs w:val="24"/>
          <w:highlight w:val="none"/>
          <w:lang w:val="en-US" w:eastAsia="zh-CN" w:bidi="ar-SA"/>
        </w:rPr>
        <w:t>招标/采购文件中要求投标单位/供应商提供的，与合同履约相关的附件，包括但不限于项目管理架构组成表、人员最低配置承诺书、拟投入的机械设备承诺函等，应作为本合同附件。</w:t>
      </w:r>
    </w:p>
    <w:permEnd w:id="464"/>
    <w:p>
      <w:pP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br w:type="page"/>
      </w: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格式1</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履约担保</w:t>
      </w:r>
    </w:p>
    <w:p>
      <w:pPr>
        <w:spacing w:line="420" w:lineRule="exact"/>
        <w:rPr>
          <w:rFonts w:ascii="宋体" w:hAnsi="宋体" w:cs="宋体"/>
          <w:color w:val="auto"/>
          <w:sz w:val="22"/>
          <w:szCs w:val="22"/>
          <w:highlight w:val="none"/>
        </w:rPr>
      </w:pPr>
    </w:p>
    <w:p>
      <w:pPr>
        <w:wordWrap w:val="0"/>
        <w:spacing w:line="360" w:lineRule="auto"/>
        <w:jc w:val="righ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编号：           </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申请人：</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受益人：</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开立人：</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（受益人名称）：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鉴于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（以下简称“受益人”）与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（以下简称“申请人”）于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日就</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工程（以下简称“本工程”）施工和有关事项协商一致共同签订</w:t>
      </w:r>
      <w:r>
        <w:rPr>
          <w:rFonts w:hint="eastAsia" w:ascii="仿宋_GB2312" w:hAnsi="仿宋_GB2312" w:eastAsia="仿宋_GB2312" w:cs="仿宋_GB2312"/>
          <w:color w:val="auto"/>
          <w:sz w:val="24"/>
          <w:szCs w:val="24"/>
          <w:highlight w:val="none"/>
          <w:u w:val="single"/>
        </w:rPr>
        <w:t>《        》</w:t>
      </w:r>
      <w:r>
        <w:rPr>
          <w:rFonts w:hint="eastAsia" w:ascii="仿宋_GB2312" w:hAnsi="仿宋_GB2312" w:eastAsia="仿宋_GB2312" w:cs="仿宋_GB2312"/>
          <w:color w:val="auto"/>
          <w:sz w:val="24"/>
          <w:szCs w:val="24"/>
          <w:highlight w:val="none"/>
        </w:rPr>
        <w:t xml:space="preserve">（以下简称“基础合同”），我方（即“开立人”）根据基础合同了解到申请人为基础合同项下之承包人，受益人为基础合同项下之发包人，基于申请人的请求，我方同意就申请人履行与贵方签订的基础合同项下的义务，向贵方提供不可撤销、不可转让的见索即付独立保函（以下简称“本保函”）。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一、本保函担保范围：承包人未按照基础合同的约定履行义务，应当向贵方承担的违约责任和赔偿因此造成的损失、利息、律师费、诉讼费用等实现债权的费用。</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二、本保函担保金额最高不超过人民币（大写）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三、本保函有效期自开立之日起至基础合同约定的缺陷责任期后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日止，最迟不超过</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日。 </w:t>
      </w:r>
    </w:p>
    <w:p>
      <w:pPr>
        <w:spacing w:line="360" w:lineRule="auto"/>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四、我方承诺，在收到受益人发来的书面付款通知后的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日内无条件支付，前述书面付款通知即为付款要求之单据，且应满足以下要求：</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（1）付款通知到达的日期在本保函的有效期内；</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（2）载明要求支付的金额；</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（3）载明申请人违反合同义务的条款和内容；</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（4）声明不存在合同文件约定或我国法律规定免除申请人或开立人支付责任的情形；</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（5）付款通知应在本保函有效期内到达的地址是：</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受益人发出的书面付款通知应由其为鉴明受益人法定代表人（负责人）或授权代理人签字并加盖公章。</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五、本保函项下的权利不得转让，不得设定担保。贵方未经我方书面同意转 让本保函或其项下任何权利，对我方不发生法律效力。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六、与本保函有关的基础合同不成立、不生效、无效、被撤销、被解除，不影响本保函的独立有效。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八、本保函适用的法律为中华人民共和国法律，争议裁判管辖地为中华人民共和国</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九、本保函自我方法定代表人或授权代表签字并加盖公章之日起生效。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开 立 人：                              （公章）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法定代表人（或授权代表）：               （签字）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地    址：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邮政编码：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电    话：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传    真：                 </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开立时间：      年      月    </w:t>
      </w:r>
    </w:p>
    <w:p>
      <w:pPr>
        <w:spacing w:line="420" w:lineRule="exact"/>
        <w:rPr>
          <w:rFonts w:ascii="宋体" w:hAnsi="宋体" w:cs="Calibri"/>
          <w:color w:val="auto"/>
          <w:sz w:val="24"/>
          <w:szCs w:val="24"/>
          <w:highlight w:val="none"/>
        </w:rPr>
      </w:pPr>
    </w:p>
    <w:p>
      <w:pPr>
        <w:spacing w:line="420" w:lineRule="exact"/>
        <w:rPr>
          <w:rFonts w:ascii="宋体" w:hAnsi="宋体" w:cs="Calibri"/>
          <w:color w:val="auto"/>
          <w:sz w:val="24"/>
          <w:szCs w:val="24"/>
          <w:highlight w:val="none"/>
        </w:rPr>
      </w:pPr>
    </w:p>
    <w:p>
      <w:pPr>
        <w:spacing w:line="420" w:lineRule="exact"/>
        <w:rPr>
          <w:rFonts w:ascii="宋体" w:hAnsi="宋体" w:cs="Calibri"/>
          <w:color w:val="auto"/>
          <w:sz w:val="24"/>
          <w:szCs w:val="24"/>
          <w:highlight w:val="none"/>
        </w:rPr>
      </w:pPr>
    </w:p>
    <w:p>
      <w:pPr>
        <w:spacing w:line="420" w:lineRule="exact"/>
        <w:rPr>
          <w:rFonts w:ascii="宋体" w:hAnsi="宋体" w:cs="Calibri"/>
          <w:color w:val="auto"/>
          <w:sz w:val="24"/>
          <w:szCs w:val="24"/>
          <w:highlight w:val="none"/>
        </w:rPr>
      </w:pPr>
    </w:p>
    <w:p>
      <w:pPr>
        <w:spacing w:line="420" w:lineRule="exact"/>
        <w:rPr>
          <w:rFonts w:ascii="宋体" w:hAnsi="宋体" w:cs="Calibri"/>
          <w:color w:val="auto"/>
          <w:sz w:val="24"/>
          <w:szCs w:val="24"/>
          <w:highlight w:val="none"/>
        </w:rPr>
      </w:pPr>
    </w:p>
    <w:p>
      <w:pPr>
        <w:spacing w:line="420" w:lineRule="exact"/>
        <w:rPr>
          <w:rFonts w:ascii="宋体" w:hAnsi="宋体" w:cs="Calibri"/>
          <w:color w:val="auto"/>
          <w:sz w:val="24"/>
          <w:szCs w:val="24"/>
          <w:highlight w:val="none"/>
        </w:rPr>
      </w:pPr>
    </w:p>
    <w:p>
      <w:pPr>
        <w:spacing w:line="420" w:lineRule="exact"/>
        <w:rPr>
          <w:rFonts w:ascii="宋体" w:hAnsi="宋体" w:cs="Calibri"/>
          <w:color w:val="auto"/>
          <w:sz w:val="24"/>
          <w:szCs w:val="24"/>
          <w:highlight w:val="none"/>
        </w:rPr>
      </w:pPr>
    </w:p>
    <w:p>
      <w:pPr>
        <w:spacing w:line="420" w:lineRule="exact"/>
        <w:rPr>
          <w:rFonts w:ascii="宋体" w:hAnsi="宋体" w:cs="Calibri"/>
          <w:color w:val="auto"/>
          <w:sz w:val="24"/>
          <w:szCs w:val="24"/>
          <w:highlight w:val="none"/>
        </w:rPr>
      </w:pP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格式2</w:t>
      </w:r>
      <w:bookmarkEnd w:id="746"/>
      <w:bookmarkEnd w:id="747"/>
      <w:bookmarkEnd w:id="748"/>
    </w:p>
    <w:p>
      <w:pPr>
        <w:spacing w:line="420" w:lineRule="exact"/>
        <w:jc w:val="center"/>
        <w:rPr>
          <w:rFonts w:ascii="宋体" w:hAnsi="宋体" w:cs="宋体"/>
          <w:b/>
          <w:bCs/>
          <w:color w:val="auto"/>
          <w:spacing w:val="40"/>
          <w:sz w:val="22"/>
          <w:szCs w:val="22"/>
          <w:highlight w:val="none"/>
        </w:rPr>
      </w:pPr>
      <w:r>
        <w:rPr>
          <w:rFonts w:hint="eastAsia" w:ascii="方正小标宋简体" w:hAnsi="方正小标宋简体" w:eastAsia="方正小标宋简体" w:cs="方正小标宋简体"/>
          <w:b w:val="0"/>
          <w:bCs w:val="0"/>
          <w:color w:val="auto"/>
          <w:spacing w:val="40"/>
          <w:sz w:val="32"/>
          <w:szCs w:val="32"/>
          <w:highlight w:val="none"/>
        </w:rPr>
        <w:t>支付担保</w:t>
      </w:r>
    </w:p>
    <w:p>
      <w:pPr>
        <w:spacing w:line="420" w:lineRule="exact"/>
        <w:rPr>
          <w:rFonts w:ascii="宋体" w:hAnsi="宋体" w:cs="宋体"/>
          <w:color w:val="auto"/>
          <w:sz w:val="22"/>
          <w:szCs w:val="22"/>
          <w:highlight w:val="none"/>
        </w:rPr>
      </w:pPr>
    </w:p>
    <w:p>
      <w:pPr>
        <w:wordWrap w:val="0"/>
        <w:spacing w:line="360" w:lineRule="auto"/>
        <w:jc w:val="righ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编号：           </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申请人：</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受益人：</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开立人：</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pPr>
        <w:spacing w:line="360" w:lineRule="auto"/>
        <w:rPr>
          <w:rFonts w:hint="eastAsia" w:ascii="仿宋_GB2312" w:hAnsi="仿宋_GB2312" w:eastAsia="仿宋_GB2312" w:cs="仿宋_GB2312"/>
          <w:color w:val="auto"/>
          <w:sz w:val="24"/>
          <w:szCs w:val="24"/>
          <w:highlight w:val="none"/>
        </w:rPr>
      </w:pPr>
      <w:bookmarkStart w:id="749" w:name="_Hlk40355074"/>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（受益人名称）： </w:t>
      </w:r>
    </w:p>
    <w:bookmarkEnd w:id="749"/>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鉴于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（以下简称“受益人”）与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（以下简称“申请人”）于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日就</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工程（以下简称“本工程”）施工和有关事项协商一致共同签订</w:t>
      </w:r>
      <w:r>
        <w:rPr>
          <w:rFonts w:hint="eastAsia" w:ascii="仿宋_GB2312" w:hAnsi="仿宋_GB2312" w:eastAsia="仿宋_GB2312" w:cs="仿宋_GB2312"/>
          <w:color w:val="auto"/>
          <w:sz w:val="24"/>
          <w:szCs w:val="24"/>
          <w:highlight w:val="none"/>
          <w:u w:val="single"/>
        </w:rPr>
        <w:t>《        》</w:t>
      </w:r>
      <w:r>
        <w:rPr>
          <w:rFonts w:hint="eastAsia" w:ascii="仿宋_GB2312" w:hAnsi="仿宋_GB2312" w:eastAsia="仿宋_GB2312" w:cs="仿宋_GB2312"/>
          <w:color w:val="auto"/>
          <w:sz w:val="24"/>
          <w:szCs w:val="24"/>
          <w:highlight w:val="none"/>
        </w:rPr>
        <w:t xml:space="preserve">（以下简称基础合同”），我方（即“开立人”）根据基础合同了解到申请人为基础合同项下之发包人，受益人为基础合同项下之承包人，基于申请人的请求，我方同意就申请人履行与贵方签订的基础合同项下的工程款（指基础合同约定的除工程质量保修金以外的工程款）付款义务，向贵方提供不可撤销、不可转让的见索即付独立保函（以下简称“本保函”）。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一、本保函担保范围：申请人未履行基础合同约定的工程款支付义务，应当向贵方承担的违约责任和赔偿因此造成的损失、利息、律师费、诉讼费用等实现债权的费用。</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二、本保函担保金额最高不超过人民币（大写）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三、本保函有效期自开立之日起至基础合同约定的除工程质量保修金以外的全部工程结算款项支付之日后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日止，最迟不超过</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日。 </w:t>
      </w:r>
    </w:p>
    <w:p>
      <w:pPr>
        <w:spacing w:line="360" w:lineRule="auto"/>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四、我方承诺，在收到受益人发来的书面付款通知后的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日内无条件支付，前述书面付款通知即为付款要求之单据，且应满足以下要求：</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（1）付款通知到达的日期在本保函的有效期内；</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（2）载明要求支付的金额；</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（3）载明申请人违反合同义务的条款和内容；</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（4）声明不存在合同文件约定或我国法律规定免除申请人或开立人支付责任的情形；</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（5）付款通知应在本保函有效期内到达的地址是：</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受益人发出的书面付款通知应由其为鉴明受益人法定代表人（负责人）或授权代理人签字并加盖公章。</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五、本保函项下的权利不得转让，不得设定担保。贵方未经我方书面同意转 让本保函或其项下任何权利，对我方不发生法律效力。</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六、与本保函有关的基础合同不成立、不生效、无效、被撤销、被解除，不影响本保函的独立有效。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八、本保函适用的法律为中华人民共和国法律，争议裁判管辖地为中华人民共和国</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九、本保函自我方法定代表人</w:t>
      </w:r>
      <w:bookmarkStart w:id="750" w:name="_Hlk58487855"/>
      <w:r>
        <w:rPr>
          <w:rFonts w:hint="eastAsia" w:ascii="仿宋_GB2312" w:hAnsi="仿宋_GB2312" w:eastAsia="仿宋_GB2312" w:cs="仿宋_GB2312"/>
          <w:color w:val="auto"/>
          <w:sz w:val="24"/>
          <w:szCs w:val="24"/>
          <w:highlight w:val="none"/>
        </w:rPr>
        <w:t>或授权代表</w:t>
      </w:r>
      <w:bookmarkEnd w:id="750"/>
      <w:r>
        <w:rPr>
          <w:rFonts w:hint="eastAsia" w:ascii="仿宋_GB2312" w:hAnsi="仿宋_GB2312" w:eastAsia="仿宋_GB2312" w:cs="仿宋_GB2312"/>
          <w:color w:val="auto"/>
          <w:sz w:val="24"/>
          <w:szCs w:val="24"/>
          <w:highlight w:val="none"/>
        </w:rPr>
        <w:t xml:space="preserve">签字并加盖公章之日起生效。 </w:t>
      </w:r>
    </w:p>
    <w:p>
      <w:pPr>
        <w:spacing w:line="360" w:lineRule="auto"/>
        <w:ind w:firstLine="480" w:firstLineChars="200"/>
        <w:rPr>
          <w:rFonts w:hint="eastAsia" w:ascii="仿宋_GB2312" w:hAnsi="仿宋_GB2312" w:eastAsia="仿宋_GB2312" w:cs="仿宋_GB2312"/>
          <w:color w:val="auto"/>
          <w:sz w:val="24"/>
          <w:szCs w:val="24"/>
          <w:highlight w:val="none"/>
        </w:rPr>
      </w:pPr>
    </w:p>
    <w:p>
      <w:pPr>
        <w:spacing w:line="360" w:lineRule="auto"/>
        <w:ind w:firstLine="480" w:firstLineChars="200"/>
        <w:rPr>
          <w:rFonts w:hint="eastAsia" w:ascii="仿宋_GB2312" w:hAnsi="仿宋_GB2312" w:eastAsia="仿宋_GB2312" w:cs="仿宋_GB2312"/>
          <w:color w:val="auto"/>
          <w:sz w:val="24"/>
          <w:szCs w:val="24"/>
          <w:highlight w:val="none"/>
        </w:rPr>
      </w:pP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开 立 人：                              （公章）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法定代表人（或授权代表）：               （签字）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地    址：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邮政编码：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电    话：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传    真：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开立时间：      年      月        日</w:t>
      </w:r>
    </w:p>
    <w:p>
      <w:pPr>
        <w:spacing w:line="420" w:lineRule="exact"/>
        <w:rPr>
          <w:rFonts w:ascii="宋体" w:hAnsi="宋体" w:cs="宋体"/>
          <w:color w:val="auto"/>
          <w:sz w:val="22"/>
          <w:szCs w:val="22"/>
          <w:highlight w:val="none"/>
        </w:rPr>
      </w:pPr>
    </w:p>
    <w:p>
      <w:pPr>
        <w:spacing w:line="420" w:lineRule="exact"/>
        <w:rPr>
          <w:rFonts w:ascii="宋体" w:hAnsi="宋体" w:cs="宋体"/>
          <w:color w:val="auto"/>
          <w:sz w:val="22"/>
          <w:szCs w:val="22"/>
          <w:highlight w:val="none"/>
        </w:rPr>
      </w:pPr>
    </w:p>
    <w:p>
      <w:pPr>
        <w:spacing w:line="420" w:lineRule="exact"/>
        <w:rPr>
          <w:rFonts w:ascii="宋体" w:hAnsi="宋体" w:cs="宋体"/>
          <w:color w:val="auto"/>
          <w:sz w:val="22"/>
          <w:szCs w:val="22"/>
          <w:highlight w:val="none"/>
        </w:rPr>
      </w:pPr>
    </w:p>
    <w:p>
      <w:pPr>
        <w:spacing w:line="420" w:lineRule="exact"/>
        <w:rPr>
          <w:rFonts w:ascii="宋体" w:hAnsi="宋体" w:cs="宋体"/>
          <w:color w:val="auto"/>
          <w:sz w:val="22"/>
          <w:szCs w:val="22"/>
          <w:highlight w:val="none"/>
        </w:rPr>
      </w:pPr>
    </w:p>
    <w:p>
      <w:pPr>
        <w:spacing w:line="420" w:lineRule="exact"/>
        <w:rPr>
          <w:rFonts w:ascii="宋体" w:hAnsi="宋体" w:cs="宋体"/>
          <w:color w:val="auto"/>
          <w:sz w:val="22"/>
          <w:szCs w:val="22"/>
          <w:highlight w:val="none"/>
        </w:rPr>
      </w:pPr>
    </w:p>
    <w:p>
      <w:pPr>
        <w:spacing w:line="420" w:lineRule="exact"/>
        <w:rPr>
          <w:rFonts w:ascii="宋体" w:hAnsi="宋体" w:cs="宋体"/>
          <w:color w:val="auto"/>
          <w:sz w:val="22"/>
          <w:szCs w:val="22"/>
          <w:highlight w:val="none"/>
        </w:rPr>
      </w:pP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bookmarkStart w:id="751" w:name="_Toc10624989"/>
      <w:bookmarkStart w:id="752" w:name="_Toc469384145"/>
      <w:bookmarkStart w:id="753" w:name="_Toc266892929"/>
      <w:r>
        <w:rPr>
          <w:rFonts w:hint="eastAsia" w:ascii="黑体" w:hAnsi="黑体" w:eastAsia="黑体" w:cs="黑体"/>
          <w:b w:val="0"/>
          <w:bCs w:val="0"/>
          <w:color w:val="auto"/>
          <w:kern w:val="0"/>
          <w:sz w:val="24"/>
          <w:szCs w:val="24"/>
          <w:highlight w:val="none"/>
        </w:rPr>
        <w:t>格式3</w:t>
      </w:r>
      <w:bookmarkEnd w:id="751"/>
      <w:bookmarkEnd w:id="752"/>
      <w:bookmarkEnd w:id="753"/>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预付款担保</w:t>
      </w:r>
    </w:p>
    <w:p>
      <w:pPr>
        <w:spacing w:line="420" w:lineRule="exact"/>
        <w:rPr>
          <w:rFonts w:ascii="宋体" w:hAnsi="宋体" w:cs="宋体"/>
          <w:color w:val="auto"/>
          <w:sz w:val="22"/>
          <w:szCs w:val="22"/>
          <w:highlight w:val="none"/>
        </w:rPr>
      </w:pPr>
    </w:p>
    <w:p>
      <w:pPr>
        <w:wordWrap w:val="0"/>
        <w:spacing w:line="360" w:lineRule="auto"/>
        <w:jc w:val="righ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编号：           </w:t>
      </w:r>
    </w:p>
    <w:p>
      <w:pPr>
        <w:spacing w:line="360" w:lineRule="auto"/>
        <w:rPr>
          <w:rFonts w:hint="eastAsia" w:ascii="仿宋_GB2312" w:hAnsi="仿宋_GB2312" w:eastAsia="仿宋_GB2312" w:cs="仿宋_GB2312"/>
          <w:color w:val="auto"/>
          <w:sz w:val="24"/>
          <w:szCs w:val="24"/>
          <w:highlight w:val="none"/>
        </w:rPr>
      </w:pP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申请人：</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受益人：</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开立人：</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（受益人名称）：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鉴于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（以下简称“受益人”）与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（以下简称“申请人”）于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日就</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工程（以下简称“本工程”）施工和有关事项协商一致共同签订</w:t>
      </w:r>
      <w:r>
        <w:rPr>
          <w:rFonts w:hint="eastAsia" w:ascii="仿宋_GB2312" w:hAnsi="仿宋_GB2312" w:eastAsia="仿宋_GB2312" w:cs="仿宋_GB2312"/>
          <w:color w:val="auto"/>
          <w:sz w:val="24"/>
          <w:szCs w:val="24"/>
          <w:highlight w:val="none"/>
          <w:u w:val="single"/>
        </w:rPr>
        <w:t>《        》</w:t>
      </w:r>
      <w:r>
        <w:rPr>
          <w:rFonts w:hint="eastAsia" w:ascii="仿宋_GB2312" w:hAnsi="仿宋_GB2312" w:eastAsia="仿宋_GB2312" w:cs="仿宋_GB2312"/>
          <w:color w:val="auto"/>
          <w:sz w:val="24"/>
          <w:szCs w:val="24"/>
          <w:highlight w:val="none"/>
        </w:rPr>
        <w:t xml:space="preserve">（以下简称“基础合同”），我方（即“开立人”）根据主合同了解到申请人为主合同项下之承包人，受益人为主合同项下之发包人，基于申请人的请求，我方同意就申请人按照合同约定正确和合理地为合同目的使用预付款，向贵方提供不可撤销、不可转让的见索即付独立保函（以下简称“本保函”）。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一、本保函担保范围：申请人未按照合同约定正确和合理地为合同目的使用预付款，应当向贵方承担的违约责任和赔偿因此造成的损失、利息、律师费、诉讼费用等实现债权的费用。</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二、本保函担保金额最高不超过人民币（大写）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三、本保函有效期自开立之日起至发包人全额扣回预付款后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日止，最迟不超过</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四、我方承诺，在收到受益人发来的书面付款通知后的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日内无条件支付，前述书面付款通知即为付款要求之单据，且应满足以下要求：</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（1）付款通知到达的日期在本保函的有效期内；</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（2）载明要求支付的金额；</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（3）载明申请人违反合同义务的条款和内容；</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（4）声明不存在合同文件约定或我国法律规定免除申请人或开立人支付责任的情形；</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（5）付款通知应在本保函有效期内到达的地址是：</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受益人发出的书面付款通知应由其为鉴明受益人法定代表人（负责人）或授权代理人签字并加盖公章。</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五、本保函项下的权利不得转让，不得设定担保。贵方未经我方书面同意转 让本保函或其项下任何权利，对我方不发生法律效力。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六、与本保函有关的基础合同不成立、不生效、无效、被撤销、被解除，不影响本保函的独立有效。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八、本保函适用的法律为中华人民共和国法律，争议裁判管辖地为中华人民共和国</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九、本保函自我方法定代表人或授权代表签字并加盖公章之日起生效。 </w:t>
      </w:r>
    </w:p>
    <w:p>
      <w:pPr>
        <w:spacing w:line="360" w:lineRule="auto"/>
        <w:ind w:firstLine="480" w:firstLineChars="200"/>
        <w:rPr>
          <w:rFonts w:hint="eastAsia" w:ascii="仿宋_GB2312" w:hAnsi="仿宋_GB2312" w:eastAsia="仿宋_GB2312" w:cs="仿宋_GB2312"/>
          <w:color w:val="auto"/>
          <w:sz w:val="24"/>
          <w:szCs w:val="24"/>
          <w:highlight w:val="none"/>
        </w:rPr>
      </w:pPr>
    </w:p>
    <w:p>
      <w:pPr>
        <w:spacing w:line="360" w:lineRule="auto"/>
        <w:ind w:firstLine="480" w:firstLineChars="200"/>
        <w:rPr>
          <w:rFonts w:hint="eastAsia" w:ascii="仿宋_GB2312" w:hAnsi="仿宋_GB2312" w:eastAsia="仿宋_GB2312" w:cs="仿宋_GB2312"/>
          <w:color w:val="auto"/>
          <w:sz w:val="24"/>
          <w:szCs w:val="24"/>
          <w:highlight w:val="none"/>
        </w:rPr>
      </w:pP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开 立 人：                              （公章）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法定代表人（或授权代表）：               （签字）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地    址：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邮政编码：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电    话：                 </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传    真：                 </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开立时间：      年      月        日</w:t>
      </w:r>
    </w:p>
    <w:p>
      <w:pPr>
        <w:spacing w:line="360" w:lineRule="auto"/>
        <w:jc w:val="center"/>
        <w:rPr>
          <w:rFonts w:ascii="宋体" w:hAnsi="宋体" w:cs="Calibri"/>
          <w:b/>
          <w:bCs/>
          <w:color w:val="auto"/>
          <w:sz w:val="32"/>
          <w:szCs w:val="32"/>
          <w:highlight w:val="none"/>
        </w:rPr>
      </w:pPr>
    </w:p>
    <w:p>
      <w:pPr>
        <w:spacing w:line="420" w:lineRule="exact"/>
        <w:rPr>
          <w:rFonts w:ascii="宋体" w:hAnsi="宋体" w:cs="宋体"/>
          <w:color w:val="auto"/>
          <w:sz w:val="22"/>
          <w:szCs w:val="22"/>
          <w:highlight w:val="none"/>
        </w:rPr>
      </w:pPr>
    </w:p>
    <w:p>
      <w:pPr>
        <w:spacing w:before="240" w:beforeLines="100" w:after="240" w:afterLines="100" w:line="420" w:lineRule="exact"/>
        <w:outlineLvl w:val="1"/>
        <w:rPr>
          <w:rFonts w:hint="eastAsia" w:ascii="宋体" w:hAnsi="宋体" w:cs="宋体"/>
          <w:b/>
          <w:bCs/>
          <w:color w:val="auto"/>
          <w:kern w:val="0"/>
          <w:sz w:val="22"/>
          <w:szCs w:val="22"/>
          <w:highlight w:val="none"/>
        </w:rPr>
      </w:pPr>
      <w:bookmarkStart w:id="754" w:name="_Toc469384146"/>
      <w:bookmarkStart w:id="755" w:name="_Toc266892930"/>
      <w:bookmarkStart w:id="756" w:name="_Toc10624990"/>
    </w:p>
    <w:p>
      <w:pPr>
        <w:spacing w:before="240" w:beforeLines="100" w:after="240" w:afterLines="100" w:line="420" w:lineRule="exact"/>
        <w:outlineLvl w:val="1"/>
        <w:rPr>
          <w:rFonts w:hint="eastAsia" w:ascii="宋体" w:hAnsi="宋体" w:cs="宋体"/>
          <w:b/>
          <w:bCs/>
          <w:color w:val="auto"/>
          <w:kern w:val="0"/>
          <w:sz w:val="22"/>
          <w:szCs w:val="22"/>
          <w:highlight w:val="none"/>
        </w:rPr>
      </w:pP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格式4</w:t>
      </w:r>
      <w:bookmarkEnd w:id="754"/>
      <w:bookmarkEnd w:id="755"/>
      <w:bookmarkEnd w:id="756"/>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工程项目一览表</w:t>
      </w:r>
    </w:p>
    <w:tbl>
      <w:tblPr>
        <w:tblStyle w:val="19"/>
        <w:tblW w:w="10155" w:type="dxa"/>
        <w:jc w:val="center"/>
        <w:tblLayout w:type="fixed"/>
        <w:tblCellMar>
          <w:top w:w="0" w:type="dxa"/>
          <w:left w:w="108" w:type="dxa"/>
          <w:bottom w:w="0" w:type="dxa"/>
          <w:right w:w="108" w:type="dxa"/>
        </w:tblCellMar>
      </w:tblPr>
      <w:tblGrid>
        <w:gridCol w:w="1960"/>
        <w:gridCol w:w="2993"/>
        <w:gridCol w:w="5202"/>
      </w:tblGrid>
      <w:tr>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项号</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项 目</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内      容</w:t>
            </w:r>
          </w:p>
        </w:tc>
      </w:tr>
      <w:tr>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1</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工程名称</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color w:val="auto"/>
                <w:kern w:val="2"/>
                <w:sz w:val="18"/>
                <w:szCs w:val="18"/>
                <w:highlight w:val="none"/>
                <w:lang w:val="en-US" w:eastAsia="zh-CN" w:bidi="ar-SA"/>
              </w:rPr>
            </w:pPr>
          </w:p>
        </w:tc>
      </w:tr>
      <w:tr>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2</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w w:val="90"/>
                <w:sz w:val="18"/>
                <w:szCs w:val="18"/>
                <w:highlight w:val="none"/>
              </w:rPr>
            </w:pPr>
            <w:r>
              <w:rPr>
                <w:rFonts w:hint="eastAsia" w:ascii="宋体" w:hAnsi="宋体" w:cs="宋体"/>
                <w:color w:val="auto"/>
                <w:sz w:val="18"/>
                <w:szCs w:val="18"/>
                <w:highlight w:val="none"/>
              </w:rPr>
              <w:t>工程地点</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ind w:left="-6" w:firstLine="6"/>
              <w:jc w:val="center"/>
              <w:rPr>
                <w:rFonts w:ascii="宋体" w:hAnsi="宋体" w:cs="宋体"/>
                <w:color w:val="auto"/>
                <w:sz w:val="18"/>
                <w:szCs w:val="18"/>
                <w:highlight w:val="none"/>
              </w:rPr>
            </w:pPr>
          </w:p>
          <w:p>
            <w:pPr>
              <w:spacing w:line="420" w:lineRule="exact"/>
              <w:ind w:left="-6" w:firstLine="6"/>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3</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发包人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ind w:left="-6" w:firstLine="6"/>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4</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设计人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color w:val="auto"/>
                <w:kern w:val="2"/>
                <w:sz w:val="18"/>
                <w:szCs w:val="18"/>
                <w:highlight w:val="none"/>
                <w:lang w:val="en-US" w:eastAsia="zh-CN" w:bidi="ar-SA"/>
              </w:rPr>
            </w:pPr>
          </w:p>
        </w:tc>
      </w:tr>
      <w:tr>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5</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监理人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color w:val="auto"/>
                <w:kern w:val="2"/>
                <w:sz w:val="18"/>
                <w:szCs w:val="18"/>
                <w:highlight w:val="none"/>
                <w:lang w:val="en-US" w:eastAsia="zh-CN" w:bidi="ar-SA"/>
              </w:rPr>
            </w:pPr>
          </w:p>
        </w:tc>
      </w:tr>
      <w:tr>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6</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工程造价咨询人（如有）</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color w:val="auto"/>
                <w:kern w:val="2"/>
                <w:sz w:val="18"/>
                <w:szCs w:val="18"/>
                <w:highlight w:val="none"/>
                <w:lang w:val="en-US" w:eastAsia="zh-CN" w:bidi="ar-SA"/>
              </w:rPr>
            </w:pPr>
          </w:p>
        </w:tc>
      </w:tr>
      <w:tr>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7</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承包人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color w:val="auto"/>
                <w:kern w:val="2"/>
                <w:sz w:val="18"/>
                <w:szCs w:val="18"/>
                <w:highlight w:val="none"/>
                <w:lang w:val="en-US" w:eastAsia="zh-CN" w:bidi="ar-SA"/>
              </w:rPr>
            </w:pPr>
          </w:p>
        </w:tc>
      </w:tr>
      <w:tr>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8</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w w:val="90"/>
                <w:sz w:val="18"/>
                <w:szCs w:val="18"/>
                <w:highlight w:val="none"/>
              </w:rPr>
            </w:pPr>
            <w:r>
              <w:rPr>
                <w:rFonts w:hint="eastAsia" w:ascii="宋体" w:hAnsi="宋体" w:cs="宋体"/>
                <w:color w:val="auto"/>
                <w:sz w:val="18"/>
                <w:szCs w:val="18"/>
                <w:highlight w:val="none"/>
              </w:rPr>
              <w:t>工程总投资</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ind w:left="-3" w:firstLine="3"/>
              <w:jc w:val="center"/>
              <w:rPr>
                <w:rFonts w:ascii="宋体" w:hAnsi="宋体" w:eastAsia="宋体" w:cs="宋体"/>
                <w:color w:val="auto"/>
                <w:kern w:val="2"/>
                <w:sz w:val="18"/>
                <w:szCs w:val="18"/>
                <w:highlight w:val="none"/>
                <w:lang w:val="en-US" w:eastAsia="zh-CN" w:bidi="ar-SA"/>
              </w:rPr>
            </w:pPr>
          </w:p>
        </w:tc>
      </w:tr>
      <w:tr>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9</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计划开工日期</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color w:val="auto"/>
                <w:kern w:val="2"/>
                <w:sz w:val="18"/>
                <w:szCs w:val="18"/>
                <w:highlight w:val="none"/>
                <w:lang w:val="en-US" w:eastAsia="zh-CN" w:bidi="ar-SA"/>
              </w:rPr>
            </w:pPr>
          </w:p>
        </w:tc>
      </w:tr>
      <w:tr>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10</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计划竣工日期</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color w:val="auto"/>
                <w:kern w:val="2"/>
                <w:sz w:val="18"/>
                <w:szCs w:val="18"/>
                <w:highlight w:val="none"/>
                <w:lang w:val="en-US" w:eastAsia="zh-CN" w:bidi="ar-SA"/>
              </w:rPr>
            </w:pPr>
          </w:p>
        </w:tc>
      </w:tr>
      <w:tr>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11</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工程质量</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val="0"/>
              <w:spacing w:line="420" w:lineRule="exact"/>
              <w:jc w:val="center"/>
              <w:rPr>
                <w:rFonts w:ascii="宋体" w:hAnsi="宋体" w:eastAsia="宋体" w:cs="宋体"/>
                <w:color w:val="auto"/>
                <w:kern w:val="2"/>
                <w:sz w:val="18"/>
                <w:szCs w:val="18"/>
                <w:highlight w:val="none"/>
                <w:lang w:val="en-US" w:eastAsia="zh-CN" w:bidi="ar-SA"/>
              </w:rPr>
            </w:pPr>
          </w:p>
        </w:tc>
      </w:tr>
    </w:tbl>
    <w:p>
      <w:pPr>
        <w:widowControl/>
        <w:spacing w:line="420" w:lineRule="exact"/>
        <w:jc w:val="left"/>
        <w:rPr>
          <w:rFonts w:ascii="宋体" w:hAnsi="宋体" w:cs="宋体"/>
          <w:color w:val="auto"/>
          <w:kern w:val="0"/>
          <w:sz w:val="22"/>
          <w:szCs w:val="22"/>
          <w:highlight w:val="none"/>
        </w:rPr>
        <w:sectPr>
          <w:endnotePr>
            <w:numFmt w:val="decimal"/>
          </w:endnotePr>
          <w:pgSz w:w="11905" w:h="16838"/>
          <w:pgMar w:top="1440" w:right="1800" w:bottom="1440" w:left="1800" w:header="0" w:footer="0" w:gutter="0"/>
          <w:cols w:space="0" w:num="1"/>
          <w:titlePg/>
          <w:rtlGutter w:val="0"/>
          <w:docGrid w:linePitch="0" w:charSpace="0"/>
        </w:sectPr>
      </w:pP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bookmarkStart w:id="757" w:name="_Toc10624992"/>
      <w:bookmarkStart w:id="758" w:name="_Toc266892932"/>
      <w:bookmarkStart w:id="759" w:name="_Toc469384148"/>
      <w:r>
        <w:rPr>
          <w:rFonts w:hint="eastAsia" w:ascii="黑体" w:hAnsi="黑体" w:eastAsia="黑体" w:cs="黑体"/>
          <w:b w:val="0"/>
          <w:bCs w:val="0"/>
          <w:color w:val="auto"/>
          <w:kern w:val="0"/>
          <w:sz w:val="24"/>
          <w:szCs w:val="24"/>
          <w:highlight w:val="none"/>
        </w:rPr>
        <w:t>格式</w:t>
      </w:r>
      <w:bookmarkEnd w:id="757"/>
      <w:bookmarkEnd w:id="758"/>
      <w:bookmarkEnd w:id="759"/>
      <w:r>
        <w:rPr>
          <w:rFonts w:hint="eastAsia" w:ascii="黑体" w:hAnsi="黑体" w:eastAsia="黑体" w:cs="黑体"/>
          <w:b w:val="0"/>
          <w:bCs w:val="0"/>
          <w:color w:val="auto"/>
          <w:kern w:val="0"/>
          <w:sz w:val="24"/>
          <w:szCs w:val="24"/>
          <w:highlight w:val="none"/>
        </w:rPr>
        <w:t>5</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分包单位资格报审表</w:t>
      </w:r>
    </w:p>
    <w:p>
      <w:pPr>
        <w:spacing w:line="420" w:lineRule="exact"/>
        <w:ind w:firstLine="120" w:firstLineChars="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9"/>
        <w:tblW w:w="10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5"/>
        <w:gridCol w:w="1532"/>
        <w:gridCol w:w="2506"/>
        <w:gridCol w:w="3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（监理单位全称）</w:t>
            </w:r>
          </w:p>
          <w:p>
            <w:pPr>
              <w:spacing w:line="420" w:lineRule="exact"/>
              <w:ind w:left="-28" w:firstLine="5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经考察，我方拟选择的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（分包人）具备承担下列工程施工资质和施工能力，可以保证本工程按合同约定进行施工。我方承诺：分包后，我方承担总包人的全部责任。请予以审批。</w:t>
            </w:r>
          </w:p>
          <w:p>
            <w:pPr>
              <w:spacing w:line="420" w:lineRule="exact"/>
              <w:ind w:left="-28" w:firstLine="5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附:1．分包人资质材料；</w:t>
            </w:r>
          </w:p>
          <w:p>
            <w:pPr>
              <w:spacing w:line="420" w:lineRule="exact"/>
              <w:ind w:left="-28" w:firstLine="907"/>
              <w:rPr>
                <w:rFonts w:ascii="宋体" w:hAnsi="宋体" w:cs="宋体"/>
                <w:color w:val="auto"/>
                <w:sz w:val="18"/>
                <w:szCs w:val="18"/>
                <w:highlight w:val="none"/>
                <w:u w:val="single"/>
              </w:rPr>
            </w:pPr>
            <w:r>
              <w:rPr>
                <w:rFonts w:hint="eastAsia" w:ascii="仿宋_GB2312" w:hAnsi="仿宋_GB2312" w:eastAsia="仿宋_GB2312" w:cs="仿宋_GB2312"/>
                <w:color w:val="auto"/>
                <w:sz w:val="24"/>
                <w:szCs w:val="24"/>
                <w:highlight w:val="none"/>
              </w:rPr>
              <w:t>2．分包人业绩材料。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420" w:lineRule="exact"/>
              <w:ind w:left="0" w:leftChars="0" w:firstLine="219" w:firstLineChars="122"/>
              <w:jc w:val="center"/>
              <w:rPr>
                <w:rFonts w:ascii="宋体" w:hAnsi="宋体" w:cs="宋体"/>
                <w:color w:val="auto"/>
                <w:position w:val="6"/>
                <w:sz w:val="18"/>
                <w:szCs w:val="18"/>
                <w:highlight w:val="none"/>
              </w:rPr>
            </w:pPr>
            <w:r>
              <w:rPr>
                <w:rFonts w:hint="eastAsia" w:ascii="宋体" w:hAnsi="宋体" w:cs="宋体"/>
                <w:color w:val="auto"/>
                <w:position w:val="6"/>
                <w:sz w:val="18"/>
                <w:szCs w:val="18"/>
                <w:highlight w:val="none"/>
              </w:rPr>
              <w:t>分包工程名称（部位）</w:t>
            </w:r>
          </w:p>
        </w:tc>
        <w:tc>
          <w:tcPr>
            <w:tcW w:w="1532" w:type="dxa"/>
            <w:tcBorders>
              <w:top w:val="single" w:color="auto" w:sz="6" w:space="0"/>
              <w:left w:val="single" w:color="auto" w:sz="6" w:space="0"/>
              <w:bottom w:val="single" w:color="auto" w:sz="6" w:space="0"/>
              <w:right w:val="single" w:color="auto" w:sz="6" w:space="0"/>
            </w:tcBorders>
          </w:tcPr>
          <w:p>
            <w:pPr>
              <w:spacing w:line="420" w:lineRule="exact"/>
              <w:jc w:val="center"/>
              <w:rPr>
                <w:rFonts w:ascii="宋体" w:hAnsi="宋体" w:cs="宋体"/>
                <w:color w:val="auto"/>
                <w:position w:val="6"/>
                <w:sz w:val="18"/>
                <w:szCs w:val="18"/>
                <w:highlight w:val="none"/>
              </w:rPr>
            </w:pPr>
            <w:r>
              <w:rPr>
                <w:rFonts w:hint="eastAsia" w:ascii="宋体" w:hAnsi="宋体" w:cs="宋体"/>
                <w:color w:val="auto"/>
                <w:position w:val="6"/>
                <w:sz w:val="18"/>
                <w:szCs w:val="18"/>
                <w:highlight w:val="none"/>
              </w:rPr>
              <w:t>工程数量</w:t>
            </w:r>
          </w:p>
        </w:tc>
        <w:tc>
          <w:tcPr>
            <w:tcW w:w="2506" w:type="dxa"/>
            <w:tcBorders>
              <w:top w:val="single" w:color="auto" w:sz="6" w:space="0"/>
              <w:left w:val="single" w:color="auto" w:sz="6" w:space="0"/>
              <w:bottom w:val="single" w:color="auto" w:sz="6" w:space="0"/>
              <w:right w:val="single" w:color="auto" w:sz="6" w:space="0"/>
            </w:tcBorders>
          </w:tcPr>
          <w:p>
            <w:pPr>
              <w:spacing w:line="420" w:lineRule="exact"/>
              <w:jc w:val="center"/>
              <w:rPr>
                <w:rFonts w:ascii="宋体" w:hAnsi="宋体" w:cs="宋体"/>
                <w:color w:val="auto"/>
                <w:position w:val="6"/>
                <w:sz w:val="18"/>
                <w:szCs w:val="18"/>
                <w:highlight w:val="none"/>
              </w:rPr>
            </w:pPr>
            <w:r>
              <w:rPr>
                <w:rFonts w:hint="eastAsia" w:ascii="宋体" w:hAnsi="宋体" w:cs="宋体"/>
                <w:color w:val="auto"/>
                <w:position w:val="6"/>
                <w:sz w:val="18"/>
                <w:szCs w:val="18"/>
                <w:highlight w:val="none"/>
              </w:rPr>
              <w:t>拟分包工程合同额</w:t>
            </w:r>
          </w:p>
        </w:tc>
        <w:tc>
          <w:tcPr>
            <w:tcW w:w="3056" w:type="dxa"/>
            <w:tcBorders>
              <w:top w:val="single" w:color="auto" w:sz="6" w:space="0"/>
              <w:left w:val="single" w:color="auto" w:sz="6" w:space="0"/>
              <w:bottom w:val="single" w:color="auto" w:sz="6" w:space="0"/>
              <w:right w:val="single" w:color="auto" w:sz="6" w:space="0"/>
            </w:tcBorders>
          </w:tcPr>
          <w:p>
            <w:pPr>
              <w:spacing w:line="420" w:lineRule="exact"/>
              <w:jc w:val="center"/>
              <w:rPr>
                <w:rFonts w:ascii="宋体" w:hAnsi="宋体" w:cs="宋体"/>
                <w:color w:val="auto"/>
                <w:position w:val="6"/>
                <w:sz w:val="18"/>
                <w:szCs w:val="18"/>
                <w:highlight w:val="none"/>
              </w:rPr>
            </w:pPr>
            <w:r>
              <w:rPr>
                <w:rFonts w:hint="eastAsia" w:ascii="宋体" w:hAnsi="宋体" w:cs="宋体"/>
                <w:color w:val="auto"/>
                <w:position w:val="6"/>
                <w:sz w:val="18"/>
                <w:szCs w:val="18"/>
                <w:highlight w:val="none"/>
              </w:rPr>
              <w:t>分包工程占全部工程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c>
          <w:tcPr>
            <w:tcW w:w="1532"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c>
          <w:tcPr>
            <w:tcW w:w="2506"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c>
          <w:tcPr>
            <w:tcW w:w="3056"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c>
          <w:tcPr>
            <w:tcW w:w="1532"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c>
          <w:tcPr>
            <w:tcW w:w="2506"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c>
          <w:tcPr>
            <w:tcW w:w="3056"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c>
          <w:tcPr>
            <w:tcW w:w="1532"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c>
          <w:tcPr>
            <w:tcW w:w="2506"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c>
          <w:tcPr>
            <w:tcW w:w="3056"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707" w:type="dxa"/>
            <w:gridSpan w:val="2"/>
            <w:tcBorders>
              <w:top w:val="single" w:color="auto" w:sz="6" w:space="0"/>
              <w:left w:val="single" w:color="auto" w:sz="6" w:space="0"/>
              <w:bottom w:val="single" w:color="auto" w:sz="6" w:space="0"/>
              <w:right w:val="single" w:color="auto" w:sz="6" w:space="0"/>
            </w:tcBorders>
          </w:tcPr>
          <w:p>
            <w:pPr>
              <w:spacing w:line="420" w:lineRule="exact"/>
              <w:jc w:val="center"/>
              <w:rPr>
                <w:rFonts w:ascii="宋体" w:hAnsi="宋体" w:cs="宋体"/>
                <w:color w:val="auto"/>
                <w:position w:val="6"/>
                <w:sz w:val="18"/>
                <w:szCs w:val="18"/>
                <w:highlight w:val="none"/>
              </w:rPr>
            </w:pPr>
            <w:r>
              <w:rPr>
                <w:rFonts w:hint="eastAsia" w:ascii="宋体" w:hAnsi="宋体" w:cs="宋体"/>
                <w:color w:val="auto"/>
                <w:position w:val="6"/>
                <w:sz w:val="18"/>
                <w:szCs w:val="18"/>
                <w:highlight w:val="none"/>
              </w:rPr>
              <w:t>合       计</w:t>
            </w:r>
          </w:p>
        </w:tc>
        <w:tc>
          <w:tcPr>
            <w:tcW w:w="2506"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c>
          <w:tcPr>
            <w:tcW w:w="3056" w:type="dxa"/>
            <w:tcBorders>
              <w:top w:val="single" w:color="auto" w:sz="6" w:space="0"/>
              <w:left w:val="single" w:color="auto" w:sz="6" w:space="0"/>
              <w:bottom w:val="single" w:color="auto" w:sz="6" w:space="0"/>
              <w:right w:val="single" w:color="auto" w:sz="6" w:space="0"/>
            </w:tcBorders>
          </w:tcPr>
          <w:p>
            <w:pPr>
              <w:spacing w:line="420" w:lineRule="exact"/>
              <w:ind w:firstLine="6087"/>
              <w:rPr>
                <w:rFonts w:ascii="宋体" w:hAnsi="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pPr>
              <w:spacing w:line="420" w:lineRule="exact"/>
              <w:rPr>
                <w:rFonts w:ascii="宋体" w:hAnsi="宋体" w:cs="宋体"/>
                <w:color w:val="auto"/>
                <w:sz w:val="18"/>
                <w:szCs w:val="18"/>
                <w:highlight w:val="none"/>
              </w:rPr>
            </w:pPr>
            <w:r>
              <w:rPr>
                <w:rFonts w:hint="eastAsia" w:ascii="宋体" w:hAnsi="宋体" w:cs="宋体"/>
                <w:color w:val="auto"/>
                <w:sz w:val="18"/>
                <w:szCs w:val="18"/>
                <w:highlight w:val="none"/>
              </w:rPr>
              <w:t xml:space="preserve"> </w:t>
            </w:r>
          </w:p>
          <w:p>
            <w:pPr>
              <w:spacing w:line="420" w:lineRule="exact"/>
              <w:rPr>
                <w:rFonts w:ascii="宋体" w:hAnsi="宋体" w:cs="宋体"/>
                <w:color w:val="auto"/>
                <w:sz w:val="18"/>
                <w:szCs w:val="18"/>
                <w:highlight w:val="none"/>
                <w:u w:val="single"/>
              </w:rPr>
            </w:pPr>
            <w:r>
              <w:rPr>
                <w:rFonts w:hint="eastAsia" w:ascii="宋体" w:hAnsi="宋体" w:cs="宋体"/>
                <w:color w:val="auto"/>
                <w:sz w:val="18"/>
                <w:szCs w:val="18"/>
                <w:highlight w:val="none"/>
              </w:rPr>
              <w:t xml:space="preserve">                                                   承包人（章）                 </w:t>
            </w:r>
          </w:p>
          <w:p>
            <w:pPr>
              <w:tabs>
                <w:tab w:val="left" w:pos="8982"/>
                <w:tab w:val="left" w:pos="9147"/>
              </w:tabs>
              <w:spacing w:line="420" w:lineRule="exact"/>
              <w:ind w:firstLine="4590" w:firstLineChars="2550"/>
              <w:rPr>
                <w:rFonts w:ascii="宋体" w:hAnsi="宋体" w:cs="宋体"/>
                <w:color w:val="auto"/>
                <w:sz w:val="18"/>
                <w:szCs w:val="18"/>
                <w:highlight w:val="none"/>
                <w:u w:val="single"/>
              </w:rPr>
            </w:pPr>
            <w:r>
              <w:rPr>
                <w:rFonts w:hint="eastAsia" w:ascii="宋体" w:hAnsi="宋体" w:cs="宋体"/>
                <w:color w:val="auto"/>
                <w:sz w:val="18"/>
                <w:szCs w:val="18"/>
                <w:highlight w:val="none"/>
              </w:rPr>
              <w:t>承包人代表</w:t>
            </w:r>
            <w:r>
              <w:rPr>
                <w:rFonts w:hint="eastAsia" w:ascii="宋体" w:hAnsi="宋体" w:cs="宋体"/>
                <w:color w:val="auto"/>
                <w:sz w:val="18"/>
                <w:szCs w:val="18"/>
                <w:highlight w:val="none"/>
                <w:u w:val="single"/>
              </w:rPr>
              <w:t xml:space="preserve">               </w:t>
            </w:r>
          </w:p>
          <w:p>
            <w:pPr>
              <w:spacing w:line="420" w:lineRule="exact"/>
              <w:ind w:firstLine="4590" w:firstLineChars="2550"/>
              <w:rPr>
                <w:rFonts w:ascii="宋体" w:hAnsi="宋体" w:cs="宋体"/>
                <w:color w:val="auto"/>
                <w:sz w:val="18"/>
                <w:szCs w:val="18"/>
                <w:highlight w:val="none"/>
              </w:rPr>
            </w:pPr>
            <w:r>
              <w:rPr>
                <w:rFonts w:hint="eastAsia" w:ascii="宋体" w:hAnsi="宋体" w:cs="宋体"/>
                <w:color w:val="auto"/>
                <w:sz w:val="18"/>
                <w:szCs w:val="18"/>
                <w:highlight w:val="none"/>
              </w:rPr>
              <w:t>日      期</w:t>
            </w:r>
            <w:r>
              <w:rPr>
                <w:rFonts w:hint="eastAsia" w:ascii="宋体" w:hAnsi="宋体" w:cs="宋体"/>
                <w:color w:val="auto"/>
                <w:sz w:val="18"/>
                <w:szCs w:val="18"/>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top w:val="single" w:color="auto" w:sz="6" w:space="0"/>
              <w:left w:val="single" w:color="auto" w:sz="6" w:space="0"/>
              <w:right w:val="single" w:color="auto" w:sz="6" w:space="0"/>
            </w:tcBorders>
          </w:tcPr>
          <w:p>
            <w:pPr>
              <w:snapToGrid w:val="0"/>
              <w:spacing w:line="420" w:lineRule="exact"/>
              <w:jc w:val="left"/>
              <w:rPr>
                <w:rFonts w:ascii="宋体" w:hAnsi="宋体" w:cs="宋体"/>
                <w:color w:val="auto"/>
                <w:sz w:val="18"/>
                <w:szCs w:val="18"/>
                <w:highlight w:val="none"/>
              </w:rPr>
            </w:pPr>
            <w:r>
              <w:rPr>
                <w:rFonts w:hint="eastAsia" w:ascii="宋体" w:hAnsi="宋体" w:cs="宋体"/>
                <w:color w:val="auto"/>
                <w:sz w:val="18"/>
                <w:szCs w:val="18"/>
                <w:highlight w:val="none"/>
              </w:rPr>
              <w:t>审查意见：</w:t>
            </w:r>
          </w:p>
          <w:p>
            <w:pPr>
              <w:tabs>
                <w:tab w:val="left" w:pos="6222"/>
              </w:tabs>
              <w:snapToGrid w:val="0"/>
              <w:spacing w:line="420" w:lineRule="exact"/>
              <w:jc w:val="left"/>
              <w:rPr>
                <w:rFonts w:ascii="宋体" w:hAnsi="宋体" w:cs="宋体"/>
                <w:color w:val="auto"/>
                <w:sz w:val="18"/>
                <w:szCs w:val="18"/>
                <w:highlight w:val="none"/>
              </w:rPr>
            </w:pPr>
            <w:r>
              <w:rPr>
                <w:rFonts w:hint="eastAsia" w:ascii="宋体" w:hAnsi="宋体" w:cs="宋体"/>
                <w:color w:val="auto"/>
                <w:sz w:val="18"/>
                <w:szCs w:val="18"/>
                <w:highlight w:val="none"/>
              </w:rPr>
              <w:t xml:space="preserve">                                                   监理人（章）            </w:t>
            </w:r>
          </w:p>
          <w:p>
            <w:pPr>
              <w:tabs>
                <w:tab w:val="left" w:pos="6282"/>
              </w:tabs>
              <w:snapToGrid w:val="0"/>
              <w:spacing w:line="420" w:lineRule="exact"/>
              <w:ind w:firstLine="4590" w:firstLineChars="2550"/>
              <w:rPr>
                <w:rFonts w:ascii="宋体" w:hAnsi="宋体" w:cs="宋体"/>
                <w:color w:val="auto"/>
                <w:sz w:val="18"/>
                <w:szCs w:val="18"/>
                <w:highlight w:val="none"/>
                <w:u w:val="single"/>
              </w:rPr>
            </w:pPr>
            <w:r>
              <w:rPr>
                <w:rFonts w:hint="eastAsia" w:ascii="宋体" w:hAnsi="宋体" w:cs="宋体"/>
                <w:color w:val="auto"/>
                <w:sz w:val="18"/>
                <w:szCs w:val="18"/>
                <w:highlight w:val="none"/>
              </w:rPr>
              <w:t>监理工程师</w:t>
            </w:r>
            <w:r>
              <w:rPr>
                <w:rFonts w:hint="eastAsia" w:ascii="宋体" w:hAnsi="宋体" w:cs="宋体"/>
                <w:color w:val="auto"/>
                <w:sz w:val="18"/>
                <w:szCs w:val="18"/>
                <w:highlight w:val="none"/>
                <w:u w:val="single"/>
              </w:rPr>
              <w:t xml:space="preserve">               </w:t>
            </w:r>
          </w:p>
          <w:p>
            <w:pPr>
              <w:tabs>
                <w:tab w:val="left" w:pos="9132"/>
              </w:tabs>
              <w:snapToGrid w:val="0"/>
              <w:spacing w:line="420" w:lineRule="exact"/>
              <w:ind w:firstLine="4590" w:firstLineChars="2550"/>
              <w:rPr>
                <w:rFonts w:ascii="宋体" w:hAnsi="宋体" w:cs="宋体"/>
                <w:color w:val="auto"/>
                <w:sz w:val="18"/>
                <w:szCs w:val="18"/>
                <w:highlight w:val="none"/>
              </w:rPr>
            </w:pPr>
            <w:r>
              <w:rPr>
                <w:rFonts w:hint="eastAsia" w:ascii="宋体" w:hAnsi="宋体" w:cs="宋体"/>
                <w:color w:val="auto"/>
                <w:sz w:val="18"/>
                <w:szCs w:val="18"/>
                <w:highlight w:val="none"/>
              </w:rPr>
              <w:t>日      期</w:t>
            </w:r>
            <w:r>
              <w:rPr>
                <w:rFonts w:hint="eastAsia" w:ascii="宋体" w:hAnsi="宋体" w:cs="宋体"/>
                <w:color w:val="auto"/>
                <w:sz w:val="18"/>
                <w:szCs w:val="18"/>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left w:val="single" w:color="auto" w:sz="6" w:space="0"/>
              <w:bottom w:val="single" w:color="auto" w:sz="6" w:space="0"/>
              <w:right w:val="single" w:color="auto" w:sz="6" w:space="0"/>
            </w:tcBorders>
          </w:tcPr>
          <w:p>
            <w:pPr>
              <w:snapToGrid w:val="0"/>
              <w:spacing w:line="420" w:lineRule="exact"/>
              <w:rPr>
                <w:rFonts w:ascii="宋体" w:hAnsi="宋体" w:cs="宋体"/>
                <w:color w:val="auto"/>
                <w:sz w:val="18"/>
                <w:szCs w:val="18"/>
                <w:highlight w:val="none"/>
              </w:rPr>
            </w:pPr>
            <w:r>
              <w:rPr>
                <w:rFonts w:hint="eastAsia" w:ascii="宋体" w:hAnsi="宋体" w:cs="宋体"/>
                <w:color w:val="auto"/>
                <w:sz w:val="18"/>
                <w:szCs w:val="18"/>
                <w:highlight w:val="none"/>
              </w:rPr>
              <w:t>审批意见:</w:t>
            </w:r>
          </w:p>
          <w:p>
            <w:pPr>
              <w:snapToGrid w:val="0"/>
              <w:spacing w:line="420" w:lineRule="exact"/>
              <w:ind w:firstLine="4590" w:firstLineChars="2550"/>
              <w:rPr>
                <w:rFonts w:ascii="宋体" w:hAnsi="宋体" w:cs="宋体"/>
                <w:color w:val="auto"/>
                <w:sz w:val="18"/>
                <w:szCs w:val="18"/>
                <w:highlight w:val="none"/>
              </w:rPr>
            </w:pPr>
            <w:r>
              <w:rPr>
                <w:rFonts w:hint="eastAsia" w:ascii="宋体" w:hAnsi="宋体" w:cs="宋体"/>
                <w:color w:val="auto"/>
                <w:sz w:val="18"/>
                <w:szCs w:val="18"/>
                <w:highlight w:val="none"/>
              </w:rPr>
              <w:t xml:space="preserve">发包人（章）           </w:t>
            </w:r>
          </w:p>
          <w:p>
            <w:pPr>
              <w:tabs>
                <w:tab w:val="left" w:pos="2135"/>
                <w:tab w:val="left" w:pos="8862"/>
              </w:tabs>
              <w:snapToGrid w:val="0"/>
              <w:spacing w:line="420" w:lineRule="exact"/>
              <w:ind w:firstLine="4590" w:firstLineChars="2550"/>
              <w:rPr>
                <w:rFonts w:ascii="宋体" w:hAnsi="宋体" w:cs="宋体"/>
                <w:color w:val="auto"/>
                <w:sz w:val="18"/>
                <w:szCs w:val="18"/>
                <w:highlight w:val="none"/>
                <w:u w:val="single"/>
              </w:rPr>
            </w:pPr>
            <w:r>
              <w:rPr>
                <w:rFonts w:hint="eastAsia" w:ascii="宋体" w:hAnsi="宋体" w:cs="宋体"/>
                <w:color w:val="auto"/>
                <w:sz w:val="18"/>
                <w:szCs w:val="18"/>
                <w:highlight w:val="none"/>
              </w:rPr>
              <w:t>发包人代表</w:t>
            </w:r>
            <w:r>
              <w:rPr>
                <w:rFonts w:hint="eastAsia" w:ascii="宋体" w:hAnsi="宋体" w:cs="宋体"/>
                <w:color w:val="auto"/>
                <w:sz w:val="18"/>
                <w:szCs w:val="18"/>
                <w:highlight w:val="none"/>
                <w:u w:val="single"/>
              </w:rPr>
              <w:t xml:space="preserve">               </w:t>
            </w:r>
          </w:p>
          <w:p>
            <w:pPr>
              <w:tabs>
                <w:tab w:val="left" w:pos="2135"/>
              </w:tabs>
              <w:snapToGrid w:val="0"/>
              <w:spacing w:line="420" w:lineRule="exact"/>
              <w:ind w:firstLine="4590" w:firstLineChars="2550"/>
              <w:rPr>
                <w:rFonts w:ascii="宋体" w:hAnsi="宋体" w:cs="宋体"/>
                <w:color w:val="auto"/>
                <w:sz w:val="18"/>
                <w:szCs w:val="18"/>
                <w:highlight w:val="none"/>
              </w:rPr>
            </w:pPr>
            <w:r>
              <w:rPr>
                <w:rFonts w:hint="eastAsia" w:ascii="宋体" w:hAnsi="宋体" w:cs="宋体"/>
                <w:color w:val="auto"/>
                <w:sz w:val="18"/>
                <w:szCs w:val="18"/>
                <w:highlight w:val="none"/>
              </w:rPr>
              <w:t>日      期</w:t>
            </w:r>
            <w:r>
              <w:rPr>
                <w:rFonts w:hint="eastAsia" w:ascii="宋体" w:hAnsi="宋体" w:cs="宋体"/>
                <w:color w:val="auto"/>
                <w:sz w:val="18"/>
                <w:szCs w:val="18"/>
                <w:highlight w:val="none"/>
                <w:u w:val="single"/>
              </w:rPr>
              <w:t xml:space="preserve">               </w:t>
            </w:r>
          </w:p>
        </w:tc>
      </w:tr>
    </w:tbl>
    <w:p>
      <w:pPr>
        <w:spacing w:before="120" w:beforeLines="50" w:line="420" w:lineRule="exact"/>
        <w:rPr>
          <w:rFonts w:ascii="宋体" w:hAnsi="宋体" w:cs="宋体"/>
          <w:color w:val="auto"/>
          <w:sz w:val="22"/>
          <w:szCs w:val="22"/>
          <w:highlight w:val="none"/>
        </w:rPr>
      </w:pPr>
      <w:r>
        <w:rPr>
          <w:rFonts w:hint="eastAsia" w:ascii="仿宋_GB2312" w:hAnsi="仿宋_GB2312" w:eastAsia="仿宋_GB2312" w:cs="仿宋_GB2312"/>
          <w:color w:val="auto"/>
          <w:sz w:val="24"/>
          <w:szCs w:val="24"/>
          <w:highlight w:val="none"/>
        </w:rPr>
        <w:t>说明：本表一式</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份，由承包人、监理单位、发包人按合同规定程序填制，并连同分包人各存一份。</w:t>
      </w: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60" w:name="_Toc10624993"/>
      <w:bookmarkStart w:id="761" w:name="_Toc266892933"/>
      <w:bookmarkStart w:id="762" w:name="_Toc469384149"/>
      <w:r>
        <w:rPr>
          <w:rFonts w:hint="eastAsia" w:ascii="黑体" w:hAnsi="黑体" w:eastAsia="黑体" w:cs="黑体"/>
          <w:b w:val="0"/>
          <w:bCs w:val="0"/>
          <w:color w:val="auto"/>
          <w:kern w:val="0"/>
          <w:sz w:val="24"/>
          <w:szCs w:val="24"/>
          <w:highlight w:val="none"/>
        </w:rPr>
        <w:t>格式</w:t>
      </w:r>
      <w:bookmarkEnd w:id="760"/>
      <w:bookmarkEnd w:id="761"/>
      <w:bookmarkEnd w:id="762"/>
      <w:r>
        <w:rPr>
          <w:rFonts w:hint="eastAsia" w:ascii="黑体" w:hAnsi="黑体" w:eastAsia="黑体" w:cs="黑体"/>
          <w:b w:val="0"/>
          <w:bCs w:val="0"/>
          <w:color w:val="auto"/>
          <w:kern w:val="0"/>
          <w:sz w:val="24"/>
          <w:szCs w:val="24"/>
          <w:highlight w:val="none"/>
        </w:rPr>
        <w:t>6</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施工组织设计（方案）报审表</w:t>
      </w:r>
    </w:p>
    <w:p>
      <w:pPr>
        <w:spacing w:line="420" w:lineRule="exact"/>
        <w:ind w:firstLine="120" w:firstLineChars="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9"/>
        <w:tblW w:w="1015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1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02" w:hRule="atLeast"/>
          <w:jc w:val="center"/>
        </w:trPr>
        <w:tc>
          <w:tcPr>
            <w:tcW w:w="10155" w:type="dxa"/>
            <w:tcBorders>
              <w:bottom w:val="single" w:color="auto" w:sz="4" w:space="0"/>
            </w:tcBorders>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（监理单位全称）</w:t>
            </w:r>
          </w:p>
          <w:p>
            <w:pPr>
              <w:spacing w:line="420" w:lineRule="exact"/>
              <w:ind w:left="-28" w:firstLine="5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我方已根据施工合同的有关规定完成了</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工程施工组织设计（方案）的编制,请予以审批。</w:t>
            </w:r>
          </w:p>
          <w:p>
            <w:pPr>
              <w:spacing w:line="420" w:lineRule="exact"/>
              <w:ind w:left="-28" w:firstLine="5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 施工组织设计（方案）</w:t>
            </w:r>
          </w:p>
          <w:p>
            <w:pPr>
              <w:spacing w:line="420" w:lineRule="exact"/>
              <w:ind w:left="-28" w:firstLine="540"/>
              <w:rPr>
                <w:rFonts w:hint="eastAsia" w:ascii="仿宋_GB2312" w:hAnsi="仿宋_GB2312" w:eastAsia="仿宋_GB2312" w:cs="仿宋_GB2312"/>
                <w:color w:val="auto"/>
                <w:sz w:val="24"/>
                <w:szCs w:val="24"/>
                <w:highlight w:val="none"/>
              </w:rPr>
            </w:pPr>
          </w:p>
          <w:p>
            <w:pPr>
              <w:spacing w:line="420" w:lineRule="exact"/>
              <w:ind w:left="-28" w:firstLine="540"/>
              <w:rPr>
                <w:rFonts w:hint="eastAsia" w:ascii="仿宋_GB2312" w:hAnsi="仿宋_GB2312" w:eastAsia="仿宋_GB2312" w:cs="仿宋_GB2312"/>
                <w:color w:val="auto"/>
                <w:sz w:val="24"/>
                <w:szCs w:val="24"/>
                <w:highlight w:val="none"/>
              </w:rPr>
            </w:pPr>
          </w:p>
          <w:p>
            <w:pPr>
              <w:spacing w:line="420" w:lineRule="exact"/>
              <w:ind w:right="120"/>
              <w:jc w:val="center"/>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承包人（章）</w:t>
            </w:r>
          </w:p>
          <w:p>
            <w:pPr>
              <w:spacing w:line="420" w:lineRule="exact"/>
              <w:ind w:firstLine="6087"/>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snapToGrid w:val="0"/>
              <w:spacing w:line="420" w:lineRule="exact"/>
              <w:ind w:firstLine="6087"/>
              <w:rPr>
                <w:rFonts w:ascii="宋体" w:hAnsi="宋体" w:cs="宋体"/>
                <w:color w:val="auto"/>
                <w:sz w:val="18"/>
                <w:szCs w:val="18"/>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2" w:hRule="atLeast"/>
          <w:jc w:val="center"/>
        </w:trPr>
        <w:tc>
          <w:tcPr>
            <w:tcW w:w="10155" w:type="dxa"/>
            <w:tcBorders>
              <w:top w:val="single" w:color="auto" w:sz="4" w:space="0"/>
            </w:tcBorders>
          </w:tcPr>
          <w:p>
            <w:pPr>
              <w:spacing w:line="420" w:lineRule="exact"/>
              <w:ind w:right="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确认或修改意见：</w:t>
            </w:r>
          </w:p>
          <w:p>
            <w:pPr>
              <w:spacing w:line="420" w:lineRule="exact"/>
              <w:ind w:left="72" w:right="71" w:firstLine="2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□组织机构健全,人员落实           □施工技术措施可行</w:t>
            </w:r>
          </w:p>
          <w:p>
            <w:pPr>
              <w:spacing w:line="420" w:lineRule="exact"/>
              <w:ind w:left="72" w:right="71" w:firstLine="2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□安全责任落实，安全措施可行      □安全工器具满足施工要求</w:t>
            </w:r>
          </w:p>
          <w:p>
            <w:pPr>
              <w:spacing w:line="420" w:lineRule="exact"/>
              <w:ind w:left="72" w:right="71" w:firstLine="2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□施工进度计划满足工期要求        □特殊工种人员持证上岗</w:t>
            </w:r>
          </w:p>
          <w:p>
            <w:pPr>
              <w:spacing w:line="420" w:lineRule="exact"/>
              <w:ind w:left="72" w:right="71" w:firstLine="2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□施工工器具安全可靠              □施工计量、检测器具有效</w:t>
            </w:r>
          </w:p>
          <w:p>
            <w:pPr>
              <w:spacing w:line="420" w:lineRule="exact"/>
              <w:ind w:left="72" w:right="71" w:firstLine="240"/>
              <w:rPr>
                <w:rFonts w:hint="eastAsia" w:ascii="仿宋_GB2312" w:hAnsi="仿宋_GB2312" w:eastAsia="仿宋_GB2312" w:cs="仿宋_GB2312"/>
                <w:color w:val="auto"/>
                <w:sz w:val="24"/>
                <w:szCs w:val="24"/>
                <w:highlight w:val="none"/>
              </w:rPr>
            </w:pPr>
          </w:p>
          <w:p>
            <w:pPr>
              <w:spacing w:line="420" w:lineRule="exact"/>
              <w:ind w:firstLine="6086" w:firstLineChars="253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监理单位(章)</w:t>
            </w:r>
          </w:p>
          <w:p>
            <w:pPr>
              <w:snapToGrid w:val="0"/>
              <w:spacing w:line="420" w:lineRule="exact"/>
              <w:ind w:firstLine="608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p>
          <w:p>
            <w:pPr>
              <w:snapToGrid w:val="0"/>
              <w:spacing w:line="420" w:lineRule="exact"/>
              <w:ind w:firstLine="6087"/>
              <w:rPr>
                <w:rFonts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96" w:hRule="atLeast"/>
          <w:jc w:val="center"/>
        </w:trPr>
        <w:tc>
          <w:tcPr>
            <w:tcW w:w="10155" w:type="dxa"/>
          </w:tcPr>
          <w:p>
            <w:pPr>
              <w:spacing w:line="420" w:lineRule="exact"/>
              <w:ind w:left="-2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审批意见：</w:t>
            </w:r>
          </w:p>
          <w:p>
            <w:pPr>
              <w:snapToGrid w:val="0"/>
              <w:spacing w:line="420" w:lineRule="exact"/>
              <w:ind w:left="-2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pPr>
              <w:spacing w:line="420" w:lineRule="exact"/>
              <w:ind w:firstLine="6086" w:firstLineChars="253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发包人（章）</w:t>
            </w:r>
          </w:p>
          <w:p>
            <w:pPr>
              <w:snapToGrid w:val="0"/>
              <w:spacing w:line="420" w:lineRule="exact"/>
              <w:ind w:left="-28" w:firstLine="6112" w:firstLineChars="2547"/>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发包人代表</w:t>
            </w:r>
            <w:r>
              <w:rPr>
                <w:rFonts w:hint="eastAsia" w:ascii="仿宋_GB2312" w:hAnsi="仿宋_GB2312" w:eastAsia="仿宋_GB2312" w:cs="仿宋_GB2312"/>
                <w:color w:val="auto"/>
                <w:sz w:val="24"/>
                <w:szCs w:val="24"/>
                <w:highlight w:val="none"/>
                <w:u w:val="single"/>
              </w:rPr>
              <w:t xml:space="preserve">               </w:t>
            </w:r>
          </w:p>
          <w:p>
            <w:pPr>
              <w:snapToGrid w:val="0"/>
              <w:spacing w:line="420" w:lineRule="exact"/>
              <w:ind w:left="-28" w:firstLine="6112" w:firstLineChars="2547"/>
              <w:rPr>
                <w:rFonts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pPr>
        <w:spacing w:line="420" w:lineRule="exact"/>
        <w:ind w:firstLine="240" w:firstLineChars="1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pPr>
        <w:spacing w:line="420" w:lineRule="exact"/>
        <w:ind w:firstLine="960" w:firstLine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2．本表一式三份，由承包人、监理单位、发包人按合同规定程序填制，并各存一份。</w:t>
      </w: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63" w:name="_Toc266892934"/>
      <w:bookmarkStart w:id="764" w:name="_Toc10624994"/>
      <w:bookmarkStart w:id="765" w:name="_Toc469384150"/>
      <w:r>
        <w:rPr>
          <w:rFonts w:hint="eastAsia" w:ascii="黑体" w:hAnsi="黑体" w:eastAsia="黑体" w:cs="黑体"/>
          <w:b w:val="0"/>
          <w:bCs w:val="0"/>
          <w:color w:val="auto"/>
          <w:kern w:val="0"/>
          <w:sz w:val="24"/>
          <w:szCs w:val="24"/>
          <w:highlight w:val="none"/>
        </w:rPr>
        <w:t>格式</w:t>
      </w:r>
      <w:bookmarkEnd w:id="763"/>
      <w:bookmarkEnd w:id="764"/>
      <w:bookmarkEnd w:id="765"/>
      <w:r>
        <w:rPr>
          <w:rFonts w:hint="eastAsia" w:ascii="黑体" w:hAnsi="黑体" w:eastAsia="黑体" w:cs="黑体"/>
          <w:b w:val="0"/>
          <w:bCs w:val="0"/>
          <w:color w:val="auto"/>
          <w:kern w:val="0"/>
          <w:sz w:val="24"/>
          <w:szCs w:val="24"/>
          <w:highlight w:val="none"/>
        </w:rPr>
        <w:t>7</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工程开工/复工报审表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9"/>
        <w:tblW w:w="9544" w:type="dxa"/>
        <w:tblInd w:w="-31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199"/>
        <w:gridCol w:w="43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26" w:hRule="atLeast"/>
        </w:trPr>
        <w:tc>
          <w:tcPr>
            <w:tcW w:w="9544" w:type="dxa"/>
            <w:gridSpan w:val="2"/>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（监理单位全称）</w:t>
            </w:r>
          </w:p>
          <w:p>
            <w:pPr>
              <w:spacing w:line="420" w:lineRule="exact"/>
              <w:ind w:left="-28" w:firstLine="5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我方承担的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工程,已完成了以下各项工作,具备了（□开工/□复工）条件,现申请施工,请审查并签发（□开工/□复工）指令。</w:t>
            </w:r>
          </w:p>
          <w:p>
            <w:pPr>
              <w:spacing w:line="420" w:lineRule="exact"/>
              <w:ind w:left="-28" w:firstLine="540"/>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附：开工报告</w:t>
            </w: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承包方式： </w:t>
            </w:r>
          </w:p>
          <w:p>
            <w:pPr>
              <w:spacing w:line="420" w:lineRule="exact"/>
              <w:ind w:left="-27" w:firstLine="3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□无分包；□有分包，并已审核。</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开工准备情况：</w:t>
            </w:r>
          </w:p>
          <w:p>
            <w:pPr>
              <w:spacing w:line="420" w:lineRule="exact"/>
              <w:ind w:firstLine="3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□施工组织设计（方案）已审批          □资金已落实</w:t>
            </w:r>
          </w:p>
          <w:p>
            <w:pPr>
              <w:tabs>
                <w:tab w:val="left" w:pos="4212"/>
              </w:tabs>
              <w:spacing w:line="420" w:lineRule="exact"/>
              <w:ind w:firstLine="3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□施工图纸已会审并交底                □劳动力安排就绪并已进场</w:t>
            </w:r>
          </w:p>
          <w:p>
            <w:pPr>
              <w:spacing w:line="420" w:lineRule="exact"/>
              <w:ind w:firstLine="3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□开工所需的材料、机具已进场          □其他开工条件已具备</w:t>
            </w: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承包人（章）                 </w:t>
            </w:r>
          </w:p>
          <w:p>
            <w:pPr>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snapToGrid w:val="0"/>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47" w:hRule="atLeast"/>
        </w:trPr>
        <w:tc>
          <w:tcPr>
            <w:tcW w:w="5199" w:type="dxa"/>
          </w:tcPr>
          <w:p>
            <w:pPr>
              <w:snapToGrid w:val="0"/>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复核意见： </w:t>
            </w:r>
          </w:p>
          <w:p>
            <w:pPr>
              <w:snapToGrid w:val="0"/>
              <w:spacing w:line="420" w:lineRule="exact"/>
              <w:jc w:val="left"/>
              <w:rPr>
                <w:rFonts w:hint="eastAsia" w:ascii="仿宋_GB2312" w:hAnsi="仿宋_GB2312" w:eastAsia="仿宋_GB2312" w:cs="仿宋_GB2312"/>
                <w:color w:val="auto"/>
                <w:sz w:val="24"/>
                <w:szCs w:val="24"/>
                <w:highlight w:val="none"/>
              </w:rPr>
            </w:pPr>
          </w:p>
          <w:p>
            <w:pPr>
              <w:snapToGrid w:val="0"/>
              <w:spacing w:line="420" w:lineRule="exact"/>
              <w:jc w:val="left"/>
              <w:rPr>
                <w:rFonts w:hint="eastAsia" w:ascii="仿宋_GB2312" w:hAnsi="仿宋_GB2312" w:eastAsia="仿宋_GB2312" w:cs="仿宋_GB2312"/>
                <w:color w:val="auto"/>
                <w:sz w:val="24"/>
                <w:szCs w:val="24"/>
                <w:highlight w:val="none"/>
              </w:rPr>
            </w:pPr>
          </w:p>
          <w:p>
            <w:pPr>
              <w:snapToGrid w:val="0"/>
              <w:spacing w:line="420" w:lineRule="exact"/>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监理单位（章）              </w:t>
            </w:r>
          </w:p>
          <w:p>
            <w:pPr>
              <w:snapToGrid w:val="0"/>
              <w:spacing w:line="420" w:lineRule="exact"/>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监理工程师 </w:t>
            </w:r>
            <w:r>
              <w:rPr>
                <w:rFonts w:hint="eastAsia" w:ascii="仿宋_GB2312" w:hAnsi="仿宋_GB2312" w:eastAsia="仿宋_GB2312" w:cs="仿宋_GB2312"/>
                <w:color w:val="auto"/>
                <w:sz w:val="24"/>
                <w:szCs w:val="24"/>
                <w:highlight w:val="none"/>
                <w:u w:val="single"/>
              </w:rPr>
              <w:t xml:space="preserve">           </w:t>
            </w:r>
          </w:p>
          <w:p>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日      期 </w:t>
            </w:r>
            <w:r>
              <w:rPr>
                <w:rFonts w:hint="eastAsia" w:ascii="仿宋_GB2312" w:hAnsi="仿宋_GB2312" w:eastAsia="仿宋_GB2312" w:cs="仿宋_GB2312"/>
                <w:color w:val="auto"/>
                <w:sz w:val="24"/>
                <w:szCs w:val="24"/>
                <w:highlight w:val="none"/>
                <w:u w:val="single"/>
              </w:rPr>
              <w:t xml:space="preserve">           </w:t>
            </w:r>
          </w:p>
        </w:tc>
        <w:tc>
          <w:tcPr>
            <w:tcW w:w="4345" w:type="dxa"/>
          </w:tcPr>
          <w:p>
            <w:pPr>
              <w:snapToGrid w:val="0"/>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审批意见：   </w:t>
            </w:r>
          </w:p>
          <w:p>
            <w:pPr>
              <w:snapToGrid w:val="0"/>
              <w:spacing w:line="420" w:lineRule="exact"/>
              <w:jc w:val="left"/>
              <w:rPr>
                <w:rFonts w:hint="eastAsia" w:ascii="仿宋_GB2312" w:hAnsi="仿宋_GB2312" w:eastAsia="仿宋_GB2312" w:cs="仿宋_GB2312"/>
                <w:color w:val="auto"/>
                <w:sz w:val="24"/>
                <w:szCs w:val="24"/>
                <w:highlight w:val="none"/>
              </w:rPr>
            </w:pPr>
          </w:p>
          <w:p>
            <w:pPr>
              <w:snapToGrid w:val="0"/>
              <w:spacing w:line="420" w:lineRule="exact"/>
              <w:jc w:val="left"/>
              <w:rPr>
                <w:rFonts w:hint="eastAsia" w:ascii="仿宋_GB2312" w:hAnsi="仿宋_GB2312" w:eastAsia="仿宋_GB2312" w:cs="仿宋_GB2312"/>
                <w:color w:val="auto"/>
                <w:sz w:val="24"/>
                <w:szCs w:val="24"/>
                <w:highlight w:val="none"/>
              </w:rPr>
            </w:pPr>
          </w:p>
          <w:p>
            <w:pPr>
              <w:snapToGrid w:val="0"/>
              <w:spacing w:line="420" w:lineRule="exact"/>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发包人（章）      </w:t>
            </w:r>
          </w:p>
          <w:p>
            <w:pPr>
              <w:snapToGrid w:val="0"/>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发包人代表 </w:t>
            </w:r>
            <w:r>
              <w:rPr>
                <w:rFonts w:hint="eastAsia" w:ascii="仿宋_GB2312" w:hAnsi="仿宋_GB2312" w:eastAsia="仿宋_GB2312" w:cs="仿宋_GB2312"/>
                <w:color w:val="auto"/>
                <w:sz w:val="24"/>
                <w:szCs w:val="24"/>
                <w:highlight w:val="none"/>
                <w:u w:val="single"/>
              </w:rPr>
              <w:t xml:space="preserve">         </w:t>
            </w:r>
          </w:p>
          <w:p>
            <w:pPr>
              <w:snapToGrid w:val="0"/>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日      期 </w:t>
            </w:r>
            <w:r>
              <w:rPr>
                <w:rFonts w:hint="eastAsia" w:ascii="仿宋_GB2312" w:hAnsi="仿宋_GB2312" w:eastAsia="仿宋_GB2312" w:cs="仿宋_GB2312"/>
                <w:color w:val="auto"/>
                <w:sz w:val="24"/>
                <w:szCs w:val="24"/>
                <w:highlight w:val="none"/>
                <w:u w:val="single"/>
              </w:rPr>
              <w:t xml:space="preserve">         </w:t>
            </w:r>
          </w:p>
        </w:tc>
      </w:tr>
    </w:tbl>
    <w:p>
      <w:pPr>
        <w:spacing w:before="120"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pPr>
        <w:spacing w:line="420" w:lineRule="exact"/>
        <w:ind w:left="718" w:leftChars="34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2．本表一式三份，由承包人、监理人、发包人按合同规定程序填制，并各存一份。</w:t>
      </w: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bookmarkStart w:id="766" w:name="_Toc10624995"/>
      <w:bookmarkStart w:id="767" w:name="_Toc469384151"/>
      <w:bookmarkStart w:id="768" w:name="_Toc266892935"/>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格式</w:t>
      </w:r>
      <w:bookmarkEnd w:id="766"/>
      <w:bookmarkEnd w:id="767"/>
      <w:bookmarkEnd w:id="768"/>
      <w:r>
        <w:rPr>
          <w:rFonts w:hint="eastAsia" w:ascii="黑体" w:hAnsi="黑体" w:eastAsia="黑体" w:cs="黑体"/>
          <w:b w:val="0"/>
          <w:bCs w:val="0"/>
          <w:color w:val="auto"/>
          <w:kern w:val="0"/>
          <w:sz w:val="24"/>
          <w:szCs w:val="24"/>
          <w:highlight w:val="none"/>
        </w:rPr>
        <w:t>8</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暂停施工令</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9"/>
        <w:tblW w:w="9656" w:type="dxa"/>
        <w:tblInd w:w="-37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6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98" w:hRule="atLeast"/>
        </w:trPr>
        <w:tc>
          <w:tcPr>
            <w:tcW w:w="9656" w:type="dxa"/>
          </w:tcPr>
          <w:p>
            <w:pPr>
              <w:spacing w:before="120"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（承包人全称）</w:t>
            </w:r>
          </w:p>
          <w:p>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由于</w:t>
            </w:r>
            <w:r>
              <w:rPr>
                <w:rFonts w:hint="eastAsia" w:ascii="仿宋_GB2312" w:hAnsi="仿宋_GB2312" w:eastAsia="仿宋_GB2312" w:cs="仿宋_GB2312"/>
                <w:color w:val="auto"/>
                <w:sz w:val="24"/>
                <w:szCs w:val="24"/>
                <w:highlight w:val="none"/>
                <w:u w:val="single"/>
              </w:rPr>
              <w:t xml:space="preserve">                                                                                                          </w:t>
            </w:r>
          </w:p>
          <w:p>
            <w:pPr>
              <w:spacing w:line="420" w:lineRule="exact"/>
              <w:ind w:left="-28"/>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w:t>
            </w:r>
          </w:p>
          <w:p>
            <w:pPr>
              <w:spacing w:line="420" w:lineRule="exact"/>
              <w:ind w:left="-27" w:leftChars="-13"/>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w:t>
            </w:r>
          </w:p>
          <w:p>
            <w:pPr>
              <w:spacing w:line="420" w:lineRule="exact"/>
              <w:ind w:left="-27" w:leftChars="-13"/>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w:t>
            </w:r>
          </w:p>
          <w:p>
            <w:pPr>
              <w:spacing w:line="420" w:lineRule="exact"/>
              <w:ind w:left="360" w:hanging="480" w:hanging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的原因，现通知你方必须于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w:t>
            </w:r>
          </w:p>
          <w:p>
            <w:pPr>
              <w:spacing w:line="420" w:lineRule="exact"/>
              <w:ind w:left="360" w:hanging="480" w:hanging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时起，对本工程的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部位（工序）实施暂停施工，并按下述要求做好各项工作：</w:t>
            </w: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firstLine="6012"/>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w:t>
            </w: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ind w:firstLine="6732" w:firstLineChars="2805"/>
              <w:rPr>
                <w:rFonts w:hint="eastAsia" w:ascii="仿宋_GB2312" w:hAnsi="仿宋_GB2312" w:eastAsia="仿宋_GB2312" w:cs="仿宋_GB2312"/>
                <w:color w:val="auto"/>
                <w:sz w:val="24"/>
                <w:szCs w:val="24"/>
                <w:highlight w:val="none"/>
              </w:rPr>
            </w:pPr>
          </w:p>
          <w:p>
            <w:pPr>
              <w:spacing w:line="420" w:lineRule="exact"/>
              <w:ind w:firstLine="6732" w:firstLineChars="2805"/>
              <w:rPr>
                <w:rFonts w:hint="eastAsia" w:ascii="仿宋_GB2312" w:hAnsi="仿宋_GB2312" w:eastAsia="仿宋_GB2312" w:cs="仿宋_GB2312"/>
                <w:color w:val="auto"/>
                <w:sz w:val="24"/>
                <w:szCs w:val="24"/>
                <w:highlight w:val="none"/>
              </w:rPr>
            </w:pPr>
          </w:p>
          <w:p>
            <w:pPr>
              <w:spacing w:line="420" w:lineRule="exact"/>
              <w:ind w:firstLine="6732" w:firstLineChars="2805"/>
              <w:rPr>
                <w:rFonts w:hint="eastAsia" w:ascii="仿宋_GB2312" w:hAnsi="仿宋_GB2312" w:eastAsia="仿宋_GB2312" w:cs="仿宋_GB2312"/>
                <w:color w:val="auto"/>
                <w:sz w:val="24"/>
                <w:szCs w:val="24"/>
                <w:highlight w:val="none"/>
              </w:rPr>
            </w:pPr>
          </w:p>
          <w:p>
            <w:pPr>
              <w:spacing w:line="420" w:lineRule="exact"/>
              <w:ind w:firstLine="6732" w:firstLineChars="2805"/>
              <w:rPr>
                <w:rFonts w:hint="eastAsia" w:ascii="仿宋_GB2312" w:hAnsi="仿宋_GB2312" w:eastAsia="仿宋_GB2312" w:cs="仿宋_GB2312"/>
                <w:color w:val="auto"/>
                <w:sz w:val="24"/>
                <w:szCs w:val="24"/>
                <w:highlight w:val="none"/>
              </w:rPr>
            </w:pPr>
          </w:p>
          <w:p>
            <w:pPr>
              <w:spacing w:line="420" w:lineRule="exact"/>
              <w:ind w:firstLine="6732" w:firstLineChars="2805"/>
              <w:rPr>
                <w:rFonts w:hint="eastAsia" w:ascii="仿宋_GB2312" w:hAnsi="仿宋_GB2312" w:eastAsia="仿宋_GB2312" w:cs="仿宋_GB2312"/>
                <w:color w:val="auto"/>
                <w:sz w:val="24"/>
                <w:szCs w:val="24"/>
                <w:highlight w:val="none"/>
              </w:rPr>
            </w:pPr>
          </w:p>
          <w:p>
            <w:pPr>
              <w:spacing w:line="420" w:lineRule="exact"/>
              <w:ind w:firstLine="6732" w:firstLineChars="2805"/>
              <w:rPr>
                <w:rFonts w:hint="eastAsia" w:ascii="仿宋_GB2312" w:hAnsi="仿宋_GB2312" w:eastAsia="仿宋_GB2312" w:cs="仿宋_GB2312"/>
                <w:color w:val="auto"/>
                <w:sz w:val="24"/>
                <w:szCs w:val="24"/>
                <w:highlight w:val="none"/>
              </w:rPr>
            </w:pPr>
          </w:p>
          <w:p>
            <w:pPr>
              <w:spacing w:line="420" w:lineRule="exact"/>
              <w:ind w:firstLine="6732" w:firstLineChars="2805"/>
              <w:rPr>
                <w:rFonts w:hint="eastAsia" w:ascii="仿宋_GB2312" w:hAnsi="仿宋_GB2312" w:eastAsia="仿宋_GB2312" w:cs="仿宋_GB2312"/>
                <w:color w:val="auto"/>
                <w:sz w:val="24"/>
                <w:szCs w:val="24"/>
                <w:highlight w:val="none"/>
              </w:rPr>
            </w:pPr>
          </w:p>
          <w:p>
            <w:pPr>
              <w:spacing w:line="420" w:lineRule="exact"/>
              <w:ind w:firstLine="6732" w:firstLineChars="2805"/>
              <w:rPr>
                <w:rFonts w:hint="eastAsia" w:ascii="仿宋_GB2312" w:hAnsi="仿宋_GB2312" w:eastAsia="仿宋_GB2312" w:cs="仿宋_GB2312"/>
                <w:color w:val="auto"/>
                <w:sz w:val="24"/>
                <w:szCs w:val="24"/>
                <w:highlight w:val="none"/>
              </w:rPr>
            </w:pPr>
          </w:p>
          <w:p>
            <w:pPr>
              <w:spacing w:line="420" w:lineRule="exact"/>
              <w:ind w:firstLine="6732" w:firstLineChars="2805"/>
              <w:rPr>
                <w:rFonts w:hint="eastAsia" w:ascii="仿宋_GB2312" w:hAnsi="仿宋_GB2312" w:eastAsia="仿宋_GB2312" w:cs="仿宋_GB2312"/>
                <w:color w:val="auto"/>
                <w:sz w:val="24"/>
                <w:szCs w:val="24"/>
                <w:highlight w:val="none"/>
              </w:rPr>
            </w:pPr>
          </w:p>
          <w:p>
            <w:pPr>
              <w:spacing w:line="420" w:lineRule="exact"/>
              <w:ind w:firstLine="6732" w:firstLineChars="280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监理单位（章）           </w:t>
            </w:r>
          </w:p>
          <w:p>
            <w:pPr>
              <w:spacing w:line="420" w:lineRule="exact"/>
              <w:ind w:firstLine="6732" w:firstLineChars="280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6732" w:firstLineChars="280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 本表一式三份，由监理工程师填制，并连同发包人、承包人各存一份。</w:t>
      </w: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bookmarkStart w:id="769" w:name="_Toc10624996"/>
      <w:bookmarkStart w:id="770" w:name="_Toc266892936"/>
      <w:bookmarkStart w:id="771" w:name="_Toc469384152"/>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格式</w:t>
      </w:r>
      <w:bookmarkEnd w:id="769"/>
      <w:bookmarkEnd w:id="770"/>
      <w:bookmarkEnd w:id="771"/>
      <w:r>
        <w:rPr>
          <w:rFonts w:hint="eastAsia" w:ascii="黑体" w:hAnsi="黑体" w:eastAsia="黑体" w:cs="黑体"/>
          <w:b w:val="0"/>
          <w:bCs w:val="0"/>
          <w:color w:val="auto"/>
          <w:kern w:val="0"/>
          <w:sz w:val="24"/>
          <w:szCs w:val="24"/>
          <w:highlight w:val="none"/>
        </w:rPr>
        <w:t>9</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工期索赔申请表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9"/>
        <w:tblW w:w="9525" w:type="dxa"/>
        <w:tblInd w:w="-25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8" w:hRule="atLeast"/>
        </w:trPr>
        <w:tc>
          <w:tcPr>
            <w:tcW w:w="9525" w:type="dxa"/>
            <w:tcBorders>
              <w:bottom w:val="single" w:color="auto" w:sz="4" w:space="0"/>
            </w:tcBorders>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（监理人全称） </w:t>
            </w:r>
          </w:p>
          <w:p>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根据施工合同第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条规定，由于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原因,我方要求索赔并顺延工期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日历天，请予以批准。</w:t>
            </w:r>
          </w:p>
          <w:p>
            <w:pPr>
              <w:spacing w:line="420" w:lineRule="exact"/>
              <w:ind w:left="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１．工期索赔的依据：</w:t>
            </w: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2．索赔工期的计算：</w:t>
            </w: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本次要求延长工期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日历天；最终延长总工期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日历天。</w:t>
            </w:r>
          </w:p>
          <w:p>
            <w:pPr>
              <w:spacing w:line="420" w:lineRule="exact"/>
              <w:ind w:left="-28" w:firstLine="45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合同竣工日期从原来</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日延迟到</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3．证明材料：</w:t>
            </w: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pPr>
              <w:tabs>
                <w:tab w:val="left" w:pos="6912"/>
              </w:tabs>
              <w:spacing w:line="420" w:lineRule="exact"/>
              <w:ind w:firstLine="6372" w:firstLineChars="265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承包人（章）                </w:t>
            </w:r>
          </w:p>
          <w:p>
            <w:pPr>
              <w:spacing w:line="420" w:lineRule="exact"/>
              <w:ind w:firstLine="6372" w:firstLineChars="265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tabs>
                <w:tab w:val="left" w:pos="7272"/>
              </w:tabs>
              <w:spacing w:line="420" w:lineRule="exact"/>
              <w:ind w:firstLine="6372" w:firstLineChars="265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说明：本表一式三份，由承包人填报,发包人、监理人、承包人各存一份。</w:t>
      </w: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bookmarkStart w:id="772" w:name="_Toc469384153"/>
      <w:bookmarkStart w:id="773" w:name="_Toc266892937"/>
      <w:bookmarkStart w:id="774" w:name="_Toc10624997"/>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格式1</w:t>
      </w:r>
      <w:bookmarkEnd w:id="772"/>
      <w:bookmarkEnd w:id="773"/>
      <w:bookmarkEnd w:id="774"/>
      <w:r>
        <w:rPr>
          <w:rFonts w:hint="eastAsia" w:ascii="黑体" w:hAnsi="黑体" w:eastAsia="黑体" w:cs="黑体"/>
          <w:b w:val="0"/>
          <w:bCs w:val="0"/>
          <w:color w:val="auto"/>
          <w:kern w:val="0"/>
          <w:sz w:val="24"/>
          <w:szCs w:val="24"/>
          <w:highlight w:val="none"/>
        </w:rPr>
        <w:t>0</w:t>
      </w:r>
    </w:p>
    <w:p>
      <w:pPr>
        <w:spacing w:before="50" w:after="50" w:line="420" w:lineRule="exact"/>
        <w:jc w:val="center"/>
        <w:rPr>
          <w:rFonts w:ascii="宋体" w:hAnsi="宋体" w:cs="宋体"/>
          <w:b/>
          <w:bCs/>
          <w:color w:val="auto"/>
          <w:sz w:val="22"/>
          <w:szCs w:val="2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工期索赔审批表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9"/>
        <w:tblW w:w="9094" w:type="dxa"/>
        <w:tblInd w:w="-16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874" w:hRule="atLeast"/>
        </w:trPr>
        <w:tc>
          <w:tcPr>
            <w:tcW w:w="9094" w:type="dxa"/>
            <w:tcBorders>
              <w:bottom w:val="single" w:color="auto" w:sz="4" w:space="0"/>
            </w:tcBorders>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（承包人全称） </w:t>
            </w:r>
          </w:p>
          <w:p>
            <w:pPr>
              <w:spacing w:line="420" w:lineRule="exact"/>
              <w:ind w:left="-28" w:firstLine="482"/>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根据施工合同条款第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的规定，你方提出的工期索赔申请第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号,索赔工期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日历天，经我方审核：</w:t>
            </w:r>
          </w:p>
          <w:p>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□不同意此项索赔，按约定竣工日期组织施工。</w:t>
            </w:r>
          </w:p>
          <w:p>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□同意此项索赔，工期延长</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日历天，合同竣工日期从原来的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日延迟到</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说明理由：</w:t>
            </w:r>
          </w:p>
          <w:p>
            <w:pPr>
              <w:spacing w:line="420" w:lineRule="exact"/>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p>
          <w:p>
            <w:pPr>
              <w:spacing w:line="420" w:lineRule="exact"/>
              <w:ind w:left="-108" w:firstLine="590"/>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ind w:left="-108" w:firstLine="590"/>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监理人（章）                </w:t>
            </w:r>
          </w:p>
          <w:p>
            <w:pPr>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造价工程师</w:t>
            </w:r>
            <w:r>
              <w:rPr>
                <w:rFonts w:hint="eastAsia" w:ascii="仿宋_GB2312" w:hAnsi="仿宋_GB2312" w:eastAsia="仿宋_GB2312" w:cs="仿宋_GB2312"/>
                <w:color w:val="auto"/>
                <w:sz w:val="24"/>
                <w:szCs w:val="24"/>
                <w:highlight w:val="none"/>
                <w:u w:val="single"/>
              </w:rPr>
              <w:t xml:space="preserve">                </w:t>
            </w:r>
          </w:p>
          <w:p>
            <w:pPr>
              <w:tabs>
                <w:tab w:val="left" w:pos="7272"/>
              </w:tabs>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pPr>
        <w:spacing w:before="120" w:beforeLines="50" w:after="120" w:afterLines="50" w:line="420" w:lineRule="exact"/>
        <w:ind w:firstLine="720" w:firstLineChars="300"/>
        <w:rPr>
          <w:rFonts w:hint="eastAsia" w:ascii="黑体" w:hAnsi="黑体" w:eastAsia="黑体" w:cs="黑体"/>
          <w:b w:val="0"/>
          <w:bCs w:val="0"/>
          <w:color w:val="auto"/>
          <w:kern w:val="0"/>
          <w:sz w:val="24"/>
          <w:szCs w:val="24"/>
          <w:highlight w:val="none"/>
        </w:rPr>
      </w:pPr>
      <w:r>
        <w:rPr>
          <w:rFonts w:hint="eastAsia" w:ascii="仿宋_GB2312" w:hAnsi="仿宋_GB2312" w:eastAsia="仿宋_GB2312" w:cs="仿宋_GB2312"/>
          <w:color w:val="auto"/>
          <w:sz w:val="24"/>
          <w:szCs w:val="24"/>
          <w:highlight w:val="none"/>
        </w:rPr>
        <w:t>2．本表一式三份，由简历工程师填制,发包人、监理人、承包人各存一份。</w:t>
      </w:r>
      <w:r>
        <w:rPr>
          <w:rFonts w:hint="eastAsia" w:ascii="仿宋_GB2312" w:hAnsi="仿宋_GB2312" w:eastAsia="仿宋_GB2312" w:cs="仿宋_GB2312"/>
          <w:color w:val="auto"/>
          <w:sz w:val="24"/>
          <w:szCs w:val="24"/>
          <w:highlight w:val="none"/>
        </w:rPr>
        <w:br w:type="page"/>
      </w:r>
      <w:bookmarkStart w:id="775" w:name="_Toc266892938"/>
      <w:r>
        <w:rPr>
          <w:rFonts w:hint="eastAsia" w:ascii="黑体" w:hAnsi="黑体" w:eastAsia="黑体" w:cs="黑体"/>
          <w:b w:val="0"/>
          <w:bCs w:val="0"/>
          <w:color w:val="auto"/>
          <w:kern w:val="0"/>
          <w:sz w:val="24"/>
          <w:szCs w:val="24"/>
          <w:highlight w:val="none"/>
        </w:rPr>
        <w:t>格式1</w:t>
      </w:r>
      <w:bookmarkEnd w:id="775"/>
      <w:r>
        <w:rPr>
          <w:rFonts w:hint="eastAsia" w:ascii="黑体" w:hAnsi="黑体" w:eastAsia="黑体" w:cs="黑体"/>
          <w:b w:val="0"/>
          <w:bCs w:val="0"/>
          <w:color w:val="auto"/>
          <w:kern w:val="0"/>
          <w:sz w:val="24"/>
          <w:szCs w:val="24"/>
          <w:highlight w:val="none"/>
        </w:rPr>
        <w:t>1</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工程材料/设备报审表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9"/>
        <w:tblW w:w="9394" w:type="dxa"/>
        <w:tblInd w:w="-46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3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17" w:hRule="atLeast"/>
        </w:trPr>
        <w:tc>
          <w:tcPr>
            <w:tcW w:w="9394" w:type="dxa"/>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（监理人全称）</w:t>
            </w:r>
          </w:p>
          <w:p>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日进场的工程□材料□构配件□设备数量如下（见附件）。现提供质量证明文件及自检结果，拟用于下述部位：</w:t>
            </w:r>
          </w:p>
          <w:p>
            <w:pPr>
              <w:spacing w:line="420" w:lineRule="exact"/>
              <w:ind w:left="-28" w:firstLine="482"/>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w:t>
            </w:r>
          </w:p>
          <w:p>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请予以检验和批准。</w:t>
            </w:r>
          </w:p>
          <w:p>
            <w:pPr>
              <w:spacing w:line="420" w:lineRule="exact"/>
              <w:ind w:left="-108" w:firstLine="51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附件:1．数量清单</w:t>
            </w:r>
          </w:p>
          <w:p>
            <w:pPr>
              <w:spacing w:line="420" w:lineRule="exact"/>
              <w:ind w:left="-108" w:firstLine="107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2．质量证明文件</w:t>
            </w:r>
          </w:p>
          <w:p>
            <w:pPr>
              <w:spacing w:line="420" w:lineRule="exact"/>
              <w:ind w:left="-108" w:firstLine="107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3．自检结果</w:t>
            </w: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承包人（章）                 </w:t>
            </w:r>
          </w:p>
          <w:p>
            <w:pPr>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6012"/>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70" w:hRule="atLeast"/>
        </w:trPr>
        <w:tc>
          <w:tcPr>
            <w:tcW w:w="9394" w:type="dxa"/>
            <w:tcBorders>
              <w:bottom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审查意见：</w:t>
            </w:r>
          </w:p>
          <w:p>
            <w:pPr>
              <w:spacing w:line="420" w:lineRule="exact"/>
              <w:ind w:left="-28" w:firstLine="45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经检查上述工程□材料□构配件□工程设备，（□符合/□不符合）标准与规范、设计要求，（□准许/□不准许）进场，（□同意/□不同意）使用于拟定部位。</w:t>
            </w:r>
          </w:p>
          <w:p>
            <w:pPr>
              <w:spacing w:line="420" w:lineRule="exact"/>
              <w:ind w:firstLine="6000" w:firstLineChars="2500"/>
              <w:rPr>
                <w:rFonts w:hint="eastAsia" w:ascii="仿宋_GB2312" w:hAnsi="仿宋_GB2312" w:eastAsia="仿宋_GB2312" w:cs="仿宋_GB2312"/>
                <w:color w:val="auto"/>
                <w:sz w:val="24"/>
                <w:szCs w:val="24"/>
                <w:highlight w:val="none"/>
              </w:rPr>
            </w:pPr>
          </w:p>
          <w:p>
            <w:pPr>
              <w:spacing w:line="420" w:lineRule="exact"/>
              <w:ind w:firstLine="6000" w:firstLineChars="2500"/>
              <w:rPr>
                <w:rFonts w:hint="eastAsia" w:ascii="仿宋_GB2312" w:hAnsi="仿宋_GB2312" w:eastAsia="仿宋_GB2312" w:cs="仿宋_GB2312"/>
                <w:color w:val="auto"/>
                <w:sz w:val="24"/>
                <w:szCs w:val="24"/>
                <w:highlight w:val="none"/>
              </w:rPr>
            </w:pPr>
          </w:p>
          <w:p>
            <w:pPr>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监理人（章）                 </w:t>
            </w:r>
          </w:p>
          <w:p>
            <w:pPr>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6000" w:firstLineChars="25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tc>
      </w:tr>
    </w:tbl>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pPr>
        <w:spacing w:line="420" w:lineRule="exact"/>
        <w:ind w:left="7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2.本表一式三份，由承包人、监理人按合同规定程序填制，并连同发包人各存一份。</w:t>
      </w:r>
    </w:p>
    <w:p>
      <w:pPr>
        <w:spacing w:before="120" w:beforeLines="50" w:after="120" w:afterLines="50"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76" w:name="_Toc10624998"/>
      <w:bookmarkStart w:id="777" w:name="_Toc469384154"/>
      <w:bookmarkStart w:id="778" w:name="_Toc266892939"/>
      <w:r>
        <w:rPr>
          <w:rFonts w:hint="eastAsia" w:ascii="黑体" w:hAnsi="黑体" w:eastAsia="黑体" w:cs="黑体"/>
          <w:b w:val="0"/>
          <w:bCs w:val="0"/>
          <w:color w:val="auto"/>
          <w:kern w:val="0"/>
          <w:sz w:val="24"/>
          <w:szCs w:val="24"/>
          <w:highlight w:val="none"/>
        </w:rPr>
        <w:t>格式1</w:t>
      </w:r>
      <w:bookmarkEnd w:id="776"/>
      <w:bookmarkEnd w:id="777"/>
      <w:bookmarkEnd w:id="778"/>
      <w:r>
        <w:rPr>
          <w:rFonts w:hint="eastAsia" w:ascii="黑体" w:hAnsi="黑体" w:eastAsia="黑体" w:cs="黑体"/>
          <w:b w:val="0"/>
          <w:bCs w:val="0"/>
          <w:color w:val="auto"/>
          <w:kern w:val="0"/>
          <w:sz w:val="24"/>
          <w:szCs w:val="24"/>
          <w:highlight w:val="none"/>
        </w:rPr>
        <w:t>2</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隐蔽工程/中间验收报告</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9"/>
        <w:tblW w:w="9544" w:type="dxa"/>
        <w:tblInd w:w="-31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4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6" w:hRule="atLeast"/>
        </w:trPr>
        <w:tc>
          <w:tcPr>
            <w:tcW w:w="9544" w:type="dxa"/>
          </w:tcPr>
          <w:p>
            <w:pPr>
              <w:spacing w:before="120"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（监理人全称）</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我方已完成了</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工作,经自检合格，现提出</w:t>
            </w:r>
          </w:p>
          <w:p>
            <w:pPr>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□隐蔽工程/□中间验收（内容见附件）申请，请予审验收。</w:t>
            </w:r>
          </w:p>
          <w:p>
            <w:pPr>
              <w:spacing w:line="420" w:lineRule="exact"/>
              <w:ind w:firstLine="41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w:t>
            </w: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承包人（章）                 </w:t>
            </w:r>
          </w:p>
          <w:p>
            <w:pPr>
              <w:spacing w:line="420" w:lineRule="exact"/>
              <w:ind w:firstLine="6240" w:firstLineChars="26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6240" w:firstLineChars="26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1" w:hRule="atLeast"/>
        </w:trPr>
        <w:tc>
          <w:tcPr>
            <w:tcW w:w="9544" w:type="dxa"/>
          </w:tcPr>
          <w:p>
            <w:pPr>
              <w:spacing w:before="120"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复核意见：</w:t>
            </w:r>
          </w:p>
          <w:p>
            <w:pPr>
              <w:spacing w:before="120" w:line="420" w:lineRule="exact"/>
              <w:rPr>
                <w:rFonts w:hint="eastAsia" w:ascii="仿宋_GB2312" w:hAnsi="仿宋_GB2312" w:eastAsia="仿宋_GB2312" w:cs="仿宋_GB2312"/>
                <w:color w:val="auto"/>
                <w:sz w:val="24"/>
                <w:szCs w:val="24"/>
                <w:highlight w:val="none"/>
              </w:rPr>
            </w:pPr>
          </w:p>
          <w:p>
            <w:pPr>
              <w:spacing w:before="120" w:line="420" w:lineRule="exact"/>
              <w:rPr>
                <w:rFonts w:hint="eastAsia" w:ascii="仿宋_GB2312" w:hAnsi="仿宋_GB2312" w:eastAsia="仿宋_GB2312" w:cs="仿宋_GB2312"/>
                <w:color w:val="auto"/>
                <w:sz w:val="24"/>
                <w:szCs w:val="24"/>
                <w:highlight w:val="none"/>
              </w:rPr>
            </w:pPr>
          </w:p>
          <w:p>
            <w:pPr>
              <w:spacing w:line="420" w:lineRule="exact"/>
              <w:ind w:firstLine="6240" w:firstLineChars="26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设计人（章） </w:t>
            </w:r>
          </w:p>
          <w:p>
            <w:pPr>
              <w:spacing w:line="420" w:lineRule="exact"/>
              <w:ind w:firstLine="6240" w:firstLineChars="26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建筑师/结构师</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6240" w:firstLineChars="26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89" w:hRule="atLeast"/>
        </w:trPr>
        <w:tc>
          <w:tcPr>
            <w:tcW w:w="9544" w:type="dxa"/>
            <w:tcBorders>
              <w:top w:val="single" w:color="auto" w:sz="4" w:space="0"/>
            </w:tcBorders>
          </w:tcPr>
          <w:p>
            <w:pPr>
              <w:widowControl/>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审查意见：</w:t>
            </w:r>
          </w:p>
          <w:p>
            <w:pPr>
              <w:spacing w:line="420" w:lineRule="exact"/>
              <w:ind w:firstLine="720" w:firstLineChars="3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经验收，上述工程（□符合/□不符合）标准与规范、设计要求，验收（□合格/□不合格）（□可以/□不可以）隐蔽或继续施工。</w:t>
            </w:r>
          </w:p>
          <w:p>
            <w:pPr>
              <w:spacing w:line="420" w:lineRule="exact"/>
              <w:jc w:val="left"/>
              <w:rPr>
                <w:rFonts w:hint="eastAsia" w:ascii="仿宋_GB2312" w:hAnsi="仿宋_GB2312" w:eastAsia="仿宋_GB2312" w:cs="仿宋_GB2312"/>
                <w:color w:val="auto"/>
                <w:sz w:val="24"/>
                <w:szCs w:val="24"/>
                <w:highlight w:val="none"/>
              </w:rPr>
            </w:pPr>
          </w:p>
          <w:p>
            <w:pPr>
              <w:spacing w:line="420" w:lineRule="exact"/>
              <w:jc w:val="left"/>
              <w:rPr>
                <w:rFonts w:hint="eastAsia" w:ascii="仿宋_GB2312" w:hAnsi="仿宋_GB2312" w:eastAsia="仿宋_GB2312" w:cs="仿宋_GB2312"/>
                <w:color w:val="auto"/>
                <w:sz w:val="24"/>
                <w:szCs w:val="24"/>
                <w:highlight w:val="none"/>
              </w:rPr>
            </w:pPr>
          </w:p>
          <w:p>
            <w:pPr>
              <w:spacing w:line="420" w:lineRule="exact"/>
              <w:ind w:firstLine="6240" w:firstLineChars="26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监理人（章）</w:t>
            </w:r>
          </w:p>
          <w:p>
            <w:pPr>
              <w:spacing w:line="420" w:lineRule="exact"/>
              <w:ind w:firstLine="6295" w:firstLineChars="2623"/>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p>
          <w:p>
            <w:pPr>
              <w:tabs>
                <w:tab w:val="left" w:pos="6297"/>
              </w:tabs>
              <w:spacing w:line="420" w:lineRule="exact"/>
              <w:ind w:firstLine="6295" w:firstLineChars="26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tc>
      </w:tr>
    </w:tbl>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pPr>
        <w:spacing w:line="420" w:lineRule="exact"/>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2．本表用于包括隐蔽工程、分部分项工程、单位工程等的质量验收。</w:t>
      </w:r>
    </w:p>
    <w:p>
      <w:pPr>
        <w:spacing w:line="420" w:lineRule="exact"/>
        <w:ind w:left="1198" w:leftChars="342" w:hanging="480" w:hanging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3．本表一式四份，由承包人、设计人、监理人按合同规定程序填制，并连同发包人各存一份。</w:t>
      </w:r>
    </w:p>
    <w:p>
      <w:pPr>
        <w:spacing w:line="420" w:lineRule="exact"/>
        <w:ind w:left="1"/>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79" w:name="_Toc469384155"/>
      <w:bookmarkStart w:id="780" w:name="_Toc266892940"/>
      <w:bookmarkStart w:id="781" w:name="_Toc10624999"/>
      <w:r>
        <w:rPr>
          <w:rFonts w:hint="eastAsia" w:ascii="黑体" w:hAnsi="黑体" w:eastAsia="黑体" w:cs="黑体"/>
          <w:b w:val="0"/>
          <w:bCs w:val="0"/>
          <w:color w:val="auto"/>
          <w:kern w:val="0"/>
          <w:sz w:val="24"/>
          <w:szCs w:val="24"/>
          <w:highlight w:val="none"/>
        </w:rPr>
        <w:t>格式1</w:t>
      </w:r>
      <w:bookmarkEnd w:id="779"/>
      <w:bookmarkEnd w:id="780"/>
      <w:bookmarkEnd w:id="781"/>
      <w:r>
        <w:rPr>
          <w:rFonts w:hint="eastAsia" w:ascii="黑体" w:hAnsi="黑体" w:eastAsia="黑体" w:cs="黑体"/>
          <w:b w:val="0"/>
          <w:bCs w:val="0"/>
          <w:color w:val="auto"/>
          <w:kern w:val="0"/>
          <w:sz w:val="24"/>
          <w:szCs w:val="24"/>
          <w:highlight w:val="none"/>
        </w:rPr>
        <w:t>3</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工程变更报审表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 </w:t>
      </w:r>
    </w:p>
    <w:tbl>
      <w:tblPr>
        <w:tblStyle w:val="19"/>
        <w:tblW w:w="9393" w:type="dxa"/>
        <w:tblInd w:w="-29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668"/>
        <w:gridCol w:w="3447"/>
        <w:gridCol w:w="22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47" w:hRule="atLeast"/>
        </w:trPr>
        <w:tc>
          <w:tcPr>
            <w:tcW w:w="9393" w:type="dxa"/>
            <w:gridSpan w:val="3"/>
            <w:tcBorders>
              <w:bottom w:val="single" w:color="000000" w:sz="6" w:space="0"/>
            </w:tcBorders>
          </w:tcPr>
          <w:p>
            <w:pPr>
              <w:spacing w:before="120"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（监理人全称）</w:t>
            </w:r>
          </w:p>
          <w:p>
            <w:pPr>
              <w:tabs>
                <w:tab w:val="left" w:pos="6192"/>
              </w:tabs>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由于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原因，现提出</w:t>
            </w:r>
          </w:p>
          <w:p>
            <w:pPr>
              <w:tabs>
                <w:tab w:val="left" w:pos="6192"/>
              </w:tabs>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w:t>
            </w:r>
          </w:p>
          <w:p>
            <w:pPr>
              <w:tabs>
                <w:tab w:val="left" w:pos="6192"/>
              </w:tabs>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工程变更（内容见附件），请予以审批。</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附件：1．提出变更原因（必要时附图）；</w:t>
            </w:r>
          </w:p>
          <w:p>
            <w:pPr>
              <w:spacing w:line="420" w:lineRule="exact"/>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2．工程量增减计算书；</w:t>
            </w:r>
          </w:p>
          <w:p>
            <w:pPr>
              <w:spacing w:line="420" w:lineRule="exact"/>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3．工程变更价款报价单。</w:t>
            </w: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pPr>
              <w:spacing w:line="420" w:lineRule="exact"/>
              <w:ind w:firstLine="5760" w:firstLineChars="24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承包人（章）                 </w:t>
            </w:r>
          </w:p>
          <w:p>
            <w:pPr>
              <w:spacing w:line="420" w:lineRule="exact"/>
              <w:ind w:firstLine="5982"/>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pacing w:val="28"/>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5982"/>
              <w:rPr>
                <w:rFonts w:hint="eastAsia" w:ascii="仿宋_GB2312" w:hAnsi="仿宋_GB2312" w:eastAsia="仿宋_GB2312" w:cs="仿宋_GB2312"/>
                <w:color w:val="auto"/>
                <w:spacing w:val="20"/>
                <w:sz w:val="24"/>
                <w:szCs w:val="24"/>
                <w:highlight w:val="none"/>
                <w:u w:val="single"/>
              </w:rPr>
            </w:pPr>
            <w:r>
              <w:rPr>
                <w:rFonts w:hint="eastAsia" w:ascii="仿宋_GB2312" w:hAnsi="仿宋_GB2312" w:eastAsia="仿宋_GB2312" w:cs="仿宋_GB2312"/>
                <w:color w:val="auto"/>
                <w:sz w:val="24"/>
                <w:szCs w:val="24"/>
                <w:highlight w:val="none"/>
              </w:rPr>
              <w:t xml:space="preserve">日        期 </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08" w:hRule="atLeast"/>
        </w:trPr>
        <w:tc>
          <w:tcPr>
            <w:tcW w:w="3668" w:type="dxa"/>
            <w:tcBorders>
              <w:top w:val="single" w:color="000000" w:sz="6" w:space="0"/>
              <w:bottom w:val="single" w:color="auto" w:sz="4" w:space="0"/>
              <w:right w:val="single" w:color="auto" w:sz="4" w:space="0"/>
            </w:tcBorders>
          </w:tcPr>
          <w:p>
            <w:pPr>
              <w:snapToGrid w:val="0"/>
              <w:spacing w:line="420" w:lineRule="exact"/>
              <w:ind w:hanging="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复核意见：</w:t>
            </w:r>
          </w:p>
          <w:p>
            <w:pPr>
              <w:snapToGrid w:val="0"/>
              <w:spacing w:line="420" w:lineRule="exact"/>
              <w:ind w:hanging="6"/>
              <w:rPr>
                <w:rFonts w:hint="eastAsia" w:ascii="仿宋_GB2312" w:hAnsi="仿宋_GB2312" w:eastAsia="仿宋_GB2312" w:cs="仿宋_GB2312"/>
                <w:color w:val="auto"/>
                <w:sz w:val="24"/>
                <w:szCs w:val="24"/>
                <w:highlight w:val="none"/>
              </w:rPr>
            </w:pPr>
          </w:p>
          <w:p>
            <w:pPr>
              <w:snapToGrid w:val="0"/>
              <w:spacing w:line="420" w:lineRule="exact"/>
              <w:ind w:hanging="6"/>
              <w:rPr>
                <w:rFonts w:hint="eastAsia" w:ascii="仿宋_GB2312" w:hAnsi="仿宋_GB2312" w:eastAsia="仿宋_GB2312" w:cs="仿宋_GB2312"/>
                <w:color w:val="auto"/>
                <w:sz w:val="24"/>
                <w:szCs w:val="24"/>
                <w:highlight w:val="none"/>
              </w:rPr>
            </w:pPr>
          </w:p>
          <w:p>
            <w:pPr>
              <w:snapToGrid w:val="0"/>
              <w:spacing w:line="420" w:lineRule="exact"/>
              <w:ind w:hanging="6"/>
              <w:rPr>
                <w:rFonts w:hint="eastAsia" w:ascii="仿宋_GB2312" w:hAnsi="仿宋_GB2312" w:eastAsia="仿宋_GB2312" w:cs="仿宋_GB2312"/>
                <w:color w:val="auto"/>
                <w:sz w:val="24"/>
                <w:szCs w:val="24"/>
                <w:highlight w:val="none"/>
              </w:rPr>
            </w:pPr>
          </w:p>
          <w:p>
            <w:pPr>
              <w:snapToGrid w:val="0"/>
              <w:spacing w:line="420" w:lineRule="exact"/>
              <w:ind w:hanging="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设计人（章）</w:t>
            </w:r>
          </w:p>
          <w:p>
            <w:pPr>
              <w:snapToGrid w:val="0"/>
              <w:spacing w:line="420" w:lineRule="exact"/>
              <w:ind w:hanging="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建筑师/结构师</w:t>
            </w:r>
            <w:r>
              <w:rPr>
                <w:rFonts w:hint="eastAsia" w:ascii="仿宋_GB2312" w:hAnsi="仿宋_GB2312" w:eastAsia="仿宋_GB2312" w:cs="仿宋_GB2312"/>
                <w:color w:val="auto"/>
                <w:sz w:val="24"/>
                <w:szCs w:val="24"/>
                <w:highlight w:val="none"/>
                <w:u w:val="single"/>
              </w:rPr>
              <w:t xml:space="preserve">         </w:t>
            </w:r>
          </w:p>
          <w:p>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c>
          <w:tcPr>
            <w:tcW w:w="3447" w:type="dxa"/>
            <w:tcBorders>
              <w:top w:val="single" w:color="000000" w:sz="6" w:space="0"/>
              <w:left w:val="single" w:color="auto" w:sz="4" w:space="0"/>
              <w:bottom w:val="single" w:color="auto" w:sz="4" w:space="0"/>
              <w:right w:val="single" w:color="auto" w:sz="4" w:space="0"/>
            </w:tcBorders>
          </w:tcPr>
          <w:p>
            <w:pPr>
              <w:widowControl/>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复核意见：</w:t>
            </w:r>
          </w:p>
          <w:p>
            <w:pPr>
              <w:widowControl/>
              <w:spacing w:line="420" w:lineRule="exact"/>
              <w:jc w:val="left"/>
              <w:rPr>
                <w:rFonts w:hint="eastAsia" w:ascii="仿宋_GB2312" w:hAnsi="仿宋_GB2312" w:eastAsia="仿宋_GB2312" w:cs="仿宋_GB2312"/>
                <w:color w:val="auto"/>
                <w:sz w:val="24"/>
                <w:szCs w:val="24"/>
                <w:highlight w:val="none"/>
              </w:rPr>
            </w:pPr>
          </w:p>
          <w:p>
            <w:pPr>
              <w:widowControl/>
              <w:spacing w:line="420" w:lineRule="exact"/>
              <w:jc w:val="left"/>
              <w:rPr>
                <w:rFonts w:hint="eastAsia" w:ascii="仿宋_GB2312" w:hAnsi="仿宋_GB2312" w:eastAsia="仿宋_GB2312" w:cs="仿宋_GB2312"/>
                <w:color w:val="auto"/>
                <w:sz w:val="24"/>
                <w:szCs w:val="24"/>
                <w:highlight w:val="none"/>
              </w:rPr>
            </w:pPr>
          </w:p>
          <w:p>
            <w:pPr>
              <w:snapToGrid w:val="0"/>
              <w:spacing w:line="420" w:lineRule="exact"/>
              <w:rPr>
                <w:rFonts w:hint="eastAsia" w:ascii="仿宋_GB2312" w:hAnsi="仿宋_GB2312" w:eastAsia="仿宋_GB2312" w:cs="仿宋_GB2312"/>
                <w:color w:val="auto"/>
                <w:sz w:val="24"/>
                <w:szCs w:val="24"/>
                <w:highlight w:val="none"/>
              </w:rPr>
            </w:pPr>
          </w:p>
          <w:p>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监理人（章）</w:t>
            </w:r>
          </w:p>
          <w:p>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p>
          <w:p>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c>
          <w:tcPr>
            <w:tcW w:w="2278" w:type="dxa"/>
            <w:tcBorders>
              <w:top w:val="single" w:color="000000" w:sz="6" w:space="0"/>
              <w:left w:val="single" w:color="auto" w:sz="4" w:space="0"/>
              <w:bottom w:val="single" w:color="auto" w:sz="4" w:space="0"/>
            </w:tcBorders>
          </w:tcPr>
          <w:p>
            <w:pPr>
              <w:widowControl/>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复核意见：</w:t>
            </w:r>
          </w:p>
          <w:p>
            <w:pPr>
              <w:widowControl/>
              <w:spacing w:line="420" w:lineRule="exact"/>
              <w:jc w:val="left"/>
              <w:rPr>
                <w:rFonts w:hint="eastAsia" w:ascii="仿宋_GB2312" w:hAnsi="仿宋_GB2312" w:eastAsia="仿宋_GB2312" w:cs="仿宋_GB2312"/>
                <w:color w:val="auto"/>
                <w:sz w:val="24"/>
                <w:szCs w:val="24"/>
                <w:highlight w:val="none"/>
              </w:rPr>
            </w:pPr>
          </w:p>
          <w:p>
            <w:pPr>
              <w:widowControl/>
              <w:spacing w:line="420" w:lineRule="exact"/>
              <w:jc w:val="left"/>
              <w:rPr>
                <w:rFonts w:hint="eastAsia" w:ascii="仿宋_GB2312" w:hAnsi="仿宋_GB2312" w:eastAsia="仿宋_GB2312" w:cs="仿宋_GB2312"/>
                <w:color w:val="auto"/>
                <w:sz w:val="24"/>
                <w:szCs w:val="24"/>
                <w:highlight w:val="none"/>
              </w:rPr>
            </w:pPr>
          </w:p>
          <w:p>
            <w:pPr>
              <w:snapToGrid w:val="0"/>
              <w:spacing w:line="420" w:lineRule="exact"/>
              <w:rPr>
                <w:rFonts w:hint="eastAsia" w:ascii="仿宋_GB2312" w:hAnsi="仿宋_GB2312" w:eastAsia="仿宋_GB2312" w:cs="仿宋_GB2312"/>
                <w:color w:val="auto"/>
                <w:sz w:val="24"/>
                <w:szCs w:val="24"/>
                <w:highlight w:val="none"/>
              </w:rPr>
            </w:pPr>
          </w:p>
          <w:p>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造价咨询人（章）</w:t>
            </w:r>
          </w:p>
          <w:p>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造价工程师</w:t>
            </w:r>
            <w:r>
              <w:rPr>
                <w:rFonts w:hint="eastAsia" w:ascii="仿宋_GB2312" w:hAnsi="仿宋_GB2312" w:eastAsia="仿宋_GB2312" w:cs="仿宋_GB2312"/>
                <w:color w:val="auto"/>
                <w:sz w:val="24"/>
                <w:szCs w:val="24"/>
                <w:highlight w:val="none"/>
                <w:u w:val="single"/>
              </w:rPr>
              <w:t xml:space="preserve">            </w:t>
            </w:r>
          </w:p>
          <w:p>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33" w:hRule="atLeast"/>
        </w:trPr>
        <w:tc>
          <w:tcPr>
            <w:tcW w:w="9393" w:type="dxa"/>
            <w:gridSpan w:val="3"/>
            <w:tcBorders>
              <w:top w:val="single" w:color="auto" w:sz="4" w:space="0"/>
              <w:bottom w:val="single" w:color="000000" w:sz="6" w:space="0"/>
            </w:tcBorders>
          </w:tcPr>
          <w:p>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审批意见：</w:t>
            </w:r>
          </w:p>
          <w:p>
            <w:pPr>
              <w:snapToGrid w:val="0"/>
              <w:spacing w:line="420" w:lineRule="exact"/>
              <w:ind w:hanging="6"/>
              <w:rPr>
                <w:rFonts w:hint="eastAsia" w:ascii="仿宋_GB2312" w:hAnsi="仿宋_GB2312" w:eastAsia="仿宋_GB2312" w:cs="仿宋_GB2312"/>
                <w:color w:val="auto"/>
                <w:sz w:val="24"/>
                <w:szCs w:val="24"/>
                <w:highlight w:val="none"/>
              </w:rPr>
            </w:pPr>
          </w:p>
          <w:p>
            <w:pPr>
              <w:snapToGrid w:val="0"/>
              <w:spacing w:line="420" w:lineRule="exact"/>
              <w:ind w:hanging="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发包人（章）</w:t>
            </w:r>
          </w:p>
          <w:p>
            <w:pPr>
              <w:snapToGrid w:val="0"/>
              <w:spacing w:line="420" w:lineRule="exact"/>
              <w:ind w:hanging="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发包人代表</w:t>
            </w:r>
            <w:r>
              <w:rPr>
                <w:rFonts w:hint="eastAsia" w:ascii="仿宋_GB2312" w:hAnsi="仿宋_GB2312" w:eastAsia="仿宋_GB2312" w:cs="仿宋_GB2312"/>
                <w:b/>
                <w:bCs/>
                <w:color w:val="auto"/>
                <w:sz w:val="24"/>
                <w:szCs w:val="24"/>
                <w:highlight w:val="none"/>
                <w:u w:val="single"/>
              </w:rPr>
              <w:t xml:space="preserve">           </w:t>
            </w:r>
          </w:p>
          <w:p>
            <w:pPr>
              <w:snapToGrid w:val="0"/>
              <w:spacing w:line="420" w:lineRule="exact"/>
              <w:ind w:hanging="6"/>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日      期</w:t>
            </w:r>
            <w:r>
              <w:rPr>
                <w:rFonts w:hint="eastAsia" w:ascii="仿宋_GB2312" w:hAnsi="仿宋_GB2312" w:eastAsia="仿宋_GB2312" w:cs="仿宋_GB2312"/>
                <w:color w:val="auto"/>
                <w:sz w:val="24"/>
                <w:szCs w:val="24"/>
                <w:highlight w:val="none"/>
                <w:u w:val="single"/>
              </w:rPr>
              <w:t xml:space="preserve">           </w:t>
            </w:r>
          </w:p>
        </w:tc>
      </w:tr>
    </w:tbl>
    <w:p>
      <w:pPr>
        <w:spacing w:line="420" w:lineRule="exact"/>
        <w:ind w:left="660" w:hanging="720" w:hanging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说明：本表一式五份，由承包人、设计人、监理人、工程造价咨询人（如有）、发包人按合同规定程序填制，并各存一份。</w:t>
      </w:r>
    </w:p>
    <w:p>
      <w:pPr>
        <w:spacing w:line="420" w:lineRule="exact"/>
        <w:ind w:left="660" w:hanging="660" w:hangingChars="300"/>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82" w:name="_Toc266892941"/>
      <w:bookmarkStart w:id="783" w:name="_Toc469384156"/>
      <w:bookmarkStart w:id="784" w:name="_Toc10625000"/>
      <w:r>
        <w:rPr>
          <w:rFonts w:hint="eastAsia" w:ascii="黑体" w:hAnsi="黑体" w:eastAsia="黑体" w:cs="黑体"/>
          <w:b w:val="0"/>
          <w:bCs w:val="0"/>
          <w:color w:val="auto"/>
          <w:kern w:val="0"/>
          <w:sz w:val="24"/>
          <w:szCs w:val="24"/>
          <w:highlight w:val="none"/>
        </w:rPr>
        <w:t>格式1</w:t>
      </w:r>
      <w:bookmarkEnd w:id="782"/>
      <w:bookmarkEnd w:id="783"/>
      <w:bookmarkEnd w:id="784"/>
      <w:r>
        <w:rPr>
          <w:rFonts w:hint="eastAsia" w:ascii="黑体" w:hAnsi="黑体" w:eastAsia="黑体" w:cs="黑体"/>
          <w:b w:val="0"/>
          <w:bCs w:val="0"/>
          <w:color w:val="auto"/>
          <w:kern w:val="0"/>
          <w:sz w:val="24"/>
          <w:szCs w:val="24"/>
          <w:highlight w:val="none"/>
        </w:rPr>
        <w:t>4</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工程变更令</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 </w:t>
      </w:r>
    </w:p>
    <w:tbl>
      <w:tblPr>
        <w:tblStyle w:val="19"/>
        <w:tblW w:w="9009"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62" w:hRule="atLeast"/>
        </w:trPr>
        <w:tc>
          <w:tcPr>
            <w:tcW w:w="9009" w:type="dxa"/>
            <w:tcBorders>
              <w:bottom w:val="single" w:color="000000" w:sz="6" w:space="0"/>
            </w:tcBorders>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（承包人全称）   </w:t>
            </w:r>
          </w:p>
          <w:p>
            <w:pPr>
              <w:tabs>
                <w:tab w:val="left" w:pos="6192"/>
              </w:tabs>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由于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原因，现发出</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工程变更令（内容见附件），请按照本变更令和合同约定组织施工；若合同与本变更令不一致的，以本变更令为准。如有疑问，请及时与监理工程师联系。</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变更内容见附件：</w:t>
            </w: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firstLine="5880" w:firstLineChars="245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监理人（章）</w:t>
            </w:r>
          </w:p>
          <w:p>
            <w:pPr>
              <w:spacing w:line="420" w:lineRule="exact"/>
              <w:ind w:firstLine="5920" w:firstLineChars="2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pacing w:val="28"/>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5880" w:firstLineChars="2450"/>
              <w:rPr>
                <w:rFonts w:hint="eastAsia" w:ascii="仿宋_GB2312" w:hAnsi="仿宋_GB2312" w:eastAsia="仿宋_GB2312" w:cs="仿宋_GB2312"/>
                <w:color w:val="auto"/>
                <w:spacing w:val="20"/>
                <w:sz w:val="24"/>
                <w:szCs w:val="24"/>
                <w:highlight w:val="none"/>
                <w:u w:val="single"/>
              </w:rPr>
            </w:pPr>
            <w:r>
              <w:rPr>
                <w:rFonts w:hint="eastAsia" w:ascii="仿宋_GB2312" w:hAnsi="仿宋_GB2312" w:eastAsia="仿宋_GB2312" w:cs="仿宋_GB2312"/>
                <w:color w:val="auto"/>
                <w:sz w:val="24"/>
                <w:szCs w:val="24"/>
                <w:highlight w:val="none"/>
              </w:rPr>
              <w:t xml:space="preserve">日        期 </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9" w:hRule="atLeast"/>
        </w:trPr>
        <w:tc>
          <w:tcPr>
            <w:tcW w:w="9009" w:type="dxa"/>
            <w:tcBorders>
              <w:top w:val="single" w:color="auto" w:sz="4" w:space="0"/>
              <w:bottom w:val="single" w:color="000000" w:sz="6" w:space="0"/>
            </w:tcBorders>
          </w:tcPr>
          <w:p>
            <w:pPr>
              <w:snapToGrid w:val="0"/>
              <w:spacing w:line="420" w:lineRule="exact"/>
              <w:ind w:hanging="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审批意见：</w:t>
            </w:r>
          </w:p>
          <w:p>
            <w:pPr>
              <w:snapToGrid w:val="0"/>
              <w:spacing w:line="420" w:lineRule="exact"/>
              <w:ind w:hanging="6"/>
              <w:rPr>
                <w:rFonts w:hint="eastAsia" w:ascii="仿宋_GB2312" w:hAnsi="仿宋_GB2312" w:eastAsia="仿宋_GB2312" w:cs="仿宋_GB2312"/>
                <w:color w:val="auto"/>
                <w:sz w:val="24"/>
                <w:szCs w:val="24"/>
                <w:highlight w:val="none"/>
              </w:rPr>
            </w:pPr>
          </w:p>
          <w:p>
            <w:pPr>
              <w:snapToGrid w:val="0"/>
              <w:spacing w:line="420" w:lineRule="exact"/>
              <w:rPr>
                <w:rFonts w:hint="eastAsia" w:ascii="仿宋_GB2312" w:hAnsi="仿宋_GB2312" w:eastAsia="仿宋_GB2312" w:cs="仿宋_GB2312"/>
                <w:color w:val="auto"/>
                <w:sz w:val="24"/>
                <w:szCs w:val="24"/>
                <w:highlight w:val="none"/>
              </w:rPr>
            </w:pPr>
          </w:p>
          <w:p>
            <w:pPr>
              <w:snapToGrid w:val="0"/>
              <w:spacing w:line="420" w:lineRule="exact"/>
              <w:rPr>
                <w:rFonts w:hint="eastAsia" w:ascii="仿宋_GB2312" w:hAnsi="仿宋_GB2312" w:eastAsia="仿宋_GB2312" w:cs="仿宋_GB2312"/>
                <w:color w:val="auto"/>
                <w:sz w:val="24"/>
                <w:szCs w:val="24"/>
                <w:highlight w:val="none"/>
              </w:rPr>
            </w:pPr>
          </w:p>
          <w:p>
            <w:pPr>
              <w:snapToGrid w:val="0"/>
              <w:spacing w:line="420" w:lineRule="exact"/>
              <w:ind w:hanging="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pPr>
              <w:snapToGrid w:val="0"/>
              <w:spacing w:line="420" w:lineRule="exact"/>
              <w:ind w:hanging="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发包人（章）</w:t>
            </w:r>
          </w:p>
          <w:p>
            <w:pPr>
              <w:snapToGrid w:val="0"/>
              <w:spacing w:line="420" w:lineRule="exact"/>
              <w:ind w:hanging="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发包人代表</w:t>
            </w:r>
            <w:r>
              <w:rPr>
                <w:rFonts w:hint="eastAsia" w:ascii="仿宋_GB2312" w:hAnsi="仿宋_GB2312" w:eastAsia="仿宋_GB2312" w:cs="仿宋_GB2312"/>
                <w:b/>
                <w:bCs/>
                <w:color w:val="auto"/>
                <w:sz w:val="24"/>
                <w:szCs w:val="24"/>
                <w:highlight w:val="none"/>
                <w:u w:val="single"/>
              </w:rPr>
              <w:t xml:space="preserve">             </w:t>
            </w:r>
          </w:p>
          <w:p>
            <w:pPr>
              <w:snapToGrid w:val="0"/>
              <w:spacing w:line="420" w:lineRule="exact"/>
              <w:ind w:hanging="6"/>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日      期</w:t>
            </w:r>
            <w:r>
              <w:rPr>
                <w:rFonts w:hint="eastAsia" w:ascii="仿宋_GB2312" w:hAnsi="仿宋_GB2312" w:eastAsia="仿宋_GB2312" w:cs="仿宋_GB2312"/>
                <w:color w:val="auto"/>
                <w:sz w:val="24"/>
                <w:szCs w:val="24"/>
                <w:highlight w:val="none"/>
                <w:u w:val="single"/>
              </w:rPr>
              <w:t xml:space="preserve">             </w:t>
            </w:r>
          </w:p>
        </w:tc>
      </w:tr>
    </w:tbl>
    <w:p>
      <w:pPr>
        <w:spacing w:line="420" w:lineRule="exact"/>
        <w:ind w:left="1"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说明：本表一式四份，由监理人、发包人按合同规定程序填制，并连同工程造价咨询人（如有）、承包人各存一份。</w:t>
      </w:r>
    </w:p>
    <w:p>
      <w:pPr>
        <w:spacing w:line="420" w:lineRule="exact"/>
        <w:ind w:left="660" w:hanging="660" w:hangingChars="300"/>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85" w:name="_Toc469384157"/>
      <w:bookmarkStart w:id="786" w:name="_Toc10625001"/>
      <w:bookmarkStart w:id="787" w:name="_Toc266892942"/>
      <w:r>
        <w:rPr>
          <w:rFonts w:hint="eastAsia" w:ascii="黑体" w:hAnsi="黑体" w:eastAsia="黑体" w:cs="黑体"/>
          <w:b w:val="0"/>
          <w:bCs w:val="0"/>
          <w:color w:val="auto"/>
          <w:kern w:val="0"/>
          <w:sz w:val="24"/>
          <w:szCs w:val="24"/>
          <w:highlight w:val="none"/>
        </w:rPr>
        <w:t>格式1</w:t>
      </w:r>
      <w:bookmarkEnd w:id="785"/>
      <w:bookmarkEnd w:id="786"/>
      <w:bookmarkEnd w:id="787"/>
      <w:r>
        <w:rPr>
          <w:rFonts w:hint="eastAsia" w:ascii="黑体" w:hAnsi="黑体" w:eastAsia="黑体" w:cs="黑体"/>
          <w:b w:val="0"/>
          <w:bCs w:val="0"/>
          <w:color w:val="auto"/>
          <w:kern w:val="0"/>
          <w:sz w:val="24"/>
          <w:szCs w:val="24"/>
          <w:highlight w:val="none"/>
        </w:rPr>
        <w:t>5</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工程竣工验收申请报告</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9"/>
        <w:tblW w:w="8840"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6" w:hRule="atLeast"/>
        </w:trPr>
        <w:tc>
          <w:tcPr>
            <w:tcW w:w="8840" w:type="dxa"/>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（发包人全称）</w:t>
            </w:r>
          </w:p>
          <w:p>
            <w:pPr>
              <w:spacing w:line="420" w:lineRule="exact"/>
              <w:ind w:left="-3" w:firstLine="51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我方已按合同要求完成了</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工程,经自检合格，现提出工程竣工验收（内容详见附件），请予以验收。</w:t>
            </w:r>
          </w:p>
          <w:p>
            <w:pPr>
              <w:spacing w:line="420" w:lineRule="exact"/>
              <w:ind w:left="-3" w:firstLine="51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你方应该清楚，工程具备验收条件的，应按照合同约定期限完成竣工验收，否则将承担相应责任。</w:t>
            </w:r>
          </w:p>
          <w:p>
            <w:pPr>
              <w:spacing w:line="420" w:lineRule="exact"/>
              <w:ind w:left="-108" w:firstLine="51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附件: </w:t>
            </w:r>
          </w:p>
          <w:p>
            <w:pPr>
              <w:spacing w:line="420" w:lineRule="exact"/>
              <w:rPr>
                <w:rFonts w:hint="eastAsia" w:ascii="仿宋_GB2312" w:hAnsi="仿宋_GB2312" w:eastAsia="仿宋_GB2312" w:cs="仿宋_GB2312"/>
                <w:color w:val="auto"/>
                <w:sz w:val="24"/>
                <w:szCs w:val="24"/>
                <w:highlight w:val="none"/>
              </w:rPr>
            </w:pPr>
          </w:p>
          <w:p>
            <w:pPr>
              <w:spacing w:line="420" w:lineRule="exact"/>
              <w:ind w:firstLine="6288" w:firstLineChars="262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承包人（章）               </w:t>
            </w:r>
          </w:p>
          <w:p>
            <w:pPr>
              <w:tabs>
                <w:tab w:val="left" w:pos="7092"/>
              </w:tabs>
              <w:spacing w:line="420" w:lineRule="exact"/>
              <w:ind w:firstLine="63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63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16" w:hRule="atLeast"/>
        </w:trPr>
        <w:tc>
          <w:tcPr>
            <w:tcW w:w="8840" w:type="dxa"/>
            <w:tcBorders>
              <w:bottom w:val="nil"/>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审查意见：</w:t>
            </w:r>
          </w:p>
          <w:p>
            <w:pPr>
              <w:spacing w:line="420" w:lineRule="exact"/>
              <w:ind w:left="-28" w:firstLine="51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经初步验收，该工程</w:t>
            </w:r>
          </w:p>
          <w:p>
            <w:pPr>
              <w:spacing w:line="420" w:lineRule="exact"/>
              <w:ind w:firstLine="52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1.（□符合/□不符合）施工设计图纸要求；</w:t>
            </w:r>
          </w:p>
          <w:p>
            <w:pPr>
              <w:spacing w:line="420" w:lineRule="exact"/>
              <w:ind w:firstLine="52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2.（□符合/□不符合）施工合同要求；</w:t>
            </w:r>
          </w:p>
          <w:p>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3.（□符合/□不符合）竣工资料要求；</w:t>
            </w:r>
          </w:p>
          <w:p>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4.（□符合/□不符合）缺陷责任期返工工作清单和计划；</w:t>
            </w:r>
          </w:p>
          <w:p>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5.（□符合/□不符合）竣工验收资料清单。</w:t>
            </w:r>
          </w:p>
          <w:p>
            <w:pPr>
              <w:spacing w:line="420" w:lineRule="exact"/>
              <w:ind w:right="-56" w:hanging="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综上所述，该工程初步验收 （□合格/□不合格），（□可以/□不可以）组织正式验收。</w:t>
            </w:r>
          </w:p>
          <w:p>
            <w:pPr>
              <w:spacing w:line="420" w:lineRule="exact"/>
              <w:ind w:right="-56"/>
              <w:rPr>
                <w:rFonts w:hint="eastAsia" w:ascii="仿宋_GB2312" w:hAnsi="仿宋_GB2312" w:eastAsia="仿宋_GB2312" w:cs="仿宋_GB2312"/>
                <w:color w:val="auto"/>
                <w:sz w:val="24"/>
                <w:szCs w:val="24"/>
                <w:highlight w:val="none"/>
              </w:rPr>
            </w:pPr>
          </w:p>
          <w:p>
            <w:pPr>
              <w:spacing w:line="420" w:lineRule="exact"/>
              <w:ind w:right="-56"/>
              <w:rPr>
                <w:rFonts w:hint="eastAsia" w:ascii="仿宋_GB2312" w:hAnsi="仿宋_GB2312" w:eastAsia="仿宋_GB2312" w:cs="仿宋_GB2312"/>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34" w:hRule="atLeast"/>
        </w:trPr>
        <w:tc>
          <w:tcPr>
            <w:tcW w:w="8840" w:type="dxa"/>
            <w:tcBorders>
              <w:top w:val="nil"/>
            </w:tcBorders>
          </w:tcPr>
          <w:p>
            <w:pPr>
              <w:spacing w:line="420" w:lineRule="exact"/>
              <w:ind w:right="-56" w:firstLine="6295" w:firstLineChars="26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监理人（章）       </w:t>
            </w:r>
          </w:p>
          <w:p>
            <w:pPr>
              <w:spacing w:line="420" w:lineRule="exact"/>
              <w:ind w:right="-56" w:firstLine="6295" w:firstLineChars="26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pPr>
              <w:spacing w:line="420" w:lineRule="exact"/>
              <w:ind w:firstLine="6295" w:firstLineChars="26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pPr>
        <w:spacing w:line="420" w:lineRule="exact"/>
        <w:ind w:left="1078" w:leftChars="342" w:hanging="360" w:hanging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2．本表一式三份，由承包人、监理工程师按合同规定程序填制，并连同发包人各存一份。</w:t>
      </w:r>
    </w:p>
    <w:p>
      <w:pPr>
        <w:spacing w:line="420" w:lineRule="exact"/>
        <w:ind w:left="660" w:hanging="660" w:hangingChars="300"/>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88" w:name="_Toc10625002"/>
      <w:bookmarkStart w:id="789" w:name="_Toc266892943"/>
      <w:bookmarkStart w:id="790" w:name="_Toc469384158"/>
      <w:r>
        <w:rPr>
          <w:rFonts w:hint="eastAsia" w:ascii="黑体" w:hAnsi="黑体" w:eastAsia="黑体" w:cs="黑体"/>
          <w:b w:val="0"/>
          <w:bCs w:val="0"/>
          <w:color w:val="auto"/>
          <w:kern w:val="0"/>
          <w:sz w:val="24"/>
          <w:szCs w:val="24"/>
          <w:highlight w:val="none"/>
        </w:rPr>
        <w:t>格式1</w:t>
      </w:r>
      <w:bookmarkEnd w:id="788"/>
      <w:bookmarkEnd w:id="789"/>
      <w:bookmarkEnd w:id="790"/>
      <w:r>
        <w:rPr>
          <w:rFonts w:hint="eastAsia" w:ascii="黑体" w:hAnsi="黑体" w:eastAsia="黑体" w:cs="黑体"/>
          <w:b w:val="0"/>
          <w:bCs w:val="0"/>
          <w:color w:val="auto"/>
          <w:kern w:val="0"/>
          <w:sz w:val="24"/>
          <w:szCs w:val="24"/>
          <w:highlight w:val="none"/>
        </w:rPr>
        <w:t>6</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工程竣工验收记录</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9"/>
        <w:tblW w:w="9966" w:type="dxa"/>
        <w:tblInd w:w="-52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96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2" w:hRule="atLeast"/>
        </w:trPr>
        <w:tc>
          <w:tcPr>
            <w:tcW w:w="9966" w:type="dxa"/>
            <w:tcBorders>
              <w:bottom w:val="single" w:color="auto" w:sz="4" w:space="0"/>
            </w:tcBorders>
          </w:tcPr>
          <w:p>
            <w:pPr>
              <w:spacing w:before="120" w:line="420" w:lineRule="exact"/>
              <w:ind w:left="-27" w:leftChars="-13" w:firstLine="540" w:firstLineChars="22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（发包人全称）</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我方按合同要求参加了</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工程竣工验收,经参加验收各方共同验收，记录如下：</w:t>
            </w:r>
          </w:p>
          <w:tbl>
            <w:tblPr>
              <w:tblStyle w:val="19"/>
              <w:tblW w:w="95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183"/>
              <w:gridCol w:w="6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2183" w:type="dxa"/>
                  <w:tcBorders>
                    <w:top w:val="single" w:color="auto" w:sz="4" w:space="0"/>
                    <w:left w:val="single" w:color="auto" w:sz="4" w:space="0"/>
                    <w:bottom w:val="single" w:color="auto" w:sz="4" w:space="0"/>
                    <w:right w:val="single" w:color="auto" w:sz="4" w:space="0"/>
                  </w:tcBorders>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  目</w:t>
                  </w:r>
                </w:p>
              </w:tc>
              <w:tc>
                <w:tcPr>
                  <w:tcW w:w="6667" w:type="dxa"/>
                  <w:tcBorders>
                    <w:top w:val="single" w:color="auto" w:sz="4" w:space="0"/>
                    <w:left w:val="single" w:color="auto" w:sz="4" w:space="0"/>
                    <w:bottom w:val="single" w:color="auto" w:sz="4" w:space="0"/>
                    <w:right w:val="single" w:color="auto" w:sz="4" w:space="0"/>
                  </w:tcBorders>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验 收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2183"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分部分项</w:t>
                  </w:r>
                </w:p>
              </w:tc>
              <w:tc>
                <w:tcPr>
                  <w:tcW w:w="6667"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共    分部，经查  分部，符合标准与规范、设计要求  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2183"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质量控制资料核查</w:t>
                  </w:r>
                </w:p>
              </w:tc>
              <w:tc>
                <w:tcPr>
                  <w:tcW w:w="6667"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共   项，经核查符合要求  项，其中符合标准与规范要求  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2183"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安全和主要使用功能核查及抽查结果</w:t>
                  </w:r>
                </w:p>
              </w:tc>
              <w:tc>
                <w:tcPr>
                  <w:tcW w:w="6667"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共核查    项，符合要求  项；共抽查  项，符合要求  项；经返工处理符合要求  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183"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观感质量验收</w:t>
                  </w:r>
                </w:p>
              </w:tc>
              <w:tc>
                <w:tcPr>
                  <w:tcW w:w="6667" w:type="dxa"/>
                  <w:tcBorders>
                    <w:top w:val="single" w:color="auto" w:sz="4" w:space="0"/>
                    <w:left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共抽查    项，符合要求  项，不符合要求  项</w:t>
                  </w:r>
                </w:p>
              </w:tc>
            </w:tr>
          </w:tbl>
          <w:p>
            <w:pPr>
              <w:spacing w:line="420" w:lineRule="exact"/>
              <w:ind w:firstLine="6240" w:firstLineChars="2600"/>
              <w:rPr>
                <w:rFonts w:hint="eastAsia" w:ascii="仿宋_GB2312" w:hAnsi="仿宋_GB2312" w:eastAsia="仿宋_GB2312" w:cs="仿宋_GB2312"/>
                <w:color w:val="auto"/>
                <w:sz w:val="24"/>
                <w:szCs w:val="24"/>
                <w:highlight w:val="none"/>
              </w:rPr>
            </w:pPr>
          </w:p>
          <w:p>
            <w:pPr>
              <w:spacing w:line="420" w:lineRule="exact"/>
              <w:ind w:firstLine="6552" w:firstLineChars="273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发包人（章）               </w:t>
            </w:r>
          </w:p>
          <w:p>
            <w:pPr>
              <w:tabs>
                <w:tab w:val="left" w:pos="7092"/>
              </w:tabs>
              <w:spacing w:line="420" w:lineRule="exact"/>
              <w:ind w:firstLine="6552" w:firstLineChars="273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发包人代表</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6552" w:firstLineChars="273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4" w:hRule="atLeast"/>
        </w:trPr>
        <w:tc>
          <w:tcPr>
            <w:tcW w:w="9966" w:type="dxa"/>
            <w:tcBorders>
              <w:top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验收结论：</w:t>
            </w: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设计人（章）               监理人（章）              造价咨询人（如有）（章）</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建筑师/结构师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监理工程师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造价工程师</w:t>
            </w:r>
            <w:r>
              <w:rPr>
                <w:rFonts w:hint="eastAsia" w:ascii="仿宋_GB2312" w:hAnsi="仿宋_GB2312" w:eastAsia="仿宋_GB2312" w:cs="仿宋_GB2312"/>
                <w:color w:val="auto"/>
                <w:sz w:val="24"/>
                <w:szCs w:val="24"/>
                <w:highlight w:val="none"/>
                <w:u w:val="single"/>
              </w:rPr>
              <w:t xml:space="preserve">          </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日      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84" w:hRule="atLeast"/>
        </w:trPr>
        <w:tc>
          <w:tcPr>
            <w:tcW w:w="9966" w:type="dxa"/>
            <w:tcBorders>
              <w:top w:val="nil"/>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综合验收结论：</w:t>
            </w:r>
          </w:p>
          <w:p>
            <w:pPr>
              <w:spacing w:line="420" w:lineRule="exact"/>
              <w:ind w:firstLine="6240" w:firstLineChars="2600"/>
              <w:rPr>
                <w:rFonts w:hint="eastAsia" w:ascii="仿宋_GB2312" w:hAnsi="仿宋_GB2312" w:eastAsia="仿宋_GB2312" w:cs="仿宋_GB2312"/>
                <w:color w:val="auto"/>
                <w:sz w:val="24"/>
                <w:szCs w:val="24"/>
                <w:highlight w:val="none"/>
              </w:rPr>
            </w:pPr>
          </w:p>
          <w:p>
            <w:pPr>
              <w:spacing w:line="420" w:lineRule="exact"/>
              <w:ind w:firstLine="6240" w:firstLineChars="26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发包人（章）               </w:t>
            </w:r>
          </w:p>
          <w:p>
            <w:pPr>
              <w:tabs>
                <w:tab w:val="left" w:pos="7092"/>
              </w:tabs>
              <w:spacing w:line="420" w:lineRule="exact"/>
              <w:ind w:firstLine="6240" w:firstLineChars="26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发包人代表</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6240" w:firstLineChars="26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pPr>
        <w:spacing w:line="420" w:lineRule="exact"/>
        <w:ind w:left="1081" w:leftChars="172" w:hanging="720" w:hanging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说明：1．表中验收记录由承包人填写，验收结论由监理人（发包人）填写。综合验收结论由参加验收各方共同商定，发包人填写，应对工程质量是否符合标准与规范、设计要求及总体质量作出评价。</w:t>
      </w:r>
    </w:p>
    <w:p>
      <w:pPr>
        <w:spacing w:line="420" w:lineRule="exact"/>
        <w:ind w:left="480" w:firstLine="600" w:firstLineChars="2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2.本表一式五份，由发包人、设计人、监理人、工程造价咨询人（如有）按和承包人各存一份。</w:t>
      </w:r>
    </w:p>
    <w:p>
      <w:pPr>
        <w:spacing w:before="120" w:beforeLines="50" w:after="120" w:afterLines="50"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91" w:name="_Toc469384159"/>
      <w:bookmarkStart w:id="792" w:name="_Toc266892944"/>
      <w:bookmarkStart w:id="793" w:name="_Toc10625003"/>
      <w:r>
        <w:rPr>
          <w:rFonts w:hint="eastAsia" w:ascii="黑体" w:hAnsi="黑体" w:eastAsia="黑体" w:cs="黑体"/>
          <w:b w:val="0"/>
          <w:bCs w:val="0"/>
          <w:color w:val="auto"/>
          <w:kern w:val="0"/>
          <w:sz w:val="24"/>
          <w:szCs w:val="24"/>
          <w:highlight w:val="none"/>
        </w:rPr>
        <w:t>格式1</w:t>
      </w:r>
      <w:bookmarkEnd w:id="791"/>
      <w:bookmarkEnd w:id="792"/>
      <w:bookmarkEnd w:id="793"/>
      <w:r>
        <w:rPr>
          <w:rFonts w:hint="eastAsia" w:ascii="黑体" w:hAnsi="黑体" w:eastAsia="黑体" w:cs="黑体"/>
          <w:b w:val="0"/>
          <w:bCs w:val="0"/>
          <w:color w:val="auto"/>
          <w:kern w:val="0"/>
          <w:sz w:val="24"/>
          <w:szCs w:val="24"/>
          <w:highlight w:val="none"/>
        </w:rPr>
        <w:t>7</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工程接收证书</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9"/>
        <w:tblW w:w="8953"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9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87" w:hRule="atLeast"/>
        </w:trPr>
        <w:tc>
          <w:tcPr>
            <w:tcW w:w="8953" w:type="dxa"/>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（监理人全称）</w:t>
            </w:r>
          </w:p>
          <w:p>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你方按照合同要求于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日提出鞠躬验收，净我方组织你方、设计人、监理人、工程造价咨询人（如有）共同验收，该工程验收合格，现予颁发工程接收证书，</w:t>
            </w:r>
          </w:p>
          <w:p>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按照合同约定，该工程实际竣工日期是</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w:t>
            </w:r>
          </w:p>
          <w:p>
            <w:pPr>
              <w:spacing w:line="420" w:lineRule="exact"/>
              <w:ind w:left="-28" w:firstLine="482"/>
              <w:rPr>
                <w:rFonts w:hint="eastAsia" w:ascii="仿宋_GB2312" w:hAnsi="仿宋_GB2312" w:eastAsia="仿宋_GB2312" w:cs="仿宋_GB2312"/>
                <w:color w:val="auto"/>
                <w:sz w:val="24"/>
                <w:szCs w:val="24"/>
                <w:highlight w:val="none"/>
              </w:rPr>
            </w:pPr>
          </w:p>
          <w:p>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我方颁发工程接收 证书，则标明自颁发之日起，由我方负责照管工程，但并不代表你方已完成施工合同赋予的一切义务和责任，你方仍应承担工程的质量缺陷和质量保修责任。</w:t>
            </w: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ind w:left="-28"/>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发 包 人（章）                 </w:t>
            </w:r>
          </w:p>
          <w:p>
            <w:pPr>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6012"/>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年     月    日</w:t>
            </w:r>
          </w:p>
        </w:tc>
      </w:tr>
    </w:tbl>
    <w:p>
      <w:pPr>
        <w:spacing w:line="420" w:lineRule="exact"/>
        <w:rPr>
          <w:rFonts w:ascii="宋体" w:hAnsi="宋体" w:cs="宋体"/>
          <w:color w:val="auto"/>
          <w:sz w:val="22"/>
          <w:szCs w:val="22"/>
          <w:highlight w:val="none"/>
        </w:rPr>
      </w:pPr>
      <w:r>
        <w:rPr>
          <w:rFonts w:hint="eastAsia" w:ascii="仿宋_GB2312" w:hAnsi="仿宋_GB2312" w:eastAsia="仿宋_GB2312" w:cs="仿宋_GB2312"/>
          <w:color w:val="auto"/>
          <w:sz w:val="24"/>
          <w:szCs w:val="24"/>
          <w:highlight w:val="none"/>
        </w:rPr>
        <w:t>说明：本表由发包人填制，承包人、发包人各存一份。</w:t>
      </w:r>
    </w:p>
    <w:p>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94" w:name="_Toc10625004"/>
      <w:bookmarkStart w:id="795" w:name="_Toc266892945"/>
      <w:bookmarkStart w:id="796" w:name="_Toc469384160"/>
      <w:r>
        <w:rPr>
          <w:rFonts w:hint="eastAsia" w:ascii="黑体" w:hAnsi="黑体" w:eastAsia="黑体" w:cs="黑体"/>
          <w:b w:val="0"/>
          <w:bCs w:val="0"/>
          <w:color w:val="auto"/>
          <w:kern w:val="0"/>
          <w:sz w:val="24"/>
          <w:szCs w:val="24"/>
          <w:highlight w:val="none"/>
        </w:rPr>
        <w:t>格式1</w:t>
      </w:r>
      <w:bookmarkEnd w:id="794"/>
      <w:bookmarkEnd w:id="795"/>
      <w:bookmarkEnd w:id="796"/>
      <w:r>
        <w:rPr>
          <w:rFonts w:hint="eastAsia" w:ascii="黑体" w:hAnsi="黑体" w:eastAsia="黑体" w:cs="黑体"/>
          <w:b w:val="0"/>
          <w:bCs w:val="0"/>
          <w:color w:val="auto"/>
          <w:kern w:val="0"/>
          <w:sz w:val="24"/>
          <w:szCs w:val="24"/>
          <w:highlight w:val="none"/>
        </w:rPr>
        <w:t>8</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暂列金额确认表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9"/>
        <w:tblW w:w="9432" w:type="dxa"/>
        <w:tblInd w:w="-3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2831"/>
        <w:gridCol w:w="1462"/>
        <w:gridCol w:w="1163"/>
        <w:gridCol w:w="1950"/>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2831"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项目名称</w:t>
            </w:r>
          </w:p>
        </w:tc>
        <w:tc>
          <w:tcPr>
            <w:tcW w:w="146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计量</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单位</w:t>
            </w: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暂列金额</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实际金额</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28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28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28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8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8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28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28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28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28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28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175" w:type="dxa"/>
            <w:gridSpan w:val="3"/>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  计</w:t>
            </w:r>
          </w:p>
        </w:tc>
        <w:tc>
          <w:tcPr>
            <w:tcW w:w="11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bl>
    <w:p>
      <w:pPr>
        <w:spacing w:line="420" w:lineRule="exact"/>
        <w:ind w:left="960" w:hanging="960" w:hanging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说明：1.本表由承包人填制，承包人应按照合同约定填报项目名称、实际金额，提交造价工程核实并由其报发包人确认后，列入合同价款内。</w:t>
      </w:r>
    </w:p>
    <w:p>
      <w:pPr>
        <w:numPr>
          <w:ilvl w:val="0"/>
          <w:numId w:val="0"/>
        </w:numPr>
        <w:spacing w:line="420" w:lineRule="exact"/>
        <w:ind w:left="899" w:leftChars="314" w:hanging="240" w:hanging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本表一式四份，发包人、监理人、工程造价咨询人（如有）、承包人各存一份。</w:t>
      </w:r>
      <w:r>
        <w:rPr>
          <w:rFonts w:hint="eastAsia" w:ascii="仿宋_GB2312" w:hAnsi="仿宋_GB2312" w:eastAsia="仿宋_GB2312" w:cs="仿宋_GB2312"/>
          <w:color w:val="auto"/>
          <w:sz w:val="24"/>
          <w:szCs w:val="24"/>
          <w:highlight w:val="none"/>
        </w:rPr>
        <w:br w:type="page"/>
      </w:r>
      <w:bookmarkStart w:id="797" w:name="_Toc266892946"/>
    </w:p>
    <w:p>
      <w:pPr>
        <w:numPr>
          <w:ilvl w:val="0"/>
          <w:numId w:val="0"/>
        </w:numPr>
        <w:spacing w:line="420" w:lineRule="exact"/>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格式</w:t>
      </w:r>
      <w:bookmarkEnd w:id="797"/>
      <w:r>
        <w:rPr>
          <w:rFonts w:hint="eastAsia" w:ascii="黑体" w:hAnsi="黑体" w:eastAsia="黑体" w:cs="黑体"/>
          <w:b w:val="0"/>
          <w:bCs w:val="0"/>
          <w:color w:val="auto"/>
          <w:kern w:val="0"/>
          <w:sz w:val="24"/>
          <w:szCs w:val="24"/>
          <w:highlight w:val="none"/>
        </w:rPr>
        <w:t>19</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计日工记录</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9"/>
        <w:tblW w:w="9487" w:type="dxa"/>
        <w:tblInd w:w="-2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550"/>
        <w:gridCol w:w="1050"/>
        <w:gridCol w:w="2050"/>
        <w:gridCol w:w="1284"/>
        <w:gridCol w:w="1252"/>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编号</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项目名称</w:t>
            </w: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单位</w:t>
            </w: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暂定数量</w:t>
            </w: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实际数量</w:t>
            </w: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综合单价</w:t>
            </w: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w:t>
            </w:r>
          </w:p>
        </w:tc>
        <w:tc>
          <w:tcPr>
            <w:tcW w:w="1550" w:type="dxa"/>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人工</w:t>
            </w: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017" w:type="dxa"/>
            <w:gridSpan w:val="5"/>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人工小计</w:t>
            </w: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w:t>
            </w:r>
          </w:p>
        </w:tc>
        <w:tc>
          <w:tcPr>
            <w:tcW w:w="1550" w:type="dxa"/>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材料</w:t>
            </w: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017" w:type="dxa"/>
            <w:gridSpan w:val="5"/>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材料小计</w:t>
            </w: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w:t>
            </w:r>
          </w:p>
        </w:tc>
        <w:tc>
          <w:tcPr>
            <w:tcW w:w="1550" w:type="dxa"/>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施工机械</w:t>
            </w: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1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017" w:type="dxa"/>
            <w:gridSpan w:val="5"/>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施工机械小计</w:t>
            </w: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017" w:type="dxa"/>
            <w:gridSpan w:val="5"/>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  计</w:t>
            </w:r>
          </w:p>
        </w:tc>
        <w:tc>
          <w:tcPr>
            <w:tcW w:w="125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bl>
    <w:p>
      <w:pPr>
        <w:spacing w:line="420" w:lineRule="exact"/>
        <w:ind w:left="1200" w:hanging="1200" w:hangingChars="5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说明：1.本表由承包人填制，承包人应按照合同约定填报实际数量，提交造价工</w:t>
      </w:r>
    </w:p>
    <w:p>
      <w:pPr>
        <w:spacing w:line="420" w:lineRule="exact"/>
        <w:ind w:left="1198" w:leftChars="456" w:hanging="240" w:hanging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程核实并由其报发包人确认后，列入合同价款内。</w:t>
      </w:r>
    </w:p>
    <w:p>
      <w:pPr>
        <w:spacing w:line="420" w:lineRule="exact"/>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2.本表一式四份，发包人、监理人、工程造价咨询人（如有）、承包人各存一份。</w:t>
      </w:r>
    </w:p>
    <w:p>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98" w:name="_Toc10625005"/>
      <w:bookmarkStart w:id="799" w:name="_Toc469384161"/>
      <w:bookmarkStart w:id="800" w:name="_Toc266892947"/>
      <w:r>
        <w:rPr>
          <w:rFonts w:hint="eastAsia" w:ascii="黑体" w:hAnsi="黑体" w:eastAsia="黑体" w:cs="黑体"/>
          <w:b w:val="0"/>
          <w:bCs w:val="0"/>
          <w:color w:val="auto"/>
          <w:kern w:val="0"/>
          <w:sz w:val="24"/>
          <w:szCs w:val="24"/>
          <w:highlight w:val="none"/>
        </w:rPr>
        <w:t>格式2</w:t>
      </w:r>
      <w:bookmarkEnd w:id="798"/>
      <w:bookmarkEnd w:id="799"/>
      <w:bookmarkEnd w:id="800"/>
      <w:r>
        <w:rPr>
          <w:rFonts w:hint="eastAsia" w:ascii="黑体" w:hAnsi="黑体" w:eastAsia="黑体" w:cs="黑体"/>
          <w:b w:val="0"/>
          <w:bCs w:val="0"/>
          <w:color w:val="auto"/>
          <w:kern w:val="0"/>
          <w:sz w:val="24"/>
          <w:szCs w:val="24"/>
          <w:highlight w:val="none"/>
        </w:rPr>
        <w:t>0</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材料/工程设备暂估价调整表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9"/>
        <w:tblW w:w="9300" w:type="dxa"/>
        <w:tblInd w:w="-4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3038"/>
        <w:gridCol w:w="1331"/>
        <w:gridCol w:w="1538"/>
        <w:gridCol w:w="1668"/>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材料设备名称、规格、型号</w:t>
            </w: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计量单位</w:t>
            </w: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暂估单价</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实际单价</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bl>
    <w:p>
      <w:pPr>
        <w:spacing w:line="420" w:lineRule="exact"/>
        <w:ind w:left="960" w:hanging="960" w:hanging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说明：1.本表由承包人填制，承包人应按照合同约定填报实际单价，提交造价工程核实并由其报发包人确认后，将该单价与暂估单价的差额以及相关费用列入合同价款内。</w:t>
      </w:r>
    </w:p>
    <w:p>
      <w:pPr>
        <w:spacing w:line="420" w:lineRule="exact"/>
        <w:ind w:left="958" w:leftChars="342" w:hanging="240" w:hanging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2.本表一式四份，发包人、监理人、工程造价咨询人（如有）、承包人各存一份。</w:t>
      </w:r>
    </w:p>
    <w:p>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801" w:name="_Toc266892948"/>
      <w:bookmarkStart w:id="802" w:name="_Toc10625006"/>
      <w:bookmarkStart w:id="803" w:name="_Toc469384162"/>
      <w:r>
        <w:rPr>
          <w:rFonts w:hint="eastAsia" w:ascii="黑体" w:hAnsi="黑体" w:eastAsia="黑体" w:cs="黑体"/>
          <w:b w:val="0"/>
          <w:bCs w:val="0"/>
          <w:color w:val="auto"/>
          <w:kern w:val="0"/>
          <w:sz w:val="24"/>
          <w:szCs w:val="24"/>
          <w:highlight w:val="none"/>
        </w:rPr>
        <w:t>格式2</w:t>
      </w:r>
      <w:bookmarkEnd w:id="801"/>
      <w:bookmarkEnd w:id="802"/>
      <w:bookmarkEnd w:id="803"/>
      <w:r>
        <w:rPr>
          <w:rFonts w:hint="eastAsia" w:ascii="黑体" w:hAnsi="黑体" w:eastAsia="黑体" w:cs="黑体"/>
          <w:b w:val="0"/>
          <w:bCs w:val="0"/>
          <w:color w:val="auto"/>
          <w:kern w:val="0"/>
          <w:sz w:val="24"/>
          <w:szCs w:val="24"/>
          <w:highlight w:val="none"/>
        </w:rPr>
        <w:t>1</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专业工程暂估价调整表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9"/>
        <w:tblW w:w="9694"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463"/>
        <w:gridCol w:w="3168"/>
        <w:gridCol w:w="1857"/>
        <w:gridCol w:w="1556"/>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工程内容</w:t>
            </w: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暂列金额</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实际金额</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437" w:type="dxa"/>
            <w:gridSpan w:val="3"/>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  计</w:t>
            </w:r>
          </w:p>
        </w:tc>
        <w:tc>
          <w:tcPr>
            <w:tcW w:w="1857"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bl>
    <w:p>
      <w:pPr>
        <w:spacing w:line="420" w:lineRule="exact"/>
        <w:ind w:left="960" w:hanging="960" w:hanging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说明：1.本表由承包人填制，承包人应按照合同约定填报实际数量，提交造价工程核实并由其报发包人确认后，将金额与暂估价金额以及相关费用列入合同价款内。</w:t>
      </w:r>
    </w:p>
    <w:p>
      <w:pPr>
        <w:spacing w:line="420" w:lineRule="exact"/>
        <w:ind w:left="958" w:leftChars="342" w:hanging="240" w:hanging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2.本表一式四份，发包人、监理人、工程造价咨询人（如有）、承包人各存一份。</w:t>
      </w:r>
    </w:p>
    <w:p>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804" w:name="_Toc10625007"/>
      <w:bookmarkStart w:id="805" w:name="_Toc266892949"/>
      <w:bookmarkStart w:id="806" w:name="_Toc469384163"/>
      <w:r>
        <w:rPr>
          <w:rFonts w:hint="eastAsia" w:ascii="黑体" w:hAnsi="黑体" w:eastAsia="黑体" w:cs="黑体"/>
          <w:b w:val="0"/>
          <w:bCs w:val="0"/>
          <w:color w:val="auto"/>
          <w:kern w:val="0"/>
          <w:sz w:val="24"/>
          <w:szCs w:val="24"/>
          <w:highlight w:val="none"/>
        </w:rPr>
        <w:t>格式2</w:t>
      </w:r>
      <w:bookmarkEnd w:id="804"/>
      <w:bookmarkEnd w:id="805"/>
      <w:bookmarkEnd w:id="806"/>
      <w:r>
        <w:rPr>
          <w:rFonts w:hint="eastAsia" w:ascii="黑体" w:hAnsi="黑体" w:eastAsia="黑体" w:cs="黑体"/>
          <w:b w:val="0"/>
          <w:bCs w:val="0"/>
          <w:color w:val="auto"/>
          <w:kern w:val="0"/>
          <w:sz w:val="24"/>
          <w:szCs w:val="24"/>
          <w:highlight w:val="none"/>
        </w:rPr>
        <w:t>2</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费用索赔申请表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9"/>
        <w:tblW w:w="9487" w:type="dxa"/>
        <w:tblInd w:w="-31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8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50" w:hRule="atLeast"/>
        </w:trPr>
        <w:tc>
          <w:tcPr>
            <w:tcW w:w="9487" w:type="dxa"/>
            <w:tcBorders>
              <w:bottom w:val="single" w:color="auto" w:sz="4" w:space="0"/>
            </w:tcBorders>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（工程造价咨询人全称） </w:t>
            </w:r>
          </w:p>
          <w:p>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根据施工合同第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条规定，由于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原因,我方要求索赔金额(大写)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(小写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元)，请予以批准。</w:t>
            </w:r>
          </w:p>
          <w:p>
            <w:pPr>
              <w:spacing w:line="420" w:lineRule="exact"/>
              <w:ind w:left="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１．费用索赔的详细理由和依据：</w:t>
            </w: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2．索赔金额的计算：</w:t>
            </w: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p>
          <w:p>
            <w:pPr>
              <w:spacing w:line="420" w:lineRule="exact"/>
              <w:ind w:left="-28" w:firstLine="45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3．证明材料：</w:t>
            </w:r>
          </w:p>
          <w:p>
            <w:pPr>
              <w:spacing w:line="420" w:lineRule="exact"/>
              <w:ind w:firstLine="480" w:firstLineChars="200"/>
              <w:rPr>
                <w:rFonts w:hint="eastAsia" w:ascii="仿宋_GB2312" w:hAnsi="仿宋_GB2312" w:eastAsia="仿宋_GB2312" w:cs="仿宋_GB2312"/>
                <w:color w:val="auto"/>
                <w:sz w:val="24"/>
                <w:szCs w:val="24"/>
                <w:highlight w:val="none"/>
              </w:rPr>
            </w:pP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pPr>
              <w:tabs>
                <w:tab w:val="left" w:pos="6912"/>
              </w:tabs>
              <w:spacing w:line="420" w:lineRule="exact"/>
              <w:ind w:firstLine="6372" w:firstLineChars="265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承包人（章）                </w:t>
            </w:r>
          </w:p>
          <w:p>
            <w:pPr>
              <w:spacing w:line="420" w:lineRule="exact"/>
              <w:ind w:firstLine="6372" w:firstLineChars="265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tabs>
                <w:tab w:val="left" w:pos="7272"/>
              </w:tabs>
              <w:spacing w:line="420" w:lineRule="exact"/>
              <w:ind w:firstLine="6372" w:firstLineChars="265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pPr>
        <w:spacing w:line="420" w:lineRule="exact"/>
        <w:ind w:left="720" w:hanging="720" w:hanging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说明：本表一式三份，由承包人填制,并连同发包人、工程造价咨询人（如有）各存一份。</w:t>
      </w:r>
    </w:p>
    <w:p>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807" w:name="_Toc10625008"/>
      <w:bookmarkStart w:id="808" w:name="_Toc469384164"/>
      <w:bookmarkStart w:id="809" w:name="_Toc266892950"/>
      <w:r>
        <w:rPr>
          <w:rFonts w:hint="eastAsia" w:ascii="黑体" w:hAnsi="黑体" w:eastAsia="黑体" w:cs="黑体"/>
          <w:b w:val="0"/>
          <w:bCs w:val="0"/>
          <w:color w:val="auto"/>
          <w:kern w:val="0"/>
          <w:sz w:val="24"/>
          <w:szCs w:val="24"/>
          <w:highlight w:val="none"/>
        </w:rPr>
        <w:t>格式2</w:t>
      </w:r>
      <w:bookmarkEnd w:id="807"/>
      <w:bookmarkEnd w:id="808"/>
      <w:bookmarkEnd w:id="809"/>
      <w:r>
        <w:rPr>
          <w:rFonts w:hint="eastAsia" w:ascii="黑体" w:hAnsi="黑体" w:eastAsia="黑体" w:cs="黑体"/>
          <w:b w:val="0"/>
          <w:bCs w:val="0"/>
          <w:color w:val="auto"/>
          <w:kern w:val="0"/>
          <w:sz w:val="24"/>
          <w:szCs w:val="24"/>
          <w:highlight w:val="none"/>
        </w:rPr>
        <w:t>3</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费用索赔审批表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9"/>
        <w:tblW w:w="9525" w:type="dxa"/>
        <w:tblInd w:w="-20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66" w:hRule="atLeast"/>
        </w:trPr>
        <w:tc>
          <w:tcPr>
            <w:tcW w:w="9525" w:type="dxa"/>
            <w:tcBorders>
              <w:bottom w:val="single" w:color="auto" w:sz="4" w:space="0"/>
            </w:tcBorders>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（承包人全称） </w:t>
            </w:r>
          </w:p>
          <w:p>
            <w:pPr>
              <w:spacing w:line="420" w:lineRule="exact"/>
              <w:ind w:left="-28" w:firstLine="482"/>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根据施工合同条款第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的规定，你方提出的工期索赔申请第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号,索赔费用：(大写)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(小写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元)，经我方审核：</w:t>
            </w:r>
          </w:p>
          <w:p>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□不同意此项索赔。</w:t>
            </w:r>
          </w:p>
          <w:p>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□同意此项索赔，金额(大写)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(小写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同意/不同意索赔说明理由：</w:t>
            </w:r>
          </w:p>
          <w:p>
            <w:pPr>
              <w:spacing w:line="420" w:lineRule="exact"/>
              <w:ind w:firstLine="480" w:firstLineChars="200"/>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p>
          <w:p>
            <w:pPr>
              <w:spacing w:line="420" w:lineRule="exact"/>
              <w:ind w:firstLine="480" w:firstLineChars="200"/>
              <w:rPr>
                <w:rFonts w:hint="eastAsia" w:ascii="仿宋_GB2312" w:hAnsi="仿宋_GB2312" w:eastAsia="仿宋_GB2312" w:cs="仿宋_GB2312"/>
                <w:color w:val="auto"/>
                <w:sz w:val="24"/>
                <w:szCs w:val="24"/>
                <w:highlight w:val="none"/>
              </w:rPr>
            </w:pPr>
          </w:p>
          <w:p>
            <w:pPr>
              <w:spacing w:line="420" w:lineRule="exact"/>
              <w:ind w:left="-108" w:firstLine="590"/>
              <w:rPr>
                <w:rFonts w:hint="eastAsia" w:ascii="仿宋_GB2312" w:hAnsi="仿宋_GB2312" w:eastAsia="仿宋_GB2312" w:cs="仿宋_GB2312"/>
                <w:color w:val="auto"/>
                <w:sz w:val="24"/>
                <w:szCs w:val="24"/>
                <w:highlight w:val="none"/>
              </w:rPr>
            </w:pPr>
          </w:p>
          <w:p>
            <w:pPr>
              <w:spacing w:line="420" w:lineRule="exact"/>
              <w:ind w:left="-108" w:firstLine="590"/>
              <w:rPr>
                <w:rFonts w:hint="eastAsia" w:ascii="仿宋_GB2312" w:hAnsi="仿宋_GB2312" w:eastAsia="仿宋_GB2312" w:cs="仿宋_GB2312"/>
                <w:color w:val="auto"/>
                <w:sz w:val="24"/>
                <w:szCs w:val="24"/>
                <w:highlight w:val="none"/>
              </w:rPr>
            </w:pPr>
          </w:p>
          <w:p>
            <w:pPr>
              <w:spacing w:line="420" w:lineRule="exact"/>
              <w:ind w:left="-108" w:firstLine="590"/>
              <w:rPr>
                <w:rFonts w:hint="eastAsia" w:ascii="仿宋_GB2312" w:hAnsi="仿宋_GB2312" w:eastAsia="仿宋_GB2312" w:cs="仿宋_GB2312"/>
                <w:color w:val="auto"/>
                <w:sz w:val="24"/>
                <w:szCs w:val="24"/>
                <w:highlight w:val="none"/>
              </w:rPr>
            </w:pPr>
          </w:p>
          <w:p>
            <w:pPr>
              <w:spacing w:line="420" w:lineRule="exact"/>
              <w:ind w:left="-108" w:firstLine="590"/>
              <w:rPr>
                <w:rFonts w:hint="eastAsia" w:ascii="仿宋_GB2312" w:hAnsi="仿宋_GB2312" w:eastAsia="仿宋_GB2312" w:cs="仿宋_GB2312"/>
                <w:color w:val="auto"/>
                <w:sz w:val="24"/>
                <w:szCs w:val="24"/>
                <w:highlight w:val="none"/>
              </w:rPr>
            </w:pPr>
          </w:p>
          <w:p>
            <w:pPr>
              <w:spacing w:line="420" w:lineRule="exact"/>
              <w:ind w:left="-108" w:firstLine="590"/>
              <w:rPr>
                <w:rFonts w:hint="eastAsia" w:ascii="仿宋_GB2312" w:hAnsi="仿宋_GB2312" w:eastAsia="仿宋_GB2312" w:cs="仿宋_GB2312"/>
                <w:color w:val="auto"/>
                <w:sz w:val="24"/>
                <w:szCs w:val="24"/>
                <w:highlight w:val="none"/>
              </w:rPr>
            </w:pPr>
          </w:p>
          <w:p>
            <w:pPr>
              <w:spacing w:line="420" w:lineRule="exact"/>
              <w:ind w:left="-108" w:firstLine="590"/>
              <w:rPr>
                <w:rFonts w:hint="eastAsia" w:ascii="仿宋_GB2312" w:hAnsi="仿宋_GB2312" w:eastAsia="仿宋_GB2312" w:cs="仿宋_GB2312"/>
                <w:color w:val="auto"/>
                <w:sz w:val="24"/>
                <w:szCs w:val="24"/>
                <w:highlight w:val="none"/>
              </w:rPr>
            </w:pPr>
          </w:p>
          <w:p>
            <w:pPr>
              <w:spacing w:line="420" w:lineRule="exact"/>
              <w:ind w:left="-108" w:firstLine="590"/>
              <w:rPr>
                <w:rFonts w:hint="eastAsia" w:ascii="仿宋_GB2312" w:hAnsi="仿宋_GB2312" w:eastAsia="仿宋_GB2312" w:cs="仿宋_GB2312"/>
                <w:color w:val="auto"/>
                <w:sz w:val="24"/>
                <w:szCs w:val="24"/>
                <w:highlight w:val="none"/>
              </w:rPr>
            </w:pPr>
          </w:p>
          <w:p>
            <w:pPr>
              <w:spacing w:line="420" w:lineRule="exact"/>
              <w:ind w:left="-108" w:firstLine="590"/>
              <w:rPr>
                <w:rFonts w:hint="eastAsia" w:ascii="仿宋_GB2312" w:hAnsi="仿宋_GB2312" w:eastAsia="仿宋_GB2312" w:cs="仿宋_GB2312"/>
                <w:color w:val="auto"/>
                <w:sz w:val="24"/>
                <w:szCs w:val="24"/>
                <w:highlight w:val="none"/>
              </w:rPr>
            </w:pPr>
          </w:p>
          <w:p>
            <w:pPr>
              <w:spacing w:line="420" w:lineRule="exact"/>
              <w:rPr>
                <w:rFonts w:hint="eastAsia" w:ascii="仿宋_GB2312" w:hAnsi="仿宋_GB2312" w:eastAsia="仿宋_GB2312" w:cs="仿宋_GB2312"/>
                <w:color w:val="auto"/>
                <w:sz w:val="24"/>
                <w:szCs w:val="24"/>
                <w:highlight w:val="none"/>
              </w:rPr>
            </w:pP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工程造价咨询人（如有）（章）                </w:t>
            </w:r>
          </w:p>
          <w:p>
            <w:pPr>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造价工程师</w:t>
            </w:r>
            <w:r>
              <w:rPr>
                <w:rFonts w:hint="eastAsia" w:ascii="仿宋_GB2312" w:hAnsi="仿宋_GB2312" w:eastAsia="仿宋_GB2312" w:cs="仿宋_GB2312"/>
                <w:color w:val="auto"/>
                <w:sz w:val="24"/>
                <w:szCs w:val="24"/>
                <w:highlight w:val="none"/>
                <w:u w:val="single"/>
              </w:rPr>
              <w:t xml:space="preserve">                </w:t>
            </w:r>
          </w:p>
          <w:p>
            <w:pPr>
              <w:tabs>
                <w:tab w:val="left" w:pos="7272"/>
              </w:tabs>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pPr>
        <w:spacing w:before="120" w:beforeLines="50" w:after="120" w:afterLines="50" w:line="420" w:lineRule="exact"/>
        <w:ind w:left="958" w:leftChars="342" w:hanging="240" w:hanging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2．本表一式三份，由承包人填制,并连同发包人、工程造价咨询人（如有）各存一份。</w:t>
      </w:r>
    </w:p>
    <w:p>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810" w:name="_Toc10625009"/>
      <w:bookmarkStart w:id="811" w:name="_Toc266892951"/>
      <w:bookmarkStart w:id="812" w:name="_Toc469384165"/>
      <w:r>
        <w:rPr>
          <w:rFonts w:hint="eastAsia" w:ascii="黑体" w:hAnsi="黑体" w:eastAsia="黑体" w:cs="黑体"/>
          <w:b w:val="0"/>
          <w:bCs w:val="0"/>
          <w:color w:val="auto"/>
          <w:kern w:val="0"/>
          <w:sz w:val="24"/>
          <w:szCs w:val="24"/>
          <w:highlight w:val="none"/>
        </w:rPr>
        <w:t>格式2</w:t>
      </w:r>
      <w:bookmarkEnd w:id="810"/>
      <w:bookmarkEnd w:id="811"/>
      <w:bookmarkEnd w:id="812"/>
      <w:r>
        <w:rPr>
          <w:rFonts w:hint="eastAsia" w:ascii="黑体" w:hAnsi="黑体" w:eastAsia="黑体" w:cs="黑体"/>
          <w:b w:val="0"/>
          <w:bCs w:val="0"/>
          <w:color w:val="auto"/>
          <w:kern w:val="0"/>
          <w:sz w:val="24"/>
          <w:szCs w:val="24"/>
          <w:highlight w:val="none"/>
        </w:rPr>
        <w:t>4</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已完工程款额报告</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9"/>
        <w:tblW w:w="9934" w:type="dxa"/>
        <w:tblInd w:w="-50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717"/>
        <w:gridCol w:w="62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28" w:hRule="atLeast"/>
        </w:trPr>
        <w:tc>
          <w:tcPr>
            <w:tcW w:w="9934" w:type="dxa"/>
            <w:gridSpan w:val="2"/>
            <w:tcBorders>
              <w:bottom w:val="single" w:color="auto" w:sz="4" w:space="0"/>
            </w:tcBorders>
          </w:tcPr>
          <w:p>
            <w:pPr>
              <w:spacing w:before="120"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（工程造价咨询人（如有）全称）</w:t>
            </w:r>
          </w:p>
          <w:p>
            <w:pPr>
              <w:spacing w:line="420" w:lineRule="exact"/>
              <w:ind w:left="-27" w:leftChars="-13"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期间,我方按照合同约定和监理工程师的指令，实际已完工程款额为（大写）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），累计已完工程款额（大写）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）。根据施工合同条款</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的规定，现提出已完工程款额报告，请予复核和确认。</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附：1. 已完工程款额明细表：</w:t>
            </w:r>
          </w:p>
          <w:p>
            <w:pPr>
              <w:spacing w:line="420" w:lineRule="exact"/>
              <w:ind w:left="-108" w:firstLine="59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证明材料：</w:t>
            </w: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承包人（章）                </w:t>
            </w:r>
          </w:p>
          <w:p>
            <w:pPr>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tabs>
                <w:tab w:val="left" w:pos="7272"/>
              </w:tabs>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31" w:hRule="atLeast"/>
        </w:trPr>
        <w:tc>
          <w:tcPr>
            <w:tcW w:w="3717" w:type="dxa"/>
            <w:tcBorders>
              <w:top w:val="single" w:color="auto" w:sz="4" w:space="0"/>
              <w:bottom w:val="single" w:color="auto" w:sz="4" w:space="0"/>
              <w:right w:val="single" w:color="auto" w:sz="4" w:space="0"/>
            </w:tcBorders>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复核意见：</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□与实际施工情况不相符，修改意见见附件；</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□与实际施工情况相符，具体金额由造价工程师复核。</w:t>
            </w:r>
          </w:p>
          <w:p>
            <w:pPr>
              <w:spacing w:line="420" w:lineRule="exact"/>
              <w:ind w:firstLine="480" w:firstLineChars="200"/>
              <w:rPr>
                <w:rFonts w:hint="eastAsia" w:ascii="仿宋_GB2312" w:hAnsi="仿宋_GB2312" w:eastAsia="仿宋_GB2312" w:cs="仿宋_GB2312"/>
                <w:color w:val="auto"/>
                <w:sz w:val="24"/>
                <w:szCs w:val="24"/>
                <w:highlight w:val="none"/>
              </w:rPr>
            </w:pPr>
          </w:p>
          <w:p>
            <w:pPr>
              <w:spacing w:line="420" w:lineRule="exact"/>
              <w:ind w:firstLine="1680" w:firstLineChars="7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监理人（章）   </w:t>
            </w:r>
          </w:p>
          <w:p>
            <w:pPr>
              <w:spacing w:line="420" w:lineRule="exact"/>
              <w:ind w:firstLine="1680" w:firstLineChars="7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1680" w:firstLineChars="7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c>
          <w:tcPr>
            <w:tcW w:w="6217" w:type="dxa"/>
            <w:tcBorders>
              <w:top w:val="single" w:color="auto" w:sz="4" w:space="0"/>
              <w:left w:val="single" w:color="auto" w:sz="4" w:space="0"/>
              <w:bottom w:val="single" w:color="auto" w:sz="4" w:space="0"/>
            </w:tcBorders>
          </w:tcPr>
          <w:p>
            <w:pPr>
              <w:widowControl/>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复核意见：</w:t>
            </w:r>
          </w:p>
          <w:p>
            <w:pPr>
              <w:widowControl/>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根据施工合同条款</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的规定，经复核你方提出的已完工程款额报告（第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号），截止</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日，实际已完工程款为（大写）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），累计已完工程款额（大写）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（小写：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pPr>
              <w:widowControl/>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附：已完工程款额明细复核表。</w:t>
            </w:r>
          </w:p>
          <w:p>
            <w:pPr>
              <w:spacing w:line="420" w:lineRule="exact"/>
              <w:ind w:firstLine="2380" w:firstLineChars="992"/>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工程造价咨询人（如有）（章）             </w:t>
            </w:r>
          </w:p>
          <w:p>
            <w:pPr>
              <w:spacing w:line="420" w:lineRule="exact"/>
              <w:ind w:left="2020" w:leftChars="962" w:firstLine="360" w:firstLineChars="15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造价工程师</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2380" w:firstLineChars="99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86" w:hRule="atLeast"/>
        </w:trPr>
        <w:tc>
          <w:tcPr>
            <w:tcW w:w="9934" w:type="dxa"/>
            <w:gridSpan w:val="2"/>
            <w:tcBorders>
              <w:top w:val="single" w:color="auto" w:sz="4" w:space="0"/>
            </w:tcBorders>
          </w:tcPr>
          <w:p>
            <w:pPr>
              <w:spacing w:line="420" w:lineRule="exact"/>
              <w:ind w:hanging="3"/>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确认意见：</w:t>
            </w:r>
          </w:p>
          <w:p>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□不同意/□同意。   </w:t>
            </w:r>
          </w:p>
          <w:p>
            <w:pPr>
              <w:spacing w:line="420" w:lineRule="exact"/>
              <w:ind w:firstLine="480" w:firstLineChars="2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发　包　人（章）</w:t>
            </w:r>
          </w:p>
          <w:p>
            <w:pPr>
              <w:spacing w:line="420" w:lineRule="exact"/>
              <w:ind w:firstLine="480" w:firstLineChars="2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发包人代表</w:t>
            </w:r>
            <w:r>
              <w:rPr>
                <w:rFonts w:hint="eastAsia" w:ascii="仿宋_GB2312" w:hAnsi="仿宋_GB2312" w:eastAsia="仿宋_GB2312" w:cs="仿宋_GB2312"/>
                <w:color w:val="auto"/>
                <w:sz w:val="24"/>
                <w:szCs w:val="24"/>
                <w:highlight w:val="none"/>
                <w:u w:val="single"/>
              </w:rPr>
              <w:t xml:space="preserve">                     </w:t>
            </w:r>
          </w:p>
          <w:p>
            <w:pPr>
              <w:spacing w:line="420" w:lineRule="exact"/>
              <w:ind w:firstLine="480" w:firstLineChars="2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日   　 期 </w:t>
            </w:r>
            <w:r>
              <w:rPr>
                <w:rFonts w:hint="eastAsia" w:ascii="仿宋_GB2312" w:hAnsi="仿宋_GB2312" w:eastAsia="仿宋_GB2312" w:cs="仿宋_GB2312"/>
                <w:color w:val="auto"/>
                <w:sz w:val="24"/>
                <w:szCs w:val="24"/>
                <w:highlight w:val="none"/>
                <w:u w:val="single"/>
              </w:rPr>
              <w:t xml:space="preserve">                     </w:t>
            </w:r>
          </w:p>
        </w:tc>
      </w:tr>
    </w:tbl>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pPr>
        <w:spacing w:line="420" w:lineRule="exact"/>
        <w:ind w:left="1078" w:leftChars="342" w:hanging="360" w:hangingChars="150"/>
        <w:rPr>
          <w:rFonts w:ascii="宋体" w:hAnsi="宋体" w:cs="宋体"/>
          <w:color w:val="auto"/>
          <w:sz w:val="22"/>
          <w:szCs w:val="22"/>
          <w:highlight w:val="none"/>
        </w:rPr>
      </w:pPr>
      <w:r>
        <w:rPr>
          <w:rFonts w:hint="eastAsia" w:ascii="仿宋_GB2312" w:hAnsi="仿宋_GB2312" w:eastAsia="仿宋_GB2312" w:cs="仿宋_GB2312"/>
          <w:color w:val="auto"/>
          <w:sz w:val="24"/>
          <w:szCs w:val="24"/>
          <w:highlight w:val="none"/>
        </w:rPr>
        <w:t>2、本表一式五份，由承包人、监理人、工程造价咨询人（如有）、发包人按合同规定程序填制，发包人存二份，其他各存一份。</w:t>
      </w:r>
    </w:p>
    <w:p>
      <w:pPr>
        <w:widowControl/>
        <w:spacing w:line="420" w:lineRule="exact"/>
        <w:jc w:val="left"/>
        <w:rPr>
          <w:rFonts w:ascii="宋体" w:hAnsi="宋体" w:cs="宋体"/>
          <w:color w:val="auto"/>
          <w:kern w:val="0"/>
          <w:sz w:val="22"/>
          <w:szCs w:val="22"/>
          <w:highlight w:val="none"/>
        </w:rPr>
        <w:sectPr>
          <w:endnotePr>
            <w:numFmt w:val="decimal"/>
          </w:endnotePr>
          <w:pgSz w:w="11905" w:h="16838"/>
          <w:pgMar w:top="1440" w:right="1800" w:bottom="1440" w:left="1800" w:header="0" w:footer="0" w:gutter="0"/>
          <w:cols w:space="0" w:num="1"/>
          <w:titlePg/>
          <w:rtlGutter w:val="0"/>
          <w:docGrid w:linePitch="0" w:charSpace="0"/>
        </w:sectPr>
      </w:pPr>
    </w:p>
    <w:p>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bookmarkStart w:id="813" w:name="_Toc10625010"/>
      <w:bookmarkStart w:id="814" w:name="_Toc266892952"/>
      <w:bookmarkStart w:id="815" w:name="_Toc469384166"/>
      <w:r>
        <w:rPr>
          <w:rFonts w:hint="eastAsia" w:ascii="黑体" w:hAnsi="黑体" w:eastAsia="黑体" w:cs="黑体"/>
          <w:b w:val="0"/>
          <w:bCs w:val="0"/>
          <w:color w:val="auto"/>
          <w:kern w:val="0"/>
          <w:sz w:val="24"/>
          <w:szCs w:val="24"/>
          <w:highlight w:val="none"/>
        </w:rPr>
        <w:t>格式2</w:t>
      </w:r>
      <w:bookmarkEnd w:id="813"/>
      <w:bookmarkEnd w:id="814"/>
      <w:bookmarkEnd w:id="815"/>
      <w:r>
        <w:rPr>
          <w:rFonts w:hint="eastAsia" w:ascii="黑体" w:hAnsi="黑体" w:eastAsia="黑体" w:cs="黑体"/>
          <w:b w:val="0"/>
          <w:bCs w:val="0"/>
          <w:color w:val="auto"/>
          <w:kern w:val="0"/>
          <w:sz w:val="24"/>
          <w:szCs w:val="24"/>
          <w:highlight w:val="none"/>
        </w:rPr>
        <w:t>5</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已完工程款额明细表</w:t>
      </w:r>
    </w:p>
    <w:p>
      <w:pPr>
        <w:spacing w:line="420" w:lineRule="exact"/>
        <w:ind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                                              编号：                       截止日期：</w:t>
      </w:r>
    </w:p>
    <w:tbl>
      <w:tblPr>
        <w:tblStyle w:val="19"/>
        <w:tblW w:w="14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923"/>
        <w:gridCol w:w="1639"/>
        <w:gridCol w:w="2550"/>
        <w:gridCol w:w="956"/>
        <w:gridCol w:w="859"/>
        <w:gridCol w:w="950"/>
        <w:gridCol w:w="860"/>
        <w:gridCol w:w="850"/>
        <w:gridCol w:w="865"/>
        <w:gridCol w:w="848"/>
        <w:gridCol w:w="892"/>
        <w:gridCol w:w="862"/>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741" w:type="dxa"/>
            <w:vMerge w:val="restart"/>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923" w:type="dxa"/>
            <w:vMerge w:val="restart"/>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编码</w:t>
            </w:r>
          </w:p>
        </w:tc>
        <w:tc>
          <w:tcPr>
            <w:tcW w:w="1639" w:type="dxa"/>
            <w:vMerge w:val="restart"/>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项目名称</w:t>
            </w:r>
          </w:p>
        </w:tc>
        <w:tc>
          <w:tcPr>
            <w:tcW w:w="2550" w:type="dxa"/>
            <w:vMerge w:val="restart"/>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单位</w:t>
            </w:r>
          </w:p>
        </w:tc>
        <w:tc>
          <w:tcPr>
            <w:tcW w:w="956" w:type="dxa"/>
            <w:vMerge w:val="restart"/>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清单</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工程量</w:t>
            </w:r>
          </w:p>
        </w:tc>
        <w:tc>
          <w:tcPr>
            <w:tcW w:w="2669" w:type="dxa"/>
            <w:gridSpan w:val="3"/>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项目单价（元）</w:t>
            </w:r>
          </w:p>
        </w:tc>
        <w:tc>
          <w:tcPr>
            <w:tcW w:w="1715" w:type="dxa"/>
            <w:gridSpan w:val="2"/>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上期末累计</w:t>
            </w:r>
          </w:p>
        </w:tc>
        <w:tc>
          <w:tcPr>
            <w:tcW w:w="1740" w:type="dxa"/>
            <w:gridSpan w:val="2"/>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w:t>
            </w:r>
          </w:p>
        </w:tc>
        <w:tc>
          <w:tcPr>
            <w:tcW w:w="1722" w:type="dxa"/>
            <w:gridSpan w:val="2"/>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本期末累计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741" w:type="dxa"/>
            <w:vMerge w:val="continue"/>
            <w:vAlign w:val="center"/>
          </w:tcPr>
          <w:p>
            <w:pPr>
              <w:widowControl/>
              <w:spacing w:line="420" w:lineRule="exact"/>
              <w:jc w:val="left"/>
              <w:rPr>
                <w:rFonts w:hint="eastAsia" w:ascii="仿宋_GB2312" w:hAnsi="仿宋_GB2312" w:eastAsia="仿宋_GB2312" w:cs="仿宋_GB2312"/>
                <w:color w:val="auto"/>
                <w:sz w:val="24"/>
                <w:szCs w:val="24"/>
                <w:highlight w:val="none"/>
              </w:rPr>
            </w:pPr>
          </w:p>
        </w:tc>
        <w:tc>
          <w:tcPr>
            <w:tcW w:w="923" w:type="dxa"/>
            <w:vMerge w:val="continue"/>
            <w:vAlign w:val="center"/>
          </w:tcPr>
          <w:p>
            <w:pPr>
              <w:widowControl/>
              <w:spacing w:line="420" w:lineRule="exact"/>
              <w:jc w:val="left"/>
              <w:rPr>
                <w:rFonts w:hint="eastAsia" w:ascii="仿宋_GB2312" w:hAnsi="仿宋_GB2312" w:eastAsia="仿宋_GB2312" w:cs="仿宋_GB2312"/>
                <w:color w:val="auto"/>
                <w:sz w:val="24"/>
                <w:szCs w:val="24"/>
                <w:highlight w:val="none"/>
              </w:rPr>
            </w:pPr>
          </w:p>
        </w:tc>
        <w:tc>
          <w:tcPr>
            <w:tcW w:w="1639" w:type="dxa"/>
            <w:vMerge w:val="continue"/>
            <w:vAlign w:val="center"/>
          </w:tcPr>
          <w:p>
            <w:pPr>
              <w:widowControl/>
              <w:spacing w:line="420" w:lineRule="exact"/>
              <w:jc w:val="left"/>
              <w:rPr>
                <w:rFonts w:hint="eastAsia" w:ascii="仿宋_GB2312" w:hAnsi="仿宋_GB2312" w:eastAsia="仿宋_GB2312" w:cs="仿宋_GB2312"/>
                <w:color w:val="auto"/>
                <w:sz w:val="24"/>
                <w:szCs w:val="24"/>
                <w:highlight w:val="none"/>
              </w:rPr>
            </w:pPr>
          </w:p>
        </w:tc>
        <w:tc>
          <w:tcPr>
            <w:tcW w:w="2550" w:type="dxa"/>
            <w:vMerge w:val="continue"/>
            <w:vAlign w:val="center"/>
          </w:tcPr>
          <w:p>
            <w:pPr>
              <w:widowControl/>
              <w:spacing w:line="420" w:lineRule="exact"/>
              <w:jc w:val="left"/>
              <w:rPr>
                <w:rFonts w:hint="eastAsia" w:ascii="仿宋_GB2312" w:hAnsi="仿宋_GB2312" w:eastAsia="仿宋_GB2312" w:cs="仿宋_GB2312"/>
                <w:color w:val="auto"/>
                <w:sz w:val="24"/>
                <w:szCs w:val="24"/>
                <w:highlight w:val="none"/>
              </w:rPr>
            </w:pPr>
          </w:p>
        </w:tc>
        <w:tc>
          <w:tcPr>
            <w:tcW w:w="956" w:type="dxa"/>
            <w:vMerge w:val="continue"/>
            <w:vAlign w:val="center"/>
          </w:tcPr>
          <w:p>
            <w:pPr>
              <w:widowControl/>
              <w:spacing w:line="420" w:lineRule="exact"/>
              <w:jc w:val="left"/>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综合</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单价</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规费和</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税金</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合计</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已完</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工程量</w:t>
            </w:r>
          </w:p>
        </w:tc>
        <w:tc>
          <w:tcPr>
            <w:tcW w:w="865"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合价</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完成</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工程量</w:t>
            </w: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合价</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已完</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工程量</w:t>
            </w:r>
          </w:p>
        </w:tc>
        <w:tc>
          <w:tcPr>
            <w:tcW w:w="860" w:type="dxa"/>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合价</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本页小计</w:t>
            </w: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合计</w:t>
            </w:r>
          </w:p>
        </w:tc>
        <w:tc>
          <w:tcPr>
            <w:tcW w:w="2550"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956"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5" w:type="dxa"/>
          </w:tcPr>
          <w:p>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pPr>
              <w:spacing w:line="420" w:lineRule="exact"/>
              <w:jc w:val="center"/>
              <w:rPr>
                <w:rFonts w:hint="eastAsia" w:ascii="仿宋_GB2312" w:hAnsi="仿宋_GB2312" w:eastAsia="仿宋_GB2312" w:cs="仿宋_GB2312"/>
                <w:color w:val="auto"/>
                <w:sz w:val="24"/>
                <w:szCs w:val="24"/>
                <w:highlight w:val="none"/>
              </w:rPr>
            </w:pPr>
          </w:p>
        </w:tc>
      </w:tr>
    </w:tbl>
    <w:p>
      <w:pPr>
        <w:spacing w:line="420" w:lineRule="exact"/>
        <w:ind w:firstLine="240" w:firstLineChars="100"/>
        <w:rPr>
          <w:rFonts w:ascii="宋体" w:hAnsi="宋体" w:cs="宋体"/>
          <w:color w:val="auto"/>
          <w:kern w:val="0"/>
          <w:sz w:val="22"/>
          <w:szCs w:val="22"/>
          <w:highlight w:val="none"/>
        </w:rPr>
        <w:sectPr>
          <w:endnotePr>
            <w:numFmt w:val="decimal"/>
          </w:endnotePr>
          <w:pgSz w:w="16838" w:h="11905" w:orient="landscape"/>
          <w:pgMar w:top="1440" w:right="1800" w:bottom="1440" w:left="1800" w:header="0" w:footer="0" w:gutter="0"/>
          <w:cols w:space="0" w:num="1"/>
          <w:titlePg/>
          <w:rtlGutter w:val="0"/>
          <w:docGrid w:linePitch="0" w:charSpace="0"/>
        </w:sectPr>
      </w:pPr>
      <w:r>
        <w:rPr>
          <w:rFonts w:hint="eastAsia" w:ascii="仿宋_GB2312" w:hAnsi="仿宋_GB2312" w:eastAsia="仿宋_GB2312" w:cs="仿宋_GB2312"/>
          <w:color w:val="auto"/>
          <w:sz w:val="24"/>
          <w:szCs w:val="24"/>
          <w:highlight w:val="none"/>
        </w:rPr>
        <w:t>编制：                     复核：                     承包人代表：                 日  期：     年   　月   日</w:t>
      </w:r>
    </w:p>
    <w:p>
      <w:pPr>
        <w:spacing w:line="240" w:lineRule="auto"/>
        <w:ind w:firstLine="0" w:firstLineChars="0"/>
        <w:outlineLvl w:val="1"/>
        <w:rPr>
          <w:rFonts w:hint="eastAsia" w:ascii="黑体" w:hAnsi="黑体" w:eastAsia="黑体" w:cs="黑体"/>
          <w:b w:val="0"/>
          <w:bCs w:val="0"/>
          <w:color w:val="auto"/>
          <w:kern w:val="0"/>
          <w:sz w:val="24"/>
          <w:szCs w:val="24"/>
          <w:highlight w:val="none"/>
        </w:rPr>
      </w:pPr>
      <w:bookmarkStart w:id="816" w:name="_Toc469384167"/>
      <w:bookmarkStart w:id="817" w:name="_Toc266892953"/>
      <w:bookmarkStart w:id="818" w:name="_Toc10625011"/>
      <w:r>
        <w:rPr>
          <w:rFonts w:hint="eastAsia" w:ascii="黑体" w:hAnsi="黑体" w:eastAsia="黑体" w:cs="黑体"/>
          <w:b w:val="0"/>
          <w:bCs w:val="0"/>
          <w:color w:val="auto"/>
          <w:kern w:val="0"/>
          <w:sz w:val="24"/>
          <w:szCs w:val="24"/>
          <w:highlight w:val="none"/>
        </w:rPr>
        <w:t>格式2</w:t>
      </w:r>
      <w:bookmarkEnd w:id="816"/>
      <w:bookmarkEnd w:id="817"/>
      <w:bookmarkEnd w:id="818"/>
      <w:r>
        <w:rPr>
          <w:rFonts w:hint="eastAsia" w:ascii="黑体" w:hAnsi="黑体" w:eastAsia="黑体" w:cs="黑体"/>
          <w:b w:val="0"/>
          <w:bCs w:val="0"/>
          <w:color w:val="auto"/>
          <w:kern w:val="0"/>
          <w:sz w:val="24"/>
          <w:szCs w:val="24"/>
          <w:highlight w:val="none"/>
        </w:rPr>
        <w:t>6</w:t>
      </w:r>
    </w:p>
    <w:p>
      <w:pPr>
        <w:spacing w:line="420" w:lineRule="exact"/>
        <w:jc w:val="center"/>
        <w:rPr>
          <w:rFonts w:ascii="宋体" w:hAnsi="宋体" w:cs="宋体"/>
          <w:b/>
          <w:bCs/>
          <w:color w:val="auto"/>
          <w:spacing w:val="30"/>
          <w:sz w:val="22"/>
          <w:szCs w:val="22"/>
          <w:highlight w:val="none"/>
        </w:rPr>
      </w:pPr>
      <w:r>
        <w:rPr>
          <w:rFonts w:hint="eastAsia" w:ascii="方正小标宋简体" w:hAnsi="方正小标宋简体" w:eastAsia="方正小标宋简体" w:cs="方正小标宋简体"/>
          <w:b w:val="0"/>
          <w:bCs w:val="0"/>
          <w:color w:val="auto"/>
          <w:spacing w:val="40"/>
          <w:sz w:val="32"/>
          <w:szCs w:val="32"/>
          <w:highlight w:val="none"/>
        </w:rPr>
        <w:t>支付申请</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9"/>
        <w:tblW w:w="10216" w:type="dxa"/>
        <w:tblInd w:w="-68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2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29" w:hRule="atLeast"/>
        </w:trPr>
        <w:tc>
          <w:tcPr>
            <w:tcW w:w="10216" w:type="dxa"/>
            <w:tcBorders>
              <w:bottom w:val="single" w:color="auto" w:sz="4" w:space="0"/>
            </w:tcBorders>
          </w:tcPr>
          <w:p>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（工程造价咨询人（如有）全称）</w:t>
            </w:r>
          </w:p>
          <w:p>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期间已完成了</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工作，根据施工合同条款</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的规定，现申请支付本期的工程款额为（大写）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），请予以复核和确认，并在支付证书签发后按合同规定时间内支付。</w:t>
            </w:r>
          </w:p>
          <w:p>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具体细目如下：</w:t>
            </w:r>
          </w:p>
          <w:tbl>
            <w:tblPr>
              <w:tblStyle w:val="19"/>
              <w:tblW w:w="10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4662"/>
              <w:gridCol w:w="1533"/>
              <w:gridCol w:w="3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名           称</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金 额（元）</w:t>
                  </w: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累计已完工程价款</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累计已实际支付的工程价款</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本期间已完工程价款</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本期间完成的零星工作项目价款</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本期间应支付的预留金价款</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本期间应支付的工程变更价款</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根据第66条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本期间应支付的安全防护、文明施工措施费</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根据第68条至第 76 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物价和后继法律法规的调整价款</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根据第79条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本期间应扣除的误期赔偿费</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根据第80条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本期间应扣回的预付款</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根据第84条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本期间应扣留的质量保证金</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本期间应支付或扣回（留）的其他款项</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4662"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本期间应支付的工程价款</w:t>
                  </w:r>
                </w:p>
              </w:tc>
              <w:tc>
                <w:tcPr>
                  <w:tcW w:w="153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bl>
          <w:p>
            <w:pPr>
              <w:tabs>
                <w:tab w:val="left" w:pos="6912"/>
              </w:tabs>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w:t>
            </w:r>
          </w:p>
          <w:p>
            <w:pPr>
              <w:tabs>
                <w:tab w:val="left" w:pos="6912"/>
              </w:tabs>
              <w:spacing w:line="420" w:lineRule="exact"/>
              <w:ind w:left="4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有关证明资料；</w:t>
            </w:r>
          </w:p>
          <w:p>
            <w:pPr>
              <w:tabs>
                <w:tab w:val="left" w:pos="6912"/>
              </w:tabs>
              <w:spacing w:line="420" w:lineRule="exact"/>
              <w:ind w:left="4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计算过程及说明。</w:t>
            </w:r>
          </w:p>
          <w:p>
            <w:pPr>
              <w:tabs>
                <w:tab w:val="left" w:pos="6912"/>
              </w:tabs>
              <w:spacing w:line="420" w:lineRule="exact"/>
              <w:ind w:firstLine="6720" w:firstLineChars="2800"/>
              <w:rPr>
                <w:rFonts w:hint="eastAsia" w:ascii="仿宋_GB2312" w:hAnsi="仿宋_GB2312" w:eastAsia="仿宋_GB2312" w:cs="仿宋_GB2312"/>
                <w:color w:val="auto"/>
                <w:sz w:val="24"/>
                <w:szCs w:val="24"/>
                <w:highlight w:val="none"/>
              </w:rPr>
            </w:pPr>
          </w:p>
          <w:p>
            <w:pPr>
              <w:tabs>
                <w:tab w:val="left" w:pos="6912"/>
              </w:tabs>
              <w:spacing w:line="420" w:lineRule="exact"/>
              <w:ind w:firstLine="6720" w:firstLineChars="28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　包　人（章）</w:t>
            </w:r>
          </w:p>
          <w:p>
            <w:pPr>
              <w:spacing w:line="420" w:lineRule="exact"/>
              <w:ind w:firstLine="6720" w:firstLineChars="28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pPr>
              <w:tabs>
                <w:tab w:val="left" w:pos="7272"/>
              </w:tabs>
              <w:spacing w:line="420" w:lineRule="exact"/>
              <w:ind w:left="6730" w:leftChars="320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pPr>
        <w:widowControl w:val="0"/>
        <w:adjustRightInd w:val="0"/>
        <w:snapToGrid w:val="0"/>
        <w:spacing w:line="420" w:lineRule="exact"/>
        <w:ind w:left="660" w:hanging="720" w:hangingChars="3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说明：本表一式五份，由承包人填制，承包人、监理单位和造价咨询单位各存一份，发包人存二份。</w:t>
      </w:r>
    </w:p>
    <w:p>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819" w:name="_Toc266892954"/>
      <w:bookmarkStart w:id="820" w:name="_Toc10625012"/>
      <w:bookmarkStart w:id="821" w:name="_Toc469384168"/>
      <w:r>
        <w:rPr>
          <w:rFonts w:hint="eastAsia" w:ascii="黑体" w:hAnsi="黑体" w:eastAsia="黑体" w:cs="黑体"/>
          <w:b w:val="0"/>
          <w:bCs w:val="0"/>
          <w:color w:val="auto"/>
          <w:kern w:val="0"/>
          <w:sz w:val="24"/>
          <w:szCs w:val="24"/>
          <w:highlight w:val="none"/>
        </w:rPr>
        <w:t>格式2</w:t>
      </w:r>
      <w:bookmarkEnd w:id="819"/>
      <w:bookmarkEnd w:id="820"/>
      <w:bookmarkEnd w:id="821"/>
      <w:r>
        <w:rPr>
          <w:rFonts w:hint="eastAsia" w:ascii="黑体" w:hAnsi="黑体" w:eastAsia="黑体" w:cs="黑体"/>
          <w:b w:val="0"/>
          <w:bCs w:val="0"/>
          <w:color w:val="auto"/>
          <w:kern w:val="0"/>
          <w:sz w:val="24"/>
          <w:szCs w:val="24"/>
          <w:highlight w:val="none"/>
        </w:rPr>
        <w:t>7</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支付证书</w:t>
      </w:r>
    </w:p>
    <w:p>
      <w:pPr>
        <w:spacing w:line="420" w:lineRule="exact"/>
        <w:ind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9"/>
        <w:tblW w:w="9694" w:type="dxa"/>
        <w:tblInd w:w="-38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18" w:hRule="atLeast"/>
        </w:trPr>
        <w:tc>
          <w:tcPr>
            <w:tcW w:w="9694" w:type="dxa"/>
            <w:tcBorders>
              <w:bottom w:val="single" w:color="auto" w:sz="4" w:space="0"/>
            </w:tcBorders>
          </w:tcPr>
          <w:p>
            <w:pPr>
              <w:spacing w:before="120" w:line="30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（发包人全称）</w:t>
            </w:r>
          </w:p>
          <w:p>
            <w:pPr>
              <w:spacing w:line="30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根据施工合同条款</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的规定，经核实承包人提出的已完工程款额报告（编号   　 ）和支付申请报告（编号      　），于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期间,同意本期间支付工程款（大写）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）。请按合同规定时间内向承包人支付工程价款。其中：</w:t>
            </w:r>
          </w:p>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１．承包人申报款为：</w:t>
            </w:r>
          </w:p>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２．经复核承包人应得款为：</w:t>
            </w:r>
          </w:p>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３．本期应扣款为：</w:t>
            </w:r>
          </w:p>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４．本期应付款为：</w:t>
            </w:r>
          </w:p>
          <w:tbl>
            <w:tblPr>
              <w:tblStyle w:val="19"/>
              <w:tblpPr w:leftFromText="180" w:rightFromText="180" w:vertAnchor="text" w:horzAnchor="page" w:tblpX="343" w:tblpY="267"/>
              <w:tblOverlap w:val="never"/>
              <w:tblW w:w="9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4256"/>
              <w:gridCol w:w="1932"/>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名           称</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金 额（元）</w:t>
                  </w: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累计已完工程价款</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累计已实际支付的工程价款</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本期间已完工程价款</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本期间完成的零星工作项目价款</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本期间应支付的预留金价款</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本期间应支付的工程变更价款</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根据第66条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本期间应支付的安全防护、文明施工措施费</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根据第68条至第 76 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物价和后继法律法规的调整价款</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根据第79条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本期间应扣除的误期赔偿费</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根据第80条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本期间应扣回的预付款</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根据第84条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本期间应扣留的质量保证金</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本期间应支付或扣回（留）的其他款项</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exact"/>
              </w:trPr>
              <w:tc>
                <w:tcPr>
                  <w:tcW w:w="98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4256"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本期间应支付的工程价款</w:t>
                  </w:r>
                </w:p>
              </w:tc>
              <w:tc>
                <w:tcPr>
                  <w:tcW w:w="1932"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仿宋_GB2312" w:hAnsi="仿宋_GB2312" w:eastAsia="仿宋_GB2312" w:cs="仿宋_GB2312"/>
                      <w:color w:val="auto"/>
                      <w:sz w:val="24"/>
                      <w:szCs w:val="24"/>
                      <w:highlight w:val="none"/>
                    </w:rPr>
                  </w:pPr>
                </w:p>
              </w:tc>
            </w:tr>
          </w:tbl>
          <w:p>
            <w:pPr>
              <w:spacing w:line="30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具体细目如下：</w:t>
            </w:r>
          </w:p>
          <w:p>
            <w:pPr>
              <w:tabs>
                <w:tab w:val="left" w:pos="6912"/>
              </w:tabs>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附：1. 已完工程款额明细审核表</w:t>
            </w:r>
          </w:p>
          <w:p>
            <w:pPr>
              <w:tabs>
                <w:tab w:val="left" w:pos="6912"/>
              </w:tabs>
              <w:spacing w:line="420" w:lineRule="exact"/>
              <w:ind w:left="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相关记录</w:t>
            </w:r>
          </w:p>
          <w:p>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工程造价咨询人（如有）（章）                </w:t>
            </w:r>
          </w:p>
          <w:p>
            <w:pPr>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造价工程师</w:t>
            </w:r>
            <w:r>
              <w:rPr>
                <w:rFonts w:hint="eastAsia" w:ascii="仿宋_GB2312" w:hAnsi="仿宋_GB2312" w:eastAsia="仿宋_GB2312" w:cs="仿宋_GB2312"/>
                <w:color w:val="auto"/>
                <w:sz w:val="24"/>
                <w:szCs w:val="24"/>
                <w:highlight w:val="none"/>
                <w:u w:val="single"/>
              </w:rPr>
              <w:t xml:space="preserve">               </w:t>
            </w:r>
          </w:p>
          <w:p>
            <w:pPr>
              <w:tabs>
                <w:tab w:val="left" w:pos="7272"/>
              </w:tabs>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pPr>
        <w:widowControl w:val="0"/>
        <w:adjustRightInd w:val="0"/>
        <w:snapToGrid w:val="0"/>
        <w:spacing w:line="420" w:lineRule="exact"/>
        <w:ind w:left="719" w:leftChars="114" w:hanging="480" w:hanging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说明：本表一式四份，由造价咨询单位填制，抄送承包人。发包人、监理人、工程造价咨询人（如有）和承包人各存一份。</w:t>
      </w:r>
    </w:p>
    <w:p>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822" w:name="_Toc10625013"/>
      <w:bookmarkStart w:id="823" w:name="_Toc266892955"/>
      <w:bookmarkStart w:id="824" w:name="_Toc469384169"/>
      <w:r>
        <w:rPr>
          <w:rFonts w:hint="eastAsia" w:ascii="黑体" w:hAnsi="黑体" w:eastAsia="黑体" w:cs="黑体"/>
          <w:b w:val="0"/>
          <w:bCs w:val="0"/>
          <w:color w:val="auto"/>
          <w:kern w:val="0"/>
          <w:sz w:val="24"/>
          <w:szCs w:val="24"/>
          <w:highlight w:val="none"/>
        </w:rPr>
        <w:t>格式2</w:t>
      </w:r>
      <w:bookmarkEnd w:id="822"/>
      <w:bookmarkEnd w:id="823"/>
      <w:bookmarkEnd w:id="824"/>
      <w:r>
        <w:rPr>
          <w:rFonts w:hint="eastAsia" w:ascii="黑体" w:hAnsi="黑体" w:eastAsia="黑体" w:cs="黑体"/>
          <w:b w:val="0"/>
          <w:bCs w:val="0"/>
          <w:color w:val="auto"/>
          <w:kern w:val="0"/>
          <w:sz w:val="24"/>
          <w:szCs w:val="24"/>
          <w:highlight w:val="none"/>
        </w:rPr>
        <w:t>8</w:t>
      </w:r>
    </w:p>
    <w:p>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支付统计表</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                         编号：</w:t>
      </w:r>
    </w:p>
    <w:tbl>
      <w:tblPr>
        <w:tblStyle w:val="19"/>
        <w:tblW w:w="9844" w:type="dxa"/>
        <w:tblInd w:w="-4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881"/>
        <w:gridCol w:w="825"/>
        <w:gridCol w:w="1069"/>
        <w:gridCol w:w="1012"/>
        <w:gridCol w:w="1313"/>
        <w:gridCol w:w="1068"/>
        <w:gridCol w:w="657"/>
        <w:gridCol w:w="1481"/>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atLeast"/>
        </w:trPr>
        <w:tc>
          <w:tcPr>
            <w:tcW w:w="657" w:type="dxa"/>
            <w:vMerge w:val="restart"/>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881" w:type="dxa"/>
            <w:vMerge w:val="restart"/>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支付证书编号</w:t>
            </w:r>
          </w:p>
        </w:tc>
        <w:tc>
          <w:tcPr>
            <w:tcW w:w="1894" w:type="dxa"/>
            <w:gridSpan w:val="2"/>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对应支付期间</w:t>
            </w:r>
          </w:p>
        </w:tc>
        <w:tc>
          <w:tcPr>
            <w:tcW w:w="2325" w:type="dxa"/>
            <w:gridSpan w:val="2"/>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期间已完工程</w:t>
            </w:r>
          </w:p>
        </w:tc>
        <w:tc>
          <w:tcPr>
            <w:tcW w:w="1725" w:type="dxa"/>
            <w:gridSpan w:val="2"/>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期间实际支付</w:t>
            </w:r>
          </w:p>
        </w:tc>
        <w:tc>
          <w:tcPr>
            <w:tcW w:w="1481" w:type="dxa"/>
            <w:vMerge w:val="restart"/>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已扣留的</w:t>
            </w:r>
          </w:p>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质量保证金（元）</w:t>
            </w:r>
          </w:p>
        </w:tc>
        <w:tc>
          <w:tcPr>
            <w:tcW w:w="881" w:type="dxa"/>
            <w:vMerge w:val="restart"/>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trPr>
        <w:tc>
          <w:tcPr>
            <w:tcW w:w="657" w:type="dxa"/>
            <w:vMerge w:val="continue"/>
            <w:vAlign w:val="center"/>
          </w:tcPr>
          <w:p>
            <w:pPr>
              <w:widowControl/>
              <w:spacing w:line="420" w:lineRule="exact"/>
              <w:jc w:val="left"/>
              <w:rPr>
                <w:rFonts w:hint="eastAsia" w:ascii="仿宋_GB2312" w:hAnsi="仿宋_GB2312" w:eastAsia="仿宋_GB2312" w:cs="仿宋_GB2312"/>
                <w:color w:val="auto"/>
                <w:sz w:val="24"/>
                <w:szCs w:val="24"/>
                <w:highlight w:val="none"/>
              </w:rPr>
            </w:pPr>
          </w:p>
        </w:tc>
        <w:tc>
          <w:tcPr>
            <w:tcW w:w="881" w:type="dxa"/>
            <w:vMerge w:val="continue"/>
            <w:vAlign w:val="center"/>
          </w:tcPr>
          <w:p>
            <w:pPr>
              <w:widowControl/>
              <w:spacing w:line="420" w:lineRule="exact"/>
              <w:jc w:val="left"/>
              <w:rPr>
                <w:rFonts w:hint="eastAsia" w:ascii="仿宋_GB2312" w:hAnsi="仿宋_GB2312" w:eastAsia="仿宋_GB2312" w:cs="仿宋_GB2312"/>
                <w:color w:val="auto"/>
                <w:sz w:val="24"/>
                <w:szCs w:val="24"/>
                <w:highlight w:val="none"/>
              </w:rPr>
            </w:pPr>
          </w:p>
        </w:tc>
        <w:tc>
          <w:tcPr>
            <w:tcW w:w="825"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开始日</w:t>
            </w:r>
          </w:p>
        </w:tc>
        <w:tc>
          <w:tcPr>
            <w:tcW w:w="1069"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截止日</w:t>
            </w:r>
          </w:p>
        </w:tc>
        <w:tc>
          <w:tcPr>
            <w:tcW w:w="1012"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金额（元）</w:t>
            </w:r>
          </w:p>
        </w:tc>
        <w:tc>
          <w:tcPr>
            <w:tcW w:w="1313"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最迟支付时间</w:t>
            </w:r>
          </w:p>
        </w:tc>
        <w:tc>
          <w:tcPr>
            <w:tcW w:w="1068"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金额 （元）</w:t>
            </w:r>
          </w:p>
        </w:tc>
        <w:tc>
          <w:tcPr>
            <w:tcW w:w="657"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时间</w:t>
            </w:r>
          </w:p>
        </w:tc>
        <w:tc>
          <w:tcPr>
            <w:tcW w:w="1481" w:type="dxa"/>
            <w:vMerge w:val="continue"/>
            <w:vAlign w:val="center"/>
          </w:tcPr>
          <w:p>
            <w:pPr>
              <w:widowControl/>
              <w:spacing w:line="420" w:lineRule="exact"/>
              <w:jc w:val="left"/>
              <w:rPr>
                <w:rFonts w:hint="eastAsia" w:ascii="仿宋_GB2312" w:hAnsi="仿宋_GB2312" w:eastAsia="仿宋_GB2312" w:cs="仿宋_GB2312"/>
                <w:color w:val="auto"/>
                <w:sz w:val="24"/>
                <w:szCs w:val="24"/>
                <w:highlight w:val="none"/>
              </w:rPr>
            </w:pPr>
          </w:p>
        </w:tc>
        <w:tc>
          <w:tcPr>
            <w:tcW w:w="881" w:type="dxa"/>
            <w:vMerge w:val="continue"/>
            <w:vAlign w:val="center"/>
          </w:tcPr>
          <w:p>
            <w:pPr>
              <w:widowControl/>
              <w:spacing w:line="420" w:lineRule="exact"/>
              <w:jc w:val="lef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c>
          <w:tcPr>
            <w:tcW w:w="825" w:type="dxa"/>
          </w:tcPr>
          <w:p>
            <w:pPr>
              <w:spacing w:line="420" w:lineRule="exact"/>
              <w:rPr>
                <w:rFonts w:hint="eastAsia" w:ascii="仿宋_GB2312" w:hAnsi="仿宋_GB2312" w:eastAsia="仿宋_GB2312" w:cs="仿宋_GB2312"/>
                <w:color w:val="auto"/>
                <w:sz w:val="24"/>
                <w:szCs w:val="24"/>
                <w:highlight w:val="none"/>
              </w:rPr>
            </w:pPr>
          </w:p>
        </w:tc>
        <w:tc>
          <w:tcPr>
            <w:tcW w:w="1069" w:type="dxa"/>
          </w:tcPr>
          <w:p>
            <w:pPr>
              <w:spacing w:line="420" w:lineRule="exact"/>
              <w:rPr>
                <w:rFonts w:hint="eastAsia" w:ascii="仿宋_GB2312" w:hAnsi="仿宋_GB2312" w:eastAsia="仿宋_GB2312" w:cs="仿宋_GB2312"/>
                <w:color w:val="auto"/>
                <w:sz w:val="24"/>
                <w:szCs w:val="24"/>
                <w:highlight w:val="none"/>
              </w:rPr>
            </w:pPr>
          </w:p>
        </w:tc>
        <w:tc>
          <w:tcPr>
            <w:tcW w:w="1012" w:type="dxa"/>
          </w:tcPr>
          <w:p>
            <w:pPr>
              <w:spacing w:line="420" w:lineRule="exact"/>
              <w:rPr>
                <w:rFonts w:hint="eastAsia" w:ascii="仿宋_GB2312" w:hAnsi="仿宋_GB2312" w:eastAsia="仿宋_GB2312" w:cs="仿宋_GB2312"/>
                <w:color w:val="auto"/>
                <w:sz w:val="24"/>
                <w:szCs w:val="24"/>
                <w:highlight w:val="none"/>
              </w:rPr>
            </w:pPr>
          </w:p>
        </w:tc>
        <w:tc>
          <w:tcPr>
            <w:tcW w:w="1313" w:type="dxa"/>
          </w:tcPr>
          <w:p>
            <w:pPr>
              <w:spacing w:line="420" w:lineRule="exact"/>
              <w:rPr>
                <w:rFonts w:hint="eastAsia" w:ascii="仿宋_GB2312" w:hAnsi="仿宋_GB2312" w:eastAsia="仿宋_GB2312" w:cs="仿宋_GB2312"/>
                <w:color w:val="auto"/>
                <w:sz w:val="24"/>
                <w:szCs w:val="24"/>
                <w:highlight w:val="none"/>
              </w:rPr>
            </w:pPr>
          </w:p>
        </w:tc>
        <w:tc>
          <w:tcPr>
            <w:tcW w:w="1068" w:type="dxa"/>
          </w:tcPr>
          <w:p>
            <w:pPr>
              <w:spacing w:line="420" w:lineRule="exact"/>
              <w:rPr>
                <w:rFonts w:hint="eastAsia" w:ascii="仿宋_GB2312" w:hAnsi="仿宋_GB2312" w:eastAsia="仿宋_GB2312" w:cs="仿宋_GB2312"/>
                <w:color w:val="auto"/>
                <w:sz w:val="24"/>
                <w:szCs w:val="24"/>
                <w:highlight w:val="none"/>
              </w:rPr>
            </w:pPr>
          </w:p>
        </w:tc>
        <w:tc>
          <w:tcPr>
            <w:tcW w:w="657" w:type="dxa"/>
          </w:tcPr>
          <w:p>
            <w:pPr>
              <w:spacing w:line="420" w:lineRule="exact"/>
              <w:rPr>
                <w:rFonts w:hint="eastAsia" w:ascii="仿宋_GB2312" w:hAnsi="仿宋_GB2312" w:eastAsia="仿宋_GB2312" w:cs="仿宋_GB2312"/>
                <w:color w:val="auto"/>
                <w:sz w:val="24"/>
                <w:szCs w:val="24"/>
                <w:highlight w:val="none"/>
              </w:rPr>
            </w:pPr>
          </w:p>
        </w:tc>
        <w:tc>
          <w:tcPr>
            <w:tcW w:w="1481"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c>
          <w:tcPr>
            <w:tcW w:w="825" w:type="dxa"/>
          </w:tcPr>
          <w:p>
            <w:pPr>
              <w:spacing w:line="420" w:lineRule="exact"/>
              <w:rPr>
                <w:rFonts w:hint="eastAsia" w:ascii="仿宋_GB2312" w:hAnsi="仿宋_GB2312" w:eastAsia="仿宋_GB2312" w:cs="仿宋_GB2312"/>
                <w:color w:val="auto"/>
                <w:sz w:val="24"/>
                <w:szCs w:val="24"/>
                <w:highlight w:val="none"/>
              </w:rPr>
            </w:pPr>
          </w:p>
        </w:tc>
        <w:tc>
          <w:tcPr>
            <w:tcW w:w="1069" w:type="dxa"/>
          </w:tcPr>
          <w:p>
            <w:pPr>
              <w:spacing w:line="420" w:lineRule="exact"/>
              <w:rPr>
                <w:rFonts w:hint="eastAsia" w:ascii="仿宋_GB2312" w:hAnsi="仿宋_GB2312" w:eastAsia="仿宋_GB2312" w:cs="仿宋_GB2312"/>
                <w:color w:val="auto"/>
                <w:sz w:val="24"/>
                <w:szCs w:val="24"/>
                <w:highlight w:val="none"/>
              </w:rPr>
            </w:pPr>
          </w:p>
        </w:tc>
        <w:tc>
          <w:tcPr>
            <w:tcW w:w="1012" w:type="dxa"/>
          </w:tcPr>
          <w:p>
            <w:pPr>
              <w:spacing w:line="420" w:lineRule="exact"/>
              <w:rPr>
                <w:rFonts w:hint="eastAsia" w:ascii="仿宋_GB2312" w:hAnsi="仿宋_GB2312" w:eastAsia="仿宋_GB2312" w:cs="仿宋_GB2312"/>
                <w:color w:val="auto"/>
                <w:sz w:val="24"/>
                <w:szCs w:val="24"/>
                <w:highlight w:val="none"/>
              </w:rPr>
            </w:pPr>
          </w:p>
        </w:tc>
        <w:tc>
          <w:tcPr>
            <w:tcW w:w="1313" w:type="dxa"/>
          </w:tcPr>
          <w:p>
            <w:pPr>
              <w:spacing w:line="420" w:lineRule="exact"/>
              <w:rPr>
                <w:rFonts w:hint="eastAsia" w:ascii="仿宋_GB2312" w:hAnsi="仿宋_GB2312" w:eastAsia="仿宋_GB2312" w:cs="仿宋_GB2312"/>
                <w:color w:val="auto"/>
                <w:sz w:val="24"/>
                <w:szCs w:val="24"/>
                <w:highlight w:val="none"/>
              </w:rPr>
            </w:pPr>
          </w:p>
        </w:tc>
        <w:tc>
          <w:tcPr>
            <w:tcW w:w="1068" w:type="dxa"/>
          </w:tcPr>
          <w:p>
            <w:pPr>
              <w:spacing w:line="420" w:lineRule="exact"/>
              <w:rPr>
                <w:rFonts w:hint="eastAsia" w:ascii="仿宋_GB2312" w:hAnsi="仿宋_GB2312" w:eastAsia="仿宋_GB2312" w:cs="仿宋_GB2312"/>
                <w:color w:val="auto"/>
                <w:sz w:val="24"/>
                <w:szCs w:val="24"/>
                <w:highlight w:val="none"/>
              </w:rPr>
            </w:pPr>
          </w:p>
        </w:tc>
        <w:tc>
          <w:tcPr>
            <w:tcW w:w="657" w:type="dxa"/>
          </w:tcPr>
          <w:p>
            <w:pPr>
              <w:spacing w:line="420" w:lineRule="exact"/>
              <w:rPr>
                <w:rFonts w:hint="eastAsia" w:ascii="仿宋_GB2312" w:hAnsi="仿宋_GB2312" w:eastAsia="仿宋_GB2312" w:cs="仿宋_GB2312"/>
                <w:color w:val="auto"/>
                <w:sz w:val="24"/>
                <w:szCs w:val="24"/>
                <w:highlight w:val="none"/>
              </w:rPr>
            </w:pPr>
          </w:p>
        </w:tc>
        <w:tc>
          <w:tcPr>
            <w:tcW w:w="1481"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c>
          <w:tcPr>
            <w:tcW w:w="825" w:type="dxa"/>
          </w:tcPr>
          <w:p>
            <w:pPr>
              <w:spacing w:line="420" w:lineRule="exact"/>
              <w:rPr>
                <w:rFonts w:hint="eastAsia" w:ascii="仿宋_GB2312" w:hAnsi="仿宋_GB2312" w:eastAsia="仿宋_GB2312" w:cs="仿宋_GB2312"/>
                <w:color w:val="auto"/>
                <w:sz w:val="24"/>
                <w:szCs w:val="24"/>
                <w:highlight w:val="none"/>
              </w:rPr>
            </w:pPr>
          </w:p>
        </w:tc>
        <w:tc>
          <w:tcPr>
            <w:tcW w:w="1069" w:type="dxa"/>
          </w:tcPr>
          <w:p>
            <w:pPr>
              <w:spacing w:line="420" w:lineRule="exact"/>
              <w:rPr>
                <w:rFonts w:hint="eastAsia" w:ascii="仿宋_GB2312" w:hAnsi="仿宋_GB2312" w:eastAsia="仿宋_GB2312" w:cs="仿宋_GB2312"/>
                <w:color w:val="auto"/>
                <w:sz w:val="24"/>
                <w:szCs w:val="24"/>
                <w:highlight w:val="none"/>
              </w:rPr>
            </w:pPr>
          </w:p>
        </w:tc>
        <w:tc>
          <w:tcPr>
            <w:tcW w:w="1012" w:type="dxa"/>
          </w:tcPr>
          <w:p>
            <w:pPr>
              <w:spacing w:line="420" w:lineRule="exact"/>
              <w:rPr>
                <w:rFonts w:hint="eastAsia" w:ascii="仿宋_GB2312" w:hAnsi="仿宋_GB2312" w:eastAsia="仿宋_GB2312" w:cs="仿宋_GB2312"/>
                <w:color w:val="auto"/>
                <w:sz w:val="24"/>
                <w:szCs w:val="24"/>
                <w:highlight w:val="none"/>
              </w:rPr>
            </w:pPr>
          </w:p>
        </w:tc>
        <w:tc>
          <w:tcPr>
            <w:tcW w:w="1313" w:type="dxa"/>
          </w:tcPr>
          <w:p>
            <w:pPr>
              <w:spacing w:line="420" w:lineRule="exact"/>
              <w:rPr>
                <w:rFonts w:hint="eastAsia" w:ascii="仿宋_GB2312" w:hAnsi="仿宋_GB2312" w:eastAsia="仿宋_GB2312" w:cs="仿宋_GB2312"/>
                <w:color w:val="auto"/>
                <w:sz w:val="24"/>
                <w:szCs w:val="24"/>
                <w:highlight w:val="none"/>
              </w:rPr>
            </w:pPr>
          </w:p>
        </w:tc>
        <w:tc>
          <w:tcPr>
            <w:tcW w:w="1068" w:type="dxa"/>
          </w:tcPr>
          <w:p>
            <w:pPr>
              <w:spacing w:line="420" w:lineRule="exact"/>
              <w:rPr>
                <w:rFonts w:hint="eastAsia" w:ascii="仿宋_GB2312" w:hAnsi="仿宋_GB2312" w:eastAsia="仿宋_GB2312" w:cs="仿宋_GB2312"/>
                <w:color w:val="auto"/>
                <w:sz w:val="24"/>
                <w:szCs w:val="24"/>
                <w:highlight w:val="none"/>
              </w:rPr>
            </w:pPr>
          </w:p>
        </w:tc>
        <w:tc>
          <w:tcPr>
            <w:tcW w:w="657" w:type="dxa"/>
          </w:tcPr>
          <w:p>
            <w:pPr>
              <w:spacing w:line="420" w:lineRule="exact"/>
              <w:rPr>
                <w:rFonts w:hint="eastAsia" w:ascii="仿宋_GB2312" w:hAnsi="仿宋_GB2312" w:eastAsia="仿宋_GB2312" w:cs="仿宋_GB2312"/>
                <w:color w:val="auto"/>
                <w:sz w:val="24"/>
                <w:szCs w:val="24"/>
                <w:highlight w:val="none"/>
              </w:rPr>
            </w:pPr>
          </w:p>
        </w:tc>
        <w:tc>
          <w:tcPr>
            <w:tcW w:w="1481"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c>
          <w:tcPr>
            <w:tcW w:w="825" w:type="dxa"/>
          </w:tcPr>
          <w:p>
            <w:pPr>
              <w:spacing w:line="420" w:lineRule="exact"/>
              <w:rPr>
                <w:rFonts w:hint="eastAsia" w:ascii="仿宋_GB2312" w:hAnsi="仿宋_GB2312" w:eastAsia="仿宋_GB2312" w:cs="仿宋_GB2312"/>
                <w:color w:val="auto"/>
                <w:sz w:val="24"/>
                <w:szCs w:val="24"/>
                <w:highlight w:val="none"/>
              </w:rPr>
            </w:pPr>
          </w:p>
        </w:tc>
        <w:tc>
          <w:tcPr>
            <w:tcW w:w="1069" w:type="dxa"/>
          </w:tcPr>
          <w:p>
            <w:pPr>
              <w:spacing w:line="420" w:lineRule="exact"/>
              <w:rPr>
                <w:rFonts w:hint="eastAsia" w:ascii="仿宋_GB2312" w:hAnsi="仿宋_GB2312" w:eastAsia="仿宋_GB2312" w:cs="仿宋_GB2312"/>
                <w:color w:val="auto"/>
                <w:sz w:val="24"/>
                <w:szCs w:val="24"/>
                <w:highlight w:val="none"/>
              </w:rPr>
            </w:pPr>
          </w:p>
        </w:tc>
        <w:tc>
          <w:tcPr>
            <w:tcW w:w="1012" w:type="dxa"/>
          </w:tcPr>
          <w:p>
            <w:pPr>
              <w:spacing w:line="420" w:lineRule="exact"/>
              <w:rPr>
                <w:rFonts w:hint="eastAsia" w:ascii="仿宋_GB2312" w:hAnsi="仿宋_GB2312" w:eastAsia="仿宋_GB2312" w:cs="仿宋_GB2312"/>
                <w:color w:val="auto"/>
                <w:sz w:val="24"/>
                <w:szCs w:val="24"/>
                <w:highlight w:val="none"/>
              </w:rPr>
            </w:pPr>
          </w:p>
        </w:tc>
        <w:tc>
          <w:tcPr>
            <w:tcW w:w="1313" w:type="dxa"/>
          </w:tcPr>
          <w:p>
            <w:pPr>
              <w:spacing w:line="420" w:lineRule="exact"/>
              <w:rPr>
                <w:rFonts w:hint="eastAsia" w:ascii="仿宋_GB2312" w:hAnsi="仿宋_GB2312" w:eastAsia="仿宋_GB2312" w:cs="仿宋_GB2312"/>
                <w:color w:val="auto"/>
                <w:sz w:val="24"/>
                <w:szCs w:val="24"/>
                <w:highlight w:val="none"/>
              </w:rPr>
            </w:pPr>
          </w:p>
        </w:tc>
        <w:tc>
          <w:tcPr>
            <w:tcW w:w="1068" w:type="dxa"/>
          </w:tcPr>
          <w:p>
            <w:pPr>
              <w:spacing w:line="420" w:lineRule="exact"/>
              <w:rPr>
                <w:rFonts w:hint="eastAsia" w:ascii="仿宋_GB2312" w:hAnsi="仿宋_GB2312" w:eastAsia="仿宋_GB2312" w:cs="仿宋_GB2312"/>
                <w:color w:val="auto"/>
                <w:sz w:val="24"/>
                <w:szCs w:val="24"/>
                <w:highlight w:val="none"/>
              </w:rPr>
            </w:pPr>
          </w:p>
        </w:tc>
        <w:tc>
          <w:tcPr>
            <w:tcW w:w="657" w:type="dxa"/>
          </w:tcPr>
          <w:p>
            <w:pPr>
              <w:spacing w:line="420" w:lineRule="exact"/>
              <w:rPr>
                <w:rFonts w:hint="eastAsia" w:ascii="仿宋_GB2312" w:hAnsi="仿宋_GB2312" w:eastAsia="仿宋_GB2312" w:cs="仿宋_GB2312"/>
                <w:color w:val="auto"/>
                <w:sz w:val="24"/>
                <w:szCs w:val="24"/>
                <w:highlight w:val="none"/>
              </w:rPr>
            </w:pPr>
          </w:p>
        </w:tc>
        <w:tc>
          <w:tcPr>
            <w:tcW w:w="1481"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c>
          <w:tcPr>
            <w:tcW w:w="825" w:type="dxa"/>
          </w:tcPr>
          <w:p>
            <w:pPr>
              <w:spacing w:line="420" w:lineRule="exact"/>
              <w:rPr>
                <w:rFonts w:hint="eastAsia" w:ascii="仿宋_GB2312" w:hAnsi="仿宋_GB2312" w:eastAsia="仿宋_GB2312" w:cs="仿宋_GB2312"/>
                <w:color w:val="auto"/>
                <w:sz w:val="24"/>
                <w:szCs w:val="24"/>
                <w:highlight w:val="none"/>
              </w:rPr>
            </w:pPr>
          </w:p>
        </w:tc>
        <w:tc>
          <w:tcPr>
            <w:tcW w:w="1069" w:type="dxa"/>
          </w:tcPr>
          <w:p>
            <w:pPr>
              <w:spacing w:line="420" w:lineRule="exact"/>
              <w:rPr>
                <w:rFonts w:hint="eastAsia" w:ascii="仿宋_GB2312" w:hAnsi="仿宋_GB2312" w:eastAsia="仿宋_GB2312" w:cs="仿宋_GB2312"/>
                <w:color w:val="auto"/>
                <w:sz w:val="24"/>
                <w:szCs w:val="24"/>
                <w:highlight w:val="none"/>
              </w:rPr>
            </w:pPr>
          </w:p>
        </w:tc>
        <w:tc>
          <w:tcPr>
            <w:tcW w:w="1012" w:type="dxa"/>
          </w:tcPr>
          <w:p>
            <w:pPr>
              <w:spacing w:line="420" w:lineRule="exact"/>
              <w:rPr>
                <w:rFonts w:hint="eastAsia" w:ascii="仿宋_GB2312" w:hAnsi="仿宋_GB2312" w:eastAsia="仿宋_GB2312" w:cs="仿宋_GB2312"/>
                <w:color w:val="auto"/>
                <w:sz w:val="24"/>
                <w:szCs w:val="24"/>
                <w:highlight w:val="none"/>
              </w:rPr>
            </w:pPr>
          </w:p>
        </w:tc>
        <w:tc>
          <w:tcPr>
            <w:tcW w:w="1313" w:type="dxa"/>
          </w:tcPr>
          <w:p>
            <w:pPr>
              <w:spacing w:line="420" w:lineRule="exact"/>
              <w:rPr>
                <w:rFonts w:hint="eastAsia" w:ascii="仿宋_GB2312" w:hAnsi="仿宋_GB2312" w:eastAsia="仿宋_GB2312" w:cs="仿宋_GB2312"/>
                <w:color w:val="auto"/>
                <w:sz w:val="24"/>
                <w:szCs w:val="24"/>
                <w:highlight w:val="none"/>
              </w:rPr>
            </w:pPr>
          </w:p>
        </w:tc>
        <w:tc>
          <w:tcPr>
            <w:tcW w:w="1068" w:type="dxa"/>
          </w:tcPr>
          <w:p>
            <w:pPr>
              <w:spacing w:line="420" w:lineRule="exact"/>
              <w:rPr>
                <w:rFonts w:hint="eastAsia" w:ascii="仿宋_GB2312" w:hAnsi="仿宋_GB2312" w:eastAsia="仿宋_GB2312" w:cs="仿宋_GB2312"/>
                <w:color w:val="auto"/>
                <w:sz w:val="24"/>
                <w:szCs w:val="24"/>
                <w:highlight w:val="none"/>
              </w:rPr>
            </w:pPr>
          </w:p>
        </w:tc>
        <w:tc>
          <w:tcPr>
            <w:tcW w:w="657" w:type="dxa"/>
          </w:tcPr>
          <w:p>
            <w:pPr>
              <w:spacing w:line="420" w:lineRule="exact"/>
              <w:rPr>
                <w:rFonts w:hint="eastAsia" w:ascii="仿宋_GB2312" w:hAnsi="仿宋_GB2312" w:eastAsia="仿宋_GB2312" w:cs="仿宋_GB2312"/>
                <w:color w:val="auto"/>
                <w:sz w:val="24"/>
                <w:szCs w:val="24"/>
                <w:highlight w:val="none"/>
              </w:rPr>
            </w:pPr>
          </w:p>
        </w:tc>
        <w:tc>
          <w:tcPr>
            <w:tcW w:w="1481"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c>
          <w:tcPr>
            <w:tcW w:w="825" w:type="dxa"/>
          </w:tcPr>
          <w:p>
            <w:pPr>
              <w:spacing w:line="420" w:lineRule="exact"/>
              <w:rPr>
                <w:rFonts w:hint="eastAsia" w:ascii="仿宋_GB2312" w:hAnsi="仿宋_GB2312" w:eastAsia="仿宋_GB2312" w:cs="仿宋_GB2312"/>
                <w:color w:val="auto"/>
                <w:sz w:val="24"/>
                <w:szCs w:val="24"/>
                <w:highlight w:val="none"/>
              </w:rPr>
            </w:pPr>
          </w:p>
        </w:tc>
        <w:tc>
          <w:tcPr>
            <w:tcW w:w="1069" w:type="dxa"/>
          </w:tcPr>
          <w:p>
            <w:pPr>
              <w:spacing w:line="420" w:lineRule="exact"/>
              <w:rPr>
                <w:rFonts w:hint="eastAsia" w:ascii="仿宋_GB2312" w:hAnsi="仿宋_GB2312" w:eastAsia="仿宋_GB2312" w:cs="仿宋_GB2312"/>
                <w:color w:val="auto"/>
                <w:sz w:val="24"/>
                <w:szCs w:val="24"/>
                <w:highlight w:val="none"/>
              </w:rPr>
            </w:pPr>
          </w:p>
        </w:tc>
        <w:tc>
          <w:tcPr>
            <w:tcW w:w="1012" w:type="dxa"/>
          </w:tcPr>
          <w:p>
            <w:pPr>
              <w:spacing w:line="420" w:lineRule="exact"/>
              <w:rPr>
                <w:rFonts w:hint="eastAsia" w:ascii="仿宋_GB2312" w:hAnsi="仿宋_GB2312" w:eastAsia="仿宋_GB2312" w:cs="仿宋_GB2312"/>
                <w:color w:val="auto"/>
                <w:sz w:val="24"/>
                <w:szCs w:val="24"/>
                <w:highlight w:val="none"/>
              </w:rPr>
            </w:pPr>
          </w:p>
        </w:tc>
        <w:tc>
          <w:tcPr>
            <w:tcW w:w="1313" w:type="dxa"/>
          </w:tcPr>
          <w:p>
            <w:pPr>
              <w:spacing w:line="420" w:lineRule="exact"/>
              <w:rPr>
                <w:rFonts w:hint="eastAsia" w:ascii="仿宋_GB2312" w:hAnsi="仿宋_GB2312" w:eastAsia="仿宋_GB2312" w:cs="仿宋_GB2312"/>
                <w:color w:val="auto"/>
                <w:sz w:val="24"/>
                <w:szCs w:val="24"/>
                <w:highlight w:val="none"/>
              </w:rPr>
            </w:pPr>
          </w:p>
        </w:tc>
        <w:tc>
          <w:tcPr>
            <w:tcW w:w="1068" w:type="dxa"/>
          </w:tcPr>
          <w:p>
            <w:pPr>
              <w:spacing w:line="420" w:lineRule="exact"/>
              <w:rPr>
                <w:rFonts w:hint="eastAsia" w:ascii="仿宋_GB2312" w:hAnsi="仿宋_GB2312" w:eastAsia="仿宋_GB2312" w:cs="仿宋_GB2312"/>
                <w:color w:val="auto"/>
                <w:sz w:val="24"/>
                <w:szCs w:val="24"/>
                <w:highlight w:val="none"/>
              </w:rPr>
            </w:pPr>
          </w:p>
        </w:tc>
        <w:tc>
          <w:tcPr>
            <w:tcW w:w="657" w:type="dxa"/>
          </w:tcPr>
          <w:p>
            <w:pPr>
              <w:spacing w:line="420" w:lineRule="exact"/>
              <w:rPr>
                <w:rFonts w:hint="eastAsia" w:ascii="仿宋_GB2312" w:hAnsi="仿宋_GB2312" w:eastAsia="仿宋_GB2312" w:cs="仿宋_GB2312"/>
                <w:color w:val="auto"/>
                <w:sz w:val="24"/>
                <w:szCs w:val="24"/>
                <w:highlight w:val="none"/>
              </w:rPr>
            </w:pPr>
          </w:p>
        </w:tc>
        <w:tc>
          <w:tcPr>
            <w:tcW w:w="1481"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c>
          <w:tcPr>
            <w:tcW w:w="825" w:type="dxa"/>
          </w:tcPr>
          <w:p>
            <w:pPr>
              <w:spacing w:line="420" w:lineRule="exact"/>
              <w:rPr>
                <w:rFonts w:hint="eastAsia" w:ascii="仿宋_GB2312" w:hAnsi="仿宋_GB2312" w:eastAsia="仿宋_GB2312" w:cs="仿宋_GB2312"/>
                <w:color w:val="auto"/>
                <w:sz w:val="24"/>
                <w:szCs w:val="24"/>
                <w:highlight w:val="none"/>
              </w:rPr>
            </w:pPr>
          </w:p>
        </w:tc>
        <w:tc>
          <w:tcPr>
            <w:tcW w:w="1069" w:type="dxa"/>
          </w:tcPr>
          <w:p>
            <w:pPr>
              <w:spacing w:line="420" w:lineRule="exact"/>
              <w:rPr>
                <w:rFonts w:hint="eastAsia" w:ascii="仿宋_GB2312" w:hAnsi="仿宋_GB2312" w:eastAsia="仿宋_GB2312" w:cs="仿宋_GB2312"/>
                <w:color w:val="auto"/>
                <w:sz w:val="24"/>
                <w:szCs w:val="24"/>
                <w:highlight w:val="none"/>
              </w:rPr>
            </w:pPr>
          </w:p>
        </w:tc>
        <w:tc>
          <w:tcPr>
            <w:tcW w:w="1012" w:type="dxa"/>
          </w:tcPr>
          <w:p>
            <w:pPr>
              <w:spacing w:line="420" w:lineRule="exact"/>
              <w:rPr>
                <w:rFonts w:hint="eastAsia" w:ascii="仿宋_GB2312" w:hAnsi="仿宋_GB2312" w:eastAsia="仿宋_GB2312" w:cs="仿宋_GB2312"/>
                <w:color w:val="auto"/>
                <w:sz w:val="24"/>
                <w:szCs w:val="24"/>
                <w:highlight w:val="none"/>
              </w:rPr>
            </w:pPr>
          </w:p>
        </w:tc>
        <w:tc>
          <w:tcPr>
            <w:tcW w:w="1313" w:type="dxa"/>
          </w:tcPr>
          <w:p>
            <w:pPr>
              <w:spacing w:line="420" w:lineRule="exact"/>
              <w:rPr>
                <w:rFonts w:hint="eastAsia" w:ascii="仿宋_GB2312" w:hAnsi="仿宋_GB2312" w:eastAsia="仿宋_GB2312" w:cs="仿宋_GB2312"/>
                <w:color w:val="auto"/>
                <w:sz w:val="24"/>
                <w:szCs w:val="24"/>
                <w:highlight w:val="none"/>
              </w:rPr>
            </w:pPr>
          </w:p>
        </w:tc>
        <w:tc>
          <w:tcPr>
            <w:tcW w:w="1068" w:type="dxa"/>
          </w:tcPr>
          <w:p>
            <w:pPr>
              <w:spacing w:line="420" w:lineRule="exact"/>
              <w:rPr>
                <w:rFonts w:hint="eastAsia" w:ascii="仿宋_GB2312" w:hAnsi="仿宋_GB2312" w:eastAsia="仿宋_GB2312" w:cs="仿宋_GB2312"/>
                <w:color w:val="auto"/>
                <w:sz w:val="24"/>
                <w:szCs w:val="24"/>
                <w:highlight w:val="none"/>
              </w:rPr>
            </w:pPr>
          </w:p>
        </w:tc>
        <w:tc>
          <w:tcPr>
            <w:tcW w:w="657" w:type="dxa"/>
          </w:tcPr>
          <w:p>
            <w:pPr>
              <w:spacing w:line="420" w:lineRule="exact"/>
              <w:rPr>
                <w:rFonts w:hint="eastAsia" w:ascii="仿宋_GB2312" w:hAnsi="仿宋_GB2312" w:eastAsia="仿宋_GB2312" w:cs="仿宋_GB2312"/>
                <w:color w:val="auto"/>
                <w:sz w:val="24"/>
                <w:szCs w:val="24"/>
                <w:highlight w:val="none"/>
              </w:rPr>
            </w:pPr>
          </w:p>
        </w:tc>
        <w:tc>
          <w:tcPr>
            <w:tcW w:w="1481"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c>
          <w:tcPr>
            <w:tcW w:w="825" w:type="dxa"/>
          </w:tcPr>
          <w:p>
            <w:pPr>
              <w:spacing w:line="420" w:lineRule="exact"/>
              <w:rPr>
                <w:rFonts w:hint="eastAsia" w:ascii="仿宋_GB2312" w:hAnsi="仿宋_GB2312" w:eastAsia="仿宋_GB2312" w:cs="仿宋_GB2312"/>
                <w:color w:val="auto"/>
                <w:sz w:val="24"/>
                <w:szCs w:val="24"/>
                <w:highlight w:val="none"/>
              </w:rPr>
            </w:pPr>
          </w:p>
        </w:tc>
        <w:tc>
          <w:tcPr>
            <w:tcW w:w="1069" w:type="dxa"/>
          </w:tcPr>
          <w:p>
            <w:pPr>
              <w:spacing w:line="420" w:lineRule="exact"/>
              <w:rPr>
                <w:rFonts w:hint="eastAsia" w:ascii="仿宋_GB2312" w:hAnsi="仿宋_GB2312" w:eastAsia="仿宋_GB2312" w:cs="仿宋_GB2312"/>
                <w:color w:val="auto"/>
                <w:sz w:val="24"/>
                <w:szCs w:val="24"/>
                <w:highlight w:val="none"/>
              </w:rPr>
            </w:pPr>
          </w:p>
        </w:tc>
        <w:tc>
          <w:tcPr>
            <w:tcW w:w="1012" w:type="dxa"/>
          </w:tcPr>
          <w:p>
            <w:pPr>
              <w:spacing w:line="420" w:lineRule="exact"/>
              <w:rPr>
                <w:rFonts w:hint="eastAsia" w:ascii="仿宋_GB2312" w:hAnsi="仿宋_GB2312" w:eastAsia="仿宋_GB2312" w:cs="仿宋_GB2312"/>
                <w:color w:val="auto"/>
                <w:sz w:val="24"/>
                <w:szCs w:val="24"/>
                <w:highlight w:val="none"/>
              </w:rPr>
            </w:pPr>
          </w:p>
        </w:tc>
        <w:tc>
          <w:tcPr>
            <w:tcW w:w="1313" w:type="dxa"/>
          </w:tcPr>
          <w:p>
            <w:pPr>
              <w:spacing w:line="420" w:lineRule="exact"/>
              <w:rPr>
                <w:rFonts w:hint="eastAsia" w:ascii="仿宋_GB2312" w:hAnsi="仿宋_GB2312" w:eastAsia="仿宋_GB2312" w:cs="仿宋_GB2312"/>
                <w:color w:val="auto"/>
                <w:sz w:val="24"/>
                <w:szCs w:val="24"/>
                <w:highlight w:val="none"/>
              </w:rPr>
            </w:pPr>
          </w:p>
        </w:tc>
        <w:tc>
          <w:tcPr>
            <w:tcW w:w="1068" w:type="dxa"/>
          </w:tcPr>
          <w:p>
            <w:pPr>
              <w:spacing w:line="420" w:lineRule="exact"/>
              <w:rPr>
                <w:rFonts w:hint="eastAsia" w:ascii="仿宋_GB2312" w:hAnsi="仿宋_GB2312" w:eastAsia="仿宋_GB2312" w:cs="仿宋_GB2312"/>
                <w:color w:val="auto"/>
                <w:sz w:val="24"/>
                <w:szCs w:val="24"/>
                <w:highlight w:val="none"/>
              </w:rPr>
            </w:pPr>
          </w:p>
        </w:tc>
        <w:tc>
          <w:tcPr>
            <w:tcW w:w="657" w:type="dxa"/>
          </w:tcPr>
          <w:p>
            <w:pPr>
              <w:spacing w:line="420" w:lineRule="exact"/>
              <w:rPr>
                <w:rFonts w:hint="eastAsia" w:ascii="仿宋_GB2312" w:hAnsi="仿宋_GB2312" w:eastAsia="仿宋_GB2312" w:cs="仿宋_GB2312"/>
                <w:color w:val="auto"/>
                <w:sz w:val="24"/>
                <w:szCs w:val="24"/>
                <w:highlight w:val="none"/>
              </w:rPr>
            </w:pPr>
          </w:p>
        </w:tc>
        <w:tc>
          <w:tcPr>
            <w:tcW w:w="1481"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pPr>
              <w:spacing w:line="420" w:lineRule="exact"/>
              <w:rPr>
                <w:rFonts w:hint="eastAsia" w:ascii="仿宋_GB2312" w:hAnsi="仿宋_GB2312" w:eastAsia="仿宋_GB2312" w:cs="仿宋_GB2312"/>
                <w:color w:val="auto"/>
                <w:sz w:val="24"/>
                <w:szCs w:val="24"/>
                <w:highlight w:val="none"/>
              </w:rPr>
            </w:pPr>
          </w:p>
        </w:tc>
        <w:tc>
          <w:tcPr>
            <w:tcW w:w="881" w:type="dxa"/>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累计</w:t>
            </w:r>
          </w:p>
        </w:tc>
        <w:tc>
          <w:tcPr>
            <w:tcW w:w="825" w:type="dxa"/>
          </w:tcPr>
          <w:p>
            <w:pPr>
              <w:spacing w:line="420" w:lineRule="exact"/>
              <w:rPr>
                <w:rFonts w:hint="eastAsia" w:ascii="仿宋_GB2312" w:hAnsi="仿宋_GB2312" w:eastAsia="仿宋_GB2312" w:cs="仿宋_GB2312"/>
                <w:color w:val="auto"/>
                <w:sz w:val="24"/>
                <w:szCs w:val="24"/>
                <w:highlight w:val="none"/>
              </w:rPr>
            </w:pPr>
          </w:p>
        </w:tc>
        <w:tc>
          <w:tcPr>
            <w:tcW w:w="1069" w:type="dxa"/>
          </w:tcPr>
          <w:p>
            <w:pPr>
              <w:spacing w:line="420" w:lineRule="exact"/>
              <w:rPr>
                <w:rFonts w:hint="eastAsia" w:ascii="仿宋_GB2312" w:hAnsi="仿宋_GB2312" w:eastAsia="仿宋_GB2312" w:cs="仿宋_GB2312"/>
                <w:color w:val="auto"/>
                <w:sz w:val="24"/>
                <w:szCs w:val="24"/>
                <w:highlight w:val="none"/>
              </w:rPr>
            </w:pPr>
          </w:p>
        </w:tc>
        <w:tc>
          <w:tcPr>
            <w:tcW w:w="1012" w:type="dxa"/>
          </w:tcPr>
          <w:p>
            <w:pPr>
              <w:spacing w:line="420" w:lineRule="exact"/>
              <w:rPr>
                <w:rFonts w:hint="eastAsia" w:ascii="仿宋_GB2312" w:hAnsi="仿宋_GB2312" w:eastAsia="仿宋_GB2312" w:cs="仿宋_GB2312"/>
                <w:color w:val="auto"/>
                <w:sz w:val="24"/>
                <w:szCs w:val="24"/>
                <w:highlight w:val="none"/>
              </w:rPr>
            </w:pPr>
          </w:p>
        </w:tc>
        <w:tc>
          <w:tcPr>
            <w:tcW w:w="1313" w:type="dxa"/>
          </w:tcPr>
          <w:p>
            <w:pPr>
              <w:spacing w:line="420" w:lineRule="exact"/>
              <w:rPr>
                <w:rFonts w:hint="eastAsia" w:ascii="仿宋_GB2312" w:hAnsi="仿宋_GB2312" w:eastAsia="仿宋_GB2312" w:cs="仿宋_GB2312"/>
                <w:color w:val="auto"/>
                <w:sz w:val="24"/>
                <w:szCs w:val="24"/>
                <w:highlight w:val="none"/>
              </w:rPr>
            </w:pPr>
          </w:p>
        </w:tc>
        <w:tc>
          <w:tcPr>
            <w:tcW w:w="1068" w:type="dxa"/>
          </w:tcPr>
          <w:p>
            <w:pPr>
              <w:spacing w:line="420" w:lineRule="exact"/>
              <w:rPr>
                <w:rFonts w:hint="eastAsia" w:ascii="仿宋_GB2312" w:hAnsi="仿宋_GB2312" w:eastAsia="仿宋_GB2312" w:cs="仿宋_GB2312"/>
                <w:color w:val="auto"/>
                <w:sz w:val="24"/>
                <w:szCs w:val="24"/>
                <w:highlight w:val="none"/>
              </w:rPr>
            </w:pPr>
          </w:p>
        </w:tc>
        <w:tc>
          <w:tcPr>
            <w:tcW w:w="657" w:type="dxa"/>
          </w:tcPr>
          <w:p>
            <w:pPr>
              <w:spacing w:line="420" w:lineRule="exact"/>
              <w:rPr>
                <w:rFonts w:hint="eastAsia" w:ascii="仿宋_GB2312" w:hAnsi="仿宋_GB2312" w:eastAsia="仿宋_GB2312" w:cs="仿宋_GB2312"/>
                <w:color w:val="auto"/>
                <w:sz w:val="24"/>
                <w:szCs w:val="24"/>
                <w:highlight w:val="none"/>
              </w:rPr>
            </w:pPr>
          </w:p>
        </w:tc>
        <w:tc>
          <w:tcPr>
            <w:tcW w:w="1481" w:type="dxa"/>
          </w:tcPr>
          <w:p>
            <w:pPr>
              <w:spacing w:line="420" w:lineRule="exact"/>
              <w:rPr>
                <w:rFonts w:hint="eastAsia" w:ascii="仿宋_GB2312" w:hAnsi="仿宋_GB2312" w:eastAsia="仿宋_GB2312" w:cs="仿宋_GB2312"/>
                <w:color w:val="auto"/>
                <w:sz w:val="24"/>
                <w:szCs w:val="24"/>
                <w:highlight w:val="none"/>
              </w:rPr>
            </w:pPr>
          </w:p>
        </w:tc>
        <w:tc>
          <w:tcPr>
            <w:tcW w:w="881" w:type="dxa"/>
          </w:tcPr>
          <w:p>
            <w:pPr>
              <w:spacing w:line="420" w:lineRule="exact"/>
              <w:rPr>
                <w:rFonts w:hint="eastAsia" w:ascii="仿宋_GB2312" w:hAnsi="仿宋_GB2312" w:eastAsia="仿宋_GB2312" w:cs="仿宋_GB2312"/>
                <w:color w:val="auto"/>
                <w:sz w:val="24"/>
                <w:szCs w:val="24"/>
                <w:highlight w:val="none"/>
              </w:rPr>
            </w:pPr>
          </w:p>
        </w:tc>
      </w:tr>
    </w:tbl>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编制：                       复核：        编制日期：  　 年  　月　 日</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说明：本表用于承包人、发包人的工程款额支付凭证统计和内部管理。</w:t>
      </w:r>
    </w:p>
    <w:p>
      <w:pPr>
        <w:rPr>
          <w:rFonts w:ascii="仿宋" w:hAnsi="仿宋" w:eastAsia="仿宋" w:cs="Times New Roman"/>
          <w:color w:val="auto"/>
          <w:szCs w:val="21"/>
          <w:highlight w:val="none"/>
        </w:rPr>
      </w:pPr>
    </w:p>
    <w:p>
      <w:pPr>
        <w:rPr>
          <w:rFonts w:ascii="Calibri" w:hAnsi="Calibri" w:cs="Times New Roman"/>
          <w:color w:val="auto"/>
          <w:szCs w:val="21"/>
          <w:highlight w:val="none"/>
        </w:rPr>
      </w:pPr>
    </w:p>
    <w:p>
      <w:pPr>
        <w:rPr>
          <w:rFonts w:ascii="Calibri" w:hAnsi="Calibri" w:cs="Times New Roman"/>
          <w:color w:val="auto"/>
          <w:szCs w:val="21"/>
          <w:highlight w:val="none"/>
        </w:rPr>
      </w:pPr>
    </w:p>
    <w:p>
      <w:pPr>
        <w:rPr>
          <w:rFonts w:ascii="Calibri" w:hAnsi="Calibri" w:cs="Times New Roman"/>
          <w:color w:val="auto"/>
          <w:szCs w:val="21"/>
          <w:highlight w:val="none"/>
        </w:rPr>
      </w:pPr>
    </w:p>
    <w:p>
      <w:pPr>
        <w:ind w:firstLine="640" w:firstLineChars="200"/>
        <w:jc w:val="left"/>
        <w:rPr>
          <w:rFonts w:ascii="仿宋_GB2312" w:hAnsi="仿宋_GB2312" w:eastAsia="仿宋_GB2312" w:cs="仿宋_GB2312"/>
          <w:color w:val="auto"/>
          <w:sz w:val="32"/>
          <w:szCs w:val="32"/>
          <w:highlight w:val="none"/>
        </w:rPr>
      </w:pPr>
    </w:p>
    <w:p>
      <w:pPr>
        <w:widowControl/>
        <w:jc w:val="left"/>
        <w:rPr>
          <w:color w:val="auto"/>
          <w:sz w:val="24"/>
          <w:highlight w:val="none"/>
        </w:rPr>
      </w:pPr>
    </w:p>
    <w:p>
      <w:pPr>
        <w:rPr>
          <w:rFonts w:ascii="Calibri" w:hAnsi="Calibri" w:cs="Times New Roman"/>
          <w:color w:val="auto"/>
          <w:szCs w:val="21"/>
          <w:highlight w:val="none"/>
        </w:rPr>
      </w:pPr>
    </w:p>
    <w:p>
      <w:pPr>
        <w:rPr>
          <w:rFonts w:ascii="Calibri" w:hAnsi="Calibri" w:cs="Times New Roman"/>
          <w:color w:val="auto"/>
          <w:szCs w:val="21"/>
          <w:highlight w:val="none"/>
        </w:rPr>
      </w:pPr>
    </w:p>
    <w:p>
      <w:pPr>
        <w:ind w:firstLine="640" w:firstLineChars="200"/>
        <w:jc w:val="left"/>
        <w:rPr>
          <w:rFonts w:ascii="仿宋_GB2312" w:hAnsi="仿宋_GB2312" w:eastAsia="仿宋_GB2312" w:cs="仿宋_GB2312"/>
          <w:color w:val="auto"/>
          <w:sz w:val="32"/>
          <w:szCs w:val="32"/>
          <w:highlight w:val="none"/>
        </w:rPr>
      </w:pPr>
    </w:p>
    <w:p>
      <w:pPr>
        <w:widowControl/>
        <w:jc w:val="left"/>
        <w:rPr>
          <w:color w:val="auto"/>
          <w:sz w:val="24"/>
          <w:highlight w:val="none"/>
        </w:rPr>
      </w:pPr>
    </w:p>
    <w:p>
      <w:pPr>
        <w:rPr>
          <w:rFonts w:ascii="Calibri" w:hAnsi="Calibri" w:cs="Times New Roman"/>
          <w:color w:val="auto"/>
          <w:szCs w:val="21"/>
          <w:highlight w:val="none"/>
        </w:rPr>
      </w:pPr>
    </w:p>
    <w:p>
      <w:pPr>
        <w:rPr>
          <w:rFonts w:ascii="Calibri" w:hAnsi="Calibri" w:cs="Times New Roman"/>
          <w:color w:val="auto"/>
          <w:szCs w:val="21"/>
          <w:highlight w:val="none"/>
        </w:rPr>
      </w:pPr>
    </w:p>
    <w:p>
      <w:pPr>
        <w:pageBreakBefore w:val="0"/>
        <w:spacing w:before="120" w:line="620" w:lineRule="exact"/>
        <w:ind w:left="27" w:leftChars="13" w:firstLine="480" w:firstLineChars="200"/>
        <w:jc w:val="center"/>
        <w:rPr>
          <w:rFonts w:ascii="黑体" w:hAnsi="黑体" w:eastAsia="黑体"/>
          <w:color w:val="auto"/>
          <w:sz w:val="32"/>
          <w:szCs w:val="27"/>
          <w:highlight w:val="none"/>
        </w:rPr>
      </w:pPr>
      <w:r>
        <w:rPr>
          <w:rFonts w:ascii="宋体" w:hAnsi="宋体"/>
          <w:color w:val="auto"/>
          <w:sz w:val="24"/>
          <w:highlight w:val="none"/>
        </w:rPr>
        <w:br w:type="page"/>
      </w:r>
      <w:bookmarkStart w:id="825" w:name="_Toc259524404"/>
      <w:bookmarkStart w:id="826" w:name="_Toc222033927"/>
      <w:bookmarkStart w:id="827" w:name="_Toc221952224"/>
      <w:bookmarkStart w:id="828" w:name="_Toc222029576"/>
      <w:bookmarkStart w:id="829" w:name="_Toc221948392"/>
      <w:bookmarkStart w:id="830" w:name="_Toc222032745"/>
      <w:bookmarkStart w:id="831" w:name="_Toc229305436"/>
      <w:bookmarkStart w:id="832" w:name="_Toc222031078"/>
      <w:r>
        <w:rPr>
          <w:rFonts w:hint="eastAsia" w:ascii="黑体" w:hAnsi="黑体" w:eastAsia="黑体"/>
          <w:color w:val="auto"/>
          <w:sz w:val="32"/>
          <w:szCs w:val="27"/>
          <w:highlight w:val="none"/>
        </w:rPr>
        <w:t>第五章 工程量清单（综合单价承包）</w:t>
      </w:r>
    </w:p>
    <w:p>
      <w:pPr>
        <w:spacing w:line="360" w:lineRule="auto"/>
        <w:jc w:val="center"/>
        <w:outlineLvl w:val="2"/>
        <w:rPr>
          <w:rFonts w:ascii="黑体" w:hAnsi="黑体" w:eastAsia="黑体"/>
          <w:color w:val="auto"/>
          <w:sz w:val="28"/>
          <w:szCs w:val="27"/>
          <w:highlight w:val="none"/>
        </w:rPr>
      </w:pPr>
      <w:bookmarkStart w:id="833" w:name="_Toc17454891"/>
      <w:bookmarkStart w:id="834" w:name="_Toc17556896"/>
      <w:bookmarkStart w:id="835" w:name="_Toc17452684"/>
      <w:bookmarkStart w:id="836" w:name="_Toc8069"/>
      <w:bookmarkStart w:id="837" w:name="_Toc17451121"/>
      <w:bookmarkStart w:id="838" w:name="_Toc17451643"/>
      <w:bookmarkStart w:id="839" w:name="_Toc17451598"/>
      <w:bookmarkStart w:id="840" w:name="_Toc17454942"/>
      <w:r>
        <w:rPr>
          <w:rFonts w:hint="eastAsia" w:ascii="黑体" w:hAnsi="黑体" w:eastAsia="黑体"/>
          <w:color w:val="auto"/>
          <w:sz w:val="28"/>
          <w:szCs w:val="27"/>
          <w:highlight w:val="none"/>
        </w:rPr>
        <w:t>一、工程量清单说明</w:t>
      </w:r>
      <w:bookmarkEnd w:id="833"/>
      <w:bookmarkEnd w:id="834"/>
      <w:bookmarkEnd w:id="835"/>
      <w:bookmarkEnd w:id="836"/>
      <w:bookmarkEnd w:id="837"/>
      <w:bookmarkEnd w:id="838"/>
      <w:bookmarkEnd w:id="839"/>
      <w:bookmarkEnd w:id="840"/>
    </w:p>
    <w:p>
      <w:pPr>
        <w:spacing w:line="360" w:lineRule="auto"/>
        <w:ind w:firstLine="480" w:firstLineChars="200"/>
        <w:rPr>
          <w:rFonts w:ascii="宋体" w:hAnsi="宋体"/>
          <w:i/>
          <w:color w:val="auto"/>
          <w:sz w:val="24"/>
          <w:highlight w:val="none"/>
        </w:rPr>
      </w:pPr>
      <w:r>
        <w:rPr>
          <w:rFonts w:hint="eastAsia" w:ascii="宋体" w:hAnsi="宋体"/>
          <w:i/>
          <w:color w:val="auto"/>
          <w:sz w:val="24"/>
          <w:highlight w:val="none"/>
        </w:rPr>
        <w:t>（</w:t>
      </w:r>
      <w:r>
        <w:rPr>
          <w:rFonts w:hint="eastAsia" w:ascii="宋体" w:hAnsi="宋体"/>
          <w:i/>
          <w:color w:val="auto"/>
          <w:sz w:val="24"/>
          <w:highlight w:val="none"/>
          <w:lang w:val="en-US" w:eastAsia="zh-CN"/>
        </w:rPr>
        <w:t>注</w:t>
      </w:r>
      <w:r>
        <w:rPr>
          <w:rFonts w:hint="eastAsia" w:ascii="宋体" w:hAnsi="宋体"/>
          <w:i/>
          <w:color w:val="auto"/>
          <w:sz w:val="24"/>
          <w:highlight w:val="none"/>
        </w:rPr>
        <w:t>：本说明内容仅供参考，招标人可以根据项目情况修改。）</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1.1 本工程量清单是根据招标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1.2 本工程量清单应与招标文件中的投标人须知、通用合同条款、专用合同条款、技术标准和要求及图纸等一起阅读和理解。</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1.3 本工程量清单仅是投标报价的共同基础，实际工程计量和工程价款的支付应遵循合同条款的约定和第七章“技术标准和要求”的有关规定。</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1.4 补充子目工程量计算规则及子目工作内容说明：</w:t>
      </w:r>
      <w:r>
        <w:rPr>
          <w:rFonts w:hint="eastAsia" w:ascii="宋体" w:hAnsi="宋体"/>
          <w:color w:val="auto"/>
          <w:sz w:val="24"/>
          <w:highlight w:val="none"/>
          <w:u w:val="single"/>
        </w:rPr>
        <w:t xml:space="preserve">                                </w:t>
      </w:r>
      <w:r>
        <w:rPr>
          <w:rFonts w:hint="eastAsia" w:ascii="宋体" w:hAnsi="宋体"/>
          <w:color w:val="auto"/>
          <w:sz w:val="24"/>
          <w:highlight w:val="none"/>
        </w:rPr>
        <w:t>。</w:t>
      </w:r>
    </w:p>
    <w:p>
      <w:pPr>
        <w:spacing w:line="360" w:lineRule="auto"/>
        <w:jc w:val="center"/>
        <w:outlineLvl w:val="2"/>
        <w:rPr>
          <w:rFonts w:ascii="黑体" w:hAnsi="黑体" w:eastAsia="黑体"/>
          <w:color w:val="auto"/>
          <w:sz w:val="28"/>
          <w:szCs w:val="27"/>
          <w:highlight w:val="none"/>
        </w:rPr>
      </w:pPr>
      <w:bookmarkStart w:id="841" w:name="_Toc17452685"/>
      <w:bookmarkStart w:id="842" w:name="_Toc17451122"/>
      <w:bookmarkStart w:id="843" w:name="_Toc17454943"/>
      <w:bookmarkStart w:id="844" w:name="_Toc31712"/>
      <w:bookmarkStart w:id="845" w:name="_Toc296602589"/>
      <w:bookmarkStart w:id="846" w:name="_Toc17556897"/>
      <w:bookmarkStart w:id="847" w:name="_Toc17451644"/>
      <w:bookmarkStart w:id="848" w:name="_Toc17451599"/>
      <w:bookmarkStart w:id="849" w:name="_Toc17454892"/>
      <w:r>
        <w:rPr>
          <w:rFonts w:hint="eastAsia" w:ascii="黑体" w:hAnsi="黑体" w:eastAsia="黑体"/>
          <w:color w:val="auto"/>
          <w:sz w:val="28"/>
          <w:szCs w:val="27"/>
          <w:highlight w:val="none"/>
        </w:rPr>
        <w:t>二、投标报价说明</w:t>
      </w:r>
      <w:bookmarkEnd w:id="841"/>
      <w:bookmarkEnd w:id="842"/>
      <w:bookmarkEnd w:id="843"/>
      <w:bookmarkEnd w:id="844"/>
      <w:bookmarkEnd w:id="845"/>
      <w:bookmarkEnd w:id="846"/>
      <w:bookmarkEnd w:id="847"/>
      <w:bookmarkEnd w:id="848"/>
      <w:bookmarkEnd w:id="849"/>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2.1 工程量清单中的每一子目须填入单价或价格，且只允许有一个报价。</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 工程量清单中标价的单价或金额，应包括所需的人工费、材料和施工机具使用费和企业管理费、利润以及一定范围内的风险费用等。</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2.3 工程量清单中投标人没有填入单价或价格的子目，其费用视为已分摊在工程量清单中其他相关子目的单价或价格之中。</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2.4 暂列金额的数量及拟用子目的说明：</w:t>
      </w:r>
    </w:p>
    <w:p>
      <w:pPr>
        <w:spacing w:line="360" w:lineRule="auto"/>
        <w:ind w:firstLine="480" w:firstLineChars="200"/>
        <w:rPr>
          <w:rFonts w:hint="eastAsia" w:ascii="宋体" w:hAnsi="宋体"/>
          <w:i/>
          <w:color w:val="auto"/>
          <w:sz w:val="24"/>
          <w:highlight w:val="none"/>
        </w:rPr>
      </w:pPr>
      <w:r>
        <w:rPr>
          <w:rFonts w:hint="eastAsia" w:ascii="宋体" w:hAnsi="宋体"/>
          <w:i/>
          <w:color w:val="auto"/>
          <w:sz w:val="24"/>
          <w:highlight w:val="none"/>
        </w:rPr>
        <w:t>（说明：由招标人根据项目情况拟订，对投标报价采用的定额、取费标准等进行说明）</w:t>
      </w:r>
    </w:p>
    <w:p>
      <w:pPr>
        <w:spacing w:line="360" w:lineRule="auto"/>
        <w:ind w:firstLine="480" w:firstLineChars="200"/>
        <w:rPr>
          <w:rFonts w:hint="eastAsia" w:ascii="宋体" w:hAnsi="宋体" w:eastAsia="宋体" w:cs="Times New Roman"/>
          <w:i w:val="0"/>
          <w:color w:val="auto"/>
          <w:sz w:val="24"/>
          <w:highlight w:val="none"/>
          <w:lang w:eastAsia="zh-CN"/>
        </w:rPr>
      </w:pPr>
      <w:r>
        <w:rPr>
          <w:rFonts w:hint="eastAsia" w:ascii="宋体" w:hAnsi="宋体" w:eastAsia="宋体" w:cs="Times New Roman"/>
          <w:i w:val="0"/>
          <w:color w:val="auto"/>
          <w:sz w:val="24"/>
          <w:highlight w:val="none"/>
        </w:rPr>
        <w:t>2.5 将建筑垃圾运输、处置费用列入工程造价的落实情况</w:t>
      </w:r>
      <w:r>
        <w:rPr>
          <w:rFonts w:hint="eastAsia" w:ascii="宋体" w:hAnsi="宋体" w:eastAsia="宋体" w:cs="Times New Roman"/>
          <w:i w:val="0"/>
          <w:color w:val="auto"/>
          <w:sz w:val="24"/>
          <w:highlight w:val="none"/>
          <w:lang w:eastAsia="zh-CN"/>
        </w:rPr>
        <w:t>。</w:t>
      </w:r>
    </w:p>
    <w:p>
      <w:pPr>
        <w:spacing w:line="360" w:lineRule="auto"/>
        <w:jc w:val="center"/>
        <w:outlineLvl w:val="2"/>
        <w:rPr>
          <w:rFonts w:ascii="黑体" w:hAnsi="黑体" w:eastAsia="黑体"/>
          <w:color w:val="auto"/>
          <w:sz w:val="28"/>
          <w:szCs w:val="27"/>
          <w:highlight w:val="none"/>
        </w:rPr>
      </w:pPr>
      <w:bookmarkStart w:id="850" w:name="_Toc17454893"/>
      <w:bookmarkStart w:id="851" w:name="_Toc17422"/>
      <w:bookmarkStart w:id="852" w:name="_Toc17452686"/>
      <w:bookmarkStart w:id="853" w:name="_Toc17451600"/>
      <w:bookmarkStart w:id="854" w:name="_Toc17454944"/>
      <w:bookmarkStart w:id="855" w:name="_Toc17556898"/>
      <w:bookmarkStart w:id="856" w:name="_Toc17451645"/>
      <w:bookmarkStart w:id="857" w:name="_Toc17451123"/>
      <w:bookmarkStart w:id="858" w:name="_Toc296602590"/>
      <w:r>
        <w:rPr>
          <w:rFonts w:hint="eastAsia" w:ascii="黑体" w:hAnsi="黑体" w:eastAsia="黑体"/>
          <w:color w:val="auto"/>
          <w:sz w:val="28"/>
          <w:szCs w:val="27"/>
          <w:highlight w:val="none"/>
        </w:rPr>
        <w:t>三、其他说明</w:t>
      </w:r>
      <w:bookmarkEnd w:id="850"/>
      <w:bookmarkEnd w:id="851"/>
      <w:bookmarkEnd w:id="852"/>
      <w:bookmarkEnd w:id="853"/>
      <w:bookmarkEnd w:id="854"/>
      <w:bookmarkEnd w:id="855"/>
      <w:bookmarkEnd w:id="856"/>
      <w:bookmarkEnd w:id="857"/>
    </w:p>
    <w:p>
      <w:pPr>
        <w:spacing w:line="360" w:lineRule="auto"/>
        <w:ind w:firstLine="480" w:firstLineChars="200"/>
        <w:rPr>
          <w:rFonts w:ascii="宋体" w:hAnsi="宋体"/>
          <w:i/>
          <w:color w:val="auto"/>
          <w:sz w:val="24"/>
          <w:highlight w:val="none"/>
        </w:rPr>
      </w:pPr>
      <w:r>
        <w:rPr>
          <w:rFonts w:hint="eastAsia" w:ascii="宋体" w:hAnsi="宋体"/>
          <w:i/>
          <w:color w:val="auto"/>
          <w:sz w:val="24"/>
          <w:highlight w:val="none"/>
        </w:rPr>
        <w:t>（</w:t>
      </w:r>
      <w:r>
        <w:rPr>
          <w:rFonts w:hint="eastAsia" w:ascii="宋体" w:hAnsi="宋体"/>
          <w:i/>
          <w:color w:val="auto"/>
          <w:sz w:val="24"/>
          <w:highlight w:val="none"/>
          <w:lang w:val="en-US" w:eastAsia="zh-CN"/>
        </w:rPr>
        <w:t>注</w:t>
      </w:r>
      <w:r>
        <w:rPr>
          <w:rFonts w:hint="eastAsia" w:ascii="宋体" w:hAnsi="宋体"/>
          <w:i/>
          <w:color w:val="auto"/>
          <w:sz w:val="24"/>
          <w:highlight w:val="none"/>
        </w:rPr>
        <w:t>：由招标人根据实际情况补充）</w:t>
      </w:r>
    </w:p>
    <w:p>
      <w:pPr>
        <w:spacing w:line="360" w:lineRule="auto"/>
        <w:rPr>
          <w:rFonts w:ascii="宋体" w:hAnsi="宋体"/>
          <w:color w:val="auto"/>
          <w:sz w:val="24"/>
          <w:highlight w:val="none"/>
        </w:rPr>
      </w:pPr>
      <w:bookmarkStart w:id="859" w:name="_Toc296602591"/>
    </w:p>
    <w:p>
      <w:pPr>
        <w:spacing w:line="360" w:lineRule="auto"/>
        <w:jc w:val="center"/>
        <w:outlineLvl w:val="2"/>
        <w:rPr>
          <w:rFonts w:ascii="黑体" w:hAnsi="黑体" w:eastAsia="黑体"/>
          <w:color w:val="auto"/>
          <w:sz w:val="28"/>
          <w:szCs w:val="27"/>
          <w:highlight w:val="none"/>
        </w:rPr>
      </w:pPr>
      <w:bookmarkStart w:id="860" w:name="_Toc24116"/>
      <w:bookmarkStart w:id="861" w:name="_Toc17454894"/>
      <w:bookmarkStart w:id="862" w:name="_Toc17451646"/>
      <w:bookmarkStart w:id="863" w:name="_Toc17454945"/>
      <w:bookmarkStart w:id="864" w:name="_Toc17452687"/>
      <w:bookmarkStart w:id="865" w:name="_Toc17451601"/>
      <w:bookmarkStart w:id="866" w:name="_Toc17556899"/>
      <w:bookmarkStart w:id="867" w:name="_Toc17451124"/>
      <w:r>
        <w:rPr>
          <w:rFonts w:hint="eastAsia" w:ascii="黑体" w:hAnsi="黑体" w:eastAsia="黑体"/>
          <w:color w:val="auto"/>
          <w:sz w:val="28"/>
          <w:szCs w:val="27"/>
          <w:highlight w:val="none"/>
        </w:rPr>
        <w:t>四、工程量清单</w:t>
      </w:r>
      <w:bookmarkEnd w:id="858"/>
      <w:bookmarkEnd w:id="859"/>
      <w:bookmarkEnd w:id="860"/>
      <w:bookmarkEnd w:id="861"/>
      <w:bookmarkEnd w:id="862"/>
      <w:bookmarkEnd w:id="863"/>
      <w:bookmarkEnd w:id="864"/>
      <w:bookmarkEnd w:id="865"/>
      <w:bookmarkEnd w:id="866"/>
      <w:bookmarkEnd w:id="867"/>
    </w:p>
    <w:p>
      <w:pPr>
        <w:spacing w:line="360" w:lineRule="auto"/>
        <w:ind w:firstLine="480" w:firstLineChars="200"/>
        <w:rPr>
          <w:rFonts w:ascii="宋体" w:hAnsi="宋体"/>
          <w:i/>
          <w:color w:val="auto"/>
          <w:sz w:val="24"/>
          <w:highlight w:val="none"/>
        </w:rPr>
      </w:pPr>
      <w:r>
        <w:rPr>
          <w:rFonts w:hint="eastAsia" w:ascii="宋体" w:hAnsi="宋体"/>
          <w:i/>
          <w:color w:val="auto"/>
          <w:sz w:val="24"/>
          <w:highlight w:val="none"/>
        </w:rPr>
        <w:t>（</w:t>
      </w:r>
      <w:r>
        <w:rPr>
          <w:rFonts w:hint="eastAsia" w:ascii="宋体" w:hAnsi="宋体"/>
          <w:i/>
          <w:color w:val="auto"/>
          <w:sz w:val="24"/>
          <w:highlight w:val="none"/>
          <w:lang w:val="en-US" w:eastAsia="zh-CN"/>
        </w:rPr>
        <w:t>注</w:t>
      </w:r>
      <w:r>
        <w:rPr>
          <w:rFonts w:hint="eastAsia" w:ascii="宋体" w:hAnsi="宋体"/>
          <w:i/>
          <w:color w:val="auto"/>
          <w:sz w:val="24"/>
          <w:highlight w:val="none"/>
        </w:rPr>
        <w:t>：由招标人根据项目情况自定）</w:t>
      </w:r>
    </w:p>
    <w:p>
      <w:pPr>
        <w:rPr>
          <w:color w:val="auto"/>
          <w:highlight w:val="none"/>
        </w:rPr>
      </w:pPr>
    </w:p>
    <w:p>
      <w:pPr>
        <w:spacing w:line="360" w:lineRule="auto"/>
        <w:jc w:val="center"/>
        <w:outlineLvl w:val="1"/>
        <w:rPr>
          <w:rFonts w:hint="eastAsia" w:ascii="黑体" w:hAnsi="黑体" w:eastAsia="黑体"/>
          <w:color w:val="auto"/>
          <w:sz w:val="32"/>
          <w:szCs w:val="27"/>
          <w:highlight w:val="none"/>
        </w:rPr>
        <w:sectPr>
          <w:footerReference r:id="rId8" w:type="default"/>
          <w:pgSz w:w="11906" w:h="16838"/>
          <w:pgMar w:top="1440" w:right="1797" w:bottom="1440" w:left="1797" w:header="851" w:footer="992" w:gutter="0"/>
          <w:pgNumType w:fmt="decimal"/>
          <w:cols w:space="720" w:num="1"/>
          <w:docGrid w:linePitch="312" w:charSpace="0"/>
        </w:sectPr>
      </w:pPr>
      <w:bookmarkStart w:id="868" w:name="_Toc17454946"/>
      <w:bookmarkStart w:id="869" w:name="_Toc17451647"/>
      <w:bookmarkStart w:id="870" w:name="_Toc17451125"/>
      <w:bookmarkStart w:id="871" w:name="_Toc17452688"/>
      <w:bookmarkStart w:id="872" w:name="_Toc17556900"/>
      <w:bookmarkStart w:id="873" w:name="_Toc17451602"/>
      <w:bookmarkStart w:id="874" w:name="_Toc22625"/>
      <w:bookmarkStart w:id="875" w:name="_Toc17454895"/>
    </w:p>
    <w:p>
      <w:pPr>
        <w:spacing w:line="360" w:lineRule="auto"/>
        <w:jc w:val="center"/>
        <w:outlineLvl w:val="1"/>
        <w:rPr>
          <w:rFonts w:ascii="Arial" w:hAnsi="Arial" w:eastAsia="黑体"/>
          <w:color w:val="auto"/>
          <w:sz w:val="20"/>
          <w:szCs w:val="20"/>
          <w:highlight w:val="none"/>
        </w:rPr>
      </w:pPr>
      <w:r>
        <w:rPr>
          <w:rFonts w:hint="eastAsia" w:ascii="黑体" w:hAnsi="黑体" w:eastAsia="黑体"/>
          <w:color w:val="auto"/>
          <w:sz w:val="32"/>
          <w:szCs w:val="27"/>
          <w:highlight w:val="none"/>
        </w:rPr>
        <w:t>第六章 图纸</w:t>
      </w:r>
      <w:bookmarkEnd w:id="825"/>
      <w:r>
        <w:rPr>
          <w:rFonts w:hint="eastAsia" w:ascii="黑体" w:hAnsi="黑体" w:eastAsia="黑体"/>
          <w:color w:val="auto"/>
          <w:sz w:val="32"/>
          <w:szCs w:val="27"/>
          <w:highlight w:val="none"/>
        </w:rPr>
        <w:t>（招标图纸</w:t>
      </w:r>
      <w:bookmarkEnd w:id="826"/>
      <w:bookmarkEnd w:id="827"/>
      <w:bookmarkEnd w:id="828"/>
      <w:bookmarkEnd w:id="829"/>
      <w:bookmarkEnd w:id="830"/>
      <w:bookmarkEnd w:id="831"/>
      <w:bookmarkEnd w:id="832"/>
      <w:r>
        <w:rPr>
          <w:rFonts w:hint="eastAsia" w:ascii="黑体" w:hAnsi="黑体" w:eastAsia="黑体"/>
          <w:color w:val="auto"/>
          <w:sz w:val="32"/>
          <w:szCs w:val="27"/>
          <w:highlight w:val="none"/>
        </w:rPr>
        <w:t>）</w:t>
      </w:r>
      <w:bookmarkEnd w:id="868"/>
      <w:bookmarkEnd w:id="869"/>
      <w:bookmarkEnd w:id="870"/>
      <w:bookmarkEnd w:id="871"/>
      <w:bookmarkEnd w:id="872"/>
      <w:bookmarkEnd w:id="873"/>
      <w:bookmarkEnd w:id="874"/>
      <w:bookmarkEnd w:id="875"/>
    </w:p>
    <w:p>
      <w:pPr>
        <w:spacing w:line="360" w:lineRule="auto"/>
        <w:jc w:val="center"/>
        <w:outlineLvl w:val="9"/>
        <w:rPr>
          <w:rFonts w:hint="eastAsia" w:ascii="黑体" w:hAnsi="黑体" w:eastAsia="黑体" w:cs="黑体"/>
          <w:color w:val="auto"/>
          <w:sz w:val="28"/>
          <w:szCs w:val="32"/>
          <w:highlight w:val="none"/>
          <w:lang w:eastAsia="zh-CN"/>
        </w:rPr>
      </w:pPr>
      <w:r>
        <w:rPr>
          <w:rFonts w:hint="eastAsia" w:ascii="黑体" w:hAnsi="黑体" w:eastAsia="黑体" w:cs="黑体"/>
          <w:color w:val="auto"/>
          <w:sz w:val="28"/>
          <w:szCs w:val="32"/>
          <w:highlight w:val="none"/>
          <w:lang w:eastAsia="zh-CN"/>
        </w:rPr>
        <w:t>（</w:t>
      </w:r>
      <w:r>
        <w:rPr>
          <w:rFonts w:hint="eastAsia" w:ascii="黑体" w:hAnsi="黑体" w:eastAsia="黑体" w:cs="黑体"/>
          <w:color w:val="auto"/>
          <w:sz w:val="28"/>
          <w:szCs w:val="32"/>
          <w:highlight w:val="none"/>
          <w:lang w:val="en-US" w:eastAsia="zh-CN"/>
        </w:rPr>
        <w:t>另册</w:t>
      </w:r>
      <w:r>
        <w:rPr>
          <w:rFonts w:hint="eastAsia" w:ascii="黑体" w:hAnsi="黑体" w:eastAsia="黑体" w:cs="黑体"/>
          <w:color w:val="auto"/>
          <w:sz w:val="28"/>
          <w:szCs w:val="32"/>
          <w:highlight w:val="none"/>
          <w:lang w:eastAsia="zh-CN"/>
        </w:rPr>
        <w:t>）</w:t>
      </w:r>
    </w:p>
    <w:p>
      <w:pPr>
        <w:spacing w:line="400" w:lineRule="exact"/>
        <w:rPr>
          <w:rFonts w:ascii="宋体" w:hAnsi="宋体"/>
          <w:b/>
          <w:color w:val="auto"/>
          <w:sz w:val="27"/>
          <w:szCs w:val="27"/>
          <w:highlight w:val="none"/>
        </w:rPr>
      </w:pPr>
    </w:p>
    <w:p>
      <w:pPr>
        <w:spacing w:line="360" w:lineRule="auto"/>
        <w:rPr>
          <w:rFonts w:ascii="宋体" w:hAnsi="宋体"/>
          <w:color w:val="auto"/>
          <w:szCs w:val="21"/>
          <w:highlight w:val="none"/>
        </w:rPr>
      </w:pPr>
    </w:p>
    <w:p>
      <w:pPr>
        <w:widowControl/>
        <w:jc w:val="left"/>
        <w:rPr>
          <w:rFonts w:ascii="宋体" w:hAnsi="宋体"/>
          <w:color w:val="auto"/>
          <w:szCs w:val="21"/>
          <w:highlight w:val="none"/>
        </w:rPr>
      </w:pPr>
      <w:r>
        <w:rPr>
          <w:rFonts w:ascii="宋体" w:hAnsi="宋体"/>
          <w:color w:val="auto"/>
          <w:szCs w:val="21"/>
          <w:highlight w:val="none"/>
        </w:rPr>
        <w:br w:type="page"/>
      </w:r>
    </w:p>
    <w:p>
      <w:pPr>
        <w:spacing w:line="360" w:lineRule="auto"/>
        <w:jc w:val="center"/>
        <w:outlineLvl w:val="1"/>
        <w:rPr>
          <w:rFonts w:ascii="黑体" w:hAnsi="黑体" w:eastAsia="黑体"/>
          <w:color w:val="auto"/>
          <w:sz w:val="32"/>
          <w:szCs w:val="27"/>
          <w:highlight w:val="none"/>
        </w:rPr>
      </w:pPr>
      <w:bookmarkStart w:id="876" w:name="_Toc259524409"/>
      <w:bookmarkStart w:id="877" w:name="_Toc17451649"/>
      <w:bookmarkStart w:id="878" w:name="_Toc17452690"/>
      <w:bookmarkStart w:id="879" w:name="_Toc18239"/>
      <w:bookmarkStart w:id="880" w:name="_Toc17454897"/>
      <w:bookmarkStart w:id="881" w:name="_Toc17556902"/>
      <w:bookmarkStart w:id="882" w:name="_Toc17451127"/>
      <w:bookmarkStart w:id="883" w:name="_Toc17454948"/>
      <w:bookmarkStart w:id="884" w:name="_Toc17451604"/>
      <w:r>
        <w:rPr>
          <w:rFonts w:hint="eastAsia" w:ascii="黑体" w:hAnsi="黑体" w:eastAsia="黑体"/>
          <w:color w:val="auto"/>
          <w:sz w:val="32"/>
          <w:szCs w:val="27"/>
          <w:highlight w:val="none"/>
        </w:rPr>
        <w:t>第七章 技术标准和要求</w:t>
      </w:r>
      <w:bookmarkEnd w:id="876"/>
      <w:r>
        <w:rPr>
          <w:rFonts w:hint="eastAsia" w:ascii="黑体" w:hAnsi="黑体" w:eastAsia="黑体"/>
          <w:color w:val="auto"/>
          <w:sz w:val="32"/>
          <w:szCs w:val="27"/>
          <w:highlight w:val="none"/>
        </w:rPr>
        <w:t>（合同技术条款）</w:t>
      </w:r>
      <w:bookmarkEnd w:id="877"/>
      <w:bookmarkEnd w:id="878"/>
      <w:bookmarkEnd w:id="879"/>
      <w:bookmarkEnd w:id="880"/>
      <w:bookmarkEnd w:id="881"/>
      <w:bookmarkEnd w:id="882"/>
      <w:bookmarkEnd w:id="883"/>
      <w:bookmarkEnd w:id="884"/>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lang w:val="en-US" w:eastAsia="zh-CN"/>
        </w:rPr>
        <w:t>（另册）</w:t>
      </w:r>
      <w:r>
        <w:rPr>
          <w:rFonts w:hint="eastAsia" w:ascii="宋体" w:hAnsi="宋体"/>
          <w:color w:val="auto"/>
          <w:sz w:val="24"/>
          <w:highlight w:val="none"/>
        </w:rPr>
        <w:t>。</w:t>
      </w:r>
    </w:p>
    <w:p>
      <w:pPr>
        <w:widowControl/>
        <w:jc w:val="left"/>
        <w:rPr>
          <w:rFonts w:ascii="宋体" w:hAnsi="宋体"/>
          <w:color w:val="auto"/>
          <w:sz w:val="24"/>
          <w:highlight w:val="none"/>
        </w:rPr>
      </w:pPr>
      <w:r>
        <w:rPr>
          <w:rFonts w:ascii="宋体" w:hAnsi="宋体"/>
          <w:color w:val="auto"/>
          <w:sz w:val="24"/>
          <w:highlight w:val="none"/>
        </w:rPr>
        <w:br w:type="page"/>
      </w:r>
    </w:p>
    <w:p>
      <w:pPr>
        <w:spacing w:line="360" w:lineRule="auto"/>
        <w:jc w:val="center"/>
        <w:outlineLvl w:val="1"/>
        <w:rPr>
          <w:rFonts w:ascii="黑体" w:hAnsi="黑体" w:eastAsia="黑体"/>
          <w:color w:val="auto"/>
          <w:sz w:val="32"/>
          <w:szCs w:val="27"/>
          <w:highlight w:val="none"/>
        </w:rPr>
      </w:pPr>
      <w:bookmarkStart w:id="885" w:name="_Toc17454949"/>
      <w:bookmarkStart w:id="886" w:name="_Toc17452691"/>
      <w:bookmarkStart w:id="887" w:name="_Toc17556903"/>
      <w:bookmarkStart w:id="888" w:name="_Toc17451650"/>
      <w:bookmarkStart w:id="889" w:name="_Toc259524411"/>
      <w:bookmarkStart w:id="890" w:name="_Toc17451605"/>
      <w:bookmarkStart w:id="891" w:name="_Toc15066"/>
      <w:bookmarkStart w:id="892" w:name="_Toc17454898"/>
      <w:bookmarkStart w:id="893" w:name="_Toc17451128"/>
      <w:bookmarkStart w:id="894" w:name="OLE_LINK7"/>
      <w:r>
        <w:rPr>
          <w:rFonts w:hint="eastAsia" w:ascii="黑体" w:hAnsi="黑体" w:eastAsia="黑体"/>
          <w:color w:val="auto"/>
          <w:sz w:val="32"/>
          <w:szCs w:val="27"/>
          <w:highlight w:val="none"/>
        </w:rPr>
        <w:t>第八章 投标文件格式</w:t>
      </w:r>
      <w:bookmarkEnd w:id="885"/>
      <w:bookmarkEnd w:id="886"/>
      <w:bookmarkEnd w:id="887"/>
      <w:bookmarkEnd w:id="888"/>
      <w:bookmarkEnd w:id="889"/>
      <w:bookmarkEnd w:id="890"/>
      <w:bookmarkEnd w:id="891"/>
      <w:bookmarkEnd w:id="892"/>
      <w:bookmarkEnd w:id="893"/>
      <w:bookmarkEnd w:id="894"/>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投标人应按以下规定的格式及要求编制投标文件，如电子投标文件没有按招标文件规定的格式及要求编制，因其所引起系统无法检索、读取电子投标文件中的数据时，其结果将由投标人自行承担。本格式及要求规定适用于电子评标项目的投标文件的编制。</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1.1《投标函附录》是投标文件的重要组成部分，其内容是投标人开标信息的主要来源，投标人应准确填写《投标函附录》的相关内容。</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1.2  《投标函附录》内容按以下表述填写。</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投标总工期：“＿日历天”或“按招标文件的要求”；</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工程质量标准：“按招标文件的要求”；</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保修期限： “按《建设工程质量管理条例》规定”或“按招标文件的要求”。</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1.3工程量清单报价表</w:t>
      </w:r>
      <w:r>
        <w:rPr>
          <w:color w:val="auto"/>
          <w:sz w:val="24"/>
          <w:szCs w:val="24"/>
          <w:highlight w:val="none"/>
        </w:rPr>
        <w:t>工程量清单报价表应使用符合广东省标准《建设工程政府投资项目造价数据标准（DBJ/T15-145-2018）》及后续版本的有关规定</w:t>
      </w:r>
      <w:r>
        <w:rPr>
          <w:rFonts w:hint="eastAsia" w:ascii="宋体" w:hAnsi="宋体"/>
          <w:color w:val="auto"/>
          <w:sz w:val="24"/>
          <w:szCs w:val="24"/>
          <w:highlight w:val="none"/>
        </w:rPr>
        <w:t>的</w:t>
      </w:r>
      <w:r>
        <w:rPr>
          <w:rFonts w:ascii="宋体" w:hAnsi="宋体"/>
          <w:color w:val="auto"/>
          <w:sz w:val="24"/>
          <w:szCs w:val="24"/>
          <w:highlight w:val="none"/>
        </w:rPr>
        <w:t>cos</w:t>
      </w:r>
      <w:r>
        <w:rPr>
          <w:rFonts w:hint="eastAsia" w:ascii="宋体" w:hAnsi="宋体"/>
          <w:color w:val="auto"/>
          <w:sz w:val="24"/>
          <w:szCs w:val="24"/>
          <w:highlight w:val="none"/>
        </w:rPr>
        <w:t>文件</w:t>
      </w:r>
      <w:r>
        <w:rPr>
          <w:rFonts w:hint="eastAsia"/>
          <w:color w:val="auto"/>
          <w:sz w:val="24"/>
          <w:szCs w:val="24"/>
          <w:highlight w:val="none"/>
        </w:rPr>
        <w:t>或者投标文件编制工具要求的文件格式，</w:t>
      </w:r>
      <w:r>
        <w:rPr>
          <w:rFonts w:hint="eastAsia" w:ascii="宋体" w:hAnsi="宋体"/>
          <w:color w:val="auto"/>
          <w:sz w:val="24"/>
          <w:highlight w:val="none"/>
        </w:rPr>
        <w:t>《投标函附录》使用</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提供的电子投标文件管理软件直接填写，投标文件的其他内容均以电子文件编制。扫描图片电子文件要求为从扫描原纸质文件所形成的电子图片。图片文件格式要求为JPG格式，文件名称要求与上述对应名称一致且唯一，文件内容（即扫描图片内容）要求与文件名称相符，电子图片要求清晰可辨，每个JPG文件可包含多张扫描图片，单个JPG文件大小要求在1M以下。</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1.4 投标人为联合体投标时，应按以下规定填写。</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1.4.1投标人在</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信息登记时，必须将联合体的所有成员单位的全称填写完整。</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1.4.2投标人在编制工程量清单时应只填写主体单位全称，且要求填写的全称与</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登记名称完全一致。</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1.5投标文件中要求盖单位章的，均以盖电子签章为准。要求</w:t>
      </w:r>
      <w:r>
        <w:rPr>
          <w:rFonts w:hint="eastAsia"/>
          <w:color w:val="auto"/>
          <w:sz w:val="24"/>
          <w:szCs w:val="24"/>
          <w:highlight w:val="none"/>
        </w:rPr>
        <w:t>规定法定代表人或授权委托人人、项目负责人和技术负责人签字的页面必须签字。签字必须由本人在规定页面手写签名或签章后扫描上传。</w:t>
      </w:r>
    </w:p>
    <w:p>
      <w:pPr>
        <w:spacing w:line="400" w:lineRule="exact"/>
        <w:rPr>
          <w:rFonts w:eastAsia="黑体"/>
          <w:color w:val="auto"/>
          <w:sz w:val="19"/>
          <w:szCs w:val="19"/>
          <w:highlight w:val="none"/>
        </w:rPr>
      </w:pPr>
      <w:r>
        <w:rPr>
          <w:rFonts w:ascii="宋体" w:hAnsi="宋体"/>
          <w:color w:val="auto"/>
          <w:sz w:val="24"/>
          <w:highlight w:val="none"/>
        </w:rPr>
        <w:br w:type="page"/>
      </w:r>
    </w:p>
    <w:p>
      <w:pPr>
        <w:spacing w:line="360" w:lineRule="auto"/>
        <w:jc w:val="center"/>
        <w:rPr>
          <w:rFonts w:eastAsia="黑体"/>
          <w:color w:val="auto"/>
          <w:sz w:val="27"/>
          <w:szCs w:val="27"/>
          <w:highlight w:val="none"/>
        </w:rPr>
      </w:pPr>
      <w:r>
        <w:rPr>
          <w:rFonts w:hint="eastAsia" w:ascii="黑体" w:hAnsi="黑体" w:eastAsia="黑体" w:cs="黑体"/>
          <w:color w:val="auto"/>
          <w:sz w:val="42"/>
          <w:szCs w:val="42"/>
          <w:highlight w:val="none"/>
          <w:u w:val="single"/>
          <w:lang w:val="en-US" w:eastAsia="zh-CN"/>
        </w:rPr>
        <w:t xml:space="preserve"> 南洲水厂排泥水处理系统建设工程等2项工程自控与安防工程施工</w:t>
      </w:r>
      <w:r>
        <w:rPr>
          <w:rFonts w:hint="eastAsia" w:eastAsia="黑体"/>
          <w:color w:val="auto"/>
          <w:sz w:val="27"/>
          <w:szCs w:val="27"/>
          <w:highlight w:val="none"/>
        </w:rPr>
        <w:t xml:space="preserve"> </w:t>
      </w:r>
    </w:p>
    <w:p>
      <w:pPr>
        <w:spacing w:line="400" w:lineRule="exact"/>
        <w:rPr>
          <w:rFonts w:eastAsia="黑体"/>
          <w:color w:val="auto"/>
          <w:sz w:val="19"/>
          <w:szCs w:val="19"/>
          <w:highlight w:val="none"/>
        </w:rPr>
      </w:pPr>
    </w:p>
    <w:p>
      <w:pPr>
        <w:spacing w:line="400" w:lineRule="exact"/>
        <w:rPr>
          <w:rFonts w:eastAsia="黑体"/>
          <w:color w:val="auto"/>
          <w:sz w:val="19"/>
          <w:szCs w:val="19"/>
          <w:highlight w:val="none"/>
        </w:rPr>
      </w:pPr>
    </w:p>
    <w:p>
      <w:pPr>
        <w:spacing w:line="400" w:lineRule="exact"/>
        <w:jc w:val="center"/>
        <w:rPr>
          <w:rFonts w:eastAsia="黑体"/>
          <w:color w:val="auto"/>
          <w:sz w:val="42"/>
          <w:szCs w:val="42"/>
          <w:highlight w:val="none"/>
        </w:rPr>
      </w:pPr>
      <w:bookmarkStart w:id="895" w:name="_Toc221951911"/>
      <w:r>
        <w:rPr>
          <w:rFonts w:eastAsia="黑体"/>
          <w:color w:val="auto"/>
          <w:sz w:val="42"/>
          <w:szCs w:val="42"/>
          <w:highlight w:val="none"/>
        </w:rPr>
        <w:t>投  标  文  件</w:t>
      </w:r>
      <w:bookmarkEnd w:id="895"/>
    </w:p>
    <w:p>
      <w:pPr>
        <w:spacing w:line="400" w:lineRule="exact"/>
        <w:rPr>
          <w:rFonts w:eastAsia="黑体"/>
          <w:color w:val="auto"/>
          <w:sz w:val="27"/>
          <w:szCs w:val="27"/>
          <w:highlight w:val="none"/>
        </w:rPr>
      </w:pPr>
    </w:p>
    <w:p>
      <w:pPr>
        <w:spacing w:line="400" w:lineRule="exact"/>
        <w:rPr>
          <w:rFonts w:eastAsia="黑体"/>
          <w:color w:val="auto"/>
          <w:sz w:val="27"/>
          <w:szCs w:val="27"/>
          <w:highlight w:val="none"/>
        </w:rPr>
      </w:pPr>
    </w:p>
    <w:p>
      <w:pPr>
        <w:spacing w:line="400" w:lineRule="exact"/>
        <w:rPr>
          <w:rFonts w:eastAsia="黑体"/>
          <w:color w:val="auto"/>
          <w:sz w:val="27"/>
          <w:szCs w:val="27"/>
          <w:highlight w:val="none"/>
        </w:rPr>
      </w:pPr>
    </w:p>
    <w:p>
      <w:pPr>
        <w:spacing w:line="400" w:lineRule="exact"/>
        <w:rPr>
          <w:rFonts w:eastAsia="黑体"/>
          <w:color w:val="auto"/>
          <w:sz w:val="27"/>
          <w:szCs w:val="27"/>
          <w:highlight w:val="none"/>
        </w:rPr>
      </w:pPr>
    </w:p>
    <w:p>
      <w:pPr>
        <w:spacing w:line="400" w:lineRule="exact"/>
        <w:rPr>
          <w:rFonts w:eastAsia="黑体"/>
          <w:color w:val="auto"/>
          <w:sz w:val="27"/>
          <w:szCs w:val="27"/>
          <w:highlight w:val="none"/>
        </w:rPr>
      </w:pPr>
    </w:p>
    <w:p>
      <w:pPr>
        <w:spacing w:line="400" w:lineRule="exact"/>
        <w:rPr>
          <w:rFonts w:eastAsia="黑体"/>
          <w:color w:val="auto"/>
          <w:sz w:val="27"/>
          <w:szCs w:val="27"/>
          <w:highlight w:val="none"/>
        </w:rPr>
      </w:pPr>
    </w:p>
    <w:p>
      <w:pPr>
        <w:spacing w:line="400" w:lineRule="exact"/>
        <w:rPr>
          <w:rFonts w:eastAsia="黑体"/>
          <w:color w:val="auto"/>
          <w:sz w:val="27"/>
          <w:szCs w:val="27"/>
          <w:highlight w:val="none"/>
        </w:rPr>
      </w:pPr>
    </w:p>
    <w:p>
      <w:pPr>
        <w:spacing w:line="400" w:lineRule="exact"/>
        <w:rPr>
          <w:rFonts w:eastAsia="黑体"/>
          <w:color w:val="auto"/>
          <w:sz w:val="27"/>
          <w:szCs w:val="27"/>
          <w:highlight w:val="none"/>
        </w:rPr>
      </w:pPr>
    </w:p>
    <w:p>
      <w:pPr>
        <w:spacing w:line="400" w:lineRule="exact"/>
        <w:rPr>
          <w:rFonts w:eastAsia="黑体"/>
          <w:color w:val="auto"/>
          <w:sz w:val="27"/>
          <w:szCs w:val="27"/>
          <w:highlight w:val="none"/>
        </w:rPr>
      </w:pPr>
    </w:p>
    <w:p>
      <w:pPr>
        <w:spacing w:line="400" w:lineRule="exact"/>
        <w:rPr>
          <w:rFonts w:eastAsia="黑体"/>
          <w:color w:val="auto"/>
          <w:sz w:val="27"/>
          <w:szCs w:val="27"/>
          <w:highlight w:val="none"/>
        </w:rPr>
      </w:pPr>
    </w:p>
    <w:p>
      <w:pPr>
        <w:spacing w:line="400" w:lineRule="exact"/>
        <w:rPr>
          <w:rFonts w:eastAsia="黑体"/>
          <w:color w:val="auto"/>
          <w:sz w:val="27"/>
          <w:szCs w:val="27"/>
          <w:highlight w:val="none"/>
        </w:rPr>
      </w:pPr>
    </w:p>
    <w:p>
      <w:pPr>
        <w:spacing w:line="400" w:lineRule="exact"/>
        <w:jc w:val="center"/>
        <w:rPr>
          <w:rFonts w:eastAsia="黑体"/>
          <w:color w:val="auto"/>
          <w:sz w:val="27"/>
          <w:szCs w:val="27"/>
          <w:highlight w:val="none"/>
        </w:rPr>
      </w:pPr>
      <w:bookmarkStart w:id="896" w:name="_Toc221951912"/>
      <w:r>
        <w:rPr>
          <w:rFonts w:eastAsia="黑体"/>
          <w:color w:val="auto"/>
          <w:sz w:val="27"/>
          <w:szCs w:val="27"/>
          <w:highlight w:val="none"/>
        </w:rPr>
        <w:t>投标人：</w:t>
      </w:r>
      <w:r>
        <w:rPr>
          <w:rFonts w:eastAsia="黑体"/>
          <w:color w:val="auto"/>
          <w:sz w:val="27"/>
          <w:szCs w:val="27"/>
          <w:highlight w:val="none"/>
          <w:u w:val="single"/>
        </w:rPr>
        <w:t xml:space="preserve">                     </w:t>
      </w:r>
      <w:r>
        <w:rPr>
          <w:rFonts w:hint="eastAsia" w:eastAsia="黑体"/>
          <w:color w:val="auto"/>
          <w:sz w:val="27"/>
          <w:szCs w:val="27"/>
          <w:highlight w:val="none"/>
          <w:u w:val="single"/>
        </w:rPr>
        <w:t xml:space="preserve">  </w:t>
      </w:r>
      <w:r>
        <w:rPr>
          <w:rFonts w:eastAsia="黑体"/>
          <w:color w:val="auto"/>
          <w:sz w:val="27"/>
          <w:szCs w:val="27"/>
          <w:highlight w:val="none"/>
          <w:u w:val="single"/>
        </w:rPr>
        <w:t xml:space="preserve">       </w:t>
      </w:r>
      <w:r>
        <w:rPr>
          <w:rFonts w:eastAsia="黑体"/>
          <w:color w:val="auto"/>
          <w:sz w:val="27"/>
          <w:szCs w:val="27"/>
          <w:highlight w:val="none"/>
        </w:rPr>
        <w:t>（盖单位章）</w:t>
      </w:r>
      <w:bookmarkEnd w:id="896"/>
    </w:p>
    <w:p>
      <w:pPr>
        <w:spacing w:line="400" w:lineRule="exact"/>
        <w:jc w:val="center"/>
        <w:rPr>
          <w:rFonts w:eastAsia="黑体"/>
          <w:color w:val="auto"/>
          <w:sz w:val="27"/>
          <w:szCs w:val="27"/>
          <w:highlight w:val="none"/>
          <w:u w:val="single"/>
        </w:rPr>
      </w:pPr>
    </w:p>
    <w:p>
      <w:pPr>
        <w:spacing w:line="400" w:lineRule="exact"/>
        <w:jc w:val="center"/>
        <w:rPr>
          <w:rFonts w:eastAsia="黑体"/>
          <w:color w:val="auto"/>
          <w:sz w:val="27"/>
          <w:szCs w:val="27"/>
          <w:highlight w:val="none"/>
        </w:rPr>
      </w:pPr>
      <w:r>
        <w:rPr>
          <w:rFonts w:eastAsia="黑体"/>
          <w:color w:val="auto"/>
          <w:sz w:val="27"/>
          <w:szCs w:val="27"/>
          <w:highlight w:val="none"/>
          <w:u w:val="single"/>
        </w:rPr>
        <w:t xml:space="preserve">        </w:t>
      </w:r>
      <w:bookmarkStart w:id="897" w:name="_Toc221951914"/>
      <w:r>
        <w:rPr>
          <w:rFonts w:eastAsia="黑体"/>
          <w:color w:val="auto"/>
          <w:sz w:val="27"/>
          <w:szCs w:val="27"/>
          <w:highlight w:val="none"/>
        </w:rPr>
        <w:t>年</w:t>
      </w:r>
      <w:r>
        <w:rPr>
          <w:rFonts w:eastAsia="黑体"/>
          <w:color w:val="auto"/>
          <w:sz w:val="27"/>
          <w:szCs w:val="27"/>
          <w:highlight w:val="none"/>
          <w:u w:val="single"/>
        </w:rPr>
        <w:t xml:space="preserve">        </w:t>
      </w:r>
      <w:r>
        <w:rPr>
          <w:rFonts w:eastAsia="黑体"/>
          <w:color w:val="auto"/>
          <w:sz w:val="27"/>
          <w:szCs w:val="27"/>
          <w:highlight w:val="none"/>
        </w:rPr>
        <w:t>月</w:t>
      </w:r>
      <w:r>
        <w:rPr>
          <w:rFonts w:eastAsia="黑体"/>
          <w:color w:val="auto"/>
          <w:sz w:val="27"/>
          <w:szCs w:val="27"/>
          <w:highlight w:val="none"/>
          <w:u w:val="single"/>
        </w:rPr>
        <w:t xml:space="preserve">         </w:t>
      </w:r>
      <w:r>
        <w:rPr>
          <w:rFonts w:eastAsia="黑体"/>
          <w:color w:val="auto"/>
          <w:sz w:val="27"/>
          <w:szCs w:val="27"/>
          <w:highlight w:val="none"/>
        </w:rPr>
        <w:t>日</w:t>
      </w:r>
      <w:bookmarkEnd w:id="897"/>
    </w:p>
    <w:p>
      <w:pPr>
        <w:spacing w:line="400" w:lineRule="exact"/>
        <w:rPr>
          <w:color w:val="auto"/>
          <w:sz w:val="20"/>
          <w:szCs w:val="20"/>
          <w:highlight w:val="none"/>
        </w:rPr>
      </w:pPr>
      <w:r>
        <w:rPr>
          <w:color w:val="auto"/>
          <w:sz w:val="20"/>
          <w:szCs w:val="20"/>
          <w:highlight w:val="none"/>
        </w:rPr>
        <w:br w:type="page"/>
      </w:r>
    </w:p>
    <w:p>
      <w:pPr>
        <w:spacing w:line="360" w:lineRule="auto"/>
        <w:jc w:val="center"/>
        <w:outlineLvl w:val="2"/>
        <w:rPr>
          <w:rFonts w:ascii="黑体" w:hAnsi="黑体" w:eastAsia="黑体"/>
          <w:color w:val="auto"/>
          <w:sz w:val="28"/>
          <w:szCs w:val="27"/>
          <w:highlight w:val="none"/>
        </w:rPr>
      </w:pPr>
      <w:bookmarkStart w:id="898" w:name="_Toc229305419"/>
      <w:bookmarkStart w:id="899" w:name="_Toc259524413"/>
      <w:bookmarkStart w:id="900" w:name="_Toc17454899"/>
      <w:bookmarkStart w:id="901" w:name="_Toc17452692"/>
      <w:bookmarkStart w:id="902" w:name="_Toc17451651"/>
      <w:bookmarkStart w:id="903" w:name="_Toc17451129"/>
      <w:bookmarkStart w:id="904" w:name="_Toc17451606"/>
      <w:bookmarkStart w:id="905" w:name="_Toc17556904"/>
      <w:bookmarkStart w:id="906" w:name="_Toc14596"/>
      <w:bookmarkStart w:id="907" w:name="_Toc17454950"/>
      <w:r>
        <w:rPr>
          <w:rFonts w:hint="eastAsia" w:ascii="黑体" w:hAnsi="黑体" w:eastAsia="黑体"/>
          <w:color w:val="auto"/>
          <w:sz w:val="28"/>
          <w:szCs w:val="27"/>
          <w:highlight w:val="none"/>
        </w:rPr>
        <w:t>目    录</w:t>
      </w:r>
      <w:bookmarkEnd w:id="898"/>
      <w:bookmarkEnd w:id="899"/>
      <w:r>
        <w:rPr>
          <w:rFonts w:hint="eastAsia" w:ascii="华文宋体" w:hAnsi="华文宋体" w:eastAsia="华文宋体"/>
          <w:color w:val="auto"/>
          <w:szCs w:val="21"/>
          <w:highlight w:val="none"/>
        </w:rPr>
        <w:t>（可加上二级目录）</w:t>
      </w:r>
      <w:bookmarkEnd w:id="900"/>
      <w:bookmarkEnd w:id="901"/>
      <w:bookmarkEnd w:id="902"/>
      <w:bookmarkEnd w:id="903"/>
      <w:bookmarkEnd w:id="904"/>
      <w:bookmarkEnd w:id="905"/>
      <w:bookmarkEnd w:id="906"/>
      <w:bookmarkEnd w:id="907"/>
    </w:p>
    <w:p>
      <w:pPr>
        <w:spacing w:line="400" w:lineRule="exact"/>
        <w:rPr>
          <w:color w:val="auto"/>
          <w:sz w:val="20"/>
          <w:szCs w:val="20"/>
          <w:highlight w:val="none"/>
        </w:rPr>
      </w:pPr>
    </w:p>
    <w:p>
      <w:pPr>
        <w:spacing w:line="276" w:lineRule="auto"/>
        <w:rPr>
          <w:rFonts w:ascii="黑体" w:eastAsia="黑体"/>
          <w:color w:val="auto"/>
          <w:sz w:val="27"/>
          <w:szCs w:val="27"/>
          <w:highlight w:val="none"/>
        </w:rPr>
      </w:pPr>
      <w:bookmarkStart w:id="908" w:name="_Toc221951916"/>
      <w:r>
        <w:rPr>
          <w:rFonts w:hint="eastAsia" w:ascii="黑体" w:eastAsia="黑体"/>
          <w:color w:val="auto"/>
          <w:sz w:val="27"/>
          <w:szCs w:val="27"/>
          <w:highlight w:val="none"/>
        </w:rPr>
        <w:t>一、投标函及投标函附录</w:t>
      </w:r>
      <w:bookmarkEnd w:id="908"/>
    </w:p>
    <w:p>
      <w:pPr>
        <w:spacing w:line="276" w:lineRule="auto"/>
        <w:rPr>
          <w:rFonts w:ascii="黑体" w:eastAsia="黑体"/>
          <w:color w:val="auto"/>
          <w:sz w:val="27"/>
          <w:szCs w:val="27"/>
          <w:highlight w:val="none"/>
        </w:rPr>
      </w:pPr>
      <w:bookmarkStart w:id="909" w:name="_Toc221951917"/>
      <w:r>
        <w:rPr>
          <w:rFonts w:hint="eastAsia" w:ascii="黑体" w:eastAsia="黑体"/>
          <w:color w:val="auto"/>
          <w:sz w:val="27"/>
          <w:szCs w:val="27"/>
          <w:highlight w:val="none"/>
        </w:rPr>
        <w:t>二、法定代表人身份证明</w:t>
      </w:r>
    </w:p>
    <w:p>
      <w:pPr>
        <w:spacing w:line="276" w:lineRule="auto"/>
        <w:rPr>
          <w:rFonts w:ascii="黑体" w:eastAsia="黑体"/>
          <w:color w:val="auto"/>
          <w:sz w:val="27"/>
          <w:szCs w:val="27"/>
          <w:highlight w:val="none"/>
        </w:rPr>
      </w:pPr>
      <w:r>
        <w:rPr>
          <w:rFonts w:hint="eastAsia" w:ascii="黑体" w:eastAsia="黑体"/>
          <w:color w:val="auto"/>
          <w:sz w:val="27"/>
          <w:szCs w:val="27"/>
          <w:highlight w:val="none"/>
        </w:rPr>
        <w:t>三、授权委托书</w:t>
      </w:r>
      <w:bookmarkEnd w:id="909"/>
    </w:p>
    <w:p>
      <w:pPr>
        <w:spacing w:line="276" w:lineRule="auto"/>
        <w:rPr>
          <w:rFonts w:ascii="黑体" w:eastAsia="黑体"/>
          <w:color w:val="auto"/>
          <w:sz w:val="27"/>
          <w:szCs w:val="27"/>
          <w:highlight w:val="none"/>
        </w:rPr>
      </w:pPr>
      <w:bookmarkStart w:id="910" w:name="_Toc221951918"/>
      <w:r>
        <w:rPr>
          <w:rFonts w:hint="eastAsia" w:ascii="黑体" w:eastAsia="黑体"/>
          <w:strike/>
          <w:color w:val="auto"/>
          <w:sz w:val="27"/>
          <w:szCs w:val="27"/>
          <w:highlight w:val="none"/>
        </w:rPr>
        <w:t>四、联合体协议书（若有）</w:t>
      </w:r>
      <w:bookmarkEnd w:id="910"/>
    </w:p>
    <w:p>
      <w:pPr>
        <w:spacing w:line="276" w:lineRule="auto"/>
        <w:rPr>
          <w:rFonts w:ascii="黑体" w:eastAsia="黑体"/>
          <w:color w:val="auto"/>
          <w:sz w:val="27"/>
          <w:szCs w:val="27"/>
          <w:highlight w:val="none"/>
        </w:rPr>
      </w:pPr>
      <w:bookmarkStart w:id="911" w:name="_Toc221951919"/>
      <w:r>
        <w:rPr>
          <w:rFonts w:hint="eastAsia" w:ascii="黑体" w:eastAsia="黑体"/>
          <w:color w:val="auto"/>
          <w:sz w:val="27"/>
          <w:szCs w:val="27"/>
          <w:highlight w:val="none"/>
        </w:rPr>
        <w:t>五、投标保证金</w:t>
      </w:r>
      <w:bookmarkEnd w:id="911"/>
      <w:r>
        <w:rPr>
          <w:rFonts w:hint="eastAsia" w:ascii="黑体" w:eastAsia="黑体"/>
          <w:color w:val="auto"/>
          <w:sz w:val="27"/>
          <w:szCs w:val="27"/>
          <w:highlight w:val="none"/>
        </w:rPr>
        <w:t xml:space="preserve"> </w:t>
      </w:r>
    </w:p>
    <w:p>
      <w:pPr>
        <w:spacing w:line="276" w:lineRule="auto"/>
        <w:rPr>
          <w:rFonts w:ascii="黑体" w:eastAsia="黑体"/>
          <w:color w:val="auto"/>
          <w:sz w:val="27"/>
          <w:szCs w:val="27"/>
          <w:highlight w:val="none"/>
        </w:rPr>
      </w:pPr>
      <w:bookmarkStart w:id="912" w:name="_Toc221951920"/>
      <w:r>
        <w:rPr>
          <w:rFonts w:hint="eastAsia" w:ascii="黑体" w:eastAsia="黑体"/>
          <w:color w:val="auto"/>
          <w:sz w:val="27"/>
          <w:szCs w:val="27"/>
          <w:highlight w:val="none"/>
        </w:rPr>
        <w:t>六、已标价工程量清单</w:t>
      </w:r>
      <w:bookmarkEnd w:id="912"/>
    </w:p>
    <w:p>
      <w:pPr>
        <w:spacing w:line="276" w:lineRule="auto"/>
        <w:rPr>
          <w:rFonts w:ascii="黑体" w:eastAsia="黑体"/>
          <w:color w:val="auto"/>
          <w:sz w:val="27"/>
          <w:szCs w:val="27"/>
          <w:highlight w:val="none"/>
        </w:rPr>
      </w:pPr>
      <w:bookmarkStart w:id="913" w:name="_Toc221951921"/>
      <w:r>
        <w:rPr>
          <w:rFonts w:hint="eastAsia" w:ascii="黑体" w:eastAsia="黑体"/>
          <w:color w:val="auto"/>
          <w:sz w:val="27"/>
          <w:szCs w:val="27"/>
          <w:highlight w:val="none"/>
        </w:rPr>
        <w:t>七、施工组织设计</w:t>
      </w:r>
      <w:bookmarkEnd w:id="913"/>
      <w:r>
        <w:rPr>
          <w:rFonts w:hint="eastAsia" w:ascii="黑体" w:eastAsia="黑体"/>
          <w:color w:val="auto"/>
          <w:sz w:val="27"/>
          <w:szCs w:val="27"/>
          <w:highlight w:val="none"/>
        </w:rPr>
        <w:t>（或施工组织设计要点）</w:t>
      </w:r>
    </w:p>
    <w:p>
      <w:pPr>
        <w:spacing w:line="276" w:lineRule="auto"/>
        <w:rPr>
          <w:rFonts w:ascii="黑体" w:eastAsia="黑体"/>
          <w:color w:val="auto"/>
          <w:sz w:val="27"/>
          <w:szCs w:val="27"/>
          <w:highlight w:val="none"/>
        </w:rPr>
      </w:pPr>
      <w:bookmarkStart w:id="914" w:name="_Toc221951922"/>
      <w:r>
        <w:rPr>
          <w:rFonts w:hint="eastAsia" w:ascii="黑体" w:eastAsia="黑体"/>
          <w:color w:val="auto"/>
          <w:sz w:val="27"/>
          <w:szCs w:val="27"/>
          <w:highlight w:val="none"/>
        </w:rPr>
        <w:t>八、项目管理机构</w:t>
      </w:r>
      <w:bookmarkEnd w:id="914"/>
    </w:p>
    <w:p>
      <w:pPr>
        <w:spacing w:line="276" w:lineRule="auto"/>
        <w:rPr>
          <w:rFonts w:ascii="黑体" w:eastAsia="黑体"/>
          <w:color w:val="auto"/>
          <w:sz w:val="27"/>
          <w:szCs w:val="27"/>
          <w:highlight w:val="none"/>
        </w:rPr>
      </w:pPr>
      <w:bookmarkStart w:id="915" w:name="_Toc221951924"/>
      <w:r>
        <w:rPr>
          <w:rFonts w:hint="eastAsia" w:ascii="黑体" w:eastAsia="黑体"/>
          <w:color w:val="auto"/>
          <w:sz w:val="27"/>
          <w:szCs w:val="27"/>
          <w:highlight w:val="none"/>
        </w:rPr>
        <w:t>九、资格审查资料</w:t>
      </w:r>
      <w:bookmarkEnd w:id="915"/>
    </w:p>
    <w:p>
      <w:pPr>
        <w:spacing w:line="276" w:lineRule="auto"/>
        <w:rPr>
          <w:rFonts w:ascii="黑体" w:eastAsia="黑体"/>
          <w:color w:val="auto"/>
          <w:sz w:val="27"/>
          <w:szCs w:val="27"/>
          <w:highlight w:val="none"/>
        </w:rPr>
      </w:pPr>
      <w:bookmarkStart w:id="916" w:name="_Toc221951925"/>
      <w:r>
        <w:rPr>
          <w:rFonts w:hint="eastAsia" w:ascii="黑体" w:eastAsia="黑体"/>
          <w:color w:val="auto"/>
          <w:sz w:val="27"/>
          <w:szCs w:val="27"/>
          <w:highlight w:val="none"/>
        </w:rPr>
        <w:t>十、</w:t>
      </w:r>
      <w:bookmarkEnd w:id="916"/>
      <w:r>
        <w:rPr>
          <w:rFonts w:hint="eastAsia" w:ascii="黑体" w:eastAsia="黑体"/>
          <w:color w:val="auto"/>
          <w:sz w:val="27"/>
          <w:szCs w:val="27"/>
          <w:highlight w:val="none"/>
        </w:rPr>
        <w:t>投标人须知前附表规定的其他材料</w:t>
      </w:r>
    </w:p>
    <w:p>
      <w:pPr>
        <w:spacing w:line="276" w:lineRule="auto"/>
        <w:rPr>
          <w:rFonts w:eastAsia="黑体"/>
          <w:color w:val="auto"/>
          <w:sz w:val="19"/>
          <w:szCs w:val="19"/>
          <w:highlight w:val="none"/>
        </w:rPr>
      </w:pPr>
      <w:r>
        <w:rPr>
          <w:color w:val="auto"/>
          <w:sz w:val="20"/>
          <w:szCs w:val="20"/>
          <w:highlight w:val="none"/>
        </w:rPr>
        <w:t xml:space="preserve"> </w:t>
      </w:r>
      <w:r>
        <w:rPr>
          <w:color w:val="auto"/>
          <w:sz w:val="20"/>
          <w:szCs w:val="20"/>
          <w:highlight w:val="none"/>
        </w:rPr>
        <w:br w:type="page"/>
      </w:r>
    </w:p>
    <w:p>
      <w:pPr>
        <w:spacing w:line="360" w:lineRule="auto"/>
        <w:jc w:val="center"/>
        <w:outlineLvl w:val="2"/>
        <w:rPr>
          <w:rFonts w:ascii="黑体" w:hAnsi="黑体" w:eastAsia="黑体"/>
          <w:color w:val="auto"/>
          <w:sz w:val="28"/>
          <w:szCs w:val="27"/>
          <w:highlight w:val="none"/>
        </w:rPr>
      </w:pPr>
      <w:bookmarkStart w:id="917" w:name="_Toc144974857"/>
      <w:bookmarkStart w:id="918" w:name="_Toc259524414"/>
      <w:bookmarkStart w:id="919" w:name="_Toc17451652"/>
      <w:bookmarkStart w:id="920" w:name="_Toc222031062"/>
      <w:bookmarkStart w:id="921" w:name="_Toc168476318"/>
      <w:bookmarkStart w:id="922" w:name="_Toc222029560"/>
      <w:bookmarkStart w:id="923" w:name="_Toc222032729"/>
      <w:bookmarkStart w:id="924" w:name="_Toc221951926"/>
      <w:bookmarkStart w:id="925" w:name="_Toc17454951"/>
      <w:bookmarkStart w:id="926" w:name="_Toc17454900"/>
      <w:bookmarkStart w:id="927" w:name="_Toc229305420"/>
      <w:bookmarkStart w:id="928" w:name="_Toc17556905"/>
      <w:bookmarkStart w:id="929" w:name="_Toc17451130"/>
      <w:bookmarkStart w:id="930" w:name="_Toc222033911"/>
      <w:bookmarkStart w:id="931" w:name="_Toc17451607"/>
      <w:bookmarkStart w:id="932" w:name="_Toc27786"/>
      <w:bookmarkStart w:id="933" w:name="_Toc17452693"/>
      <w:bookmarkStart w:id="934" w:name="_Toc168475915"/>
      <w:r>
        <w:rPr>
          <w:rFonts w:ascii="黑体" w:hAnsi="黑体" w:eastAsia="黑体"/>
          <w:color w:val="auto"/>
          <w:sz w:val="28"/>
          <w:szCs w:val="27"/>
          <w:highlight w:val="none"/>
        </w:rPr>
        <w:t>一、投标函及投标函附录</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pPr>
        <w:spacing w:line="400" w:lineRule="exact"/>
        <w:outlineLvl w:val="3"/>
        <w:rPr>
          <w:rFonts w:ascii="宋体" w:hAnsi="宋体"/>
          <w:b/>
          <w:color w:val="auto"/>
          <w:sz w:val="24"/>
          <w:szCs w:val="31"/>
          <w:highlight w:val="none"/>
        </w:rPr>
      </w:pPr>
      <w:bookmarkStart w:id="935" w:name="_Toc168475916"/>
      <w:bookmarkStart w:id="936" w:name="_Toc168476319"/>
      <w:bookmarkStart w:id="937" w:name="_Toc221951927"/>
      <w:bookmarkStart w:id="938" w:name="_Toc144974858"/>
      <w:r>
        <w:rPr>
          <w:rFonts w:ascii="宋体" w:hAnsi="宋体"/>
          <w:b/>
          <w:color w:val="auto"/>
          <w:sz w:val="24"/>
          <w:szCs w:val="31"/>
          <w:highlight w:val="none"/>
        </w:rPr>
        <w:t>（一）投标函</w:t>
      </w:r>
      <w:bookmarkEnd w:id="935"/>
      <w:bookmarkEnd w:id="936"/>
      <w:bookmarkEnd w:id="937"/>
      <w:bookmarkEnd w:id="938"/>
    </w:p>
    <w:p>
      <w:pPr>
        <w:spacing w:line="400" w:lineRule="exact"/>
        <w:rPr>
          <w:color w:val="auto"/>
          <w:sz w:val="19"/>
          <w:szCs w:val="19"/>
          <w:highlight w:val="none"/>
        </w:rPr>
      </w:pPr>
    </w:p>
    <w:p>
      <w:pPr>
        <w:spacing w:line="400" w:lineRule="exact"/>
        <w:rPr>
          <w:rFonts w:ascii="宋体" w:hAnsi="宋体"/>
          <w:color w:val="auto"/>
          <w:szCs w:val="21"/>
          <w:highlight w:val="none"/>
        </w:rPr>
      </w:pPr>
      <w:r>
        <w:rPr>
          <w:rFonts w:ascii="宋体" w:hAnsi="宋体"/>
          <w:color w:val="auto"/>
          <w:szCs w:val="21"/>
          <w:highlight w:val="none"/>
          <w:u w:val="single"/>
        </w:rPr>
        <w:t xml:space="preserve">                        </w:t>
      </w:r>
      <w:bookmarkStart w:id="939" w:name="_Toc221951928"/>
      <w:r>
        <w:rPr>
          <w:rFonts w:ascii="宋体" w:hAnsi="宋体"/>
          <w:color w:val="auto"/>
          <w:szCs w:val="21"/>
          <w:highlight w:val="none"/>
        </w:rPr>
        <w:t>（</w:t>
      </w:r>
      <w:r>
        <w:rPr>
          <w:rFonts w:hint="eastAsia" w:ascii="宋体" w:hAnsi="宋体"/>
          <w:color w:val="auto"/>
          <w:szCs w:val="21"/>
          <w:highlight w:val="none"/>
        </w:rPr>
        <w:t>招标人名称</w:t>
      </w:r>
      <w:r>
        <w:rPr>
          <w:rFonts w:ascii="宋体" w:hAnsi="宋体"/>
          <w:color w:val="auto"/>
          <w:szCs w:val="21"/>
          <w:highlight w:val="none"/>
        </w:rPr>
        <w:t>）：</w:t>
      </w:r>
      <w:bookmarkEnd w:id="939"/>
    </w:p>
    <w:p>
      <w:pPr>
        <w:spacing w:line="400" w:lineRule="exact"/>
        <w:rPr>
          <w:rFonts w:ascii="宋体" w:hAnsi="宋体"/>
          <w:color w:val="auto"/>
          <w:szCs w:val="21"/>
          <w:highlight w:val="none"/>
        </w:rPr>
      </w:pPr>
    </w:p>
    <w:p>
      <w:pPr>
        <w:spacing w:line="400" w:lineRule="exact"/>
        <w:ind w:firstLine="420" w:firstLineChars="200"/>
        <w:rPr>
          <w:rFonts w:ascii="宋体" w:hAnsi="宋体"/>
          <w:color w:val="auto"/>
          <w:szCs w:val="21"/>
          <w:highlight w:val="none"/>
        </w:rPr>
      </w:pPr>
      <w:bookmarkStart w:id="940" w:name="_Toc221951929"/>
      <w:r>
        <w:rPr>
          <w:rFonts w:ascii="宋体" w:hAnsi="宋体"/>
          <w:color w:val="auto"/>
          <w:szCs w:val="21"/>
          <w:highlight w:val="none"/>
        </w:rPr>
        <w:t>1．我方已仔细研究了</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项目名称）      </w:t>
      </w:r>
      <w:r>
        <w:rPr>
          <w:rFonts w:ascii="宋体" w:hAnsi="宋体"/>
          <w:color w:val="auto"/>
          <w:szCs w:val="21"/>
          <w:highlight w:val="none"/>
        </w:rPr>
        <w:t>招标文件的全部内容，愿意以人民币（大写）</w:t>
      </w:r>
      <w:r>
        <w:rPr>
          <w:rFonts w:ascii="宋体" w:hAnsi="宋体"/>
          <w:color w:val="auto"/>
          <w:szCs w:val="21"/>
          <w:highlight w:val="none"/>
          <w:u w:val="single"/>
        </w:rPr>
        <w:t xml:space="preserve">         </w:t>
      </w:r>
      <w:r>
        <w:rPr>
          <w:rFonts w:ascii="宋体" w:hAnsi="宋体"/>
          <w:color w:val="auto"/>
          <w:szCs w:val="21"/>
          <w:highlight w:val="none"/>
        </w:rPr>
        <w:t>元（¥</w:t>
      </w:r>
      <w:r>
        <w:rPr>
          <w:rFonts w:ascii="宋体" w:hAnsi="宋体"/>
          <w:color w:val="auto"/>
          <w:szCs w:val="21"/>
          <w:highlight w:val="none"/>
          <w:u w:val="single"/>
        </w:rPr>
        <w:t xml:space="preserve">           </w:t>
      </w:r>
      <w:r>
        <w:rPr>
          <w:rFonts w:ascii="宋体" w:hAnsi="宋体"/>
          <w:color w:val="auto"/>
          <w:szCs w:val="21"/>
          <w:highlight w:val="none"/>
        </w:rPr>
        <w:t>）的投标总报价，</w:t>
      </w:r>
      <w:r>
        <w:rPr>
          <w:rFonts w:hint="eastAsia" w:ascii="宋体" w:hAnsi="宋体"/>
          <w:color w:val="auto"/>
          <w:szCs w:val="21"/>
          <w:highlight w:val="none"/>
        </w:rPr>
        <w:t>工期</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日历天，</w:t>
      </w:r>
      <w:r>
        <w:rPr>
          <w:rFonts w:ascii="宋体" w:hAnsi="宋体"/>
          <w:color w:val="auto"/>
          <w:szCs w:val="21"/>
          <w:highlight w:val="none"/>
        </w:rPr>
        <w:t>按合同约定实施和完成承包工程，修补工程中的任何缺陷，工程质量达到</w:t>
      </w:r>
      <w:r>
        <w:rPr>
          <w:rFonts w:ascii="宋体" w:hAnsi="宋体"/>
          <w:color w:val="auto"/>
          <w:szCs w:val="21"/>
          <w:highlight w:val="none"/>
          <w:u w:val="single"/>
        </w:rPr>
        <w:t xml:space="preserve">           </w:t>
      </w:r>
      <w:r>
        <w:rPr>
          <w:rFonts w:ascii="宋体" w:hAnsi="宋体"/>
          <w:color w:val="auto"/>
          <w:szCs w:val="21"/>
          <w:highlight w:val="none"/>
        </w:rPr>
        <w:t xml:space="preserve"> 。</w:t>
      </w:r>
      <w:bookmarkEnd w:id="940"/>
    </w:p>
    <w:p>
      <w:pPr>
        <w:spacing w:line="400" w:lineRule="exact"/>
        <w:ind w:firstLine="420" w:firstLineChars="200"/>
        <w:jc w:val="left"/>
        <w:rPr>
          <w:rFonts w:ascii="宋体" w:hAnsi="宋体"/>
          <w:color w:val="auto"/>
          <w:szCs w:val="21"/>
          <w:highlight w:val="none"/>
        </w:rPr>
      </w:pPr>
      <w:bookmarkStart w:id="941" w:name="_Toc221951930"/>
      <w:r>
        <w:rPr>
          <w:rFonts w:ascii="宋体" w:hAnsi="宋体"/>
          <w:color w:val="auto"/>
          <w:szCs w:val="21"/>
          <w:highlight w:val="none"/>
        </w:rPr>
        <w:t>2．我方承诺在投标有效期内不</w:t>
      </w:r>
      <w:r>
        <w:rPr>
          <w:rFonts w:hint="eastAsia" w:ascii="宋体" w:hAnsi="宋体"/>
          <w:color w:val="auto"/>
          <w:szCs w:val="21"/>
          <w:highlight w:val="none"/>
        </w:rPr>
        <w:t>补充、</w:t>
      </w:r>
      <w:r>
        <w:rPr>
          <w:rFonts w:ascii="宋体" w:hAnsi="宋体"/>
          <w:color w:val="auto"/>
          <w:szCs w:val="21"/>
          <w:highlight w:val="none"/>
        </w:rPr>
        <w:t>修改、</w:t>
      </w:r>
      <w:r>
        <w:rPr>
          <w:rFonts w:hint="eastAsia" w:ascii="宋体" w:hAnsi="宋体"/>
          <w:color w:val="auto"/>
          <w:szCs w:val="21"/>
          <w:highlight w:val="none"/>
        </w:rPr>
        <w:t>替代或</w:t>
      </w:r>
      <w:r>
        <w:rPr>
          <w:rFonts w:ascii="宋体" w:hAnsi="宋体"/>
          <w:color w:val="auto"/>
          <w:szCs w:val="21"/>
          <w:highlight w:val="none"/>
        </w:rPr>
        <w:t>撤</w:t>
      </w:r>
      <w:r>
        <w:rPr>
          <w:rFonts w:hint="eastAsia" w:ascii="宋体" w:hAnsi="宋体"/>
          <w:color w:val="auto"/>
          <w:szCs w:val="21"/>
          <w:highlight w:val="none"/>
        </w:rPr>
        <w:t>回本</w:t>
      </w:r>
      <w:r>
        <w:rPr>
          <w:rFonts w:ascii="宋体" w:hAnsi="宋体"/>
          <w:color w:val="auto"/>
          <w:szCs w:val="21"/>
          <w:highlight w:val="none"/>
        </w:rPr>
        <w:t>投标文件。</w:t>
      </w:r>
      <w:bookmarkEnd w:id="941"/>
    </w:p>
    <w:p>
      <w:pPr>
        <w:spacing w:line="400" w:lineRule="exact"/>
        <w:ind w:firstLine="420" w:firstLineChars="200"/>
        <w:rPr>
          <w:rFonts w:ascii="宋体" w:hAnsi="宋体"/>
          <w:color w:val="auto"/>
          <w:szCs w:val="21"/>
          <w:highlight w:val="none"/>
        </w:rPr>
      </w:pPr>
      <w:bookmarkStart w:id="942" w:name="_Toc221951931"/>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随同本投标函提交投标保证金一份，金额为人民币（大写）</w:t>
      </w:r>
      <w:r>
        <w:rPr>
          <w:rFonts w:ascii="宋体" w:hAnsi="宋体"/>
          <w:color w:val="auto"/>
          <w:szCs w:val="21"/>
          <w:highlight w:val="none"/>
          <w:u w:val="single"/>
        </w:rPr>
        <w:t xml:space="preserve">        </w:t>
      </w:r>
      <w:r>
        <w:rPr>
          <w:rFonts w:ascii="宋体" w:hAnsi="宋体"/>
          <w:color w:val="auto"/>
          <w:szCs w:val="21"/>
          <w:highlight w:val="none"/>
        </w:rPr>
        <w:t>元（¥</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元</w:t>
      </w:r>
      <w:r>
        <w:rPr>
          <w:rFonts w:ascii="宋体" w:hAnsi="宋体"/>
          <w:color w:val="auto"/>
          <w:szCs w:val="21"/>
          <w:highlight w:val="none"/>
        </w:rPr>
        <w:t xml:space="preserve"> ）。</w:t>
      </w:r>
      <w:bookmarkEnd w:id="942"/>
    </w:p>
    <w:p>
      <w:pPr>
        <w:spacing w:line="400" w:lineRule="exact"/>
        <w:ind w:firstLine="420" w:firstLineChars="200"/>
        <w:rPr>
          <w:rFonts w:ascii="宋体" w:hAnsi="宋体"/>
          <w:color w:val="auto"/>
          <w:szCs w:val="21"/>
          <w:highlight w:val="none"/>
        </w:rPr>
      </w:pPr>
      <w:bookmarkStart w:id="943" w:name="_Toc221951932"/>
      <w:r>
        <w:rPr>
          <w:rFonts w:ascii="宋体" w:hAnsi="宋体"/>
          <w:color w:val="auto"/>
          <w:szCs w:val="21"/>
          <w:highlight w:val="none"/>
        </w:rPr>
        <w:t>4．如我方中标：</w:t>
      </w:r>
      <w:bookmarkEnd w:id="943"/>
    </w:p>
    <w:p>
      <w:pPr>
        <w:spacing w:line="400" w:lineRule="exact"/>
        <w:ind w:firstLine="718" w:firstLineChars="342"/>
        <w:rPr>
          <w:rFonts w:ascii="宋体" w:hAnsi="宋体"/>
          <w:color w:val="auto"/>
          <w:szCs w:val="21"/>
          <w:highlight w:val="none"/>
        </w:rPr>
      </w:pPr>
      <w:bookmarkStart w:id="944" w:name="_Toc221951933"/>
      <w:r>
        <w:rPr>
          <w:rFonts w:ascii="宋体" w:hAnsi="宋体"/>
          <w:color w:val="auto"/>
          <w:szCs w:val="21"/>
          <w:highlight w:val="none"/>
        </w:rPr>
        <w:t>（1）我方承诺在收到中标通知书后，在中标通知书规定的期限内与你方签订合同。</w:t>
      </w:r>
      <w:bookmarkEnd w:id="944"/>
    </w:p>
    <w:p>
      <w:pPr>
        <w:spacing w:line="400" w:lineRule="exact"/>
        <w:ind w:firstLine="718" w:firstLineChars="342"/>
        <w:rPr>
          <w:rFonts w:ascii="宋体" w:hAnsi="宋体"/>
          <w:color w:val="auto"/>
          <w:szCs w:val="21"/>
          <w:highlight w:val="none"/>
        </w:rPr>
      </w:pPr>
      <w:bookmarkStart w:id="945" w:name="_Toc221951934"/>
      <w:r>
        <w:rPr>
          <w:rFonts w:ascii="宋体" w:hAnsi="宋体"/>
          <w:color w:val="auto"/>
          <w:szCs w:val="21"/>
          <w:highlight w:val="none"/>
        </w:rPr>
        <w:t>（2）随同本投标函递交的投标函附录属于合同文件的组成部分。</w:t>
      </w:r>
      <w:bookmarkEnd w:id="945"/>
    </w:p>
    <w:p>
      <w:pPr>
        <w:spacing w:line="400" w:lineRule="exact"/>
        <w:ind w:firstLine="718" w:firstLineChars="342"/>
        <w:rPr>
          <w:rFonts w:ascii="宋体" w:hAnsi="宋体"/>
          <w:color w:val="auto"/>
          <w:szCs w:val="21"/>
          <w:highlight w:val="none"/>
        </w:rPr>
      </w:pPr>
      <w:bookmarkStart w:id="946" w:name="_Toc221951935"/>
      <w:r>
        <w:rPr>
          <w:rFonts w:ascii="宋体" w:hAnsi="宋体"/>
          <w:color w:val="auto"/>
          <w:szCs w:val="21"/>
          <w:highlight w:val="none"/>
        </w:rPr>
        <w:t>（3）我方承诺按照招标文件规定向你方递交履约担保。</w:t>
      </w:r>
      <w:bookmarkEnd w:id="946"/>
    </w:p>
    <w:p>
      <w:pPr>
        <w:spacing w:line="400" w:lineRule="exact"/>
        <w:ind w:firstLine="718" w:firstLineChars="342"/>
        <w:rPr>
          <w:rFonts w:ascii="宋体" w:hAnsi="宋体"/>
          <w:color w:val="auto"/>
          <w:szCs w:val="21"/>
          <w:highlight w:val="none"/>
        </w:rPr>
      </w:pPr>
      <w:bookmarkStart w:id="947" w:name="_Toc221951936"/>
      <w:r>
        <w:rPr>
          <w:rFonts w:ascii="宋体" w:hAnsi="宋体"/>
          <w:color w:val="auto"/>
          <w:szCs w:val="21"/>
          <w:highlight w:val="none"/>
        </w:rPr>
        <w:t>（4）我方承诺在合同约定的期限内完成并移交全部合同工程。</w:t>
      </w:r>
      <w:bookmarkEnd w:id="947"/>
    </w:p>
    <w:p>
      <w:pPr>
        <w:spacing w:line="400" w:lineRule="exact"/>
        <w:ind w:firstLine="420" w:firstLineChars="200"/>
        <w:rPr>
          <w:rFonts w:ascii="宋体" w:hAnsi="宋体"/>
          <w:color w:val="auto"/>
          <w:szCs w:val="21"/>
          <w:highlight w:val="none"/>
        </w:rPr>
      </w:pPr>
      <w:bookmarkStart w:id="948" w:name="_Toc221951937"/>
      <w:r>
        <w:rPr>
          <w:rFonts w:hint="eastAsia" w:ascii="宋体" w:hAnsi="宋体"/>
          <w:color w:val="auto"/>
          <w:szCs w:val="21"/>
          <w:highlight w:val="none"/>
        </w:rPr>
        <w:t>5．我方在此声明，所递交的投标文件及有关资料内容完整、真实和准确，且不存在第二章“投标人须知”第1.4.</w:t>
      </w:r>
      <w:r>
        <w:rPr>
          <w:rFonts w:hint="eastAsia" w:ascii="宋体" w:hAnsi="宋体"/>
          <w:color w:val="auto"/>
          <w:szCs w:val="21"/>
          <w:highlight w:val="none"/>
          <w:lang w:val="en-US" w:eastAsia="zh-CN"/>
        </w:rPr>
        <w:t>3</w:t>
      </w:r>
      <w:r>
        <w:rPr>
          <w:rFonts w:hint="eastAsia" w:ascii="宋体" w:hAnsi="宋体"/>
          <w:color w:val="auto"/>
          <w:szCs w:val="21"/>
          <w:highlight w:val="none"/>
        </w:rPr>
        <w:t>项规定的任何一种情形。</w:t>
      </w:r>
      <w:bookmarkEnd w:id="948"/>
    </w:p>
    <w:p>
      <w:pPr>
        <w:spacing w:line="400" w:lineRule="exact"/>
        <w:ind w:firstLine="420" w:firstLineChars="200"/>
        <w:rPr>
          <w:rFonts w:ascii="宋体" w:hAnsi="宋体"/>
          <w:color w:val="auto"/>
          <w:szCs w:val="21"/>
          <w:highlight w:val="none"/>
        </w:rPr>
      </w:pPr>
      <w:bookmarkStart w:id="949" w:name="_Toc221951938"/>
      <w:r>
        <w:rPr>
          <w:rFonts w:hint="eastAsia" w:ascii="宋体" w:hAnsi="宋体"/>
          <w:color w:val="auto"/>
          <w:szCs w:val="21"/>
          <w:highlight w:val="none"/>
        </w:rPr>
        <w:t>6</w:t>
      </w:r>
      <w:r>
        <w:rPr>
          <w:rFonts w:ascii="宋体" w:hAnsi="宋体"/>
          <w:color w:val="auto"/>
          <w:szCs w:val="21"/>
          <w:highlight w:val="none"/>
        </w:rPr>
        <w:t>．</w:t>
      </w:r>
      <w:r>
        <w:rPr>
          <w:rFonts w:ascii="宋体" w:hAnsi="宋体"/>
          <w:color w:val="auto"/>
          <w:szCs w:val="21"/>
          <w:highlight w:val="none"/>
          <w:u w:val="single"/>
        </w:rPr>
        <w:t xml:space="preserve">                                       </w:t>
      </w:r>
      <w:r>
        <w:rPr>
          <w:rFonts w:ascii="宋体" w:hAnsi="宋体"/>
          <w:color w:val="auto"/>
          <w:szCs w:val="21"/>
          <w:highlight w:val="none"/>
        </w:rPr>
        <w:t>（</w:t>
      </w:r>
      <w:r>
        <w:rPr>
          <w:rFonts w:hint="eastAsia" w:ascii="宋体" w:hAnsi="宋体"/>
          <w:color w:val="auto"/>
          <w:szCs w:val="21"/>
          <w:highlight w:val="none"/>
        </w:rPr>
        <w:t>其他</w:t>
      </w:r>
      <w:r>
        <w:rPr>
          <w:rFonts w:ascii="宋体" w:hAnsi="宋体"/>
          <w:color w:val="auto"/>
          <w:szCs w:val="21"/>
          <w:highlight w:val="none"/>
        </w:rPr>
        <w:t>补充说明）。</w:t>
      </w:r>
      <w:bookmarkEnd w:id="949"/>
    </w:p>
    <w:p>
      <w:pPr>
        <w:spacing w:line="400" w:lineRule="exact"/>
        <w:rPr>
          <w:rFonts w:ascii="宋体" w:hAnsi="宋体"/>
          <w:color w:val="auto"/>
          <w:szCs w:val="21"/>
          <w:highlight w:val="none"/>
        </w:rPr>
      </w:pPr>
    </w:p>
    <w:p>
      <w:pPr>
        <w:spacing w:line="400" w:lineRule="exact"/>
        <w:ind w:firstLine="3675" w:firstLineChars="1750"/>
        <w:rPr>
          <w:rFonts w:ascii="宋体" w:hAnsi="宋体"/>
          <w:color w:val="auto"/>
          <w:szCs w:val="21"/>
          <w:highlight w:val="none"/>
        </w:rPr>
      </w:pPr>
      <w:bookmarkStart w:id="950" w:name="_Toc221951939"/>
      <w:r>
        <w:rPr>
          <w:rFonts w:ascii="宋体" w:hAnsi="宋体"/>
          <w:color w:val="auto"/>
          <w:szCs w:val="21"/>
          <w:highlight w:val="none"/>
        </w:rPr>
        <w:t>投 标 人：</w:t>
      </w:r>
      <w:r>
        <w:rPr>
          <w:rFonts w:ascii="宋体" w:hAnsi="宋体"/>
          <w:color w:val="auto"/>
          <w:szCs w:val="21"/>
          <w:highlight w:val="none"/>
          <w:u w:val="single"/>
        </w:rPr>
        <w:t xml:space="preserve">                      </w:t>
      </w:r>
      <w:r>
        <w:rPr>
          <w:rFonts w:ascii="宋体" w:hAnsi="宋体"/>
          <w:color w:val="auto"/>
          <w:szCs w:val="21"/>
          <w:highlight w:val="none"/>
        </w:rPr>
        <w:t>（盖单位章）</w:t>
      </w:r>
      <w:bookmarkEnd w:id="950"/>
    </w:p>
    <w:p>
      <w:pPr>
        <w:spacing w:line="400" w:lineRule="exact"/>
        <w:ind w:firstLine="3675" w:firstLineChars="1750"/>
        <w:rPr>
          <w:rFonts w:ascii="宋体" w:hAnsi="宋体"/>
          <w:color w:val="auto"/>
          <w:szCs w:val="21"/>
          <w:highlight w:val="none"/>
        </w:rPr>
      </w:pPr>
      <w:bookmarkStart w:id="951" w:name="_Toc221951941"/>
      <w:r>
        <w:rPr>
          <w:rFonts w:ascii="宋体" w:hAnsi="宋体"/>
          <w:color w:val="auto"/>
          <w:szCs w:val="21"/>
          <w:highlight w:val="none"/>
        </w:rPr>
        <w:t>地址：</w:t>
      </w:r>
      <w:bookmarkEnd w:id="951"/>
      <w:r>
        <w:rPr>
          <w:rFonts w:ascii="宋体" w:hAnsi="宋体"/>
          <w:color w:val="auto"/>
          <w:szCs w:val="21"/>
          <w:highlight w:val="none"/>
          <w:u w:val="single"/>
        </w:rPr>
        <w:t xml:space="preserve">                                     </w:t>
      </w:r>
    </w:p>
    <w:p>
      <w:pPr>
        <w:spacing w:line="400" w:lineRule="exact"/>
        <w:ind w:firstLine="3675" w:firstLineChars="1750"/>
        <w:rPr>
          <w:rFonts w:ascii="宋体" w:hAnsi="宋体"/>
          <w:color w:val="auto"/>
          <w:szCs w:val="21"/>
          <w:highlight w:val="none"/>
        </w:rPr>
      </w:pPr>
      <w:bookmarkStart w:id="952" w:name="_Toc221951942"/>
      <w:r>
        <w:rPr>
          <w:rFonts w:ascii="宋体" w:hAnsi="宋体"/>
          <w:color w:val="auto"/>
          <w:szCs w:val="21"/>
          <w:highlight w:val="none"/>
        </w:rPr>
        <w:t>网址：</w:t>
      </w:r>
      <w:bookmarkEnd w:id="952"/>
      <w:r>
        <w:rPr>
          <w:rFonts w:ascii="宋体" w:hAnsi="宋体"/>
          <w:color w:val="auto"/>
          <w:szCs w:val="21"/>
          <w:highlight w:val="none"/>
          <w:u w:val="single"/>
        </w:rPr>
        <w:t xml:space="preserve">                                     </w:t>
      </w:r>
    </w:p>
    <w:p>
      <w:pPr>
        <w:spacing w:line="400" w:lineRule="exact"/>
        <w:ind w:firstLine="3675" w:firstLineChars="1750"/>
        <w:rPr>
          <w:rFonts w:ascii="宋体" w:hAnsi="宋体"/>
          <w:color w:val="auto"/>
          <w:szCs w:val="21"/>
          <w:highlight w:val="none"/>
        </w:rPr>
      </w:pPr>
      <w:bookmarkStart w:id="953" w:name="_Toc221951943"/>
      <w:r>
        <w:rPr>
          <w:rFonts w:ascii="宋体" w:hAnsi="宋体"/>
          <w:color w:val="auto"/>
          <w:szCs w:val="21"/>
          <w:highlight w:val="none"/>
        </w:rPr>
        <w:t>电话：</w:t>
      </w:r>
      <w:bookmarkEnd w:id="953"/>
      <w:r>
        <w:rPr>
          <w:rFonts w:ascii="宋体" w:hAnsi="宋体"/>
          <w:color w:val="auto"/>
          <w:szCs w:val="21"/>
          <w:highlight w:val="none"/>
          <w:u w:val="single"/>
        </w:rPr>
        <w:t xml:space="preserve">                                     </w:t>
      </w:r>
    </w:p>
    <w:p>
      <w:pPr>
        <w:spacing w:line="400" w:lineRule="exact"/>
        <w:ind w:firstLine="3675" w:firstLineChars="1750"/>
        <w:rPr>
          <w:rFonts w:ascii="宋体" w:hAnsi="宋体"/>
          <w:color w:val="auto"/>
          <w:szCs w:val="21"/>
          <w:highlight w:val="none"/>
        </w:rPr>
      </w:pPr>
      <w:bookmarkStart w:id="954" w:name="_Toc221951944"/>
      <w:r>
        <w:rPr>
          <w:rFonts w:ascii="宋体" w:hAnsi="宋体"/>
          <w:color w:val="auto"/>
          <w:szCs w:val="21"/>
          <w:highlight w:val="none"/>
        </w:rPr>
        <w:t>传真：</w:t>
      </w:r>
      <w:bookmarkEnd w:id="954"/>
      <w:r>
        <w:rPr>
          <w:rFonts w:ascii="宋体" w:hAnsi="宋体"/>
          <w:color w:val="auto"/>
          <w:szCs w:val="21"/>
          <w:highlight w:val="none"/>
          <w:u w:val="single"/>
        </w:rPr>
        <w:t xml:space="preserve">                                     </w:t>
      </w:r>
    </w:p>
    <w:p>
      <w:pPr>
        <w:spacing w:line="400" w:lineRule="exact"/>
        <w:ind w:firstLine="3675" w:firstLineChars="1750"/>
        <w:rPr>
          <w:rFonts w:ascii="宋体" w:hAnsi="宋体"/>
          <w:color w:val="auto"/>
          <w:szCs w:val="21"/>
          <w:highlight w:val="none"/>
        </w:rPr>
      </w:pPr>
      <w:bookmarkStart w:id="955" w:name="_Toc221951945"/>
      <w:r>
        <w:rPr>
          <w:rFonts w:ascii="宋体" w:hAnsi="宋体"/>
          <w:color w:val="auto"/>
          <w:szCs w:val="21"/>
          <w:highlight w:val="none"/>
        </w:rPr>
        <w:t>邮政编码：</w:t>
      </w:r>
      <w:bookmarkEnd w:id="955"/>
      <w:r>
        <w:rPr>
          <w:rFonts w:ascii="宋体" w:hAnsi="宋体"/>
          <w:color w:val="auto"/>
          <w:szCs w:val="21"/>
          <w:highlight w:val="none"/>
          <w:u w:val="single"/>
        </w:rPr>
        <w:t xml:space="preserve">                                 </w:t>
      </w:r>
    </w:p>
    <w:p>
      <w:pPr>
        <w:spacing w:line="400" w:lineRule="exact"/>
        <w:ind w:firstLine="3675" w:firstLineChars="1750"/>
        <w:rPr>
          <w:rFonts w:ascii="宋体" w:hAnsi="宋体"/>
          <w:color w:val="auto"/>
          <w:szCs w:val="21"/>
          <w:highlight w:val="none"/>
        </w:rPr>
      </w:pPr>
    </w:p>
    <w:p>
      <w:pPr>
        <w:spacing w:line="400" w:lineRule="exact"/>
        <w:ind w:firstLine="4725" w:firstLineChars="2250"/>
        <w:jc w:val="right"/>
        <w:rPr>
          <w:rFonts w:ascii="宋体" w:hAnsi="宋体"/>
          <w:color w:val="auto"/>
          <w:szCs w:val="21"/>
          <w:highlight w:val="none"/>
        </w:rPr>
      </w:pPr>
      <w:bookmarkStart w:id="956" w:name="_Toc221951946"/>
      <w:r>
        <w:rPr>
          <w:rFonts w:ascii="宋体" w:hAnsi="宋体"/>
          <w:color w:val="auto"/>
          <w:szCs w:val="21"/>
          <w:highlight w:val="none"/>
          <w:u w:val="single"/>
        </w:rPr>
        <w:t>___</w:t>
      </w:r>
      <w:r>
        <w:rPr>
          <w:rFonts w:hint="eastAsia" w:ascii="宋体" w:hAnsi="宋体"/>
          <w:color w:val="auto"/>
          <w:szCs w:val="21"/>
          <w:highlight w:val="none"/>
          <w:u w:val="single"/>
        </w:rPr>
        <w:t xml:space="preserve">   </w:t>
      </w:r>
      <w:r>
        <w:rPr>
          <w:rFonts w:ascii="宋体" w:hAnsi="宋体"/>
          <w:color w:val="auto"/>
          <w:szCs w:val="21"/>
          <w:highlight w:val="none"/>
          <w:u w:val="single"/>
        </w:rPr>
        <w:t>__</w:t>
      </w:r>
      <w:r>
        <w:rPr>
          <w:rFonts w:ascii="宋体" w:hAnsi="宋体"/>
          <w:color w:val="auto"/>
          <w:szCs w:val="21"/>
          <w:highlight w:val="none"/>
        </w:rPr>
        <w:t>年</w:t>
      </w:r>
      <w:r>
        <w:rPr>
          <w:rFonts w:ascii="宋体" w:hAnsi="宋体"/>
          <w:color w:val="auto"/>
          <w:szCs w:val="21"/>
          <w:highlight w:val="none"/>
          <w:u w:val="single"/>
        </w:rPr>
        <w:t>__</w:t>
      </w:r>
      <w:r>
        <w:rPr>
          <w:rFonts w:hint="eastAsia" w:ascii="宋体" w:hAnsi="宋体"/>
          <w:color w:val="auto"/>
          <w:szCs w:val="21"/>
          <w:highlight w:val="none"/>
          <w:u w:val="single"/>
        </w:rPr>
        <w:t xml:space="preserve">   </w:t>
      </w:r>
      <w:r>
        <w:rPr>
          <w:rFonts w:ascii="宋体" w:hAnsi="宋体"/>
          <w:color w:val="auto"/>
          <w:szCs w:val="21"/>
          <w:highlight w:val="none"/>
          <w:u w:val="single"/>
        </w:rPr>
        <w:t>__</w:t>
      </w:r>
      <w:r>
        <w:rPr>
          <w:rFonts w:ascii="宋体" w:hAnsi="宋体"/>
          <w:color w:val="auto"/>
          <w:szCs w:val="21"/>
          <w:highlight w:val="none"/>
        </w:rPr>
        <w:t>月__</w:t>
      </w:r>
      <w:r>
        <w:rPr>
          <w:rFonts w:ascii="宋体" w:hAnsi="宋体"/>
          <w:color w:val="auto"/>
          <w:szCs w:val="21"/>
          <w:highlight w:val="none"/>
          <w:u w:val="single"/>
        </w:rPr>
        <w:t>_</w:t>
      </w:r>
      <w:r>
        <w:rPr>
          <w:rFonts w:hint="eastAsia" w:ascii="宋体" w:hAnsi="宋体"/>
          <w:color w:val="auto"/>
          <w:szCs w:val="21"/>
          <w:highlight w:val="none"/>
          <w:u w:val="single"/>
        </w:rPr>
        <w:t xml:space="preserve">  </w:t>
      </w:r>
      <w:r>
        <w:rPr>
          <w:rFonts w:ascii="宋体" w:hAnsi="宋体"/>
          <w:color w:val="auto"/>
          <w:szCs w:val="21"/>
          <w:highlight w:val="none"/>
          <w:u w:val="single"/>
        </w:rPr>
        <w:t>_</w:t>
      </w:r>
      <w:r>
        <w:rPr>
          <w:rFonts w:ascii="宋体" w:hAnsi="宋体"/>
          <w:color w:val="auto"/>
          <w:szCs w:val="21"/>
          <w:highlight w:val="none"/>
        </w:rPr>
        <w:t>日</w:t>
      </w:r>
      <w:bookmarkEnd w:id="956"/>
    </w:p>
    <w:p>
      <w:pPr>
        <w:spacing w:line="400" w:lineRule="exact"/>
        <w:rPr>
          <w:rFonts w:eastAsia="黑体"/>
          <w:color w:val="auto"/>
          <w:sz w:val="20"/>
          <w:szCs w:val="20"/>
          <w:highlight w:val="none"/>
        </w:rPr>
      </w:pPr>
    </w:p>
    <w:p>
      <w:pPr>
        <w:spacing w:line="400" w:lineRule="exact"/>
        <w:rPr>
          <w:rFonts w:hint="eastAsia" w:ascii="宋体" w:hAnsi="宋体" w:cs="宋体"/>
          <w:b/>
          <w:bCs/>
          <w:color w:val="auto"/>
          <w:sz w:val="36"/>
          <w:szCs w:val="36"/>
          <w:highlight w:val="none"/>
          <w:lang w:val="zh-CN"/>
        </w:rPr>
      </w:pPr>
      <w:r>
        <w:rPr>
          <w:rFonts w:eastAsia="黑体"/>
          <w:color w:val="auto"/>
          <w:sz w:val="19"/>
          <w:szCs w:val="19"/>
          <w:highlight w:val="none"/>
        </w:rPr>
        <w:br w:type="page"/>
      </w:r>
      <w:bookmarkStart w:id="957" w:name="_Toc168476320"/>
      <w:bookmarkStart w:id="958" w:name="_Toc168475917"/>
      <w:bookmarkStart w:id="959" w:name="_Toc144974859"/>
      <w:bookmarkStart w:id="960" w:name="_Toc221951947"/>
      <w:r>
        <w:rPr>
          <w:rFonts w:ascii="宋体" w:hAnsi="宋体"/>
          <w:b/>
          <w:color w:val="auto"/>
          <w:sz w:val="24"/>
          <w:szCs w:val="31"/>
          <w:highlight w:val="none"/>
        </w:rPr>
        <w:t>（二）</w:t>
      </w:r>
      <w:r>
        <w:rPr>
          <w:rFonts w:ascii="黑体" w:hAnsi="黑体" w:eastAsia="黑体"/>
          <w:color w:val="auto"/>
          <w:sz w:val="28"/>
          <w:szCs w:val="27"/>
          <w:highlight w:val="none"/>
        </w:rPr>
        <w:t>投标函附录</w:t>
      </w:r>
      <w:r>
        <w:rPr>
          <w:rFonts w:hint="eastAsia" w:ascii="黑体" w:hAnsi="黑体" w:eastAsia="黑体"/>
          <w:color w:val="auto"/>
          <w:szCs w:val="21"/>
          <w:highlight w:val="none"/>
        </w:rPr>
        <w:t>（</w:t>
      </w:r>
      <w:r>
        <w:rPr>
          <w:rFonts w:hint="eastAsia" w:ascii="宋体" w:hAnsi="宋体"/>
          <w:color w:val="auto"/>
          <w:szCs w:val="21"/>
          <w:highlight w:val="none"/>
        </w:rPr>
        <w:t>适用于不采用综合评估法三的情形</w:t>
      </w:r>
      <w:r>
        <w:rPr>
          <w:rFonts w:hint="eastAsia" w:ascii="黑体" w:hAnsi="黑体" w:eastAsia="黑体"/>
          <w:color w:val="auto"/>
          <w:szCs w:val="21"/>
          <w:highlight w:val="none"/>
        </w:rPr>
        <w:t>）</w:t>
      </w:r>
    </w:p>
    <w:p>
      <w:pPr>
        <w:autoSpaceDE w:val="0"/>
        <w:autoSpaceDN w:val="0"/>
        <w:adjustRightInd w:val="0"/>
        <w:jc w:val="center"/>
        <w:rPr>
          <w:rFonts w:hint="eastAsia" w:ascii="宋体" w:hAnsi="宋体"/>
          <w:bCs/>
          <w:color w:val="auto"/>
          <w:sz w:val="52"/>
          <w:szCs w:val="52"/>
          <w:highlight w:val="none"/>
        </w:rPr>
      </w:pPr>
      <w:r>
        <w:rPr>
          <w:rFonts w:hint="eastAsia" w:ascii="宋体" w:hAnsi="宋体" w:cs="宋体"/>
          <w:b/>
          <w:color w:val="auto"/>
          <w:sz w:val="24"/>
          <w:szCs w:val="24"/>
          <w:highlight w:val="none"/>
          <w:lang w:val="zh-CN"/>
        </w:rPr>
        <w:t xml:space="preserve">                                              </w:t>
      </w:r>
      <w:r>
        <w:rPr>
          <w:rFonts w:hint="eastAsia" w:ascii="宋体" w:hAnsi="宋体" w:cs="宋体"/>
          <w:color w:val="auto"/>
          <w:sz w:val="24"/>
          <w:szCs w:val="24"/>
          <w:highlight w:val="none"/>
          <w:lang w:val="zh-CN"/>
        </w:rPr>
        <w:t>投标日期：   年  月  日</w:t>
      </w:r>
    </w:p>
    <w:tbl>
      <w:tblPr>
        <w:tblStyle w:val="19"/>
        <w:tblpPr w:leftFromText="180" w:rightFromText="180" w:vertAnchor="text" w:horzAnchor="margin" w:tblpY="-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8"/>
        <w:gridCol w:w="202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352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工 程 名 称</w:t>
            </w:r>
          </w:p>
        </w:tc>
        <w:tc>
          <w:tcPr>
            <w:tcW w:w="5851" w:type="dxa"/>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ascii="宋体" w:hAnsi="宋体" w:cs="宋体"/>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投标总报价（元）</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35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Cs/>
                <w:color w:val="auto"/>
                <w:sz w:val="24"/>
                <w:szCs w:val="24"/>
                <w:highlight w:val="none"/>
                <w:lang w:val="zh-CN"/>
              </w:rPr>
            </w:pP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其中：</w:t>
            </w:r>
            <w:r>
              <w:rPr>
                <w:rFonts w:hint="eastAsia" w:ascii="宋体" w:hAnsi="宋体" w:cs="宋体"/>
                <w:bCs/>
                <w:color w:val="auto"/>
                <w:sz w:val="24"/>
                <w:szCs w:val="24"/>
                <w:highlight w:val="none"/>
                <w:lang w:val="zh-CN"/>
              </w:rPr>
              <w:t>人工费</w:t>
            </w:r>
            <w:r>
              <w:rPr>
                <w:rFonts w:hint="eastAsia" w:ascii="宋体" w:hAnsi="宋体" w:cs="宋体"/>
                <w:color w:val="auto"/>
                <w:sz w:val="24"/>
                <w:szCs w:val="24"/>
                <w:highlight w:val="none"/>
                <w:lang w:val="zh-CN"/>
              </w:rPr>
              <w:t>（元）</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35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Cs/>
                <w:color w:val="auto"/>
                <w:sz w:val="24"/>
                <w:szCs w:val="24"/>
                <w:highlight w:val="none"/>
                <w:lang w:val="zh-CN"/>
              </w:rPr>
            </w:pP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vMerge w:val="restart"/>
            <w:tcBorders>
              <w:top w:val="single" w:color="auto" w:sz="4" w:space="0"/>
              <w:left w:val="single" w:color="auto" w:sz="4" w:space="0"/>
              <w:right w:val="single" w:color="auto" w:sz="4" w:space="0"/>
            </w:tcBorders>
            <w:noWrap w:val="0"/>
            <w:vAlign w:val="center"/>
          </w:tcPr>
          <w:p>
            <w:pPr>
              <w:widowControl/>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其中</w:t>
            </w:r>
            <w:r>
              <w:rPr>
                <w:rFonts w:hint="eastAsia" w:ascii="宋体" w:hAnsi="宋体" w:eastAsia="宋体" w:cs="宋体"/>
                <w:bCs/>
                <w:color w:val="auto"/>
                <w:sz w:val="24"/>
                <w:szCs w:val="24"/>
                <w:highlight w:val="none"/>
                <w:lang w:val="zh-CN"/>
              </w:rPr>
              <w:t>：绿色施工安全防护措施费（元）</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28" w:type="dxa"/>
            <w:vMerge w:val="continue"/>
            <w:tcBorders>
              <w:left w:val="single" w:color="auto" w:sz="4" w:space="0"/>
              <w:bottom w:val="single" w:color="auto" w:sz="4" w:space="0"/>
              <w:right w:val="single" w:color="auto" w:sz="4" w:space="0"/>
            </w:tcBorders>
            <w:noWrap w:val="0"/>
            <w:vAlign w:val="center"/>
          </w:tcPr>
          <w:p>
            <w:pPr>
              <w:widowControl/>
              <w:jc w:val="left"/>
              <w:rPr>
                <w:rFonts w:ascii="宋体" w:hAnsi="宋体" w:cs="宋体"/>
                <w:bCs/>
                <w:color w:val="auto"/>
                <w:sz w:val="24"/>
                <w:szCs w:val="24"/>
                <w:highlight w:val="none"/>
                <w:lang w:val="zh-CN"/>
              </w:rPr>
            </w:pP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投 标 总</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val="zh-CN"/>
              </w:rPr>
              <w:t>工 期</w:t>
            </w:r>
          </w:p>
        </w:tc>
        <w:tc>
          <w:tcPr>
            <w:tcW w:w="5851" w:type="dxa"/>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ascii="宋体" w:hAnsi="宋体" w:cs="宋体"/>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52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r>
              <w:rPr>
                <w:rFonts w:hint="eastAsia" w:ascii="宋体" w:hAnsi="宋体" w:cs="宋体"/>
                <w:color w:val="auto"/>
                <w:sz w:val="24"/>
                <w:szCs w:val="24"/>
                <w:highlight w:val="none"/>
                <w:lang w:val="zh-CN"/>
              </w:rPr>
              <w:t>工程质量标准</w:t>
            </w:r>
          </w:p>
        </w:tc>
        <w:tc>
          <w:tcPr>
            <w:tcW w:w="5851" w:type="dxa"/>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ascii="宋体" w:hAnsi="宋体" w:cs="宋体"/>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950" w:firstLineChars="396"/>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保 修 期 限</w:t>
            </w:r>
          </w:p>
        </w:tc>
        <w:tc>
          <w:tcPr>
            <w:tcW w:w="5851" w:type="dxa"/>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ascii="宋体" w:hAnsi="宋体" w:cs="宋体"/>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3528"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委派的项目负责人</w:t>
            </w:r>
          </w:p>
        </w:tc>
        <w:tc>
          <w:tcPr>
            <w:tcW w:w="202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姓    名</w:t>
            </w:r>
          </w:p>
        </w:tc>
        <w:tc>
          <w:tcPr>
            <w:tcW w:w="3823"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ascii="宋体" w:hAnsi="宋体" w:cs="宋体"/>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35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Cs/>
                <w:color w:val="auto"/>
                <w:sz w:val="24"/>
                <w:szCs w:val="24"/>
                <w:highlight w:val="none"/>
                <w:lang w:val="zh-CN"/>
              </w:rPr>
            </w:pPr>
          </w:p>
        </w:tc>
        <w:tc>
          <w:tcPr>
            <w:tcW w:w="202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建造师的注册编号</w:t>
            </w:r>
          </w:p>
        </w:tc>
        <w:tc>
          <w:tcPr>
            <w:tcW w:w="3823"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ascii="宋体" w:hAnsi="宋体" w:cs="宋体"/>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528"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235" w:firstLineChars="98"/>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委派的</w:t>
            </w:r>
            <w:r>
              <w:rPr>
                <w:rFonts w:hint="eastAsia" w:ascii="宋体" w:hAnsi="宋体" w:cs="宋体"/>
                <w:bCs/>
                <w:color w:val="auto"/>
                <w:sz w:val="24"/>
                <w:szCs w:val="24"/>
                <w:highlight w:val="none"/>
                <w:lang w:val="en-US" w:eastAsia="zh-CN"/>
              </w:rPr>
              <w:t>专职</w:t>
            </w:r>
            <w:r>
              <w:rPr>
                <w:rFonts w:hint="eastAsia" w:ascii="宋体" w:hAnsi="宋体" w:cs="宋体"/>
                <w:bCs/>
                <w:color w:val="auto"/>
                <w:sz w:val="24"/>
                <w:szCs w:val="24"/>
                <w:highlight w:val="none"/>
                <w:lang w:val="zh-CN"/>
              </w:rPr>
              <w:t>安全员</w:t>
            </w:r>
          </w:p>
        </w:tc>
        <w:tc>
          <w:tcPr>
            <w:tcW w:w="202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0" w:firstLineChars="0"/>
              <w:jc w:val="center"/>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姓   名</w:t>
            </w:r>
          </w:p>
        </w:tc>
        <w:tc>
          <w:tcPr>
            <w:tcW w:w="3823"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ascii="宋体" w:hAnsi="宋体" w:cs="宋体"/>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35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Cs/>
                <w:color w:val="auto"/>
                <w:sz w:val="24"/>
                <w:szCs w:val="24"/>
                <w:highlight w:val="none"/>
                <w:lang w:val="zh-CN"/>
              </w:rPr>
            </w:pPr>
          </w:p>
        </w:tc>
        <w:tc>
          <w:tcPr>
            <w:tcW w:w="202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宋体" w:hAnsi="宋体" w:cs="宋体"/>
                <w:bCs/>
                <w:color w:val="auto"/>
                <w:sz w:val="24"/>
                <w:szCs w:val="24"/>
                <w:highlight w:val="none"/>
                <w:lang w:val="zh-CN"/>
              </w:rPr>
            </w:pPr>
            <w:r>
              <w:rPr>
                <w:rFonts w:hint="eastAsia" w:ascii="宋体" w:hAnsi="宋体"/>
                <w:color w:val="auto"/>
                <w:sz w:val="24"/>
                <w:szCs w:val="24"/>
                <w:highlight w:val="none"/>
              </w:rPr>
              <w:t>安全生产考核合格证（C类）或安全生产考核合格证书（C3类）编号</w:t>
            </w:r>
          </w:p>
        </w:tc>
        <w:tc>
          <w:tcPr>
            <w:tcW w:w="3823"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ascii="宋体" w:hAnsi="宋体" w:cs="宋体"/>
                <w:b/>
                <w:bCs/>
                <w:color w:val="auto"/>
                <w:sz w:val="24"/>
                <w:szCs w:val="24"/>
                <w:highlight w:val="none"/>
                <w:lang w:val="zh-CN"/>
              </w:rPr>
            </w:pPr>
          </w:p>
        </w:tc>
      </w:tr>
    </w:tbl>
    <w:p>
      <w:pPr>
        <w:autoSpaceDE w:val="0"/>
        <w:autoSpaceDN w:val="0"/>
        <w:adjustRightInd w:val="0"/>
        <w:rPr>
          <w:rFonts w:hint="eastAsia" w:ascii="宋体" w:hAnsi="宋体" w:cs="宋体"/>
          <w:color w:val="auto"/>
          <w:sz w:val="24"/>
          <w:szCs w:val="24"/>
          <w:highlight w:val="none"/>
          <w:lang w:val="zh-CN"/>
        </w:rPr>
      </w:pPr>
      <w:r>
        <w:rPr>
          <w:rFonts w:hint="eastAsia" w:ascii="宋体" w:hAnsi="宋体" w:cs="宋体"/>
          <w:color w:val="auto"/>
          <w:szCs w:val="21"/>
          <w:highlight w:val="none"/>
          <w:lang w:val="zh-CN"/>
        </w:rPr>
        <w:t>注：1.本表所报委派的项目负责人、</w:t>
      </w:r>
      <w:r>
        <w:rPr>
          <w:rFonts w:hint="eastAsia" w:ascii="宋体" w:hAnsi="宋体" w:cs="宋体"/>
          <w:color w:val="auto"/>
          <w:szCs w:val="21"/>
          <w:highlight w:val="none"/>
          <w:lang w:val="en-US" w:eastAsia="zh-CN"/>
        </w:rPr>
        <w:t>专职</w:t>
      </w:r>
      <w:r>
        <w:rPr>
          <w:rFonts w:hint="eastAsia" w:ascii="宋体" w:hAnsi="宋体" w:cs="宋体"/>
          <w:color w:val="auto"/>
          <w:szCs w:val="21"/>
          <w:highlight w:val="none"/>
          <w:lang w:val="zh-CN"/>
        </w:rPr>
        <w:t>安全员的姓名及相关资料，须与本企业在广州交易集团有限公司（广州公共资源交易中心）企业库记录的相应信息一致，评审时，委派的项目负责人、</w:t>
      </w:r>
      <w:r>
        <w:rPr>
          <w:rFonts w:hint="eastAsia" w:ascii="宋体" w:hAnsi="宋体" w:cs="宋体"/>
          <w:color w:val="auto"/>
          <w:szCs w:val="21"/>
          <w:highlight w:val="none"/>
          <w:lang w:val="en-US" w:eastAsia="zh-CN"/>
        </w:rPr>
        <w:t>专职</w:t>
      </w:r>
      <w:r>
        <w:rPr>
          <w:rFonts w:hint="eastAsia" w:ascii="宋体" w:hAnsi="宋体" w:cs="宋体"/>
          <w:color w:val="auto"/>
          <w:szCs w:val="21"/>
          <w:highlight w:val="none"/>
          <w:lang w:val="zh-CN"/>
        </w:rPr>
        <w:t>安全员以投标人在广州交易集团有限公司（广州公共资源交易中心）企业库登记的信息为准。</w:t>
      </w:r>
    </w:p>
    <w:bookmarkEnd w:id="957"/>
    <w:bookmarkEnd w:id="958"/>
    <w:bookmarkEnd w:id="959"/>
    <w:bookmarkEnd w:id="960"/>
    <w:p>
      <w:pPr>
        <w:spacing w:line="400" w:lineRule="exact"/>
        <w:jc w:val="center"/>
        <w:rPr>
          <w:rFonts w:hint="eastAsia" w:eastAsia="黑体"/>
          <w:color w:val="auto"/>
          <w:sz w:val="19"/>
          <w:szCs w:val="19"/>
          <w:highlight w:val="none"/>
        </w:rPr>
      </w:pPr>
    </w:p>
    <w:p>
      <w:pPr>
        <w:pageBreakBefore/>
        <w:spacing w:line="360" w:lineRule="auto"/>
        <w:jc w:val="center"/>
        <w:outlineLvl w:val="2"/>
        <w:rPr>
          <w:rFonts w:ascii="黑体" w:hAnsi="黑体" w:eastAsia="黑体"/>
          <w:color w:val="auto"/>
          <w:sz w:val="28"/>
          <w:szCs w:val="27"/>
          <w:highlight w:val="none"/>
        </w:rPr>
      </w:pPr>
      <w:bookmarkStart w:id="961" w:name="_Toc222031063"/>
      <w:bookmarkStart w:id="962" w:name="_Toc17451131"/>
      <w:bookmarkStart w:id="963" w:name="_Toc17452694"/>
      <w:bookmarkStart w:id="964" w:name="_Toc221952013"/>
      <w:bookmarkStart w:id="965" w:name="_Toc23836"/>
      <w:bookmarkStart w:id="966" w:name="_Toc144974860"/>
      <w:bookmarkStart w:id="967" w:name="_Toc168476321"/>
      <w:bookmarkStart w:id="968" w:name="_Toc17451608"/>
      <w:bookmarkStart w:id="969" w:name="_Toc17454952"/>
      <w:bookmarkStart w:id="970" w:name="_Toc17451653"/>
      <w:bookmarkStart w:id="971" w:name="_Toc222029561"/>
      <w:bookmarkStart w:id="972" w:name="_Toc17556906"/>
      <w:bookmarkStart w:id="973" w:name="_Toc168475918"/>
      <w:bookmarkStart w:id="974" w:name="_Toc17454901"/>
      <w:bookmarkStart w:id="975" w:name="_Toc222032730"/>
      <w:bookmarkStart w:id="976" w:name="_Toc229305421"/>
      <w:bookmarkStart w:id="977" w:name="_Toc222033912"/>
      <w:bookmarkStart w:id="978" w:name="_Toc259524415"/>
      <w:r>
        <w:rPr>
          <w:rFonts w:ascii="黑体" w:hAnsi="黑体" w:eastAsia="黑体"/>
          <w:color w:val="auto"/>
          <w:sz w:val="28"/>
          <w:szCs w:val="27"/>
          <w:highlight w:val="none"/>
        </w:rPr>
        <w:t>二、法定代表人身份证明</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pPr>
        <w:spacing w:line="400" w:lineRule="exact"/>
        <w:rPr>
          <w:color w:val="auto"/>
          <w:sz w:val="19"/>
          <w:szCs w:val="19"/>
          <w:highlight w:val="none"/>
        </w:rPr>
      </w:pPr>
    </w:p>
    <w:p>
      <w:pPr>
        <w:spacing w:line="400" w:lineRule="exact"/>
        <w:rPr>
          <w:rFonts w:ascii="宋体" w:hAnsi="宋体"/>
          <w:color w:val="auto"/>
          <w:szCs w:val="21"/>
          <w:highlight w:val="none"/>
        </w:rPr>
      </w:pPr>
    </w:p>
    <w:p>
      <w:pPr>
        <w:spacing w:line="400" w:lineRule="exact"/>
        <w:rPr>
          <w:rFonts w:ascii="宋体" w:hAnsi="宋体"/>
          <w:color w:val="auto"/>
          <w:szCs w:val="21"/>
          <w:highlight w:val="none"/>
        </w:rPr>
      </w:pPr>
      <w:bookmarkStart w:id="979" w:name="_Toc221952014"/>
      <w:r>
        <w:rPr>
          <w:rFonts w:ascii="宋体" w:hAnsi="宋体"/>
          <w:color w:val="auto"/>
          <w:szCs w:val="21"/>
          <w:highlight w:val="none"/>
        </w:rPr>
        <w:t>投标人名称：</w:t>
      </w:r>
      <w:bookmarkEnd w:id="979"/>
      <w:r>
        <w:rPr>
          <w:rFonts w:ascii="宋体" w:hAnsi="宋体"/>
          <w:color w:val="auto"/>
          <w:szCs w:val="21"/>
          <w:highlight w:val="none"/>
          <w:u w:val="single"/>
        </w:rPr>
        <w:t xml:space="preserve">                            </w:t>
      </w:r>
      <w:r>
        <w:rPr>
          <w:rFonts w:ascii="宋体" w:hAnsi="宋体"/>
          <w:color w:val="auto"/>
          <w:szCs w:val="21"/>
          <w:highlight w:val="none"/>
        </w:rPr>
        <w:t xml:space="preserve"> </w:t>
      </w:r>
    </w:p>
    <w:p>
      <w:pPr>
        <w:spacing w:line="400" w:lineRule="exact"/>
        <w:rPr>
          <w:rFonts w:ascii="宋体" w:hAnsi="宋体"/>
          <w:color w:val="auto"/>
          <w:szCs w:val="21"/>
          <w:highlight w:val="none"/>
        </w:rPr>
      </w:pPr>
      <w:bookmarkStart w:id="980" w:name="_Toc221952015"/>
      <w:r>
        <w:rPr>
          <w:rFonts w:ascii="宋体" w:hAnsi="宋体"/>
          <w:color w:val="auto"/>
          <w:szCs w:val="21"/>
          <w:highlight w:val="none"/>
        </w:rPr>
        <w:t>单位性质：</w:t>
      </w:r>
      <w:bookmarkEnd w:id="980"/>
      <w:r>
        <w:rPr>
          <w:rFonts w:ascii="宋体" w:hAnsi="宋体"/>
          <w:color w:val="auto"/>
          <w:szCs w:val="21"/>
          <w:highlight w:val="none"/>
          <w:u w:val="single"/>
        </w:rPr>
        <w:t xml:space="preserve">                               </w:t>
      </w:r>
      <w:r>
        <w:rPr>
          <w:rFonts w:ascii="宋体" w:hAnsi="宋体"/>
          <w:color w:val="auto"/>
          <w:szCs w:val="21"/>
          <w:highlight w:val="none"/>
        </w:rPr>
        <w:t xml:space="preserve"> </w:t>
      </w:r>
    </w:p>
    <w:p>
      <w:pPr>
        <w:spacing w:line="400" w:lineRule="exact"/>
        <w:rPr>
          <w:rFonts w:ascii="宋体" w:hAnsi="宋体"/>
          <w:color w:val="auto"/>
          <w:szCs w:val="21"/>
          <w:highlight w:val="none"/>
        </w:rPr>
      </w:pPr>
      <w:bookmarkStart w:id="981" w:name="_Toc221952016"/>
      <w:r>
        <w:rPr>
          <w:rFonts w:ascii="宋体" w:hAnsi="宋体"/>
          <w:color w:val="auto"/>
          <w:szCs w:val="21"/>
          <w:highlight w:val="none"/>
        </w:rPr>
        <w:t>地址：</w:t>
      </w:r>
      <w:bookmarkEnd w:id="981"/>
      <w:r>
        <w:rPr>
          <w:rFonts w:ascii="宋体" w:hAnsi="宋体"/>
          <w:color w:val="auto"/>
          <w:szCs w:val="21"/>
          <w:highlight w:val="none"/>
          <w:u w:val="single"/>
        </w:rPr>
        <w:t xml:space="preserve">                                   </w:t>
      </w:r>
    </w:p>
    <w:p>
      <w:pPr>
        <w:spacing w:line="400" w:lineRule="exact"/>
        <w:rPr>
          <w:rFonts w:ascii="宋体" w:hAnsi="宋体"/>
          <w:color w:val="auto"/>
          <w:szCs w:val="21"/>
          <w:highlight w:val="none"/>
        </w:rPr>
      </w:pPr>
      <w:bookmarkStart w:id="982" w:name="_Toc221952017"/>
      <w:r>
        <w:rPr>
          <w:rFonts w:ascii="宋体" w:hAnsi="宋体"/>
          <w:color w:val="auto"/>
          <w:szCs w:val="21"/>
          <w:highlight w:val="none"/>
        </w:rPr>
        <w:t>成立时间：</w:t>
      </w:r>
      <w:r>
        <w:rPr>
          <w:rFonts w:ascii="宋体" w:hAnsi="宋体"/>
          <w:color w:val="auto"/>
          <w:szCs w:val="21"/>
          <w:highlight w:val="none"/>
          <w:u w:val="single"/>
        </w:rPr>
        <w:t xml:space="preserve">         </w:t>
      </w:r>
      <w:r>
        <w:rPr>
          <w:rFonts w:ascii="宋体" w:hAnsi="宋体"/>
          <w:color w:val="auto"/>
          <w:szCs w:val="21"/>
          <w:highlight w:val="none"/>
        </w:rPr>
        <w:t xml:space="preserve"> 年</w:t>
      </w:r>
      <w:r>
        <w:rPr>
          <w:rFonts w:ascii="宋体" w:hAnsi="宋体"/>
          <w:color w:val="auto"/>
          <w:szCs w:val="21"/>
          <w:highlight w:val="none"/>
          <w:u w:val="single"/>
        </w:rPr>
        <w:t xml:space="preserve">       </w:t>
      </w:r>
      <w:r>
        <w:rPr>
          <w:rFonts w:ascii="宋体" w:hAnsi="宋体"/>
          <w:color w:val="auto"/>
          <w:szCs w:val="21"/>
          <w:highlight w:val="none"/>
        </w:rPr>
        <w:t xml:space="preserve"> 月</w:t>
      </w:r>
      <w:r>
        <w:rPr>
          <w:rFonts w:ascii="宋体" w:hAnsi="宋体"/>
          <w:color w:val="auto"/>
          <w:szCs w:val="21"/>
          <w:highlight w:val="none"/>
          <w:u w:val="single"/>
        </w:rPr>
        <w:t xml:space="preserve">       </w:t>
      </w:r>
      <w:r>
        <w:rPr>
          <w:rFonts w:ascii="宋体" w:hAnsi="宋体"/>
          <w:color w:val="auto"/>
          <w:szCs w:val="21"/>
          <w:highlight w:val="none"/>
        </w:rPr>
        <w:t xml:space="preserve"> 日</w:t>
      </w:r>
      <w:bookmarkEnd w:id="982"/>
    </w:p>
    <w:p>
      <w:pPr>
        <w:spacing w:line="400" w:lineRule="exact"/>
        <w:rPr>
          <w:rFonts w:ascii="宋体" w:hAnsi="宋体"/>
          <w:color w:val="auto"/>
          <w:szCs w:val="21"/>
          <w:highlight w:val="none"/>
        </w:rPr>
      </w:pPr>
      <w:bookmarkStart w:id="983" w:name="_Toc221952018"/>
      <w:r>
        <w:rPr>
          <w:rFonts w:ascii="宋体" w:hAnsi="宋体"/>
          <w:color w:val="auto"/>
          <w:szCs w:val="21"/>
          <w:highlight w:val="none"/>
        </w:rPr>
        <w:t>经营期限：</w:t>
      </w:r>
      <w:bookmarkEnd w:id="983"/>
      <w:r>
        <w:rPr>
          <w:rFonts w:ascii="宋体" w:hAnsi="宋体"/>
          <w:color w:val="auto"/>
          <w:szCs w:val="21"/>
          <w:highlight w:val="none"/>
          <w:u w:val="single"/>
        </w:rPr>
        <w:t xml:space="preserve">                               </w:t>
      </w:r>
    </w:p>
    <w:p>
      <w:pPr>
        <w:spacing w:line="400" w:lineRule="exact"/>
        <w:rPr>
          <w:rFonts w:ascii="宋体" w:hAnsi="宋体"/>
          <w:color w:val="auto"/>
          <w:szCs w:val="21"/>
          <w:highlight w:val="none"/>
        </w:rPr>
      </w:pPr>
      <w:bookmarkStart w:id="984" w:name="_Toc221952019"/>
      <w:r>
        <w:rPr>
          <w:rFonts w:ascii="宋体" w:hAnsi="宋体"/>
          <w:color w:val="auto"/>
          <w:szCs w:val="21"/>
          <w:highlight w:val="none"/>
        </w:rPr>
        <w:t>姓名：</w:t>
      </w:r>
      <w:r>
        <w:rPr>
          <w:rFonts w:ascii="宋体" w:hAnsi="宋体"/>
          <w:color w:val="auto"/>
          <w:szCs w:val="21"/>
          <w:highlight w:val="none"/>
          <w:u w:val="single"/>
        </w:rPr>
        <w:t xml:space="preserve">        </w:t>
      </w:r>
      <w:r>
        <w:rPr>
          <w:rFonts w:ascii="宋体" w:hAnsi="宋体"/>
          <w:color w:val="auto"/>
          <w:szCs w:val="21"/>
          <w:highlight w:val="none"/>
        </w:rPr>
        <w:t xml:space="preserve"> 性别：</w:t>
      </w:r>
      <w:r>
        <w:rPr>
          <w:rFonts w:ascii="宋体" w:hAnsi="宋体"/>
          <w:color w:val="auto"/>
          <w:szCs w:val="21"/>
          <w:highlight w:val="none"/>
          <w:u w:val="single"/>
        </w:rPr>
        <w:t xml:space="preserve">         </w:t>
      </w:r>
      <w:r>
        <w:rPr>
          <w:rFonts w:ascii="宋体" w:hAnsi="宋体"/>
          <w:color w:val="auto"/>
          <w:szCs w:val="21"/>
          <w:highlight w:val="none"/>
        </w:rPr>
        <w:t xml:space="preserve"> 年龄：</w:t>
      </w:r>
      <w:r>
        <w:rPr>
          <w:rFonts w:ascii="宋体" w:hAnsi="宋体"/>
          <w:color w:val="auto"/>
          <w:szCs w:val="21"/>
          <w:highlight w:val="none"/>
          <w:u w:val="single"/>
        </w:rPr>
        <w:t xml:space="preserve">        </w:t>
      </w:r>
      <w:r>
        <w:rPr>
          <w:rFonts w:hint="eastAsia" w:ascii="宋体" w:hAnsi="宋体"/>
          <w:color w:val="auto"/>
          <w:szCs w:val="21"/>
          <w:highlight w:val="none"/>
        </w:rPr>
        <w:t>身份证号码：</w:t>
      </w:r>
      <w:r>
        <w:rPr>
          <w:rFonts w:hint="eastAsia" w:ascii="宋体" w:hAnsi="宋体"/>
          <w:color w:val="auto"/>
          <w:szCs w:val="21"/>
          <w:highlight w:val="none"/>
          <w:u w:val="single"/>
        </w:rPr>
        <w:t xml:space="preserve">                    </w:t>
      </w:r>
      <w:r>
        <w:rPr>
          <w:rFonts w:ascii="宋体" w:hAnsi="宋体"/>
          <w:color w:val="auto"/>
          <w:szCs w:val="21"/>
          <w:highlight w:val="none"/>
        </w:rPr>
        <w:t>职务：</w:t>
      </w:r>
      <w:bookmarkEnd w:id="984"/>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bookmarkStart w:id="985" w:name="_Toc221952020"/>
      <w:r>
        <w:rPr>
          <w:rFonts w:ascii="宋体" w:hAnsi="宋体"/>
          <w:color w:val="auto"/>
          <w:szCs w:val="21"/>
          <w:highlight w:val="none"/>
        </w:rPr>
        <w:t>系</w:t>
      </w:r>
      <w:r>
        <w:rPr>
          <w:rFonts w:ascii="宋体" w:hAnsi="宋体"/>
          <w:color w:val="auto"/>
          <w:szCs w:val="21"/>
          <w:highlight w:val="none"/>
          <w:u w:val="single"/>
        </w:rPr>
        <w:t xml:space="preserve">                 </w:t>
      </w:r>
      <w:r>
        <w:rPr>
          <w:rFonts w:ascii="宋体" w:hAnsi="宋体"/>
          <w:color w:val="auto"/>
          <w:szCs w:val="21"/>
          <w:highlight w:val="none"/>
        </w:rPr>
        <w:t xml:space="preserve"> (投标人名称)的法定代表人。</w:t>
      </w:r>
      <w:bookmarkEnd w:id="985"/>
    </w:p>
    <w:p>
      <w:pPr>
        <w:spacing w:line="400" w:lineRule="exact"/>
        <w:ind w:firstLine="420" w:firstLineChars="200"/>
        <w:rPr>
          <w:rFonts w:ascii="宋体" w:hAnsi="宋体"/>
          <w:color w:val="auto"/>
          <w:szCs w:val="21"/>
          <w:highlight w:val="none"/>
        </w:rPr>
      </w:pPr>
      <w:bookmarkStart w:id="986" w:name="_Toc221952021"/>
      <w:r>
        <w:rPr>
          <w:rFonts w:ascii="宋体" w:hAnsi="宋体"/>
          <w:color w:val="auto"/>
          <w:szCs w:val="21"/>
          <w:highlight w:val="none"/>
        </w:rPr>
        <w:t>特此证明。</w:t>
      </w:r>
      <w:bookmarkEnd w:id="986"/>
    </w:p>
    <w:p>
      <w:pPr>
        <w:spacing w:line="400" w:lineRule="exact"/>
        <w:rPr>
          <w:rFonts w:ascii="宋体" w:hAnsi="宋体"/>
          <w:color w:val="auto"/>
          <w:szCs w:val="21"/>
          <w:highlight w:val="none"/>
        </w:rPr>
      </w:pPr>
    </w:p>
    <w:p>
      <w:pPr>
        <w:spacing w:line="400" w:lineRule="exact"/>
        <w:rPr>
          <w:rFonts w:ascii="宋体" w:hAnsi="宋体"/>
          <w:color w:val="auto"/>
          <w:szCs w:val="21"/>
          <w:highlight w:val="none"/>
        </w:rPr>
      </w:pPr>
      <w:r>
        <w:rPr>
          <w:rFonts w:hint="eastAsia" w:ascii="宋体" w:hAnsi="宋体"/>
          <w:color w:val="auto"/>
          <w:szCs w:val="21"/>
          <w:highlight w:val="none"/>
        </w:rPr>
        <w:t>附：法定代表人身份证正反面扫描件。</w:t>
      </w:r>
    </w:p>
    <w:p>
      <w:pPr>
        <w:spacing w:line="400" w:lineRule="exact"/>
        <w:rPr>
          <w:rFonts w:ascii="宋体" w:hAnsi="宋体"/>
          <w:color w:val="auto"/>
          <w:szCs w:val="21"/>
          <w:highlight w:val="none"/>
        </w:rPr>
      </w:pPr>
    </w:p>
    <w:p>
      <w:pPr>
        <w:spacing w:line="400" w:lineRule="exact"/>
        <w:jc w:val="right"/>
        <w:rPr>
          <w:rFonts w:ascii="宋体" w:hAnsi="宋体"/>
          <w:color w:val="auto"/>
          <w:szCs w:val="21"/>
          <w:highlight w:val="none"/>
        </w:rPr>
      </w:pPr>
      <w:bookmarkStart w:id="987" w:name="_Toc221952022"/>
      <w:r>
        <w:rPr>
          <w:rFonts w:ascii="宋体" w:hAnsi="宋体"/>
          <w:color w:val="auto"/>
          <w:szCs w:val="21"/>
          <w:highlight w:val="none"/>
        </w:rPr>
        <w:t>投标人：</w:t>
      </w:r>
      <w:r>
        <w:rPr>
          <w:rFonts w:ascii="宋体" w:hAnsi="宋体"/>
          <w:color w:val="auto"/>
          <w:szCs w:val="21"/>
          <w:highlight w:val="none"/>
          <w:u w:val="single"/>
        </w:rPr>
        <w:t xml:space="preserve">                 </w:t>
      </w:r>
      <w:r>
        <w:rPr>
          <w:rFonts w:ascii="宋体" w:hAnsi="宋体"/>
          <w:color w:val="auto"/>
          <w:szCs w:val="21"/>
          <w:highlight w:val="none"/>
        </w:rPr>
        <w:t>（盖单位章）</w:t>
      </w:r>
      <w:bookmarkEnd w:id="987"/>
    </w:p>
    <w:p>
      <w:pPr>
        <w:spacing w:line="400" w:lineRule="exact"/>
        <w:jc w:val="right"/>
        <w:rPr>
          <w:rFonts w:ascii="宋体" w:hAnsi="宋体"/>
          <w:color w:val="auto"/>
          <w:szCs w:val="21"/>
          <w:highlight w:val="none"/>
        </w:rPr>
      </w:pPr>
    </w:p>
    <w:p>
      <w:pPr>
        <w:spacing w:line="400" w:lineRule="exact"/>
        <w:jc w:val="right"/>
        <w:rPr>
          <w:rFonts w:ascii="宋体" w:hAnsi="宋体"/>
          <w:color w:val="auto"/>
          <w:szCs w:val="21"/>
          <w:highlight w:val="none"/>
        </w:rPr>
      </w:pPr>
      <w:r>
        <w:rPr>
          <w:rFonts w:ascii="宋体" w:hAnsi="宋体"/>
          <w:color w:val="auto"/>
          <w:szCs w:val="21"/>
          <w:highlight w:val="none"/>
          <w:u w:val="single"/>
        </w:rPr>
        <w:t xml:space="preserve">         </w:t>
      </w:r>
      <w:bookmarkStart w:id="988" w:name="_Toc221952023"/>
      <w:r>
        <w:rPr>
          <w:rFonts w:ascii="宋体" w:hAnsi="宋体"/>
          <w:color w:val="auto"/>
          <w:szCs w:val="21"/>
          <w:highlight w:val="none"/>
        </w:rPr>
        <w:t>年</w:t>
      </w:r>
      <w:r>
        <w:rPr>
          <w:rFonts w:ascii="宋体" w:hAnsi="宋体"/>
          <w:color w:val="auto"/>
          <w:szCs w:val="21"/>
          <w:highlight w:val="none"/>
          <w:u w:val="single"/>
        </w:rPr>
        <w:t xml:space="preserve">      </w:t>
      </w:r>
      <w:r>
        <w:rPr>
          <w:rFonts w:ascii="宋体" w:hAnsi="宋体"/>
          <w:color w:val="auto"/>
          <w:szCs w:val="21"/>
          <w:highlight w:val="none"/>
        </w:rPr>
        <w:t>月</w:t>
      </w:r>
      <w:r>
        <w:rPr>
          <w:rFonts w:ascii="宋体" w:hAnsi="宋体"/>
          <w:color w:val="auto"/>
          <w:szCs w:val="21"/>
          <w:highlight w:val="none"/>
          <w:u w:val="single"/>
        </w:rPr>
        <w:t xml:space="preserve">   </w:t>
      </w:r>
      <w:r>
        <w:rPr>
          <w:rFonts w:ascii="宋体" w:hAnsi="宋体"/>
          <w:color w:val="auto"/>
          <w:szCs w:val="21"/>
          <w:highlight w:val="none"/>
        </w:rPr>
        <w:t xml:space="preserve"> 日</w:t>
      </w:r>
      <w:bookmarkEnd w:id="988"/>
      <w:r>
        <w:rPr>
          <w:rFonts w:ascii="宋体" w:hAnsi="宋体"/>
          <w:color w:val="auto"/>
          <w:szCs w:val="21"/>
          <w:highlight w:val="none"/>
        </w:rPr>
        <w:t xml:space="preserve"> </w:t>
      </w:r>
    </w:p>
    <w:p>
      <w:pPr>
        <w:spacing w:line="400" w:lineRule="exact"/>
        <w:jc w:val="center"/>
        <w:rPr>
          <w:rFonts w:eastAsia="黑体"/>
          <w:color w:val="auto"/>
          <w:sz w:val="19"/>
          <w:szCs w:val="19"/>
          <w:highlight w:val="none"/>
        </w:rPr>
      </w:pPr>
      <w:r>
        <w:rPr>
          <w:rFonts w:ascii="宋体" w:hAnsi="宋体"/>
          <w:color w:val="auto"/>
          <w:szCs w:val="21"/>
          <w:highlight w:val="none"/>
        </w:rPr>
        <w:br w:type="page"/>
      </w:r>
    </w:p>
    <w:p>
      <w:pPr>
        <w:spacing w:line="360" w:lineRule="auto"/>
        <w:jc w:val="center"/>
        <w:outlineLvl w:val="2"/>
        <w:rPr>
          <w:rFonts w:ascii="黑体" w:hAnsi="黑体" w:eastAsia="黑体"/>
          <w:color w:val="auto"/>
          <w:sz w:val="28"/>
          <w:szCs w:val="27"/>
          <w:highlight w:val="none"/>
        </w:rPr>
      </w:pPr>
      <w:bookmarkStart w:id="989" w:name="_Toc144974861"/>
      <w:bookmarkStart w:id="990" w:name="_Toc222033913"/>
      <w:bookmarkStart w:id="991" w:name="_Toc17451654"/>
      <w:bookmarkStart w:id="992" w:name="_Toc17452695"/>
      <w:bookmarkStart w:id="993" w:name="_Toc27238"/>
      <w:bookmarkStart w:id="994" w:name="_Toc17556907"/>
      <w:bookmarkStart w:id="995" w:name="_Toc222032731"/>
      <w:bookmarkStart w:id="996" w:name="_Toc259524416"/>
      <w:bookmarkStart w:id="997" w:name="_Toc17454902"/>
      <w:bookmarkStart w:id="998" w:name="_Toc168475919"/>
      <w:bookmarkStart w:id="999" w:name="_Toc221952024"/>
      <w:bookmarkStart w:id="1000" w:name="_Toc168476322"/>
      <w:bookmarkStart w:id="1001" w:name="_Toc222029562"/>
      <w:bookmarkStart w:id="1002" w:name="_Toc17451132"/>
      <w:bookmarkStart w:id="1003" w:name="_Toc17454953"/>
      <w:bookmarkStart w:id="1004" w:name="_Toc17451609"/>
      <w:bookmarkStart w:id="1005" w:name="_Toc222031064"/>
      <w:bookmarkStart w:id="1006" w:name="_Toc229305422"/>
      <w:r>
        <w:rPr>
          <w:rFonts w:hint="eastAsia" w:ascii="黑体" w:hAnsi="黑体" w:eastAsia="黑体"/>
          <w:color w:val="auto"/>
          <w:sz w:val="28"/>
          <w:szCs w:val="27"/>
          <w:highlight w:val="none"/>
        </w:rPr>
        <w:t>三</w:t>
      </w:r>
      <w:r>
        <w:rPr>
          <w:rFonts w:ascii="黑体" w:hAnsi="黑体" w:eastAsia="黑体"/>
          <w:color w:val="auto"/>
          <w:sz w:val="28"/>
          <w:szCs w:val="27"/>
          <w:highlight w:val="none"/>
        </w:rPr>
        <w:t>、授权委托书</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pPr>
        <w:spacing w:line="400" w:lineRule="exact"/>
        <w:rPr>
          <w:rFonts w:eastAsia="黑体"/>
          <w:color w:val="auto"/>
          <w:sz w:val="20"/>
          <w:szCs w:val="20"/>
          <w:highlight w:val="none"/>
        </w:rPr>
      </w:pPr>
    </w:p>
    <w:p>
      <w:pPr>
        <w:topLinePunct/>
        <w:spacing w:line="400" w:lineRule="exact"/>
        <w:ind w:firstLine="420" w:firstLineChars="200"/>
        <w:rPr>
          <w:color w:val="auto"/>
          <w:szCs w:val="21"/>
          <w:highlight w:val="none"/>
        </w:rPr>
      </w:pPr>
      <w:bookmarkStart w:id="1007" w:name="_Toc221952025"/>
      <w:r>
        <w:rPr>
          <w:color w:val="auto"/>
          <w:szCs w:val="21"/>
          <w:highlight w:val="none"/>
        </w:rPr>
        <w:t>本人</w:t>
      </w:r>
      <w:r>
        <w:rPr>
          <w:color w:val="auto"/>
          <w:szCs w:val="21"/>
          <w:highlight w:val="none"/>
          <w:u w:val="single"/>
        </w:rPr>
        <w:t xml:space="preserve">       </w:t>
      </w:r>
      <w:r>
        <w:rPr>
          <w:color w:val="auto"/>
          <w:szCs w:val="21"/>
          <w:highlight w:val="none"/>
        </w:rPr>
        <w:t>（姓名）系</w:t>
      </w:r>
      <w:r>
        <w:rPr>
          <w:color w:val="auto"/>
          <w:szCs w:val="21"/>
          <w:highlight w:val="none"/>
          <w:u w:val="single"/>
        </w:rPr>
        <w:t xml:space="preserve">        </w:t>
      </w:r>
      <w:r>
        <w:rPr>
          <w:color w:val="auto"/>
          <w:szCs w:val="21"/>
          <w:highlight w:val="none"/>
        </w:rPr>
        <w:t>（投标人名称）的法定代表人，现委托</w:t>
      </w:r>
      <w:r>
        <w:rPr>
          <w:color w:val="auto"/>
          <w:szCs w:val="21"/>
          <w:highlight w:val="none"/>
          <w:u w:val="single"/>
        </w:rPr>
        <w:t xml:space="preserve">        </w:t>
      </w:r>
      <w:r>
        <w:rPr>
          <w:color w:val="auto"/>
          <w:szCs w:val="21"/>
          <w:highlight w:val="none"/>
        </w:rPr>
        <w:t>（姓名）为我方代理人。代理人根据授权，以我方名义签署、澄清、</w:t>
      </w:r>
      <w:r>
        <w:rPr>
          <w:rFonts w:hint="eastAsia"/>
          <w:color w:val="auto"/>
          <w:szCs w:val="21"/>
          <w:highlight w:val="none"/>
        </w:rPr>
        <w:t>说明、补正、</w:t>
      </w:r>
      <w:r>
        <w:rPr>
          <w:color w:val="auto"/>
          <w:szCs w:val="21"/>
          <w:highlight w:val="none"/>
        </w:rPr>
        <w:t>递交、撤回、修改</w:t>
      </w:r>
      <w:r>
        <w:rPr>
          <w:color w:val="auto"/>
          <w:szCs w:val="21"/>
          <w:highlight w:val="none"/>
          <w:u w:val="single"/>
        </w:rPr>
        <w:t xml:space="preserve">           （项目名称）           </w:t>
      </w:r>
      <w:r>
        <w:rPr>
          <w:color w:val="auto"/>
          <w:szCs w:val="21"/>
          <w:highlight w:val="none"/>
        </w:rPr>
        <w:t>投标文件、签订合同和处理有关事宜，其法律后果由我方承担。</w:t>
      </w:r>
      <w:bookmarkEnd w:id="1007"/>
    </w:p>
    <w:p>
      <w:pPr>
        <w:spacing w:line="400" w:lineRule="exact"/>
        <w:rPr>
          <w:color w:val="auto"/>
          <w:szCs w:val="21"/>
          <w:highlight w:val="none"/>
        </w:rPr>
      </w:pPr>
      <w:r>
        <w:rPr>
          <w:color w:val="auto"/>
          <w:szCs w:val="21"/>
          <w:highlight w:val="none"/>
        </w:rPr>
        <w:t xml:space="preserve">    </w:t>
      </w:r>
      <w:bookmarkStart w:id="1008" w:name="_Toc221952026"/>
      <w:r>
        <w:rPr>
          <w:color w:val="auto"/>
          <w:szCs w:val="21"/>
          <w:highlight w:val="none"/>
        </w:rPr>
        <w:t>委托期限：</w:t>
      </w:r>
      <w:r>
        <w:rPr>
          <w:color w:val="auto"/>
          <w:szCs w:val="21"/>
          <w:highlight w:val="none"/>
          <w:u w:val="single"/>
        </w:rPr>
        <w:t xml:space="preserve">             </w:t>
      </w:r>
      <w:r>
        <w:rPr>
          <w:rFonts w:hint="eastAsia"/>
          <w:color w:val="auto"/>
          <w:szCs w:val="21"/>
          <w:highlight w:val="none"/>
        </w:rPr>
        <w:t>。</w:t>
      </w:r>
      <w:bookmarkEnd w:id="1008"/>
    </w:p>
    <w:p>
      <w:pPr>
        <w:pStyle w:val="24"/>
        <w:spacing w:before="0" w:after="0" w:line="400" w:lineRule="exact"/>
        <w:ind w:firstLine="54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代理人无转委托权。代理人为投标人正式职工</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rPr>
        <w:t>必须具有离投标截止时间最近</w:t>
      </w:r>
      <w:r>
        <w:rPr>
          <w:rFonts w:hint="default" w:ascii="Times New Roman" w:hAnsi="Times New Roman" w:cs="Times New Roman"/>
          <w:color w:val="auto"/>
          <w:kern w:val="2"/>
          <w:sz w:val="21"/>
          <w:szCs w:val="21"/>
          <w:highlight w:val="none"/>
          <w:lang w:val="en-US" w:eastAsia="zh-CN"/>
        </w:rPr>
        <w:t>的至少1</w:t>
      </w:r>
      <w:r>
        <w:rPr>
          <w:rFonts w:hint="default" w:ascii="Times New Roman" w:hAnsi="Times New Roman" w:cs="Times New Roman"/>
          <w:color w:val="auto"/>
          <w:kern w:val="2"/>
          <w:sz w:val="21"/>
          <w:szCs w:val="21"/>
          <w:highlight w:val="none"/>
        </w:rPr>
        <w:t>个月</w:t>
      </w:r>
      <w:r>
        <w:rPr>
          <w:rFonts w:hint="eastAsia"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rPr>
        <w:t>时间为：</w:t>
      </w:r>
      <w:r>
        <w:rPr>
          <w:rFonts w:hint="eastAsia" w:ascii="Times New Roman" w:hAnsi="Times New Roman" w:cs="Times New Roman"/>
          <w:color w:val="auto"/>
          <w:kern w:val="2"/>
          <w:sz w:val="21"/>
          <w:szCs w:val="21"/>
          <w:highlight w:val="none"/>
          <w:lang w:eastAsia="zh-CN"/>
        </w:rPr>
        <w:t>2025年    月）</w:t>
      </w:r>
      <w:r>
        <w:rPr>
          <w:rFonts w:hint="default" w:ascii="Times New Roman" w:hAnsi="Times New Roman" w:cs="Times New Roman"/>
          <w:color w:val="auto"/>
          <w:kern w:val="2"/>
          <w:sz w:val="21"/>
          <w:szCs w:val="21"/>
          <w:highlight w:val="none"/>
        </w:rPr>
        <w:t>在本单位缴纳的社保证明文件。</w:t>
      </w:r>
    </w:p>
    <w:p>
      <w:pPr>
        <w:spacing w:line="400" w:lineRule="exact"/>
        <w:ind w:firstLine="420" w:firstLineChars="200"/>
        <w:rPr>
          <w:rFonts w:hint="eastAsia" w:eastAsia="宋体"/>
          <w:color w:val="auto"/>
          <w:szCs w:val="21"/>
          <w:highlight w:val="none"/>
          <w:lang w:eastAsia="zh-CN"/>
        </w:rPr>
      </w:pPr>
    </w:p>
    <w:p>
      <w:pPr>
        <w:spacing w:line="400" w:lineRule="exact"/>
        <w:ind w:firstLine="420" w:firstLineChars="200"/>
        <w:rPr>
          <w:color w:val="auto"/>
          <w:szCs w:val="21"/>
          <w:highlight w:val="none"/>
        </w:rPr>
      </w:pPr>
      <w:r>
        <w:rPr>
          <w:rFonts w:hint="eastAsia"/>
          <w:color w:val="auto"/>
          <w:szCs w:val="21"/>
          <w:highlight w:val="none"/>
        </w:rPr>
        <w:t>附：委托代理人身份证正反面和社保证明扫描件</w:t>
      </w:r>
    </w:p>
    <w:p>
      <w:pPr>
        <w:spacing w:line="400" w:lineRule="exact"/>
        <w:rPr>
          <w:color w:val="auto"/>
          <w:szCs w:val="21"/>
          <w:highlight w:val="none"/>
        </w:rPr>
      </w:pPr>
    </w:p>
    <w:p>
      <w:pPr>
        <w:spacing w:line="400" w:lineRule="exact"/>
        <w:rPr>
          <w:color w:val="auto"/>
          <w:szCs w:val="21"/>
          <w:highlight w:val="none"/>
        </w:rPr>
      </w:pPr>
    </w:p>
    <w:p>
      <w:pPr>
        <w:spacing w:line="400" w:lineRule="exact"/>
        <w:jc w:val="right"/>
        <w:rPr>
          <w:color w:val="auto"/>
          <w:szCs w:val="21"/>
          <w:highlight w:val="none"/>
        </w:rPr>
      </w:pPr>
      <w:bookmarkStart w:id="1009" w:name="_Toc221952029"/>
      <w:r>
        <w:rPr>
          <w:color w:val="auto"/>
          <w:szCs w:val="21"/>
          <w:highlight w:val="none"/>
        </w:rPr>
        <w:t>投标人：</w:t>
      </w:r>
      <w:r>
        <w:rPr>
          <w:color w:val="auto"/>
          <w:szCs w:val="21"/>
          <w:highlight w:val="none"/>
          <w:u w:val="single"/>
        </w:rPr>
        <w:t xml:space="preserve">                               </w:t>
      </w:r>
      <w:r>
        <w:rPr>
          <w:color w:val="auto"/>
          <w:szCs w:val="21"/>
          <w:highlight w:val="none"/>
        </w:rPr>
        <w:t>（盖单位章）</w:t>
      </w:r>
      <w:bookmarkEnd w:id="1009"/>
    </w:p>
    <w:p>
      <w:pPr>
        <w:spacing w:line="400" w:lineRule="exact"/>
        <w:jc w:val="right"/>
        <w:rPr>
          <w:color w:val="auto"/>
          <w:szCs w:val="21"/>
          <w:highlight w:val="none"/>
        </w:rPr>
      </w:pPr>
    </w:p>
    <w:p>
      <w:pPr>
        <w:wordWrap w:val="0"/>
        <w:spacing w:line="400" w:lineRule="exact"/>
        <w:jc w:val="right"/>
        <w:rPr>
          <w:color w:val="auto"/>
          <w:szCs w:val="21"/>
          <w:highlight w:val="none"/>
        </w:rPr>
      </w:pPr>
      <w:bookmarkStart w:id="1010" w:name="_Toc221952030"/>
      <w:r>
        <w:rPr>
          <w:color w:val="auto"/>
          <w:szCs w:val="21"/>
          <w:highlight w:val="none"/>
        </w:rPr>
        <w:t>法定代表人：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r>
        <w:rPr>
          <w:rFonts w:hint="eastAsia"/>
          <w:color w:val="auto"/>
          <w:szCs w:val="21"/>
          <w:highlight w:val="none"/>
        </w:rPr>
        <w:t>签</w:t>
      </w:r>
      <w:r>
        <w:rPr>
          <w:color w:val="auto"/>
          <w:szCs w:val="21"/>
          <w:highlight w:val="none"/>
        </w:rPr>
        <w:t>字）</w:t>
      </w:r>
      <w:bookmarkEnd w:id="1010"/>
    </w:p>
    <w:p>
      <w:pPr>
        <w:spacing w:line="400" w:lineRule="exact"/>
        <w:jc w:val="right"/>
        <w:rPr>
          <w:color w:val="auto"/>
          <w:szCs w:val="21"/>
          <w:highlight w:val="none"/>
        </w:rPr>
      </w:pPr>
    </w:p>
    <w:p>
      <w:pPr>
        <w:spacing w:line="400" w:lineRule="exact"/>
        <w:ind w:right="420" w:firstLine="2940" w:firstLineChars="1400"/>
        <w:rPr>
          <w:color w:val="auto"/>
          <w:szCs w:val="21"/>
          <w:highlight w:val="none"/>
        </w:rPr>
      </w:pPr>
      <w:bookmarkStart w:id="1011" w:name="_Toc221952031"/>
      <w:r>
        <w:rPr>
          <w:color w:val="auto"/>
          <w:szCs w:val="21"/>
          <w:highlight w:val="none"/>
        </w:rPr>
        <w:t>身份证号码：</w:t>
      </w:r>
      <w:bookmarkEnd w:id="1011"/>
      <w:r>
        <w:rPr>
          <w:color w:val="auto"/>
          <w:szCs w:val="21"/>
          <w:highlight w:val="none"/>
          <w:u w:val="single"/>
        </w:rPr>
        <w:t xml:space="preserve">                                   </w:t>
      </w:r>
    </w:p>
    <w:p>
      <w:pPr>
        <w:spacing w:line="400" w:lineRule="exact"/>
        <w:jc w:val="right"/>
        <w:rPr>
          <w:color w:val="auto"/>
          <w:szCs w:val="21"/>
          <w:highlight w:val="none"/>
        </w:rPr>
      </w:pPr>
    </w:p>
    <w:p>
      <w:pPr>
        <w:wordWrap w:val="0"/>
        <w:spacing w:line="400" w:lineRule="exact"/>
        <w:jc w:val="right"/>
        <w:rPr>
          <w:color w:val="auto"/>
          <w:szCs w:val="21"/>
          <w:highlight w:val="none"/>
        </w:rPr>
      </w:pPr>
      <w:bookmarkStart w:id="1012" w:name="_Toc221952032"/>
      <w:r>
        <w:rPr>
          <w:rFonts w:hint="eastAsia"/>
          <w:color w:val="auto"/>
          <w:szCs w:val="21"/>
          <w:highlight w:val="none"/>
        </w:rPr>
        <w:t>委托</w:t>
      </w:r>
      <w:r>
        <w:rPr>
          <w:color w:val="auto"/>
          <w:szCs w:val="21"/>
          <w:highlight w:val="none"/>
        </w:rPr>
        <w:t>代理人：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w:t>
      </w:r>
      <w:r>
        <w:rPr>
          <w:rFonts w:hint="eastAsia"/>
          <w:color w:val="auto"/>
          <w:szCs w:val="21"/>
          <w:highlight w:val="none"/>
        </w:rPr>
        <w:t>签字</w:t>
      </w:r>
      <w:r>
        <w:rPr>
          <w:color w:val="auto"/>
          <w:szCs w:val="21"/>
          <w:highlight w:val="none"/>
        </w:rPr>
        <w:t>）</w:t>
      </w:r>
      <w:bookmarkEnd w:id="1012"/>
      <w:r>
        <w:rPr>
          <w:color w:val="auto"/>
          <w:szCs w:val="21"/>
          <w:highlight w:val="none"/>
        </w:rPr>
        <w:t xml:space="preserve"> </w:t>
      </w:r>
    </w:p>
    <w:p>
      <w:pPr>
        <w:wordWrap w:val="0"/>
        <w:spacing w:line="400" w:lineRule="exact"/>
        <w:jc w:val="right"/>
        <w:rPr>
          <w:color w:val="auto"/>
          <w:szCs w:val="21"/>
          <w:highlight w:val="none"/>
        </w:rPr>
      </w:pPr>
      <w:r>
        <w:rPr>
          <w:rFonts w:hint="eastAsia"/>
          <w:color w:val="auto"/>
          <w:szCs w:val="21"/>
          <w:highlight w:val="none"/>
        </w:rPr>
        <w:t xml:space="preserve"> </w:t>
      </w:r>
    </w:p>
    <w:p>
      <w:pPr>
        <w:spacing w:line="400" w:lineRule="exact"/>
        <w:ind w:right="420" w:firstLine="2940" w:firstLineChars="1400"/>
        <w:rPr>
          <w:color w:val="auto"/>
          <w:szCs w:val="21"/>
          <w:highlight w:val="none"/>
        </w:rPr>
      </w:pPr>
      <w:bookmarkStart w:id="1013" w:name="_Toc221952033"/>
      <w:r>
        <w:rPr>
          <w:color w:val="auto"/>
          <w:szCs w:val="21"/>
          <w:highlight w:val="none"/>
        </w:rPr>
        <w:t>身份证号码：</w:t>
      </w:r>
      <w:bookmarkEnd w:id="1013"/>
      <w:r>
        <w:rPr>
          <w:color w:val="auto"/>
          <w:szCs w:val="21"/>
          <w:highlight w:val="none"/>
          <w:u w:val="single"/>
        </w:rPr>
        <w:t xml:space="preserve">                                    </w:t>
      </w:r>
    </w:p>
    <w:p>
      <w:pPr>
        <w:spacing w:line="400" w:lineRule="exact"/>
        <w:jc w:val="right"/>
        <w:rPr>
          <w:color w:val="auto"/>
          <w:szCs w:val="21"/>
          <w:highlight w:val="none"/>
        </w:rPr>
      </w:pPr>
    </w:p>
    <w:p>
      <w:pPr>
        <w:spacing w:line="400" w:lineRule="exact"/>
        <w:ind w:firstLine="1575" w:firstLineChars="750"/>
        <w:jc w:val="right"/>
        <w:rPr>
          <w:rFonts w:eastAsia="黑体"/>
          <w:color w:val="auto"/>
          <w:szCs w:val="21"/>
          <w:highlight w:val="none"/>
        </w:rPr>
      </w:pPr>
      <w:r>
        <w:rPr>
          <w:color w:val="auto"/>
          <w:szCs w:val="21"/>
          <w:highlight w:val="none"/>
          <w:u w:val="single"/>
        </w:rPr>
        <w:t xml:space="preserve">       </w:t>
      </w:r>
      <w:bookmarkStart w:id="1014" w:name="_Toc221952034"/>
      <w:r>
        <w:rPr>
          <w:color w:val="auto"/>
          <w:szCs w:val="21"/>
          <w:highlight w:val="none"/>
        </w:rPr>
        <w:t xml:space="preserve">年 </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bookmarkEnd w:id="1014"/>
    </w:p>
    <w:p>
      <w:pPr>
        <w:spacing w:line="400" w:lineRule="exact"/>
        <w:jc w:val="center"/>
        <w:rPr>
          <w:rFonts w:eastAsia="黑体"/>
          <w:color w:val="auto"/>
          <w:sz w:val="19"/>
          <w:szCs w:val="19"/>
          <w:highlight w:val="none"/>
        </w:rPr>
      </w:pPr>
      <w:r>
        <w:rPr>
          <w:rFonts w:eastAsia="黑体"/>
          <w:color w:val="auto"/>
          <w:sz w:val="19"/>
          <w:szCs w:val="19"/>
          <w:highlight w:val="none"/>
        </w:rPr>
        <w:br w:type="page"/>
      </w:r>
    </w:p>
    <w:p>
      <w:pPr>
        <w:spacing w:line="360" w:lineRule="auto"/>
        <w:jc w:val="center"/>
        <w:outlineLvl w:val="2"/>
        <w:rPr>
          <w:rFonts w:ascii="黑体" w:hAnsi="黑体" w:eastAsia="黑体"/>
          <w:color w:val="auto"/>
          <w:sz w:val="28"/>
          <w:szCs w:val="27"/>
          <w:highlight w:val="none"/>
        </w:rPr>
      </w:pPr>
      <w:bookmarkStart w:id="1015" w:name="_Toc168476324"/>
      <w:bookmarkStart w:id="1016" w:name="_Toc222032733"/>
      <w:bookmarkStart w:id="1017" w:name="_Toc222029564"/>
      <w:bookmarkStart w:id="1018" w:name="_Toc168475921"/>
      <w:bookmarkStart w:id="1019" w:name="_Toc5536"/>
      <w:bookmarkStart w:id="1020" w:name="_Toc229305424"/>
      <w:bookmarkStart w:id="1021" w:name="_Toc221952052"/>
      <w:bookmarkStart w:id="1022" w:name="_Toc17451656"/>
      <w:bookmarkStart w:id="1023" w:name="_Toc17451611"/>
      <w:bookmarkStart w:id="1024" w:name="_Toc222031066"/>
      <w:bookmarkStart w:id="1025" w:name="_Toc222033915"/>
      <w:bookmarkStart w:id="1026" w:name="_Toc17454904"/>
      <w:bookmarkStart w:id="1027" w:name="_Toc17452697"/>
      <w:bookmarkStart w:id="1028" w:name="_Toc17451134"/>
      <w:bookmarkStart w:id="1029" w:name="_Toc17556909"/>
      <w:bookmarkStart w:id="1030" w:name="_Toc17454955"/>
      <w:bookmarkStart w:id="1031" w:name="_Toc259524418"/>
      <w:r>
        <w:rPr>
          <w:rFonts w:hint="eastAsia" w:ascii="黑体" w:hAnsi="黑体" w:eastAsia="黑体"/>
          <w:color w:val="auto"/>
          <w:sz w:val="28"/>
          <w:szCs w:val="27"/>
          <w:highlight w:val="none"/>
        </w:rPr>
        <w:t>五</w:t>
      </w:r>
      <w:r>
        <w:rPr>
          <w:rFonts w:ascii="黑体" w:hAnsi="黑体" w:eastAsia="黑体"/>
          <w:color w:val="auto"/>
          <w:sz w:val="28"/>
          <w:szCs w:val="27"/>
          <w:highlight w:val="none"/>
        </w:rPr>
        <w:t>、投标保证金</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pPr>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 xml:space="preserve">  </w:t>
      </w:r>
      <w:bookmarkStart w:id="1032" w:name="_Toc221952054"/>
      <w:r>
        <w:rPr>
          <w:rFonts w:hint="eastAsia" w:ascii="宋体" w:hAnsi="宋体" w:eastAsia="宋体" w:cs="宋体"/>
          <w:color w:val="auto"/>
          <w:szCs w:val="21"/>
          <w:highlight w:val="none"/>
        </w:rPr>
        <w:t>（招标人名称）：</w:t>
      </w:r>
      <w:bookmarkEnd w:id="1032"/>
    </w:p>
    <w:p>
      <w:pPr>
        <w:spacing w:line="400" w:lineRule="exact"/>
        <w:jc w:val="left"/>
        <w:rPr>
          <w:rFonts w:hint="eastAsia" w:ascii="宋体" w:hAnsi="宋体" w:eastAsia="宋体" w:cs="宋体"/>
          <w:color w:val="auto"/>
          <w:szCs w:val="21"/>
          <w:highlight w:val="none"/>
        </w:rPr>
      </w:pPr>
    </w:p>
    <w:p>
      <w:pPr>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鉴于</w:t>
      </w:r>
      <w:r>
        <w:rPr>
          <w:rFonts w:hint="eastAsia" w:ascii="宋体" w:hAnsi="宋体" w:eastAsia="宋体" w:cs="宋体"/>
          <w:color w:val="auto"/>
          <w:szCs w:val="21"/>
          <w:highlight w:val="none"/>
          <w:u w:val="single"/>
        </w:rPr>
        <w:t xml:space="preserve">       （投标人名称）</w:t>
      </w:r>
      <w:r>
        <w:rPr>
          <w:rFonts w:hint="eastAsia" w:ascii="宋体" w:hAnsi="宋体" w:eastAsia="宋体" w:cs="宋体"/>
          <w:color w:val="auto"/>
          <w:szCs w:val="21"/>
          <w:highlight w:val="none"/>
        </w:rPr>
        <w:t>（以下称“投标人”）于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日参加</w:t>
      </w:r>
      <w:r>
        <w:rPr>
          <w:rFonts w:hint="eastAsia" w:ascii="宋体" w:hAnsi="宋体" w:eastAsia="宋体" w:cs="宋体"/>
          <w:color w:val="auto"/>
          <w:szCs w:val="21"/>
          <w:highlight w:val="none"/>
          <w:u w:val="single"/>
        </w:rPr>
        <w:t xml:space="preserve">         （项目名称）</w:t>
      </w:r>
      <w:r>
        <w:rPr>
          <w:rFonts w:hint="eastAsia" w:ascii="宋体" w:hAnsi="宋体" w:eastAsia="宋体" w:cs="宋体"/>
          <w:color w:val="auto"/>
          <w:szCs w:val="21"/>
          <w:highlight w:val="none"/>
        </w:rPr>
        <w:t>的投标，</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担保人名称，以下简称“我方”）保证：投标人在规定的投标文件有效期内撤销或修改其投标文件的，或者投标人在收到中标通知书后无正当理由拒签合同或拒交规定履约担保的，我方承担保证责任。收到你方书面通知后，在7日内向你方支付人民币（大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pPr>
        <w:spacing w:line="400" w:lineRule="exact"/>
        <w:ind w:firstLine="420" w:firstLineChars="200"/>
        <w:jc w:val="left"/>
        <w:rPr>
          <w:rFonts w:hint="eastAsia" w:ascii="宋体" w:hAnsi="宋体" w:eastAsia="宋体" w:cs="宋体"/>
          <w:color w:val="auto"/>
          <w:szCs w:val="21"/>
          <w:highlight w:val="none"/>
        </w:rPr>
      </w:pPr>
      <w:bookmarkStart w:id="1033" w:name="_Toc221952056"/>
      <w:r>
        <w:rPr>
          <w:rFonts w:hint="eastAsia" w:ascii="宋体" w:hAnsi="宋体" w:eastAsia="宋体" w:cs="宋体"/>
          <w:color w:val="auto"/>
          <w:szCs w:val="21"/>
          <w:highlight w:val="none"/>
        </w:rPr>
        <w:t>本担保在投标有效期内保持有效。要求我方承担保证责任的书面通知应在投标有效期内送达我方。</w:t>
      </w:r>
      <w:bookmarkEnd w:id="1033"/>
    </w:p>
    <w:p>
      <w:pPr>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pacing w:line="400" w:lineRule="exact"/>
        <w:jc w:val="left"/>
        <w:rPr>
          <w:rFonts w:hint="eastAsia" w:ascii="宋体" w:hAnsi="宋体" w:eastAsia="宋体" w:cs="宋体"/>
          <w:color w:val="auto"/>
          <w:szCs w:val="21"/>
          <w:highlight w:val="none"/>
        </w:rPr>
      </w:pPr>
    </w:p>
    <w:p>
      <w:pPr>
        <w:spacing w:line="400" w:lineRule="exact"/>
        <w:jc w:val="left"/>
        <w:rPr>
          <w:rFonts w:hint="eastAsia" w:ascii="宋体" w:hAnsi="宋体" w:eastAsia="宋体" w:cs="宋体"/>
          <w:color w:val="auto"/>
          <w:szCs w:val="21"/>
          <w:highlight w:val="none"/>
        </w:rPr>
      </w:pPr>
    </w:p>
    <w:p>
      <w:pPr>
        <w:spacing w:line="400" w:lineRule="exact"/>
        <w:jc w:val="left"/>
        <w:rPr>
          <w:rFonts w:hint="eastAsia" w:ascii="宋体" w:hAnsi="宋体" w:eastAsia="宋体" w:cs="宋体"/>
          <w:color w:val="auto"/>
          <w:szCs w:val="21"/>
          <w:highlight w:val="none"/>
        </w:rPr>
      </w:pPr>
    </w:p>
    <w:p>
      <w:pPr>
        <w:spacing w:line="400" w:lineRule="exact"/>
        <w:ind w:firstLine="420" w:firstLineChars="200"/>
        <w:jc w:val="left"/>
        <w:rPr>
          <w:rFonts w:hint="eastAsia" w:ascii="宋体" w:hAnsi="宋体" w:eastAsia="宋体" w:cs="宋体"/>
          <w:color w:val="auto"/>
          <w:szCs w:val="21"/>
          <w:highlight w:val="none"/>
        </w:rPr>
      </w:pPr>
      <w:bookmarkStart w:id="1034" w:name="_Toc221952057"/>
      <w:r>
        <w:rPr>
          <w:rFonts w:hint="eastAsia" w:ascii="宋体" w:hAnsi="宋体" w:eastAsia="宋体" w:cs="宋体"/>
          <w:color w:val="auto"/>
          <w:szCs w:val="21"/>
          <w:highlight w:val="none"/>
        </w:rPr>
        <w:t>担保人：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（盖单位章）</w:t>
      </w:r>
      <w:bookmarkEnd w:id="1034"/>
    </w:p>
    <w:p>
      <w:pPr>
        <w:spacing w:line="400" w:lineRule="exact"/>
        <w:ind w:firstLine="420" w:firstLineChars="200"/>
        <w:jc w:val="left"/>
        <w:rPr>
          <w:rFonts w:hint="eastAsia" w:ascii="宋体" w:hAnsi="宋体" w:eastAsia="宋体" w:cs="宋体"/>
          <w:color w:val="auto"/>
          <w:szCs w:val="21"/>
          <w:highlight w:val="none"/>
        </w:rPr>
      </w:pPr>
      <w:bookmarkStart w:id="1035" w:name="_Toc221952058"/>
      <w:r>
        <w:rPr>
          <w:rFonts w:hint="eastAsia" w:ascii="宋体" w:hAnsi="宋体" w:eastAsia="宋体" w:cs="宋体"/>
          <w:color w:val="auto"/>
          <w:szCs w:val="21"/>
          <w:highlight w:val="none"/>
        </w:rPr>
        <w:t>法定代表人或其委托代理人：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w:t>
      </w:r>
      <w:bookmarkEnd w:id="1035"/>
    </w:p>
    <w:p>
      <w:pPr>
        <w:spacing w:line="400" w:lineRule="exact"/>
        <w:ind w:firstLine="420" w:firstLineChars="200"/>
        <w:jc w:val="left"/>
        <w:rPr>
          <w:rFonts w:hint="eastAsia" w:ascii="宋体" w:hAnsi="宋体" w:eastAsia="宋体" w:cs="宋体"/>
          <w:color w:val="auto"/>
          <w:szCs w:val="21"/>
          <w:highlight w:val="none"/>
        </w:rPr>
      </w:pPr>
      <w:bookmarkStart w:id="1036" w:name="_Toc221952059"/>
      <w:r>
        <w:rPr>
          <w:rFonts w:hint="eastAsia" w:ascii="宋体" w:hAnsi="宋体" w:eastAsia="宋体" w:cs="宋体"/>
          <w:color w:val="auto"/>
          <w:szCs w:val="21"/>
          <w:highlight w:val="none"/>
        </w:rPr>
        <w:t>地    址：</w:t>
      </w:r>
      <w:bookmarkEnd w:id="1036"/>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rPr>
        <w:tab/>
      </w:r>
    </w:p>
    <w:p>
      <w:pPr>
        <w:spacing w:line="400" w:lineRule="exact"/>
        <w:ind w:firstLine="420" w:firstLineChars="200"/>
        <w:jc w:val="left"/>
        <w:rPr>
          <w:rFonts w:hint="eastAsia" w:ascii="宋体" w:hAnsi="宋体" w:eastAsia="宋体" w:cs="宋体"/>
          <w:color w:val="auto"/>
          <w:szCs w:val="21"/>
          <w:highlight w:val="none"/>
          <w:u w:val="single"/>
        </w:rPr>
      </w:pPr>
      <w:bookmarkStart w:id="1037" w:name="_Toc221952060"/>
      <w:r>
        <w:rPr>
          <w:rFonts w:hint="eastAsia" w:ascii="宋体" w:hAnsi="宋体" w:eastAsia="宋体" w:cs="宋体"/>
          <w:color w:val="auto"/>
          <w:szCs w:val="21"/>
          <w:highlight w:val="none"/>
        </w:rPr>
        <w:t>邮政编码：</w:t>
      </w:r>
      <w:bookmarkEnd w:id="1037"/>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rPr>
        <w:tab/>
      </w:r>
    </w:p>
    <w:p>
      <w:pPr>
        <w:spacing w:line="400" w:lineRule="exact"/>
        <w:ind w:firstLine="420" w:firstLineChars="200"/>
        <w:jc w:val="left"/>
        <w:rPr>
          <w:rFonts w:hint="eastAsia" w:ascii="宋体" w:hAnsi="宋体" w:eastAsia="宋体" w:cs="宋体"/>
          <w:color w:val="auto"/>
          <w:szCs w:val="21"/>
          <w:highlight w:val="none"/>
        </w:rPr>
      </w:pPr>
      <w:bookmarkStart w:id="1038" w:name="_Toc221952061"/>
      <w:r>
        <w:rPr>
          <w:rFonts w:hint="eastAsia" w:ascii="宋体" w:hAnsi="宋体" w:eastAsia="宋体" w:cs="宋体"/>
          <w:color w:val="auto"/>
          <w:szCs w:val="21"/>
          <w:highlight w:val="none"/>
        </w:rPr>
        <w:t>电    话：</w:t>
      </w:r>
      <w:bookmarkEnd w:id="1038"/>
      <w:r>
        <w:rPr>
          <w:rFonts w:hint="eastAsia" w:ascii="宋体" w:hAnsi="宋体" w:eastAsia="宋体" w:cs="宋体"/>
          <w:color w:val="auto"/>
          <w:szCs w:val="21"/>
          <w:highlight w:val="none"/>
          <w:u w:val="single"/>
        </w:rPr>
        <w:t xml:space="preserve">                                          </w:t>
      </w:r>
    </w:p>
    <w:p>
      <w:pPr>
        <w:spacing w:line="400" w:lineRule="exact"/>
        <w:ind w:firstLine="420" w:firstLineChars="200"/>
        <w:jc w:val="center"/>
        <w:rPr>
          <w:rFonts w:hint="eastAsia" w:ascii="宋体" w:hAnsi="宋体" w:eastAsia="宋体" w:cs="宋体"/>
          <w:color w:val="auto"/>
          <w:szCs w:val="21"/>
          <w:highlight w:val="none"/>
        </w:rPr>
      </w:pPr>
      <w:bookmarkStart w:id="1039" w:name="_Toc221952062"/>
      <w:r>
        <w:rPr>
          <w:rFonts w:hint="eastAsia" w:ascii="宋体" w:hAnsi="宋体" w:eastAsia="宋体" w:cs="宋体"/>
          <w:color w:val="auto"/>
          <w:szCs w:val="21"/>
          <w:highlight w:val="none"/>
        </w:rPr>
        <w:t>______年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bookmarkEnd w:id="1039"/>
    </w:p>
    <w:p>
      <w:pPr>
        <w:spacing w:line="400" w:lineRule="exact"/>
        <w:jc w:val="left"/>
        <w:rPr>
          <w:rFonts w:hint="eastAsia" w:ascii="宋体" w:hAnsi="宋体" w:eastAsia="宋体" w:cs="宋体"/>
          <w:color w:val="auto"/>
          <w:szCs w:val="21"/>
          <w:highlight w:val="none"/>
        </w:rPr>
      </w:pPr>
    </w:p>
    <w:p>
      <w:pPr>
        <w:spacing w:line="400" w:lineRule="exact"/>
        <w:jc w:val="left"/>
        <w:rPr>
          <w:rFonts w:hint="eastAsia" w:ascii="宋体" w:hAnsi="宋体" w:eastAsia="宋体" w:cs="宋体"/>
          <w:color w:val="auto"/>
          <w:szCs w:val="21"/>
          <w:highlight w:val="none"/>
        </w:rPr>
      </w:pPr>
    </w:p>
    <w:p>
      <w:pPr>
        <w:spacing w:line="24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p>
    <w:p>
      <w:pPr>
        <w:spacing w:line="24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1、投标保证金由广州公共资源交易平台代收的，以开标记录表记录的结果为准。（</w:t>
      </w:r>
      <w:r>
        <w:rPr>
          <w:rFonts w:hint="eastAsia" w:ascii="宋体" w:hAnsi="宋体" w:eastAsia="宋体" w:cs="宋体"/>
          <w:bCs/>
          <w:color w:val="auto"/>
          <w:szCs w:val="21"/>
          <w:highlight w:val="none"/>
          <w:u w:val="single"/>
        </w:rPr>
        <w:t>投标人应在此处提供广州交易集团有限公司（广州公共资源交易中心）出具的投标保证金回执扫描件</w:t>
      </w:r>
      <w:r>
        <w:rPr>
          <w:rFonts w:hint="eastAsia" w:ascii="宋体" w:hAnsi="宋体" w:eastAsia="宋体" w:cs="宋体"/>
          <w:color w:val="auto"/>
          <w:szCs w:val="21"/>
          <w:highlight w:val="none"/>
          <w:u w:val="single"/>
        </w:rPr>
        <w:t>）；</w:t>
      </w:r>
    </w:p>
    <w:p>
      <w:pPr>
        <w:spacing w:line="24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lang w:val="en-US" w:eastAsia="zh-CN"/>
        </w:rPr>
        <w:t>2</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val="en-US" w:eastAsia="zh-CN"/>
        </w:rPr>
        <w:t>若</w:t>
      </w:r>
      <w:r>
        <w:rPr>
          <w:rFonts w:hint="eastAsia" w:ascii="宋体" w:hAnsi="宋体" w:eastAsia="宋体" w:cs="宋体"/>
          <w:color w:val="auto"/>
          <w:szCs w:val="21"/>
          <w:highlight w:val="none"/>
          <w:u w:val="single"/>
        </w:rPr>
        <w:t>采用</w:t>
      </w:r>
      <w:r>
        <w:rPr>
          <w:rFonts w:hint="eastAsia" w:ascii="宋体" w:hAnsi="宋体" w:eastAsia="宋体" w:cs="宋体"/>
          <w:color w:val="auto"/>
          <w:szCs w:val="21"/>
          <w:highlight w:val="none"/>
          <w:u w:val="single"/>
          <w:lang w:val="en-US" w:eastAsia="zh-CN"/>
        </w:rPr>
        <w:t>银行</w:t>
      </w:r>
      <w:r>
        <w:rPr>
          <w:rFonts w:hint="eastAsia" w:ascii="宋体" w:hAnsi="宋体" w:eastAsia="宋体" w:cs="宋体"/>
          <w:color w:val="auto"/>
          <w:szCs w:val="21"/>
          <w:highlight w:val="none"/>
          <w:u w:val="single"/>
        </w:rPr>
        <w:t>保函形式</w:t>
      </w:r>
      <w:r>
        <w:rPr>
          <w:rFonts w:hint="eastAsia" w:ascii="宋体" w:hAnsi="宋体" w:eastAsia="宋体" w:cs="宋体"/>
          <w:color w:val="auto"/>
          <w:szCs w:val="21"/>
          <w:highlight w:val="none"/>
          <w:u w:val="single"/>
          <w:lang w:val="en-US" w:eastAsia="zh-CN"/>
        </w:rPr>
        <w:t>提交的</w:t>
      </w:r>
      <w:r>
        <w:rPr>
          <w:rFonts w:hint="eastAsia" w:ascii="宋体" w:hAnsi="宋体" w:eastAsia="宋体" w:cs="宋体"/>
          <w:color w:val="auto"/>
          <w:szCs w:val="21"/>
          <w:highlight w:val="none"/>
          <w:u w:val="single"/>
        </w:rPr>
        <w:t>，应采用上述格式或银行保函的格式。（</w:t>
      </w:r>
      <w:r>
        <w:rPr>
          <w:rFonts w:hint="eastAsia" w:ascii="宋体" w:hAnsi="宋体" w:eastAsia="宋体" w:cs="宋体"/>
          <w:bCs/>
          <w:color w:val="auto"/>
          <w:szCs w:val="21"/>
          <w:highlight w:val="none"/>
          <w:u w:val="single"/>
        </w:rPr>
        <w:t>投标人应在此处提供银行出具的保函原件的扫描件</w:t>
      </w:r>
      <w:r>
        <w:rPr>
          <w:rFonts w:hint="eastAsia" w:ascii="宋体" w:hAnsi="宋体" w:eastAsia="宋体" w:cs="宋体"/>
          <w:color w:val="auto"/>
          <w:szCs w:val="21"/>
          <w:highlight w:val="none"/>
          <w:u w:val="single"/>
        </w:rPr>
        <w:t>）</w:t>
      </w:r>
      <w:r>
        <w:rPr>
          <w:rFonts w:hint="eastAsia" w:ascii="宋体" w:hAnsi="宋体" w:eastAsia="宋体" w:cs="宋体"/>
          <w:bCs/>
          <w:color w:val="auto"/>
          <w:szCs w:val="21"/>
          <w:highlight w:val="none"/>
          <w:u w:val="single"/>
        </w:rPr>
        <w:t>；</w:t>
      </w:r>
    </w:p>
    <w:p>
      <w:pPr>
        <w:spacing w:line="240" w:lineRule="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u w:val="single"/>
          <w:lang w:val="en-US" w:eastAsia="zh-CN"/>
        </w:rPr>
        <w:t>3</w:t>
      </w:r>
      <w:r>
        <w:rPr>
          <w:rFonts w:hint="eastAsia" w:ascii="宋体" w:hAnsi="宋体" w:eastAsia="宋体" w:cs="宋体"/>
          <w:color w:val="auto"/>
          <w:szCs w:val="21"/>
          <w:highlight w:val="none"/>
          <w:u w:val="single"/>
        </w:rPr>
        <w:t>、</w:t>
      </w:r>
      <w:r>
        <w:rPr>
          <w:rFonts w:hint="eastAsia" w:ascii="宋体" w:hAnsi="宋体" w:eastAsia="宋体" w:cs="宋体"/>
          <w:bCs/>
          <w:color w:val="auto"/>
          <w:szCs w:val="21"/>
          <w:highlight w:val="none"/>
          <w:u w:val="single"/>
        </w:rPr>
        <w:t>若采用</w:t>
      </w:r>
      <w:r>
        <w:rPr>
          <w:rFonts w:hint="eastAsia" w:ascii="宋体" w:hAnsi="宋体" w:eastAsia="宋体" w:cs="宋体"/>
          <w:bCs/>
          <w:color w:val="auto"/>
          <w:szCs w:val="21"/>
          <w:highlight w:val="none"/>
          <w:u w:val="single"/>
          <w:lang w:val="en-US" w:eastAsia="zh-CN"/>
        </w:rPr>
        <w:t>保证保险</w:t>
      </w:r>
      <w:r>
        <w:rPr>
          <w:rFonts w:hint="eastAsia" w:ascii="宋体" w:hAnsi="宋体" w:eastAsia="宋体" w:cs="宋体"/>
          <w:bCs/>
          <w:color w:val="auto"/>
          <w:szCs w:val="21"/>
          <w:highlight w:val="none"/>
          <w:u w:val="single"/>
        </w:rPr>
        <w:t>形式提交的，投标人应在此处提供保险公司出具的保单原件的扫描件；</w:t>
      </w:r>
    </w:p>
    <w:p>
      <w:pPr>
        <w:spacing w:line="240" w:lineRule="auto"/>
        <w:jc w:val="left"/>
        <w:rPr>
          <w:rFonts w:hint="eastAsia" w:ascii="宋体" w:hAnsi="宋体" w:eastAsia="宋体" w:cs="宋体"/>
          <w:color w:val="auto"/>
          <w:szCs w:val="21"/>
          <w:highlight w:val="none"/>
          <w:u w:val="single"/>
        </w:rPr>
      </w:pPr>
      <w:r>
        <w:rPr>
          <w:rFonts w:hint="eastAsia" w:ascii="宋体" w:hAnsi="宋体" w:eastAsia="宋体" w:cs="宋体"/>
          <w:bCs/>
          <w:color w:val="auto"/>
          <w:szCs w:val="21"/>
          <w:highlight w:val="none"/>
          <w:u w:val="single"/>
          <w:lang w:val="en-US" w:eastAsia="zh-CN"/>
        </w:rPr>
        <w:t>4</w:t>
      </w:r>
      <w:r>
        <w:rPr>
          <w:rFonts w:hint="eastAsia" w:ascii="宋体" w:hAnsi="宋体" w:eastAsia="宋体" w:cs="宋体"/>
          <w:bCs/>
          <w:color w:val="auto"/>
          <w:szCs w:val="21"/>
          <w:highlight w:val="none"/>
          <w:u w:val="single"/>
        </w:rPr>
        <w:t>、若采用担保</w:t>
      </w:r>
      <w:r>
        <w:rPr>
          <w:rFonts w:hint="eastAsia" w:ascii="宋体" w:hAnsi="宋体" w:eastAsia="宋体" w:cs="宋体"/>
          <w:bCs/>
          <w:color w:val="auto"/>
          <w:szCs w:val="21"/>
          <w:highlight w:val="none"/>
          <w:u w:val="single"/>
          <w:lang w:val="en-US" w:eastAsia="zh-CN"/>
        </w:rPr>
        <w:t>保函</w:t>
      </w:r>
      <w:r>
        <w:rPr>
          <w:rFonts w:hint="eastAsia" w:ascii="宋体" w:hAnsi="宋体" w:eastAsia="宋体" w:cs="宋体"/>
          <w:bCs/>
          <w:color w:val="auto"/>
          <w:szCs w:val="21"/>
          <w:highlight w:val="none"/>
          <w:u w:val="single"/>
        </w:rPr>
        <w:t>形式提交的，</w:t>
      </w:r>
      <w:r>
        <w:rPr>
          <w:rFonts w:hint="eastAsia" w:ascii="宋体" w:hAnsi="宋体" w:eastAsia="宋体" w:cs="宋体"/>
          <w:color w:val="auto"/>
          <w:szCs w:val="21"/>
          <w:highlight w:val="none"/>
          <w:u w:val="single"/>
        </w:rPr>
        <w:t>应采用上述格式或</w:t>
      </w:r>
      <w:r>
        <w:rPr>
          <w:rFonts w:hint="eastAsia" w:ascii="宋体" w:hAnsi="宋体" w:eastAsia="宋体" w:cs="宋体"/>
          <w:color w:val="auto"/>
          <w:szCs w:val="21"/>
          <w:highlight w:val="none"/>
          <w:u w:val="single"/>
          <w:lang w:val="en-US" w:eastAsia="zh-CN"/>
        </w:rPr>
        <w:t>担保</w:t>
      </w:r>
      <w:r>
        <w:rPr>
          <w:rFonts w:hint="eastAsia" w:ascii="宋体" w:hAnsi="宋体" w:eastAsia="宋体" w:cs="宋体"/>
          <w:color w:val="auto"/>
          <w:szCs w:val="21"/>
          <w:highlight w:val="none"/>
          <w:u w:val="single"/>
        </w:rPr>
        <w:t>保函的格式。（</w:t>
      </w:r>
      <w:r>
        <w:rPr>
          <w:rFonts w:hint="eastAsia" w:ascii="宋体" w:hAnsi="宋体" w:eastAsia="宋体" w:cs="宋体"/>
          <w:bCs/>
          <w:color w:val="auto"/>
          <w:szCs w:val="21"/>
          <w:highlight w:val="none"/>
          <w:u w:val="single"/>
        </w:rPr>
        <w:t>投标人应在此处提供</w:t>
      </w:r>
      <w:r>
        <w:rPr>
          <w:rFonts w:hint="eastAsia" w:ascii="宋体" w:hAnsi="宋体" w:eastAsia="宋体" w:cs="宋体"/>
          <w:bCs/>
          <w:color w:val="auto"/>
          <w:szCs w:val="21"/>
          <w:highlight w:val="none"/>
          <w:u w:val="single"/>
          <w:lang w:val="en-US" w:eastAsia="zh-CN"/>
        </w:rPr>
        <w:t>担保机构</w:t>
      </w:r>
      <w:r>
        <w:rPr>
          <w:rFonts w:hint="eastAsia" w:ascii="宋体" w:hAnsi="宋体" w:eastAsia="宋体" w:cs="宋体"/>
          <w:bCs/>
          <w:color w:val="auto"/>
          <w:szCs w:val="21"/>
          <w:highlight w:val="none"/>
          <w:u w:val="single"/>
        </w:rPr>
        <w:t>出具的保函原件的扫描件</w:t>
      </w:r>
      <w:r>
        <w:rPr>
          <w:rFonts w:hint="eastAsia" w:ascii="宋体" w:hAnsi="宋体" w:eastAsia="宋体" w:cs="宋体"/>
          <w:color w:val="auto"/>
          <w:szCs w:val="21"/>
          <w:highlight w:val="none"/>
          <w:u w:val="single"/>
        </w:rPr>
        <w:t>）</w:t>
      </w:r>
      <w:r>
        <w:rPr>
          <w:rFonts w:hint="eastAsia" w:ascii="宋体" w:hAnsi="宋体" w:eastAsia="宋体" w:cs="宋体"/>
          <w:bCs/>
          <w:color w:val="auto"/>
          <w:szCs w:val="21"/>
          <w:highlight w:val="none"/>
          <w:u w:val="single"/>
        </w:rPr>
        <w:t>；</w:t>
      </w:r>
    </w:p>
    <w:p>
      <w:pPr>
        <w:spacing w:line="240" w:lineRule="auto"/>
        <w:rPr>
          <w:rFonts w:hint="eastAsia" w:ascii="宋体" w:hAnsi="宋体" w:eastAsia="宋体" w:cs="宋体"/>
          <w:color w:val="auto"/>
          <w:szCs w:val="21"/>
          <w:highlight w:val="none"/>
          <w:u w:val="single"/>
        </w:rPr>
      </w:pPr>
      <w:r>
        <w:rPr>
          <w:rFonts w:hint="eastAsia" w:ascii="宋体" w:hAnsi="宋体" w:eastAsia="宋体" w:cs="宋体"/>
          <w:bCs/>
          <w:color w:val="auto"/>
          <w:szCs w:val="21"/>
          <w:highlight w:val="none"/>
          <w:u w:val="single"/>
          <w:lang w:val="en-US" w:eastAsia="zh-CN"/>
        </w:rPr>
        <w:t>5</w:t>
      </w:r>
      <w:r>
        <w:rPr>
          <w:rFonts w:hint="eastAsia" w:ascii="宋体" w:hAnsi="宋体" w:eastAsia="宋体" w:cs="宋体"/>
          <w:bCs/>
          <w:color w:val="auto"/>
          <w:szCs w:val="21"/>
          <w:highlight w:val="none"/>
          <w:u w:val="single"/>
        </w:rPr>
        <w:t>、</w:t>
      </w:r>
      <w:r>
        <w:rPr>
          <w:rFonts w:hint="eastAsia" w:ascii="宋体" w:hAnsi="宋体" w:eastAsia="宋体" w:cs="宋体"/>
          <w:color w:val="auto"/>
          <w:szCs w:val="21"/>
          <w:highlight w:val="none"/>
          <w:u w:val="single"/>
        </w:rPr>
        <w:t>投标人如采用</w:t>
      </w:r>
      <w:r>
        <w:rPr>
          <w:rFonts w:hint="eastAsia" w:ascii="宋体" w:hAnsi="宋体" w:eastAsia="宋体" w:cs="宋体"/>
          <w:color w:val="auto"/>
          <w:szCs w:val="21"/>
          <w:highlight w:val="none"/>
          <w:u w:val="single"/>
          <w:lang w:val="en-US" w:eastAsia="zh-CN"/>
        </w:rPr>
        <w:t>银行</w:t>
      </w:r>
      <w:r>
        <w:rPr>
          <w:rFonts w:hint="eastAsia" w:ascii="宋体" w:hAnsi="宋体" w:eastAsia="宋体" w:cs="宋体"/>
          <w:color w:val="auto"/>
          <w:szCs w:val="21"/>
          <w:highlight w:val="none"/>
          <w:u w:val="single"/>
        </w:rPr>
        <w:t>保函、保证保险、担保保函的形式递交的，须在投标截止前单独密封递交至开标室。（通过广州交易集团有限公司（广州公共资源交易中心）交易服务系统代收或办理电子保函的，不需要提交证明材料。）</w:t>
      </w:r>
    </w:p>
    <w:p>
      <w:pPr>
        <w:spacing w:line="400" w:lineRule="exact"/>
        <w:jc w:val="left"/>
        <w:rPr>
          <w:color w:val="auto"/>
          <w:sz w:val="20"/>
          <w:szCs w:val="20"/>
          <w:highlight w:val="none"/>
        </w:rPr>
      </w:pPr>
      <w:r>
        <w:rPr>
          <w:rFonts w:ascii="宋体" w:hAnsi="宋体"/>
          <w:color w:val="auto"/>
          <w:szCs w:val="21"/>
          <w:highlight w:val="none"/>
        </w:rPr>
        <w:br w:type="page"/>
      </w:r>
      <w:bookmarkStart w:id="1040" w:name="_Toc168476325"/>
      <w:bookmarkStart w:id="1041" w:name="_Toc144974863"/>
      <w:bookmarkStart w:id="1042" w:name="_Toc222031067"/>
      <w:bookmarkStart w:id="1043" w:name="_Toc222029565"/>
      <w:bookmarkStart w:id="1044" w:name="_Toc168475922"/>
      <w:bookmarkStart w:id="1045" w:name="_Toc221952063"/>
    </w:p>
    <w:p>
      <w:pPr>
        <w:spacing w:line="360" w:lineRule="auto"/>
        <w:jc w:val="center"/>
        <w:outlineLvl w:val="2"/>
        <w:rPr>
          <w:rFonts w:hint="eastAsia" w:ascii="黑体" w:hAnsi="黑体" w:eastAsia="黑体"/>
          <w:color w:val="auto"/>
          <w:sz w:val="28"/>
          <w:szCs w:val="27"/>
          <w:highlight w:val="none"/>
        </w:rPr>
      </w:pPr>
      <w:bookmarkStart w:id="1046" w:name="_Toc17452698"/>
      <w:bookmarkStart w:id="1047" w:name="_Toc17454956"/>
      <w:bookmarkStart w:id="1048" w:name="_Toc222032734"/>
      <w:bookmarkStart w:id="1049" w:name="_Toc259524419"/>
      <w:bookmarkStart w:id="1050" w:name="_Toc17454905"/>
      <w:bookmarkStart w:id="1051" w:name="_Toc17451612"/>
      <w:bookmarkStart w:id="1052" w:name="_Toc17556910"/>
      <w:bookmarkStart w:id="1053" w:name="_Toc229305425"/>
      <w:bookmarkStart w:id="1054" w:name="_Toc222033916"/>
      <w:bookmarkStart w:id="1055" w:name="_Toc17451657"/>
      <w:bookmarkStart w:id="1056" w:name="_Toc22780"/>
      <w:bookmarkStart w:id="1057" w:name="_Toc17451135"/>
      <w:r>
        <w:rPr>
          <w:rFonts w:hint="eastAsia" w:ascii="黑体" w:hAnsi="黑体" w:eastAsia="黑体"/>
          <w:color w:val="auto"/>
          <w:sz w:val="28"/>
          <w:szCs w:val="27"/>
          <w:highlight w:val="none"/>
        </w:rPr>
        <w:t>六</w:t>
      </w:r>
      <w:r>
        <w:rPr>
          <w:rFonts w:ascii="黑体" w:hAnsi="黑体" w:eastAsia="黑体"/>
          <w:color w:val="auto"/>
          <w:sz w:val="28"/>
          <w:szCs w:val="27"/>
          <w:highlight w:val="none"/>
        </w:rPr>
        <w:t>、已标价工程量清单</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pPr>
        <w:spacing w:line="240" w:lineRule="auto"/>
        <w:jc w:val="left"/>
        <w:outlineLvl w:val="9"/>
        <w:rPr>
          <w:rFonts w:hint="eastAsia"/>
          <w:color w:val="auto"/>
          <w:highlight w:val="none"/>
        </w:rPr>
      </w:pPr>
    </w:p>
    <w:p>
      <w:pPr>
        <w:spacing w:line="360" w:lineRule="auto"/>
        <w:rPr>
          <w:rFonts w:ascii="黑体" w:hAnsi="黑体" w:eastAsia="黑体"/>
          <w:color w:val="auto"/>
          <w:sz w:val="28"/>
          <w:szCs w:val="27"/>
          <w:highlight w:val="none"/>
        </w:rPr>
      </w:pPr>
    </w:p>
    <w:p>
      <w:pPr>
        <w:widowControl/>
        <w:jc w:val="left"/>
        <w:rPr>
          <w:rFonts w:ascii="黑体" w:hAnsi="黑体" w:eastAsia="黑体"/>
          <w:color w:val="auto"/>
          <w:sz w:val="28"/>
          <w:szCs w:val="27"/>
          <w:highlight w:val="none"/>
        </w:rPr>
      </w:pPr>
      <w:r>
        <w:rPr>
          <w:rFonts w:ascii="黑体" w:hAnsi="黑体" w:eastAsia="黑体"/>
          <w:color w:val="auto"/>
          <w:sz w:val="28"/>
          <w:szCs w:val="27"/>
          <w:highlight w:val="none"/>
        </w:rPr>
        <w:br w:type="page"/>
      </w:r>
    </w:p>
    <w:p>
      <w:pPr>
        <w:spacing w:line="360" w:lineRule="auto"/>
        <w:jc w:val="center"/>
        <w:outlineLvl w:val="2"/>
        <w:rPr>
          <w:rFonts w:ascii="黑体" w:hAnsi="黑体" w:eastAsia="黑体"/>
          <w:color w:val="auto"/>
          <w:sz w:val="28"/>
          <w:szCs w:val="27"/>
          <w:highlight w:val="none"/>
        </w:rPr>
      </w:pPr>
      <w:bookmarkStart w:id="1058" w:name="_Toc17452700"/>
      <w:bookmarkStart w:id="1059" w:name="_Toc17451659"/>
      <w:bookmarkStart w:id="1060" w:name="_Toc13112"/>
      <w:bookmarkStart w:id="1061" w:name="_Toc221952064"/>
      <w:bookmarkStart w:id="1062" w:name="_Toc259524420"/>
      <w:bookmarkStart w:id="1063" w:name="_Toc17451614"/>
      <w:bookmarkStart w:id="1064" w:name="_Toc222029566"/>
      <w:bookmarkStart w:id="1065" w:name="_Toc144974864"/>
      <w:bookmarkStart w:id="1066" w:name="_Toc222033917"/>
      <w:bookmarkStart w:id="1067" w:name="_Toc17451137"/>
      <w:bookmarkStart w:id="1068" w:name="_Toc168476326"/>
      <w:bookmarkStart w:id="1069" w:name="_Toc229305426"/>
      <w:bookmarkStart w:id="1070" w:name="_Toc17454907"/>
      <w:bookmarkStart w:id="1071" w:name="_Toc222032735"/>
      <w:bookmarkStart w:id="1072" w:name="_Toc222031068"/>
      <w:bookmarkStart w:id="1073" w:name="_Toc168475923"/>
      <w:bookmarkStart w:id="1074" w:name="_Toc17556912"/>
      <w:bookmarkStart w:id="1075" w:name="_Toc17454958"/>
      <w:r>
        <w:rPr>
          <w:rFonts w:hint="eastAsia" w:ascii="黑体" w:hAnsi="黑体" w:eastAsia="黑体"/>
          <w:color w:val="auto"/>
          <w:sz w:val="28"/>
          <w:szCs w:val="27"/>
          <w:highlight w:val="none"/>
        </w:rPr>
        <w:t>七</w:t>
      </w:r>
      <w:r>
        <w:rPr>
          <w:rFonts w:ascii="黑体" w:hAnsi="黑体" w:eastAsia="黑体"/>
          <w:color w:val="auto"/>
          <w:sz w:val="28"/>
          <w:szCs w:val="27"/>
          <w:highlight w:val="none"/>
        </w:rPr>
        <w:t>、施工组织设计</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pPr>
        <w:spacing w:line="400" w:lineRule="exact"/>
        <w:ind w:firstLine="420" w:firstLineChars="200"/>
        <w:jc w:val="center"/>
        <w:rPr>
          <w:rFonts w:hint="eastAsia" w:ascii="宋体" w:hAnsi="宋体"/>
          <w:i/>
          <w:color w:val="auto"/>
          <w:szCs w:val="21"/>
          <w:highlight w:val="none"/>
        </w:rPr>
      </w:pPr>
    </w:p>
    <w:p>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1. </w:t>
      </w:r>
      <w:r>
        <w:rPr>
          <w:rFonts w:hint="eastAsia" w:ascii="宋体" w:hAnsi="宋体"/>
          <w:color w:val="auto"/>
          <w:szCs w:val="21"/>
          <w:highlight w:val="none"/>
        </w:rPr>
        <w:tab/>
      </w:r>
      <w:r>
        <w:rPr>
          <w:rFonts w:hint="eastAsia" w:ascii="宋体" w:hAnsi="宋体"/>
          <w:color w:val="auto"/>
          <w:szCs w:val="21"/>
          <w:highlight w:val="none"/>
        </w:rPr>
        <w:t>投标人编制施工组织设计的要求：编制时应简明扼要地说明施工方法，工程质量、安全生产、文明施工、环境保护、冬雨季施工、工程进度、技术组织等主要措施。用图表形式阐明本项目的施工总平面、进度计划以及拟投入主要施工设备、劳动力、项目管理机构等。</w:t>
      </w:r>
    </w:p>
    <w:p>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 图表及格式要求：</w:t>
      </w:r>
    </w:p>
    <w:p>
      <w:pPr>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附表一  拟投入本标段的主要施工设备表</w:t>
      </w:r>
    </w:p>
    <w:p>
      <w:pPr>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附表二  拟投入本标段的试验和检测仪器设备表</w:t>
      </w:r>
    </w:p>
    <w:p>
      <w:pPr>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附表三  拟投入本标段的劳动力计划表</w:t>
      </w:r>
    </w:p>
    <w:p>
      <w:pPr>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附表四  计划开工日期、完工日期和施工进度网络图</w:t>
      </w:r>
    </w:p>
    <w:p>
      <w:pPr>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附表五  施工总平面图                                                           </w:t>
      </w:r>
    </w:p>
    <w:p>
      <w:pPr>
        <w:spacing w:line="400" w:lineRule="exact"/>
        <w:ind w:firstLine="420" w:firstLineChars="200"/>
        <w:jc w:val="left"/>
        <w:rPr>
          <w:color w:val="auto"/>
          <w:sz w:val="19"/>
          <w:szCs w:val="19"/>
          <w:highlight w:val="none"/>
        </w:rPr>
      </w:pPr>
      <w:r>
        <w:rPr>
          <w:rFonts w:hint="eastAsia" w:ascii="宋体" w:hAnsi="宋体"/>
          <w:color w:val="auto"/>
          <w:szCs w:val="21"/>
          <w:highlight w:val="none"/>
        </w:rPr>
        <w:t>附表六  临时用地表</w:t>
      </w:r>
      <w:r>
        <w:rPr>
          <w:rFonts w:eastAsia="黑体"/>
          <w:color w:val="auto"/>
          <w:sz w:val="19"/>
          <w:szCs w:val="19"/>
          <w:highlight w:val="none"/>
        </w:rPr>
        <w:br w:type="page"/>
      </w:r>
    </w:p>
    <w:p>
      <w:pPr>
        <w:spacing w:line="400" w:lineRule="exact"/>
        <w:jc w:val="center"/>
        <w:outlineLvl w:val="3"/>
        <w:rPr>
          <w:rFonts w:ascii="宋体" w:hAnsi="宋体"/>
          <w:b/>
          <w:color w:val="auto"/>
          <w:sz w:val="24"/>
          <w:szCs w:val="31"/>
          <w:highlight w:val="none"/>
        </w:rPr>
      </w:pPr>
      <w:bookmarkStart w:id="1076" w:name="_Toc168475924"/>
      <w:bookmarkStart w:id="1077" w:name="_Toc144974865"/>
      <w:bookmarkStart w:id="1078" w:name="_Toc168476327"/>
      <w:bookmarkStart w:id="1079" w:name="_Toc221952073"/>
      <w:r>
        <w:rPr>
          <w:rFonts w:ascii="宋体" w:hAnsi="宋体"/>
          <w:b/>
          <w:color w:val="auto"/>
          <w:sz w:val="24"/>
          <w:szCs w:val="31"/>
          <w:highlight w:val="none"/>
        </w:rPr>
        <w:t>附表一：拟投入本标段的主要施工设备表</w:t>
      </w:r>
      <w:bookmarkEnd w:id="1076"/>
      <w:bookmarkEnd w:id="1077"/>
      <w:bookmarkEnd w:id="1078"/>
      <w:bookmarkEnd w:id="1079"/>
    </w:p>
    <w:p>
      <w:pPr>
        <w:spacing w:line="400" w:lineRule="exact"/>
        <w:rPr>
          <w:color w:val="auto"/>
          <w:sz w:val="19"/>
          <w:szCs w:val="19"/>
          <w:highlight w:val="none"/>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059"/>
        <w:gridCol w:w="742"/>
        <w:gridCol w:w="965"/>
        <w:gridCol w:w="655"/>
        <w:gridCol w:w="720"/>
        <w:gridCol w:w="1182"/>
        <w:gridCol w:w="853"/>
        <w:gridCol w:w="1028"/>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bookmarkStart w:id="1080" w:name="_Toc221952074"/>
            <w:r>
              <w:rPr>
                <w:rFonts w:ascii="宋体" w:hAnsi="宋体"/>
                <w:color w:val="auto"/>
                <w:szCs w:val="21"/>
                <w:highlight w:val="none"/>
              </w:rPr>
              <w:t>序号</w:t>
            </w:r>
            <w:bookmarkEnd w:id="1080"/>
          </w:p>
        </w:tc>
        <w:tc>
          <w:tcPr>
            <w:tcW w:w="1059" w:type="dxa"/>
            <w:noWrap w:val="0"/>
            <w:vAlign w:val="top"/>
          </w:tcPr>
          <w:p>
            <w:pPr>
              <w:spacing w:line="400" w:lineRule="exact"/>
              <w:jc w:val="center"/>
              <w:rPr>
                <w:rFonts w:ascii="宋体" w:hAnsi="宋体"/>
                <w:color w:val="auto"/>
                <w:szCs w:val="21"/>
                <w:highlight w:val="none"/>
              </w:rPr>
            </w:pPr>
            <w:bookmarkStart w:id="1081" w:name="_Toc221952075"/>
            <w:r>
              <w:rPr>
                <w:rFonts w:ascii="宋体" w:hAnsi="宋体"/>
                <w:color w:val="auto"/>
                <w:szCs w:val="21"/>
                <w:highlight w:val="none"/>
              </w:rPr>
              <w:t>设备名称</w:t>
            </w:r>
            <w:bookmarkEnd w:id="1081"/>
          </w:p>
        </w:tc>
        <w:tc>
          <w:tcPr>
            <w:tcW w:w="742" w:type="dxa"/>
            <w:noWrap w:val="0"/>
            <w:vAlign w:val="top"/>
          </w:tcPr>
          <w:p>
            <w:pPr>
              <w:spacing w:line="400" w:lineRule="exact"/>
              <w:jc w:val="center"/>
              <w:rPr>
                <w:rFonts w:ascii="宋体" w:hAnsi="宋体"/>
                <w:color w:val="auto"/>
                <w:szCs w:val="21"/>
                <w:highlight w:val="none"/>
              </w:rPr>
            </w:pPr>
            <w:bookmarkStart w:id="1082" w:name="_Toc221952076"/>
            <w:r>
              <w:rPr>
                <w:rFonts w:ascii="宋体" w:hAnsi="宋体"/>
                <w:color w:val="auto"/>
                <w:szCs w:val="21"/>
                <w:highlight w:val="none"/>
              </w:rPr>
              <w:t>型号</w:t>
            </w:r>
            <w:bookmarkEnd w:id="1082"/>
          </w:p>
          <w:p>
            <w:pPr>
              <w:spacing w:line="400" w:lineRule="exact"/>
              <w:jc w:val="center"/>
              <w:rPr>
                <w:rFonts w:ascii="宋体" w:hAnsi="宋体"/>
                <w:color w:val="auto"/>
                <w:szCs w:val="21"/>
                <w:highlight w:val="none"/>
              </w:rPr>
            </w:pPr>
            <w:bookmarkStart w:id="1083" w:name="_Toc221952077"/>
            <w:r>
              <w:rPr>
                <w:rFonts w:ascii="宋体" w:hAnsi="宋体"/>
                <w:color w:val="auto"/>
                <w:szCs w:val="21"/>
                <w:highlight w:val="none"/>
              </w:rPr>
              <w:t>规格</w:t>
            </w:r>
            <w:bookmarkEnd w:id="1083"/>
          </w:p>
        </w:tc>
        <w:tc>
          <w:tcPr>
            <w:tcW w:w="965" w:type="dxa"/>
            <w:noWrap w:val="0"/>
            <w:vAlign w:val="top"/>
          </w:tcPr>
          <w:p>
            <w:pPr>
              <w:spacing w:line="400" w:lineRule="exact"/>
              <w:jc w:val="center"/>
              <w:rPr>
                <w:rFonts w:ascii="宋体" w:hAnsi="宋体"/>
                <w:color w:val="auto"/>
                <w:szCs w:val="21"/>
                <w:highlight w:val="none"/>
              </w:rPr>
            </w:pPr>
            <w:bookmarkStart w:id="1084" w:name="_Toc221952078"/>
            <w:r>
              <w:rPr>
                <w:rFonts w:ascii="宋体" w:hAnsi="宋体"/>
                <w:color w:val="auto"/>
                <w:szCs w:val="21"/>
                <w:highlight w:val="none"/>
              </w:rPr>
              <w:t>数量</w:t>
            </w:r>
            <w:bookmarkEnd w:id="1084"/>
          </w:p>
        </w:tc>
        <w:tc>
          <w:tcPr>
            <w:tcW w:w="655" w:type="dxa"/>
            <w:noWrap w:val="0"/>
            <w:vAlign w:val="top"/>
          </w:tcPr>
          <w:p>
            <w:pPr>
              <w:spacing w:line="400" w:lineRule="exact"/>
              <w:jc w:val="center"/>
              <w:rPr>
                <w:rFonts w:ascii="宋体" w:hAnsi="宋体"/>
                <w:color w:val="auto"/>
                <w:szCs w:val="21"/>
                <w:highlight w:val="none"/>
              </w:rPr>
            </w:pPr>
            <w:bookmarkStart w:id="1085" w:name="_Toc221952079"/>
            <w:r>
              <w:rPr>
                <w:rFonts w:ascii="宋体" w:hAnsi="宋体"/>
                <w:color w:val="auto"/>
                <w:szCs w:val="21"/>
                <w:highlight w:val="none"/>
              </w:rPr>
              <w:t>国别</w:t>
            </w:r>
            <w:bookmarkEnd w:id="1085"/>
          </w:p>
          <w:p>
            <w:pPr>
              <w:spacing w:line="400" w:lineRule="exact"/>
              <w:jc w:val="center"/>
              <w:rPr>
                <w:rFonts w:ascii="宋体" w:hAnsi="宋体"/>
                <w:color w:val="auto"/>
                <w:szCs w:val="21"/>
                <w:highlight w:val="none"/>
              </w:rPr>
            </w:pPr>
            <w:bookmarkStart w:id="1086" w:name="_Toc221952080"/>
            <w:r>
              <w:rPr>
                <w:rFonts w:ascii="宋体" w:hAnsi="宋体"/>
                <w:color w:val="auto"/>
                <w:szCs w:val="21"/>
                <w:highlight w:val="none"/>
              </w:rPr>
              <w:t>产地</w:t>
            </w:r>
            <w:bookmarkEnd w:id="1086"/>
          </w:p>
        </w:tc>
        <w:tc>
          <w:tcPr>
            <w:tcW w:w="720" w:type="dxa"/>
            <w:noWrap w:val="0"/>
            <w:vAlign w:val="top"/>
          </w:tcPr>
          <w:p>
            <w:pPr>
              <w:spacing w:line="400" w:lineRule="exact"/>
              <w:jc w:val="center"/>
              <w:rPr>
                <w:rFonts w:ascii="宋体" w:hAnsi="宋体"/>
                <w:color w:val="auto"/>
                <w:szCs w:val="21"/>
                <w:highlight w:val="none"/>
              </w:rPr>
            </w:pPr>
            <w:bookmarkStart w:id="1087" w:name="_Toc221952081"/>
            <w:r>
              <w:rPr>
                <w:rFonts w:ascii="宋体" w:hAnsi="宋体"/>
                <w:color w:val="auto"/>
                <w:szCs w:val="21"/>
                <w:highlight w:val="none"/>
              </w:rPr>
              <w:t>制造</w:t>
            </w:r>
            <w:bookmarkEnd w:id="1087"/>
          </w:p>
          <w:p>
            <w:pPr>
              <w:spacing w:line="400" w:lineRule="exact"/>
              <w:jc w:val="center"/>
              <w:rPr>
                <w:rFonts w:ascii="宋体" w:hAnsi="宋体"/>
                <w:color w:val="auto"/>
                <w:szCs w:val="21"/>
                <w:highlight w:val="none"/>
              </w:rPr>
            </w:pPr>
            <w:bookmarkStart w:id="1088" w:name="_Toc221952082"/>
            <w:r>
              <w:rPr>
                <w:rFonts w:ascii="宋体" w:hAnsi="宋体"/>
                <w:color w:val="auto"/>
                <w:szCs w:val="21"/>
                <w:highlight w:val="none"/>
              </w:rPr>
              <w:t>年份</w:t>
            </w:r>
            <w:bookmarkEnd w:id="1088"/>
          </w:p>
        </w:tc>
        <w:tc>
          <w:tcPr>
            <w:tcW w:w="1182" w:type="dxa"/>
            <w:noWrap w:val="0"/>
            <w:vAlign w:val="top"/>
          </w:tcPr>
          <w:p>
            <w:pPr>
              <w:spacing w:line="400" w:lineRule="exact"/>
              <w:jc w:val="center"/>
              <w:rPr>
                <w:rFonts w:ascii="宋体" w:hAnsi="宋体"/>
                <w:color w:val="auto"/>
                <w:szCs w:val="21"/>
                <w:highlight w:val="none"/>
              </w:rPr>
            </w:pPr>
            <w:bookmarkStart w:id="1089" w:name="_Toc221952083"/>
            <w:r>
              <w:rPr>
                <w:rFonts w:ascii="宋体" w:hAnsi="宋体"/>
                <w:color w:val="auto"/>
                <w:szCs w:val="21"/>
                <w:highlight w:val="none"/>
              </w:rPr>
              <w:t>额定功率（</w:t>
            </w:r>
            <w:r>
              <w:rPr>
                <w:rFonts w:hint="eastAsia" w:ascii="宋体" w:hAnsi="宋体"/>
                <w:color w:val="auto"/>
                <w:szCs w:val="21"/>
                <w:highlight w:val="none"/>
              </w:rPr>
              <w:t>K</w:t>
            </w:r>
            <w:r>
              <w:rPr>
                <w:rFonts w:ascii="宋体" w:hAnsi="宋体"/>
                <w:color w:val="auto"/>
                <w:szCs w:val="21"/>
                <w:highlight w:val="none"/>
              </w:rPr>
              <w:t>W）</w:t>
            </w:r>
            <w:bookmarkEnd w:id="1089"/>
          </w:p>
        </w:tc>
        <w:tc>
          <w:tcPr>
            <w:tcW w:w="853" w:type="dxa"/>
            <w:noWrap w:val="0"/>
            <w:vAlign w:val="top"/>
          </w:tcPr>
          <w:p>
            <w:pPr>
              <w:spacing w:line="400" w:lineRule="exact"/>
              <w:jc w:val="center"/>
              <w:rPr>
                <w:rFonts w:ascii="宋体" w:hAnsi="宋体"/>
                <w:color w:val="auto"/>
                <w:szCs w:val="21"/>
                <w:highlight w:val="none"/>
              </w:rPr>
            </w:pPr>
            <w:bookmarkStart w:id="1090" w:name="_Toc221952084"/>
            <w:r>
              <w:rPr>
                <w:rFonts w:ascii="宋体" w:hAnsi="宋体"/>
                <w:color w:val="auto"/>
                <w:szCs w:val="21"/>
                <w:highlight w:val="none"/>
              </w:rPr>
              <w:t>生产</w:t>
            </w:r>
            <w:bookmarkEnd w:id="1090"/>
          </w:p>
          <w:p>
            <w:pPr>
              <w:spacing w:line="400" w:lineRule="exact"/>
              <w:jc w:val="center"/>
              <w:rPr>
                <w:rFonts w:ascii="宋体" w:hAnsi="宋体"/>
                <w:color w:val="auto"/>
                <w:szCs w:val="21"/>
                <w:highlight w:val="none"/>
              </w:rPr>
            </w:pPr>
            <w:bookmarkStart w:id="1091" w:name="_Toc221952085"/>
            <w:r>
              <w:rPr>
                <w:rFonts w:ascii="宋体" w:hAnsi="宋体"/>
                <w:color w:val="auto"/>
                <w:szCs w:val="21"/>
                <w:highlight w:val="none"/>
              </w:rPr>
              <w:t>能力</w:t>
            </w:r>
            <w:bookmarkEnd w:id="1091"/>
          </w:p>
        </w:tc>
        <w:tc>
          <w:tcPr>
            <w:tcW w:w="1028" w:type="dxa"/>
            <w:noWrap w:val="0"/>
            <w:vAlign w:val="top"/>
          </w:tcPr>
          <w:p>
            <w:pPr>
              <w:spacing w:line="400" w:lineRule="exact"/>
              <w:jc w:val="center"/>
              <w:rPr>
                <w:rFonts w:ascii="宋体" w:hAnsi="宋体"/>
                <w:color w:val="auto"/>
                <w:szCs w:val="21"/>
                <w:highlight w:val="none"/>
              </w:rPr>
            </w:pPr>
            <w:bookmarkStart w:id="1092" w:name="_Toc221952086"/>
            <w:r>
              <w:rPr>
                <w:rFonts w:ascii="宋体" w:hAnsi="宋体"/>
                <w:color w:val="auto"/>
                <w:szCs w:val="21"/>
                <w:highlight w:val="none"/>
              </w:rPr>
              <w:t>用于施工部位</w:t>
            </w:r>
            <w:bookmarkEnd w:id="1092"/>
          </w:p>
        </w:tc>
        <w:tc>
          <w:tcPr>
            <w:tcW w:w="674" w:type="dxa"/>
            <w:noWrap w:val="0"/>
            <w:vAlign w:val="top"/>
          </w:tcPr>
          <w:p>
            <w:pPr>
              <w:spacing w:line="400" w:lineRule="exact"/>
              <w:jc w:val="center"/>
              <w:rPr>
                <w:rFonts w:ascii="宋体" w:hAnsi="宋体"/>
                <w:color w:val="auto"/>
                <w:szCs w:val="21"/>
                <w:highlight w:val="none"/>
              </w:rPr>
            </w:pPr>
            <w:bookmarkStart w:id="1093" w:name="_Toc221952087"/>
            <w:r>
              <w:rPr>
                <w:rFonts w:ascii="宋体" w:hAnsi="宋体"/>
                <w:color w:val="auto"/>
                <w:szCs w:val="21"/>
                <w:highlight w:val="none"/>
              </w:rPr>
              <w:t>备注</w:t>
            </w:r>
            <w:bookmarkEnd w:id="109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pPr>
              <w:spacing w:line="400" w:lineRule="exact"/>
              <w:jc w:val="center"/>
              <w:rPr>
                <w:rFonts w:ascii="宋体" w:hAnsi="宋体"/>
                <w:color w:val="auto"/>
                <w:szCs w:val="21"/>
                <w:highlight w:val="none"/>
              </w:rPr>
            </w:pPr>
          </w:p>
        </w:tc>
        <w:tc>
          <w:tcPr>
            <w:tcW w:w="1059" w:type="dxa"/>
            <w:noWrap w:val="0"/>
            <w:vAlign w:val="top"/>
          </w:tcPr>
          <w:p>
            <w:pPr>
              <w:spacing w:line="400" w:lineRule="exact"/>
              <w:jc w:val="center"/>
              <w:rPr>
                <w:rFonts w:ascii="宋体" w:hAnsi="宋体"/>
                <w:color w:val="auto"/>
                <w:szCs w:val="21"/>
                <w:highlight w:val="none"/>
              </w:rPr>
            </w:pPr>
          </w:p>
        </w:tc>
        <w:tc>
          <w:tcPr>
            <w:tcW w:w="742" w:type="dxa"/>
            <w:noWrap w:val="0"/>
            <w:vAlign w:val="top"/>
          </w:tcPr>
          <w:p>
            <w:pPr>
              <w:spacing w:line="400" w:lineRule="exact"/>
              <w:jc w:val="center"/>
              <w:rPr>
                <w:rFonts w:ascii="宋体" w:hAnsi="宋体"/>
                <w:color w:val="auto"/>
                <w:szCs w:val="21"/>
                <w:highlight w:val="none"/>
              </w:rPr>
            </w:pPr>
          </w:p>
        </w:tc>
        <w:tc>
          <w:tcPr>
            <w:tcW w:w="965" w:type="dxa"/>
            <w:noWrap w:val="0"/>
            <w:vAlign w:val="top"/>
          </w:tcPr>
          <w:p>
            <w:pPr>
              <w:spacing w:line="400" w:lineRule="exact"/>
              <w:jc w:val="center"/>
              <w:rPr>
                <w:rFonts w:ascii="宋体" w:hAnsi="宋体"/>
                <w:color w:val="auto"/>
                <w:szCs w:val="21"/>
                <w:highlight w:val="none"/>
              </w:rPr>
            </w:pPr>
          </w:p>
        </w:tc>
        <w:tc>
          <w:tcPr>
            <w:tcW w:w="655" w:type="dxa"/>
            <w:noWrap w:val="0"/>
            <w:vAlign w:val="top"/>
          </w:tcPr>
          <w:p>
            <w:pPr>
              <w:spacing w:line="400" w:lineRule="exact"/>
              <w:jc w:val="center"/>
              <w:rPr>
                <w:rFonts w:ascii="宋体" w:hAnsi="宋体"/>
                <w:color w:val="auto"/>
                <w:szCs w:val="21"/>
                <w:highlight w:val="none"/>
              </w:rPr>
            </w:pPr>
          </w:p>
        </w:tc>
        <w:tc>
          <w:tcPr>
            <w:tcW w:w="720" w:type="dxa"/>
            <w:noWrap w:val="0"/>
            <w:vAlign w:val="top"/>
          </w:tcPr>
          <w:p>
            <w:pPr>
              <w:spacing w:line="400" w:lineRule="exact"/>
              <w:jc w:val="center"/>
              <w:rPr>
                <w:rFonts w:ascii="宋体" w:hAnsi="宋体"/>
                <w:color w:val="auto"/>
                <w:szCs w:val="21"/>
                <w:highlight w:val="none"/>
              </w:rPr>
            </w:pPr>
          </w:p>
        </w:tc>
        <w:tc>
          <w:tcPr>
            <w:tcW w:w="1182" w:type="dxa"/>
            <w:noWrap w:val="0"/>
            <w:vAlign w:val="top"/>
          </w:tcPr>
          <w:p>
            <w:pPr>
              <w:spacing w:line="400" w:lineRule="exact"/>
              <w:jc w:val="center"/>
              <w:rPr>
                <w:rFonts w:ascii="宋体" w:hAnsi="宋体"/>
                <w:color w:val="auto"/>
                <w:szCs w:val="21"/>
                <w:highlight w:val="none"/>
              </w:rPr>
            </w:pPr>
          </w:p>
        </w:tc>
        <w:tc>
          <w:tcPr>
            <w:tcW w:w="853" w:type="dxa"/>
            <w:noWrap w:val="0"/>
            <w:vAlign w:val="top"/>
          </w:tcPr>
          <w:p>
            <w:pPr>
              <w:spacing w:line="400" w:lineRule="exact"/>
              <w:jc w:val="center"/>
              <w:rPr>
                <w:rFonts w:ascii="宋体" w:hAnsi="宋体"/>
                <w:color w:val="auto"/>
                <w:szCs w:val="21"/>
                <w:highlight w:val="none"/>
              </w:rPr>
            </w:pPr>
          </w:p>
        </w:tc>
        <w:tc>
          <w:tcPr>
            <w:tcW w:w="1028" w:type="dxa"/>
            <w:noWrap w:val="0"/>
            <w:vAlign w:val="top"/>
          </w:tcPr>
          <w:p>
            <w:pPr>
              <w:spacing w:line="400" w:lineRule="exact"/>
              <w:jc w:val="center"/>
              <w:rPr>
                <w:rFonts w:ascii="宋体" w:hAnsi="宋体"/>
                <w:color w:val="auto"/>
                <w:szCs w:val="21"/>
                <w:highlight w:val="none"/>
              </w:rPr>
            </w:pPr>
          </w:p>
        </w:tc>
        <w:tc>
          <w:tcPr>
            <w:tcW w:w="674" w:type="dxa"/>
            <w:noWrap w:val="0"/>
            <w:vAlign w:val="top"/>
          </w:tcPr>
          <w:p>
            <w:pPr>
              <w:spacing w:line="400" w:lineRule="exact"/>
              <w:jc w:val="center"/>
              <w:rPr>
                <w:rFonts w:ascii="宋体" w:hAnsi="宋体"/>
                <w:color w:val="auto"/>
                <w:szCs w:val="21"/>
                <w:highlight w:val="none"/>
              </w:rPr>
            </w:pPr>
          </w:p>
        </w:tc>
      </w:tr>
    </w:tbl>
    <w:p>
      <w:pPr>
        <w:spacing w:line="400" w:lineRule="exact"/>
        <w:rPr>
          <w:rFonts w:eastAsia="黑体"/>
          <w:color w:val="auto"/>
          <w:sz w:val="19"/>
          <w:szCs w:val="19"/>
          <w:highlight w:val="none"/>
        </w:rPr>
      </w:pPr>
    </w:p>
    <w:p>
      <w:pPr>
        <w:spacing w:line="400" w:lineRule="exact"/>
        <w:rPr>
          <w:rFonts w:eastAsia="黑体"/>
          <w:color w:val="auto"/>
          <w:sz w:val="19"/>
          <w:szCs w:val="19"/>
          <w:highlight w:val="none"/>
        </w:rPr>
      </w:pPr>
      <w:r>
        <w:rPr>
          <w:rFonts w:eastAsia="黑体"/>
          <w:color w:val="auto"/>
          <w:sz w:val="19"/>
          <w:szCs w:val="19"/>
          <w:highlight w:val="none"/>
        </w:rPr>
        <w:br w:type="page"/>
      </w:r>
    </w:p>
    <w:p>
      <w:pPr>
        <w:spacing w:line="400" w:lineRule="exact"/>
        <w:jc w:val="center"/>
        <w:outlineLvl w:val="3"/>
        <w:rPr>
          <w:rFonts w:ascii="宋体" w:hAnsi="宋体"/>
          <w:b/>
          <w:color w:val="auto"/>
          <w:sz w:val="24"/>
          <w:szCs w:val="31"/>
          <w:highlight w:val="none"/>
        </w:rPr>
      </w:pPr>
      <w:bookmarkStart w:id="1094" w:name="_Toc168475925"/>
      <w:bookmarkStart w:id="1095" w:name="_Toc144974866"/>
      <w:bookmarkStart w:id="1096" w:name="_Toc168476328"/>
      <w:bookmarkStart w:id="1097" w:name="_Toc221952088"/>
      <w:r>
        <w:rPr>
          <w:rFonts w:ascii="宋体" w:hAnsi="宋体"/>
          <w:b/>
          <w:color w:val="auto"/>
          <w:sz w:val="24"/>
          <w:szCs w:val="31"/>
          <w:highlight w:val="none"/>
        </w:rPr>
        <w:t>附表二：拟</w:t>
      </w:r>
      <w:r>
        <w:rPr>
          <w:rFonts w:hint="eastAsia" w:ascii="宋体" w:hAnsi="宋体"/>
          <w:b/>
          <w:color w:val="auto"/>
          <w:sz w:val="24"/>
          <w:szCs w:val="31"/>
          <w:highlight w:val="none"/>
        </w:rPr>
        <w:t>投入</w:t>
      </w:r>
      <w:r>
        <w:rPr>
          <w:rFonts w:ascii="宋体" w:hAnsi="宋体"/>
          <w:b/>
          <w:color w:val="auto"/>
          <w:sz w:val="24"/>
          <w:szCs w:val="31"/>
          <w:highlight w:val="none"/>
        </w:rPr>
        <w:t>本标段的</w:t>
      </w:r>
      <w:r>
        <w:rPr>
          <w:rFonts w:hint="eastAsia" w:ascii="宋体" w:hAnsi="宋体"/>
          <w:b/>
          <w:color w:val="auto"/>
          <w:sz w:val="24"/>
          <w:szCs w:val="31"/>
          <w:highlight w:val="none"/>
        </w:rPr>
        <w:t>试</w:t>
      </w:r>
      <w:r>
        <w:rPr>
          <w:rFonts w:ascii="宋体" w:hAnsi="宋体"/>
          <w:b/>
          <w:color w:val="auto"/>
          <w:sz w:val="24"/>
          <w:szCs w:val="31"/>
          <w:highlight w:val="none"/>
        </w:rPr>
        <w:t>验和检测仪器设备表</w:t>
      </w:r>
      <w:bookmarkEnd w:id="1094"/>
      <w:bookmarkEnd w:id="1095"/>
      <w:bookmarkEnd w:id="1096"/>
      <w:bookmarkEnd w:id="1097"/>
    </w:p>
    <w:p>
      <w:pPr>
        <w:spacing w:line="400" w:lineRule="exact"/>
        <w:rPr>
          <w:color w:val="auto"/>
          <w:sz w:val="19"/>
          <w:szCs w:val="19"/>
          <w:highlight w:val="none"/>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095"/>
        <w:gridCol w:w="882"/>
        <w:gridCol w:w="882"/>
        <w:gridCol w:w="677"/>
        <w:gridCol w:w="744"/>
        <w:gridCol w:w="1221"/>
        <w:gridCol w:w="166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bookmarkStart w:id="1098" w:name="_Toc221952089"/>
            <w:r>
              <w:rPr>
                <w:rFonts w:ascii="宋体" w:hAnsi="宋体"/>
                <w:color w:val="auto"/>
                <w:szCs w:val="21"/>
                <w:highlight w:val="none"/>
              </w:rPr>
              <w:t>序号</w:t>
            </w:r>
            <w:bookmarkEnd w:id="1098"/>
          </w:p>
        </w:tc>
        <w:tc>
          <w:tcPr>
            <w:tcW w:w="1095" w:type="dxa"/>
            <w:noWrap w:val="0"/>
            <w:vAlign w:val="top"/>
          </w:tcPr>
          <w:p>
            <w:pPr>
              <w:spacing w:line="400" w:lineRule="exact"/>
              <w:jc w:val="center"/>
              <w:rPr>
                <w:rFonts w:ascii="宋体" w:hAnsi="宋体"/>
                <w:color w:val="auto"/>
                <w:szCs w:val="21"/>
                <w:highlight w:val="none"/>
              </w:rPr>
            </w:pPr>
            <w:bookmarkStart w:id="1099" w:name="_Toc221952090"/>
            <w:r>
              <w:rPr>
                <w:rFonts w:ascii="宋体" w:hAnsi="宋体"/>
                <w:color w:val="auto"/>
                <w:szCs w:val="21"/>
                <w:highlight w:val="none"/>
              </w:rPr>
              <w:t>仪器设备名称</w:t>
            </w:r>
            <w:bookmarkEnd w:id="1099"/>
          </w:p>
        </w:tc>
        <w:tc>
          <w:tcPr>
            <w:tcW w:w="882" w:type="dxa"/>
            <w:noWrap w:val="0"/>
            <w:vAlign w:val="top"/>
          </w:tcPr>
          <w:p>
            <w:pPr>
              <w:spacing w:line="400" w:lineRule="exact"/>
              <w:jc w:val="center"/>
              <w:rPr>
                <w:rFonts w:ascii="宋体" w:hAnsi="宋体"/>
                <w:color w:val="auto"/>
                <w:szCs w:val="21"/>
                <w:highlight w:val="none"/>
              </w:rPr>
            </w:pPr>
            <w:bookmarkStart w:id="1100" w:name="_Toc221952091"/>
            <w:r>
              <w:rPr>
                <w:rFonts w:ascii="宋体" w:hAnsi="宋体"/>
                <w:color w:val="auto"/>
                <w:szCs w:val="21"/>
                <w:highlight w:val="none"/>
              </w:rPr>
              <w:t>型号</w:t>
            </w:r>
            <w:bookmarkEnd w:id="1100"/>
          </w:p>
          <w:p>
            <w:pPr>
              <w:spacing w:line="400" w:lineRule="exact"/>
              <w:jc w:val="center"/>
              <w:rPr>
                <w:rFonts w:ascii="宋体" w:hAnsi="宋体"/>
                <w:color w:val="auto"/>
                <w:szCs w:val="21"/>
                <w:highlight w:val="none"/>
              </w:rPr>
            </w:pPr>
            <w:bookmarkStart w:id="1101" w:name="_Toc221952092"/>
            <w:r>
              <w:rPr>
                <w:rFonts w:ascii="宋体" w:hAnsi="宋体"/>
                <w:color w:val="auto"/>
                <w:szCs w:val="21"/>
                <w:highlight w:val="none"/>
              </w:rPr>
              <w:t>规格</w:t>
            </w:r>
            <w:bookmarkEnd w:id="1101"/>
          </w:p>
        </w:tc>
        <w:tc>
          <w:tcPr>
            <w:tcW w:w="882" w:type="dxa"/>
            <w:noWrap w:val="0"/>
            <w:vAlign w:val="top"/>
          </w:tcPr>
          <w:p>
            <w:pPr>
              <w:spacing w:line="400" w:lineRule="exact"/>
              <w:jc w:val="center"/>
              <w:rPr>
                <w:rFonts w:ascii="宋体" w:hAnsi="宋体"/>
                <w:color w:val="auto"/>
                <w:szCs w:val="21"/>
                <w:highlight w:val="none"/>
              </w:rPr>
            </w:pPr>
            <w:bookmarkStart w:id="1102" w:name="_Toc221952093"/>
            <w:r>
              <w:rPr>
                <w:rFonts w:ascii="宋体" w:hAnsi="宋体"/>
                <w:color w:val="auto"/>
                <w:szCs w:val="21"/>
                <w:highlight w:val="none"/>
              </w:rPr>
              <w:t>数量</w:t>
            </w:r>
            <w:bookmarkEnd w:id="1102"/>
          </w:p>
        </w:tc>
        <w:tc>
          <w:tcPr>
            <w:tcW w:w="677" w:type="dxa"/>
            <w:noWrap w:val="0"/>
            <w:vAlign w:val="top"/>
          </w:tcPr>
          <w:p>
            <w:pPr>
              <w:spacing w:line="400" w:lineRule="exact"/>
              <w:jc w:val="center"/>
              <w:rPr>
                <w:rFonts w:ascii="宋体" w:hAnsi="宋体"/>
                <w:color w:val="auto"/>
                <w:szCs w:val="21"/>
                <w:highlight w:val="none"/>
              </w:rPr>
            </w:pPr>
            <w:bookmarkStart w:id="1103" w:name="_Toc221952094"/>
            <w:r>
              <w:rPr>
                <w:rFonts w:ascii="宋体" w:hAnsi="宋体"/>
                <w:color w:val="auto"/>
                <w:szCs w:val="21"/>
                <w:highlight w:val="none"/>
              </w:rPr>
              <w:t>国别</w:t>
            </w:r>
            <w:bookmarkEnd w:id="1103"/>
          </w:p>
          <w:p>
            <w:pPr>
              <w:spacing w:line="400" w:lineRule="exact"/>
              <w:jc w:val="center"/>
              <w:rPr>
                <w:rFonts w:ascii="宋体" w:hAnsi="宋体"/>
                <w:color w:val="auto"/>
                <w:szCs w:val="21"/>
                <w:highlight w:val="none"/>
              </w:rPr>
            </w:pPr>
            <w:bookmarkStart w:id="1104" w:name="_Toc221952095"/>
            <w:r>
              <w:rPr>
                <w:rFonts w:ascii="宋体" w:hAnsi="宋体"/>
                <w:color w:val="auto"/>
                <w:szCs w:val="21"/>
                <w:highlight w:val="none"/>
              </w:rPr>
              <w:t>产地</w:t>
            </w:r>
            <w:bookmarkEnd w:id="1104"/>
          </w:p>
        </w:tc>
        <w:tc>
          <w:tcPr>
            <w:tcW w:w="744" w:type="dxa"/>
            <w:noWrap w:val="0"/>
            <w:vAlign w:val="top"/>
          </w:tcPr>
          <w:p>
            <w:pPr>
              <w:spacing w:line="400" w:lineRule="exact"/>
              <w:jc w:val="center"/>
              <w:rPr>
                <w:rFonts w:ascii="宋体" w:hAnsi="宋体"/>
                <w:color w:val="auto"/>
                <w:szCs w:val="21"/>
                <w:highlight w:val="none"/>
              </w:rPr>
            </w:pPr>
            <w:bookmarkStart w:id="1105" w:name="_Toc221952096"/>
            <w:r>
              <w:rPr>
                <w:rFonts w:ascii="宋体" w:hAnsi="宋体"/>
                <w:color w:val="auto"/>
                <w:szCs w:val="21"/>
                <w:highlight w:val="none"/>
              </w:rPr>
              <w:t>制造</w:t>
            </w:r>
            <w:bookmarkEnd w:id="1105"/>
          </w:p>
          <w:p>
            <w:pPr>
              <w:spacing w:line="400" w:lineRule="exact"/>
              <w:jc w:val="center"/>
              <w:rPr>
                <w:rFonts w:ascii="宋体" w:hAnsi="宋体"/>
                <w:color w:val="auto"/>
                <w:szCs w:val="21"/>
                <w:highlight w:val="none"/>
              </w:rPr>
            </w:pPr>
            <w:bookmarkStart w:id="1106" w:name="_Toc221952097"/>
            <w:r>
              <w:rPr>
                <w:rFonts w:ascii="宋体" w:hAnsi="宋体"/>
                <w:color w:val="auto"/>
                <w:szCs w:val="21"/>
                <w:highlight w:val="none"/>
              </w:rPr>
              <w:t>年份</w:t>
            </w:r>
            <w:bookmarkEnd w:id="1106"/>
          </w:p>
        </w:tc>
        <w:tc>
          <w:tcPr>
            <w:tcW w:w="1221" w:type="dxa"/>
            <w:noWrap w:val="0"/>
            <w:vAlign w:val="top"/>
          </w:tcPr>
          <w:p>
            <w:pPr>
              <w:spacing w:line="400" w:lineRule="exact"/>
              <w:jc w:val="center"/>
              <w:rPr>
                <w:rFonts w:ascii="宋体" w:hAnsi="宋体"/>
                <w:color w:val="auto"/>
                <w:szCs w:val="21"/>
                <w:highlight w:val="none"/>
              </w:rPr>
            </w:pPr>
            <w:bookmarkStart w:id="1107" w:name="_Toc221952098"/>
            <w:r>
              <w:rPr>
                <w:rFonts w:ascii="宋体" w:hAnsi="宋体"/>
                <w:color w:val="auto"/>
                <w:szCs w:val="21"/>
                <w:highlight w:val="none"/>
              </w:rPr>
              <w:t>已使用台时数</w:t>
            </w:r>
            <w:bookmarkEnd w:id="1107"/>
          </w:p>
        </w:tc>
        <w:tc>
          <w:tcPr>
            <w:tcW w:w="1665" w:type="dxa"/>
            <w:noWrap w:val="0"/>
            <w:vAlign w:val="top"/>
          </w:tcPr>
          <w:p>
            <w:pPr>
              <w:spacing w:line="400" w:lineRule="exact"/>
              <w:jc w:val="center"/>
              <w:rPr>
                <w:rFonts w:ascii="宋体" w:hAnsi="宋体"/>
                <w:color w:val="auto"/>
                <w:szCs w:val="21"/>
                <w:highlight w:val="none"/>
              </w:rPr>
            </w:pPr>
            <w:bookmarkStart w:id="1108" w:name="_Toc221952099"/>
            <w:r>
              <w:rPr>
                <w:rFonts w:ascii="宋体" w:hAnsi="宋体"/>
                <w:color w:val="auto"/>
                <w:szCs w:val="21"/>
                <w:highlight w:val="none"/>
              </w:rPr>
              <w:t>用途</w:t>
            </w:r>
            <w:bookmarkEnd w:id="1108"/>
          </w:p>
        </w:tc>
        <w:tc>
          <w:tcPr>
            <w:tcW w:w="691" w:type="dxa"/>
            <w:noWrap w:val="0"/>
            <w:vAlign w:val="top"/>
          </w:tcPr>
          <w:p>
            <w:pPr>
              <w:spacing w:line="400" w:lineRule="exact"/>
              <w:jc w:val="center"/>
              <w:rPr>
                <w:rFonts w:ascii="宋体" w:hAnsi="宋体"/>
                <w:color w:val="auto"/>
                <w:szCs w:val="21"/>
                <w:highlight w:val="none"/>
              </w:rPr>
            </w:pPr>
            <w:bookmarkStart w:id="1109" w:name="_Toc221952100"/>
            <w:r>
              <w:rPr>
                <w:rFonts w:ascii="宋体" w:hAnsi="宋体"/>
                <w:color w:val="auto"/>
                <w:szCs w:val="21"/>
                <w:highlight w:val="none"/>
              </w:rPr>
              <w:t>备注</w:t>
            </w:r>
            <w:bookmarkEnd w:id="110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pPr>
              <w:spacing w:line="400" w:lineRule="exact"/>
              <w:jc w:val="center"/>
              <w:rPr>
                <w:rFonts w:ascii="宋体" w:hAnsi="宋体"/>
                <w:color w:val="auto"/>
                <w:szCs w:val="21"/>
                <w:highlight w:val="none"/>
              </w:rPr>
            </w:pPr>
          </w:p>
        </w:tc>
        <w:tc>
          <w:tcPr>
            <w:tcW w:w="1095"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882" w:type="dxa"/>
            <w:noWrap w:val="0"/>
            <w:vAlign w:val="top"/>
          </w:tcPr>
          <w:p>
            <w:pPr>
              <w:spacing w:line="400" w:lineRule="exact"/>
              <w:jc w:val="center"/>
              <w:rPr>
                <w:rFonts w:ascii="宋体" w:hAnsi="宋体"/>
                <w:color w:val="auto"/>
                <w:szCs w:val="21"/>
                <w:highlight w:val="none"/>
              </w:rPr>
            </w:pPr>
          </w:p>
        </w:tc>
        <w:tc>
          <w:tcPr>
            <w:tcW w:w="677" w:type="dxa"/>
            <w:noWrap w:val="0"/>
            <w:vAlign w:val="top"/>
          </w:tcPr>
          <w:p>
            <w:pPr>
              <w:spacing w:line="400" w:lineRule="exact"/>
              <w:jc w:val="center"/>
              <w:rPr>
                <w:rFonts w:ascii="宋体" w:hAnsi="宋体"/>
                <w:color w:val="auto"/>
                <w:szCs w:val="21"/>
                <w:highlight w:val="none"/>
              </w:rPr>
            </w:pPr>
          </w:p>
        </w:tc>
        <w:tc>
          <w:tcPr>
            <w:tcW w:w="744" w:type="dxa"/>
            <w:noWrap w:val="0"/>
            <w:vAlign w:val="top"/>
          </w:tcPr>
          <w:p>
            <w:pPr>
              <w:spacing w:line="400" w:lineRule="exact"/>
              <w:jc w:val="center"/>
              <w:rPr>
                <w:rFonts w:ascii="宋体" w:hAnsi="宋体"/>
                <w:color w:val="auto"/>
                <w:szCs w:val="21"/>
                <w:highlight w:val="none"/>
              </w:rPr>
            </w:pPr>
          </w:p>
        </w:tc>
        <w:tc>
          <w:tcPr>
            <w:tcW w:w="1221" w:type="dxa"/>
            <w:noWrap w:val="0"/>
            <w:vAlign w:val="top"/>
          </w:tcPr>
          <w:p>
            <w:pPr>
              <w:spacing w:line="400" w:lineRule="exact"/>
              <w:jc w:val="center"/>
              <w:rPr>
                <w:rFonts w:ascii="宋体" w:hAnsi="宋体"/>
                <w:color w:val="auto"/>
                <w:szCs w:val="21"/>
                <w:highlight w:val="none"/>
              </w:rPr>
            </w:pPr>
          </w:p>
        </w:tc>
        <w:tc>
          <w:tcPr>
            <w:tcW w:w="1665" w:type="dxa"/>
            <w:noWrap w:val="0"/>
            <w:vAlign w:val="top"/>
          </w:tcPr>
          <w:p>
            <w:pPr>
              <w:spacing w:line="400" w:lineRule="exact"/>
              <w:jc w:val="center"/>
              <w:rPr>
                <w:rFonts w:ascii="宋体" w:hAnsi="宋体"/>
                <w:color w:val="auto"/>
                <w:szCs w:val="21"/>
                <w:highlight w:val="none"/>
              </w:rPr>
            </w:pPr>
          </w:p>
        </w:tc>
        <w:tc>
          <w:tcPr>
            <w:tcW w:w="691" w:type="dxa"/>
            <w:noWrap w:val="0"/>
            <w:vAlign w:val="top"/>
          </w:tcPr>
          <w:p>
            <w:pPr>
              <w:spacing w:line="400" w:lineRule="exact"/>
              <w:jc w:val="center"/>
              <w:rPr>
                <w:rFonts w:ascii="宋体" w:hAnsi="宋体"/>
                <w:color w:val="auto"/>
                <w:szCs w:val="21"/>
                <w:highlight w:val="none"/>
              </w:rPr>
            </w:pPr>
          </w:p>
        </w:tc>
      </w:tr>
    </w:tbl>
    <w:p>
      <w:pPr>
        <w:spacing w:line="400" w:lineRule="exact"/>
        <w:rPr>
          <w:rFonts w:eastAsia="黑体"/>
          <w:color w:val="auto"/>
          <w:sz w:val="19"/>
          <w:szCs w:val="19"/>
          <w:highlight w:val="none"/>
        </w:rPr>
      </w:pPr>
      <w:r>
        <w:rPr>
          <w:rFonts w:eastAsia="黑体"/>
          <w:color w:val="auto"/>
          <w:sz w:val="19"/>
          <w:szCs w:val="19"/>
          <w:highlight w:val="none"/>
        </w:rPr>
        <w:br w:type="page"/>
      </w:r>
    </w:p>
    <w:p>
      <w:pPr>
        <w:spacing w:line="400" w:lineRule="exact"/>
        <w:jc w:val="center"/>
        <w:outlineLvl w:val="3"/>
        <w:rPr>
          <w:rFonts w:ascii="宋体" w:hAnsi="宋体"/>
          <w:b/>
          <w:color w:val="auto"/>
          <w:sz w:val="24"/>
          <w:szCs w:val="31"/>
          <w:highlight w:val="none"/>
        </w:rPr>
      </w:pPr>
      <w:bookmarkStart w:id="1110" w:name="_Toc221952101"/>
      <w:bookmarkStart w:id="1111" w:name="_Toc168476329"/>
      <w:bookmarkStart w:id="1112" w:name="_Toc168475926"/>
      <w:bookmarkStart w:id="1113" w:name="_Toc144974867"/>
      <w:r>
        <w:rPr>
          <w:rFonts w:ascii="宋体" w:hAnsi="宋体"/>
          <w:b/>
          <w:color w:val="auto"/>
          <w:sz w:val="24"/>
          <w:szCs w:val="31"/>
          <w:highlight w:val="none"/>
        </w:rPr>
        <w:t>附表三：</w:t>
      </w:r>
      <w:r>
        <w:rPr>
          <w:rFonts w:hint="eastAsia" w:ascii="宋体" w:hAnsi="宋体"/>
          <w:b/>
          <w:color w:val="auto"/>
          <w:sz w:val="24"/>
          <w:szCs w:val="31"/>
          <w:highlight w:val="none"/>
        </w:rPr>
        <w:t>拟投入本标段的</w:t>
      </w:r>
      <w:r>
        <w:rPr>
          <w:rFonts w:ascii="宋体" w:hAnsi="宋体"/>
          <w:b/>
          <w:color w:val="auto"/>
          <w:sz w:val="24"/>
          <w:szCs w:val="31"/>
          <w:highlight w:val="none"/>
        </w:rPr>
        <w:t>劳动力计划表</w:t>
      </w:r>
      <w:bookmarkEnd w:id="1110"/>
      <w:bookmarkEnd w:id="1111"/>
      <w:bookmarkEnd w:id="1112"/>
      <w:bookmarkEnd w:id="1113"/>
    </w:p>
    <w:p>
      <w:pPr>
        <w:spacing w:line="400" w:lineRule="exact"/>
        <w:ind w:right="200"/>
        <w:jc w:val="right"/>
        <w:rPr>
          <w:rFonts w:ascii="宋体" w:hAnsi="宋体"/>
          <w:color w:val="auto"/>
          <w:szCs w:val="21"/>
          <w:highlight w:val="none"/>
        </w:rPr>
      </w:pPr>
      <w:bookmarkStart w:id="1114" w:name="_Toc221952102"/>
      <w:r>
        <w:rPr>
          <w:rFonts w:ascii="宋体" w:hAnsi="宋体"/>
          <w:color w:val="auto"/>
          <w:szCs w:val="21"/>
          <w:highlight w:val="none"/>
        </w:rPr>
        <w:t>单位：人</w:t>
      </w:r>
      <w:bookmarkEnd w:id="1114"/>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305"/>
        <w:gridCol w:w="1066"/>
        <w:gridCol w:w="1066"/>
        <w:gridCol w:w="1066"/>
        <w:gridCol w:w="1066"/>
        <w:gridCol w:w="1066"/>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bookmarkStart w:id="1115" w:name="_Toc221952103"/>
            <w:r>
              <w:rPr>
                <w:rFonts w:ascii="宋体" w:hAnsi="宋体"/>
                <w:color w:val="auto"/>
                <w:szCs w:val="21"/>
                <w:highlight w:val="none"/>
              </w:rPr>
              <w:t>工种</w:t>
            </w:r>
            <w:bookmarkEnd w:id="1115"/>
          </w:p>
        </w:tc>
        <w:tc>
          <w:tcPr>
            <w:tcW w:w="7699" w:type="dxa"/>
            <w:gridSpan w:val="7"/>
            <w:noWrap w:val="0"/>
            <w:vAlign w:val="top"/>
          </w:tcPr>
          <w:p>
            <w:pPr>
              <w:spacing w:line="400" w:lineRule="exact"/>
              <w:jc w:val="center"/>
              <w:rPr>
                <w:rFonts w:ascii="宋体" w:hAnsi="宋体"/>
                <w:color w:val="auto"/>
                <w:szCs w:val="21"/>
                <w:highlight w:val="none"/>
              </w:rPr>
            </w:pPr>
            <w:bookmarkStart w:id="1116" w:name="_Toc221952104"/>
            <w:r>
              <w:rPr>
                <w:rFonts w:ascii="宋体" w:hAnsi="宋体"/>
                <w:color w:val="auto"/>
                <w:szCs w:val="21"/>
                <w:highlight w:val="none"/>
              </w:rPr>
              <w:t>按工程施工阶段投入劳动力情况</w:t>
            </w:r>
            <w:bookmarkEnd w:id="11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jc w:val="center"/>
              <w:rPr>
                <w:rFonts w:ascii="宋体" w:hAnsi="宋体"/>
                <w:color w:val="auto"/>
                <w:szCs w:val="21"/>
                <w:highlight w:val="none"/>
              </w:rPr>
            </w:pPr>
          </w:p>
        </w:tc>
        <w:tc>
          <w:tcPr>
            <w:tcW w:w="1305"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6" w:type="dxa"/>
            <w:noWrap w:val="0"/>
            <w:vAlign w:val="top"/>
          </w:tcPr>
          <w:p>
            <w:pPr>
              <w:spacing w:line="400" w:lineRule="exact"/>
              <w:jc w:val="center"/>
              <w:rPr>
                <w:rFonts w:ascii="宋体" w:hAnsi="宋体"/>
                <w:color w:val="auto"/>
                <w:szCs w:val="21"/>
                <w:highlight w:val="none"/>
              </w:rPr>
            </w:pPr>
          </w:p>
        </w:tc>
        <w:tc>
          <w:tcPr>
            <w:tcW w:w="1064" w:type="dxa"/>
            <w:noWrap w:val="0"/>
            <w:vAlign w:val="top"/>
          </w:tcPr>
          <w:p>
            <w:pPr>
              <w:spacing w:line="400" w:lineRule="exact"/>
              <w:jc w:val="center"/>
              <w:rPr>
                <w:rFonts w:ascii="宋体" w:hAnsi="宋体"/>
                <w:color w:val="auto"/>
                <w:szCs w:val="21"/>
                <w:highlight w:val="none"/>
              </w:rPr>
            </w:pPr>
          </w:p>
        </w:tc>
      </w:tr>
    </w:tbl>
    <w:p>
      <w:pPr>
        <w:topLinePunct/>
        <w:spacing w:line="400" w:lineRule="exact"/>
        <w:rPr>
          <w:color w:val="auto"/>
          <w:sz w:val="20"/>
          <w:szCs w:val="20"/>
          <w:highlight w:val="none"/>
        </w:rPr>
      </w:pPr>
    </w:p>
    <w:p>
      <w:pPr>
        <w:widowControl/>
        <w:jc w:val="left"/>
        <w:rPr>
          <w:rFonts w:ascii="宋体" w:hAnsi="宋体"/>
          <w:b/>
          <w:color w:val="auto"/>
          <w:sz w:val="24"/>
          <w:szCs w:val="31"/>
          <w:highlight w:val="none"/>
        </w:rPr>
      </w:pPr>
      <w:bookmarkStart w:id="1117" w:name="_Toc168475927"/>
      <w:bookmarkStart w:id="1118" w:name="_Toc221952105"/>
      <w:bookmarkStart w:id="1119" w:name="_Toc168476330"/>
      <w:bookmarkStart w:id="1120" w:name="_Toc144974868"/>
      <w:r>
        <w:rPr>
          <w:rFonts w:ascii="宋体" w:hAnsi="宋体"/>
          <w:b/>
          <w:color w:val="auto"/>
          <w:sz w:val="24"/>
          <w:szCs w:val="31"/>
          <w:highlight w:val="none"/>
        </w:rPr>
        <w:br w:type="page"/>
      </w:r>
    </w:p>
    <w:p>
      <w:pPr>
        <w:spacing w:line="400" w:lineRule="exact"/>
        <w:jc w:val="center"/>
        <w:outlineLvl w:val="3"/>
        <w:rPr>
          <w:rFonts w:ascii="宋体" w:hAnsi="宋体"/>
          <w:b/>
          <w:color w:val="auto"/>
          <w:sz w:val="24"/>
          <w:szCs w:val="31"/>
          <w:highlight w:val="none"/>
        </w:rPr>
      </w:pPr>
      <w:r>
        <w:rPr>
          <w:rFonts w:ascii="宋体" w:hAnsi="宋体"/>
          <w:b/>
          <w:color w:val="auto"/>
          <w:sz w:val="24"/>
          <w:szCs w:val="31"/>
          <w:highlight w:val="none"/>
        </w:rPr>
        <w:t>附表四：计划开</w:t>
      </w:r>
      <w:r>
        <w:rPr>
          <w:rFonts w:hint="eastAsia" w:ascii="宋体" w:hAnsi="宋体"/>
          <w:b/>
          <w:color w:val="auto"/>
          <w:sz w:val="24"/>
          <w:szCs w:val="31"/>
          <w:highlight w:val="none"/>
        </w:rPr>
        <w:t>工日期</w:t>
      </w:r>
      <w:r>
        <w:rPr>
          <w:rFonts w:ascii="宋体" w:hAnsi="宋体"/>
          <w:b/>
          <w:color w:val="auto"/>
          <w:sz w:val="24"/>
          <w:szCs w:val="31"/>
          <w:highlight w:val="none"/>
        </w:rPr>
        <w:t>、</w:t>
      </w:r>
      <w:r>
        <w:rPr>
          <w:rFonts w:hint="eastAsia" w:ascii="宋体" w:hAnsi="宋体"/>
          <w:b/>
          <w:color w:val="auto"/>
          <w:sz w:val="24"/>
          <w:szCs w:val="31"/>
          <w:highlight w:val="none"/>
        </w:rPr>
        <w:t>完工</w:t>
      </w:r>
      <w:r>
        <w:rPr>
          <w:rFonts w:ascii="宋体" w:hAnsi="宋体"/>
          <w:b/>
          <w:color w:val="auto"/>
          <w:sz w:val="24"/>
          <w:szCs w:val="31"/>
          <w:highlight w:val="none"/>
        </w:rPr>
        <w:t>日期和施工进度网络图</w:t>
      </w:r>
      <w:bookmarkEnd w:id="1117"/>
      <w:bookmarkEnd w:id="1118"/>
      <w:bookmarkEnd w:id="1119"/>
      <w:bookmarkEnd w:id="1120"/>
    </w:p>
    <w:p>
      <w:pPr>
        <w:spacing w:line="400" w:lineRule="exact"/>
        <w:rPr>
          <w:rFonts w:eastAsia="黑体"/>
          <w:color w:val="auto"/>
          <w:sz w:val="19"/>
          <w:szCs w:val="19"/>
          <w:highlight w:val="none"/>
        </w:rPr>
      </w:pPr>
    </w:p>
    <w:p>
      <w:pPr>
        <w:spacing w:line="400" w:lineRule="exact"/>
        <w:ind w:firstLine="420" w:firstLineChars="200"/>
        <w:rPr>
          <w:rFonts w:ascii="宋体" w:hAnsi="宋体"/>
          <w:color w:val="auto"/>
          <w:szCs w:val="21"/>
          <w:highlight w:val="none"/>
        </w:rPr>
      </w:pPr>
      <w:bookmarkStart w:id="1121" w:name="_Toc221952106"/>
      <w:r>
        <w:rPr>
          <w:rFonts w:ascii="宋体" w:hAnsi="宋体"/>
          <w:color w:val="auto"/>
          <w:szCs w:val="21"/>
          <w:highlight w:val="none"/>
        </w:rPr>
        <w:t>1. 投标人应递交施工进度网络图或施工进度表，说明按招标文件要求的计划工期进行施工的各个关键日期。</w:t>
      </w:r>
      <w:bookmarkEnd w:id="1121"/>
    </w:p>
    <w:p>
      <w:pPr>
        <w:spacing w:line="400" w:lineRule="exact"/>
        <w:ind w:firstLine="420" w:firstLineChars="200"/>
        <w:rPr>
          <w:rFonts w:ascii="宋体" w:hAnsi="宋体"/>
          <w:color w:val="auto"/>
          <w:szCs w:val="21"/>
          <w:highlight w:val="none"/>
        </w:rPr>
      </w:pPr>
      <w:bookmarkStart w:id="1122" w:name="_Toc221952107"/>
      <w:r>
        <w:rPr>
          <w:rFonts w:ascii="宋体" w:hAnsi="宋体"/>
          <w:color w:val="auto"/>
          <w:szCs w:val="21"/>
          <w:highlight w:val="none"/>
        </w:rPr>
        <w:t>2. 施工进度表可采用</w:t>
      </w:r>
      <w:r>
        <w:rPr>
          <w:rFonts w:hint="eastAsia" w:ascii="宋体" w:hAnsi="宋体"/>
          <w:color w:val="auto"/>
          <w:szCs w:val="21"/>
          <w:highlight w:val="none"/>
          <w:u w:val="single"/>
        </w:rPr>
        <w:t xml:space="preserve">                 </w:t>
      </w:r>
      <w:r>
        <w:rPr>
          <w:rFonts w:ascii="宋体" w:hAnsi="宋体"/>
          <w:color w:val="auto"/>
          <w:szCs w:val="21"/>
          <w:highlight w:val="none"/>
        </w:rPr>
        <w:t>网络图（或横道图）表示。</w:t>
      </w:r>
      <w:bookmarkEnd w:id="1122"/>
    </w:p>
    <w:p>
      <w:pPr>
        <w:spacing w:line="400" w:lineRule="exact"/>
        <w:rPr>
          <w:color w:val="auto"/>
          <w:sz w:val="19"/>
          <w:szCs w:val="19"/>
          <w:highlight w:val="none"/>
        </w:rPr>
      </w:pPr>
    </w:p>
    <w:p>
      <w:pPr>
        <w:spacing w:line="400" w:lineRule="exact"/>
        <w:rPr>
          <w:rFonts w:eastAsia="黑体"/>
          <w:color w:val="auto"/>
          <w:sz w:val="19"/>
          <w:szCs w:val="19"/>
          <w:highlight w:val="none"/>
        </w:rPr>
      </w:pPr>
    </w:p>
    <w:p>
      <w:pPr>
        <w:spacing w:line="400" w:lineRule="exact"/>
        <w:rPr>
          <w:rFonts w:eastAsia="黑体"/>
          <w:color w:val="auto"/>
          <w:sz w:val="19"/>
          <w:szCs w:val="19"/>
          <w:highlight w:val="none"/>
        </w:rPr>
      </w:pPr>
      <w:r>
        <w:rPr>
          <w:rFonts w:eastAsia="黑体"/>
          <w:color w:val="auto"/>
          <w:sz w:val="19"/>
          <w:szCs w:val="19"/>
          <w:highlight w:val="none"/>
        </w:rPr>
        <w:br w:type="page"/>
      </w:r>
    </w:p>
    <w:p>
      <w:pPr>
        <w:spacing w:line="400" w:lineRule="exact"/>
        <w:jc w:val="center"/>
        <w:outlineLvl w:val="3"/>
        <w:rPr>
          <w:rFonts w:ascii="宋体" w:hAnsi="宋体"/>
          <w:b/>
          <w:color w:val="auto"/>
          <w:sz w:val="24"/>
          <w:szCs w:val="31"/>
          <w:highlight w:val="none"/>
        </w:rPr>
      </w:pPr>
      <w:bookmarkStart w:id="1123" w:name="_Toc221952108"/>
      <w:bookmarkStart w:id="1124" w:name="_Toc168476331"/>
      <w:bookmarkStart w:id="1125" w:name="_Toc168475928"/>
      <w:bookmarkStart w:id="1126" w:name="_Toc144974869"/>
      <w:r>
        <w:rPr>
          <w:rFonts w:ascii="宋体" w:hAnsi="宋体"/>
          <w:b/>
          <w:color w:val="auto"/>
          <w:sz w:val="24"/>
          <w:szCs w:val="31"/>
          <w:highlight w:val="none"/>
        </w:rPr>
        <w:t>附表五：施工总平面图</w:t>
      </w:r>
      <w:bookmarkEnd w:id="1123"/>
      <w:bookmarkEnd w:id="1124"/>
      <w:bookmarkEnd w:id="1125"/>
      <w:bookmarkEnd w:id="1126"/>
    </w:p>
    <w:p>
      <w:pPr>
        <w:spacing w:line="400" w:lineRule="exact"/>
        <w:rPr>
          <w:rFonts w:eastAsia="黑体"/>
          <w:color w:val="auto"/>
          <w:sz w:val="19"/>
          <w:szCs w:val="19"/>
          <w:highlight w:val="none"/>
        </w:rPr>
      </w:pPr>
      <w:r>
        <w:rPr>
          <w:rFonts w:eastAsia="黑体"/>
          <w:color w:val="auto"/>
          <w:sz w:val="19"/>
          <w:szCs w:val="19"/>
          <w:highlight w:val="none"/>
        </w:rPr>
        <w:tab/>
      </w:r>
    </w:p>
    <w:p>
      <w:pPr>
        <w:spacing w:line="400" w:lineRule="exact"/>
        <w:ind w:firstLine="420" w:firstLineChars="200"/>
        <w:rPr>
          <w:color w:val="auto"/>
          <w:szCs w:val="21"/>
          <w:highlight w:val="none"/>
        </w:rPr>
      </w:pPr>
      <w:bookmarkStart w:id="1127" w:name="_Toc221952109"/>
      <w:r>
        <w:rPr>
          <w:color w:val="auto"/>
          <w:szCs w:val="21"/>
          <w:highlight w:val="none"/>
        </w:rPr>
        <w:t>投标人应递交一份施工总平面图，绘出现场临时设施布置图表并附文字说明，说明临时设施、加工车间、现场办公、设备及仓储、供电、供水、卫生、生活、道路、消防等设施的情况和布置。</w:t>
      </w:r>
      <w:bookmarkEnd w:id="1127"/>
    </w:p>
    <w:p>
      <w:pPr>
        <w:spacing w:line="400" w:lineRule="exact"/>
        <w:rPr>
          <w:rFonts w:eastAsia="黑体"/>
          <w:color w:val="auto"/>
          <w:sz w:val="19"/>
          <w:szCs w:val="19"/>
          <w:highlight w:val="none"/>
        </w:rPr>
      </w:pPr>
    </w:p>
    <w:p>
      <w:pPr>
        <w:spacing w:line="400" w:lineRule="exact"/>
        <w:rPr>
          <w:rFonts w:eastAsia="黑体"/>
          <w:color w:val="auto"/>
          <w:sz w:val="19"/>
          <w:szCs w:val="19"/>
          <w:highlight w:val="none"/>
        </w:rPr>
      </w:pPr>
      <w:r>
        <w:rPr>
          <w:rFonts w:eastAsia="黑体"/>
          <w:color w:val="auto"/>
          <w:sz w:val="19"/>
          <w:szCs w:val="19"/>
          <w:highlight w:val="none"/>
        </w:rPr>
        <w:br w:type="page"/>
      </w:r>
    </w:p>
    <w:p>
      <w:pPr>
        <w:spacing w:line="400" w:lineRule="exact"/>
        <w:jc w:val="center"/>
        <w:outlineLvl w:val="3"/>
        <w:rPr>
          <w:rFonts w:ascii="宋体" w:hAnsi="宋体"/>
          <w:b/>
          <w:color w:val="auto"/>
          <w:sz w:val="24"/>
          <w:szCs w:val="31"/>
          <w:highlight w:val="none"/>
        </w:rPr>
      </w:pPr>
      <w:bookmarkStart w:id="1128" w:name="_Toc168476332"/>
      <w:bookmarkStart w:id="1129" w:name="_Toc144974870"/>
      <w:bookmarkStart w:id="1130" w:name="_Toc168475929"/>
      <w:bookmarkStart w:id="1131" w:name="_Toc221952110"/>
      <w:r>
        <w:rPr>
          <w:rFonts w:ascii="宋体" w:hAnsi="宋体"/>
          <w:b/>
          <w:color w:val="auto"/>
          <w:sz w:val="24"/>
          <w:szCs w:val="31"/>
          <w:highlight w:val="none"/>
        </w:rPr>
        <w:t>附表六</w:t>
      </w:r>
      <w:r>
        <w:rPr>
          <w:rFonts w:hint="eastAsia" w:ascii="宋体" w:hAnsi="宋体"/>
          <w:b/>
          <w:color w:val="auto"/>
          <w:sz w:val="24"/>
          <w:szCs w:val="31"/>
          <w:highlight w:val="none"/>
        </w:rPr>
        <w:t>：</w:t>
      </w:r>
      <w:r>
        <w:rPr>
          <w:rFonts w:ascii="宋体" w:hAnsi="宋体"/>
          <w:b/>
          <w:color w:val="auto"/>
          <w:sz w:val="24"/>
          <w:szCs w:val="31"/>
          <w:highlight w:val="none"/>
        </w:rPr>
        <w:t>临时用地表</w:t>
      </w:r>
      <w:bookmarkEnd w:id="1128"/>
      <w:bookmarkEnd w:id="1129"/>
      <w:bookmarkEnd w:id="1130"/>
      <w:bookmarkEnd w:id="1131"/>
    </w:p>
    <w:p>
      <w:pPr>
        <w:spacing w:line="400" w:lineRule="exact"/>
        <w:jc w:val="left"/>
        <w:rPr>
          <w:color w:val="auto"/>
          <w:sz w:val="22"/>
          <w:highlight w:val="none"/>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bookmarkStart w:id="1132" w:name="_Toc221952111"/>
            <w:r>
              <w:rPr>
                <w:rFonts w:ascii="宋体" w:hAnsi="宋体"/>
                <w:color w:val="auto"/>
                <w:szCs w:val="21"/>
                <w:highlight w:val="none"/>
              </w:rPr>
              <w:t>用 途</w:t>
            </w:r>
            <w:bookmarkEnd w:id="1132"/>
          </w:p>
        </w:tc>
        <w:tc>
          <w:tcPr>
            <w:tcW w:w="2132" w:type="dxa"/>
            <w:noWrap w:val="0"/>
            <w:vAlign w:val="top"/>
          </w:tcPr>
          <w:p>
            <w:pPr>
              <w:spacing w:line="400" w:lineRule="exact"/>
              <w:jc w:val="center"/>
              <w:rPr>
                <w:rFonts w:ascii="宋体" w:hAnsi="宋体"/>
                <w:color w:val="auto"/>
                <w:szCs w:val="21"/>
                <w:highlight w:val="none"/>
              </w:rPr>
            </w:pPr>
            <w:bookmarkStart w:id="1133" w:name="_Toc221952112"/>
            <w:r>
              <w:rPr>
                <w:rFonts w:ascii="宋体" w:hAnsi="宋体"/>
                <w:color w:val="auto"/>
                <w:szCs w:val="21"/>
                <w:highlight w:val="none"/>
              </w:rPr>
              <w:t>面 积（</w:t>
            </w:r>
            <w:r>
              <w:rPr>
                <w:rFonts w:hint="eastAsia" w:ascii="宋体" w:hAnsi="宋体"/>
                <w:color w:val="auto"/>
                <w:szCs w:val="21"/>
                <w:highlight w:val="none"/>
              </w:rPr>
              <w:t>㎡</w:t>
            </w:r>
            <w:r>
              <w:rPr>
                <w:rFonts w:ascii="宋体" w:hAnsi="宋体"/>
                <w:color w:val="auto"/>
                <w:szCs w:val="21"/>
                <w:highlight w:val="none"/>
              </w:rPr>
              <w:t>）</w:t>
            </w:r>
            <w:bookmarkEnd w:id="1133"/>
          </w:p>
        </w:tc>
        <w:tc>
          <w:tcPr>
            <w:tcW w:w="2132" w:type="dxa"/>
            <w:noWrap w:val="0"/>
            <w:vAlign w:val="top"/>
          </w:tcPr>
          <w:p>
            <w:pPr>
              <w:spacing w:line="400" w:lineRule="exact"/>
              <w:jc w:val="center"/>
              <w:rPr>
                <w:rFonts w:ascii="宋体" w:hAnsi="宋体"/>
                <w:color w:val="auto"/>
                <w:szCs w:val="21"/>
                <w:highlight w:val="none"/>
              </w:rPr>
            </w:pPr>
            <w:bookmarkStart w:id="1134" w:name="_Toc221952113"/>
            <w:r>
              <w:rPr>
                <w:rFonts w:ascii="宋体" w:hAnsi="宋体"/>
                <w:color w:val="auto"/>
                <w:szCs w:val="21"/>
                <w:highlight w:val="none"/>
              </w:rPr>
              <w:t>位 置</w:t>
            </w:r>
            <w:bookmarkEnd w:id="1134"/>
          </w:p>
        </w:tc>
        <w:tc>
          <w:tcPr>
            <w:tcW w:w="2132" w:type="dxa"/>
            <w:noWrap w:val="0"/>
            <w:vAlign w:val="top"/>
          </w:tcPr>
          <w:p>
            <w:pPr>
              <w:spacing w:line="400" w:lineRule="exact"/>
              <w:jc w:val="center"/>
              <w:rPr>
                <w:rFonts w:ascii="宋体" w:hAnsi="宋体"/>
                <w:color w:val="auto"/>
                <w:szCs w:val="21"/>
                <w:highlight w:val="none"/>
              </w:rPr>
            </w:pPr>
            <w:bookmarkStart w:id="1135" w:name="_Toc221952114"/>
            <w:r>
              <w:rPr>
                <w:rFonts w:ascii="宋体" w:hAnsi="宋体"/>
                <w:color w:val="auto"/>
                <w:szCs w:val="21"/>
                <w:highlight w:val="none"/>
              </w:rPr>
              <w:t>需用时间</w:t>
            </w:r>
            <w:bookmarkEnd w:id="11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c>
          <w:tcPr>
            <w:tcW w:w="2132" w:type="dxa"/>
            <w:noWrap w:val="0"/>
            <w:vAlign w:val="top"/>
          </w:tcPr>
          <w:p>
            <w:pPr>
              <w:spacing w:line="400" w:lineRule="exact"/>
              <w:jc w:val="center"/>
              <w:rPr>
                <w:rFonts w:ascii="宋体" w:hAnsi="宋体"/>
                <w:color w:val="auto"/>
                <w:szCs w:val="21"/>
                <w:highlight w:val="none"/>
              </w:rPr>
            </w:pPr>
          </w:p>
        </w:tc>
      </w:tr>
    </w:tbl>
    <w:p>
      <w:pPr>
        <w:topLinePunct/>
        <w:spacing w:line="400" w:lineRule="exact"/>
        <w:rPr>
          <w:rFonts w:hint="eastAsia"/>
          <w:color w:val="auto"/>
          <w:sz w:val="20"/>
          <w:szCs w:val="20"/>
          <w:highlight w:val="none"/>
        </w:rPr>
      </w:pPr>
    </w:p>
    <w:p>
      <w:pPr>
        <w:topLinePunct/>
        <w:spacing w:line="400" w:lineRule="exact"/>
        <w:rPr>
          <w:rFonts w:hint="eastAsia"/>
          <w:color w:val="auto"/>
          <w:sz w:val="20"/>
          <w:szCs w:val="20"/>
          <w:highlight w:val="none"/>
        </w:rPr>
      </w:pPr>
    </w:p>
    <w:p>
      <w:pPr>
        <w:topLinePunct/>
        <w:spacing w:line="400" w:lineRule="exact"/>
        <w:rPr>
          <w:rFonts w:hint="eastAsia"/>
          <w:color w:val="auto"/>
          <w:sz w:val="20"/>
          <w:szCs w:val="20"/>
          <w:highlight w:val="none"/>
        </w:rPr>
      </w:pPr>
    </w:p>
    <w:p>
      <w:pPr>
        <w:topLinePunct/>
        <w:spacing w:line="400" w:lineRule="exact"/>
        <w:rPr>
          <w:rFonts w:hint="eastAsia"/>
          <w:color w:val="auto"/>
          <w:sz w:val="20"/>
          <w:szCs w:val="20"/>
          <w:highlight w:val="none"/>
        </w:rPr>
      </w:pPr>
    </w:p>
    <w:p>
      <w:pPr>
        <w:topLinePunct/>
        <w:spacing w:line="400" w:lineRule="exact"/>
        <w:rPr>
          <w:rFonts w:hint="eastAsia"/>
          <w:color w:val="auto"/>
          <w:sz w:val="20"/>
          <w:szCs w:val="20"/>
          <w:highlight w:val="none"/>
        </w:rPr>
      </w:pPr>
    </w:p>
    <w:p>
      <w:pPr>
        <w:jc w:val="center"/>
        <w:rPr>
          <w:rFonts w:hint="eastAsia" w:ascii="宋体" w:hAnsi="宋体"/>
          <w:b/>
          <w:color w:val="auto"/>
          <w:sz w:val="30"/>
          <w:szCs w:val="30"/>
          <w:highlight w:val="none"/>
        </w:rPr>
      </w:pPr>
      <w:bookmarkStart w:id="1136" w:name="_Toc168475930"/>
      <w:bookmarkStart w:id="1137" w:name="_Toc229305427"/>
      <w:bookmarkStart w:id="1138" w:name="_Toc144974871"/>
      <w:bookmarkStart w:id="1139" w:name="_Toc222032736"/>
      <w:bookmarkStart w:id="1140" w:name="_Toc221952115"/>
      <w:bookmarkStart w:id="1141" w:name="_Toc168476333"/>
      <w:bookmarkStart w:id="1142" w:name="_Toc259524421"/>
      <w:bookmarkStart w:id="1143" w:name="_Toc222029567"/>
      <w:bookmarkStart w:id="1144" w:name="_Toc222033918"/>
      <w:bookmarkStart w:id="1145" w:name="_Toc222031069"/>
      <w:r>
        <w:rPr>
          <w:rFonts w:ascii="黑体" w:hAnsi="黑体" w:eastAsia="黑体"/>
          <w:color w:val="auto"/>
          <w:sz w:val="28"/>
          <w:szCs w:val="27"/>
          <w:highlight w:val="none"/>
        </w:rPr>
        <w:br w:type="page"/>
      </w:r>
      <w:r>
        <w:rPr>
          <w:rFonts w:hint="eastAsia" w:ascii="宋体" w:hAnsi="宋体"/>
          <w:b/>
          <w:color w:val="auto"/>
          <w:sz w:val="30"/>
          <w:szCs w:val="30"/>
          <w:highlight w:val="none"/>
        </w:rPr>
        <w:t>施工组织设计要点</w:t>
      </w:r>
    </w:p>
    <w:p>
      <w:pPr>
        <w:jc w:val="left"/>
        <w:rPr>
          <w:rFonts w:ascii="宋体" w:hAnsi="宋体"/>
          <w:i/>
          <w:color w:val="auto"/>
          <w:szCs w:val="21"/>
          <w:highlight w:val="none"/>
        </w:rPr>
      </w:pPr>
      <w:r>
        <w:rPr>
          <w:rFonts w:hint="eastAsia" w:ascii="宋体" w:hAnsi="宋体"/>
          <w:i/>
          <w:color w:val="auto"/>
          <w:szCs w:val="21"/>
          <w:highlight w:val="none"/>
        </w:rPr>
        <w:t>(说明：投标人在投标时不需要编制施工组织设计的，中标后需按本施工组织设计要点的内容编制施工组织设计)</w:t>
      </w:r>
    </w:p>
    <w:p>
      <w:pPr>
        <w:spacing w:line="400" w:lineRule="exact"/>
        <w:ind w:firstLine="480" w:firstLineChars="200"/>
        <w:rPr>
          <w:rFonts w:ascii="宋体" w:hAnsi="宋体"/>
          <w:color w:val="auto"/>
          <w:sz w:val="24"/>
          <w:highlight w:val="none"/>
        </w:rPr>
      </w:pP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投标人充分理解本项目的重点、难点，进行有针对性的描述，各部分文字直接简炼，不得出现大量宣传性及无实质性意义或直接引用范本照搬照套的文字，并结合图表说明及表示。施工组织设计应至少包括（但不限于）以下内容：</w:t>
      </w:r>
    </w:p>
    <w:p>
      <w:pPr>
        <w:spacing w:line="400" w:lineRule="exact"/>
        <w:ind w:firstLine="480" w:firstLineChars="200"/>
        <w:rPr>
          <w:rFonts w:ascii="宋体" w:hAnsi="宋体"/>
          <w:b/>
          <w:color w:val="auto"/>
          <w:sz w:val="30"/>
          <w:szCs w:val="30"/>
          <w:highlight w:val="none"/>
        </w:rPr>
      </w:pPr>
      <w:r>
        <w:rPr>
          <w:rFonts w:hint="eastAsia" w:ascii="宋体" w:hAnsi="宋体"/>
          <w:color w:val="auto"/>
          <w:sz w:val="24"/>
          <w:highlight w:val="none"/>
        </w:rPr>
        <w:t>一、文字部分：</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1.工程概况及工程重点、难点</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2. 项目组织机构</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要求项目负责人、总工程师、施工计划及财务负责人、质检、地质、实验、测量和机械、土建、机电工程师等组织结构配置合理，满足施工要求。</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3.施工总平面布置</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投标人应针对本工程项目场地布置图和现场踏勘的情况进行本工程的施工总平面布置，并结合招标人提供的临时用地位置，合理安排其生活、福利、办公等临时生活设施和材料堆场、仓库、预制场、拌和场及加工场等生产设施的位置，设置完善、高效的临时排水、排污等设施，合理布置场内外交通运输路线。施工现场必须按广州市有关规定设置围蔽结构。</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3.1临设平面布置图；</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3.2临时供水、临时供电；</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3.3临时排水、排污；</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3.4围蔽结构；</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3.5施工通道布置；</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3.6投标人认为需补充的要点。</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4.主要分项工程的施工方案、施工方法、施工工艺</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根据本工程施工特点，制定各关键工序的施工方案、施工方法和工艺，要求所采用的施工方案、施工方法和工艺具有针对性、先进性和独创性。并对进场施工后保证实施上述施工方案、施工方法和工艺进行承诺；</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5.施工计划</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5.1总体施工进度计划</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5.2各阶段施工进度计划及控制措施</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5.3工、料、机、资金等的使用计划</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5.4主要的工艺流程</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6.环保与文明施工（包括空气污染、水质污染、噪音控制、施工场地和驻地卫生，以及文明施工等方面控制措施）</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7.质量、安全生产目标及保证体系和保证措施</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8.制订完善的成品保护措施。</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9.民工工资支付方案及措施</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二、图表部分</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1. 项目组织机构图</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2. 施工平面布置图</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3.施工进度计划网络图及横道图</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4.劳动力使用计划图（或表）</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5.拟投入的主要材料、半成品、设备及品牌计划表</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6.拟投入的主要施工机械设备计划表</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7.资金使用计划表</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8.主要施工工艺的工艺流程图</w:t>
      </w:r>
    </w:p>
    <w:p>
      <w:pPr>
        <w:spacing w:line="400" w:lineRule="exact"/>
        <w:ind w:firstLine="360" w:firstLineChars="150"/>
        <w:rPr>
          <w:color w:val="auto"/>
          <w:sz w:val="24"/>
          <w:highlight w:val="none"/>
        </w:rPr>
      </w:pPr>
    </w:p>
    <w:p>
      <w:pPr>
        <w:widowControl/>
        <w:jc w:val="left"/>
        <w:rPr>
          <w:rFonts w:hint="eastAsia" w:ascii="黑体" w:hAnsi="黑体" w:eastAsia="黑体"/>
          <w:color w:val="auto"/>
          <w:sz w:val="28"/>
          <w:szCs w:val="27"/>
          <w:highlight w:val="none"/>
        </w:rPr>
      </w:pPr>
    </w:p>
    <w:p>
      <w:pPr>
        <w:pageBreakBefore/>
        <w:widowControl/>
        <w:jc w:val="left"/>
        <w:rPr>
          <w:rFonts w:hint="eastAsia" w:ascii="黑体" w:hAnsi="黑体" w:eastAsia="黑体"/>
          <w:color w:val="auto"/>
          <w:sz w:val="28"/>
          <w:szCs w:val="27"/>
          <w:highlight w:val="none"/>
        </w:rPr>
      </w:pPr>
    </w:p>
    <w:p>
      <w:pPr>
        <w:spacing w:line="360" w:lineRule="auto"/>
        <w:jc w:val="center"/>
        <w:outlineLvl w:val="2"/>
        <w:rPr>
          <w:rFonts w:hint="eastAsia" w:ascii="黑体" w:hAnsi="黑体" w:eastAsia="黑体"/>
          <w:color w:val="auto"/>
          <w:sz w:val="28"/>
          <w:szCs w:val="27"/>
          <w:highlight w:val="none"/>
          <w:lang w:eastAsia="zh-CN"/>
        </w:rPr>
      </w:pPr>
      <w:bookmarkStart w:id="1146" w:name="_Toc17452701"/>
      <w:bookmarkStart w:id="1147" w:name="_Toc17451615"/>
      <w:bookmarkStart w:id="1148" w:name="_Toc17454959"/>
      <w:bookmarkStart w:id="1149" w:name="_Toc17451138"/>
      <w:bookmarkStart w:id="1150" w:name="_Toc23767"/>
      <w:bookmarkStart w:id="1151" w:name="_Toc17451660"/>
      <w:bookmarkStart w:id="1152" w:name="_Toc17556913"/>
      <w:bookmarkStart w:id="1153" w:name="_Toc17454908"/>
      <w:r>
        <w:rPr>
          <w:rFonts w:hint="eastAsia" w:ascii="黑体" w:hAnsi="黑体" w:eastAsia="黑体"/>
          <w:color w:val="auto"/>
          <w:sz w:val="28"/>
          <w:szCs w:val="27"/>
          <w:highlight w:val="none"/>
        </w:rPr>
        <w:t>八</w:t>
      </w:r>
      <w:r>
        <w:rPr>
          <w:rFonts w:ascii="黑体" w:hAnsi="黑体" w:eastAsia="黑体"/>
          <w:color w:val="auto"/>
          <w:sz w:val="28"/>
          <w:szCs w:val="27"/>
          <w:highlight w:val="none"/>
        </w:rPr>
        <w:t>、项目管理机构</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pPr>
        <w:pageBreakBefore w:val="0"/>
        <w:spacing w:before="0" w:line="400" w:lineRule="exact"/>
        <w:ind w:left="0" w:firstLine="0"/>
        <w:jc w:val="both"/>
        <w:outlineLvl w:val="3"/>
        <w:rPr>
          <w:rFonts w:hint="default" w:ascii="宋体" w:hAnsi="宋体" w:eastAsia="宋体" w:cs="Times New Roman"/>
          <w:b/>
          <w:color w:val="auto"/>
          <w:sz w:val="24"/>
          <w:szCs w:val="31"/>
          <w:highlight w:val="none"/>
        </w:rPr>
      </w:pPr>
      <w:bookmarkStart w:id="1154" w:name="_Toc168476334"/>
      <w:bookmarkStart w:id="1155" w:name="_Toc221952116"/>
      <w:bookmarkStart w:id="1156" w:name="_Toc144974872"/>
      <w:bookmarkStart w:id="1157" w:name="_Toc168475931"/>
      <w:r>
        <w:rPr>
          <w:rFonts w:ascii="宋体" w:hAnsi="宋体"/>
          <w:b/>
          <w:color w:val="auto"/>
          <w:sz w:val="24"/>
          <w:szCs w:val="31"/>
          <w:highlight w:val="none"/>
        </w:rPr>
        <w:t>（一）</w:t>
      </w:r>
      <w:r>
        <w:rPr>
          <w:rFonts w:hint="default" w:ascii="宋体" w:hAnsi="宋体" w:eastAsia="宋体" w:cs="Times New Roman"/>
          <w:b/>
          <w:color w:val="auto"/>
          <w:sz w:val="24"/>
          <w:szCs w:val="31"/>
          <w:highlight w:val="none"/>
        </w:rPr>
        <w:t>项目管理架构人员最低配置承诺书</w:t>
      </w:r>
    </w:p>
    <w:p>
      <w:pPr>
        <w:spacing w:before="120" w:line="520" w:lineRule="exact"/>
        <w:ind w:left="960" w:hanging="960"/>
        <w:rPr>
          <w:color w:val="auto"/>
          <w:sz w:val="24"/>
          <w:szCs w:val="24"/>
          <w:highlight w:val="none"/>
        </w:rPr>
      </w:pPr>
      <w:r>
        <w:rPr>
          <w:color w:val="auto"/>
          <w:sz w:val="24"/>
          <w:szCs w:val="24"/>
          <w:highlight w:val="none"/>
        </w:rPr>
        <w:t>致（招标人）：</w:t>
      </w:r>
    </w:p>
    <w:p>
      <w:pPr>
        <w:spacing w:before="120" w:line="520" w:lineRule="exact"/>
        <w:ind w:left="6" w:leftChars="3" w:firstLine="480" w:firstLineChars="200"/>
        <w:rPr>
          <w:rFonts w:hint="eastAsia" w:eastAsia="宋体"/>
          <w:b/>
          <w:bCs/>
          <w:color w:val="auto"/>
          <w:sz w:val="24"/>
          <w:szCs w:val="24"/>
          <w:highlight w:val="none"/>
          <w:lang w:eastAsia="zh-CN"/>
        </w:rPr>
      </w:pPr>
      <w:r>
        <w:rPr>
          <w:color w:val="auto"/>
          <w:sz w:val="24"/>
          <w:szCs w:val="24"/>
          <w:highlight w:val="none"/>
        </w:rPr>
        <w:t>我公司参与</w:t>
      </w:r>
      <w:r>
        <w:rPr>
          <w:color w:val="auto"/>
          <w:sz w:val="24"/>
          <w:szCs w:val="24"/>
          <w:highlight w:val="none"/>
          <w:u w:val="single"/>
        </w:rPr>
        <w:t xml:space="preserve">                （项目</w:t>
      </w:r>
      <w:r>
        <w:rPr>
          <w:rFonts w:hint="eastAsia"/>
          <w:color w:val="auto"/>
          <w:sz w:val="24"/>
          <w:szCs w:val="24"/>
          <w:highlight w:val="none"/>
          <w:u w:val="single"/>
          <w:lang w:eastAsia="zh-CN"/>
        </w:rPr>
        <w:t>名称</w:t>
      </w:r>
      <w:r>
        <w:rPr>
          <w:color w:val="auto"/>
          <w:sz w:val="24"/>
          <w:szCs w:val="24"/>
          <w:highlight w:val="none"/>
          <w:u w:val="single"/>
        </w:rPr>
        <w:t>）</w:t>
      </w:r>
      <w:r>
        <w:rPr>
          <w:color w:val="auto"/>
          <w:sz w:val="24"/>
          <w:szCs w:val="24"/>
          <w:highlight w:val="none"/>
        </w:rPr>
        <w:t>投标，郑重承诺如下</w:t>
      </w:r>
      <w:r>
        <w:rPr>
          <w:rFonts w:hint="eastAsia"/>
          <w:color w:val="auto"/>
          <w:sz w:val="24"/>
          <w:szCs w:val="24"/>
          <w:highlight w:val="none"/>
          <w:lang w:eastAsia="zh-CN"/>
        </w:rPr>
        <w:t>：</w:t>
      </w:r>
    </w:p>
    <w:tbl>
      <w:tblPr>
        <w:tblStyle w:val="19"/>
        <w:tblpPr w:leftFromText="180" w:rightFromText="180" w:vertAnchor="page" w:horzAnchor="margin" w:tblpXSpec="center" w:tblpY="4051"/>
        <w:tblW w:w="9183"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1217"/>
        <w:gridCol w:w="2848"/>
        <w:gridCol w:w="1245"/>
        <w:gridCol w:w="2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81"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序</w:t>
            </w:r>
            <w:r>
              <w:rPr>
                <w:rFonts w:hint="eastAsia" w:ascii="宋体" w:hAnsi="宋体" w:eastAsia="宋体" w:cs="宋体"/>
                <w:color w:val="auto"/>
                <w:sz w:val="24"/>
                <w:szCs w:val="24"/>
                <w:highlight w:val="none"/>
                <w:lang w:val="en-US" w:eastAsia="zh-CN"/>
              </w:rPr>
              <w:t>号</w:t>
            </w:r>
          </w:p>
        </w:tc>
        <w:tc>
          <w:tcPr>
            <w:tcW w:w="1217"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岗位</w:t>
            </w:r>
          </w:p>
        </w:tc>
        <w:tc>
          <w:tcPr>
            <w:tcW w:w="2848"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right="0" w:rightChars="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资格要求</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2892"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981"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217"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w:t>
            </w:r>
          </w:p>
        </w:tc>
        <w:tc>
          <w:tcPr>
            <w:tcW w:w="2848"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0"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与招标公告要求一致</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2892" w:type="dxa"/>
            <w:tcBorders>
              <w:top w:val="single" w:color="auto" w:sz="4" w:space="0"/>
              <w:left w:val="single" w:color="auto" w:sz="4" w:space="0"/>
              <w:bottom w:val="single" w:color="auto" w:sz="4" w:space="0"/>
              <w:right w:val="single" w:color="auto" w:sz="4" w:space="0"/>
            </w:tcBorders>
            <w:noWrap w:val="0"/>
            <w:vAlign w:val="center"/>
          </w:tcPr>
          <w:p>
            <w:pPr>
              <w:spacing w:before="0" w:line="240" w:lineRule="atLeast"/>
              <w:ind w:left="0" w:firstLine="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1"/>
                <w:szCs w:val="21"/>
                <w:highlight w:val="none"/>
                <w:lang w:val="en-US" w:eastAsia="zh-CN"/>
              </w:rPr>
              <w:t>分别担任南洲排泥水处理系统建设工程自控与安防</w:t>
            </w:r>
            <w:r>
              <w:rPr>
                <w:rFonts w:hint="eastAsia" w:ascii="宋体" w:hAnsi="宋体" w:eastAsia="宋体" w:cs="宋体"/>
                <w:color w:val="auto"/>
                <w:sz w:val="21"/>
                <w:szCs w:val="21"/>
                <w:highlight w:val="none"/>
                <w:lang w:val="en-US" w:eastAsia="zh-CN"/>
              </w:rPr>
              <w:t>工程、南洲水厂新增20万m</w:t>
            </w:r>
            <w:r>
              <w:rPr>
                <w:rFonts w:hint="eastAsia" w:ascii="宋体" w:hAnsi="宋体" w:eastAsia="宋体" w:cs="宋体"/>
                <w:color w:val="auto"/>
                <w:sz w:val="21"/>
                <w:szCs w:val="21"/>
                <w:highlight w:val="none"/>
                <w:vertAlign w:val="baseline"/>
                <w:lang w:val="en-US" w:eastAsia="zh-CN"/>
              </w:rPr>
              <w:t>3</w:t>
            </w:r>
            <w:r>
              <w:rPr>
                <w:rFonts w:hint="eastAsia" w:ascii="宋体" w:hAnsi="宋体" w:eastAsia="宋体" w:cs="宋体"/>
                <w:color w:val="auto"/>
                <w:sz w:val="21"/>
                <w:szCs w:val="21"/>
                <w:highlight w:val="none"/>
                <w:lang w:val="en-US" w:eastAsia="zh-CN"/>
              </w:rPr>
              <w:t>/d产能(常规工艺)建设工程自控与安防工程的项目负责人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981"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217"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技术负责人</w:t>
            </w:r>
          </w:p>
        </w:tc>
        <w:tc>
          <w:tcPr>
            <w:tcW w:w="2848"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0" w:firstLine="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通信或自动化工程类中级或以上职称</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不少于</w:t>
            </w:r>
            <w:r>
              <w:rPr>
                <w:rFonts w:hint="eastAsia" w:ascii="宋体" w:hAnsi="宋体" w:eastAsia="宋体" w:cs="宋体"/>
                <w:color w:val="auto"/>
                <w:sz w:val="24"/>
                <w:szCs w:val="24"/>
                <w:highlight w:val="none"/>
              </w:rPr>
              <w:t>1</w:t>
            </w:r>
          </w:p>
        </w:tc>
        <w:tc>
          <w:tcPr>
            <w:tcW w:w="2892" w:type="dxa"/>
            <w:tcBorders>
              <w:top w:val="single" w:color="auto" w:sz="4" w:space="0"/>
              <w:left w:val="single" w:color="auto" w:sz="4" w:space="0"/>
              <w:bottom w:val="single" w:color="auto" w:sz="4" w:space="0"/>
              <w:right w:val="single" w:color="auto" w:sz="4" w:space="0"/>
            </w:tcBorders>
            <w:noWrap w:val="0"/>
            <w:vAlign w:val="center"/>
          </w:tcPr>
          <w:p>
            <w:pPr>
              <w:spacing w:before="120" w:line="240" w:lineRule="atLeast"/>
              <w:ind w:left="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不得由项目负责人或专职安全员兼职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981"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217"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专职安全员</w:t>
            </w:r>
          </w:p>
        </w:tc>
        <w:tc>
          <w:tcPr>
            <w:tcW w:w="2848"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0"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与招标公告要求一致</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不少于2</w:t>
            </w:r>
          </w:p>
        </w:tc>
        <w:tc>
          <w:tcPr>
            <w:tcW w:w="2892" w:type="dxa"/>
            <w:tcBorders>
              <w:top w:val="single" w:color="auto" w:sz="4" w:space="0"/>
              <w:left w:val="single" w:color="auto" w:sz="4" w:space="0"/>
              <w:bottom w:val="single" w:color="auto" w:sz="4" w:space="0"/>
              <w:right w:val="single" w:color="auto" w:sz="4" w:space="0"/>
            </w:tcBorders>
            <w:noWrap w:val="0"/>
            <w:vAlign w:val="center"/>
          </w:tcPr>
          <w:p>
            <w:pPr>
              <w:spacing w:before="0" w:line="240" w:lineRule="atLeast"/>
              <w:ind w:left="0" w:firstLine="0"/>
              <w:jc w:val="center"/>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val="en-US" w:eastAsia="zh-CN"/>
              </w:rPr>
              <w:t>分别担任南洲排泥水处理系统建设工程自控与安防工程、南洲水厂新增20万m</w:t>
            </w:r>
            <w:r>
              <w:rPr>
                <w:rFonts w:hint="eastAsia" w:ascii="宋体" w:hAnsi="宋体" w:eastAsia="宋体" w:cs="宋体"/>
                <w:color w:val="auto"/>
                <w:sz w:val="22"/>
                <w:szCs w:val="22"/>
                <w:highlight w:val="none"/>
                <w:vertAlign w:val="baseline"/>
                <w:lang w:val="en-US" w:eastAsia="zh-CN"/>
              </w:rPr>
              <w:t>3</w:t>
            </w:r>
            <w:r>
              <w:rPr>
                <w:rFonts w:hint="eastAsia" w:ascii="宋体" w:hAnsi="宋体" w:eastAsia="宋体" w:cs="宋体"/>
                <w:color w:val="auto"/>
                <w:sz w:val="22"/>
                <w:szCs w:val="22"/>
                <w:highlight w:val="none"/>
                <w:lang w:val="en-US" w:eastAsia="zh-CN"/>
              </w:rPr>
              <w:t>/d产能(常规工艺)建设工程自控与安防工程的专职安全员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981"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217"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预结算员</w:t>
            </w:r>
          </w:p>
        </w:tc>
        <w:tc>
          <w:tcPr>
            <w:tcW w:w="2848"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0"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具有二级或以上注册造价师职业资格</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2892"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981"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leftChars="0" w:hanging="72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5</w:t>
            </w:r>
          </w:p>
        </w:tc>
        <w:tc>
          <w:tcPr>
            <w:tcW w:w="1217"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leftChars="0" w:hanging="72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资料员</w:t>
            </w:r>
          </w:p>
        </w:tc>
        <w:tc>
          <w:tcPr>
            <w:tcW w:w="2848"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0" w:lef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leftChars="0" w:hanging="72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p>
        </w:tc>
        <w:tc>
          <w:tcPr>
            <w:tcW w:w="2892"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981"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leftChars="0" w:hanging="72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6</w:t>
            </w:r>
          </w:p>
        </w:tc>
        <w:tc>
          <w:tcPr>
            <w:tcW w:w="1217"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leftChars="0" w:hanging="72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施工员</w:t>
            </w:r>
          </w:p>
        </w:tc>
        <w:tc>
          <w:tcPr>
            <w:tcW w:w="2848"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0" w:lef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leftChars="0" w:hanging="72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不少于3</w:t>
            </w:r>
          </w:p>
        </w:tc>
        <w:tc>
          <w:tcPr>
            <w:tcW w:w="2892"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1217"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电工</w:t>
            </w:r>
          </w:p>
        </w:tc>
        <w:tc>
          <w:tcPr>
            <w:tcW w:w="2848"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0" w:firstLine="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持有建设厅或应急管理局颁发的特种作业有效证件</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不少于3</w:t>
            </w:r>
          </w:p>
        </w:tc>
        <w:tc>
          <w:tcPr>
            <w:tcW w:w="2892" w:type="dxa"/>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left="720" w:hanging="72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5" w:hRule="atLeast"/>
        </w:trPr>
        <w:tc>
          <w:tcPr>
            <w:tcW w:w="9183" w:type="dxa"/>
            <w:gridSpan w:val="5"/>
            <w:tcBorders>
              <w:top w:val="single" w:color="auto" w:sz="4" w:space="0"/>
              <w:left w:val="single" w:color="auto" w:sz="4" w:space="0"/>
              <w:bottom w:val="single" w:color="auto" w:sz="4" w:space="0"/>
              <w:right w:val="single" w:color="auto" w:sz="4" w:space="0"/>
            </w:tcBorders>
            <w:noWrap w:val="0"/>
            <w:vAlign w:val="center"/>
          </w:tcPr>
          <w:p>
            <w:pPr>
              <w:spacing w:before="120" w:line="400" w:lineRule="exact"/>
              <w:ind w:right="0" w:rightChars="0" w:firstLine="420" w:firstLineChars="200"/>
              <w:jc w:val="both"/>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施工期间投入人员要求：本项目按3个施工点同步实施</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每个施工点由1名施工员作为现场统筹，人机具投入需同时满足3个或以上的施工点。</w:t>
            </w:r>
          </w:p>
          <w:p>
            <w:pPr>
              <w:spacing w:before="120" w:line="400" w:lineRule="exact"/>
              <w:ind w:right="0" w:rightChars="0"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项目负责人、技术负责人、专职安全员在现场进行巡查，落实按图施工，做好现场质量、安全管理工作。资料员</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rPr>
              <w:t>及时汇总当天情况、填报进度资料、按要求绘制完工图纸资料，在项目投产一个月内提交完整竣工图纸。预结算及时依据资料开展项目的结算工作</w:t>
            </w:r>
            <w:r>
              <w:rPr>
                <w:rFonts w:hint="eastAsia" w:ascii="宋体" w:hAnsi="宋体" w:eastAsia="宋体" w:cs="宋体"/>
                <w:color w:val="auto"/>
                <w:sz w:val="21"/>
                <w:szCs w:val="21"/>
                <w:highlight w:val="none"/>
                <w:lang w:eastAsia="zh-CN"/>
              </w:rPr>
              <w:t>。</w:t>
            </w:r>
          </w:p>
          <w:p>
            <w:pPr>
              <w:spacing w:before="120" w:line="400" w:lineRule="exact"/>
              <w:ind w:left="0" w:firstLine="42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如涉及多个作业点同时作业的，应配置足够的具备资质的安全员，每名安全员最多只能监管2个作业点。</w:t>
            </w:r>
          </w:p>
        </w:tc>
      </w:tr>
    </w:tbl>
    <w:p>
      <w:pPr>
        <w:spacing w:before="120" w:line="400" w:lineRule="exact"/>
        <w:ind w:right="42" w:rightChars="20" w:firstLine="480" w:firstLineChars="200"/>
        <w:rPr>
          <w:color w:val="auto"/>
          <w:sz w:val="24"/>
          <w:szCs w:val="24"/>
          <w:highlight w:val="none"/>
        </w:rPr>
      </w:pPr>
      <w:r>
        <w:rPr>
          <w:color w:val="auto"/>
          <w:sz w:val="24"/>
          <w:highlight w:val="none"/>
        </w:rPr>
        <w:t>我公司承诺，若我公司中标，将在合同签订前按照工程需要配备管理和施工技术人员并向业主递交《项目管理架构组成表》，其内容是准确、真实的，且不低于上表所列最低要求，同时提供所投入人员资格证书</w:t>
      </w:r>
      <w:r>
        <w:rPr>
          <w:rFonts w:hint="eastAsia"/>
          <w:color w:val="auto"/>
          <w:sz w:val="24"/>
          <w:highlight w:val="none"/>
          <w:lang w:eastAsia="zh-CN"/>
        </w:rPr>
        <w:t>（</w:t>
      </w:r>
      <w:r>
        <w:rPr>
          <w:rFonts w:hint="eastAsia"/>
          <w:color w:val="auto"/>
          <w:sz w:val="24"/>
          <w:highlight w:val="none"/>
          <w:lang w:val="en-US" w:eastAsia="zh-CN"/>
        </w:rPr>
        <w:t>如有</w:t>
      </w:r>
      <w:r>
        <w:rPr>
          <w:rFonts w:hint="eastAsia"/>
          <w:color w:val="auto"/>
          <w:sz w:val="24"/>
          <w:highlight w:val="none"/>
          <w:lang w:eastAsia="zh-CN"/>
        </w:rPr>
        <w:t>）</w:t>
      </w:r>
      <w:r>
        <w:rPr>
          <w:color w:val="auto"/>
          <w:sz w:val="24"/>
          <w:highlight w:val="none"/>
        </w:rPr>
        <w:t>予业主核实。</w:t>
      </w:r>
    </w:p>
    <w:p>
      <w:pPr>
        <w:spacing w:before="120" w:line="400" w:lineRule="exact"/>
        <w:ind w:right="42" w:rightChars="20" w:firstLine="480" w:firstLineChars="200"/>
        <w:rPr>
          <w:color w:val="auto"/>
          <w:sz w:val="24"/>
          <w:highlight w:val="none"/>
        </w:rPr>
      </w:pPr>
      <w:r>
        <w:rPr>
          <w:color w:val="auto"/>
          <w:sz w:val="24"/>
          <w:highlight w:val="none"/>
        </w:rPr>
        <w:t>如我公司违反上述承诺，我公司自愿放弃本项目中标资格。</w:t>
      </w:r>
    </w:p>
    <w:p>
      <w:pPr>
        <w:spacing w:before="120" w:line="400" w:lineRule="exact"/>
        <w:ind w:right="42" w:rightChars="20" w:firstLine="480" w:firstLineChars="200"/>
        <w:rPr>
          <w:color w:val="auto"/>
          <w:sz w:val="24"/>
          <w:highlight w:val="none"/>
        </w:rPr>
      </w:pPr>
      <w:r>
        <w:rPr>
          <w:color w:val="auto"/>
          <w:sz w:val="24"/>
          <w:highlight w:val="none"/>
        </w:rPr>
        <w:t>若因人员不足或人员素质不能满足工程实际需要时，我方将无条件按照业主和监理工程师的要求更换或增加相关人员。</w:t>
      </w:r>
    </w:p>
    <w:p>
      <w:pPr>
        <w:spacing w:before="120" w:line="400" w:lineRule="exact"/>
        <w:ind w:left="720" w:hanging="720"/>
        <w:jc w:val="right"/>
        <w:rPr>
          <w:color w:val="auto"/>
          <w:sz w:val="24"/>
          <w:highlight w:val="none"/>
        </w:rPr>
      </w:pPr>
    </w:p>
    <w:p>
      <w:pPr>
        <w:spacing w:before="120" w:line="400" w:lineRule="exact"/>
        <w:ind w:left="720" w:hanging="720"/>
        <w:jc w:val="right"/>
        <w:rPr>
          <w:color w:val="auto"/>
          <w:sz w:val="24"/>
          <w:highlight w:val="none"/>
        </w:rPr>
      </w:pPr>
    </w:p>
    <w:p>
      <w:pPr>
        <w:wordWrap w:val="0"/>
        <w:spacing w:before="120" w:line="400" w:lineRule="exact"/>
        <w:ind w:left="720" w:hanging="720"/>
        <w:jc w:val="right"/>
        <w:rPr>
          <w:color w:val="auto"/>
          <w:sz w:val="24"/>
          <w:highlight w:val="none"/>
        </w:rPr>
      </w:pPr>
      <w:r>
        <w:rPr>
          <w:color w:val="auto"/>
          <w:sz w:val="24"/>
          <w:highlight w:val="none"/>
        </w:rPr>
        <w:t>法定代表人或其委托代理人：（</w:t>
      </w:r>
      <w:r>
        <w:rPr>
          <w:rFonts w:hint="eastAsia"/>
          <w:color w:val="auto"/>
          <w:sz w:val="24"/>
          <w:highlight w:val="none"/>
        </w:rPr>
        <w:t>签</w:t>
      </w:r>
      <w:r>
        <w:rPr>
          <w:rFonts w:hint="eastAsia"/>
          <w:color w:val="auto"/>
          <w:sz w:val="24"/>
          <w:highlight w:val="none"/>
          <w:lang w:eastAsia="zh-CN"/>
        </w:rPr>
        <w:t>名或盖章</w:t>
      </w:r>
      <w:r>
        <w:rPr>
          <w:color w:val="auto"/>
          <w:sz w:val="24"/>
          <w:highlight w:val="none"/>
        </w:rPr>
        <w:t xml:space="preserve">） </w:t>
      </w:r>
      <w:r>
        <w:rPr>
          <w:rFonts w:hint="eastAsia"/>
          <w:color w:val="auto"/>
          <w:sz w:val="24"/>
          <w:highlight w:val="none"/>
        </w:rPr>
        <w:t xml:space="preserve">  </w:t>
      </w:r>
      <w:r>
        <w:rPr>
          <w:color w:val="auto"/>
          <w:sz w:val="24"/>
          <w:highlight w:val="none"/>
        </w:rPr>
        <w:t xml:space="preserve">                  </w:t>
      </w:r>
    </w:p>
    <w:p>
      <w:pPr>
        <w:numPr>
          <w:ilvl w:val="0"/>
          <w:numId w:val="0"/>
        </w:numPr>
        <w:spacing w:line="400" w:lineRule="exact"/>
        <w:rPr>
          <w:rFonts w:hint="eastAsia" w:ascii="宋体" w:hAnsi="宋体"/>
          <w:color w:val="auto"/>
          <w:szCs w:val="21"/>
          <w:highlight w:val="none"/>
        </w:rPr>
      </w:pPr>
      <w:r>
        <w:rPr>
          <w:color w:val="auto"/>
          <w:sz w:val="24"/>
          <w:highlight w:val="none"/>
        </w:rPr>
        <w:t xml:space="preserve">                           单位名称：（盖</w:t>
      </w:r>
      <w:r>
        <w:rPr>
          <w:rFonts w:hint="eastAsia"/>
          <w:color w:val="auto"/>
          <w:sz w:val="24"/>
          <w:highlight w:val="none"/>
        </w:rPr>
        <w:t>单位</w:t>
      </w:r>
      <w:r>
        <w:rPr>
          <w:color w:val="auto"/>
          <w:sz w:val="24"/>
          <w:highlight w:val="none"/>
        </w:rPr>
        <w:t xml:space="preserve">章） </w:t>
      </w:r>
    </w:p>
    <w:p>
      <w:pPr>
        <w:numPr>
          <w:ilvl w:val="0"/>
          <w:numId w:val="0"/>
        </w:numPr>
        <w:spacing w:line="400" w:lineRule="exact"/>
        <w:rPr>
          <w:rFonts w:hint="eastAsia" w:ascii="宋体" w:hAnsi="宋体"/>
          <w:color w:val="auto"/>
          <w:szCs w:val="21"/>
          <w:highlight w:val="none"/>
        </w:rPr>
      </w:pPr>
    </w:p>
    <w:bookmarkEnd w:id="1154"/>
    <w:bookmarkEnd w:id="1155"/>
    <w:bookmarkEnd w:id="1156"/>
    <w:bookmarkEnd w:id="1157"/>
    <w:p>
      <w:pPr>
        <w:spacing w:line="400" w:lineRule="exact"/>
        <w:rPr>
          <w:rFonts w:eastAsia="黑体"/>
          <w:color w:val="auto"/>
          <w:sz w:val="19"/>
          <w:szCs w:val="19"/>
          <w:highlight w:val="none"/>
        </w:rPr>
      </w:pPr>
    </w:p>
    <w:p>
      <w:pPr>
        <w:topLinePunct/>
        <w:spacing w:line="400" w:lineRule="exact"/>
        <w:rPr>
          <w:color w:val="auto"/>
          <w:sz w:val="19"/>
          <w:szCs w:val="19"/>
          <w:highlight w:val="none"/>
        </w:rPr>
      </w:pPr>
    </w:p>
    <w:p>
      <w:pPr>
        <w:widowControl/>
        <w:jc w:val="left"/>
        <w:rPr>
          <w:rFonts w:ascii="宋体" w:hAnsi="宋体"/>
          <w:b/>
          <w:color w:val="auto"/>
          <w:sz w:val="24"/>
          <w:szCs w:val="31"/>
          <w:highlight w:val="none"/>
        </w:rPr>
      </w:pPr>
      <w:bookmarkStart w:id="1158" w:name="_Toc168476335"/>
      <w:bookmarkStart w:id="1159" w:name="_Toc168475932"/>
      <w:bookmarkStart w:id="1160" w:name="_Toc144974873"/>
      <w:bookmarkStart w:id="1161" w:name="_Toc221952127"/>
      <w:r>
        <w:rPr>
          <w:rFonts w:ascii="宋体" w:hAnsi="宋体"/>
          <w:b/>
          <w:color w:val="auto"/>
          <w:sz w:val="24"/>
          <w:szCs w:val="31"/>
          <w:highlight w:val="none"/>
        </w:rPr>
        <w:br w:type="page"/>
      </w:r>
    </w:p>
    <w:p>
      <w:pPr>
        <w:spacing w:line="400" w:lineRule="exact"/>
        <w:jc w:val="left"/>
        <w:outlineLvl w:val="3"/>
        <w:rPr>
          <w:rFonts w:hint="eastAsia" w:ascii="宋体" w:hAnsi="宋体"/>
          <w:b/>
          <w:color w:val="auto"/>
          <w:sz w:val="24"/>
          <w:szCs w:val="31"/>
          <w:highlight w:val="none"/>
          <w:lang w:eastAsia="zh-CN"/>
        </w:rPr>
      </w:pPr>
      <w:r>
        <w:rPr>
          <w:rFonts w:ascii="宋体" w:hAnsi="宋体"/>
          <w:b/>
          <w:color w:val="auto"/>
          <w:sz w:val="24"/>
          <w:szCs w:val="31"/>
          <w:highlight w:val="none"/>
        </w:rPr>
        <w:t>（二）主要人员简历表</w:t>
      </w:r>
      <w:bookmarkEnd w:id="1158"/>
      <w:bookmarkEnd w:id="1159"/>
      <w:bookmarkEnd w:id="1160"/>
      <w:bookmarkEnd w:id="1161"/>
      <w:r>
        <w:rPr>
          <w:rFonts w:hint="eastAsia" w:ascii="宋体" w:hAnsi="宋体"/>
          <w:b/>
          <w:color w:val="auto"/>
          <w:sz w:val="24"/>
          <w:szCs w:val="31"/>
          <w:highlight w:val="none"/>
          <w:lang w:eastAsia="zh-CN"/>
        </w:rPr>
        <w:t>（</w:t>
      </w:r>
      <w:r>
        <w:rPr>
          <w:rFonts w:hint="eastAsia" w:ascii="宋体" w:hAnsi="宋体"/>
          <w:b/>
          <w:color w:val="auto"/>
          <w:sz w:val="24"/>
          <w:szCs w:val="31"/>
          <w:highlight w:val="none"/>
          <w:lang w:val="en-US" w:eastAsia="zh-CN"/>
        </w:rPr>
        <w:t>项目负责人、技术负责人和专职安全员除外</w:t>
      </w:r>
      <w:r>
        <w:rPr>
          <w:rFonts w:hint="eastAsia" w:ascii="宋体" w:hAnsi="宋体"/>
          <w:b/>
          <w:color w:val="auto"/>
          <w:sz w:val="24"/>
          <w:szCs w:val="31"/>
          <w:highlight w:val="none"/>
          <w:lang w:eastAsia="zh-CN"/>
        </w:rPr>
        <w:t>）</w:t>
      </w:r>
    </w:p>
    <w:p>
      <w:pPr>
        <w:pStyle w:val="22"/>
        <w:rPr>
          <w:rFonts w:hint="eastAsia"/>
          <w:color w:val="auto"/>
          <w:highlight w:val="none"/>
          <w:lang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350"/>
        <w:gridCol w:w="701"/>
        <w:gridCol w:w="901"/>
        <w:gridCol w:w="1039"/>
        <w:gridCol w:w="689"/>
        <w:gridCol w:w="1226"/>
        <w:gridCol w:w="493"/>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noWrap w:val="0"/>
            <w:vAlign w:val="center"/>
          </w:tcPr>
          <w:p>
            <w:pPr>
              <w:spacing w:line="360" w:lineRule="auto"/>
              <w:jc w:val="center"/>
              <w:rPr>
                <w:rFonts w:ascii="宋体" w:hAnsi="宋体"/>
                <w:color w:val="auto"/>
                <w:szCs w:val="21"/>
                <w:highlight w:val="none"/>
              </w:rPr>
            </w:pPr>
            <w:bookmarkStart w:id="1162" w:name="_Toc221952129"/>
            <w:r>
              <w:rPr>
                <w:rFonts w:ascii="宋体" w:hAnsi="宋体"/>
                <w:color w:val="auto"/>
                <w:szCs w:val="21"/>
                <w:highlight w:val="none"/>
              </w:rPr>
              <w:t>姓  名</w:t>
            </w:r>
            <w:bookmarkEnd w:id="1162"/>
          </w:p>
        </w:tc>
        <w:tc>
          <w:tcPr>
            <w:tcW w:w="1051" w:type="dxa"/>
            <w:gridSpan w:val="2"/>
            <w:noWrap w:val="0"/>
            <w:vAlign w:val="center"/>
          </w:tcPr>
          <w:p>
            <w:pPr>
              <w:spacing w:line="360" w:lineRule="auto"/>
              <w:jc w:val="center"/>
              <w:rPr>
                <w:rFonts w:hint="default" w:ascii="宋体" w:hAnsi="宋体" w:eastAsia="宋体"/>
                <w:color w:val="auto"/>
                <w:szCs w:val="21"/>
                <w:highlight w:val="none"/>
                <w:lang w:val="en-US" w:eastAsia="zh-CN"/>
              </w:rPr>
            </w:pPr>
          </w:p>
        </w:tc>
        <w:tc>
          <w:tcPr>
            <w:tcW w:w="901" w:type="dxa"/>
            <w:noWrap w:val="0"/>
            <w:vAlign w:val="center"/>
          </w:tcPr>
          <w:p>
            <w:pPr>
              <w:spacing w:line="360" w:lineRule="auto"/>
              <w:jc w:val="center"/>
              <w:rPr>
                <w:rFonts w:ascii="宋体" w:hAnsi="宋体"/>
                <w:color w:val="auto"/>
                <w:szCs w:val="21"/>
                <w:highlight w:val="none"/>
              </w:rPr>
            </w:pPr>
            <w:bookmarkStart w:id="1163" w:name="_Toc221952130"/>
            <w:r>
              <w:rPr>
                <w:rFonts w:ascii="宋体" w:hAnsi="宋体"/>
                <w:color w:val="auto"/>
                <w:szCs w:val="21"/>
                <w:highlight w:val="none"/>
              </w:rPr>
              <w:t>年 龄</w:t>
            </w:r>
            <w:bookmarkEnd w:id="1163"/>
          </w:p>
        </w:tc>
        <w:tc>
          <w:tcPr>
            <w:tcW w:w="1039" w:type="dxa"/>
            <w:noWrap w:val="0"/>
            <w:vAlign w:val="center"/>
          </w:tcPr>
          <w:p>
            <w:pPr>
              <w:spacing w:line="360" w:lineRule="auto"/>
              <w:jc w:val="center"/>
              <w:rPr>
                <w:rFonts w:ascii="宋体" w:hAnsi="宋体"/>
                <w:color w:val="auto"/>
                <w:szCs w:val="21"/>
                <w:highlight w:val="none"/>
              </w:rPr>
            </w:pPr>
          </w:p>
        </w:tc>
        <w:tc>
          <w:tcPr>
            <w:tcW w:w="2408" w:type="dxa"/>
            <w:gridSpan w:val="3"/>
            <w:noWrap w:val="0"/>
            <w:vAlign w:val="center"/>
          </w:tcPr>
          <w:p>
            <w:pPr>
              <w:spacing w:line="360" w:lineRule="auto"/>
              <w:jc w:val="center"/>
              <w:rPr>
                <w:rFonts w:ascii="宋体" w:hAnsi="宋体"/>
                <w:color w:val="auto"/>
                <w:szCs w:val="21"/>
                <w:highlight w:val="none"/>
              </w:rPr>
            </w:pPr>
            <w:bookmarkStart w:id="1164" w:name="_Toc221952131"/>
            <w:r>
              <w:rPr>
                <w:rFonts w:ascii="宋体" w:hAnsi="宋体"/>
                <w:color w:val="auto"/>
                <w:szCs w:val="21"/>
                <w:highlight w:val="none"/>
              </w:rPr>
              <w:t>学历</w:t>
            </w:r>
            <w:bookmarkEnd w:id="1164"/>
          </w:p>
        </w:tc>
        <w:tc>
          <w:tcPr>
            <w:tcW w:w="1978" w:type="dxa"/>
            <w:noWrap w:val="0"/>
            <w:vAlign w:val="center"/>
          </w:tcPr>
          <w:p>
            <w:pPr>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执业资格</w:t>
            </w:r>
          </w:p>
        </w:tc>
        <w:tc>
          <w:tcPr>
            <w:tcW w:w="2991" w:type="dxa"/>
            <w:gridSpan w:val="4"/>
            <w:noWrap w:val="0"/>
            <w:vAlign w:val="center"/>
          </w:tcPr>
          <w:p>
            <w:pPr>
              <w:spacing w:line="360" w:lineRule="auto"/>
              <w:jc w:val="center"/>
              <w:rPr>
                <w:rFonts w:ascii="宋体" w:hAnsi="宋体"/>
                <w:color w:val="auto"/>
                <w:szCs w:val="21"/>
                <w:highlight w:val="none"/>
              </w:rPr>
            </w:pPr>
          </w:p>
        </w:tc>
        <w:tc>
          <w:tcPr>
            <w:tcW w:w="2408" w:type="dxa"/>
            <w:gridSpan w:val="3"/>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lang w:eastAsia="zh-CN"/>
              </w:rPr>
              <w:t>安全生产考核合格证</w:t>
            </w:r>
            <w:r>
              <w:rPr>
                <w:rFonts w:hint="eastAsia" w:ascii="宋体" w:hAnsi="宋体"/>
                <w:color w:val="auto"/>
                <w:szCs w:val="21"/>
                <w:highlight w:val="none"/>
              </w:rPr>
              <w:t>书</w:t>
            </w:r>
          </w:p>
        </w:tc>
        <w:tc>
          <w:tcPr>
            <w:tcW w:w="1978" w:type="dxa"/>
            <w:noWrap w:val="0"/>
            <w:vAlign w:val="center"/>
          </w:tcPr>
          <w:p>
            <w:pPr>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noWrap w:val="0"/>
            <w:vAlign w:val="center"/>
          </w:tcPr>
          <w:p>
            <w:pPr>
              <w:spacing w:line="360" w:lineRule="auto"/>
              <w:jc w:val="center"/>
              <w:rPr>
                <w:rFonts w:ascii="宋体" w:hAnsi="宋体"/>
                <w:color w:val="auto"/>
                <w:szCs w:val="21"/>
                <w:highlight w:val="none"/>
              </w:rPr>
            </w:pPr>
            <w:bookmarkStart w:id="1165" w:name="_Toc221952132"/>
            <w:r>
              <w:rPr>
                <w:rFonts w:ascii="宋体" w:hAnsi="宋体"/>
                <w:color w:val="auto"/>
                <w:szCs w:val="21"/>
                <w:highlight w:val="none"/>
              </w:rPr>
              <w:t>职  称</w:t>
            </w:r>
            <w:bookmarkEnd w:id="1165"/>
          </w:p>
        </w:tc>
        <w:tc>
          <w:tcPr>
            <w:tcW w:w="1051" w:type="dxa"/>
            <w:gridSpan w:val="2"/>
            <w:noWrap w:val="0"/>
            <w:vAlign w:val="center"/>
          </w:tcPr>
          <w:p>
            <w:pPr>
              <w:spacing w:line="360" w:lineRule="auto"/>
              <w:jc w:val="center"/>
              <w:rPr>
                <w:rFonts w:ascii="宋体" w:hAnsi="宋体"/>
                <w:color w:val="auto"/>
                <w:szCs w:val="21"/>
                <w:highlight w:val="none"/>
              </w:rPr>
            </w:pPr>
          </w:p>
        </w:tc>
        <w:tc>
          <w:tcPr>
            <w:tcW w:w="901" w:type="dxa"/>
            <w:noWrap w:val="0"/>
            <w:vAlign w:val="center"/>
          </w:tcPr>
          <w:p>
            <w:pPr>
              <w:spacing w:line="360" w:lineRule="auto"/>
              <w:jc w:val="center"/>
              <w:rPr>
                <w:rFonts w:ascii="宋体" w:hAnsi="宋体"/>
                <w:color w:val="auto"/>
                <w:szCs w:val="21"/>
                <w:highlight w:val="none"/>
              </w:rPr>
            </w:pPr>
            <w:bookmarkStart w:id="1166" w:name="_Toc221952133"/>
            <w:r>
              <w:rPr>
                <w:rFonts w:ascii="宋体" w:hAnsi="宋体"/>
                <w:color w:val="auto"/>
                <w:szCs w:val="21"/>
                <w:highlight w:val="none"/>
              </w:rPr>
              <w:t>职 务</w:t>
            </w:r>
            <w:bookmarkEnd w:id="1166"/>
          </w:p>
        </w:tc>
        <w:tc>
          <w:tcPr>
            <w:tcW w:w="1039" w:type="dxa"/>
            <w:noWrap w:val="0"/>
            <w:vAlign w:val="center"/>
          </w:tcPr>
          <w:p>
            <w:pPr>
              <w:spacing w:line="360" w:lineRule="auto"/>
              <w:jc w:val="center"/>
              <w:rPr>
                <w:rFonts w:ascii="宋体" w:hAnsi="宋体"/>
                <w:color w:val="auto"/>
                <w:szCs w:val="21"/>
                <w:highlight w:val="none"/>
              </w:rPr>
            </w:pPr>
          </w:p>
        </w:tc>
        <w:tc>
          <w:tcPr>
            <w:tcW w:w="2408" w:type="dxa"/>
            <w:gridSpan w:val="3"/>
            <w:noWrap w:val="0"/>
            <w:vAlign w:val="center"/>
          </w:tcPr>
          <w:p>
            <w:pPr>
              <w:spacing w:line="360" w:lineRule="auto"/>
              <w:jc w:val="center"/>
              <w:rPr>
                <w:rFonts w:ascii="宋体" w:hAnsi="宋体"/>
                <w:color w:val="auto"/>
                <w:szCs w:val="21"/>
                <w:highlight w:val="none"/>
              </w:rPr>
            </w:pPr>
            <w:bookmarkStart w:id="1167" w:name="_Toc221952134"/>
            <w:r>
              <w:rPr>
                <w:rFonts w:ascii="宋体" w:hAnsi="宋体"/>
                <w:color w:val="auto"/>
                <w:szCs w:val="21"/>
                <w:highlight w:val="none"/>
              </w:rPr>
              <w:t>拟在本合同任职</w:t>
            </w:r>
            <w:bookmarkEnd w:id="1167"/>
          </w:p>
        </w:tc>
        <w:tc>
          <w:tcPr>
            <w:tcW w:w="1978" w:type="dxa"/>
            <w:noWrap w:val="0"/>
            <w:vAlign w:val="center"/>
          </w:tcPr>
          <w:p>
            <w:pPr>
              <w:spacing w:line="360" w:lineRule="auto"/>
              <w:jc w:val="both"/>
              <w:rPr>
                <w:rFonts w:hint="default" w:ascii="宋体" w:hAnsi="宋体"/>
                <w:color w:val="auto"/>
                <w:szCs w:val="21"/>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gridSpan w:val="9"/>
            <w:noWrap w:val="0"/>
            <w:vAlign w:val="center"/>
          </w:tcPr>
          <w:p>
            <w:pPr>
              <w:spacing w:line="360" w:lineRule="auto"/>
              <w:jc w:val="center"/>
              <w:rPr>
                <w:rFonts w:ascii="宋体" w:hAnsi="宋体"/>
                <w:color w:val="auto"/>
                <w:szCs w:val="21"/>
                <w:highlight w:val="none"/>
              </w:rPr>
            </w:pPr>
            <w:bookmarkStart w:id="1168" w:name="_Toc221952137"/>
            <w:r>
              <w:rPr>
                <w:rFonts w:ascii="宋体" w:hAnsi="宋体"/>
                <w:color w:val="auto"/>
                <w:szCs w:val="21"/>
                <w:highlight w:val="none"/>
              </w:rPr>
              <w:t>主要</w:t>
            </w:r>
            <w:r>
              <w:rPr>
                <w:rFonts w:hint="eastAsia" w:ascii="宋体" w:hAnsi="宋体"/>
                <w:color w:val="auto"/>
                <w:szCs w:val="21"/>
                <w:highlight w:val="none"/>
              </w:rPr>
              <w:t>施工管理</w:t>
            </w:r>
            <w:r>
              <w:rPr>
                <w:rFonts w:ascii="宋体" w:hAnsi="宋体"/>
                <w:color w:val="auto"/>
                <w:szCs w:val="21"/>
                <w:highlight w:val="none"/>
              </w:rPr>
              <w:t>经历</w:t>
            </w:r>
            <w:bookmarkEnd w:id="11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01" w:type="dxa"/>
            <w:gridSpan w:val="2"/>
            <w:noWrap w:val="0"/>
            <w:vAlign w:val="center"/>
          </w:tcPr>
          <w:p>
            <w:pPr>
              <w:spacing w:line="360" w:lineRule="auto"/>
              <w:jc w:val="center"/>
              <w:rPr>
                <w:rFonts w:ascii="宋体" w:hAnsi="宋体"/>
                <w:color w:val="auto"/>
                <w:szCs w:val="21"/>
                <w:highlight w:val="none"/>
              </w:rPr>
            </w:pPr>
            <w:bookmarkStart w:id="1169" w:name="_Toc221952138"/>
            <w:r>
              <w:rPr>
                <w:rFonts w:ascii="宋体" w:hAnsi="宋体"/>
                <w:color w:val="auto"/>
                <w:szCs w:val="21"/>
                <w:highlight w:val="none"/>
              </w:rPr>
              <w:t>时  间</w:t>
            </w:r>
            <w:bookmarkEnd w:id="1169"/>
          </w:p>
        </w:tc>
        <w:tc>
          <w:tcPr>
            <w:tcW w:w="3330" w:type="dxa"/>
            <w:gridSpan w:val="4"/>
            <w:noWrap w:val="0"/>
            <w:vAlign w:val="center"/>
          </w:tcPr>
          <w:p>
            <w:pPr>
              <w:spacing w:line="360" w:lineRule="auto"/>
              <w:jc w:val="center"/>
              <w:rPr>
                <w:rFonts w:ascii="宋体" w:hAnsi="宋体"/>
                <w:color w:val="auto"/>
                <w:szCs w:val="21"/>
                <w:highlight w:val="none"/>
              </w:rPr>
            </w:pPr>
            <w:bookmarkStart w:id="1170" w:name="_Toc221952139"/>
            <w:r>
              <w:rPr>
                <w:rFonts w:ascii="宋体" w:hAnsi="宋体"/>
                <w:color w:val="auto"/>
                <w:szCs w:val="21"/>
                <w:highlight w:val="none"/>
              </w:rPr>
              <w:t>参加过的类似项目</w:t>
            </w:r>
            <w:bookmarkEnd w:id="1170"/>
          </w:p>
        </w:tc>
        <w:tc>
          <w:tcPr>
            <w:tcW w:w="1226" w:type="dxa"/>
            <w:noWrap w:val="0"/>
            <w:vAlign w:val="center"/>
          </w:tcPr>
          <w:p>
            <w:pPr>
              <w:spacing w:line="360" w:lineRule="auto"/>
              <w:jc w:val="center"/>
              <w:rPr>
                <w:rFonts w:ascii="宋体" w:hAnsi="宋体"/>
                <w:color w:val="auto"/>
                <w:szCs w:val="21"/>
                <w:highlight w:val="none"/>
              </w:rPr>
            </w:pPr>
            <w:bookmarkStart w:id="1171" w:name="_Toc221952140"/>
            <w:r>
              <w:rPr>
                <w:rFonts w:ascii="宋体" w:hAnsi="宋体"/>
                <w:color w:val="auto"/>
                <w:szCs w:val="21"/>
                <w:highlight w:val="none"/>
              </w:rPr>
              <w:t>担任职务</w:t>
            </w:r>
            <w:bookmarkEnd w:id="1171"/>
          </w:p>
        </w:tc>
        <w:tc>
          <w:tcPr>
            <w:tcW w:w="2471" w:type="dxa"/>
            <w:gridSpan w:val="2"/>
            <w:noWrap w:val="0"/>
            <w:vAlign w:val="center"/>
          </w:tcPr>
          <w:p>
            <w:pPr>
              <w:spacing w:line="360" w:lineRule="auto"/>
              <w:rPr>
                <w:rFonts w:ascii="宋体" w:hAnsi="宋体"/>
                <w:color w:val="auto"/>
                <w:szCs w:val="21"/>
                <w:highlight w:val="none"/>
              </w:rPr>
            </w:pPr>
            <w:bookmarkStart w:id="1172" w:name="_Toc221952141"/>
            <w:r>
              <w:rPr>
                <w:rFonts w:ascii="宋体" w:hAnsi="宋体"/>
                <w:color w:val="auto"/>
                <w:szCs w:val="21"/>
                <w:highlight w:val="none"/>
              </w:rPr>
              <w:t>发包人及联系电话</w:t>
            </w:r>
            <w:bookmarkEnd w:id="117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top"/>
          </w:tcPr>
          <w:p>
            <w:pPr>
              <w:spacing w:line="360" w:lineRule="auto"/>
              <w:rPr>
                <w:rFonts w:ascii="宋体" w:hAnsi="宋体"/>
                <w:color w:val="auto"/>
                <w:szCs w:val="21"/>
                <w:highlight w:val="none"/>
              </w:rPr>
            </w:pPr>
          </w:p>
        </w:tc>
        <w:tc>
          <w:tcPr>
            <w:tcW w:w="3330" w:type="dxa"/>
            <w:gridSpan w:val="4"/>
            <w:noWrap w:val="0"/>
            <w:vAlign w:val="top"/>
          </w:tcPr>
          <w:p>
            <w:pPr>
              <w:spacing w:line="360" w:lineRule="auto"/>
              <w:rPr>
                <w:rFonts w:ascii="宋体" w:hAnsi="宋体"/>
                <w:color w:val="auto"/>
                <w:szCs w:val="21"/>
                <w:highlight w:val="none"/>
              </w:rPr>
            </w:pPr>
          </w:p>
        </w:tc>
        <w:tc>
          <w:tcPr>
            <w:tcW w:w="1226" w:type="dxa"/>
            <w:noWrap w:val="0"/>
            <w:vAlign w:val="top"/>
          </w:tcPr>
          <w:p>
            <w:pPr>
              <w:spacing w:line="360" w:lineRule="auto"/>
              <w:rPr>
                <w:rFonts w:ascii="宋体" w:hAnsi="宋体"/>
                <w:color w:val="auto"/>
                <w:szCs w:val="21"/>
                <w:highlight w:val="none"/>
              </w:rPr>
            </w:pPr>
          </w:p>
        </w:tc>
        <w:tc>
          <w:tcPr>
            <w:tcW w:w="2471" w:type="dxa"/>
            <w:gridSpan w:val="2"/>
            <w:noWrap w:val="0"/>
            <w:vAlign w:val="top"/>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top"/>
          </w:tcPr>
          <w:p>
            <w:pPr>
              <w:spacing w:line="360" w:lineRule="auto"/>
              <w:rPr>
                <w:rFonts w:ascii="宋体" w:hAnsi="宋体"/>
                <w:color w:val="auto"/>
                <w:szCs w:val="21"/>
                <w:highlight w:val="none"/>
              </w:rPr>
            </w:pPr>
          </w:p>
        </w:tc>
        <w:tc>
          <w:tcPr>
            <w:tcW w:w="3330" w:type="dxa"/>
            <w:gridSpan w:val="4"/>
            <w:noWrap w:val="0"/>
            <w:vAlign w:val="top"/>
          </w:tcPr>
          <w:p>
            <w:pPr>
              <w:spacing w:line="360" w:lineRule="auto"/>
              <w:rPr>
                <w:rFonts w:ascii="宋体" w:hAnsi="宋体"/>
                <w:color w:val="auto"/>
                <w:szCs w:val="21"/>
                <w:highlight w:val="none"/>
              </w:rPr>
            </w:pPr>
          </w:p>
        </w:tc>
        <w:tc>
          <w:tcPr>
            <w:tcW w:w="1226" w:type="dxa"/>
            <w:noWrap w:val="0"/>
            <w:vAlign w:val="top"/>
          </w:tcPr>
          <w:p>
            <w:pPr>
              <w:spacing w:line="360" w:lineRule="auto"/>
              <w:rPr>
                <w:rFonts w:ascii="宋体" w:hAnsi="宋体"/>
                <w:color w:val="auto"/>
                <w:szCs w:val="21"/>
                <w:highlight w:val="none"/>
              </w:rPr>
            </w:pPr>
          </w:p>
        </w:tc>
        <w:tc>
          <w:tcPr>
            <w:tcW w:w="2471" w:type="dxa"/>
            <w:gridSpan w:val="2"/>
            <w:noWrap w:val="0"/>
            <w:vAlign w:val="top"/>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top"/>
          </w:tcPr>
          <w:p>
            <w:pPr>
              <w:spacing w:line="360" w:lineRule="auto"/>
              <w:rPr>
                <w:rFonts w:ascii="宋体" w:hAnsi="宋体"/>
                <w:color w:val="auto"/>
                <w:szCs w:val="21"/>
                <w:highlight w:val="none"/>
              </w:rPr>
            </w:pPr>
          </w:p>
        </w:tc>
        <w:tc>
          <w:tcPr>
            <w:tcW w:w="3330" w:type="dxa"/>
            <w:gridSpan w:val="4"/>
            <w:noWrap w:val="0"/>
            <w:vAlign w:val="top"/>
          </w:tcPr>
          <w:p>
            <w:pPr>
              <w:spacing w:line="360" w:lineRule="auto"/>
              <w:rPr>
                <w:rFonts w:ascii="宋体" w:hAnsi="宋体"/>
                <w:color w:val="auto"/>
                <w:szCs w:val="21"/>
                <w:highlight w:val="none"/>
              </w:rPr>
            </w:pPr>
          </w:p>
        </w:tc>
        <w:tc>
          <w:tcPr>
            <w:tcW w:w="1226" w:type="dxa"/>
            <w:noWrap w:val="0"/>
            <w:vAlign w:val="top"/>
          </w:tcPr>
          <w:p>
            <w:pPr>
              <w:spacing w:line="360" w:lineRule="auto"/>
              <w:rPr>
                <w:rFonts w:ascii="宋体" w:hAnsi="宋体"/>
                <w:color w:val="auto"/>
                <w:szCs w:val="21"/>
                <w:highlight w:val="none"/>
              </w:rPr>
            </w:pPr>
          </w:p>
        </w:tc>
        <w:tc>
          <w:tcPr>
            <w:tcW w:w="2471" w:type="dxa"/>
            <w:gridSpan w:val="2"/>
            <w:noWrap w:val="0"/>
            <w:vAlign w:val="top"/>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pPr>
              <w:spacing w:line="360" w:lineRule="auto"/>
              <w:rPr>
                <w:rFonts w:ascii="宋体" w:hAnsi="宋体"/>
                <w:color w:val="auto"/>
                <w:szCs w:val="21"/>
                <w:highlight w:val="none"/>
              </w:rPr>
            </w:pPr>
          </w:p>
        </w:tc>
        <w:tc>
          <w:tcPr>
            <w:tcW w:w="3330" w:type="dxa"/>
            <w:gridSpan w:val="4"/>
            <w:noWrap w:val="0"/>
            <w:vAlign w:val="center"/>
          </w:tcPr>
          <w:p>
            <w:pPr>
              <w:spacing w:line="360" w:lineRule="auto"/>
              <w:rPr>
                <w:rFonts w:ascii="宋体" w:hAnsi="宋体"/>
                <w:color w:val="auto"/>
                <w:szCs w:val="21"/>
                <w:highlight w:val="none"/>
              </w:rPr>
            </w:pPr>
          </w:p>
        </w:tc>
        <w:tc>
          <w:tcPr>
            <w:tcW w:w="1226" w:type="dxa"/>
            <w:noWrap w:val="0"/>
            <w:vAlign w:val="center"/>
          </w:tcPr>
          <w:p>
            <w:pPr>
              <w:spacing w:line="360" w:lineRule="auto"/>
              <w:rPr>
                <w:rFonts w:ascii="宋体" w:hAnsi="宋体"/>
                <w:color w:val="auto"/>
                <w:szCs w:val="21"/>
                <w:highlight w:val="none"/>
              </w:rPr>
            </w:pPr>
          </w:p>
        </w:tc>
        <w:tc>
          <w:tcPr>
            <w:tcW w:w="2471" w:type="dxa"/>
            <w:gridSpan w:val="2"/>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pPr>
              <w:spacing w:line="360" w:lineRule="auto"/>
              <w:rPr>
                <w:rFonts w:ascii="宋体" w:hAnsi="宋体"/>
                <w:color w:val="auto"/>
                <w:szCs w:val="21"/>
                <w:highlight w:val="none"/>
              </w:rPr>
            </w:pPr>
          </w:p>
        </w:tc>
        <w:tc>
          <w:tcPr>
            <w:tcW w:w="3330" w:type="dxa"/>
            <w:gridSpan w:val="4"/>
            <w:noWrap w:val="0"/>
            <w:vAlign w:val="center"/>
          </w:tcPr>
          <w:p>
            <w:pPr>
              <w:spacing w:line="360" w:lineRule="auto"/>
              <w:rPr>
                <w:rFonts w:ascii="宋体" w:hAnsi="宋体"/>
                <w:color w:val="auto"/>
                <w:szCs w:val="21"/>
                <w:highlight w:val="none"/>
              </w:rPr>
            </w:pPr>
          </w:p>
        </w:tc>
        <w:tc>
          <w:tcPr>
            <w:tcW w:w="1226" w:type="dxa"/>
            <w:noWrap w:val="0"/>
            <w:vAlign w:val="center"/>
          </w:tcPr>
          <w:p>
            <w:pPr>
              <w:spacing w:line="360" w:lineRule="auto"/>
              <w:rPr>
                <w:rFonts w:ascii="宋体" w:hAnsi="宋体"/>
                <w:color w:val="auto"/>
                <w:szCs w:val="21"/>
                <w:highlight w:val="none"/>
              </w:rPr>
            </w:pPr>
          </w:p>
        </w:tc>
        <w:tc>
          <w:tcPr>
            <w:tcW w:w="2471" w:type="dxa"/>
            <w:gridSpan w:val="2"/>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pPr>
              <w:spacing w:line="360" w:lineRule="auto"/>
              <w:rPr>
                <w:rFonts w:ascii="宋体" w:hAnsi="宋体"/>
                <w:color w:val="auto"/>
                <w:szCs w:val="21"/>
                <w:highlight w:val="none"/>
              </w:rPr>
            </w:pPr>
          </w:p>
        </w:tc>
        <w:tc>
          <w:tcPr>
            <w:tcW w:w="3330" w:type="dxa"/>
            <w:gridSpan w:val="4"/>
            <w:noWrap w:val="0"/>
            <w:vAlign w:val="center"/>
          </w:tcPr>
          <w:p>
            <w:pPr>
              <w:spacing w:line="360" w:lineRule="auto"/>
              <w:rPr>
                <w:rFonts w:ascii="宋体" w:hAnsi="宋体"/>
                <w:color w:val="auto"/>
                <w:szCs w:val="21"/>
                <w:highlight w:val="none"/>
              </w:rPr>
            </w:pPr>
          </w:p>
        </w:tc>
        <w:tc>
          <w:tcPr>
            <w:tcW w:w="1226" w:type="dxa"/>
            <w:noWrap w:val="0"/>
            <w:vAlign w:val="center"/>
          </w:tcPr>
          <w:p>
            <w:pPr>
              <w:spacing w:line="360" w:lineRule="auto"/>
              <w:rPr>
                <w:rFonts w:ascii="宋体" w:hAnsi="宋体"/>
                <w:color w:val="auto"/>
                <w:szCs w:val="21"/>
                <w:highlight w:val="none"/>
              </w:rPr>
            </w:pPr>
          </w:p>
        </w:tc>
        <w:tc>
          <w:tcPr>
            <w:tcW w:w="2471" w:type="dxa"/>
            <w:gridSpan w:val="2"/>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pPr>
              <w:spacing w:line="360" w:lineRule="auto"/>
              <w:rPr>
                <w:rFonts w:ascii="宋体" w:hAnsi="宋体"/>
                <w:color w:val="auto"/>
                <w:szCs w:val="21"/>
                <w:highlight w:val="none"/>
              </w:rPr>
            </w:pPr>
          </w:p>
        </w:tc>
        <w:tc>
          <w:tcPr>
            <w:tcW w:w="3330" w:type="dxa"/>
            <w:gridSpan w:val="4"/>
            <w:noWrap w:val="0"/>
            <w:vAlign w:val="center"/>
          </w:tcPr>
          <w:p>
            <w:pPr>
              <w:spacing w:line="360" w:lineRule="auto"/>
              <w:rPr>
                <w:rFonts w:ascii="宋体" w:hAnsi="宋体"/>
                <w:color w:val="auto"/>
                <w:szCs w:val="21"/>
                <w:highlight w:val="none"/>
              </w:rPr>
            </w:pPr>
          </w:p>
        </w:tc>
        <w:tc>
          <w:tcPr>
            <w:tcW w:w="1226" w:type="dxa"/>
            <w:noWrap w:val="0"/>
            <w:vAlign w:val="center"/>
          </w:tcPr>
          <w:p>
            <w:pPr>
              <w:spacing w:line="360" w:lineRule="auto"/>
              <w:rPr>
                <w:rFonts w:ascii="宋体" w:hAnsi="宋体"/>
                <w:color w:val="auto"/>
                <w:szCs w:val="21"/>
                <w:highlight w:val="none"/>
              </w:rPr>
            </w:pPr>
          </w:p>
        </w:tc>
        <w:tc>
          <w:tcPr>
            <w:tcW w:w="2471" w:type="dxa"/>
            <w:gridSpan w:val="2"/>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pPr>
              <w:spacing w:line="360" w:lineRule="auto"/>
              <w:rPr>
                <w:rFonts w:ascii="宋体" w:hAnsi="宋体"/>
                <w:color w:val="auto"/>
                <w:szCs w:val="21"/>
                <w:highlight w:val="none"/>
              </w:rPr>
            </w:pPr>
          </w:p>
        </w:tc>
        <w:tc>
          <w:tcPr>
            <w:tcW w:w="3330" w:type="dxa"/>
            <w:gridSpan w:val="4"/>
            <w:noWrap w:val="0"/>
            <w:vAlign w:val="center"/>
          </w:tcPr>
          <w:p>
            <w:pPr>
              <w:spacing w:line="360" w:lineRule="auto"/>
              <w:rPr>
                <w:rFonts w:ascii="宋体" w:hAnsi="宋体"/>
                <w:color w:val="auto"/>
                <w:szCs w:val="21"/>
                <w:highlight w:val="none"/>
              </w:rPr>
            </w:pPr>
          </w:p>
        </w:tc>
        <w:tc>
          <w:tcPr>
            <w:tcW w:w="1226" w:type="dxa"/>
            <w:noWrap w:val="0"/>
            <w:vAlign w:val="center"/>
          </w:tcPr>
          <w:p>
            <w:pPr>
              <w:spacing w:line="360" w:lineRule="auto"/>
              <w:rPr>
                <w:rFonts w:ascii="宋体" w:hAnsi="宋体"/>
                <w:color w:val="auto"/>
                <w:szCs w:val="21"/>
                <w:highlight w:val="none"/>
              </w:rPr>
            </w:pPr>
          </w:p>
        </w:tc>
        <w:tc>
          <w:tcPr>
            <w:tcW w:w="2471" w:type="dxa"/>
            <w:gridSpan w:val="2"/>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pPr>
              <w:spacing w:line="360" w:lineRule="auto"/>
              <w:rPr>
                <w:rFonts w:ascii="宋体" w:hAnsi="宋体"/>
                <w:color w:val="auto"/>
                <w:szCs w:val="21"/>
                <w:highlight w:val="none"/>
              </w:rPr>
            </w:pPr>
          </w:p>
        </w:tc>
        <w:tc>
          <w:tcPr>
            <w:tcW w:w="3330" w:type="dxa"/>
            <w:gridSpan w:val="4"/>
            <w:noWrap w:val="0"/>
            <w:vAlign w:val="center"/>
          </w:tcPr>
          <w:p>
            <w:pPr>
              <w:spacing w:line="360" w:lineRule="auto"/>
              <w:rPr>
                <w:rFonts w:ascii="宋体" w:hAnsi="宋体"/>
                <w:color w:val="auto"/>
                <w:szCs w:val="21"/>
                <w:highlight w:val="none"/>
              </w:rPr>
            </w:pPr>
          </w:p>
        </w:tc>
        <w:tc>
          <w:tcPr>
            <w:tcW w:w="1226" w:type="dxa"/>
            <w:noWrap w:val="0"/>
            <w:vAlign w:val="center"/>
          </w:tcPr>
          <w:p>
            <w:pPr>
              <w:spacing w:line="360" w:lineRule="auto"/>
              <w:rPr>
                <w:rFonts w:ascii="宋体" w:hAnsi="宋体"/>
                <w:color w:val="auto"/>
                <w:szCs w:val="21"/>
                <w:highlight w:val="none"/>
              </w:rPr>
            </w:pPr>
          </w:p>
        </w:tc>
        <w:tc>
          <w:tcPr>
            <w:tcW w:w="2471" w:type="dxa"/>
            <w:gridSpan w:val="2"/>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pPr>
              <w:spacing w:line="360" w:lineRule="auto"/>
              <w:rPr>
                <w:rFonts w:ascii="宋体" w:hAnsi="宋体"/>
                <w:color w:val="auto"/>
                <w:szCs w:val="21"/>
                <w:highlight w:val="none"/>
              </w:rPr>
            </w:pPr>
          </w:p>
        </w:tc>
        <w:tc>
          <w:tcPr>
            <w:tcW w:w="3330" w:type="dxa"/>
            <w:gridSpan w:val="4"/>
            <w:noWrap w:val="0"/>
            <w:vAlign w:val="center"/>
          </w:tcPr>
          <w:p>
            <w:pPr>
              <w:spacing w:line="360" w:lineRule="auto"/>
              <w:rPr>
                <w:rFonts w:ascii="宋体" w:hAnsi="宋体"/>
                <w:color w:val="auto"/>
                <w:szCs w:val="21"/>
                <w:highlight w:val="none"/>
              </w:rPr>
            </w:pPr>
          </w:p>
        </w:tc>
        <w:tc>
          <w:tcPr>
            <w:tcW w:w="1226" w:type="dxa"/>
            <w:noWrap w:val="0"/>
            <w:vAlign w:val="center"/>
          </w:tcPr>
          <w:p>
            <w:pPr>
              <w:spacing w:line="360" w:lineRule="auto"/>
              <w:rPr>
                <w:rFonts w:ascii="宋体" w:hAnsi="宋体"/>
                <w:color w:val="auto"/>
                <w:szCs w:val="21"/>
                <w:highlight w:val="none"/>
              </w:rPr>
            </w:pPr>
          </w:p>
        </w:tc>
        <w:tc>
          <w:tcPr>
            <w:tcW w:w="2471" w:type="dxa"/>
            <w:gridSpan w:val="2"/>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pPr>
              <w:spacing w:line="360" w:lineRule="auto"/>
              <w:rPr>
                <w:rFonts w:ascii="宋体" w:hAnsi="宋体"/>
                <w:color w:val="auto"/>
                <w:szCs w:val="21"/>
                <w:highlight w:val="none"/>
              </w:rPr>
            </w:pPr>
          </w:p>
        </w:tc>
        <w:tc>
          <w:tcPr>
            <w:tcW w:w="3330" w:type="dxa"/>
            <w:gridSpan w:val="4"/>
            <w:noWrap w:val="0"/>
            <w:vAlign w:val="center"/>
          </w:tcPr>
          <w:p>
            <w:pPr>
              <w:spacing w:line="360" w:lineRule="auto"/>
              <w:rPr>
                <w:rFonts w:ascii="宋体" w:hAnsi="宋体"/>
                <w:color w:val="auto"/>
                <w:szCs w:val="21"/>
                <w:highlight w:val="none"/>
              </w:rPr>
            </w:pPr>
          </w:p>
        </w:tc>
        <w:tc>
          <w:tcPr>
            <w:tcW w:w="1226" w:type="dxa"/>
            <w:noWrap w:val="0"/>
            <w:vAlign w:val="center"/>
          </w:tcPr>
          <w:p>
            <w:pPr>
              <w:spacing w:line="360" w:lineRule="auto"/>
              <w:rPr>
                <w:rFonts w:ascii="宋体" w:hAnsi="宋体"/>
                <w:color w:val="auto"/>
                <w:szCs w:val="21"/>
                <w:highlight w:val="none"/>
              </w:rPr>
            </w:pPr>
          </w:p>
        </w:tc>
        <w:tc>
          <w:tcPr>
            <w:tcW w:w="2471" w:type="dxa"/>
            <w:gridSpan w:val="2"/>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pPr>
              <w:spacing w:line="360" w:lineRule="auto"/>
              <w:rPr>
                <w:rFonts w:ascii="宋体" w:hAnsi="宋体"/>
                <w:color w:val="auto"/>
                <w:szCs w:val="21"/>
                <w:highlight w:val="none"/>
              </w:rPr>
            </w:pPr>
          </w:p>
        </w:tc>
        <w:tc>
          <w:tcPr>
            <w:tcW w:w="3330" w:type="dxa"/>
            <w:gridSpan w:val="4"/>
            <w:noWrap w:val="0"/>
            <w:vAlign w:val="center"/>
          </w:tcPr>
          <w:p>
            <w:pPr>
              <w:spacing w:line="360" w:lineRule="auto"/>
              <w:rPr>
                <w:rFonts w:ascii="宋体" w:hAnsi="宋体"/>
                <w:color w:val="auto"/>
                <w:szCs w:val="21"/>
                <w:highlight w:val="none"/>
              </w:rPr>
            </w:pPr>
          </w:p>
        </w:tc>
        <w:tc>
          <w:tcPr>
            <w:tcW w:w="1226" w:type="dxa"/>
            <w:noWrap w:val="0"/>
            <w:vAlign w:val="center"/>
          </w:tcPr>
          <w:p>
            <w:pPr>
              <w:spacing w:line="360" w:lineRule="auto"/>
              <w:rPr>
                <w:rFonts w:ascii="宋体" w:hAnsi="宋体"/>
                <w:color w:val="auto"/>
                <w:szCs w:val="21"/>
                <w:highlight w:val="none"/>
              </w:rPr>
            </w:pPr>
          </w:p>
        </w:tc>
        <w:tc>
          <w:tcPr>
            <w:tcW w:w="2471" w:type="dxa"/>
            <w:gridSpan w:val="2"/>
            <w:noWrap w:val="0"/>
            <w:vAlign w:val="center"/>
          </w:tcPr>
          <w:p>
            <w:pPr>
              <w:spacing w:line="360" w:lineRule="auto"/>
              <w:rPr>
                <w:rFonts w:ascii="宋体" w:hAnsi="宋体"/>
                <w:color w:val="auto"/>
                <w:szCs w:val="21"/>
                <w:highlight w:val="none"/>
              </w:rPr>
            </w:pPr>
          </w:p>
        </w:tc>
      </w:tr>
    </w:tbl>
    <w:p>
      <w:pPr>
        <w:spacing w:line="400" w:lineRule="exact"/>
        <w:rPr>
          <w:rFonts w:ascii="宋体" w:hAnsi="宋体"/>
          <w:color w:val="auto"/>
          <w:sz w:val="19"/>
          <w:szCs w:val="19"/>
          <w:highlight w:val="none"/>
        </w:rPr>
      </w:pPr>
      <w:r>
        <w:rPr>
          <w:rFonts w:hint="eastAsia" w:ascii="宋体" w:hAnsi="宋体"/>
          <w:color w:val="auto"/>
          <w:szCs w:val="21"/>
          <w:highlight w:val="none"/>
        </w:rPr>
        <w:t>注</w:t>
      </w:r>
      <w:r>
        <w:rPr>
          <w:rFonts w:hint="eastAsia" w:ascii="宋体" w:hAnsi="宋体"/>
          <w:color w:val="auto"/>
          <w:highlight w:val="none"/>
        </w:rPr>
        <w:t>：</w:t>
      </w:r>
      <w:r>
        <w:rPr>
          <w:rFonts w:hint="eastAsia" w:ascii="宋体" w:hAnsi="宋体" w:eastAsia="宋体" w:cs="Times New Roman"/>
          <w:b/>
          <w:bCs/>
          <w:color w:val="auto"/>
          <w:highlight w:val="none"/>
          <w:lang w:val="en-US" w:eastAsia="zh-CN"/>
        </w:rPr>
        <w:t>根据</w:t>
      </w:r>
      <w:r>
        <w:rPr>
          <w:rFonts w:hint="eastAsia" w:ascii="宋体" w:hAnsi="宋体" w:eastAsia="宋体" w:cs="Times New Roman"/>
          <w:b/>
          <w:bCs/>
          <w:color w:val="auto"/>
          <w:highlight w:val="none"/>
        </w:rPr>
        <w:t>评分因素</w:t>
      </w:r>
      <w:r>
        <w:rPr>
          <w:rFonts w:hint="eastAsia" w:ascii="宋体" w:hAnsi="宋体" w:eastAsia="宋体" w:cs="Times New Roman"/>
          <w:b/>
          <w:bCs/>
          <w:color w:val="auto"/>
          <w:highlight w:val="none"/>
          <w:lang w:val="en-US" w:eastAsia="zh-CN"/>
        </w:rPr>
        <w:t>“产业工人队伍”、“</w:t>
      </w:r>
      <w:r>
        <w:rPr>
          <w:rFonts w:hint="eastAsia" w:ascii="宋体" w:hAnsi="宋体" w:eastAsia="宋体" w:cs="Times New Roman"/>
          <w:b/>
          <w:bCs/>
          <w:color w:val="auto"/>
          <w:highlight w:val="none"/>
        </w:rPr>
        <w:t>组织机构及主要管理人员</w:t>
      </w:r>
      <w:r>
        <w:rPr>
          <w:rFonts w:hint="eastAsia" w:ascii="宋体" w:hAnsi="宋体" w:eastAsia="宋体" w:cs="Times New Roman"/>
          <w:b/>
          <w:bCs/>
          <w:color w:val="auto"/>
          <w:highlight w:val="none"/>
          <w:lang w:val="en-US" w:eastAsia="zh-CN"/>
        </w:rPr>
        <w:t>”中的拟投人员填写</w:t>
      </w:r>
      <w:r>
        <w:rPr>
          <w:rFonts w:hint="eastAsia" w:ascii="宋体" w:hAnsi="宋体" w:cs="Times New Roman"/>
          <w:b/>
          <w:bCs/>
          <w:color w:val="auto"/>
          <w:highlight w:val="none"/>
          <w:lang w:val="en-US" w:eastAsia="zh-CN"/>
        </w:rPr>
        <w:t>，</w:t>
      </w:r>
      <w:r>
        <w:rPr>
          <w:rFonts w:hint="eastAsia" w:ascii="宋体" w:hAnsi="宋体" w:eastAsia="宋体" w:cs="Times New Roman"/>
          <w:b/>
          <w:bCs/>
          <w:color w:val="auto"/>
          <w:highlight w:val="none"/>
          <w:lang w:val="en-US" w:eastAsia="zh-CN"/>
        </w:rPr>
        <w:t>并</w:t>
      </w:r>
      <w:r>
        <w:rPr>
          <w:rFonts w:hint="eastAsia" w:ascii="宋体" w:hAnsi="宋体" w:eastAsia="宋体" w:cs="Times New Roman"/>
          <w:b/>
          <w:bCs/>
          <w:color w:val="auto"/>
          <w:highlight w:val="none"/>
        </w:rPr>
        <w:t>附资格证或职称证、社保</w:t>
      </w:r>
      <w:r>
        <w:rPr>
          <w:rFonts w:hint="eastAsia" w:ascii="宋体" w:hAnsi="宋体" w:eastAsia="宋体" w:cs="Times New Roman"/>
          <w:b/>
          <w:bCs/>
          <w:color w:val="auto"/>
          <w:highlight w:val="none"/>
          <w:lang w:val="en-US" w:eastAsia="zh-CN"/>
        </w:rPr>
        <w:t>等相关资料</w:t>
      </w:r>
      <w:r>
        <w:rPr>
          <w:rFonts w:hint="eastAsia" w:ascii="宋体" w:hAnsi="宋体" w:eastAsia="宋体" w:cs="Times New Roman"/>
          <w:b/>
          <w:bCs/>
          <w:color w:val="auto"/>
          <w:highlight w:val="none"/>
          <w:lang w:eastAsia="zh-CN"/>
        </w:rPr>
        <w:t>扫描件</w:t>
      </w:r>
      <w:r>
        <w:rPr>
          <w:rFonts w:hint="eastAsia" w:ascii="宋体" w:hAnsi="宋体" w:eastAsia="宋体" w:cs="Times New Roman"/>
          <w:b/>
          <w:bCs/>
          <w:color w:val="auto"/>
          <w:highlight w:val="none"/>
        </w:rPr>
        <w:t>。</w:t>
      </w:r>
    </w:p>
    <w:p>
      <w:pPr>
        <w:spacing w:line="400" w:lineRule="exact"/>
        <w:rPr>
          <w:rFonts w:hint="eastAsia" w:ascii="宋体" w:hAnsi="宋体"/>
          <w:color w:val="auto"/>
          <w:sz w:val="20"/>
          <w:szCs w:val="20"/>
          <w:highlight w:val="none"/>
        </w:rPr>
      </w:pPr>
    </w:p>
    <w:p>
      <w:pPr>
        <w:pageBreakBefore w:val="0"/>
        <w:spacing w:before="0" w:line="360" w:lineRule="auto"/>
        <w:ind w:left="0" w:firstLine="0"/>
        <w:jc w:val="center"/>
        <w:outlineLvl w:val="2"/>
        <w:rPr>
          <w:rFonts w:hint="eastAsia" w:ascii="黑体" w:hAnsi="黑体" w:eastAsia="黑体" w:cs="Times New Roman"/>
          <w:b w:val="0"/>
          <w:color w:val="auto"/>
          <w:sz w:val="28"/>
          <w:szCs w:val="27"/>
          <w:highlight w:val="none"/>
          <w:lang w:val="en-US" w:eastAsia="zh-CN"/>
        </w:rPr>
        <w:sectPr>
          <w:pgSz w:w="11906" w:h="16838"/>
          <w:pgMar w:top="1440" w:right="1797" w:bottom="1440" w:left="1797" w:header="851" w:footer="992" w:gutter="0"/>
          <w:pgNumType w:fmt="decimal"/>
          <w:cols w:space="720" w:num="1"/>
          <w:docGrid w:linePitch="312" w:charSpace="0"/>
        </w:sectPr>
      </w:pPr>
    </w:p>
    <w:p>
      <w:pPr>
        <w:topLinePunct/>
        <w:spacing w:line="400" w:lineRule="exact"/>
        <w:jc w:val="center"/>
        <w:rPr>
          <w:color w:val="auto"/>
          <w:sz w:val="20"/>
          <w:szCs w:val="20"/>
          <w:highlight w:val="none"/>
        </w:rPr>
      </w:pPr>
    </w:p>
    <w:p>
      <w:pPr>
        <w:spacing w:line="360" w:lineRule="auto"/>
        <w:jc w:val="center"/>
        <w:outlineLvl w:val="2"/>
        <w:rPr>
          <w:rFonts w:ascii="黑体" w:hAnsi="黑体" w:eastAsia="黑体"/>
          <w:color w:val="auto"/>
          <w:sz w:val="28"/>
          <w:szCs w:val="27"/>
          <w:highlight w:val="none"/>
        </w:rPr>
      </w:pPr>
      <w:bookmarkStart w:id="1173" w:name="_Toc259524423"/>
      <w:bookmarkStart w:id="1174" w:name="_Toc222032738"/>
      <w:bookmarkStart w:id="1175" w:name="_Toc17556914"/>
      <w:bookmarkStart w:id="1176" w:name="_Toc17454960"/>
      <w:bookmarkStart w:id="1177" w:name="_Toc222031071"/>
      <w:bookmarkStart w:id="1178" w:name="_Toc8693"/>
      <w:bookmarkStart w:id="1179" w:name="_Toc222033920"/>
      <w:bookmarkStart w:id="1180" w:name="_Toc17454909"/>
      <w:bookmarkStart w:id="1181" w:name="_Toc221952153"/>
      <w:bookmarkStart w:id="1182" w:name="_Toc222029569"/>
      <w:bookmarkStart w:id="1183" w:name="_Toc17452702"/>
      <w:bookmarkStart w:id="1184" w:name="_Toc17451661"/>
      <w:bookmarkStart w:id="1185" w:name="_Toc17451139"/>
      <w:bookmarkStart w:id="1186" w:name="_Toc221948389"/>
      <w:bookmarkStart w:id="1187" w:name="_Toc17451616"/>
      <w:bookmarkStart w:id="1188" w:name="_Toc229305429"/>
      <w:r>
        <w:rPr>
          <w:rFonts w:hint="eastAsia" w:ascii="黑体" w:hAnsi="黑体" w:eastAsia="黑体"/>
          <w:color w:val="auto"/>
          <w:sz w:val="28"/>
          <w:szCs w:val="27"/>
          <w:highlight w:val="none"/>
        </w:rPr>
        <w:t>九、资格审查资料</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pPr>
        <w:spacing w:line="400" w:lineRule="exact"/>
        <w:jc w:val="left"/>
        <w:outlineLvl w:val="3"/>
        <w:rPr>
          <w:rFonts w:ascii="宋体" w:hAnsi="宋体"/>
          <w:b/>
          <w:color w:val="auto"/>
          <w:sz w:val="24"/>
          <w:szCs w:val="31"/>
          <w:highlight w:val="none"/>
        </w:rPr>
      </w:pPr>
      <w:bookmarkStart w:id="1189" w:name="_Toc259524424"/>
      <w:bookmarkStart w:id="1190" w:name="_Toc152047266"/>
      <w:bookmarkStart w:id="1191" w:name="_Toc179715759"/>
      <w:bookmarkStart w:id="1192" w:name="_Toc221952154"/>
      <w:r>
        <w:rPr>
          <w:rFonts w:hint="eastAsia" w:ascii="宋体" w:hAnsi="宋体"/>
          <w:b/>
          <w:color w:val="auto"/>
          <w:sz w:val="24"/>
          <w:szCs w:val="31"/>
          <w:highlight w:val="none"/>
        </w:rPr>
        <w:t>（一）投标人基本情况表</w:t>
      </w:r>
      <w:bookmarkEnd w:id="1189"/>
      <w:bookmarkEnd w:id="1190"/>
      <w:bookmarkEnd w:id="1191"/>
      <w:bookmarkEnd w:id="1192"/>
    </w:p>
    <w:tbl>
      <w:tblPr>
        <w:tblStyle w:val="19"/>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17"/>
        <w:gridCol w:w="894"/>
        <w:gridCol w:w="947"/>
        <w:gridCol w:w="836"/>
        <w:gridCol w:w="418"/>
        <w:gridCol w:w="138"/>
        <w:gridCol w:w="1245"/>
        <w:gridCol w:w="182"/>
        <w:gridCol w:w="1163"/>
        <w:gridCol w:w="9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193" w:name="_Toc221952155"/>
            <w:r>
              <w:rPr>
                <w:rFonts w:hint="eastAsia" w:ascii="宋体" w:hAnsi="宋体"/>
                <w:color w:val="auto"/>
                <w:szCs w:val="20"/>
                <w:highlight w:val="none"/>
              </w:rPr>
              <w:t>投标人</w:t>
            </w:r>
            <w:r>
              <w:rPr>
                <w:rFonts w:ascii="宋体" w:hAnsi="宋体"/>
                <w:color w:val="auto"/>
                <w:szCs w:val="20"/>
                <w:highlight w:val="none"/>
              </w:rPr>
              <w:t>名称</w:t>
            </w:r>
            <w:bookmarkEnd w:id="1193"/>
          </w:p>
        </w:tc>
        <w:tc>
          <w:tcPr>
            <w:tcW w:w="6811" w:type="dxa"/>
            <w:gridSpan w:val="9"/>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194" w:name="_Toc221952156"/>
            <w:r>
              <w:rPr>
                <w:rFonts w:ascii="宋体" w:hAnsi="宋体"/>
                <w:color w:val="auto"/>
                <w:szCs w:val="20"/>
                <w:highlight w:val="none"/>
              </w:rPr>
              <w:t>注册地址</w:t>
            </w:r>
            <w:bookmarkEnd w:id="1194"/>
          </w:p>
        </w:tc>
        <w:tc>
          <w:tcPr>
            <w:tcW w:w="3233"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195" w:name="_Toc221952157"/>
            <w:r>
              <w:rPr>
                <w:rFonts w:ascii="宋体" w:hAnsi="宋体"/>
                <w:color w:val="auto"/>
                <w:szCs w:val="20"/>
                <w:highlight w:val="none"/>
              </w:rPr>
              <w:t>邮政编码</w:t>
            </w:r>
            <w:bookmarkEnd w:id="1195"/>
          </w:p>
        </w:tc>
        <w:tc>
          <w:tcPr>
            <w:tcW w:w="2333"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17" w:type="dxa"/>
            <w:vMerge w:val="restart"/>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196" w:name="_Toc221952158"/>
            <w:r>
              <w:rPr>
                <w:rFonts w:ascii="宋体" w:hAnsi="宋体"/>
                <w:color w:val="auto"/>
                <w:szCs w:val="20"/>
                <w:highlight w:val="none"/>
              </w:rPr>
              <w:t>联系方式</w:t>
            </w:r>
            <w:bookmarkEnd w:id="1196"/>
          </w:p>
        </w:tc>
        <w:tc>
          <w:tcPr>
            <w:tcW w:w="894"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197" w:name="_Toc221952159"/>
            <w:r>
              <w:rPr>
                <w:rFonts w:ascii="宋体" w:hAnsi="宋体"/>
                <w:color w:val="auto"/>
                <w:szCs w:val="20"/>
                <w:highlight w:val="none"/>
              </w:rPr>
              <w:t>联系人</w:t>
            </w:r>
            <w:bookmarkEnd w:id="1197"/>
          </w:p>
        </w:tc>
        <w:tc>
          <w:tcPr>
            <w:tcW w:w="2339"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198" w:name="_Toc221952160"/>
            <w:r>
              <w:rPr>
                <w:rFonts w:ascii="宋体" w:hAnsi="宋体"/>
                <w:color w:val="auto"/>
                <w:szCs w:val="20"/>
                <w:highlight w:val="none"/>
              </w:rPr>
              <w:t>电 话</w:t>
            </w:r>
            <w:bookmarkEnd w:id="1198"/>
          </w:p>
        </w:tc>
        <w:tc>
          <w:tcPr>
            <w:tcW w:w="2333"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17"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894"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199" w:name="_Toc221952161"/>
            <w:r>
              <w:rPr>
                <w:rFonts w:ascii="宋体" w:hAnsi="宋体"/>
                <w:color w:val="auto"/>
                <w:szCs w:val="20"/>
                <w:highlight w:val="none"/>
              </w:rPr>
              <w:t>传  真</w:t>
            </w:r>
            <w:bookmarkEnd w:id="1199"/>
          </w:p>
        </w:tc>
        <w:tc>
          <w:tcPr>
            <w:tcW w:w="2339"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00" w:name="_Toc221952162"/>
            <w:r>
              <w:rPr>
                <w:rFonts w:ascii="宋体" w:hAnsi="宋体"/>
                <w:color w:val="auto"/>
                <w:szCs w:val="20"/>
                <w:highlight w:val="none"/>
              </w:rPr>
              <w:t>网 址</w:t>
            </w:r>
            <w:bookmarkEnd w:id="1200"/>
          </w:p>
        </w:tc>
        <w:tc>
          <w:tcPr>
            <w:tcW w:w="2333"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01" w:name="_Toc221952163"/>
            <w:r>
              <w:rPr>
                <w:rFonts w:ascii="宋体" w:hAnsi="宋体"/>
                <w:color w:val="auto"/>
                <w:szCs w:val="20"/>
                <w:highlight w:val="none"/>
              </w:rPr>
              <w:t>组织结构</w:t>
            </w:r>
            <w:bookmarkEnd w:id="1201"/>
          </w:p>
        </w:tc>
        <w:tc>
          <w:tcPr>
            <w:tcW w:w="6811" w:type="dxa"/>
            <w:gridSpan w:val="9"/>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02" w:name="_Toc221952164"/>
            <w:r>
              <w:rPr>
                <w:rFonts w:ascii="宋体" w:hAnsi="宋体"/>
                <w:color w:val="auto"/>
                <w:szCs w:val="20"/>
                <w:highlight w:val="none"/>
              </w:rPr>
              <w:t>法定代表人</w:t>
            </w:r>
            <w:bookmarkEnd w:id="1202"/>
          </w:p>
        </w:tc>
        <w:tc>
          <w:tcPr>
            <w:tcW w:w="894"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03" w:name="_Toc221952165"/>
            <w:r>
              <w:rPr>
                <w:rFonts w:ascii="宋体" w:hAnsi="宋体"/>
                <w:color w:val="auto"/>
                <w:szCs w:val="20"/>
                <w:highlight w:val="none"/>
              </w:rPr>
              <w:t>姓名</w:t>
            </w:r>
            <w:bookmarkEnd w:id="1203"/>
          </w:p>
        </w:tc>
        <w:tc>
          <w:tcPr>
            <w:tcW w:w="94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25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04" w:name="_Toc221952166"/>
            <w:r>
              <w:rPr>
                <w:rFonts w:ascii="宋体" w:hAnsi="宋体"/>
                <w:color w:val="auto"/>
                <w:szCs w:val="20"/>
                <w:highlight w:val="none"/>
              </w:rPr>
              <w:t>技术职称</w:t>
            </w:r>
            <w:bookmarkEnd w:id="1204"/>
          </w:p>
        </w:tc>
        <w:tc>
          <w:tcPr>
            <w:tcW w:w="1565"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163"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05" w:name="_Toc221952167"/>
            <w:r>
              <w:rPr>
                <w:rFonts w:ascii="宋体" w:hAnsi="宋体"/>
                <w:color w:val="auto"/>
                <w:szCs w:val="20"/>
                <w:highlight w:val="none"/>
              </w:rPr>
              <w:t>电话</w:t>
            </w:r>
            <w:bookmarkEnd w:id="1205"/>
          </w:p>
        </w:tc>
        <w:tc>
          <w:tcPr>
            <w:tcW w:w="98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06" w:name="_Toc221952168"/>
            <w:r>
              <w:rPr>
                <w:rFonts w:ascii="宋体" w:hAnsi="宋体"/>
                <w:color w:val="auto"/>
                <w:szCs w:val="20"/>
                <w:highlight w:val="none"/>
              </w:rPr>
              <w:t>技术负责人</w:t>
            </w:r>
            <w:bookmarkEnd w:id="1206"/>
          </w:p>
        </w:tc>
        <w:tc>
          <w:tcPr>
            <w:tcW w:w="894"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07" w:name="_Toc221952169"/>
            <w:r>
              <w:rPr>
                <w:rFonts w:ascii="宋体" w:hAnsi="宋体"/>
                <w:color w:val="auto"/>
                <w:szCs w:val="20"/>
                <w:highlight w:val="none"/>
              </w:rPr>
              <w:t>姓名</w:t>
            </w:r>
            <w:bookmarkEnd w:id="1207"/>
          </w:p>
        </w:tc>
        <w:tc>
          <w:tcPr>
            <w:tcW w:w="94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25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08" w:name="_Toc221952170"/>
            <w:r>
              <w:rPr>
                <w:rFonts w:ascii="宋体" w:hAnsi="宋体"/>
                <w:color w:val="auto"/>
                <w:szCs w:val="20"/>
                <w:highlight w:val="none"/>
              </w:rPr>
              <w:t>技术职称</w:t>
            </w:r>
            <w:bookmarkEnd w:id="1208"/>
          </w:p>
        </w:tc>
        <w:tc>
          <w:tcPr>
            <w:tcW w:w="1565"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163"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09" w:name="_Toc221952171"/>
            <w:r>
              <w:rPr>
                <w:rFonts w:ascii="宋体" w:hAnsi="宋体"/>
                <w:color w:val="auto"/>
                <w:szCs w:val="20"/>
                <w:highlight w:val="none"/>
              </w:rPr>
              <w:t>电话</w:t>
            </w:r>
            <w:bookmarkEnd w:id="1209"/>
          </w:p>
        </w:tc>
        <w:tc>
          <w:tcPr>
            <w:tcW w:w="98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10" w:name="_Toc221952172"/>
            <w:r>
              <w:rPr>
                <w:rFonts w:ascii="宋体" w:hAnsi="宋体"/>
                <w:color w:val="auto"/>
                <w:szCs w:val="20"/>
                <w:highlight w:val="none"/>
              </w:rPr>
              <w:t>成立时间</w:t>
            </w:r>
            <w:bookmarkEnd w:id="1210"/>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2819"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11" w:name="_Toc221952173"/>
            <w:r>
              <w:rPr>
                <w:rFonts w:ascii="宋体" w:hAnsi="宋体"/>
                <w:color w:val="auto"/>
                <w:szCs w:val="20"/>
                <w:highlight w:val="none"/>
              </w:rPr>
              <w:t>员工总人数：</w:t>
            </w:r>
            <w:bookmarkEnd w:id="1211"/>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1050" w:firstLineChars="500"/>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12" w:name="_Toc221952174"/>
            <w:r>
              <w:rPr>
                <w:rFonts w:ascii="宋体" w:hAnsi="宋体"/>
                <w:color w:val="auto"/>
                <w:szCs w:val="20"/>
                <w:highlight w:val="none"/>
              </w:rPr>
              <w:t>企业资质等级</w:t>
            </w:r>
            <w:bookmarkEnd w:id="1212"/>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836" w:type="dxa"/>
            <w:vMerge w:val="restart"/>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13" w:name="_Toc221952175"/>
            <w:r>
              <w:rPr>
                <w:rFonts w:ascii="宋体" w:hAnsi="宋体"/>
                <w:color w:val="auto"/>
                <w:szCs w:val="20"/>
                <w:highlight w:val="none"/>
              </w:rPr>
              <w:t>其中</w:t>
            </w:r>
            <w:bookmarkEnd w:id="1213"/>
          </w:p>
        </w:tc>
        <w:tc>
          <w:tcPr>
            <w:tcW w:w="1983"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r>
              <w:rPr>
                <w:rFonts w:ascii="宋体" w:hAnsi="宋体"/>
                <w:color w:val="auto"/>
                <w:szCs w:val="20"/>
                <w:highlight w:val="none"/>
              </w:rPr>
              <w:t>项目负责人</w:t>
            </w:r>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14" w:name="_Toc221952177"/>
            <w:r>
              <w:rPr>
                <w:rFonts w:ascii="宋体" w:hAnsi="宋体"/>
                <w:color w:val="auto"/>
                <w:szCs w:val="20"/>
                <w:highlight w:val="none"/>
              </w:rPr>
              <w:t>营业执照号</w:t>
            </w:r>
            <w:bookmarkEnd w:id="1214"/>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983"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15" w:name="_Toc221952178"/>
            <w:r>
              <w:rPr>
                <w:rFonts w:ascii="宋体" w:hAnsi="宋体"/>
                <w:color w:val="auto"/>
                <w:szCs w:val="20"/>
                <w:highlight w:val="none"/>
              </w:rPr>
              <w:t>高级职称人员</w:t>
            </w:r>
            <w:bookmarkEnd w:id="1215"/>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16" w:name="_Toc221952179"/>
            <w:r>
              <w:rPr>
                <w:rFonts w:ascii="宋体" w:hAnsi="宋体"/>
                <w:color w:val="auto"/>
                <w:szCs w:val="20"/>
                <w:highlight w:val="none"/>
              </w:rPr>
              <w:t>注册资金</w:t>
            </w:r>
            <w:bookmarkEnd w:id="1216"/>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983"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17" w:name="_Toc221952180"/>
            <w:r>
              <w:rPr>
                <w:rFonts w:ascii="宋体" w:hAnsi="宋体"/>
                <w:color w:val="auto"/>
                <w:szCs w:val="20"/>
                <w:highlight w:val="none"/>
              </w:rPr>
              <w:t>中级职称人员</w:t>
            </w:r>
            <w:bookmarkEnd w:id="1217"/>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18" w:name="_Toc221952181"/>
            <w:r>
              <w:rPr>
                <w:rFonts w:ascii="宋体" w:hAnsi="宋体"/>
                <w:color w:val="auto"/>
                <w:szCs w:val="20"/>
                <w:highlight w:val="none"/>
              </w:rPr>
              <w:t>开户银行</w:t>
            </w:r>
            <w:bookmarkEnd w:id="1218"/>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983"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19" w:name="_Toc221952182"/>
            <w:r>
              <w:rPr>
                <w:rFonts w:ascii="宋体" w:hAnsi="宋体"/>
                <w:color w:val="auto"/>
                <w:szCs w:val="20"/>
                <w:highlight w:val="none"/>
              </w:rPr>
              <w:t>初级职称人员</w:t>
            </w:r>
            <w:bookmarkEnd w:id="1219"/>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20" w:name="_Toc221952183"/>
            <w:r>
              <w:rPr>
                <w:rFonts w:ascii="宋体" w:hAnsi="宋体"/>
                <w:color w:val="auto"/>
                <w:szCs w:val="20"/>
                <w:highlight w:val="none"/>
              </w:rPr>
              <w:t>账号</w:t>
            </w:r>
            <w:bookmarkEnd w:id="1220"/>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c>
          <w:tcPr>
            <w:tcW w:w="1983"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auto"/>
                <w:szCs w:val="20"/>
                <w:highlight w:val="none"/>
              </w:rPr>
            </w:pPr>
            <w:bookmarkStart w:id="1221" w:name="_Toc221952184"/>
            <w:r>
              <w:rPr>
                <w:rFonts w:ascii="宋体" w:hAnsi="宋体"/>
                <w:color w:val="auto"/>
                <w:szCs w:val="20"/>
                <w:highlight w:val="none"/>
              </w:rPr>
              <w:t>技</w:t>
            </w:r>
            <w:r>
              <w:rPr>
                <w:rFonts w:hint="eastAsia" w:ascii="宋体" w:hAnsi="宋体"/>
                <w:color w:val="auto"/>
                <w:szCs w:val="20"/>
                <w:highlight w:val="none"/>
              </w:rPr>
              <w:t xml:space="preserve">  </w:t>
            </w:r>
            <w:r>
              <w:rPr>
                <w:rFonts w:ascii="宋体" w:hAnsi="宋体"/>
                <w:color w:val="auto"/>
                <w:szCs w:val="20"/>
                <w:highlight w:val="none"/>
              </w:rPr>
              <w:t>工</w:t>
            </w:r>
            <w:bookmarkEnd w:id="1221"/>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08" w:hRule="atLeast"/>
        </w:trPr>
        <w:tc>
          <w:tcPr>
            <w:tcW w:w="1717" w:type="dxa"/>
            <w:tcBorders>
              <w:top w:val="single" w:color="auto" w:sz="4" w:space="0"/>
              <w:left w:val="single" w:color="auto" w:sz="4" w:space="0"/>
              <w:right w:val="single" w:color="auto" w:sz="4" w:space="0"/>
            </w:tcBorders>
            <w:noWrap w:val="0"/>
            <w:vAlign w:val="center"/>
          </w:tcPr>
          <w:p>
            <w:pPr>
              <w:topLinePunct/>
              <w:spacing w:line="400" w:lineRule="exact"/>
              <w:ind w:firstLine="210" w:firstLineChars="100"/>
              <w:jc w:val="center"/>
              <w:rPr>
                <w:rFonts w:ascii="宋体" w:hAnsi="宋体"/>
                <w:color w:val="auto"/>
                <w:szCs w:val="20"/>
                <w:highlight w:val="none"/>
              </w:rPr>
            </w:pPr>
            <w:bookmarkStart w:id="1222" w:name="_Toc221952185"/>
            <w:r>
              <w:rPr>
                <w:rFonts w:ascii="宋体" w:hAnsi="宋体"/>
                <w:color w:val="auto"/>
                <w:szCs w:val="20"/>
                <w:highlight w:val="none"/>
              </w:rPr>
              <w:t>经营范围</w:t>
            </w:r>
            <w:bookmarkEnd w:id="1222"/>
          </w:p>
        </w:tc>
        <w:tc>
          <w:tcPr>
            <w:tcW w:w="6811" w:type="dxa"/>
            <w:gridSpan w:val="9"/>
            <w:tcBorders>
              <w:top w:val="single" w:color="auto" w:sz="4" w:space="0"/>
              <w:left w:val="single" w:color="auto" w:sz="4" w:space="0"/>
              <w:right w:val="single" w:color="auto" w:sz="4" w:space="0"/>
            </w:tcBorders>
            <w:noWrap w:val="0"/>
            <w:vAlign w:val="center"/>
          </w:tcPr>
          <w:p>
            <w:pPr>
              <w:topLinePunct/>
              <w:spacing w:line="400" w:lineRule="exact"/>
              <w:rPr>
                <w:rFonts w:ascii="宋体" w:hAnsi="宋体"/>
                <w:color w:val="auto"/>
                <w:szCs w:val="20"/>
                <w:highlight w:val="none"/>
              </w:rPr>
            </w:pPr>
          </w:p>
          <w:p>
            <w:pPr>
              <w:topLinePunct/>
              <w:spacing w:line="400" w:lineRule="exact"/>
              <w:jc w:val="center"/>
              <w:rPr>
                <w:rFonts w:ascii="宋体" w:hAnsi="宋体"/>
                <w:color w:val="auto"/>
                <w:szCs w:val="20"/>
                <w:highlight w:val="none"/>
              </w:rPr>
            </w:pPr>
          </w:p>
          <w:p>
            <w:pPr>
              <w:topLinePunct/>
              <w:spacing w:line="400" w:lineRule="exact"/>
              <w:jc w:val="center"/>
              <w:rPr>
                <w:rFonts w:ascii="宋体" w:hAnsi="宋体"/>
                <w:color w:val="auto"/>
                <w:szCs w:val="20"/>
                <w:highlight w:val="none"/>
              </w:rPr>
            </w:pPr>
          </w:p>
          <w:p>
            <w:pPr>
              <w:topLinePunct/>
              <w:spacing w:line="400" w:lineRule="exact"/>
              <w:jc w:val="center"/>
              <w:rPr>
                <w:rFonts w:ascii="宋体" w:hAnsi="宋体"/>
                <w:color w:val="auto"/>
                <w:szCs w:val="20"/>
                <w:highlight w:val="none"/>
              </w:rPr>
            </w:pPr>
          </w:p>
          <w:p>
            <w:pPr>
              <w:topLinePunct/>
              <w:spacing w:line="400" w:lineRule="exact"/>
              <w:jc w:val="center"/>
              <w:rPr>
                <w:rFonts w:ascii="宋体" w:hAnsi="宋体"/>
                <w:color w:val="auto"/>
                <w:szCs w:val="20"/>
                <w:highlight w:val="none"/>
              </w:rPr>
            </w:pPr>
          </w:p>
          <w:p>
            <w:pPr>
              <w:topLinePunct/>
              <w:spacing w:line="400" w:lineRule="exact"/>
              <w:jc w:val="center"/>
              <w:rPr>
                <w:rFonts w:ascii="宋体" w:hAnsi="宋体"/>
                <w:color w:val="auto"/>
                <w:szCs w:val="20"/>
                <w:highlight w:val="none"/>
              </w:rPr>
            </w:pPr>
          </w:p>
          <w:p>
            <w:pPr>
              <w:topLinePunct/>
              <w:spacing w:line="400" w:lineRule="exact"/>
              <w:jc w:val="center"/>
              <w:rPr>
                <w:rFonts w:ascii="宋体" w:hAnsi="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bookmarkStart w:id="1223" w:name="_Toc221952186"/>
            <w:r>
              <w:rPr>
                <w:rFonts w:ascii="宋体" w:hAnsi="宋体"/>
                <w:color w:val="auto"/>
                <w:szCs w:val="20"/>
                <w:highlight w:val="none"/>
              </w:rPr>
              <w:t>备注</w:t>
            </w:r>
            <w:bookmarkEnd w:id="1223"/>
          </w:p>
        </w:tc>
        <w:tc>
          <w:tcPr>
            <w:tcW w:w="6811" w:type="dxa"/>
            <w:gridSpan w:val="9"/>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jc w:val="center"/>
              <w:rPr>
                <w:rFonts w:ascii="宋体" w:hAnsi="宋体"/>
                <w:color w:val="auto"/>
                <w:szCs w:val="20"/>
                <w:highlight w:val="none"/>
              </w:rPr>
            </w:pPr>
          </w:p>
        </w:tc>
      </w:tr>
    </w:tbl>
    <w:p>
      <w:pPr>
        <w:spacing w:line="400" w:lineRule="exact"/>
        <w:rPr>
          <w:color w:val="auto"/>
          <w:highlight w:val="none"/>
        </w:rPr>
      </w:pPr>
      <w:r>
        <w:rPr>
          <w:rFonts w:hint="eastAsia"/>
          <w:color w:val="auto"/>
          <w:highlight w:val="none"/>
        </w:rPr>
        <w:t>注</w:t>
      </w:r>
      <w:r>
        <w:rPr>
          <w:rFonts w:hint="eastAsia"/>
          <w:color w:val="auto"/>
          <w:highlight w:val="none"/>
          <w:lang w:eastAsia="zh-CN"/>
        </w:rPr>
        <w:t>：需提供相关材料的扫描件</w:t>
      </w:r>
      <w:r>
        <w:rPr>
          <w:rFonts w:hint="eastAsia"/>
          <w:color w:val="auto"/>
          <w:highlight w:val="none"/>
        </w:rPr>
        <w:t>。</w:t>
      </w:r>
      <w:r>
        <w:rPr>
          <w:color w:val="auto"/>
          <w:highlight w:val="none"/>
        </w:rPr>
        <w:br w:type="page"/>
      </w:r>
      <w:bookmarkStart w:id="1224" w:name="_Toc222031072"/>
      <w:bookmarkStart w:id="1225" w:name="_Toc222033921"/>
      <w:bookmarkStart w:id="1226" w:name="_Toc259524425"/>
      <w:bookmarkStart w:id="1227" w:name="_Toc152047267"/>
      <w:bookmarkStart w:id="1228" w:name="_Toc179715760"/>
      <w:bookmarkStart w:id="1229" w:name="_Toc222032739"/>
      <w:bookmarkStart w:id="1230" w:name="_Toc229305430"/>
      <w:bookmarkStart w:id="1231" w:name="_Toc222029570"/>
      <w:bookmarkStart w:id="1232" w:name="_Toc221952187"/>
    </w:p>
    <w:p>
      <w:pPr>
        <w:spacing w:line="400" w:lineRule="exact"/>
        <w:jc w:val="left"/>
        <w:outlineLvl w:val="3"/>
        <w:rPr>
          <w:rFonts w:hint="eastAsia" w:ascii="宋体" w:hAnsi="宋体" w:eastAsia="宋体"/>
          <w:b/>
          <w:color w:val="auto"/>
          <w:sz w:val="24"/>
          <w:szCs w:val="31"/>
          <w:highlight w:val="none"/>
          <w:lang w:eastAsia="zh-CN"/>
        </w:rPr>
      </w:pPr>
      <w:bookmarkStart w:id="1233" w:name="_Toc247514301"/>
      <w:bookmarkStart w:id="1234" w:name="_Toc144974877"/>
      <w:bookmarkStart w:id="1235" w:name="_Toc332641444"/>
      <w:bookmarkStart w:id="1236" w:name="_Toc152045809"/>
      <w:bookmarkStart w:id="1237" w:name="_Toc152042598"/>
      <w:bookmarkStart w:id="1238" w:name="_Toc265953295"/>
      <w:bookmarkStart w:id="1239" w:name="_Toc247527849"/>
      <w:r>
        <w:rPr>
          <w:rFonts w:ascii="宋体" w:hAnsi="宋体"/>
          <w:b/>
          <w:color w:val="auto"/>
          <w:sz w:val="24"/>
          <w:szCs w:val="31"/>
          <w:highlight w:val="none"/>
        </w:rPr>
        <w:t>（二）</w:t>
      </w:r>
      <w:r>
        <w:rPr>
          <w:rFonts w:hint="eastAsia" w:ascii="宋体" w:hAnsi="宋体"/>
          <w:b/>
          <w:color w:val="auto"/>
          <w:sz w:val="24"/>
          <w:szCs w:val="31"/>
          <w:highlight w:val="none"/>
        </w:rPr>
        <w:t>拟投入</w:t>
      </w:r>
      <w:bookmarkEnd w:id="1233"/>
      <w:bookmarkEnd w:id="1234"/>
      <w:bookmarkEnd w:id="1235"/>
      <w:bookmarkEnd w:id="1236"/>
      <w:bookmarkEnd w:id="1237"/>
      <w:bookmarkEnd w:id="1238"/>
      <w:bookmarkEnd w:id="1239"/>
      <w:r>
        <w:rPr>
          <w:rFonts w:hint="eastAsia" w:ascii="宋体" w:hAnsi="宋体"/>
          <w:b/>
          <w:color w:val="auto"/>
          <w:sz w:val="24"/>
          <w:szCs w:val="31"/>
          <w:highlight w:val="none"/>
        </w:rPr>
        <w:t>项目负责人</w:t>
      </w:r>
    </w:p>
    <w:p>
      <w:pPr>
        <w:spacing w:before="0" w:after="0" w:line="560" w:lineRule="exact"/>
        <w:jc w:val="center"/>
        <w:rPr>
          <w:rFonts w:hint="eastAsia" w:ascii="Times New Roman" w:hAnsi="Times New Roman" w:eastAsia="宋体" w:cs="Times New Roman"/>
          <w:b/>
          <w:color w:val="auto"/>
          <w:sz w:val="32"/>
          <w:szCs w:val="32"/>
          <w:highlight w:val="none"/>
          <w:u w:val="none"/>
        </w:rPr>
      </w:pPr>
      <w:r>
        <w:rPr>
          <w:rFonts w:hint="eastAsia" w:ascii="Times New Roman" w:hAnsi="Times New Roman" w:eastAsia="宋体" w:cs="Times New Roman"/>
          <w:b/>
          <w:color w:val="auto"/>
          <w:sz w:val="32"/>
          <w:szCs w:val="32"/>
          <w:highlight w:val="none"/>
          <w:u w:val="none"/>
          <w:lang w:val="en-US" w:eastAsia="zh-CN"/>
        </w:rPr>
        <w:t>①</w:t>
      </w:r>
      <w:r>
        <w:rPr>
          <w:rFonts w:hint="eastAsia" w:ascii="Times New Roman" w:hAnsi="Times New Roman" w:eastAsia="宋体" w:cs="Times New Roman"/>
          <w:b/>
          <w:color w:val="auto"/>
          <w:sz w:val="32"/>
          <w:szCs w:val="32"/>
          <w:highlight w:val="none"/>
          <w:u w:val="none"/>
        </w:rPr>
        <w:t>南洲水厂排泥水处理系统建设工程自控与安防工程</w:t>
      </w:r>
    </w:p>
    <w:p>
      <w:pPr>
        <w:spacing w:before="0" w:after="0" w:line="560" w:lineRule="exact"/>
        <w:jc w:val="center"/>
        <w:rPr>
          <w:rFonts w:hint="eastAsia" w:ascii="Times New Roman" w:hAnsi="Times New Roman" w:eastAsia="宋体" w:cs="Times New Roman"/>
          <w:b/>
          <w:color w:val="auto"/>
          <w:sz w:val="32"/>
          <w:szCs w:val="32"/>
          <w:highlight w:val="none"/>
        </w:rPr>
      </w:pPr>
      <w:r>
        <w:rPr>
          <w:rFonts w:hint="eastAsia" w:ascii="Times New Roman" w:hAnsi="Times New Roman" w:eastAsia="宋体" w:cs="Times New Roman"/>
          <w:b/>
          <w:color w:val="auto"/>
          <w:sz w:val="32"/>
          <w:szCs w:val="32"/>
          <w:highlight w:val="none"/>
        </w:rPr>
        <w:t>项目负责人简历表</w:t>
      </w:r>
    </w:p>
    <w:tbl>
      <w:tblPr>
        <w:tblStyle w:val="19"/>
        <w:tblpPr w:leftFromText="180" w:rightFromText="180" w:vertAnchor="text" w:horzAnchor="margin" w:tblpY="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355"/>
        <w:gridCol w:w="723"/>
        <w:gridCol w:w="928"/>
        <w:gridCol w:w="1066"/>
        <w:gridCol w:w="704"/>
        <w:gridCol w:w="1260"/>
        <w:gridCol w:w="167"/>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姓  名</w:t>
            </w:r>
          </w:p>
        </w:tc>
        <w:tc>
          <w:tcPr>
            <w:tcW w:w="1078" w:type="dxa"/>
            <w:gridSpan w:val="2"/>
            <w:noWrap w:val="0"/>
            <w:vAlign w:val="center"/>
          </w:tcPr>
          <w:p>
            <w:pPr>
              <w:spacing w:line="440" w:lineRule="exact"/>
              <w:jc w:val="center"/>
              <w:rPr>
                <w:rFonts w:ascii="宋体" w:hAnsi="宋体"/>
                <w:color w:val="auto"/>
                <w:szCs w:val="21"/>
                <w:highlight w:val="none"/>
              </w:rPr>
            </w:pPr>
          </w:p>
        </w:tc>
        <w:tc>
          <w:tcPr>
            <w:tcW w:w="928" w:type="dxa"/>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年 龄</w:t>
            </w:r>
          </w:p>
        </w:tc>
        <w:tc>
          <w:tcPr>
            <w:tcW w:w="1066" w:type="dxa"/>
            <w:noWrap w:val="0"/>
            <w:vAlign w:val="center"/>
          </w:tcPr>
          <w:p>
            <w:pPr>
              <w:spacing w:line="440" w:lineRule="exact"/>
              <w:jc w:val="center"/>
              <w:rPr>
                <w:rFonts w:ascii="宋体" w:hAnsi="宋体"/>
                <w:color w:val="auto"/>
                <w:szCs w:val="21"/>
                <w:highlight w:val="none"/>
              </w:rPr>
            </w:pPr>
          </w:p>
        </w:tc>
        <w:tc>
          <w:tcPr>
            <w:tcW w:w="2131" w:type="dxa"/>
            <w:gridSpan w:val="3"/>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学历</w:t>
            </w:r>
          </w:p>
        </w:tc>
        <w:tc>
          <w:tcPr>
            <w:tcW w:w="2136" w:type="dxa"/>
            <w:noWrap w:val="0"/>
            <w:vAlign w:val="center"/>
          </w:tcPr>
          <w:p>
            <w:pPr>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职  称</w:t>
            </w:r>
          </w:p>
        </w:tc>
        <w:tc>
          <w:tcPr>
            <w:tcW w:w="1078" w:type="dxa"/>
            <w:gridSpan w:val="2"/>
            <w:noWrap w:val="0"/>
            <w:vAlign w:val="center"/>
          </w:tcPr>
          <w:p>
            <w:pPr>
              <w:spacing w:line="440" w:lineRule="exact"/>
              <w:jc w:val="center"/>
              <w:rPr>
                <w:rFonts w:ascii="宋体" w:hAnsi="宋体"/>
                <w:color w:val="auto"/>
                <w:szCs w:val="21"/>
                <w:highlight w:val="none"/>
              </w:rPr>
            </w:pPr>
          </w:p>
        </w:tc>
        <w:tc>
          <w:tcPr>
            <w:tcW w:w="928" w:type="dxa"/>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职 务</w:t>
            </w:r>
          </w:p>
        </w:tc>
        <w:tc>
          <w:tcPr>
            <w:tcW w:w="1066" w:type="dxa"/>
            <w:noWrap w:val="0"/>
            <w:vAlign w:val="center"/>
          </w:tcPr>
          <w:p>
            <w:pPr>
              <w:spacing w:line="440" w:lineRule="exact"/>
              <w:jc w:val="center"/>
              <w:rPr>
                <w:rFonts w:ascii="宋体" w:hAnsi="宋体"/>
                <w:color w:val="auto"/>
                <w:szCs w:val="21"/>
                <w:highlight w:val="none"/>
              </w:rPr>
            </w:pPr>
          </w:p>
        </w:tc>
        <w:tc>
          <w:tcPr>
            <w:tcW w:w="2131" w:type="dxa"/>
            <w:gridSpan w:val="3"/>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拟在本合同任职</w:t>
            </w:r>
          </w:p>
        </w:tc>
        <w:tc>
          <w:tcPr>
            <w:tcW w:w="2136" w:type="dxa"/>
            <w:noWrap w:val="0"/>
            <w:vAlign w:val="center"/>
          </w:tcPr>
          <w:p>
            <w:pPr>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9"/>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44" w:type="dxa"/>
            <w:gridSpan w:val="2"/>
            <w:noWrap w:val="0"/>
            <w:vAlign w:val="center"/>
          </w:tcPr>
          <w:p>
            <w:pPr>
              <w:spacing w:line="440" w:lineRule="exact"/>
              <w:rPr>
                <w:rFonts w:ascii="宋体" w:hAnsi="宋体"/>
                <w:color w:val="auto"/>
                <w:szCs w:val="21"/>
                <w:highlight w:val="none"/>
              </w:rPr>
            </w:pPr>
            <w:r>
              <w:rPr>
                <w:rFonts w:ascii="宋体" w:hAnsi="宋体"/>
                <w:color w:val="auto"/>
                <w:szCs w:val="21"/>
                <w:highlight w:val="none"/>
              </w:rPr>
              <w:t>时  间</w:t>
            </w:r>
          </w:p>
        </w:tc>
        <w:tc>
          <w:tcPr>
            <w:tcW w:w="3421" w:type="dxa"/>
            <w:gridSpan w:val="4"/>
            <w:noWrap w:val="0"/>
            <w:vAlign w:val="center"/>
          </w:tcPr>
          <w:p>
            <w:pPr>
              <w:spacing w:line="440" w:lineRule="exact"/>
              <w:rPr>
                <w:rFonts w:ascii="宋体" w:hAnsi="宋体"/>
                <w:color w:val="auto"/>
                <w:szCs w:val="21"/>
                <w:highlight w:val="none"/>
              </w:rPr>
            </w:pPr>
            <w:r>
              <w:rPr>
                <w:rFonts w:ascii="宋体" w:hAnsi="宋体"/>
                <w:color w:val="auto"/>
                <w:szCs w:val="21"/>
                <w:highlight w:val="none"/>
              </w:rPr>
              <w:t>参加过的类似项目</w:t>
            </w:r>
          </w:p>
        </w:tc>
        <w:tc>
          <w:tcPr>
            <w:tcW w:w="1260" w:type="dxa"/>
            <w:noWrap w:val="0"/>
            <w:vAlign w:val="center"/>
          </w:tcPr>
          <w:p>
            <w:pPr>
              <w:spacing w:line="440" w:lineRule="exact"/>
              <w:rPr>
                <w:rFonts w:ascii="宋体" w:hAnsi="宋体"/>
                <w:color w:val="auto"/>
                <w:szCs w:val="21"/>
                <w:highlight w:val="none"/>
              </w:rPr>
            </w:pPr>
            <w:r>
              <w:rPr>
                <w:rFonts w:ascii="宋体" w:hAnsi="宋体"/>
                <w:color w:val="auto"/>
                <w:szCs w:val="21"/>
                <w:highlight w:val="none"/>
              </w:rPr>
              <w:t>担任职务</w:t>
            </w:r>
          </w:p>
        </w:tc>
        <w:tc>
          <w:tcPr>
            <w:tcW w:w="2303" w:type="dxa"/>
            <w:gridSpan w:val="2"/>
            <w:noWrap w:val="0"/>
            <w:vAlign w:val="center"/>
          </w:tcPr>
          <w:p>
            <w:pPr>
              <w:spacing w:line="440" w:lineRule="exact"/>
              <w:rPr>
                <w:rFonts w:ascii="宋体" w:hAnsi="宋体"/>
                <w:color w:val="auto"/>
                <w:szCs w:val="21"/>
                <w:highlight w:val="none"/>
              </w:rPr>
            </w:pPr>
            <w:r>
              <w:rPr>
                <w:rFonts w:ascii="宋体" w:hAnsi="宋体"/>
                <w:color w:val="auto"/>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bl>
    <w:p>
      <w:pPr>
        <w:spacing w:line="400" w:lineRule="exact"/>
        <w:ind w:firstLine="420"/>
        <w:rPr>
          <w:color w:val="auto"/>
          <w:highlight w:val="none"/>
        </w:rPr>
      </w:pPr>
      <w:r>
        <w:rPr>
          <w:rFonts w:hint="eastAsia"/>
          <w:color w:val="auto"/>
          <w:highlight w:val="none"/>
        </w:rPr>
        <w:t>注：应附注册建造师执业资格证书、职称证、</w:t>
      </w:r>
      <w:r>
        <w:rPr>
          <w:rFonts w:hint="eastAsia"/>
          <w:color w:val="auto"/>
          <w:highlight w:val="none"/>
          <w:u w:val="single"/>
        </w:rPr>
        <w:t>社保证明</w:t>
      </w:r>
      <w:r>
        <w:rPr>
          <w:rFonts w:hint="eastAsia"/>
          <w:color w:val="auto"/>
          <w:highlight w:val="none"/>
        </w:rPr>
        <w:t>、</w:t>
      </w:r>
      <w:r>
        <w:rPr>
          <w:rFonts w:hint="eastAsia" w:ascii="宋体" w:hAnsi="宋体" w:eastAsia="宋体" w:cs="宋体"/>
          <w:color w:val="auto"/>
          <w:sz w:val="21"/>
          <w:szCs w:val="21"/>
          <w:highlight w:val="none"/>
          <w:lang w:eastAsia="zh-CN"/>
        </w:rPr>
        <w:t>安全生产考核合格证</w:t>
      </w:r>
      <w:r>
        <w:rPr>
          <w:rFonts w:hint="eastAsia" w:ascii="宋体" w:hAnsi="宋体" w:eastAsia="宋体" w:cs="宋体"/>
          <w:color w:val="auto"/>
          <w:sz w:val="21"/>
          <w:szCs w:val="21"/>
          <w:highlight w:val="none"/>
        </w:rPr>
        <w:t>（</w:t>
      </w:r>
      <w:r>
        <w:rPr>
          <w:rFonts w:ascii="宋体" w:hAnsi="宋体" w:eastAsia="宋体" w:cs="宋体"/>
          <w:color w:val="auto"/>
          <w:sz w:val="21"/>
          <w:szCs w:val="21"/>
          <w:highlight w:val="none"/>
        </w:rPr>
        <w:t>B类）或建筑施工企业项目负责人安全生产考核合格证书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业绩（如有）等相关资料扫描件</w:t>
      </w:r>
      <w:r>
        <w:rPr>
          <w:rFonts w:hint="eastAsia"/>
          <w:color w:val="auto"/>
          <w:highlight w:val="none"/>
          <w:lang w:eastAsia="zh-CN"/>
        </w:rPr>
        <w:t>。</w:t>
      </w:r>
    </w:p>
    <w:p>
      <w:pPr>
        <w:spacing w:line="400" w:lineRule="exact"/>
        <w:jc w:val="left"/>
        <w:outlineLvl w:val="3"/>
        <w:rPr>
          <w:rFonts w:ascii="宋体" w:hAnsi="宋体"/>
          <w:b/>
          <w:color w:val="auto"/>
          <w:sz w:val="24"/>
          <w:szCs w:val="31"/>
          <w:highlight w:val="none"/>
        </w:rPr>
        <w:sectPr>
          <w:pgSz w:w="11906" w:h="16838"/>
          <w:pgMar w:top="1440" w:right="1797" w:bottom="1440" w:left="1797" w:header="851" w:footer="992" w:gutter="0"/>
          <w:pgNumType w:fmt="decimal"/>
          <w:cols w:space="720" w:num="1"/>
          <w:docGrid w:linePitch="312" w:charSpace="0"/>
        </w:sectPr>
      </w:pPr>
      <w:bookmarkStart w:id="1240" w:name="_Toc247085892"/>
      <w:bookmarkStart w:id="1241" w:name="_Toc246996374"/>
      <w:bookmarkStart w:id="1242" w:name="_Toc332641447"/>
      <w:bookmarkStart w:id="1243" w:name="_Toc246997117"/>
    </w:p>
    <w:p>
      <w:pPr>
        <w:spacing w:before="0" w:after="0" w:line="560" w:lineRule="exact"/>
        <w:jc w:val="center"/>
        <w:rPr>
          <w:rFonts w:hint="eastAsia" w:ascii="Times New Roman" w:hAnsi="Times New Roman" w:eastAsia="宋体" w:cs="Times New Roman"/>
          <w:b/>
          <w:color w:val="auto"/>
          <w:sz w:val="32"/>
          <w:szCs w:val="32"/>
          <w:highlight w:val="none"/>
          <w:u w:val="none"/>
        </w:rPr>
      </w:pPr>
      <w:r>
        <w:rPr>
          <w:rFonts w:hint="eastAsia" w:ascii="Times New Roman" w:hAnsi="Times New Roman" w:eastAsia="宋体" w:cs="Times New Roman"/>
          <w:b/>
          <w:color w:val="auto"/>
          <w:sz w:val="32"/>
          <w:szCs w:val="32"/>
          <w:highlight w:val="none"/>
          <w:u w:val="none"/>
          <w:lang w:val="en-US" w:eastAsia="zh-CN"/>
        </w:rPr>
        <w:t>②</w:t>
      </w:r>
      <w:r>
        <w:rPr>
          <w:rFonts w:hint="eastAsia" w:ascii="Times New Roman" w:hAnsi="Times New Roman" w:eastAsia="宋体" w:cs="Times New Roman"/>
          <w:b/>
          <w:color w:val="auto"/>
          <w:sz w:val="32"/>
          <w:szCs w:val="32"/>
          <w:highlight w:val="none"/>
          <w:u w:val="none"/>
        </w:rPr>
        <w:t>南洲水厂新增20万m³/d产能(常规工艺)建设工程自控与安防工程项目负责人</w:t>
      </w:r>
      <w:r>
        <w:rPr>
          <w:rFonts w:hint="eastAsia" w:cs="Times New Roman"/>
          <w:b/>
          <w:color w:val="auto"/>
          <w:sz w:val="32"/>
          <w:szCs w:val="32"/>
          <w:highlight w:val="none"/>
          <w:u w:val="none"/>
          <w:lang w:val="en-US" w:eastAsia="zh-CN"/>
        </w:rPr>
        <w:t>简历表</w:t>
      </w:r>
    </w:p>
    <w:tbl>
      <w:tblPr>
        <w:tblStyle w:val="19"/>
        <w:tblpPr w:leftFromText="180" w:rightFromText="180" w:vertAnchor="text" w:horzAnchor="margin" w:tblpY="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355"/>
        <w:gridCol w:w="723"/>
        <w:gridCol w:w="928"/>
        <w:gridCol w:w="1066"/>
        <w:gridCol w:w="704"/>
        <w:gridCol w:w="1260"/>
        <w:gridCol w:w="167"/>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姓  名</w:t>
            </w:r>
          </w:p>
        </w:tc>
        <w:tc>
          <w:tcPr>
            <w:tcW w:w="1078" w:type="dxa"/>
            <w:gridSpan w:val="2"/>
            <w:noWrap w:val="0"/>
            <w:vAlign w:val="center"/>
          </w:tcPr>
          <w:p>
            <w:pPr>
              <w:spacing w:line="440" w:lineRule="exact"/>
              <w:jc w:val="center"/>
              <w:rPr>
                <w:rFonts w:ascii="宋体" w:hAnsi="宋体"/>
                <w:color w:val="auto"/>
                <w:szCs w:val="21"/>
                <w:highlight w:val="none"/>
              </w:rPr>
            </w:pPr>
          </w:p>
        </w:tc>
        <w:tc>
          <w:tcPr>
            <w:tcW w:w="928" w:type="dxa"/>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年 龄</w:t>
            </w:r>
          </w:p>
        </w:tc>
        <w:tc>
          <w:tcPr>
            <w:tcW w:w="1066" w:type="dxa"/>
            <w:noWrap w:val="0"/>
            <w:vAlign w:val="center"/>
          </w:tcPr>
          <w:p>
            <w:pPr>
              <w:spacing w:line="440" w:lineRule="exact"/>
              <w:jc w:val="center"/>
              <w:rPr>
                <w:rFonts w:ascii="宋体" w:hAnsi="宋体"/>
                <w:color w:val="auto"/>
                <w:szCs w:val="21"/>
                <w:highlight w:val="none"/>
              </w:rPr>
            </w:pPr>
          </w:p>
        </w:tc>
        <w:tc>
          <w:tcPr>
            <w:tcW w:w="2131" w:type="dxa"/>
            <w:gridSpan w:val="3"/>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学历</w:t>
            </w:r>
          </w:p>
        </w:tc>
        <w:tc>
          <w:tcPr>
            <w:tcW w:w="2136" w:type="dxa"/>
            <w:noWrap w:val="0"/>
            <w:vAlign w:val="center"/>
          </w:tcPr>
          <w:p>
            <w:pPr>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职  称</w:t>
            </w:r>
          </w:p>
        </w:tc>
        <w:tc>
          <w:tcPr>
            <w:tcW w:w="1078" w:type="dxa"/>
            <w:gridSpan w:val="2"/>
            <w:noWrap w:val="0"/>
            <w:vAlign w:val="center"/>
          </w:tcPr>
          <w:p>
            <w:pPr>
              <w:spacing w:line="440" w:lineRule="exact"/>
              <w:jc w:val="center"/>
              <w:rPr>
                <w:rFonts w:ascii="宋体" w:hAnsi="宋体"/>
                <w:color w:val="auto"/>
                <w:szCs w:val="21"/>
                <w:highlight w:val="none"/>
              </w:rPr>
            </w:pPr>
          </w:p>
        </w:tc>
        <w:tc>
          <w:tcPr>
            <w:tcW w:w="928" w:type="dxa"/>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职 务</w:t>
            </w:r>
          </w:p>
        </w:tc>
        <w:tc>
          <w:tcPr>
            <w:tcW w:w="1066" w:type="dxa"/>
            <w:noWrap w:val="0"/>
            <w:vAlign w:val="center"/>
          </w:tcPr>
          <w:p>
            <w:pPr>
              <w:spacing w:line="440" w:lineRule="exact"/>
              <w:jc w:val="center"/>
              <w:rPr>
                <w:rFonts w:ascii="宋体" w:hAnsi="宋体"/>
                <w:color w:val="auto"/>
                <w:szCs w:val="21"/>
                <w:highlight w:val="none"/>
              </w:rPr>
            </w:pPr>
          </w:p>
        </w:tc>
        <w:tc>
          <w:tcPr>
            <w:tcW w:w="2131" w:type="dxa"/>
            <w:gridSpan w:val="3"/>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拟在本合同任职</w:t>
            </w:r>
          </w:p>
        </w:tc>
        <w:tc>
          <w:tcPr>
            <w:tcW w:w="2136" w:type="dxa"/>
            <w:noWrap w:val="0"/>
            <w:vAlign w:val="center"/>
          </w:tcPr>
          <w:p>
            <w:pPr>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9"/>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44" w:type="dxa"/>
            <w:gridSpan w:val="2"/>
            <w:noWrap w:val="0"/>
            <w:vAlign w:val="center"/>
          </w:tcPr>
          <w:p>
            <w:pPr>
              <w:spacing w:line="440" w:lineRule="exact"/>
              <w:rPr>
                <w:rFonts w:ascii="宋体" w:hAnsi="宋体"/>
                <w:color w:val="auto"/>
                <w:szCs w:val="21"/>
                <w:highlight w:val="none"/>
              </w:rPr>
            </w:pPr>
            <w:r>
              <w:rPr>
                <w:rFonts w:ascii="宋体" w:hAnsi="宋体"/>
                <w:color w:val="auto"/>
                <w:szCs w:val="21"/>
                <w:highlight w:val="none"/>
              </w:rPr>
              <w:t>时  间</w:t>
            </w:r>
          </w:p>
        </w:tc>
        <w:tc>
          <w:tcPr>
            <w:tcW w:w="3421" w:type="dxa"/>
            <w:gridSpan w:val="4"/>
            <w:noWrap w:val="0"/>
            <w:vAlign w:val="center"/>
          </w:tcPr>
          <w:p>
            <w:pPr>
              <w:spacing w:line="440" w:lineRule="exact"/>
              <w:rPr>
                <w:rFonts w:ascii="宋体" w:hAnsi="宋体"/>
                <w:color w:val="auto"/>
                <w:szCs w:val="21"/>
                <w:highlight w:val="none"/>
              </w:rPr>
            </w:pPr>
            <w:r>
              <w:rPr>
                <w:rFonts w:ascii="宋体" w:hAnsi="宋体"/>
                <w:color w:val="auto"/>
                <w:szCs w:val="21"/>
                <w:highlight w:val="none"/>
              </w:rPr>
              <w:t>参加过的类似项目</w:t>
            </w:r>
          </w:p>
        </w:tc>
        <w:tc>
          <w:tcPr>
            <w:tcW w:w="1260" w:type="dxa"/>
            <w:noWrap w:val="0"/>
            <w:vAlign w:val="center"/>
          </w:tcPr>
          <w:p>
            <w:pPr>
              <w:spacing w:line="440" w:lineRule="exact"/>
              <w:rPr>
                <w:rFonts w:ascii="宋体" w:hAnsi="宋体"/>
                <w:color w:val="auto"/>
                <w:szCs w:val="21"/>
                <w:highlight w:val="none"/>
              </w:rPr>
            </w:pPr>
            <w:r>
              <w:rPr>
                <w:rFonts w:ascii="宋体" w:hAnsi="宋体"/>
                <w:color w:val="auto"/>
                <w:szCs w:val="21"/>
                <w:highlight w:val="none"/>
              </w:rPr>
              <w:t>担任职务</w:t>
            </w:r>
          </w:p>
        </w:tc>
        <w:tc>
          <w:tcPr>
            <w:tcW w:w="2303" w:type="dxa"/>
            <w:gridSpan w:val="2"/>
            <w:noWrap w:val="0"/>
            <w:vAlign w:val="center"/>
          </w:tcPr>
          <w:p>
            <w:pPr>
              <w:spacing w:line="440" w:lineRule="exact"/>
              <w:rPr>
                <w:rFonts w:ascii="宋体" w:hAnsi="宋体"/>
                <w:color w:val="auto"/>
                <w:szCs w:val="21"/>
                <w:highlight w:val="none"/>
              </w:rPr>
            </w:pPr>
            <w:r>
              <w:rPr>
                <w:rFonts w:ascii="宋体" w:hAnsi="宋体"/>
                <w:color w:val="auto"/>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bl>
    <w:p>
      <w:pPr>
        <w:spacing w:line="400" w:lineRule="exact"/>
        <w:jc w:val="left"/>
        <w:outlineLvl w:val="3"/>
        <w:rPr>
          <w:rFonts w:hint="eastAsia" w:ascii="宋体" w:hAnsi="宋体" w:eastAsia="宋体" w:cs="宋体"/>
          <w:color w:val="auto"/>
          <w:sz w:val="24"/>
          <w:szCs w:val="24"/>
          <w:highlight w:val="none"/>
        </w:rPr>
      </w:pPr>
      <w:r>
        <w:rPr>
          <w:rFonts w:hint="eastAsia"/>
          <w:color w:val="auto"/>
          <w:highlight w:val="none"/>
        </w:rPr>
        <w:t>注：应附注册建造师执业资格证书、职称证、</w:t>
      </w:r>
      <w:r>
        <w:rPr>
          <w:rFonts w:hint="eastAsia"/>
          <w:color w:val="auto"/>
          <w:highlight w:val="none"/>
          <w:u w:val="single"/>
        </w:rPr>
        <w:t>社保证明</w:t>
      </w:r>
      <w:r>
        <w:rPr>
          <w:rFonts w:hint="eastAsia"/>
          <w:color w:val="auto"/>
          <w:highlight w:val="none"/>
        </w:rPr>
        <w:t>、</w:t>
      </w:r>
      <w:r>
        <w:rPr>
          <w:rFonts w:hint="eastAsia" w:ascii="宋体" w:hAnsi="宋体" w:eastAsia="宋体" w:cs="宋体"/>
          <w:color w:val="auto"/>
          <w:sz w:val="21"/>
          <w:szCs w:val="21"/>
          <w:highlight w:val="none"/>
          <w:lang w:eastAsia="zh-CN"/>
        </w:rPr>
        <w:t>安全生产考核合格证</w:t>
      </w:r>
      <w:r>
        <w:rPr>
          <w:rFonts w:hint="eastAsia" w:ascii="宋体" w:hAnsi="宋体" w:eastAsia="宋体" w:cs="宋体"/>
          <w:color w:val="auto"/>
          <w:sz w:val="21"/>
          <w:szCs w:val="21"/>
          <w:highlight w:val="none"/>
        </w:rPr>
        <w:t>（</w:t>
      </w:r>
      <w:r>
        <w:rPr>
          <w:rFonts w:ascii="宋体" w:hAnsi="宋体" w:eastAsia="宋体" w:cs="宋体"/>
          <w:color w:val="auto"/>
          <w:sz w:val="21"/>
          <w:szCs w:val="21"/>
          <w:highlight w:val="none"/>
        </w:rPr>
        <w:t>B类）或建筑施工企业项目负责人安全生产考核合格证书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业绩（如有）等相关资料扫描件</w:t>
      </w:r>
      <w:r>
        <w:rPr>
          <w:rFonts w:hint="eastAsia"/>
          <w:color w:val="auto"/>
          <w:highlight w:val="none"/>
          <w:lang w:eastAsia="zh-CN"/>
        </w:rPr>
        <w:t>。</w:t>
      </w:r>
    </w:p>
    <w:p>
      <w:pPr>
        <w:spacing w:line="400" w:lineRule="exact"/>
        <w:jc w:val="left"/>
        <w:outlineLvl w:val="3"/>
        <w:rPr>
          <w:rFonts w:ascii="宋体" w:hAnsi="宋体"/>
          <w:b/>
          <w:color w:val="auto"/>
          <w:sz w:val="24"/>
          <w:szCs w:val="31"/>
          <w:highlight w:val="none"/>
        </w:rPr>
      </w:pPr>
      <w:r>
        <w:rPr>
          <w:rFonts w:ascii="宋体" w:hAnsi="宋体"/>
          <w:b/>
          <w:color w:val="auto"/>
          <w:sz w:val="24"/>
          <w:szCs w:val="31"/>
          <w:highlight w:val="none"/>
        </w:rPr>
        <w:br w:type="page"/>
      </w:r>
      <w:r>
        <w:rPr>
          <w:rFonts w:ascii="宋体" w:hAnsi="宋体"/>
          <w:b/>
          <w:color w:val="auto"/>
          <w:sz w:val="24"/>
          <w:szCs w:val="31"/>
          <w:highlight w:val="none"/>
        </w:rPr>
        <w:t>（</w:t>
      </w:r>
      <w:r>
        <w:rPr>
          <w:rFonts w:hint="eastAsia" w:ascii="宋体" w:hAnsi="宋体"/>
          <w:b/>
          <w:color w:val="auto"/>
          <w:sz w:val="24"/>
          <w:szCs w:val="31"/>
          <w:highlight w:val="none"/>
        </w:rPr>
        <w:t>三</w:t>
      </w:r>
      <w:r>
        <w:rPr>
          <w:rFonts w:ascii="宋体" w:hAnsi="宋体"/>
          <w:b/>
          <w:color w:val="auto"/>
          <w:sz w:val="24"/>
          <w:szCs w:val="31"/>
          <w:highlight w:val="none"/>
        </w:rPr>
        <w:t>）</w:t>
      </w:r>
      <w:r>
        <w:rPr>
          <w:rFonts w:hint="eastAsia" w:ascii="宋体" w:hAnsi="宋体"/>
          <w:b/>
          <w:color w:val="auto"/>
          <w:sz w:val="24"/>
          <w:szCs w:val="31"/>
          <w:highlight w:val="none"/>
        </w:rPr>
        <w:t>拟投入</w:t>
      </w:r>
      <w:r>
        <w:rPr>
          <w:rFonts w:hint="eastAsia" w:ascii="宋体" w:hAnsi="宋体"/>
          <w:b/>
          <w:color w:val="auto"/>
          <w:sz w:val="24"/>
          <w:szCs w:val="31"/>
          <w:highlight w:val="none"/>
          <w:lang w:eastAsia="zh-CN"/>
        </w:rPr>
        <w:t>技术</w:t>
      </w:r>
      <w:r>
        <w:rPr>
          <w:rFonts w:hint="eastAsia" w:ascii="宋体" w:hAnsi="宋体"/>
          <w:b/>
          <w:color w:val="auto"/>
          <w:sz w:val="24"/>
          <w:szCs w:val="31"/>
          <w:highlight w:val="none"/>
        </w:rPr>
        <w:t>负责人</w:t>
      </w:r>
    </w:p>
    <w:p>
      <w:pPr>
        <w:spacing w:before="260" w:after="260" w:line="415" w:lineRule="auto"/>
        <w:jc w:val="center"/>
        <w:rPr>
          <w:rFonts w:hint="eastAsia"/>
          <w:b/>
          <w:color w:val="auto"/>
          <w:sz w:val="32"/>
          <w:szCs w:val="32"/>
          <w:highlight w:val="none"/>
        </w:rPr>
      </w:pPr>
      <w:r>
        <w:rPr>
          <w:rFonts w:hint="eastAsia"/>
          <w:b/>
          <w:color w:val="auto"/>
          <w:sz w:val="32"/>
          <w:szCs w:val="32"/>
          <w:highlight w:val="none"/>
        </w:rPr>
        <w:t>技术负责人</w:t>
      </w:r>
      <w:r>
        <w:rPr>
          <w:b/>
          <w:color w:val="auto"/>
          <w:sz w:val="32"/>
          <w:szCs w:val="32"/>
          <w:highlight w:val="none"/>
        </w:rPr>
        <w:t>简历表</w:t>
      </w:r>
    </w:p>
    <w:tbl>
      <w:tblPr>
        <w:tblStyle w:val="19"/>
        <w:tblpPr w:leftFromText="180" w:rightFromText="180" w:vertAnchor="text" w:horzAnchor="margin" w:tblpY="9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355"/>
        <w:gridCol w:w="723"/>
        <w:gridCol w:w="928"/>
        <w:gridCol w:w="1066"/>
        <w:gridCol w:w="704"/>
        <w:gridCol w:w="1260"/>
        <w:gridCol w:w="167"/>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姓  名</w:t>
            </w:r>
          </w:p>
        </w:tc>
        <w:tc>
          <w:tcPr>
            <w:tcW w:w="1078" w:type="dxa"/>
            <w:gridSpan w:val="2"/>
            <w:noWrap w:val="0"/>
            <w:vAlign w:val="center"/>
          </w:tcPr>
          <w:p>
            <w:pPr>
              <w:spacing w:line="440" w:lineRule="exact"/>
              <w:jc w:val="center"/>
              <w:rPr>
                <w:rFonts w:ascii="宋体" w:hAnsi="宋体"/>
                <w:color w:val="auto"/>
                <w:szCs w:val="21"/>
                <w:highlight w:val="none"/>
              </w:rPr>
            </w:pPr>
          </w:p>
        </w:tc>
        <w:tc>
          <w:tcPr>
            <w:tcW w:w="928" w:type="dxa"/>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年 龄</w:t>
            </w:r>
          </w:p>
        </w:tc>
        <w:tc>
          <w:tcPr>
            <w:tcW w:w="1066" w:type="dxa"/>
            <w:noWrap w:val="0"/>
            <w:vAlign w:val="center"/>
          </w:tcPr>
          <w:p>
            <w:pPr>
              <w:spacing w:line="440" w:lineRule="exact"/>
              <w:jc w:val="center"/>
              <w:rPr>
                <w:rFonts w:ascii="宋体" w:hAnsi="宋体"/>
                <w:color w:val="auto"/>
                <w:szCs w:val="21"/>
                <w:highlight w:val="none"/>
              </w:rPr>
            </w:pPr>
          </w:p>
        </w:tc>
        <w:tc>
          <w:tcPr>
            <w:tcW w:w="2131" w:type="dxa"/>
            <w:gridSpan w:val="3"/>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学历</w:t>
            </w:r>
          </w:p>
        </w:tc>
        <w:tc>
          <w:tcPr>
            <w:tcW w:w="2136" w:type="dxa"/>
            <w:noWrap w:val="0"/>
            <w:vAlign w:val="center"/>
          </w:tcPr>
          <w:p>
            <w:pPr>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职  称</w:t>
            </w:r>
          </w:p>
        </w:tc>
        <w:tc>
          <w:tcPr>
            <w:tcW w:w="1078" w:type="dxa"/>
            <w:gridSpan w:val="2"/>
            <w:noWrap w:val="0"/>
            <w:vAlign w:val="center"/>
          </w:tcPr>
          <w:p>
            <w:pPr>
              <w:spacing w:line="440" w:lineRule="exact"/>
              <w:jc w:val="center"/>
              <w:rPr>
                <w:rFonts w:ascii="宋体" w:hAnsi="宋体"/>
                <w:color w:val="auto"/>
                <w:szCs w:val="21"/>
                <w:highlight w:val="none"/>
              </w:rPr>
            </w:pPr>
          </w:p>
        </w:tc>
        <w:tc>
          <w:tcPr>
            <w:tcW w:w="928" w:type="dxa"/>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职 务</w:t>
            </w:r>
          </w:p>
        </w:tc>
        <w:tc>
          <w:tcPr>
            <w:tcW w:w="1066" w:type="dxa"/>
            <w:noWrap w:val="0"/>
            <w:vAlign w:val="center"/>
          </w:tcPr>
          <w:p>
            <w:pPr>
              <w:spacing w:line="440" w:lineRule="exact"/>
              <w:jc w:val="center"/>
              <w:rPr>
                <w:rFonts w:ascii="宋体" w:hAnsi="宋体"/>
                <w:color w:val="auto"/>
                <w:szCs w:val="21"/>
                <w:highlight w:val="none"/>
              </w:rPr>
            </w:pPr>
          </w:p>
        </w:tc>
        <w:tc>
          <w:tcPr>
            <w:tcW w:w="2131" w:type="dxa"/>
            <w:gridSpan w:val="3"/>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拟在本合同任职</w:t>
            </w:r>
          </w:p>
        </w:tc>
        <w:tc>
          <w:tcPr>
            <w:tcW w:w="2136" w:type="dxa"/>
            <w:noWrap w:val="0"/>
            <w:vAlign w:val="center"/>
          </w:tcPr>
          <w:p>
            <w:pPr>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9"/>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44" w:type="dxa"/>
            <w:gridSpan w:val="2"/>
            <w:noWrap w:val="0"/>
            <w:vAlign w:val="center"/>
          </w:tcPr>
          <w:p>
            <w:pPr>
              <w:spacing w:line="440" w:lineRule="exact"/>
              <w:rPr>
                <w:rFonts w:ascii="宋体" w:hAnsi="宋体"/>
                <w:color w:val="auto"/>
                <w:szCs w:val="21"/>
                <w:highlight w:val="none"/>
              </w:rPr>
            </w:pPr>
            <w:r>
              <w:rPr>
                <w:rFonts w:ascii="宋体" w:hAnsi="宋体"/>
                <w:color w:val="auto"/>
                <w:szCs w:val="21"/>
                <w:highlight w:val="none"/>
              </w:rPr>
              <w:t>时  间</w:t>
            </w:r>
          </w:p>
        </w:tc>
        <w:tc>
          <w:tcPr>
            <w:tcW w:w="3421" w:type="dxa"/>
            <w:gridSpan w:val="4"/>
            <w:noWrap w:val="0"/>
            <w:vAlign w:val="center"/>
          </w:tcPr>
          <w:p>
            <w:pPr>
              <w:spacing w:line="440" w:lineRule="exact"/>
              <w:rPr>
                <w:rFonts w:ascii="宋体" w:hAnsi="宋体"/>
                <w:color w:val="auto"/>
                <w:szCs w:val="21"/>
                <w:highlight w:val="none"/>
              </w:rPr>
            </w:pPr>
            <w:r>
              <w:rPr>
                <w:rFonts w:ascii="宋体" w:hAnsi="宋体"/>
                <w:color w:val="auto"/>
                <w:szCs w:val="21"/>
                <w:highlight w:val="none"/>
              </w:rPr>
              <w:t>参加过的类似项目</w:t>
            </w:r>
          </w:p>
        </w:tc>
        <w:tc>
          <w:tcPr>
            <w:tcW w:w="1260" w:type="dxa"/>
            <w:noWrap w:val="0"/>
            <w:vAlign w:val="center"/>
          </w:tcPr>
          <w:p>
            <w:pPr>
              <w:spacing w:line="440" w:lineRule="exact"/>
              <w:rPr>
                <w:rFonts w:ascii="宋体" w:hAnsi="宋体"/>
                <w:color w:val="auto"/>
                <w:szCs w:val="21"/>
                <w:highlight w:val="none"/>
              </w:rPr>
            </w:pPr>
            <w:r>
              <w:rPr>
                <w:rFonts w:ascii="宋体" w:hAnsi="宋体"/>
                <w:color w:val="auto"/>
                <w:szCs w:val="21"/>
                <w:highlight w:val="none"/>
              </w:rPr>
              <w:t>担任职务</w:t>
            </w:r>
          </w:p>
        </w:tc>
        <w:tc>
          <w:tcPr>
            <w:tcW w:w="2303" w:type="dxa"/>
            <w:gridSpan w:val="2"/>
            <w:noWrap w:val="0"/>
            <w:vAlign w:val="center"/>
          </w:tcPr>
          <w:p>
            <w:pPr>
              <w:spacing w:line="440" w:lineRule="exact"/>
              <w:rPr>
                <w:rFonts w:ascii="宋体" w:hAnsi="宋体"/>
                <w:color w:val="auto"/>
                <w:szCs w:val="21"/>
                <w:highlight w:val="none"/>
              </w:rPr>
            </w:pPr>
            <w:r>
              <w:rPr>
                <w:rFonts w:ascii="宋体" w:hAnsi="宋体"/>
                <w:color w:val="auto"/>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pPr>
              <w:spacing w:line="440" w:lineRule="exact"/>
              <w:rPr>
                <w:rFonts w:eastAsia="黑体"/>
                <w:color w:val="auto"/>
                <w:szCs w:val="21"/>
                <w:highlight w:val="none"/>
              </w:rPr>
            </w:pPr>
          </w:p>
        </w:tc>
        <w:tc>
          <w:tcPr>
            <w:tcW w:w="3421" w:type="dxa"/>
            <w:gridSpan w:val="4"/>
            <w:noWrap w:val="0"/>
            <w:vAlign w:val="top"/>
          </w:tcPr>
          <w:p>
            <w:pPr>
              <w:spacing w:line="440" w:lineRule="exact"/>
              <w:rPr>
                <w:rFonts w:eastAsia="黑体"/>
                <w:color w:val="auto"/>
                <w:szCs w:val="21"/>
                <w:highlight w:val="none"/>
              </w:rPr>
            </w:pPr>
          </w:p>
        </w:tc>
        <w:tc>
          <w:tcPr>
            <w:tcW w:w="1260" w:type="dxa"/>
            <w:noWrap w:val="0"/>
            <w:vAlign w:val="top"/>
          </w:tcPr>
          <w:p>
            <w:pPr>
              <w:spacing w:line="440" w:lineRule="exact"/>
              <w:rPr>
                <w:rFonts w:eastAsia="黑体"/>
                <w:color w:val="auto"/>
                <w:szCs w:val="21"/>
                <w:highlight w:val="none"/>
              </w:rPr>
            </w:pPr>
          </w:p>
        </w:tc>
        <w:tc>
          <w:tcPr>
            <w:tcW w:w="2303" w:type="dxa"/>
            <w:gridSpan w:val="2"/>
            <w:noWrap w:val="0"/>
            <w:vAlign w:val="top"/>
          </w:tcPr>
          <w:p>
            <w:pPr>
              <w:spacing w:line="440" w:lineRule="exact"/>
              <w:rPr>
                <w:rFonts w:eastAsia="黑体"/>
                <w:color w:val="auto"/>
                <w:szCs w:val="21"/>
                <w:highlight w:val="none"/>
              </w:rPr>
            </w:pPr>
          </w:p>
        </w:tc>
      </w:tr>
    </w:tbl>
    <w:p>
      <w:pPr>
        <w:spacing w:before="260" w:after="260" w:line="415" w:lineRule="auto"/>
        <w:jc w:val="left"/>
        <w:rPr>
          <w:color w:val="auto"/>
          <w:szCs w:val="21"/>
          <w:highlight w:val="none"/>
        </w:rPr>
      </w:pPr>
      <w:r>
        <w:rPr>
          <w:rFonts w:hint="eastAsia"/>
          <w:color w:val="auto"/>
          <w:highlight w:val="none"/>
        </w:rPr>
        <w:t>注：</w:t>
      </w:r>
      <w:r>
        <w:rPr>
          <w:rFonts w:hint="eastAsia"/>
          <w:color w:val="auto"/>
          <w:szCs w:val="21"/>
          <w:highlight w:val="none"/>
        </w:rPr>
        <w:t>应附职称证书、</w:t>
      </w:r>
      <w:r>
        <w:rPr>
          <w:rFonts w:hint="eastAsia"/>
          <w:color w:val="auto"/>
          <w:highlight w:val="none"/>
          <w:u w:val="single"/>
        </w:rPr>
        <w:t>社保证明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业绩（如有）等相关资料扫描件</w:t>
      </w:r>
      <w:r>
        <w:rPr>
          <w:rFonts w:hint="eastAsia"/>
          <w:color w:val="auto"/>
          <w:szCs w:val="21"/>
          <w:highlight w:val="none"/>
        </w:rPr>
        <w:t>。</w:t>
      </w:r>
    </w:p>
    <w:p>
      <w:pPr>
        <w:pageBreakBefore/>
        <w:widowControl/>
        <w:jc w:val="left"/>
        <w:rPr>
          <w:rFonts w:ascii="宋体" w:hAnsi="宋体"/>
          <w:b/>
          <w:color w:val="auto"/>
          <w:sz w:val="24"/>
          <w:szCs w:val="31"/>
          <w:highlight w:val="none"/>
        </w:rPr>
      </w:pPr>
    </w:p>
    <w:p>
      <w:pPr>
        <w:spacing w:line="400" w:lineRule="exact"/>
        <w:jc w:val="left"/>
        <w:outlineLvl w:val="3"/>
        <w:rPr>
          <w:rFonts w:ascii="宋体" w:hAnsi="宋体"/>
          <w:b/>
          <w:color w:val="auto"/>
          <w:sz w:val="24"/>
          <w:szCs w:val="31"/>
          <w:highlight w:val="none"/>
        </w:rPr>
      </w:pPr>
      <w:r>
        <w:rPr>
          <w:rFonts w:hint="eastAsia" w:ascii="宋体" w:hAnsi="宋体"/>
          <w:b/>
          <w:color w:val="auto"/>
          <w:sz w:val="24"/>
          <w:szCs w:val="31"/>
          <w:highlight w:val="none"/>
        </w:rPr>
        <w:t>（</w:t>
      </w:r>
      <w:r>
        <w:rPr>
          <w:rFonts w:hint="eastAsia" w:ascii="宋体" w:hAnsi="宋体"/>
          <w:b/>
          <w:color w:val="auto"/>
          <w:sz w:val="24"/>
          <w:szCs w:val="31"/>
          <w:highlight w:val="none"/>
          <w:lang w:eastAsia="zh-CN"/>
        </w:rPr>
        <w:t>四</w:t>
      </w:r>
      <w:r>
        <w:rPr>
          <w:rFonts w:hint="eastAsia" w:ascii="宋体" w:hAnsi="宋体"/>
          <w:b/>
          <w:color w:val="auto"/>
          <w:sz w:val="24"/>
          <w:szCs w:val="31"/>
          <w:highlight w:val="none"/>
        </w:rPr>
        <w:t>）</w:t>
      </w:r>
      <w:r>
        <w:rPr>
          <w:rFonts w:hint="eastAsia" w:ascii="宋体" w:hAnsi="宋体"/>
          <w:b/>
          <w:color w:val="auto"/>
          <w:sz w:val="24"/>
          <w:szCs w:val="31"/>
          <w:highlight w:val="none"/>
          <w:lang w:eastAsia="zh-CN"/>
        </w:rPr>
        <w:t>拟投入</w:t>
      </w:r>
      <w:r>
        <w:rPr>
          <w:rFonts w:hint="eastAsia" w:ascii="宋体" w:hAnsi="宋体"/>
          <w:b/>
          <w:color w:val="auto"/>
          <w:sz w:val="24"/>
          <w:szCs w:val="31"/>
          <w:highlight w:val="none"/>
        </w:rPr>
        <w:t>专职安全员</w:t>
      </w:r>
      <w:bookmarkEnd w:id="1240"/>
      <w:bookmarkEnd w:id="1241"/>
      <w:bookmarkEnd w:id="1242"/>
      <w:bookmarkEnd w:id="1243"/>
    </w:p>
    <w:p>
      <w:pPr>
        <w:spacing w:before="0" w:after="0" w:line="560" w:lineRule="exact"/>
        <w:jc w:val="center"/>
        <w:rPr>
          <w:rFonts w:hint="eastAsia" w:ascii="Times New Roman" w:hAnsi="Times New Roman" w:eastAsia="宋体" w:cs="Times New Roman"/>
          <w:b/>
          <w:color w:val="auto"/>
          <w:sz w:val="32"/>
          <w:szCs w:val="32"/>
          <w:highlight w:val="none"/>
          <w:u w:val="none"/>
        </w:rPr>
      </w:pPr>
      <w:r>
        <w:rPr>
          <w:rFonts w:hint="eastAsia"/>
          <w:b/>
          <w:color w:val="auto"/>
          <w:sz w:val="32"/>
          <w:szCs w:val="32"/>
          <w:highlight w:val="none"/>
          <w:lang w:val="en-US" w:eastAsia="zh-CN"/>
        </w:rPr>
        <w:t>①</w:t>
      </w:r>
      <w:r>
        <w:rPr>
          <w:rFonts w:hint="eastAsia" w:ascii="Times New Roman" w:hAnsi="Times New Roman" w:eastAsia="宋体" w:cs="Times New Roman"/>
          <w:b/>
          <w:color w:val="auto"/>
          <w:sz w:val="32"/>
          <w:szCs w:val="32"/>
          <w:highlight w:val="none"/>
          <w:u w:val="none"/>
        </w:rPr>
        <w:t>南洲水厂排泥水处理系统建设工程自控与安防工程</w:t>
      </w:r>
    </w:p>
    <w:p>
      <w:pPr>
        <w:spacing w:before="0" w:after="0" w:line="560" w:lineRule="exact"/>
        <w:jc w:val="center"/>
        <w:rPr>
          <w:b/>
          <w:color w:val="auto"/>
          <w:sz w:val="32"/>
          <w:szCs w:val="32"/>
          <w:highlight w:val="none"/>
        </w:rPr>
      </w:pPr>
      <w:r>
        <w:rPr>
          <w:rFonts w:hint="eastAsia" w:ascii="Times New Roman" w:hAnsi="Times New Roman"/>
          <w:b/>
          <w:color w:val="auto"/>
          <w:sz w:val="32"/>
          <w:szCs w:val="32"/>
          <w:highlight w:val="none"/>
        </w:rPr>
        <w:t>专职安全员</w:t>
      </w:r>
      <w:r>
        <w:rPr>
          <w:rFonts w:hint="eastAsia"/>
          <w:b/>
          <w:color w:val="auto"/>
          <w:sz w:val="32"/>
          <w:szCs w:val="32"/>
          <w:highlight w:val="none"/>
        </w:rPr>
        <w:t>简历</w:t>
      </w:r>
      <w:r>
        <w:rPr>
          <w:rFonts w:hint="eastAsia" w:ascii="Times New Roman" w:hAnsi="Times New Roman"/>
          <w:b/>
          <w:color w:val="auto"/>
          <w:sz w:val="32"/>
          <w:szCs w:val="32"/>
          <w:highlight w:val="none"/>
        </w:rPr>
        <w:t>表</w:t>
      </w:r>
    </w:p>
    <w:p>
      <w:pPr>
        <w:spacing w:line="400" w:lineRule="exact"/>
        <w:ind w:firstLine="420" w:firstLineChars="200"/>
        <w:rPr>
          <w:color w:val="auto"/>
          <w:highlight w:val="none"/>
        </w:rPr>
      </w:pP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916"/>
        <w:gridCol w:w="1329"/>
        <w:gridCol w:w="1314"/>
        <w:gridCol w:w="1264"/>
        <w:gridCol w:w="13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327" w:type="dxa"/>
            <w:noWrap w:val="0"/>
            <w:vAlign w:val="center"/>
          </w:tcPr>
          <w:p>
            <w:pPr>
              <w:pStyle w:val="29"/>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姓名</w:t>
            </w:r>
          </w:p>
        </w:tc>
        <w:tc>
          <w:tcPr>
            <w:tcW w:w="1916" w:type="dxa"/>
            <w:noWrap w:val="0"/>
            <w:vAlign w:val="center"/>
          </w:tcPr>
          <w:p>
            <w:pPr>
              <w:pStyle w:val="29"/>
              <w:adjustRightInd w:val="0"/>
              <w:snapToGrid w:val="0"/>
              <w:spacing w:before="0" w:after="0"/>
              <w:jc w:val="center"/>
              <w:rPr>
                <w:rFonts w:ascii="宋体" w:hAnsi="宋体" w:eastAsia="宋体"/>
                <w:color w:val="auto"/>
                <w:sz w:val="21"/>
                <w:szCs w:val="21"/>
                <w:highlight w:val="none"/>
              </w:rPr>
            </w:pPr>
          </w:p>
        </w:tc>
        <w:tc>
          <w:tcPr>
            <w:tcW w:w="1329" w:type="dxa"/>
            <w:noWrap w:val="0"/>
            <w:vAlign w:val="center"/>
          </w:tcPr>
          <w:p>
            <w:pPr>
              <w:pStyle w:val="29"/>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年龄</w:t>
            </w:r>
          </w:p>
        </w:tc>
        <w:tc>
          <w:tcPr>
            <w:tcW w:w="1314" w:type="dxa"/>
            <w:noWrap w:val="0"/>
            <w:vAlign w:val="center"/>
          </w:tcPr>
          <w:p>
            <w:pPr>
              <w:pStyle w:val="29"/>
              <w:adjustRightInd w:val="0"/>
              <w:snapToGrid w:val="0"/>
              <w:spacing w:before="0" w:after="0"/>
              <w:jc w:val="center"/>
              <w:rPr>
                <w:rFonts w:ascii="宋体" w:hAnsi="宋体" w:eastAsia="宋体"/>
                <w:color w:val="auto"/>
                <w:sz w:val="21"/>
                <w:szCs w:val="21"/>
                <w:highlight w:val="none"/>
              </w:rPr>
            </w:pPr>
          </w:p>
        </w:tc>
        <w:tc>
          <w:tcPr>
            <w:tcW w:w="1264" w:type="dxa"/>
            <w:noWrap w:val="0"/>
            <w:vAlign w:val="center"/>
          </w:tcPr>
          <w:p>
            <w:pPr>
              <w:pStyle w:val="29"/>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职称</w:t>
            </w:r>
          </w:p>
        </w:tc>
        <w:tc>
          <w:tcPr>
            <w:tcW w:w="1378" w:type="dxa"/>
            <w:noWrap w:val="0"/>
            <w:vAlign w:val="center"/>
          </w:tcPr>
          <w:p>
            <w:pPr>
              <w:pStyle w:val="29"/>
              <w:adjustRightInd w:val="0"/>
              <w:snapToGrid w:val="0"/>
              <w:spacing w:before="0" w:after="0"/>
              <w:jc w:val="center"/>
              <w:rPr>
                <w:rFonts w:ascii="宋体" w:hAnsi="宋体" w:eastAsia="宋体"/>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327" w:type="dxa"/>
            <w:noWrap w:val="0"/>
            <w:vAlign w:val="center"/>
          </w:tcPr>
          <w:p>
            <w:pPr>
              <w:pStyle w:val="29"/>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从事本工作时间</w:t>
            </w:r>
          </w:p>
        </w:tc>
        <w:tc>
          <w:tcPr>
            <w:tcW w:w="1916" w:type="dxa"/>
            <w:noWrap w:val="0"/>
            <w:vAlign w:val="center"/>
          </w:tcPr>
          <w:p>
            <w:pPr>
              <w:pStyle w:val="29"/>
              <w:adjustRightInd w:val="0"/>
              <w:snapToGrid w:val="0"/>
              <w:spacing w:before="0" w:after="0"/>
              <w:jc w:val="center"/>
              <w:rPr>
                <w:rFonts w:ascii="宋体" w:hAnsi="宋体" w:eastAsia="宋体"/>
                <w:color w:val="auto"/>
                <w:sz w:val="21"/>
                <w:szCs w:val="21"/>
                <w:highlight w:val="none"/>
              </w:rPr>
            </w:pPr>
          </w:p>
        </w:tc>
        <w:tc>
          <w:tcPr>
            <w:tcW w:w="1329" w:type="dxa"/>
            <w:noWrap w:val="0"/>
            <w:vAlign w:val="center"/>
          </w:tcPr>
          <w:p>
            <w:pPr>
              <w:pStyle w:val="29"/>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学历</w:t>
            </w:r>
          </w:p>
        </w:tc>
        <w:tc>
          <w:tcPr>
            <w:tcW w:w="1314" w:type="dxa"/>
            <w:noWrap w:val="0"/>
            <w:vAlign w:val="center"/>
          </w:tcPr>
          <w:p>
            <w:pPr>
              <w:pStyle w:val="29"/>
              <w:adjustRightInd w:val="0"/>
              <w:snapToGrid w:val="0"/>
              <w:spacing w:before="0" w:after="0"/>
              <w:jc w:val="center"/>
              <w:rPr>
                <w:rFonts w:ascii="宋体" w:hAnsi="宋体" w:eastAsia="宋体"/>
                <w:color w:val="auto"/>
                <w:sz w:val="21"/>
                <w:szCs w:val="21"/>
                <w:highlight w:val="none"/>
              </w:rPr>
            </w:pPr>
          </w:p>
        </w:tc>
        <w:tc>
          <w:tcPr>
            <w:tcW w:w="1264" w:type="dxa"/>
            <w:noWrap w:val="0"/>
            <w:vAlign w:val="center"/>
          </w:tcPr>
          <w:p>
            <w:pPr>
              <w:pStyle w:val="29"/>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专业</w:t>
            </w:r>
          </w:p>
        </w:tc>
        <w:tc>
          <w:tcPr>
            <w:tcW w:w="1378" w:type="dxa"/>
            <w:noWrap w:val="0"/>
            <w:vAlign w:val="center"/>
          </w:tcPr>
          <w:p>
            <w:pPr>
              <w:pStyle w:val="29"/>
              <w:adjustRightInd w:val="0"/>
              <w:snapToGrid w:val="0"/>
              <w:spacing w:before="0" w:after="0"/>
              <w:jc w:val="center"/>
              <w:rPr>
                <w:rFonts w:ascii="宋体" w:hAnsi="宋体" w:eastAsia="宋体"/>
                <w:color w:val="auto"/>
                <w:sz w:val="21"/>
                <w:szCs w:val="21"/>
                <w:highlight w:val="none"/>
              </w:rPr>
            </w:pPr>
          </w:p>
        </w:tc>
      </w:tr>
    </w:tbl>
    <w:p>
      <w:pPr>
        <w:widowControl/>
        <w:jc w:val="left"/>
        <w:rPr>
          <w:rFonts w:hint="eastAsia"/>
          <w:color w:val="auto"/>
          <w:highlight w:val="none"/>
          <w:u w:val="single"/>
          <w:lang w:eastAsia="zh-CN"/>
        </w:rPr>
        <w:sectPr>
          <w:pgSz w:w="11906" w:h="16838"/>
          <w:pgMar w:top="1440" w:right="1797" w:bottom="1440" w:left="1797" w:header="851" w:footer="992" w:gutter="0"/>
          <w:pgNumType w:fmt="decimal"/>
          <w:cols w:space="720" w:num="1"/>
          <w:docGrid w:linePitch="312" w:charSpace="0"/>
        </w:sectPr>
      </w:pPr>
      <w:r>
        <w:rPr>
          <w:rFonts w:hint="eastAsia"/>
          <w:color w:val="auto"/>
          <w:highlight w:val="none"/>
        </w:rPr>
        <w:t>注：应附安全生产考核合格证（C类）或建筑施工企业专职安全生产管理人员安全生产考核合格证书(C</w:t>
      </w:r>
      <w:r>
        <w:rPr>
          <w:rFonts w:hint="eastAsia"/>
          <w:color w:val="auto"/>
          <w:highlight w:val="none"/>
          <w:u w:val="single"/>
          <w:lang w:val="en-US" w:eastAsia="zh-CN"/>
        </w:rPr>
        <w:t>3</w:t>
      </w:r>
      <w:r>
        <w:rPr>
          <w:rFonts w:hint="eastAsia"/>
          <w:color w:val="auto"/>
          <w:highlight w:val="none"/>
        </w:rPr>
        <w:t>类)、</w:t>
      </w:r>
      <w:r>
        <w:rPr>
          <w:rFonts w:hint="eastAsia"/>
          <w:color w:val="auto"/>
          <w:highlight w:val="none"/>
          <w:u w:val="single"/>
        </w:rPr>
        <w:t>社保证明</w:t>
      </w:r>
      <w:r>
        <w:rPr>
          <w:rFonts w:hint="eastAsia"/>
          <w:color w:val="auto"/>
          <w:highlight w:val="none"/>
          <w:u w:val="single"/>
          <w:lang w:eastAsia="zh-CN"/>
        </w:rPr>
        <w:t>。</w:t>
      </w:r>
    </w:p>
    <w:bookmarkEnd w:id="1224"/>
    <w:bookmarkEnd w:id="1225"/>
    <w:bookmarkEnd w:id="1226"/>
    <w:bookmarkEnd w:id="1227"/>
    <w:bookmarkEnd w:id="1228"/>
    <w:bookmarkEnd w:id="1229"/>
    <w:bookmarkEnd w:id="1230"/>
    <w:bookmarkEnd w:id="1231"/>
    <w:bookmarkEnd w:id="1232"/>
    <w:p>
      <w:pPr>
        <w:spacing w:before="0" w:after="0" w:line="560" w:lineRule="exact"/>
        <w:jc w:val="center"/>
        <w:rPr>
          <w:b/>
          <w:color w:val="auto"/>
          <w:sz w:val="32"/>
          <w:szCs w:val="32"/>
          <w:highlight w:val="none"/>
        </w:rPr>
      </w:pPr>
      <w:r>
        <w:rPr>
          <w:rFonts w:hint="eastAsia" w:ascii="宋体" w:hAnsi="宋体"/>
          <w:b/>
          <w:color w:val="auto"/>
          <w:sz w:val="24"/>
          <w:szCs w:val="31"/>
          <w:highlight w:val="none"/>
          <w:lang w:val="en-US" w:eastAsia="zh-CN"/>
        </w:rPr>
        <w:t>②</w:t>
      </w:r>
      <w:r>
        <w:rPr>
          <w:rFonts w:hint="eastAsia" w:ascii="Times New Roman" w:hAnsi="Times New Roman" w:eastAsia="宋体" w:cs="Times New Roman"/>
          <w:b/>
          <w:color w:val="auto"/>
          <w:sz w:val="32"/>
          <w:szCs w:val="32"/>
          <w:highlight w:val="none"/>
          <w:u w:val="none"/>
        </w:rPr>
        <w:t>南洲水厂新增20万m³/d产能(常规工艺)建设工程自控与安防工程</w:t>
      </w:r>
      <w:r>
        <w:rPr>
          <w:rFonts w:hint="eastAsia" w:ascii="Times New Roman" w:hAnsi="Times New Roman"/>
          <w:b/>
          <w:color w:val="auto"/>
          <w:sz w:val="32"/>
          <w:szCs w:val="32"/>
          <w:highlight w:val="none"/>
        </w:rPr>
        <w:t>专职安全员</w:t>
      </w:r>
      <w:r>
        <w:rPr>
          <w:rFonts w:hint="eastAsia"/>
          <w:b/>
          <w:color w:val="auto"/>
          <w:sz w:val="32"/>
          <w:szCs w:val="32"/>
          <w:highlight w:val="none"/>
        </w:rPr>
        <w:t>简历</w:t>
      </w:r>
      <w:r>
        <w:rPr>
          <w:rFonts w:hint="eastAsia" w:ascii="Times New Roman" w:hAnsi="Times New Roman"/>
          <w:b/>
          <w:color w:val="auto"/>
          <w:sz w:val="32"/>
          <w:szCs w:val="32"/>
          <w:highlight w:val="none"/>
        </w:rPr>
        <w:t>表</w:t>
      </w:r>
    </w:p>
    <w:p>
      <w:pPr>
        <w:spacing w:line="400" w:lineRule="exact"/>
        <w:ind w:firstLine="420" w:firstLineChars="200"/>
        <w:rPr>
          <w:color w:val="auto"/>
          <w:highlight w:val="none"/>
        </w:rPr>
      </w:pP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916"/>
        <w:gridCol w:w="1329"/>
        <w:gridCol w:w="1314"/>
        <w:gridCol w:w="1264"/>
        <w:gridCol w:w="13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327" w:type="dxa"/>
            <w:noWrap w:val="0"/>
            <w:vAlign w:val="center"/>
          </w:tcPr>
          <w:p>
            <w:pPr>
              <w:pStyle w:val="29"/>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姓名</w:t>
            </w:r>
          </w:p>
        </w:tc>
        <w:tc>
          <w:tcPr>
            <w:tcW w:w="1916" w:type="dxa"/>
            <w:noWrap w:val="0"/>
            <w:vAlign w:val="center"/>
          </w:tcPr>
          <w:p>
            <w:pPr>
              <w:pStyle w:val="29"/>
              <w:adjustRightInd w:val="0"/>
              <w:snapToGrid w:val="0"/>
              <w:spacing w:before="0" w:after="0"/>
              <w:jc w:val="center"/>
              <w:rPr>
                <w:rFonts w:ascii="宋体" w:hAnsi="宋体" w:eastAsia="宋体"/>
                <w:color w:val="auto"/>
                <w:sz w:val="21"/>
                <w:szCs w:val="21"/>
                <w:highlight w:val="none"/>
              </w:rPr>
            </w:pPr>
          </w:p>
        </w:tc>
        <w:tc>
          <w:tcPr>
            <w:tcW w:w="1329" w:type="dxa"/>
            <w:noWrap w:val="0"/>
            <w:vAlign w:val="center"/>
          </w:tcPr>
          <w:p>
            <w:pPr>
              <w:pStyle w:val="29"/>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年龄</w:t>
            </w:r>
          </w:p>
        </w:tc>
        <w:tc>
          <w:tcPr>
            <w:tcW w:w="1314" w:type="dxa"/>
            <w:noWrap w:val="0"/>
            <w:vAlign w:val="center"/>
          </w:tcPr>
          <w:p>
            <w:pPr>
              <w:pStyle w:val="29"/>
              <w:adjustRightInd w:val="0"/>
              <w:snapToGrid w:val="0"/>
              <w:spacing w:before="0" w:after="0"/>
              <w:jc w:val="center"/>
              <w:rPr>
                <w:rFonts w:ascii="宋体" w:hAnsi="宋体" w:eastAsia="宋体"/>
                <w:color w:val="auto"/>
                <w:sz w:val="21"/>
                <w:szCs w:val="21"/>
                <w:highlight w:val="none"/>
              </w:rPr>
            </w:pPr>
          </w:p>
        </w:tc>
        <w:tc>
          <w:tcPr>
            <w:tcW w:w="1264" w:type="dxa"/>
            <w:noWrap w:val="0"/>
            <w:vAlign w:val="center"/>
          </w:tcPr>
          <w:p>
            <w:pPr>
              <w:pStyle w:val="29"/>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职称</w:t>
            </w:r>
          </w:p>
        </w:tc>
        <w:tc>
          <w:tcPr>
            <w:tcW w:w="1378" w:type="dxa"/>
            <w:noWrap w:val="0"/>
            <w:vAlign w:val="center"/>
          </w:tcPr>
          <w:p>
            <w:pPr>
              <w:pStyle w:val="29"/>
              <w:adjustRightInd w:val="0"/>
              <w:snapToGrid w:val="0"/>
              <w:spacing w:before="0" w:after="0"/>
              <w:jc w:val="center"/>
              <w:rPr>
                <w:rFonts w:ascii="宋体" w:hAnsi="宋体" w:eastAsia="宋体"/>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327" w:type="dxa"/>
            <w:noWrap w:val="0"/>
            <w:vAlign w:val="center"/>
          </w:tcPr>
          <w:p>
            <w:pPr>
              <w:pStyle w:val="29"/>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从事本工作时间</w:t>
            </w:r>
          </w:p>
        </w:tc>
        <w:tc>
          <w:tcPr>
            <w:tcW w:w="1916" w:type="dxa"/>
            <w:noWrap w:val="0"/>
            <w:vAlign w:val="center"/>
          </w:tcPr>
          <w:p>
            <w:pPr>
              <w:pStyle w:val="29"/>
              <w:adjustRightInd w:val="0"/>
              <w:snapToGrid w:val="0"/>
              <w:spacing w:before="0" w:after="0"/>
              <w:jc w:val="center"/>
              <w:rPr>
                <w:rFonts w:ascii="宋体" w:hAnsi="宋体" w:eastAsia="宋体"/>
                <w:color w:val="auto"/>
                <w:sz w:val="21"/>
                <w:szCs w:val="21"/>
                <w:highlight w:val="none"/>
              </w:rPr>
            </w:pPr>
          </w:p>
        </w:tc>
        <w:tc>
          <w:tcPr>
            <w:tcW w:w="1329" w:type="dxa"/>
            <w:noWrap w:val="0"/>
            <w:vAlign w:val="center"/>
          </w:tcPr>
          <w:p>
            <w:pPr>
              <w:pStyle w:val="29"/>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学历</w:t>
            </w:r>
          </w:p>
        </w:tc>
        <w:tc>
          <w:tcPr>
            <w:tcW w:w="1314" w:type="dxa"/>
            <w:noWrap w:val="0"/>
            <w:vAlign w:val="center"/>
          </w:tcPr>
          <w:p>
            <w:pPr>
              <w:pStyle w:val="29"/>
              <w:adjustRightInd w:val="0"/>
              <w:snapToGrid w:val="0"/>
              <w:spacing w:before="0" w:after="0"/>
              <w:jc w:val="center"/>
              <w:rPr>
                <w:rFonts w:ascii="宋体" w:hAnsi="宋体" w:eastAsia="宋体"/>
                <w:color w:val="auto"/>
                <w:sz w:val="21"/>
                <w:szCs w:val="21"/>
                <w:highlight w:val="none"/>
              </w:rPr>
            </w:pPr>
          </w:p>
        </w:tc>
        <w:tc>
          <w:tcPr>
            <w:tcW w:w="1264" w:type="dxa"/>
            <w:noWrap w:val="0"/>
            <w:vAlign w:val="center"/>
          </w:tcPr>
          <w:p>
            <w:pPr>
              <w:pStyle w:val="29"/>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专业</w:t>
            </w:r>
          </w:p>
        </w:tc>
        <w:tc>
          <w:tcPr>
            <w:tcW w:w="1378" w:type="dxa"/>
            <w:noWrap w:val="0"/>
            <w:vAlign w:val="center"/>
          </w:tcPr>
          <w:p>
            <w:pPr>
              <w:pStyle w:val="29"/>
              <w:adjustRightInd w:val="0"/>
              <w:snapToGrid w:val="0"/>
              <w:spacing w:before="0" w:after="0"/>
              <w:jc w:val="center"/>
              <w:rPr>
                <w:rFonts w:ascii="宋体" w:hAnsi="宋体" w:eastAsia="宋体"/>
                <w:color w:val="auto"/>
                <w:sz w:val="21"/>
                <w:szCs w:val="21"/>
                <w:highlight w:val="none"/>
              </w:rPr>
            </w:pPr>
          </w:p>
        </w:tc>
      </w:tr>
    </w:tbl>
    <w:p>
      <w:pPr>
        <w:widowControl/>
        <w:jc w:val="left"/>
        <w:rPr>
          <w:rFonts w:hint="eastAsia"/>
          <w:color w:val="auto"/>
          <w:highlight w:val="none"/>
          <w:u w:val="single"/>
          <w:lang w:eastAsia="zh-CN"/>
        </w:rPr>
        <w:sectPr>
          <w:pgSz w:w="11906" w:h="16838"/>
          <w:pgMar w:top="1440" w:right="1797" w:bottom="1440" w:left="1797" w:header="851" w:footer="992" w:gutter="0"/>
          <w:pgNumType w:fmt="decimal"/>
          <w:cols w:space="720" w:num="1"/>
          <w:docGrid w:linePitch="312" w:charSpace="0"/>
        </w:sectPr>
      </w:pPr>
      <w:r>
        <w:rPr>
          <w:rFonts w:hint="eastAsia"/>
          <w:color w:val="auto"/>
          <w:highlight w:val="none"/>
        </w:rPr>
        <w:t>注：应附安全生产考核合格证（C类）或建筑施工企业专职安全生产管理人员安全生产考核合格证书(C</w:t>
      </w:r>
      <w:r>
        <w:rPr>
          <w:rFonts w:hint="eastAsia"/>
          <w:color w:val="auto"/>
          <w:highlight w:val="none"/>
          <w:u w:val="single"/>
          <w:lang w:val="en-US" w:eastAsia="zh-CN"/>
        </w:rPr>
        <w:t>3</w:t>
      </w:r>
      <w:r>
        <w:rPr>
          <w:rFonts w:hint="eastAsia"/>
          <w:color w:val="auto"/>
          <w:highlight w:val="none"/>
        </w:rPr>
        <w:t>类)、</w:t>
      </w:r>
      <w:r>
        <w:rPr>
          <w:rFonts w:hint="eastAsia"/>
          <w:color w:val="auto"/>
          <w:highlight w:val="none"/>
          <w:u w:val="single"/>
        </w:rPr>
        <w:t>社保证明</w:t>
      </w:r>
      <w:r>
        <w:rPr>
          <w:rFonts w:hint="eastAsia"/>
          <w:color w:val="auto"/>
          <w:highlight w:val="none"/>
          <w:u w:val="single"/>
          <w:lang w:eastAsia="zh-CN"/>
        </w:rPr>
        <w:t>。</w:t>
      </w:r>
    </w:p>
    <w:p>
      <w:pPr>
        <w:widowControl/>
        <w:jc w:val="left"/>
        <w:rPr>
          <w:color w:val="auto"/>
          <w:highlight w:val="none"/>
        </w:rPr>
      </w:pPr>
    </w:p>
    <w:p>
      <w:pPr>
        <w:spacing w:line="360" w:lineRule="auto"/>
        <w:jc w:val="left"/>
        <w:outlineLvl w:val="3"/>
        <w:rPr>
          <w:rFonts w:ascii="宋体" w:hAnsi="宋体"/>
          <w:b/>
          <w:color w:val="auto"/>
          <w:sz w:val="24"/>
          <w:szCs w:val="31"/>
          <w:highlight w:val="none"/>
        </w:rPr>
      </w:pPr>
      <w:bookmarkStart w:id="1244" w:name="_Toc221949861"/>
      <w:bookmarkStart w:id="1245" w:name="_Toc222029457"/>
      <w:bookmarkStart w:id="1246" w:name="_Toc229474018"/>
      <w:bookmarkStart w:id="1247" w:name="_Toc227133884"/>
      <w:r>
        <w:rPr>
          <w:rFonts w:hint="eastAsia" w:ascii="宋体" w:hAnsi="宋体"/>
          <w:b/>
          <w:color w:val="auto"/>
          <w:sz w:val="24"/>
          <w:szCs w:val="31"/>
          <w:highlight w:val="none"/>
        </w:rPr>
        <w:t>（</w:t>
      </w:r>
      <w:r>
        <w:rPr>
          <w:rFonts w:hint="eastAsia" w:ascii="宋体" w:hAnsi="宋体"/>
          <w:b/>
          <w:color w:val="auto"/>
          <w:sz w:val="24"/>
          <w:szCs w:val="31"/>
          <w:highlight w:val="none"/>
          <w:lang w:val="en-US" w:eastAsia="zh-CN"/>
        </w:rPr>
        <w:t>五</w:t>
      </w:r>
      <w:r>
        <w:rPr>
          <w:rFonts w:hint="eastAsia" w:ascii="宋体" w:hAnsi="宋体"/>
          <w:b/>
          <w:color w:val="auto"/>
          <w:sz w:val="24"/>
          <w:szCs w:val="31"/>
          <w:highlight w:val="none"/>
        </w:rPr>
        <w:t>）近3年完成的类似项目情况表</w:t>
      </w:r>
      <w:bookmarkEnd w:id="1244"/>
      <w:bookmarkEnd w:id="1245"/>
      <w:bookmarkEnd w:id="1246"/>
      <w:bookmarkEnd w:id="1247"/>
    </w:p>
    <w:p>
      <w:pPr>
        <w:topLinePunct/>
        <w:spacing w:line="360" w:lineRule="auto"/>
        <w:jc w:val="center"/>
        <w:rPr>
          <w:color w:val="auto"/>
          <w:szCs w:val="21"/>
          <w:highlight w:val="none"/>
        </w:rPr>
      </w:pPr>
      <w:r>
        <w:rPr>
          <w:rFonts w:hint="eastAsia"/>
          <w:color w:val="auto"/>
          <w:szCs w:val="21"/>
          <w:highlight w:val="none"/>
        </w:rPr>
        <w:t>（近3年指</w:t>
      </w:r>
      <w:r>
        <w:rPr>
          <w:rFonts w:hint="eastAsia"/>
          <w:color w:val="auto"/>
          <w:szCs w:val="21"/>
          <w:highlight w:val="none"/>
          <w:u w:val="single"/>
        </w:rPr>
        <w:t xml:space="preserve">     </w:t>
      </w:r>
      <w:r>
        <w:rPr>
          <w:rFonts w:hint="eastAsia"/>
          <w:color w:val="auto"/>
          <w:szCs w:val="21"/>
          <w:highlight w:val="none"/>
        </w:rPr>
        <w:t>年</w:t>
      </w:r>
      <w:r>
        <w:rPr>
          <w:rFonts w:hint="eastAsia"/>
          <w:color w:val="auto"/>
          <w:szCs w:val="21"/>
          <w:highlight w:val="none"/>
          <w:u w:val="single"/>
        </w:rPr>
        <w:t xml:space="preserve">     </w:t>
      </w:r>
      <w:r>
        <w:rPr>
          <w:rFonts w:hint="eastAsia"/>
          <w:color w:val="auto"/>
          <w:szCs w:val="21"/>
          <w:highlight w:val="none"/>
        </w:rPr>
        <w:t>月</w:t>
      </w:r>
      <w:r>
        <w:rPr>
          <w:rFonts w:hint="eastAsia"/>
          <w:color w:val="auto"/>
          <w:szCs w:val="21"/>
          <w:highlight w:val="none"/>
          <w:lang w:val="en-US" w:eastAsia="zh-CN"/>
        </w:rPr>
        <w:t xml:space="preserve">   日至今</w:t>
      </w:r>
      <w:r>
        <w:rPr>
          <w:rFonts w:hint="eastAsia"/>
          <w:color w:val="auto"/>
          <w:szCs w:val="21"/>
          <w:highlight w:val="none"/>
        </w:rPr>
        <w:t>）</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6"/>
        <w:gridCol w:w="5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48" w:name="_Toc221949862"/>
            <w:r>
              <w:rPr>
                <w:rFonts w:hint="eastAsia" w:ascii="宋体" w:hAnsi="宋体"/>
                <w:color w:val="auto"/>
                <w:szCs w:val="21"/>
                <w:highlight w:val="none"/>
              </w:rPr>
              <w:t>合同</w:t>
            </w:r>
            <w:r>
              <w:rPr>
                <w:rFonts w:ascii="宋体" w:hAnsi="宋体"/>
                <w:color w:val="auto"/>
                <w:szCs w:val="21"/>
                <w:highlight w:val="none"/>
              </w:rPr>
              <w:t>名称</w:t>
            </w:r>
            <w:bookmarkEnd w:id="1248"/>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49" w:name="_Toc221949863"/>
            <w:r>
              <w:rPr>
                <w:rFonts w:hint="eastAsia" w:ascii="宋体" w:hAnsi="宋体"/>
                <w:color w:val="auto"/>
                <w:szCs w:val="21"/>
                <w:highlight w:val="none"/>
              </w:rPr>
              <w:t>合同</w:t>
            </w:r>
            <w:r>
              <w:rPr>
                <w:rFonts w:ascii="宋体" w:hAnsi="宋体"/>
                <w:color w:val="auto"/>
                <w:szCs w:val="21"/>
                <w:highlight w:val="none"/>
              </w:rPr>
              <w:t>项目所在地</w:t>
            </w:r>
            <w:bookmarkEnd w:id="1249"/>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50" w:name="_Toc221949864"/>
            <w:r>
              <w:rPr>
                <w:rFonts w:ascii="宋体" w:hAnsi="宋体"/>
                <w:color w:val="auto"/>
                <w:szCs w:val="21"/>
                <w:highlight w:val="none"/>
              </w:rPr>
              <w:t>发包人名称</w:t>
            </w:r>
            <w:bookmarkEnd w:id="1250"/>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51" w:name="_Toc221949865"/>
            <w:r>
              <w:rPr>
                <w:rFonts w:ascii="宋体" w:hAnsi="宋体"/>
                <w:color w:val="auto"/>
                <w:szCs w:val="21"/>
                <w:highlight w:val="none"/>
              </w:rPr>
              <w:t>发包人地址</w:t>
            </w:r>
            <w:bookmarkEnd w:id="1251"/>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52" w:name="_Toc221949866"/>
            <w:r>
              <w:rPr>
                <w:rFonts w:ascii="宋体" w:hAnsi="宋体"/>
                <w:color w:val="auto"/>
                <w:szCs w:val="21"/>
                <w:highlight w:val="none"/>
              </w:rPr>
              <w:t>发包人电话</w:t>
            </w:r>
            <w:bookmarkEnd w:id="1252"/>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53" w:name="_Toc221949867"/>
            <w:r>
              <w:rPr>
                <w:rFonts w:hint="eastAsia" w:ascii="宋体" w:hAnsi="宋体"/>
                <w:color w:val="auto"/>
                <w:szCs w:val="21"/>
                <w:highlight w:val="none"/>
              </w:rPr>
              <w:t>签约</w:t>
            </w:r>
            <w:r>
              <w:rPr>
                <w:rFonts w:ascii="宋体" w:hAnsi="宋体"/>
                <w:color w:val="auto"/>
                <w:szCs w:val="21"/>
                <w:highlight w:val="none"/>
              </w:rPr>
              <w:t>合同价</w:t>
            </w:r>
            <w:bookmarkEnd w:id="1253"/>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54" w:name="_Toc221949868"/>
            <w:r>
              <w:rPr>
                <w:rFonts w:ascii="宋体" w:hAnsi="宋体"/>
                <w:color w:val="auto"/>
                <w:szCs w:val="21"/>
                <w:highlight w:val="none"/>
              </w:rPr>
              <w:t>开工日期</w:t>
            </w:r>
            <w:bookmarkEnd w:id="1254"/>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55" w:name="_Toc221949869"/>
            <w:r>
              <w:rPr>
                <w:rFonts w:hint="eastAsia" w:ascii="宋体" w:hAnsi="宋体"/>
                <w:color w:val="auto"/>
                <w:szCs w:val="21"/>
                <w:highlight w:val="none"/>
              </w:rPr>
              <w:t>完工</w:t>
            </w:r>
            <w:r>
              <w:rPr>
                <w:rFonts w:ascii="宋体" w:hAnsi="宋体"/>
                <w:color w:val="auto"/>
                <w:szCs w:val="21"/>
                <w:highlight w:val="none"/>
              </w:rPr>
              <w:t>日期</w:t>
            </w:r>
            <w:bookmarkEnd w:id="1255"/>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56" w:name="_Toc221949870"/>
            <w:r>
              <w:rPr>
                <w:rFonts w:ascii="宋体" w:hAnsi="宋体"/>
                <w:color w:val="auto"/>
                <w:szCs w:val="21"/>
                <w:highlight w:val="none"/>
              </w:rPr>
              <w:t>承担的工作</w:t>
            </w:r>
            <w:bookmarkEnd w:id="1256"/>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57" w:name="_Toc221949871"/>
            <w:r>
              <w:rPr>
                <w:rFonts w:ascii="宋体" w:hAnsi="宋体"/>
                <w:color w:val="auto"/>
                <w:szCs w:val="21"/>
                <w:highlight w:val="none"/>
              </w:rPr>
              <w:t>工程质量</w:t>
            </w:r>
            <w:bookmarkEnd w:id="1257"/>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r>
              <w:rPr>
                <w:rFonts w:ascii="宋体" w:hAnsi="宋体"/>
                <w:color w:val="auto"/>
                <w:szCs w:val="21"/>
                <w:highlight w:val="none"/>
              </w:rPr>
              <w:t>项目负责人</w:t>
            </w:r>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58" w:name="_Toc221949873"/>
            <w:r>
              <w:rPr>
                <w:rFonts w:ascii="宋体" w:hAnsi="宋体"/>
                <w:color w:val="auto"/>
                <w:szCs w:val="21"/>
                <w:highlight w:val="none"/>
              </w:rPr>
              <w:t>技术负责人</w:t>
            </w:r>
            <w:bookmarkEnd w:id="1258"/>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59" w:name="_Toc221949874"/>
            <w:r>
              <w:rPr>
                <w:rFonts w:hint="eastAsia" w:ascii="宋体" w:hAnsi="宋体"/>
                <w:color w:val="auto"/>
                <w:szCs w:val="21"/>
                <w:highlight w:val="none"/>
              </w:rPr>
              <w:t>监理人以</w:t>
            </w:r>
            <w:r>
              <w:rPr>
                <w:rFonts w:ascii="宋体" w:hAnsi="宋体"/>
                <w:color w:val="auto"/>
                <w:szCs w:val="21"/>
                <w:highlight w:val="none"/>
              </w:rPr>
              <w:t>及电话</w:t>
            </w:r>
            <w:bookmarkEnd w:id="1259"/>
          </w:p>
        </w:tc>
        <w:tc>
          <w:tcPr>
            <w:tcW w:w="5182" w:type="dxa"/>
            <w:noWrap w:val="0"/>
            <w:vAlign w:val="center"/>
          </w:tcPr>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60" w:name="_Toc221949875"/>
            <w:r>
              <w:rPr>
                <w:rFonts w:hint="eastAsia" w:ascii="宋体" w:hAnsi="宋体"/>
                <w:color w:val="auto"/>
                <w:szCs w:val="21"/>
                <w:highlight w:val="none"/>
              </w:rPr>
              <w:t>合同</w:t>
            </w:r>
            <w:r>
              <w:rPr>
                <w:rFonts w:ascii="宋体" w:hAnsi="宋体"/>
                <w:color w:val="auto"/>
                <w:szCs w:val="21"/>
                <w:highlight w:val="none"/>
              </w:rPr>
              <w:t>项目描述</w:t>
            </w:r>
            <w:bookmarkEnd w:id="1260"/>
          </w:p>
        </w:tc>
        <w:tc>
          <w:tcPr>
            <w:tcW w:w="5182" w:type="dxa"/>
            <w:noWrap w:val="0"/>
            <w:vAlign w:val="center"/>
          </w:tcPr>
          <w:p>
            <w:pPr>
              <w:topLinePunct/>
              <w:spacing w:line="360" w:lineRule="auto"/>
              <w:jc w:val="center"/>
              <w:rPr>
                <w:rFonts w:ascii="宋体" w:hAnsi="宋体"/>
                <w:color w:val="auto"/>
                <w:szCs w:val="21"/>
                <w:highlight w:val="none"/>
              </w:rPr>
            </w:pPr>
          </w:p>
          <w:p>
            <w:pPr>
              <w:topLinePunct/>
              <w:spacing w:line="360" w:lineRule="auto"/>
              <w:jc w:val="center"/>
              <w:rPr>
                <w:rFonts w:ascii="宋体" w:hAnsi="宋体"/>
                <w:color w:val="auto"/>
                <w:szCs w:val="21"/>
                <w:highlight w:val="none"/>
              </w:rPr>
            </w:pPr>
          </w:p>
          <w:p>
            <w:pPr>
              <w:topLinePunct/>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pPr>
              <w:topLinePunct/>
              <w:spacing w:line="360" w:lineRule="auto"/>
              <w:jc w:val="center"/>
              <w:rPr>
                <w:rFonts w:ascii="宋体" w:hAnsi="宋体"/>
                <w:color w:val="auto"/>
                <w:szCs w:val="21"/>
                <w:highlight w:val="none"/>
              </w:rPr>
            </w:pPr>
            <w:bookmarkStart w:id="1261" w:name="_Toc221949876"/>
            <w:r>
              <w:rPr>
                <w:rFonts w:ascii="宋体" w:hAnsi="宋体"/>
                <w:color w:val="auto"/>
                <w:szCs w:val="21"/>
                <w:highlight w:val="none"/>
              </w:rPr>
              <w:t>备注</w:t>
            </w:r>
            <w:bookmarkEnd w:id="1261"/>
          </w:p>
        </w:tc>
        <w:tc>
          <w:tcPr>
            <w:tcW w:w="5182" w:type="dxa"/>
            <w:noWrap w:val="0"/>
            <w:vAlign w:val="center"/>
          </w:tcPr>
          <w:p>
            <w:pPr>
              <w:topLinePunct/>
              <w:spacing w:line="360" w:lineRule="auto"/>
              <w:jc w:val="center"/>
              <w:rPr>
                <w:rFonts w:ascii="宋体" w:hAnsi="宋体"/>
                <w:color w:val="auto"/>
                <w:szCs w:val="21"/>
                <w:highlight w:val="none"/>
              </w:rPr>
            </w:pPr>
            <w:r>
              <w:rPr>
                <w:rFonts w:hint="eastAsia" w:ascii="宋体" w:hAnsi="宋体"/>
                <w:color w:val="auto"/>
                <w:szCs w:val="21"/>
                <w:highlight w:val="none"/>
              </w:rPr>
              <w:t>合同项目描述内容至少包括项目概况、本合同在项目中的地位（部位、合同价格所占比例）和合同工程完工验收鉴定书有关验收结论</w:t>
            </w:r>
          </w:p>
        </w:tc>
      </w:tr>
    </w:tbl>
    <w:p>
      <w:pPr>
        <w:spacing w:line="400" w:lineRule="exact"/>
        <w:rPr>
          <w:color w:val="auto"/>
          <w:highlight w:val="none"/>
        </w:rPr>
      </w:pPr>
      <w:r>
        <w:rPr>
          <w:rFonts w:hint="eastAsia"/>
          <w:color w:val="auto"/>
          <w:highlight w:val="none"/>
        </w:rPr>
        <w:t>注：</w:t>
      </w:r>
      <w:r>
        <w:rPr>
          <w:rFonts w:hint="eastAsia"/>
          <w:color w:val="auto"/>
          <w:highlight w:val="none"/>
          <w:u w:val="single"/>
          <w:lang w:val="en-US" w:eastAsia="zh-CN"/>
        </w:rPr>
        <w:t>需</w:t>
      </w:r>
      <w:r>
        <w:rPr>
          <w:rFonts w:hint="eastAsia" w:ascii="Times New Roman" w:hAnsi="Times New Roman" w:eastAsia="宋体" w:cs="Times New Roman"/>
          <w:color w:val="auto"/>
          <w:highlight w:val="none"/>
          <w:u w:val="single"/>
          <w:lang w:val="en-US" w:eastAsia="zh-CN"/>
        </w:rPr>
        <w:t>根据</w:t>
      </w:r>
      <w:r>
        <w:rPr>
          <w:rFonts w:hint="eastAsia" w:ascii="Times New Roman" w:hAnsi="Times New Roman" w:eastAsia="宋体" w:cs="Times New Roman"/>
          <w:b w:val="0"/>
          <w:color w:val="auto"/>
          <w:highlight w:val="none"/>
          <w:u w:val="single"/>
        </w:rPr>
        <w:t>投标人资格要求</w:t>
      </w:r>
      <w:r>
        <w:rPr>
          <w:rFonts w:hint="eastAsia" w:ascii="Times New Roman" w:hAnsi="Times New Roman" w:eastAsia="宋体" w:cs="Times New Roman"/>
          <w:b w:val="0"/>
          <w:color w:val="auto"/>
          <w:highlight w:val="none"/>
          <w:u w:val="single"/>
          <w:lang w:val="en-US" w:eastAsia="zh-CN"/>
        </w:rPr>
        <w:t>及</w:t>
      </w:r>
      <w:r>
        <w:rPr>
          <w:rFonts w:hint="eastAsia" w:ascii="Times New Roman" w:hAnsi="Times New Roman" w:eastAsia="宋体" w:cs="Times New Roman"/>
          <w:b w:val="0"/>
          <w:bCs w:val="0"/>
          <w:color w:val="auto"/>
          <w:highlight w:val="none"/>
          <w:u w:val="single"/>
        </w:rPr>
        <w:t>评分因素</w:t>
      </w:r>
      <w:r>
        <w:rPr>
          <w:rFonts w:hint="eastAsia" w:ascii="Times New Roman" w:hAnsi="Times New Roman" w:eastAsia="宋体" w:cs="Times New Roman"/>
          <w:b w:val="0"/>
          <w:bCs w:val="0"/>
          <w:color w:val="auto"/>
          <w:highlight w:val="none"/>
          <w:u w:val="single"/>
          <w:lang w:val="en-US" w:eastAsia="zh-CN"/>
        </w:rPr>
        <w:t>要求</w:t>
      </w:r>
      <w:r>
        <w:rPr>
          <w:rFonts w:hint="eastAsia" w:ascii="Times New Roman" w:hAnsi="Times New Roman" w:eastAsia="宋体" w:cs="Times New Roman"/>
          <w:color w:val="auto"/>
          <w:highlight w:val="none"/>
          <w:u w:val="single"/>
          <w:lang w:val="en-US" w:eastAsia="zh-CN"/>
        </w:rPr>
        <w:t>提供</w:t>
      </w:r>
      <w:r>
        <w:rPr>
          <w:rFonts w:hint="eastAsia" w:ascii="Times New Roman" w:hAnsi="Times New Roman" w:eastAsia="宋体" w:cs="Times New Roman"/>
          <w:color w:val="auto"/>
          <w:highlight w:val="none"/>
          <w:u w:val="single"/>
        </w:rPr>
        <w:t>相</w:t>
      </w:r>
      <w:r>
        <w:rPr>
          <w:rFonts w:hint="eastAsia"/>
          <w:color w:val="auto"/>
          <w:highlight w:val="none"/>
          <w:u w:val="single"/>
        </w:rPr>
        <w:t>关材料</w:t>
      </w:r>
      <w:r>
        <w:rPr>
          <w:rFonts w:hint="eastAsia" w:ascii="宋体" w:hAnsi="宋体"/>
          <w:bCs/>
          <w:color w:val="auto"/>
          <w:szCs w:val="21"/>
          <w:highlight w:val="none"/>
          <w:u w:val="single"/>
        </w:rPr>
        <w:t>的扫描件</w:t>
      </w:r>
      <w:r>
        <w:rPr>
          <w:rFonts w:hint="eastAsia" w:ascii="宋体" w:hAnsi="宋体"/>
          <w:bCs/>
          <w:color w:val="auto"/>
          <w:szCs w:val="21"/>
          <w:highlight w:val="none"/>
          <w:u w:val="single"/>
          <w:lang w:eastAsia="zh-CN"/>
        </w:rPr>
        <w:t>。</w:t>
      </w:r>
    </w:p>
    <w:p>
      <w:pPr>
        <w:rPr>
          <w:rFonts w:hint="eastAsia"/>
          <w:color w:val="auto"/>
          <w:highlight w:val="none"/>
        </w:rPr>
      </w:pPr>
      <w:bookmarkStart w:id="1262" w:name="_Toc229474023"/>
      <w:bookmarkStart w:id="1263" w:name="_Toc221949894"/>
      <w:bookmarkStart w:id="1264" w:name="_Toc152047271"/>
      <w:bookmarkStart w:id="1265" w:name="_Toc179715764"/>
      <w:bookmarkStart w:id="1266" w:name="_Toc227133887"/>
      <w:bookmarkStart w:id="1267" w:name="_Toc222029460"/>
    </w:p>
    <w:p>
      <w:pPr>
        <w:pageBreakBefore/>
        <w:rPr>
          <w:b/>
          <w:color w:val="auto"/>
          <w:sz w:val="24"/>
          <w:szCs w:val="24"/>
          <w:highlight w:val="none"/>
        </w:rPr>
      </w:pPr>
      <w:r>
        <w:rPr>
          <w:rFonts w:hint="eastAsia"/>
          <w:b/>
          <w:color w:val="auto"/>
          <w:sz w:val="24"/>
          <w:szCs w:val="24"/>
          <w:highlight w:val="none"/>
        </w:rPr>
        <w:t>（</w:t>
      </w:r>
      <w:r>
        <w:rPr>
          <w:rFonts w:hint="eastAsia"/>
          <w:b/>
          <w:color w:val="auto"/>
          <w:sz w:val="24"/>
          <w:szCs w:val="24"/>
          <w:highlight w:val="none"/>
          <w:lang w:eastAsia="zh-CN"/>
        </w:rPr>
        <w:t>五</w:t>
      </w:r>
      <w:r>
        <w:rPr>
          <w:rFonts w:hint="eastAsia"/>
          <w:b/>
          <w:color w:val="auto"/>
          <w:sz w:val="24"/>
          <w:szCs w:val="24"/>
          <w:highlight w:val="none"/>
        </w:rPr>
        <w:t>）投标人廉洁承诺书（格式）</w:t>
      </w:r>
    </w:p>
    <w:p>
      <w:pPr>
        <w:pStyle w:val="16"/>
        <w:spacing w:before="157" w:beforeLines="50" w:beforeAutospacing="0" w:after="157" w:afterLines="50" w:afterAutospacing="0" w:line="360" w:lineRule="auto"/>
        <w:ind w:firstLine="482"/>
        <w:jc w:val="center"/>
        <w:rPr>
          <w:rFonts w:hint="eastAsia" w:ascii="宋体" w:hAnsi="宋体" w:cs="宋体"/>
          <w:b/>
          <w:bCs/>
          <w:color w:val="auto"/>
          <w:sz w:val="36"/>
          <w:szCs w:val="36"/>
          <w:highlight w:val="none"/>
        </w:rPr>
      </w:pPr>
      <w:r>
        <w:rPr>
          <w:rFonts w:hint="eastAsia" w:ascii="宋体" w:hAnsi="宋体" w:eastAsia="宋体" w:cs="宋体"/>
          <w:b/>
          <w:bCs/>
          <w:color w:val="auto"/>
          <w:sz w:val="36"/>
          <w:szCs w:val="36"/>
          <w:highlight w:val="none"/>
        </w:rPr>
        <w:t>投标人廉洁承诺书</w:t>
      </w:r>
    </w:p>
    <w:p>
      <w:pPr>
        <w:pStyle w:val="16"/>
        <w:shd w:val="clear" w:color="auto" w:fill="FFFFFF"/>
        <w:spacing w:before="0" w:beforeAutospacing="0" w:after="0" w:afterAutospacing="0" w:line="360" w:lineRule="auto"/>
        <w:ind w:firstLine="0"/>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广州市水务局、本招标项目招标人及招标监管机构：</w:t>
      </w:r>
    </w:p>
    <w:p>
      <w:pPr>
        <w:pStyle w:val="16"/>
        <w:shd w:val="clear" w:color="auto" w:fill="FFFFFF"/>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本公司参加了</w:t>
      </w:r>
      <w:r>
        <w:rPr>
          <w:rFonts w:hint="eastAsia" w:ascii="宋体" w:hAnsi="宋体" w:eastAsia="宋体" w:cs="宋体"/>
          <w:color w:val="auto"/>
          <w:sz w:val="24"/>
          <w:szCs w:val="24"/>
          <w:highlight w:val="none"/>
          <w:u w:val="single"/>
        </w:rPr>
        <w:t xml:space="preserve">   （项目名称/标段名称）    </w:t>
      </w:r>
      <w:r>
        <w:rPr>
          <w:rFonts w:hint="eastAsia" w:ascii="宋体" w:hAnsi="宋体" w:eastAsia="宋体" w:cs="宋体"/>
          <w:color w:val="auto"/>
          <w:sz w:val="24"/>
          <w:szCs w:val="24"/>
          <w:highlight w:val="none"/>
        </w:rPr>
        <w:t>投标， 为确保招标工作的公平、公正、公开、有序进行，我们保证遵守《中华人民共和国招标投标法》、《中华人民共和国招标投标法实施条例》、《广东省实施&lt;中华人民共和国招标投标法&gt;办法》等法律法规，特承诺如下事项：</w:t>
      </w:r>
    </w:p>
    <w:p>
      <w:pPr>
        <w:pStyle w:val="16"/>
        <w:shd w:val="clear" w:color="auto" w:fill="FFFFFF"/>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一、自觉遵守国家有关法律法规及廉洁规定。</w:t>
      </w:r>
    </w:p>
    <w:p>
      <w:pPr>
        <w:pStyle w:val="16"/>
        <w:shd w:val="clear" w:color="auto" w:fill="FFFFFF"/>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二、不与招标单位工作人员串通投标，损害国家利益、企业利益以及他人的合法利益；</w:t>
      </w:r>
    </w:p>
    <w:p>
      <w:pPr>
        <w:pStyle w:val="16"/>
        <w:shd w:val="clear" w:color="auto" w:fill="FFFFFF"/>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三、不与其他单位围标、串标，不出让投标资格，不向招标人或评标委员会成员行贿。</w:t>
      </w:r>
    </w:p>
    <w:p>
      <w:pPr>
        <w:pStyle w:val="16"/>
        <w:shd w:val="clear" w:color="auto" w:fill="FFFFFF"/>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四、不以任何名义向参与招标、评标工作的有关人员提供高消费宴请及娱乐活动和赠送回扣、红包、礼金、购物卡、有价证券、贵重物品和好处费、感谢费等； </w:t>
      </w:r>
    </w:p>
    <w:p>
      <w:pPr>
        <w:pStyle w:val="16"/>
        <w:shd w:val="clear" w:color="auto" w:fill="FFFFFF"/>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五、不以任何名义为参与招标、评标工作的有关人员装修住房、婚丧嫁取、配偶子女的工作安排以及境内外旅游等提供方便；</w:t>
      </w:r>
    </w:p>
    <w:p>
      <w:pPr>
        <w:pStyle w:val="16"/>
        <w:shd w:val="clear" w:color="auto" w:fill="FFFFFF"/>
        <w:ind w:firstLine="482"/>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六、不以谋取非正当利益为目的，擅自与参与招标、评标工作的有关人员就业务问题进行私下商谈或者达成利益默契</w:t>
      </w:r>
      <w:r>
        <w:rPr>
          <w:rFonts w:hint="eastAsia" w:ascii="宋体" w:hAnsi="宋体" w:eastAsia="宋体" w:cs="宋体"/>
          <w:color w:val="auto"/>
          <w:sz w:val="24"/>
          <w:szCs w:val="24"/>
          <w:highlight w:val="none"/>
          <w:lang w:eastAsia="zh-CN"/>
        </w:rPr>
        <w:t>。</w:t>
      </w:r>
    </w:p>
    <w:p>
      <w:pPr>
        <w:pStyle w:val="16"/>
        <w:shd w:val="clear" w:color="auto" w:fill="FFFFFF"/>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本公司违反上述承诺，或本承诺陈述与事实不符，经查实，本公司愿意接受公开通报，承担由此带来的法律后果。</w:t>
      </w:r>
    </w:p>
    <w:p>
      <w:pPr>
        <w:pStyle w:val="16"/>
        <w:shd w:val="clear" w:color="auto" w:fill="FFFFFF"/>
        <w:spacing w:before="0" w:beforeAutospacing="0" w:after="0" w:afterAutospacing="0" w:line="360" w:lineRule="auto"/>
        <w:ind w:firstLine="482"/>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特此承诺</w:t>
      </w:r>
      <w:r>
        <w:rPr>
          <w:rFonts w:hint="eastAsia" w:ascii="宋体" w:hAnsi="宋体" w:eastAsia="宋体" w:cs="宋体"/>
          <w:color w:val="auto"/>
          <w:sz w:val="24"/>
          <w:szCs w:val="24"/>
          <w:highlight w:val="none"/>
          <w:lang w:eastAsia="zh-CN"/>
        </w:rPr>
        <w:t>。</w:t>
      </w:r>
    </w:p>
    <w:p>
      <w:pPr>
        <w:pStyle w:val="16"/>
        <w:shd w:val="clear" w:color="auto" w:fill="FFFFFF"/>
        <w:spacing w:before="0" w:beforeAutospacing="0" w:after="0" w:afterAutospacing="0" w:line="360" w:lineRule="auto"/>
        <w:ind w:right="1455" w:firstLine="2880"/>
        <w:jc w:val="right"/>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承诺企业（</w:t>
      </w:r>
      <w:r>
        <w:rPr>
          <w:rFonts w:hint="eastAsia" w:ascii="宋体" w:hAnsi="宋体" w:cs="宋体"/>
          <w:color w:val="auto"/>
          <w:sz w:val="24"/>
          <w:szCs w:val="24"/>
          <w:highlight w:val="none"/>
          <w:lang w:eastAsia="zh-CN"/>
        </w:rPr>
        <w:t>盖</w:t>
      </w:r>
      <w:r>
        <w:rPr>
          <w:rFonts w:hint="eastAsia" w:ascii="宋体" w:hAnsi="宋体" w:eastAsia="宋体" w:cs="宋体"/>
          <w:color w:val="auto"/>
          <w:sz w:val="24"/>
          <w:szCs w:val="24"/>
          <w:highlight w:val="none"/>
        </w:rPr>
        <w:t>单位章）：      </w:t>
      </w:r>
    </w:p>
    <w:p>
      <w:pPr>
        <w:pStyle w:val="16"/>
        <w:shd w:val="clear" w:color="auto" w:fill="FFFFFF"/>
        <w:spacing w:before="0" w:beforeAutospacing="0" w:after="0" w:afterAutospacing="0" w:line="360" w:lineRule="auto"/>
        <w:ind w:firstLine="480"/>
        <w:jc w:val="right"/>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法定代表人签字：</w:t>
      </w:r>
      <w:r>
        <w:rPr>
          <w:rFonts w:hint="eastAsia" w:ascii="宋体" w:hAnsi="宋体" w:cs="宋体"/>
          <w:color w:val="auto"/>
          <w:sz w:val="24"/>
          <w:szCs w:val="24"/>
          <w:highlight w:val="none"/>
        </w:rPr>
        <w:t xml:space="preserve">           </w:t>
      </w:r>
    </w:p>
    <w:p>
      <w:pPr>
        <w:pStyle w:val="16"/>
        <w:shd w:val="clear" w:color="auto" w:fill="FFFFFF"/>
        <w:spacing w:before="0" w:beforeAutospacing="0" w:after="0" w:afterAutospacing="0" w:line="360" w:lineRule="auto"/>
        <w:ind w:firstLine="480"/>
        <w:jc w:val="right"/>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年   月   日</w:t>
      </w:r>
    </w:p>
    <w:p>
      <w:pPr>
        <w:spacing w:line="240" w:lineRule="auto"/>
        <w:jc w:val="left"/>
        <w:outlineLvl w:val="9"/>
        <w:rPr>
          <w:color w:val="auto"/>
          <w:highlight w:val="none"/>
        </w:rPr>
      </w:pPr>
      <w:r>
        <w:rPr>
          <w:color w:val="auto"/>
          <w:highlight w:val="none"/>
        </w:rPr>
        <w:t xml:space="preserve"> </w:t>
      </w:r>
      <w:r>
        <w:rPr>
          <w:color w:val="auto"/>
          <w:highlight w:val="none"/>
        </w:rPr>
        <w:br w:type="page"/>
      </w:r>
      <w:bookmarkEnd w:id="1262"/>
      <w:bookmarkStart w:id="1268" w:name="_Toc229474024"/>
    </w:p>
    <w:p>
      <w:pPr>
        <w:spacing w:line="360" w:lineRule="auto"/>
        <w:jc w:val="center"/>
        <w:outlineLvl w:val="2"/>
        <w:rPr>
          <w:rFonts w:ascii="黑体" w:hAnsi="黑体" w:eastAsia="黑体"/>
          <w:color w:val="auto"/>
          <w:sz w:val="28"/>
          <w:szCs w:val="27"/>
          <w:highlight w:val="none"/>
        </w:rPr>
      </w:pPr>
      <w:bookmarkStart w:id="1269" w:name="_Toc17454961"/>
      <w:bookmarkStart w:id="1270" w:name="_Toc17452703"/>
      <w:bookmarkStart w:id="1271" w:name="_Toc17451662"/>
      <w:bookmarkStart w:id="1272" w:name="_Toc17451617"/>
      <w:bookmarkStart w:id="1273" w:name="_Toc17556915"/>
      <w:bookmarkStart w:id="1274" w:name="_Toc17451140"/>
      <w:bookmarkStart w:id="1275" w:name="_Toc17180"/>
      <w:bookmarkStart w:id="1276" w:name="_Toc17454910"/>
      <w:r>
        <w:rPr>
          <w:rFonts w:hint="eastAsia" w:ascii="黑体" w:hAnsi="黑体" w:eastAsia="黑体"/>
          <w:color w:val="auto"/>
          <w:sz w:val="28"/>
          <w:szCs w:val="27"/>
          <w:highlight w:val="none"/>
        </w:rPr>
        <w:t>十、</w:t>
      </w:r>
      <w:bookmarkEnd w:id="1263"/>
      <w:bookmarkEnd w:id="1264"/>
      <w:bookmarkEnd w:id="1265"/>
      <w:bookmarkEnd w:id="1266"/>
      <w:bookmarkEnd w:id="1267"/>
      <w:bookmarkEnd w:id="1268"/>
      <w:r>
        <w:rPr>
          <w:rFonts w:hint="eastAsia" w:ascii="黑体" w:hAnsi="黑体" w:eastAsia="黑体"/>
          <w:color w:val="auto"/>
          <w:sz w:val="28"/>
          <w:szCs w:val="27"/>
          <w:highlight w:val="none"/>
        </w:rPr>
        <w:t>投标人须知前附表规定的其他材料</w:t>
      </w:r>
      <w:bookmarkEnd w:id="1269"/>
      <w:bookmarkEnd w:id="1270"/>
      <w:bookmarkEnd w:id="1271"/>
      <w:bookmarkEnd w:id="1272"/>
      <w:bookmarkEnd w:id="1273"/>
      <w:bookmarkEnd w:id="1274"/>
      <w:bookmarkEnd w:id="1275"/>
      <w:bookmarkEnd w:id="1276"/>
    </w:p>
    <w:p>
      <w:pPr>
        <w:spacing w:line="360" w:lineRule="auto"/>
        <w:rPr>
          <w:rFonts w:hint="eastAsia" w:ascii="宋体" w:hAnsi="宋体"/>
          <w:color w:val="auto"/>
          <w:sz w:val="24"/>
          <w:highlight w:val="none"/>
        </w:rPr>
      </w:pPr>
      <w:r>
        <w:rPr>
          <w:rFonts w:hint="eastAsia" w:ascii="宋体" w:hAnsi="宋体"/>
          <w:color w:val="auto"/>
          <w:sz w:val="24"/>
          <w:highlight w:val="none"/>
        </w:rPr>
        <w:t>（如投标报价低于工程成本警示价的，提供投标报价不低于成本价的证明材料。）</w:t>
      </w:r>
    </w:p>
    <w:p>
      <w:pPr>
        <w:spacing w:line="600" w:lineRule="exact"/>
        <w:ind w:firstLine="0"/>
        <w:jc w:val="left"/>
        <w:rPr>
          <w:rFonts w:hint="eastAsia" w:ascii="Times New Roman"/>
          <w:bCs/>
          <w:color w:val="auto"/>
          <w:kern w:val="0"/>
          <w:sz w:val="24"/>
          <w:szCs w:val="24"/>
          <w:highlight w:val="none"/>
          <w:lang w:val="en-US" w:eastAsia="zh-CN"/>
        </w:rPr>
      </w:pPr>
      <w:bookmarkStart w:id="1277" w:name="_Toc266093553"/>
      <w:bookmarkStart w:id="1278" w:name="_Toc253143224"/>
      <w:bookmarkStart w:id="1279" w:name="_Toc266881405"/>
      <w:bookmarkStart w:id="1280" w:name="_Toc245024005"/>
      <w:bookmarkStart w:id="1281" w:name="_Toc416358163"/>
      <w:bookmarkStart w:id="1282" w:name="_Toc249845977"/>
      <w:bookmarkStart w:id="1283" w:name="_Toc416357992"/>
      <w:bookmarkStart w:id="1284" w:name="_Toc249846232"/>
      <w:r>
        <w:rPr>
          <w:rFonts w:hint="eastAsia" w:ascii="Times New Roman"/>
          <w:bCs/>
          <w:color w:val="auto"/>
          <w:kern w:val="0"/>
          <w:sz w:val="24"/>
          <w:szCs w:val="24"/>
          <w:highlight w:val="none"/>
          <w:lang w:val="en-US" w:eastAsia="zh-CN"/>
        </w:rPr>
        <w:t>附件1</w:t>
      </w:r>
    </w:p>
    <w:p>
      <w:pPr>
        <w:tabs>
          <w:tab w:val="left" w:pos="720"/>
        </w:tabs>
        <w:snapToGrid w:val="0"/>
        <w:spacing w:line="360" w:lineRule="auto"/>
        <w:jc w:val="center"/>
        <w:rPr>
          <w:rFonts w:hint="eastAsia" w:ascii="Times New Roman" w:hAnsi="Times New Roman" w:eastAsia="宋体" w:cs="Times New Roman"/>
          <w:b/>
          <w:color w:val="auto"/>
          <w:sz w:val="32"/>
          <w:szCs w:val="32"/>
          <w:highlight w:val="none"/>
        </w:rPr>
      </w:pPr>
      <w:r>
        <w:rPr>
          <w:rFonts w:hint="eastAsia" w:ascii="Times New Roman" w:hAnsi="Times New Roman" w:eastAsia="宋体" w:cs="Times New Roman"/>
          <w:b/>
          <w:color w:val="auto"/>
          <w:sz w:val="32"/>
          <w:szCs w:val="32"/>
          <w:highlight w:val="none"/>
        </w:rPr>
        <w:t>关于建筑垃圾源头控制、建筑垃圾综合利用</w:t>
      </w:r>
    </w:p>
    <w:p>
      <w:pPr>
        <w:tabs>
          <w:tab w:val="left" w:pos="720"/>
        </w:tabs>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Times New Roman" w:hAnsi="Times New Roman" w:eastAsia="宋体" w:cs="Times New Roman"/>
          <w:b/>
          <w:color w:val="auto"/>
          <w:sz w:val="32"/>
          <w:szCs w:val="32"/>
          <w:highlight w:val="none"/>
        </w:rPr>
        <w:t>产品的使用和运输措施</w:t>
      </w:r>
      <w:r>
        <w:rPr>
          <w:rFonts w:hint="eastAsia" w:ascii="Times New Roman" w:hAnsi="Times New Roman" w:eastAsia="宋体" w:cs="Times New Roman"/>
          <w:b/>
          <w:color w:val="auto"/>
          <w:sz w:val="32"/>
          <w:szCs w:val="32"/>
          <w:highlight w:val="none"/>
          <w:lang w:val="en-US" w:eastAsia="zh-CN"/>
        </w:rPr>
        <w:t>承诺书</w:t>
      </w:r>
    </w:p>
    <w:p>
      <w:pPr>
        <w:bidi w:val="0"/>
        <w:rPr>
          <w:rFonts w:hint="eastAsia"/>
          <w:color w:val="auto"/>
          <w:highlight w:val="none"/>
        </w:rPr>
      </w:pPr>
    </w:p>
    <w:p>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     （招标人）：</w:t>
      </w:r>
    </w:p>
    <w:p>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我方承诺，如中标承建</w:t>
      </w:r>
      <w:r>
        <w:rPr>
          <w:rFonts w:hint="eastAsia" w:ascii="宋体" w:hAnsi="宋体" w:eastAsia="宋体" w:cs="宋体"/>
          <w:color w:val="auto"/>
          <w:sz w:val="24"/>
          <w:szCs w:val="24"/>
          <w:highlight w:val="none"/>
          <w:u w:val="single"/>
        </w:rPr>
        <w:t>         (项目名称)</w:t>
      </w:r>
      <w:r>
        <w:rPr>
          <w:rFonts w:hint="eastAsia" w:ascii="宋体" w:hAnsi="宋体" w:eastAsia="宋体" w:cs="宋体"/>
          <w:color w:val="auto"/>
          <w:sz w:val="24"/>
          <w:szCs w:val="24"/>
          <w:highlight w:val="none"/>
        </w:rPr>
        <w:t>，将按招标文件所附的本工程</w:t>
      </w:r>
      <w:r>
        <w:rPr>
          <w:rFonts w:hint="eastAsia" w:ascii="宋体" w:hAnsi="宋体" w:eastAsia="宋体" w:cs="宋体"/>
          <w:color w:val="auto"/>
          <w:sz w:val="24"/>
          <w:szCs w:val="24"/>
          <w:highlight w:val="none"/>
          <w:u w:val="single"/>
        </w:rPr>
        <w:t>（施工组织设计要点或施工方案）        </w:t>
      </w:r>
      <w:r>
        <w:rPr>
          <w:rFonts w:hint="eastAsia" w:ascii="宋体" w:hAnsi="宋体" w:eastAsia="宋体" w:cs="宋体"/>
          <w:color w:val="auto"/>
          <w:sz w:val="24"/>
          <w:szCs w:val="24"/>
          <w:highlight w:val="none"/>
        </w:rPr>
        <w:t>进行响应的基础上自行组织施工。并承诺在中标后按招标文件所附的</w:t>
      </w:r>
      <w:r>
        <w:rPr>
          <w:rFonts w:hint="eastAsia" w:ascii="宋体" w:hAnsi="宋体" w:eastAsia="宋体" w:cs="宋体"/>
          <w:color w:val="auto"/>
          <w:sz w:val="24"/>
          <w:szCs w:val="24"/>
          <w:highlight w:val="none"/>
          <w:u w:val="single"/>
        </w:rPr>
        <w:t>（施工组织设计要点或施工方案）        </w:t>
      </w:r>
      <w:r>
        <w:rPr>
          <w:rFonts w:hint="eastAsia" w:ascii="宋体" w:hAnsi="宋体" w:eastAsia="宋体" w:cs="宋体"/>
          <w:color w:val="auto"/>
          <w:sz w:val="24"/>
          <w:szCs w:val="24"/>
          <w:highlight w:val="none"/>
        </w:rPr>
        <w:t>基础上编制详细的施工组织设计，按照招标人提出的施工现场建筑垃圾源头减量的具体要求以及建筑垃圾综合利用产品的使用要求提供相应措施，并报经监理单位和建设单位审批后实施，具体内容如下：</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一、建筑垃圾源头控制措施</w:t>
      </w:r>
    </w:p>
    <w:p>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1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建筑垃圾综合利用产品的使用</w:t>
      </w:r>
    </w:p>
    <w:p>
      <w:pPr>
        <w:pStyle w:val="1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pStyle w:val="1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建筑垃圾运输措施</w:t>
      </w:r>
    </w:p>
    <w:p>
      <w:pPr>
        <w:pStyle w:val="1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spacing w:line="360" w:lineRule="auto"/>
        <w:ind w:right="90" w:firstLine="3240" w:firstLineChars="13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spacing w:line="360" w:lineRule="auto"/>
        <w:ind w:right="90" w:firstLine="3240" w:firstLineChars="135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投标人名称（盖</w:t>
      </w:r>
      <w:r>
        <w:rPr>
          <w:rFonts w:hint="eastAsia" w:ascii="宋体" w:hAnsi="宋体" w:eastAsia="宋体" w:cs="宋体"/>
          <w:color w:val="auto"/>
          <w:sz w:val="24"/>
          <w:szCs w:val="24"/>
          <w:highlight w:val="none"/>
          <w:lang w:eastAsia="zh-CN"/>
        </w:rPr>
        <w:t>法人公</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u w:val="single"/>
        </w:rPr>
        <w:t xml:space="preserve">                  </w:t>
      </w:r>
    </w:p>
    <w:p>
      <w:pPr>
        <w:spacing w:line="360" w:lineRule="auto"/>
        <w:ind w:firstLine="2880" w:firstLineChars="1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法定代表人或被授权人（签字</w:t>
      </w:r>
      <w:r>
        <w:rPr>
          <w:rFonts w:hint="eastAsia" w:ascii="宋体" w:hAnsi="宋体" w:eastAsia="宋体" w:cs="宋体"/>
          <w:color w:val="auto"/>
          <w:sz w:val="24"/>
          <w:szCs w:val="24"/>
          <w:highlight w:val="none"/>
          <w:lang w:eastAsia="zh-CN"/>
        </w:rPr>
        <w:t>或盖章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pPr>
        <w:spacing w:line="600" w:lineRule="exact"/>
        <w:ind w:firstLine="480"/>
        <w:jc w:val="right"/>
        <w:rPr>
          <w:rFonts w:hint="eastAsia" w:ascii="Times New Roman"/>
          <w:bCs/>
          <w:color w:val="auto"/>
          <w:kern w:val="0"/>
          <w:sz w:val="24"/>
          <w:szCs w:val="24"/>
          <w:highlight w:val="none"/>
        </w:rPr>
        <w:sectPr>
          <w:pgSz w:w="11906" w:h="16838"/>
          <w:pgMar w:top="1440" w:right="1797" w:bottom="1440" w:left="1797" w:header="851" w:footer="992" w:gutter="0"/>
          <w:pgNumType w:fmt="decimal"/>
          <w:cols w:space="720" w:num="1"/>
          <w:docGrid w:linePitch="312" w:charSpace="0"/>
        </w:sectPr>
      </w:pPr>
      <w:r>
        <w:rPr>
          <w:rFonts w:hint="eastAsia" w:ascii="宋体" w:hAnsi="宋体" w:eastAsia="宋体" w:cs="宋体"/>
          <w:color w:val="auto"/>
          <w:sz w:val="24"/>
          <w:szCs w:val="24"/>
          <w:highlight w:val="none"/>
        </w:rPr>
        <w:t xml:space="preserve"> 日期：      年   月   日</w:t>
      </w:r>
    </w:p>
    <w:p>
      <w:pPr>
        <w:spacing w:line="600" w:lineRule="exact"/>
        <w:ind w:firstLine="0"/>
        <w:jc w:val="left"/>
        <w:rPr>
          <w:rFonts w:hint="eastAsia" w:eastAsia="宋体"/>
          <w:color w:val="auto"/>
          <w:sz w:val="30"/>
          <w:szCs w:val="30"/>
          <w:highlight w:val="none"/>
          <w:lang w:val="en-US" w:eastAsia="zh-CN"/>
        </w:rPr>
      </w:pPr>
      <w:r>
        <w:rPr>
          <w:rFonts w:hint="eastAsia" w:ascii="Times New Roman"/>
          <w:bCs/>
          <w:color w:val="auto"/>
          <w:kern w:val="0"/>
          <w:sz w:val="24"/>
          <w:szCs w:val="24"/>
          <w:highlight w:val="none"/>
        </w:rPr>
        <w:t>附件</w:t>
      </w:r>
      <w:bookmarkEnd w:id="1277"/>
      <w:bookmarkEnd w:id="1278"/>
      <w:bookmarkEnd w:id="1279"/>
      <w:bookmarkEnd w:id="1280"/>
      <w:bookmarkEnd w:id="1281"/>
      <w:bookmarkEnd w:id="1282"/>
      <w:bookmarkEnd w:id="1283"/>
      <w:bookmarkEnd w:id="1284"/>
      <w:r>
        <w:rPr>
          <w:rFonts w:hint="eastAsia" w:ascii="Times New Roman"/>
          <w:bCs/>
          <w:color w:val="auto"/>
          <w:kern w:val="0"/>
          <w:sz w:val="24"/>
          <w:szCs w:val="24"/>
          <w:highlight w:val="none"/>
          <w:lang w:val="en-US" w:eastAsia="zh-CN"/>
        </w:rPr>
        <w:t>2</w:t>
      </w:r>
    </w:p>
    <w:p>
      <w:pPr>
        <w:tabs>
          <w:tab w:val="left" w:pos="720"/>
        </w:tabs>
        <w:snapToGrid w:val="0"/>
        <w:spacing w:line="360" w:lineRule="auto"/>
        <w:jc w:val="center"/>
        <w:rPr>
          <w:b/>
          <w:color w:val="auto"/>
          <w:sz w:val="32"/>
          <w:szCs w:val="32"/>
          <w:highlight w:val="none"/>
        </w:rPr>
      </w:pPr>
      <w:r>
        <w:rPr>
          <w:rFonts w:hint="eastAsia"/>
          <w:b/>
          <w:color w:val="auto"/>
          <w:sz w:val="32"/>
          <w:szCs w:val="32"/>
          <w:highlight w:val="none"/>
        </w:rPr>
        <w:t>投标文件编制人员名单</w:t>
      </w:r>
    </w:p>
    <w:p>
      <w:pPr>
        <w:tabs>
          <w:tab w:val="left" w:pos="720"/>
        </w:tabs>
        <w:snapToGrid w:val="0"/>
        <w:spacing w:line="360" w:lineRule="auto"/>
        <w:rPr>
          <w:color w:val="auto"/>
          <w:sz w:val="24"/>
          <w:szCs w:val="24"/>
          <w:highlight w:val="none"/>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381"/>
        <w:gridCol w:w="2342"/>
        <w:gridCol w:w="2246"/>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rPr>
                <w:rFonts w:ascii="宋体" w:hAnsi="宋体"/>
                <w:color w:val="auto"/>
                <w:szCs w:val="21"/>
                <w:highlight w:val="none"/>
              </w:rPr>
            </w:pPr>
            <w:r>
              <w:rPr>
                <w:rFonts w:hint="eastAsia" w:ascii="宋体" w:hAnsi="宋体"/>
                <w:color w:val="auto"/>
                <w:szCs w:val="21"/>
                <w:highlight w:val="none"/>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姓名</w:t>
            </w:r>
          </w:p>
        </w:tc>
        <w:tc>
          <w:tcPr>
            <w:tcW w:w="138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职务</w:t>
            </w:r>
          </w:p>
        </w:tc>
        <w:tc>
          <w:tcPr>
            <w:tcW w:w="234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所承担工作</w:t>
            </w:r>
          </w:p>
        </w:tc>
        <w:tc>
          <w:tcPr>
            <w:tcW w:w="2246"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身份证号码</w:t>
            </w:r>
          </w:p>
        </w:tc>
        <w:tc>
          <w:tcPr>
            <w:tcW w:w="136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本人签名栏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spacing w:line="360" w:lineRule="auto"/>
              <w:jc w:val="center"/>
              <w:rPr>
                <w:rFonts w:ascii="宋体" w:hAnsi="宋体"/>
                <w:color w:val="auto"/>
                <w:szCs w:val="21"/>
                <w:highlight w:val="none"/>
              </w:rPr>
            </w:pPr>
          </w:p>
        </w:tc>
      </w:tr>
    </w:tbl>
    <w:p>
      <w:pPr>
        <w:tabs>
          <w:tab w:val="left" w:pos="720"/>
        </w:tabs>
        <w:snapToGrid w:val="0"/>
        <w:spacing w:line="360" w:lineRule="auto"/>
        <w:rPr>
          <w:color w:val="auto"/>
          <w:sz w:val="24"/>
          <w:szCs w:val="24"/>
          <w:highlight w:val="none"/>
        </w:rPr>
      </w:pPr>
    </w:p>
    <w:p>
      <w:pPr>
        <w:pStyle w:val="17"/>
        <w:spacing w:after="0" w:line="360" w:lineRule="auto"/>
        <w:ind w:left="0" w:leftChars="0" w:firstLine="400" w:firstLineChars="200"/>
        <w:jc w:val="left"/>
        <w:rPr>
          <w:color w:val="auto"/>
          <w:szCs w:val="21"/>
          <w:highlight w:val="none"/>
        </w:rPr>
      </w:pPr>
      <w:r>
        <w:rPr>
          <w:rFonts w:hint="eastAsia" w:ascii="宋体" w:hAnsi="宋体" w:eastAsia="宋体" w:cs="宋体"/>
          <w:color w:val="auto"/>
          <w:szCs w:val="21"/>
          <w:highlight w:val="none"/>
        </w:rPr>
        <w:t>注：参与编制投标文件所有人员名单应包括如编制技术投标方案、编制各种专业工程量清单投标报价、负责清样校对、负责打印及复印等所有人员在内的人员名单。</w:t>
      </w:r>
    </w:p>
    <w:p>
      <w:pPr>
        <w:pStyle w:val="17"/>
        <w:spacing w:after="0" w:line="360" w:lineRule="auto"/>
        <w:ind w:left="-2" w:leftChars="-1" w:firstLineChars="175"/>
        <w:jc w:val="center"/>
        <w:rPr>
          <w:color w:val="auto"/>
          <w:sz w:val="24"/>
          <w:szCs w:val="24"/>
          <w:highlight w:val="none"/>
        </w:rPr>
      </w:pPr>
    </w:p>
    <w:p>
      <w:pPr>
        <w:pStyle w:val="17"/>
        <w:spacing w:after="0" w:line="360" w:lineRule="auto"/>
        <w:ind w:left="0" w:leftChars="0" w:firstLine="0" w:firstLineChars="0"/>
        <w:rPr>
          <w:color w:val="auto"/>
          <w:sz w:val="24"/>
          <w:szCs w:val="24"/>
          <w:highlight w:val="none"/>
        </w:rPr>
        <w:sectPr>
          <w:pgSz w:w="11906" w:h="16838"/>
          <w:pgMar w:top="1440" w:right="1797" w:bottom="1440" w:left="1797" w:header="851" w:footer="992" w:gutter="0"/>
          <w:pgNumType w:fmt="decimal"/>
          <w:cols w:space="720" w:num="1"/>
          <w:docGrid w:linePitch="312" w:charSpace="0"/>
        </w:sectPr>
      </w:pPr>
    </w:p>
    <w:p>
      <w:pPr>
        <w:pStyle w:val="17"/>
        <w:spacing w:after="0" w:line="360" w:lineRule="auto"/>
        <w:ind w:left="0" w:leftChars="0" w:firstLine="0" w:firstLineChars="0"/>
        <w:rPr>
          <w:color w:val="auto"/>
          <w:szCs w:val="21"/>
          <w:highlight w:val="none"/>
          <w:lang w:eastAsia="zh-CN"/>
        </w:rPr>
      </w:pPr>
      <w:r>
        <w:rPr>
          <w:rFonts w:hint="eastAsia" w:ascii="Times New Roman" w:hAnsi="Times New Roman" w:eastAsia="宋体" w:cs="Times New Roman"/>
          <w:color w:val="auto"/>
          <w:kern w:val="2"/>
          <w:sz w:val="24"/>
          <w:szCs w:val="24"/>
          <w:highlight w:val="none"/>
        </w:rPr>
        <w:t>附件</w:t>
      </w:r>
      <w:r>
        <w:rPr>
          <w:rFonts w:hint="eastAsia" w:eastAsia="宋体" w:cs="Times New Roman"/>
          <w:color w:val="auto"/>
          <w:kern w:val="2"/>
          <w:sz w:val="24"/>
          <w:szCs w:val="24"/>
          <w:highlight w:val="none"/>
          <w:lang w:val="en-US" w:eastAsia="zh-CN"/>
        </w:rPr>
        <w:t>3</w:t>
      </w:r>
    </w:p>
    <w:p>
      <w:pPr>
        <w:pStyle w:val="17"/>
        <w:spacing w:after="157" w:afterLines="50" w:line="360" w:lineRule="auto"/>
        <w:ind w:firstLine="0"/>
        <w:jc w:val="center"/>
        <w:rPr>
          <w:rFonts w:hint="eastAsia" w:ascii="宋体" w:hAnsi="宋体" w:eastAsia="宋体" w:cs="宋体"/>
          <w:color w:val="auto"/>
          <w:sz w:val="32"/>
          <w:szCs w:val="32"/>
          <w:highlight w:val="none"/>
        </w:rPr>
      </w:pPr>
      <w:r>
        <w:rPr>
          <w:rFonts w:hint="eastAsia" w:ascii="宋体" w:hAnsi="宋体" w:eastAsia="宋体" w:cs="宋体"/>
          <w:b/>
          <w:color w:val="auto"/>
          <w:sz w:val="32"/>
          <w:szCs w:val="32"/>
          <w:highlight w:val="none"/>
        </w:rPr>
        <w:t>对投标文件编制的承诺</w:t>
      </w:r>
    </w:p>
    <w:p>
      <w:pPr>
        <w:pStyle w:val="17"/>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本公司授权</w:t>
      </w:r>
      <w:r>
        <w:rPr>
          <w:rFonts w:hint="eastAsia" w:ascii="宋体" w:hAnsi="宋体" w:eastAsia="宋体" w:cs="宋体"/>
          <w:color w:val="auto"/>
          <w:sz w:val="24"/>
          <w:szCs w:val="24"/>
          <w:highlight w:val="none"/>
          <w:u w:val="single"/>
        </w:rPr>
        <w:t xml:space="preserve">         （身份证号：               ）</w:t>
      </w:r>
      <w:r>
        <w:rPr>
          <w:rFonts w:hint="eastAsia" w:ascii="宋体" w:hAnsi="宋体" w:eastAsia="宋体" w:cs="宋体"/>
          <w:color w:val="auto"/>
          <w:sz w:val="24"/>
          <w:szCs w:val="24"/>
          <w:highlight w:val="none"/>
        </w:rPr>
        <w:t>负责对投标文件的编制及内容进行解释、说明，并承诺以下事项：</w:t>
      </w:r>
    </w:p>
    <w:p>
      <w:pPr>
        <w:pStyle w:val="17"/>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1.被授权人清楚投标文件编制的具体情况，包括技术方案文件、工程量清单、以及投标文件的加密打包的理解；</w:t>
      </w:r>
    </w:p>
    <w:p>
      <w:pPr>
        <w:pStyle w:val="17"/>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2.在本项目开标至评标结束前，努力确保被授权人在项目评标所在地附近；</w:t>
      </w:r>
    </w:p>
    <w:p>
      <w:pPr>
        <w:pStyle w:val="17"/>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3.从评标委员会要求澄清起二小时内，被授权人应如实地书面澄清。</w:t>
      </w:r>
    </w:p>
    <w:p>
      <w:pPr>
        <w:pStyle w:val="17"/>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如由于未遵守上述承诺内容之一导致无法进行澄清的，我公司认可和接受评标委员会作出的评审结论。                                 </w:t>
      </w:r>
    </w:p>
    <w:p>
      <w:pPr>
        <w:pStyle w:val="17"/>
        <w:spacing w:after="0"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pStyle w:val="17"/>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附件：《投标文件编制情况》</w:t>
      </w:r>
    </w:p>
    <w:p>
      <w:pPr>
        <w:spacing w:line="360" w:lineRule="auto"/>
        <w:ind w:right="90" w:firstLine="3240" w:firstLineChars="135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投标人名称（盖</w:t>
      </w:r>
      <w:r>
        <w:rPr>
          <w:rFonts w:hint="eastAsia" w:ascii="宋体" w:hAnsi="宋体" w:eastAsia="宋体" w:cs="宋体"/>
          <w:color w:val="auto"/>
          <w:sz w:val="24"/>
          <w:szCs w:val="24"/>
          <w:highlight w:val="none"/>
          <w:lang w:eastAsia="zh-CN"/>
        </w:rPr>
        <w:t>法人公</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u w:val="single"/>
        </w:rPr>
        <w:t xml:space="preserve">                  </w:t>
      </w:r>
    </w:p>
    <w:p>
      <w:pPr>
        <w:spacing w:line="360" w:lineRule="auto"/>
        <w:ind w:firstLine="2880" w:firstLineChars="1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法定代表人或被授权人（签字</w:t>
      </w:r>
      <w:r>
        <w:rPr>
          <w:rFonts w:hint="eastAsia" w:ascii="宋体" w:hAnsi="宋体" w:eastAsia="宋体" w:cs="宋体"/>
          <w:color w:val="auto"/>
          <w:sz w:val="24"/>
          <w:szCs w:val="24"/>
          <w:highlight w:val="none"/>
          <w:lang w:eastAsia="zh-CN"/>
        </w:rPr>
        <w:t>或盖章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pPr>
        <w:spacing w:line="360" w:lineRule="auto"/>
        <w:ind w:firstLine="4440" w:firstLineChars="18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日期：      年   月   日 </w:t>
      </w:r>
      <w:r>
        <w:rPr>
          <w:rFonts w:hint="eastAsia" w:ascii="宋体" w:hAnsi="宋体" w:eastAsia="宋体" w:cs="宋体"/>
          <w:color w:val="auto"/>
          <w:sz w:val="18"/>
          <w:szCs w:val="18"/>
          <w:highlight w:val="none"/>
        </w:rPr>
        <w:t xml:space="preserve"> </w:t>
      </w:r>
      <w:r>
        <w:rPr>
          <w:rFonts w:hint="eastAsia" w:ascii="宋体" w:hAnsi="宋体" w:eastAsia="宋体" w:cs="宋体"/>
          <w:color w:val="auto"/>
          <w:sz w:val="24"/>
          <w:szCs w:val="24"/>
          <w:highlight w:val="none"/>
        </w:rPr>
        <w:t xml:space="preserve">   </w:t>
      </w:r>
    </w:p>
    <w:p>
      <w:pPr>
        <w:spacing w:line="360" w:lineRule="auto"/>
        <w:jc w:val="left"/>
        <w:rPr>
          <w:rFonts w:hint="eastAsia" w:eastAsia="宋体"/>
          <w:b/>
          <w:color w:val="auto"/>
          <w:sz w:val="32"/>
          <w:szCs w:val="32"/>
          <w:highlight w:val="none"/>
          <w:lang w:eastAsia="zh-CN"/>
        </w:rPr>
      </w:pPr>
      <w:r>
        <w:rPr>
          <w:color w:val="auto"/>
          <w:sz w:val="24"/>
          <w:szCs w:val="24"/>
          <w:highlight w:val="none"/>
        </w:rPr>
        <w:br w:type="page"/>
      </w:r>
      <w:r>
        <w:rPr>
          <w:rFonts w:hint="eastAsia"/>
          <w:color w:val="auto"/>
          <w:sz w:val="24"/>
          <w:szCs w:val="24"/>
          <w:highlight w:val="none"/>
        </w:rPr>
        <w:t>附件</w:t>
      </w:r>
      <w:r>
        <w:rPr>
          <w:rFonts w:hint="eastAsia"/>
          <w:color w:val="auto"/>
          <w:sz w:val="24"/>
          <w:szCs w:val="24"/>
          <w:highlight w:val="none"/>
          <w:lang w:val="en-US" w:eastAsia="zh-CN"/>
        </w:rPr>
        <w:t>4</w:t>
      </w:r>
    </w:p>
    <w:p>
      <w:pPr>
        <w:pStyle w:val="17"/>
        <w:spacing w:after="157" w:afterLines="50" w:line="360" w:lineRule="auto"/>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b/>
          <w:color w:val="auto"/>
          <w:sz w:val="32"/>
          <w:szCs w:val="32"/>
          <w:highlight w:val="none"/>
        </w:rPr>
        <w:t>投标文件编制情况</w:t>
      </w:r>
    </w:p>
    <w:p>
      <w:pPr>
        <w:pStyle w:val="17"/>
        <w:spacing w:after="0"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1.投标文件报价编制方式: □自行编制的，编制的负责人：</w:t>
      </w:r>
      <w:r>
        <w:rPr>
          <w:rFonts w:hint="eastAsia" w:ascii="宋体" w:hAnsi="宋体" w:eastAsia="宋体" w:cs="宋体"/>
          <w:color w:val="auto"/>
          <w:sz w:val="24"/>
          <w:szCs w:val="24"/>
          <w:highlight w:val="none"/>
          <w:u w:val="single"/>
        </w:rPr>
        <w:t xml:space="preserve"> （盖造价工程师执业专用章或全国建设工程造价员章，执业单位应与投标人一致） </w:t>
      </w:r>
      <w:r>
        <w:rPr>
          <w:rFonts w:hint="eastAsia" w:ascii="宋体" w:hAnsi="宋体" w:eastAsia="宋体" w:cs="宋体"/>
          <w:color w:val="auto"/>
          <w:sz w:val="24"/>
          <w:szCs w:val="24"/>
          <w:highlight w:val="none"/>
        </w:rPr>
        <w:t>。□委托编制的，受委托单位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，编制的负责人：</w:t>
      </w:r>
      <w:r>
        <w:rPr>
          <w:rFonts w:hint="eastAsia" w:ascii="宋体" w:hAnsi="宋体" w:eastAsia="宋体" w:cs="宋体"/>
          <w:color w:val="auto"/>
          <w:sz w:val="24"/>
          <w:szCs w:val="24"/>
          <w:highlight w:val="none"/>
          <w:u w:val="single"/>
        </w:rPr>
        <w:t xml:space="preserve"> （盖造价工程师执业专用章或全国建设工程造价员章，执业单位应与受委托单位一致） </w:t>
      </w:r>
      <w:r>
        <w:rPr>
          <w:rFonts w:hint="eastAsia" w:ascii="宋体" w:hAnsi="宋体" w:eastAsia="宋体" w:cs="宋体"/>
          <w:color w:val="auto"/>
          <w:sz w:val="24"/>
          <w:szCs w:val="24"/>
          <w:highlight w:val="none"/>
        </w:rPr>
        <w:t>。</w:t>
      </w:r>
    </w:p>
    <w:p>
      <w:pPr>
        <w:pStyle w:val="17"/>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2.投标文件加密打包的电脑情况</w:t>
      </w:r>
    </w:p>
    <w:tbl>
      <w:tblPr>
        <w:tblStyle w:val="19"/>
        <w:tblW w:w="0" w:type="auto"/>
        <w:tblInd w:w="0" w:type="dxa"/>
        <w:tblLayout w:type="fixed"/>
        <w:tblCellMar>
          <w:top w:w="0" w:type="dxa"/>
          <w:left w:w="108" w:type="dxa"/>
          <w:bottom w:w="0" w:type="dxa"/>
          <w:right w:w="108" w:type="dxa"/>
        </w:tblCellMar>
      </w:tblPr>
      <w:tblGrid>
        <w:gridCol w:w="8528"/>
      </w:tblGrid>
      <w:tr>
        <w:tblPrEx>
          <w:tblCellMar>
            <w:top w:w="0" w:type="dxa"/>
            <w:left w:w="108" w:type="dxa"/>
            <w:bottom w:w="0" w:type="dxa"/>
            <w:right w:w="108" w:type="dxa"/>
          </w:tblCellMar>
        </w:tblPrEx>
        <w:trPr>
          <w:trHeight w:val="2819" w:hRule="atLeast"/>
        </w:trPr>
        <w:tc>
          <w:tcPr>
            <w:tcW w:w="8528" w:type="dxa"/>
            <w:noWrap w:val="0"/>
            <w:vAlign w:val="top"/>
          </w:tcPr>
          <w:p>
            <w:pPr>
              <w:pStyle w:val="17"/>
              <w:spacing w:after="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投标文件加密打包的电脑     自有    □      外包    □     其他    □</w:t>
            </w:r>
          </w:p>
          <w:p>
            <w:pPr>
              <w:pStyle w:val="17"/>
              <w:spacing w:after="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电脑类型</w:t>
            </w:r>
          </w:p>
          <w:p>
            <w:pPr>
              <w:pStyle w:val="17"/>
              <w:spacing w:after="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电脑所属单位</w:t>
            </w:r>
          </w:p>
          <w:p>
            <w:pPr>
              <w:pStyle w:val="17"/>
              <w:spacing w:after="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电脑所在地址        （如××市××区(县) ××街（路）××号××大厦××房）</w:t>
            </w:r>
          </w:p>
        </w:tc>
      </w:tr>
    </w:tbl>
    <w:p>
      <w:pPr>
        <w:spacing w:line="360" w:lineRule="auto"/>
        <w:rPr>
          <w:rFonts w:hint="eastAsia" w:ascii="宋体" w:hAnsi="宋体"/>
          <w:color w:val="auto"/>
          <w:sz w:val="24"/>
          <w:highlight w:val="none"/>
        </w:rPr>
      </w:pPr>
    </w:p>
    <w:p>
      <w:pPr>
        <w:spacing w:line="360" w:lineRule="auto"/>
        <w:rPr>
          <w:rFonts w:hint="eastAsia" w:ascii="宋体" w:hAnsi="宋体"/>
          <w:color w:val="auto"/>
          <w:sz w:val="24"/>
          <w:highlight w:val="none"/>
        </w:rPr>
      </w:pPr>
    </w:p>
    <w:p>
      <w:pPr>
        <w:spacing w:line="360" w:lineRule="auto"/>
        <w:rPr>
          <w:rFonts w:hint="eastAsia" w:ascii="宋体" w:hAnsi="宋体"/>
          <w:color w:val="auto"/>
          <w:sz w:val="24"/>
          <w:highlight w:val="none"/>
        </w:rPr>
      </w:pPr>
    </w:p>
    <w:p>
      <w:pPr>
        <w:pStyle w:val="18"/>
        <w:spacing w:after="0"/>
        <w:ind w:firstLine="0"/>
        <w:jc w:val="both"/>
        <w:rPr>
          <w:rFonts w:hint="eastAsia"/>
          <w:color w:val="auto"/>
          <w:sz w:val="24"/>
          <w:szCs w:val="24"/>
          <w:highlight w:val="none"/>
        </w:rPr>
        <w:sectPr>
          <w:pgSz w:w="11906" w:h="16838"/>
          <w:pgMar w:top="1440" w:right="1797" w:bottom="1440" w:left="1797" w:header="851" w:footer="992" w:gutter="0"/>
          <w:pgNumType w:fmt="decimal"/>
          <w:cols w:space="720" w:num="1"/>
          <w:docGrid w:linePitch="312" w:charSpace="0"/>
        </w:sectPr>
      </w:pPr>
      <w:bookmarkStart w:id="1285" w:name="_Toc17451141"/>
      <w:bookmarkStart w:id="1286" w:name="_Toc17454911"/>
      <w:bookmarkStart w:id="1287" w:name="_Toc17556916"/>
      <w:bookmarkStart w:id="1288" w:name="_Toc17451663"/>
      <w:bookmarkStart w:id="1289" w:name="_Toc17454962"/>
      <w:bookmarkStart w:id="1290" w:name="_Toc17452704"/>
      <w:bookmarkStart w:id="1291" w:name="_Toc17451618"/>
      <w:bookmarkStart w:id="1292" w:name="_Toc10968"/>
    </w:p>
    <w:p>
      <w:pPr>
        <w:pStyle w:val="18"/>
        <w:spacing w:after="0"/>
        <w:ind w:firstLine="0"/>
        <w:jc w:val="both"/>
        <w:rPr>
          <w:rFonts w:hint="default"/>
          <w:color w:val="auto"/>
          <w:sz w:val="24"/>
          <w:szCs w:val="24"/>
          <w:highlight w:val="none"/>
          <w:lang w:val="en-US"/>
        </w:rPr>
      </w:pPr>
      <w:r>
        <w:rPr>
          <w:rFonts w:hint="eastAsia"/>
          <w:color w:val="auto"/>
          <w:sz w:val="24"/>
          <w:szCs w:val="24"/>
          <w:highlight w:val="none"/>
        </w:rPr>
        <w:t>附件</w:t>
      </w:r>
      <w:r>
        <w:rPr>
          <w:rFonts w:hint="eastAsia"/>
          <w:color w:val="auto"/>
          <w:sz w:val="24"/>
          <w:szCs w:val="24"/>
          <w:highlight w:val="none"/>
          <w:lang w:val="en-US" w:eastAsia="zh-CN"/>
        </w:rPr>
        <w:t>5</w:t>
      </w:r>
      <w:r>
        <w:rPr>
          <w:rFonts w:hint="eastAsia" w:ascii="宋体" w:hAnsi="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lang w:val="en-US" w:eastAsia="zh-CN"/>
        </w:rPr>
        <w:t>针对绿色施工的</w:t>
      </w:r>
      <w:r>
        <w:rPr>
          <w:rFonts w:hint="eastAsia" w:ascii="宋体" w:hAnsi="宋体" w:eastAsia="宋体" w:cs="宋体"/>
          <w:b/>
          <w:color w:val="auto"/>
          <w:sz w:val="32"/>
          <w:szCs w:val="32"/>
          <w:highlight w:val="none"/>
        </w:rPr>
        <w:t>绿色施工组织机构图及《绿色施工</w:t>
      </w:r>
      <w:r>
        <w:rPr>
          <w:rFonts w:hint="eastAsia" w:ascii="宋体" w:hAnsi="宋体" w:eastAsia="宋体" w:cs="宋体"/>
          <w:b/>
          <w:color w:val="auto"/>
          <w:sz w:val="32"/>
          <w:szCs w:val="32"/>
          <w:highlight w:val="none"/>
          <w:lang w:val="en-US" w:eastAsia="zh-CN"/>
        </w:rPr>
        <w:t>承诺函</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lang w:val="en-US" w:eastAsia="zh-CN"/>
        </w:rPr>
        <w:t>（</w:t>
      </w:r>
      <w:r>
        <w:rPr>
          <w:rFonts w:hint="eastAsia" w:ascii="宋体" w:hAnsi="宋体" w:cs="宋体"/>
          <w:b/>
          <w:color w:val="auto"/>
          <w:sz w:val="32"/>
          <w:szCs w:val="32"/>
          <w:highlight w:val="none"/>
          <w:lang w:val="en-US" w:eastAsia="zh-CN"/>
        </w:rPr>
        <w:t>如有</w:t>
      </w:r>
      <w:r>
        <w:rPr>
          <w:rFonts w:hint="eastAsia" w:ascii="宋体" w:hAnsi="宋体" w:eastAsia="宋体" w:cs="宋体"/>
          <w:b/>
          <w:color w:val="auto"/>
          <w:sz w:val="32"/>
          <w:szCs w:val="32"/>
          <w:highlight w:val="none"/>
          <w:lang w:val="en-US" w:eastAsia="zh-CN"/>
        </w:rPr>
        <w:t>格式自拟）</w:t>
      </w:r>
    </w:p>
    <w:p>
      <w:pPr>
        <w:pStyle w:val="18"/>
        <w:spacing w:after="0"/>
        <w:ind w:firstLine="0"/>
        <w:jc w:val="both"/>
        <w:rPr>
          <w:rFonts w:hint="eastAsia"/>
          <w:color w:val="auto"/>
          <w:sz w:val="24"/>
          <w:szCs w:val="24"/>
          <w:highlight w:val="none"/>
        </w:rPr>
      </w:pPr>
    </w:p>
    <w:p>
      <w:pPr>
        <w:pStyle w:val="18"/>
        <w:spacing w:after="0"/>
        <w:ind w:firstLine="0"/>
        <w:jc w:val="both"/>
        <w:rPr>
          <w:rFonts w:hint="eastAsia" w:ascii="宋体" w:hAnsi="宋体" w:eastAsia="宋体" w:cs="宋体"/>
          <w:b/>
          <w:color w:val="auto"/>
          <w:sz w:val="32"/>
          <w:szCs w:val="32"/>
          <w:highlight w:val="none"/>
          <w:lang w:val="en-US" w:eastAsia="zh-CN"/>
        </w:rPr>
      </w:pPr>
      <w:r>
        <w:rPr>
          <w:rFonts w:hint="eastAsia"/>
          <w:color w:val="auto"/>
          <w:sz w:val="24"/>
          <w:szCs w:val="24"/>
          <w:highlight w:val="none"/>
        </w:rPr>
        <w:t>附件</w:t>
      </w:r>
      <w:r>
        <w:rPr>
          <w:rFonts w:hint="eastAsia"/>
          <w:color w:val="auto"/>
          <w:sz w:val="24"/>
          <w:szCs w:val="24"/>
          <w:highlight w:val="none"/>
          <w:lang w:val="en-US" w:eastAsia="zh-CN"/>
        </w:rPr>
        <w:t>6</w:t>
      </w:r>
      <w:r>
        <w:rPr>
          <w:rFonts w:hint="eastAsia" w:ascii="宋体" w:hAnsi="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lang w:val="en-US" w:eastAsia="zh-CN"/>
        </w:rPr>
        <w:t>针对</w:t>
      </w:r>
      <w:r>
        <w:rPr>
          <w:rFonts w:hint="eastAsia" w:ascii="宋体" w:hAnsi="宋体" w:eastAsia="宋体" w:cs="宋体"/>
          <w:b/>
          <w:color w:val="auto"/>
          <w:sz w:val="32"/>
          <w:szCs w:val="32"/>
          <w:highlight w:val="none"/>
        </w:rPr>
        <w:t>拟投入的机械设备情况</w:t>
      </w:r>
      <w:r>
        <w:rPr>
          <w:rFonts w:hint="eastAsia" w:ascii="宋体" w:hAnsi="宋体" w:eastAsia="宋体" w:cs="宋体"/>
          <w:b/>
          <w:color w:val="auto"/>
          <w:sz w:val="32"/>
          <w:szCs w:val="32"/>
          <w:highlight w:val="none"/>
          <w:lang w:eastAsia="zh-CN"/>
        </w:rPr>
        <w:t>的</w:t>
      </w:r>
      <w:r>
        <w:rPr>
          <w:rFonts w:hint="eastAsia" w:ascii="宋体" w:hAnsi="宋体" w:eastAsia="宋体" w:cs="宋体"/>
          <w:b/>
          <w:color w:val="auto"/>
          <w:sz w:val="32"/>
          <w:szCs w:val="32"/>
          <w:highlight w:val="none"/>
          <w:lang w:val="en-US" w:eastAsia="zh-CN"/>
        </w:rPr>
        <w:t>《拟投入的机械设备承诺函》（</w:t>
      </w:r>
      <w:r>
        <w:rPr>
          <w:rFonts w:hint="eastAsia" w:ascii="宋体" w:hAnsi="宋体" w:cs="宋体"/>
          <w:b/>
          <w:color w:val="auto"/>
          <w:sz w:val="32"/>
          <w:szCs w:val="32"/>
          <w:highlight w:val="none"/>
          <w:lang w:val="en-US" w:eastAsia="zh-CN"/>
        </w:rPr>
        <w:t>如有</w:t>
      </w:r>
      <w:r>
        <w:rPr>
          <w:rFonts w:hint="eastAsia" w:ascii="宋体" w:hAnsi="宋体" w:eastAsia="宋体" w:cs="宋体"/>
          <w:b/>
          <w:color w:val="auto"/>
          <w:sz w:val="32"/>
          <w:szCs w:val="32"/>
          <w:highlight w:val="none"/>
          <w:lang w:val="en-US" w:eastAsia="zh-CN"/>
        </w:rPr>
        <w:t>格式自拟）</w:t>
      </w:r>
    </w:p>
    <w:p>
      <w:pPr>
        <w:numPr>
          <w:ilvl w:val="0"/>
          <w:numId w:val="0"/>
        </w:numPr>
        <w:spacing w:line="360" w:lineRule="auto"/>
        <w:jc w:val="both"/>
        <w:rPr>
          <w:rFonts w:hint="eastAsia"/>
          <w:color w:val="auto"/>
          <w:sz w:val="24"/>
          <w:szCs w:val="24"/>
          <w:highlight w:val="none"/>
        </w:rPr>
      </w:pPr>
    </w:p>
    <w:p>
      <w:pPr>
        <w:pageBreakBefore w:val="0"/>
        <w:numPr>
          <w:ilvl w:val="0"/>
          <w:numId w:val="0"/>
        </w:numPr>
        <w:spacing w:line="360" w:lineRule="auto"/>
        <w:outlineLvl w:val="9"/>
        <w:rPr>
          <w:rFonts w:hint="eastAsia" w:ascii="宋体" w:hAnsi="宋体" w:eastAsia="宋体" w:cs="宋体"/>
          <w:b/>
          <w:color w:val="auto"/>
          <w:sz w:val="32"/>
          <w:szCs w:val="32"/>
          <w:highlight w:val="none"/>
          <w:lang w:val="en-US" w:eastAsia="zh-CN"/>
        </w:rPr>
      </w:pPr>
      <w:r>
        <w:rPr>
          <w:rFonts w:hint="eastAsia"/>
          <w:color w:val="auto"/>
          <w:sz w:val="24"/>
          <w:szCs w:val="24"/>
          <w:highlight w:val="none"/>
        </w:rPr>
        <w:t>附件</w:t>
      </w:r>
      <w:r>
        <w:rPr>
          <w:rFonts w:hint="eastAsia"/>
          <w:color w:val="auto"/>
          <w:sz w:val="24"/>
          <w:szCs w:val="24"/>
          <w:highlight w:val="none"/>
          <w:lang w:val="en-US" w:eastAsia="zh-CN"/>
        </w:rPr>
        <w:t>7</w:t>
      </w:r>
      <w:r>
        <w:rPr>
          <w:rFonts w:hint="eastAsia" w:ascii="宋体" w:hAnsi="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lang w:val="en-US" w:eastAsia="zh-CN"/>
        </w:rPr>
        <w:t>针对产业工人队伍</w:t>
      </w:r>
      <w:r>
        <w:rPr>
          <w:rFonts w:hint="eastAsia" w:ascii="宋体" w:hAnsi="宋体" w:eastAsia="宋体" w:cs="宋体"/>
          <w:b/>
          <w:color w:val="auto"/>
          <w:sz w:val="32"/>
          <w:szCs w:val="32"/>
          <w:highlight w:val="none"/>
        </w:rPr>
        <w:t>的</w:t>
      </w:r>
      <w:r>
        <w:rPr>
          <w:rFonts w:hint="eastAsia" w:ascii="宋体" w:hAnsi="宋体" w:eastAsia="宋体" w:cs="宋体"/>
          <w:b/>
          <w:color w:val="auto"/>
          <w:sz w:val="32"/>
          <w:szCs w:val="32"/>
          <w:highlight w:val="none"/>
          <w:lang w:val="en-US" w:eastAsia="zh-CN"/>
        </w:rPr>
        <w:t>证明资料</w:t>
      </w:r>
      <w:r>
        <w:rPr>
          <w:rFonts w:hint="eastAsia" w:ascii="宋体" w:hAnsi="宋体" w:cs="宋体"/>
          <w:b/>
          <w:color w:val="auto"/>
          <w:sz w:val="32"/>
          <w:szCs w:val="32"/>
          <w:highlight w:val="none"/>
          <w:lang w:val="en-US" w:eastAsia="zh-CN"/>
        </w:rPr>
        <w:t>（如有）</w:t>
      </w:r>
    </w:p>
    <w:p>
      <w:pPr>
        <w:pageBreakBefore w:val="0"/>
        <w:numPr>
          <w:ilvl w:val="0"/>
          <w:numId w:val="0"/>
        </w:numPr>
        <w:spacing w:line="360" w:lineRule="auto"/>
        <w:outlineLvl w:val="9"/>
        <w:rPr>
          <w:rFonts w:hint="eastAsia"/>
          <w:color w:val="auto"/>
          <w:sz w:val="24"/>
          <w:szCs w:val="24"/>
          <w:highlight w:val="none"/>
        </w:rPr>
      </w:pPr>
    </w:p>
    <w:p>
      <w:pPr>
        <w:pageBreakBefore w:val="0"/>
        <w:numPr>
          <w:ilvl w:val="0"/>
          <w:numId w:val="0"/>
        </w:numPr>
        <w:spacing w:line="360" w:lineRule="auto"/>
        <w:outlineLvl w:val="9"/>
        <w:rPr>
          <w:rFonts w:hint="eastAsia" w:ascii="宋体" w:hAnsi="宋体" w:eastAsia="宋体" w:cs="宋体"/>
          <w:b/>
          <w:color w:val="auto"/>
          <w:sz w:val="32"/>
          <w:szCs w:val="32"/>
          <w:highlight w:val="none"/>
          <w:lang w:val="en-US" w:eastAsia="zh-CN"/>
        </w:rPr>
      </w:pPr>
      <w:r>
        <w:rPr>
          <w:rFonts w:hint="eastAsia"/>
          <w:color w:val="auto"/>
          <w:sz w:val="24"/>
          <w:szCs w:val="24"/>
          <w:highlight w:val="none"/>
        </w:rPr>
        <w:t>附件</w:t>
      </w:r>
      <w:r>
        <w:rPr>
          <w:rFonts w:hint="eastAsia"/>
          <w:color w:val="auto"/>
          <w:sz w:val="24"/>
          <w:szCs w:val="24"/>
          <w:highlight w:val="none"/>
          <w:lang w:val="en-US" w:eastAsia="zh-CN"/>
        </w:rPr>
        <w:t xml:space="preserve">8  </w:t>
      </w:r>
      <w:r>
        <w:rPr>
          <w:rFonts w:hint="eastAsia" w:ascii="宋体" w:hAnsi="宋体" w:eastAsia="宋体" w:cs="宋体"/>
          <w:b/>
          <w:bCs w:val="0"/>
          <w:color w:val="auto"/>
          <w:sz w:val="32"/>
          <w:szCs w:val="32"/>
          <w:highlight w:val="none"/>
          <w:lang w:val="en-US" w:eastAsia="zh-CN"/>
        </w:rPr>
        <w:t>PLC产品厂家授权委托</w:t>
      </w:r>
      <w:r>
        <w:rPr>
          <w:rFonts w:hint="eastAsia" w:ascii="宋体" w:hAnsi="宋体" w:eastAsia="宋体" w:cs="宋体"/>
          <w:b/>
          <w:color w:val="auto"/>
          <w:sz w:val="32"/>
          <w:szCs w:val="32"/>
          <w:highlight w:val="none"/>
          <w:lang w:val="en-US" w:eastAsia="zh-CN"/>
        </w:rPr>
        <w:t>的证明资料</w:t>
      </w:r>
      <w:r>
        <w:rPr>
          <w:rFonts w:hint="eastAsia" w:ascii="宋体" w:hAnsi="宋体" w:cs="宋体"/>
          <w:b/>
          <w:color w:val="auto"/>
          <w:sz w:val="32"/>
          <w:szCs w:val="32"/>
          <w:highlight w:val="none"/>
          <w:lang w:val="en-US" w:eastAsia="zh-CN"/>
        </w:rPr>
        <w:t>（如有）</w:t>
      </w:r>
    </w:p>
    <w:p>
      <w:pPr>
        <w:pageBreakBefore w:val="0"/>
        <w:numPr>
          <w:ilvl w:val="0"/>
          <w:numId w:val="0"/>
        </w:numPr>
        <w:spacing w:line="360" w:lineRule="auto"/>
        <w:outlineLvl w:val="9"/>
        <w:rPr>
          <w:rFonts w:hint="eastAsia"/>
          <w:color w:val="auto"/>
          <w:sz w:val="24"/>
          <w:szCs w:val="24"/>
          <w:highlight w:val="none"/>
        </w:rPr>
      </w:pPr>
    </w:p>
    <w:p>
      <w:pPr>
        <w:pageBreakBefore w:val="0"/>
        <w:numPr>
          <w:ilvl w:val="0"/>
          <w:numId w:val="0"/>
        </w:numPr>
        <w:spacing w:line="360" w:lineRule="auto"/>
        <w:outlineLvl w:val="9"/>
        <w:rPr>
          <w:rFonts w:hint="eastAsia" w:ascii="宋体" w:hAnsi="宋体" w:eastAsia="宋体" w:cs="宋体"/>
          <w:b/>
          <w:color w:val="auto"/>
          <w:sz w:val="32"/>
          <w:szCs w:val="32"/>
          <w:highlight w:val="none"/>
          <w:lang w:val="en-US" w:eastAsia="zh-CN"/>
        </w:rPr>
      </w:pPr>
      <w:r>
        <w:rPr>
          <w:rFonts w:hint="eastAsia"/>
          <w:color w:val="auto"/>
          <w:sz w:val="24"/>
          <w:szCs w:val="24"/>
          <w:highlight w:val="none"/>
        </w:rPr>
        <w:t>附件</w:t>
      </w:r>
      <w:r>
        <w:rPr>
          <w:rFonts w:hint="eastAsia"/>
          <w:color w:val="auto"/>
          <w:sz w:val="24"/>
          <w:szCs w:val="24"/>
          <w:highlight w:val="none"/>
          <w:lang w:val="en-US" w:eastAsia="zh-CN"/>
        </w:rPr>
        <w:t>9</w:t>
      </w:r>
      <w:r>
        <w:rPr>
          <w:rFonts w:hint="eastAsia" w:ascii="宋体" w:hAnsi="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售后及技术服务</w:t>
      </w:r>
      <w:r>
        <w:rPr>
          <w:rFonts w:hint="eastAsia" w:ascii="宋体" w:hAnsi="宋体" w:eastAsia="宋体" w:cs="宋体"/>
          <w:b/>
          <w:color w:val="auto"/>
          <w:sz w:val="32"/>
          <w:szCs w:val="32"/>
          <w:highlight w:val="none"/>
          <w:lang w:val="en-US" w:eastAsia="zh-CN"/>
        </w:rPr>
        <w:t>的证明资料</w:t>
      </w:r>
      <w:r>
        <w:rPr>
          <w:rFonts w:hint="eastAsia" w:ascii="宋体" w:hAnsi="宋体" w:cs="宋体"/>
          <w:b/>
          <w:color w:val="auto"/>
          <w:sz w:val="32"/>
          <w:szCs w:val="32"/>
          <w:highlight w:val="none"/>
          <w:lang w:val="en-US" w:eastAsia="zh-CN"/>
        </w:rPr>
        <w:t>（如有）</w:t>
      </w:r>
    </w:p>
    <w:p>
      <w:pPr>
        <w:pageBreakBefore w:val="0"/>
        <w:numPr>
          <w:ilvl w:val="0"/>
          <w:numId w:val="0"/>
        </w:numPr>
        <w:spacing w:line="360" w:lineRule="auto"/>
        <w:outlineLvl w:val="9"/>
        <w:rPr>
          <w:rFonts w:hint="eastAsia"/>
          <w:color w:val="auto"/>
          <w:sz w:val="24"/>
          <w:szCs w:val="24"/>
          <w:highlight w:val="none"/>
        </w:rPr>
      </w:pPr>
    </w:p>
    <w:p>
      <w:pPr>
        <w:pageBreakBefore w:val="0"/>
        <w:numPr>
          <w:ilvl w:val="0"/>
          <w:numId w:val="0"/>
        </w:numPr>
        <w:spacing w:line="360" w:lineRule="auto"/>
        <w:outlineLvl w:val="9"/>
        <w:rPr>
          <w:rFonts w:hint="eastAsia" w:ascii="宋体" w:hAnsi="宋体" w:eastAsia="宋体" w:cs="宋体"/>
          <w:b/>
          <w:color w:val="auto"/>
          <w:sz w:val="32"/>
          <w:szCs w:val="32"/>
          <w:highlight w:val="none"/>
          <w:lang w:val="en-US" w:eastAsia="zh-CN"/>
        </w:rPr>
      </w:pPr>
      <w:r>
        <w:rPr>
          <w:rFonts w:hint="eastAsia"/>
          <w:color w:val="auto"/>
          <w:sz w:val="24"/>
          <w:szCs w:val="24"/>
          <w:highlight w:val="none"/>
        </w:rPr>
        <w:t>附件</w:t>
      </w:r>
      <w:r>
        <w:rPr>
          <w:rFonts w:hint="eastAsia"/>
          <w:color w:val="auto"/>
          <w:sz w:val="24"/>
          <w:szCs w:val="24"/>
          <w:highlight w:val="none"/>
          <w:lang w:val="en-US" w:eastAsia="zh-CN"/>
        </w:rPr>
        <w:t>10</w:t>
      </w:r>
      <w:r>
        <w:rPr>
          <w:rFonts w:hint="eastAsia" w:ascii="宋体" w:hAnsi="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lang w:val="en-US" w:eastAsia="zh-CN"/>
        </w:rPr>
        <w:t>针对项目负责人的执业能力的证明资料</w:t>
      </w:r>
      <w:r>
        <w:rPr>
          <w:rFonts w:hint="eastAsia" w:ascii="宋体" w:hAnsi="宋体" w:cs="宋体"/>
          <w:b/>
          <w:color w:val="auto"/>
          <w:sz w:val="32"/>
          <w:szCs w:val="32"/>
          <w:highlight w:val="none"/>
          <w:lang w:val="en-US" w:eastAsia="zh-CN"/>
        </w:rPr>
        <w:t>（如有）</w:t>
      </w:r>
    </w:p>
    <w:p>
      <w:pPr>
        <w:pageBreakBefore w:val="0"/>
        <w:numPr>
          <w:ilvl w:val="0"/>
          <w:numId w:val="0"/>
        </w:numPr>
        <w:spacing w:line="360" w:lineRule="auto"/>
        <w:outlineLvl w:val="9"/>
        <w:rPr>
          <w:rFonts w:hint="eastAsia"/>
          <w:color w:val="auto"/>
          <w:sz w:val="24"/>
          <w:szCs w:val="24"/>
          <w:highlight w:val="none"/>
        </w:rPr>
      </w:pPr>
    </w:p>
    <w:p>
      <w:pPr>
        <w:pageBreakBefore w:val="0"/>
        <w:numPr>
          <w:ilvl w:val="0"/>
          <w:numId w:val="0"/>
        </w:numPr>
        <w:spacing w:line="360" w:lineRule="auto"/>
        <w:outlineLvl w:val="9"/>
        <w:rPr>
          <w:rFonts w:hint="eastAsia" w:ascii="宋体" w:hAnsi="宋体" w:eastAsia="宋体" w:cs="宋体"/>
          <w:b/>
          <w:color w:val="auto"/>
          <w:sz w:val="32"/>
          <w:szCs w:val="32"/>
          <w:highlight w:val="none"/>
          <w:lang w:val="en-US" w:eastAsia="zh-CN"/>
        </w:rPr>
      </w:pPr>
      <w:r>
        <w:rPr>
          <w:rFonts w:hint="eastAsia"/>
          <w:color w:val="auto"/>
          <w:sz w:val="24"/>
          <w:szCs w:val="24"/>
          <w:highlight w:val="none"/>
        </w:rPr>
        <w:t>附件</w:t>
      </w:r>
      <w:r>
        <w:rPr>
          <w:rFonts w:hint="eastAsia"/>
          <w:color w:val="auto"/>
          <w:sz w:val="24"/>
          <w:szCs w:val="24"/>
          <w:highlight w:val="none"/>
          <w:lang w:val="en-US" w:eastAsia="zh-CN"/>
        </w:rPr>
        <w:t>11</w:t>
      </w:r>
      <w:r>
        <w:rPr>
          <w:rFonts w:hint="eastAsia" w:ascii="宋体" w:hAnsi="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lang w:val="en-US" w:eastAsia="zh-CN"/>
        </w:rPr>
        <w:t>针对组织机构及主要管理人员的证明资料</w:t>
      </w:r>
      <w:r>
        <w:rPr>
          <w:rFonts w:hint="eastAsia" w:ascii="宋体" w:hAnsi="宋体" w:cs="宋体"/>
          <w:b/>
          <w:color w:val="auto"/>
          <w:sz w:val="32"/>
          <w:szCs w:val="32"/>
          <w:highlight w:val="none"/>
          <w:lang w:val="en-US" w:eastAsia="zh-CN"/>
        </w:rPr>
        <w:t>（如有）</w:t>
      </w:r>
    </w:p>
    <w:p>
      <w:pPr>
        <w:numPr>
          <w:ilvl w:val="0"/>
          <w:numId w:val="0"/>
        </w:numPr>
        <w:spacing w:line="360" w:lineRule="auto"/>
        <w:rPr>
          <w:rFonts w:hint="eastAsia"/>
          <w:color w:val="auto"/>
          <w:sz w:val="24"/>
          <w:szCs w:val="24"/>
          <w:highlight w:val="none"/>
        </w:rPr>
      </w:pPr>
    </w:p>
    <w:p>
      <w:pPr>
        <w:numPr>
          <w:ilvl w:val="0"/>
          <w:numId w:val="0"/>
        </w:numPr>
        <w:spacing w:line="360" w:lineRule="auto"/>
        <w:rPr>
          <w:rFonts w:hint="eastAsia" w:ascii="宋体" w:hAnsi="宋体" w:eastAsia="宋体" w:cs="宋体"/>
          <w:b/>
          <w:color w:val="auto"/>
          <w:sz w:val="32"/>
          <w:szCs w:val="32"/>
          <w:highlight w:val="none"/>
          <w:lang w:val="en-US" w:eastAsia="zh-CN"/>
        </w:rPr>
      </w:pPr>
      <w:r>
        <w:rPr>
          <w:rFonts w:hint="eastAsia"/>
          <w:color w:val="auto"/>
          <w:sz w:val="24"/>
          <w:szCs w:val="24"/>
          <w:highlight w:val="none"/>
        </w:rPr>
        <w:t>附件</w:t>
      </w:r>
      <w:r>
        <w:rPr>
          <w:rFonts w:hint="eastAsia"/>
          <w:color w:val="auto"/>
          <w:sz w:val="24"/>
          <w:szCs w:val="24"/>
          <w:highlight w:val="none"/>
          <w:lang w:val="en-US" w:eastAsia="zh-CN"/>
        </w:rPr>
        <w:t>12</w:t>
      </w:r>
      <w:r>
        <w:rPr>
          <w:rFonts w:hint="eastAsia" w:ascii="宋体" w:hAnsi="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lang w:val="en-US" w:eastAsia="zh-CN"/>
        </w:rPr>
        <w:t>针对投标人的业绩、类似工程经历的证明资料</w:t>
      </w:r>
      <w:r>
        <w:rPr>
          <w:rFonts w:hint="eastAsia" w:ascii="宋体" w:hAnsi="宋体" w:cs="宋体"/>
          <w:b/>
          <w:color w:val="auto"/>
          <w:sz w:val="32"/>
          <w:szCs w:val="32"/>
          <w:highlight w:val="none"/>
          <w:lang w:val="en-US" w:eastAsia="zh-CN"/>
        </w:rPr>
        <w:t>（如有）</w:t>
      </w:r>
    </w:p>
    <w:p>
      <w:pPr>
        <w:pStyle w:val="22"/>
        <w:rPr>
          <w:rFonts w:hint="eastAsia" w:ascii="宋体" w:hAnsi="宋体" w:eastAsia="宋体" w:cs="宋体"/>
          <w:b/>
          <w:color w:val="auto"/>
          <w:sz w:val="32"/>
          <w:szCs w:val="32"/>
          <w:highlight w:val="none"/>
          <w:lang w:val="en-US" w:eastAsia="zh-CN"/>
        </w:rPr>
      </w:pPr>
    </w:p>
    <w:p>
      <w:pPr>
        <w:numPr>
          <w:ilvl w:val="0"/>
          <w:numId w:val="0"/>
        </w:numPr>
        <w:spacing w:line="360" w:lineRule="auto"/>
        <w:rPr>
          <w:rFonts w:hint="eastAsia" w:ascii="宋体" w:hAnsi="宋体" w:eastAsia="宋体" w:cs="宋体"/>
          <w:b/>
          <w:color w:val="auto"/>
          <w:sz w:val="32"/>
          <w:szCs w:val="32"/>
          <w:highlight w:val="none"/>
          <w:lang w:val="en-US" w:eastAsia="zh-CN"/>
        </w:rPr>
        <w:sectPr>
          <w:pgSz w:w="11906" w:h="16838"/>
          <w:pgMar w:top="1440" w:right="1797" w:bottom="1440" w:left="1797" w:header="851" w:footer="992" w:gutter="0"/>
          <w:pgNumType w:fmt="decimal"/>
          <w:cols w:space="720" w:num="1"/>
          <w:docGrid w:linePitch="312" w:charSpace="0"/>
        </w:sectPr>
      </w:pPr>
      <w:r>
        <w:rPr>
          <w:rFonts w:hint="eastAsia"/>
          <w:color w:val="auto"/>
          <w:sz w:val="24"/>
          <w:szCs w:val="24"/>
          <w:highlight w:val="none"/>
        </w:rPr>
        <w:t>附件</w:t>
      </w:r>
      <w:r>
        <w:rPr>
          <w:rFonts w:hint="eastAsia"/>
          <w:color w:val="auto"/>
          <w:sz w:val="24"/>
          <w:szCs w:val="24"/>
          <w:highlight w:val="none"/>
          <w:lang w:val="en-US" w:eastAsia="zh-CN"/>
        </w:rPr>
        <w:t>13</w:t>
      </w:r>
      <w:r>
        <w:rPr>
          <w:rFonts w:hint="eastAsia" w:ascii="宋体" w:hAnsi="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企业资信</w:t>
      </w:r>
      <w:r>
        <w:rPr>
          <w:rFonts w:hint="eastAsia" w:ascii="宋体" w:hAnsi="宋体" w:eastAsia="宋体" w:cs="宋体"/>
          <w:b/>
          <w:color w:val="auto"/>
          <w:sz w:val="32"/>
          <w:szCs w:val="32"/>
          <w:highlight w:val="none"/>
          <w:lang w:val="en-US" w:eastAsia="zh-CN"/>
        </w:rPr>
        <w:t>的证明资料</w:t>
      </w:r>
      <w:r>
        <w:rPr>
          <w:rFonts w:hint="eastAsia" w:ascii="宋体" w:hAnsi="宋体" w:cs="宋体"/>
          <w:b/>
          <w:color w:val="auto"/>
          <w:sz w:val="32"/>
          <w:szCs w:val="32"/>
          <w:highlight w:val="none"/>
          <w:lang w:val="en-US" w:eastAsia="zh-CN"/>
        </w:rPr>
        <w:t>（如有）</w:t>
      </w:r>
    </w:p>
    <w:p>
      <w:pPr>
        <w:spacing w:line="360" w:lineRule="auto"/>
        <w:jc w:val="center"/>
        <w:outlineLvl w:val="1"/>
        <w:rPr>
          <w:rFonts w:hint="eastAsia" w:ascii="黑体" w:hAnsi="黑体" w:eastAsia="黑体"/>
          <w:color w:val="auto"/>
          <w:sz w:val="32"/>
          <w:szCs w:val="32"/>
          <w:highlight w:val="none"/>
        </w:rPr>
      </w:pPr>
      <w:r>
        <w:rPr>
          <w:rFonts w:hint="eastAsia" w:ascii="黑体" w:hAnsi="宋体" w:eastAsia="黑体"/>
          <w:color w:val="auto"/>
          <w:sz w:val="32"/>
          <w:szCs w:val="32"/>
          <w:highlight w:val="none"/>
        </w:rPr>
        <w:t>第九章 否决性条款汇总</w:t>
      </w:r>
      <w:bookmarkEnd w:id="1285"/>
      <w:bookmarkEnd w:id="1286"/>
      <w:bookmarkEnd w:id="1287"/>
      <w:bookmarkEnd w:id="1288"/>
      <w:bookmarkEnd w:id="1289"/>
      <w:bookmarkEnd w:id="1290"/>
      <w:bookmarkEnd w:id="1291"/>
      <w:bookmarkEnd w:id="1292"/>
    </w:p>
    <w:p>
      <w:pPr>
        <w:spacing w:line="240" w:lineRule="auto"/>
        <w:ind w:firstLine="0" w:firstLineChars="0"/>
        <w:jc w:val="left"/>
        <w:outlineLvl w:val="9"/>
        <w:rPr>
          <w:rFonts w:hint="eastAsia"/>
          <w:color w:val="auto"/>
          <w:highlight w:val="none"/>
        </w:rPr>
      </w:pPr>
    </w:p>
    <w:p>
      <w:pPr>
        <w:widowControl/>
        <w:spacing w:after="0" w:line="240" w:lineRule="auto"/>
        <w:ind w:firstLine="482"/>
        <w:jc w:val="center"/>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否决性条款单列参考格式</w:t>
      </w:r>
    </w:p>
    <w:p>
      <w:pPr>
        <w:widowControl/>
        <w:spacing w:after="135" w:line="585" w:lineRule="atLeast"/>
        <w:ind w:firstLine="480"/>
        <w:jc w:val="both"/>
        <w:rPr>
          <w:rFonts w:hint="eastAsia" w:ascii="宋体" w:hAnsi="宋体" w:eastAsia="宋体" w:cs="宋体"/>
          <w:color w:val="auto"/>
          <w:kern w:val="0"/>
          <w:sz w:val="24"/>
          <w:szCs w:val="24"/>
          <w:highlight w:val="none"/>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招标人应当在招标文件中将否决性条款集中载明，未集中载明的否决性投标条款，评标时不予认可。如招标文件澄清或修改的内容中增加、删除、修改否决性条款的，招标人应当集中载明调整后完整的否决性条款，并依法发给潜在投标人或投标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否决性条款指招标文件中规定的拒绝受理或者作无效标以及不合格标处理等否定投标文件效力的条款。否决性条款应当意思表示明确、易于判断，不得含有“实质性不响应招标文件要求”、“投标文件中附有招标人不可接受的条件”等评标委员会难以界定的条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不得将文件顺序、明显的文字错误、表格填写信息增加或格式调整等内容等列为否决投标的情形。评委发现资格审查文件中含义不明确、对同类问题表述不一致、有明显文字和计算错误的，应当要求投标人作必要的澄清、说明后再判定投标人是否通过资格审查，不得直接认定其不通过资格审查。</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一、开标时，出现下列情形之一的，不参与资格审查和评标</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1.未成功递交投标文件的；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因投标人原因造成投标文件未解密的；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二、作无效投标的情形</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投标文件不符合招标文件评标办法中形式评审标准、资格评审标准、响应性评审标准的要求。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 项目负责人和安全员为同一人的；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 投标文件中的投标人、项目负责人、安全员与投标登记时的信息不一致的；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 第二章“投标人须知”第1.4.3项规定的任何一种情形的；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 不按评标委员会要求澄清、说明或补正的；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trike w:val="0"/>
          <w:color w:val="auto"/>
          <w:kern w:val="0"/>
          <w:sz w:val="24"/>
          <w:szCs w:val="24"/>
          <w:highlight w:val="none"/>
        </w:rPr>
      </w:pPr>
      <w:r>
        <w:rPr>
          <w:rFonts w:hint="eastAsia" w:ascii="宋体" w:hAnsi="宋体" w:eastAsia="宋体" w:cs="宋体"/>
          <w:strike w:val="0"/>
          <w:color w:val="auto"/>
          <w:kern w:val="0"/>
          <w:sz w:val="24"/>
          <w:szCs w:val="24"/>
          <w:highlight w:val="none"/>
        </w:rPr>
        <w:t>6. 投标人的报价明显低于其他投标报价，或者低于成本警示价的报价，投标人不能合理说明或者不能提供相应证明材料的；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7.不对评标委员会修正后的价格进行书面确认。</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三、作不合格标处理的情形</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投标文件不符合招标文件评标办法中技术部分的要求。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四、其他否定投标文件效力情形</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两个（含两个）以上的投标人加密打包投标文件电脑机器码一致的；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 串通投标或弄虚作假或有其他违法行为的。</w:t>
      </w:r>
    </w:p>
    <w:p>
      <w:pPr>
        <w:widowControl/>
        <w:spacing w:after="135" w:line="360" w:lineRule="auto"/>
        <w:ind w:firstLine="480" w:firstLineChars="200"/>
        <w:jc w:val="left"/>
        <w:outlineLvl w:val="9"/>
        <w:rPr>
          <w:rFonts w:hint="eastAsia" w:ascii="宋体" w:hAnsi="宋体" w:eastAsia="宋体" w:cs="宋体"/>
          <w:color w:val="auto"/>
          <w:kern w:val="0"/>
          <w:sz w:val="24"/>
          <w:szCs w:val="24"/>
          <w:highlight w:val="none"/>
        </w:rPr>
        <w:sectPr>
          <w:pgSz w:w="11906" w:h="16838"/>
          <w:pgMar w:top="1440" w:right="1797" w:bottom="1440" w:left="1797" w:header="851" w:footer="992" w:gutter="0"/>
          <w:pgNumType w:fmt="decimal"/>
          <w:cols w:space="720" w:num="1"/>
          <w:docGrid w:linePitch="312" w:charSpace="0"/>
        </w:sectPr>
      </w:pPr>
    </w:p>
    <w:p>
      <w:pPr>
        <w:spacing w:line="240" w:lineRule="auto"/>
        <w:jc w:val="left"/>
        <w:outlineLvl w:val="9"/>
        <w:rPr>
          <w:color w:val="auto"/>
          <w:highlight w:val="none"/>
        </w:rPr>
      </w:pPr>
    </w:p>
    <w:p>
      <w:pPr>
        <w:pStyle w:val="4"/>
        <w:rPr>
          <w:rFonts w:ascii="宋体" w:hAnsi="宋体"/>
          <w:color w:val="auto"/>
          <w:sz w:val="24"/>
          <w:highlight w:val="none"/>
        </w:rPr>
      </w:pPr>
      <w:bookmarkStart w:id="1293" w:name="_Toc31743"/>
      <w:bookmarkStart w:id="1294" w:name="_Toc17472014"/>
      <w:bookmarkStart w:id="1295" w:name="_Toc17556918"/>
      <w:r>
        <w:rPr>
          <w:rFonts w:hint="eastAsia"/>
          <w:color w:val="auto"/>
          <w:highlight w:val="none"/>
        </w:rPr>
        <w:t>第十章</w:t>
      </w:r>
      <w:r>
        <w:rPr>
          <w:rFonts w:hint="eastAsia"/>
          <w:color w:val="auto"/>
          <w:highlight w:val="none"/>
          <w:lang w:val="en-US" w:eastAsia="zh-CN"/>
        </w:rPr>
        <w:t xml:space="preserve"> </w:t>
      </w:r>
      <w:r>
        <w:rPr>
          <w:rFonts w:hint="eastAsia"/>
          <w:color w:val="auto"/>
          <w:highlight w:val="none"/>
        </w:rPr>
        <w:t>最高投标限价（招标控制价）</w:t>
      </w:r>
      <w:bookmarkEnd w:id="1293"/>
      <w:bookmarkEnd w:id="1294"/>
      <w:bookmarkEnd w:id="1295"/>
    </w:p>
    <w:p>
      <w:pPr>
        <w:spacing w:line="360" w:lineRule="auto"/>
        <w:rPr>
          <w:rFonts w:hint="eastAsia" w:ascii="宋体" w:hAnsi="宋体"/>
          <w:color w:val="auto"/>
          <w:sz w:val="24"/>
          <w:highlight w:val="none"/>
        </w:rPr>
      </w:pPr>
      <w:r>
        <w:rPr>
          <w:rFonts w:hint="eastAsia" w:ascii="宋体" w:hAnsi="宋体" w:eastAsia="宋体" w:cs="宋体"/>
          <w:color w:val="auto"/>
          <w:sz w:val="24"/>
          <w:szCs w:val="24"/>
          <w:highlight w:val="none"/>
        </w:rPr>
        <w:t>注：本章详见招标公告发布网页附件“最高投标限价（招标控制价）公布函”</w:t>
      </w:r>
    </w:p>
    <w:p>
      <w:pPr>
        <w:rPr>
          <w:color w:val="auto"/>
          <w:highlight w:val="none"/>
        </w:rPr>
      </w:pPr>
    </w:p>
    <w:p>
      <w:pPr>
        <w:rPr>
          <w:color w:val="auto"/>
          <w:highlight w:val="none"/>
        </w:rPr>
      </w:pPr>
    </w:p>
    <w:sectPr>
      <w:pgSz w:w="11906" w:h="16838"/>
      <w:pgMar w:top="1440" w:right="1797" w:bottom="1440" w:left="179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DB763C2-F6E6-4610-8260-B850942D42BA}"/>
  </w:font>
  <w:font w:name="Arial">
    <w:panose1 w:val="020B0604020202020204"/>
    <w:charset w:val="01"/>
    <w:family w:val="swiss"/>
    <w:pitch w:val="default"/>
    <w:sig w:usb0="E0002EFF" w:usb1="C000785B" w:usb2="00000009" w:usb3="00000000" w:csb0="400001FF" w:csb1="FFFF0000"/>
    <w:embedRegular r:id="rId2" w:fontKey="{74766C9C-D30A-40FB-92DB-E82F8D6B8A70}"/>
  </w:font>
  <w:font w:name="黑体">
    <w:panose1 w:val="02010609060101010101"/>
    <w:charset w:val="86"/>
    <w:family w:val="auto"/>
    <w:pitch w:val="default"/>
    <w:sig w:usb0="800002BF" w:usb1="38CF7CFA" w:usb2="00000016" w:usb3="00000000" w:csb0="00040001" w:csb1="00000000"/>
    <w:embedRegular r:id="rId3" w:fontKey="{F1CD8C90-70AD-4518-A835-99966A1419F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A950262D-9B7C-4D0B-BDC0-C918AE53033C}"/>
  </w:font>
  <w:font w:name="楷体_GB2312">
    <w:panose1 w:val="02010609030101010101"/>
    <w:charset w:val="86"/>
    <w:family w:val="modern"/>
    <w:pitch w:val="default"/>
    <w:sig w:usb0="00000001" w:usb1="080E0000" w:usb2="00000000" w:usb3="00000000" w:csb0="00040000" w:csb1="00000000"/>
    <w:embedRegular r:id="rId5" w:fontKey="{D1011679-0EFB-45A4-8DC0-0E433CE7A57F}"/>
  </w:font>
  <w:font w:name="仿宋_GB2312">
    <w:panose1 w:val="02010609030101010101"/>
    <w:charset w:val="86"/>
    <w:family w:val="modern"/>
    <w:pitch w:val="default"/>
    <w:sig w:usb0="00000001" w:usb1="080E0000" w:usb2="00000000" w:usb3="00000000" w:csb0="00040000" w:csb1="00000000"/>
    <w:embedRegular r:id="rId6" w:fontKey="{B8E328F4-36AA-44F2-BA88-D1B629BCCE8D}"/>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embedRegular r:id="rId7" w:fontKey="{80C5BB5F-FB7C-4A98-8F2D-347C858A1686}"/>
  </w:font>
  <w:font w:name="Wingdings 2">
    <w:panose1 w:val="05020102010507070707"/>
    <w:charset w:val="02"/>
    <w:family w:val="auto"/>
    <w:pitch w:val="default"/>
    <w:sig w:usb0="00000000" w:usb1="00000000" w:usb2="00000000" w:usb3="00000000" w:csb0="80000000" w:csb1="00000000"/>
    <w:embedRegular r:id="rId8" w:fontKey="{7C00B8BC-7CC9-429F-8E09-509046C63FCD}"/>
  </w:font>
  <w:font w:name="方正楷体_GBK">
    <w:altName w:val="Arial Unicode MS"/>
    <w:panose1 w:val="02000000000000000000"/>
    <w:charset w:val="86"/>
    <w:family w:val="auto"/>
    <w:pitch w:val="default"/>
    <w:sig w:usb0="00000000" w:usb1="00000000" w:usb2="00000016" w:usb3="00000000" w:csb0="00040000" w:csb1="00000000"/>
    <w:embedRegular r:id="rId9" w:fontKey="{50C9FBA4-104A-4F97-8908-2FE4FCB7DB85}"/>
  </w:font>
  <w:font w:name="方正小标宋简体">
    <w:panose1 w:val="03000509000000000000"/>
    <w:charset w:val="86"/>
    <w:family w:val="script"/>
    <w:pitch w:val="default"/>
    <w:sig w:usb0="00000001" w:usb1="080E0000" w:usb2="00000000" w:usb3="00000000" w:csb0="00040000" w:csb1="00000000"/>
    <w:embedRegular r:id="rId10" w:fontKey="{827E3E2B-06C4-41B9-93BB-E888C1CE5528}"/>
  </w:font>
  <w:font w:name="方正黑体_GBK">
    <w:altName w:val="微软雅黑"/>
    <w:panose1 w:val="00000000000000000000"/>
    <w:charset w:val="86"/>
    <w:family w:val="auto"/>
    <w:pitch w:val="default"/>
    <w:sig w:usb0="00000000" w:usb1="00000000" w:usb2="00000000" w:usb3="00000000" w:csb0="00040000" w:csb1="00000000"/>
    <w:embedRegular r:id="rId11" w:fontKey="{4144F474-7565-453B-B648-F851066B9D82}"/>
  </w:font>
  <w:font w:name="微软雅黑">
    <w:panose1 w:val="020B0503020204020204"/>
    <w:charset w:val="86"/>
    <w:family w:val="auto"/>
    <w:pitch w:val="default"/>
    <w:sig w:usb0="80000287" w:usb1="2ACF3C50" w:usb2="00000016" w:usb3="00000000" w:csb0="0004001F" w:csb1="00000000"/>
    <w:embedRegular r:id="rId12" w:fontKey="{B1F5B3F4-0BF3-4FBC-8DB8-0B728DED3001}"/>
  </w:font>
  <w:font w:name="方正小标宋_GBK">
    <w:altName w:val="Arial Unicode MS"/>
    <w:panose1 w:val="03000509000000000000"/>
    <w:charset w:val="86"/>
    <w:family w:val="auto"/>
    <w:pitch w:val="default"/>
    <w:sig w:usb0="00000000" w:usb1="00000000" w:usb2="00000000" w:usb3="00000000" w:csb0="00040000" w:csb1="00000000"/>
    <w:embedRegular r:id="rId13" w:fontKey="{D065D4FE-6786-430E-8068-D7B29354EAFA}"/>
  </w:font>
  <w:font w:name="楷体">
    <w:panose1 w:val="02010609060101010101"/>
    <w:charset w:val="86"/>
    <w:family w:val="modern"/>
    <w:pitch w:val="default"/>
    <w:sig w:usb0="800002BF" w:usb1="38CF7CFA" w:usb2="00000016" w:usb3="00000000" w:csb0="00040001" w:csb1="00000000"/>
    <w:embedRegular r:id="rId14" w:fontKey="{11B8B84B-2F50-44C2-AF98-5EBBF1796A36}"/>
  </w:font>
  <w:font w:name="等线">
    <w:panose1 w:val="02010600030101010101"/>
    <w:charset w:val="86"/>
    <w:family w:val="auto"/>
    <w:pitch w:val="default"/>
    <w:sig w:usb0="A00002BF" w:usb1="38CF7CFA" w:usb2="00000016" w:usb3="00000000" w:csb0="0004000F" w:csb1="00000000"/>
    <w:embedRegular r:id="rId15" w:fontKey="{ECA0F321-1378-4B2D-94F3-EFB994B6EFC1}"/>
  </w:font>
  <w:font w:name="华文宋体">
    <w:panose1 w:val="02010600040101010101"/>
    <w:charset w:val="86"/>
    <w:family w:val="auto"/>
    <w:pitch w:val="default"/>
    <w:sig w:usb0="00000287" w:usb1="080F0000" w:usb2="00000000" w:usb3="00000000" w:csb0="0004009F" w:csb1="DFD70000"/>
    <w:embedRegular r:id="rId16" w:fontKey="{A69F3B7A-B4A3-4D76-A9D2-60D8C5AEB1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9" name="文本框 4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1Gs4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03e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dRrONAIAAGUEAAAOAAAAAAAAAAEAIAAAAB8BAABkcnMvZTJvRG9jLnhtbFBL&#10;BQYAAAAABgAGAFkBAADF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Calibri"/>
        <w:kern w:val="2"/>
        <w:sz w:val="18"/>
        <w:szCs w:val="18"/>
        <w:lang w:val="en-US" w:eastAsia="zh-CN" w:bidi="ar-SA"/>
      </w:rPr>
      <w:fldChar w:fldCharType="begin"/>
    </w:r>
    <w:r>
      <w:rPr>
        <w:rFonts w:ascii="Calibri" w:hAnsi="Calibri" w:eastAsia="宋体" w:cs="Calibri"/>
        <w:kern w:val="2"/>
        <w:sz w:val="18"/>
        <w:szCs w:val="18"/>
        <w:lang w:val="en-US" w:eastAsia="zh-CN" w:bidi="ar-SA"/>
      </w:rPr>
      <w:instrText xml:space="preserve"> PAGE   \* MERGEFORMAT </w:instrText>
    </w:r>
    <w:r>
      <w:rPr>
        <w:rFonts w:ascii="Calibri" w:hAnsi="Calibri" w:eastAsia="宋体" w:cs="Calibri"/>
        <w:kern w:val="2"/>
        <w:sz w:val="18"/>
        <w:szCs w:val="18"/>
        <w:lang w:val="en-US" w:eastAsia="zh-CN" w:bidi="ar-SA"/>
      </w:rPr>
      <w:fldChar w:fldCharType="separate"/>
    </w:r>
    <w:r>
      <w:rPr>
        <w:rFonts w:ascii="Calibri" w:hAnsi="Calibri" w:eastAsia="宋体" w:cs="Calibri"/>
        <w:kern w:val="2"/>
        <w:sz w:val="18"/>
        <w:szCs w:val="18"/>
        <w:lang w:val="zh-CN" w:eastAsia="zh-CN" w:bidi="ar-SA"/>
      </w:rPr>
      <w:t>3</w:t>
    </w:r>
    <w:r>
      <w:rPr>
        <w:rFonts w:ascii="Calibri" w:hAnsi="Calibri" w:eastAsia="宋体" w:cs="Calibri"/>
        <w:kern w:val="2"/>
        <w:sz w:val="18"/>
        <w:szCs w:val="18"/>
        <w:lang w:val="en-US" w:eastAsia="zh-CN" w:bidi="ar-SA"/>
      </w:rPr>
      <w:fldChar w:fldCharType="end"/>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Calibri"/>
        <w:kern w:val="2"/>
        <w:sz w:val="18"/>
        <w:szCs w:val="18"/>
        <w:lang w:val="en-US" w:eastAsia="zh-CN" w:bidi="ar-SA"/>
      </w:rPr>
      <w:fldChar w:fldCharType="begin"/>
    </w:r>
    <w:r>
      <w:rPr>
        <w:rFonts w:ascii="Calibri" w:hAnsi="Calibri" w:eastAsia="宋体" w:cs="Calibri"/>
        <w:kern w:val="2"/>
        <w:sz w:val="18"/>
        <w:szCs w:val="18"/>
        <w:lang w:val="en-US" w:eastAsia="zh-CN" w:bidi="ar-SA"/>
      </w:rPr>
      <w:instrText xml:space="preserve"> PAGE   \* MERGEFORMAT </w:instrText>
    </w:r>
    <w:r>
      <w:rPr>
        <w:rFonts w:ascii="Calibri" w:hAnsi="Calibri" w:eastAsia="宋体" w:cs="Calibri"/>
        <w:kern w:val="2"/>
        <w:sz w:val="18"/>
        <w:szCs w:val="18"/>
        <w:lang w:val="en-US" w:eastAsia="zh-CN" w:bidi="ar-SA"/>
      </w:rPr>
      <w:fldChar w:fldCharType="separate"/>
    </w:r>
    <w:r>
      <w:rPr>
        <w:rFonts w:ascii="Calibri" w:hAnsi="Calibri" w:eastAsia="宋体" w:cs="Calibri"/>
        <w:kern w:val="2"/>
        <w:sz w:val="18"/>
        <w:szCs w:val="18"/>
        <w:lang w:val="zh-CN" w:eastAsia="zh-CN" w:bidi="ar-SA"/>
      </w:rPr>
      <w:t>145</w:t>
    </w:r>
    <w:r>
      <w:rPr>
        <w:rFonts w:ascii="Calibri" w:hAnsi="Calibri" w:eastAsia="宋体" w:cs="Calibri"/>
        <w:kern w:val="2"/>
        <w:sz w:val="18"/>
        <w:szCs w:val="18"/>
        <w:lang w:val="en-US" w:eastAsia="zh-CN" w:bidi="ar-SA"/>
      </w:rPr>
      <w:fldChar w:fldCharType="end"/>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Calibri"/>
        <w:kern w:val="2"/>
        <w:sz w:val="18"/>
        <w:szCs w:val="18"/>
        <w:lang w:val="en-US" w:eastAsia="zh-CN" w:bidi="ar-SA"/>
      </w:rPr>
      <w:fldChar w:fldCharType="begin"/>
    </w:r>
    <w:r>
      <w:rPr>
        <w:rFonts w:ascii="Calibri" w:hAnsi="Calibri" w:eastAsia="宋体" w:cs="Calibri"/>
        <w:kern w:val="2"/>
        <w:sz w:val="18"/>
        <w:szCs w:val="18"/>
        <w:lang w:val="en-US" w:eastAsia="zh-CN" w:bidi="ar-SA"/>
      </w:rPr>
      <w:instrText xml:space="preserve"> PAGE   \* MERGEFORMAT </w:instrText>
    </w:r>
    <w:r>
      <w:rPr>
        <w:rFonts w:ascii="Calibri" w:hAnsi="Calibri" w:eastAsia="宋体" w:cs="Calibri"/>
        <w:kern w:val="2"/>
        <w:sz w:val="18"/>
        <w:szCs w:val="18"/>
        <w:lang w:val="en-US" w:eastAsia="zh-CN" w:bidi="ar-SA"/>
      </w:rPr>
      <w:fldChar w:fldCharType="separate"/>
    </w:r>
    <w:r>
      <w:rPr>
        <w:rFonts w:ascii="Calibri" w:hAnsi="Calibri" w:eastAsia="宋体" w:cs="Calibri"/>
        <w:kern w:val="2"/>
        <w:sz w:val="18"/>
        <w:szCs w:val="18"/>
        <w:lang w:val="zh-CN" w:eastAsia="zh-CN" w:bidi="ar-SA"/>
      </w:rPr>
      <w:t>1</w:t>
    </w:r>
    <w:r>
      <w:rPr>
        <w:rFonts w:ascii="Calibri" w:hAnsi="Calibri" w:eastAsia="宋体" w:cs="Calibri"/>
        <w:kern w:val="2"/>
        <w:sz w:val="18"/>
        <w:szCs w:val="18"/>
        <w:lang w:val="en-US" w:eastAsia="zh-CN" w:bidi="ar-SA"/>
      </w:rPr>
      <w:fldChar w:fldCharType="end"/>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4" name="文本框 4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333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iQqg1AgAAZQQAAA4AAABkcnMvZTJvRG9jLnhtbK1US27bMBDdF+gd&#10;CO5ryU4a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6poSzRRKfv7x&#10;/fzz8fzrG4mHkKi2fobIrUVsaN6ZBo0znHscRuZN4VT8ghOBHwKfLgKLJhAeL00n02kKF4dv2AA/&#10;ebpunQ/vhVEkGhl1qGArLDtufOhCh5CYTZt1JWVbRalJndGbq7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JCqDUCAABlBAAADgAAAAAAAAABACAAAAAfAQAAZHJzL2Uyb0RvYy54bWxQ&#10;SwUGAAAAAAYABgBZAQAAxg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333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51896E"/>
    <w:multiLevelType w:val="singleLevel"/>
    <w:tmpl w:val="B851896E"/>
    <w:lvl w:ilvl="0" w:tentative="0">
      <w:start w:val="48"/>
      <w:numFmt w:val="decimal"/>
      <w:suff w:val="space"/>
      <w:lvlText w:val="%1."/>
      <w:lvlJc w:val="left"/>
    </w:lvl>
  </w:abstractNum>
  <w:abstractNum w:abstractNumId="1">
    <w:nsid w:val="B9DD5580"/>
    <w:multiLevelType w:val="singleLevel"/>
    <w:tmpl w:val="B9DD5580"/>
    <w:lvl w:ilvl="0" w:tentative="0">
      <w:start w:val="62"/>
      <w:numFmt w:val="decimal"/>
      <w:suff w:val="space"/>
      <w:lvlText w:val="%1."/>
      <w:lvlJc w:val="left"/>
    </w:lvl>
  </w:abstractNum>
  <w:abstractNum w:abstractNumId="2">
    <w:nsid w:val="D824A416"/>
    <w:multiLevelType w:val="singleLevel"/>
    <w:tmpl w:val="D824A416"/>
    <w:lvl w:ilvl="0" w:tentative="0">
      <w:start w:val="2"/>
      <w:numFmt w:val="chineseCounting"/>
      <w:suff w:val="nothing"/>
      <w:lvlText w:val="（%1）"/>
      <w:lvlJc w:val="left"/>
      <w:rPr>
        <w:rFonts w:hint="eastAsia"/>
      </w:rPr>
    </w:lvl>
  </w:abstractNum>
  <w:abstractNum w:abstractNumId="3">
    <w:nsid w:val="05A65CA1"/>
    <w:multiLevelType w:val="multilevel"/>
    <w:tmpl w:val="05A65CA1"/>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94E6C37"/>
    <w:multiLevelType w:val="singleLevel"/>
    <w:tmpl w:val="194E6C37"/>
    <w:lvl w:ilvl="0" w:tentative="0">
      <w:start w:val="77"/>
      <w:numFmt w:val="decimal"/>
      <w:suff w:val="space"/>
      <w:lvlText w:val="%1."/>
      <w:lvlJc w:val="left"/>
    </w:lvl>
  </w:abstractNum>
  <w:abstractNum w:abstractNumId="5">
    <w:nsid w:val="259905B5"/>
    <w:multiLevelType w:val="multilevel"/>
    <w:tmpl w:val="259905B5"/>
    <w:lvl w:ilvl="0" w:tentative="0">
      <w:start w:val="1"/>
      <w:numFmt w:val="chineseCountingThousand"/>
      <w:suff w:val="space"/>
      <w:lvlText w:val="第%1章"/>
      <w:lvlJc w:val="left"/>
      <w:pPr>
        <w:ind w:left="567" w:hanging="279"/>
      </w:pPr>
      <w:rPr>
        <w:rFonts w:hint="eastAsia" w:ascii="宋体" w:eastAsia="宋体"/>
        <w:b/>
        <w:i w:val="0"/>
        <w:spacing w:val="0"/>
        <w:position w:val="0"/>
        <w:sz w:val="44"/>
      </w:rPr>
    </w:lvl>
    <w:lvl w:ilvl="1" w:tentative="0">
      <w:start w:val="1"/>
      <w:numFmt w:val="decimal"/>
      <w:suff w:val="space"/>
      <w:lvlText w:val="%2."/>
      <w:lvlJc w:val="left"/>
      <w:pPr>
        <w:ind w:left="454" w:hanging="454"/>
      </w:pPr>
      <w:rPr>
        <w:rFonts w:hint="eastAsia" w:ascii="宋体" w:eastAsia="宋体"/>
        <w:b/>
        <w:i w:val="0"/>
        <w:sz w:val="32"/>
      </w:rPr>
    </w:lvl>
    <w:lvl w:ilvl="2" w:tentative="0">
      <w:start w:val="1"/>
      <w:numFmt w:val="decimal"/>
      <w:suff w:val="space"/>
      <w:lvlText w:val="%2.%3"/>
      <w:lvlJc w:val="left"/>
      <w:pPr>
        <w:ind w:left="454" w:hanging="454"/>
      </w:pPr>
      <w:rPr>
        <w:rFonts w:hint="eastAsia" w:ascii="宋体" w:eastAsia="宋体"/>
        <w:b/>
        <w:i w:val="0"/>
        <w:sz w:val="28"/>
      </w:rPr>
    </w:lvl>
    <w:lvl w:ilvl="3" w:tentative="0">
      <w:start w:val="1"/>
      <w:numFmt w:val="decimal"/>
      <w:suff w:val="space"/>
      <w:lvlText w:val="%2.%3.%4"/>
      <w:lvlJc w:val="left"/>
      <w:pPr>
        <w:ind w:left="284" w:hanging="284"/>
      </w:pPr>
      <w:rPr>
        <w:rFonts w:hint="eastAsia" w:ascii="宋体" w:eastAsia="宋体"/>
        <w:b/>
        <w:i w:val="0"/>
        <w:sz w:val="28"/>
      </w:rPr>
    </w:lvl>
    <w:lvl w:ilvl="4" w:tentative="0">
      <w:start w:val="1"/>
      <w:numFmt w:val="decimal"/>
      <w:isLgl/>
      <w:suff w:val="space"/>
      <w:lvlText w:val="%2.%3.%4.%5"/>
      <w:lvlJc w:val="left"/>
      <w:pPr>
        <w:ind w:left="284" w:hanging="284"/>
      </w:pPr>
      <w:rPr>
        <w:rFonts w:hint="eastAsia" w:ascii="宋体" w:eastAsia="宋体"/>
        <w:b/>
        <w:i w:val="0"/>
        <w:strike w:val="0"/>
        <w:dstrike w:val="0"/>
        <w:sz w:val="28"/>
      </w:rPr>
    </w:lvl>
    <w:lvl w:ilvl="5" w:tentative="0">
      <w:start w:val="1"/>
      <w:numFmt w:val="decimal"/>
      <w:lvlRestart w:val="0"/>
      <w:suff w:val="space"/>
      <w:lvlText w:val="1.1.1.1.1.%6%5"/>
      <w:lvlJc w:val="left"/>
      <w:pPr>
        <w:ind w:left="0" w:firstLine="0"/>
      </w:pPr>
      <w:rPr>
        <w:rFonts w:hint="eastAsia" w:ascii="宋体" w:eastAsia="宋体"/>
        <w:b/>
        <w:i w:val="0"/>
        <w:sz w:val="28"/>
      </w:rPr>
    </w:lvl>
    <w:lvl w:ilvl="6" w:tentative="0">
      <w:start w:val="1"/>
      <w:numFmt w:val="none"/>
      <w:pStyle w:val="5"/>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6">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58A6469F"/>
    <w:multiLevelType w:val="singleLevel"/>
    <w:tmpl w:val="58A6469F"/>
    <w:lvl w:ilvl="0" w:tentative="0">
      <w:start w:val="1"/>
      <w:numFmt w:val="decimal"/>
      <w:suff w:val="nothing"/>
      <w:lvlText w:val="（%1）"/>
      <w:lvlJc w:val="left"/>
    </w:lvl>
  </w:abstractNum>
  <w:abstractNum w:abstractNumId="9">
    <w:nsid w:val="5B691D0A"/>
    <w:multiLevelType w:val="multilevel"/>
    <w:tmpl w:val="5B691D0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5BEBD0F8"/>
    <w:multiLevelType w:val="singleLevel"/>
    <w:tmpl w:val="5BEBD0F8"/>
    <w:lvl w:ilvl="0" w:tentative="0">
      <w:start w:val="3"/>
      <w:numFmt w:val="decimal"/>
      <w:suff w:val="nothing"/>
      <w:lvlText w:val="（%1）"/>
      <w:lvlJc w:val="left"/>
    </w:lvl>
  </w:abstractNum>
  <w:abstractNum w:abstractNumId="11">
    <w:nsid w:val="6114CA86"/>
    <w:multiLevelType w:val="singleLevel"/>
    <w:tmpl w:val="6114CA86"/>
    <w:lvl w:ilvl="0" w:tentative="0">
      <w:start w:val="57"/>
      <w:numFmt w:val="decimal"/>
      <w:suff w:val="space"/>
      <w:lvlText w:val="%1."/>
      <w:lvlJc w:val="left"/>
    </w:lvl>
  </w:abstractNum>
  <w:abstractNum w:abstractNumId="12">
    <w:nsid w:val="774C6470"/>
    <w:multiLevelType w:val="multilevel"/>
    <w:tmpl w:val="774C6470"/>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1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1"/>
  </w:num>
  <w:num w:numId="10">
    <w:abstractNumId w:val="1"/>
  </w:num>
  <w:num w:numId="11">
    <w:abstractNumId w:val="4"/>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7B14AC"/>
    <w:rsid w:val="00D415B4"/>
    <w:rsid w:val="01092CB4"/>
    <w:rsid w:val="020B56EB"/>
    <w:rsid w:val="02A67BAD"/>
    <w:rsid w:val="033D4F45"/>
    <w:rsid w:val="038970F5"/>
    <w:rsid w:val="03CE12DC"/>
    <w:rsid w:val="04B8692E"/>
    <w:rsid w:val="054130E7"/>
    <w:rsid w:val="05990087"/>
    <w:rsid w:val="05D14920"/>
    <w:rsid w:val="075455F6"/>
    <w:rsid w:val="07B676E6"/>
    <w:rsid w:val="08244C1B"/>
    <w:rsid w:val="082877A0"/>
    <w:rsid w:val="087941E1"/>
    <w:rsid w:val="0889295B"/>
    <w:rsid w:val="098659C6"/>
    <w:rsid w:val="09A44226"/>
    <w:rsid w:val="09C25D9D"/>
    <w:rsid w:val="0A73514E"/>
    <w:rsid w:val="0B01549A"/>
    <w:rsid w:val="0B172E75"/>
    <w:rsid w:val="0B793062"/>
    <w:rsid w:val="0C1F241B"/>
    <w:rsid w:val="0D615856"/>
    <w:rsid w:val="0D6909FE"/>
    <w:rsid w:val="0E86473B"/>
    <w:rsid w:val="0E9855CB"/>
    <w:rsid w:val="0EA55FB0"/>
    <w:rsid w:val="0F351F7E"/>
    <w:rsid w:val="108334B7"/>
    <w:rsid w:val="10933068"/>
    <w:rsid w:val="10B44DBA"/>
    <w:rsid w:val="112428AD"/>
    <w:rsid w:val="11573381"/>
    <w:rsid w:val="12054A3B"/>
    <w:rsid w:val="1213199A"/>
    <w:rsid w:val="125700EF"/>
    <w:rsid w:val="12F02A3E"/>
    <w:rsid w:val="13156BF8"/>
    <w:rsid w:val="136F1984"/>
    <w:rsid w:val="13A41FB8"/>
    <w:rsid w:val="13C8429C"/>
    <w:rsid w:val="13ED1548"/>
    <w:rsid w:val="142B4880"/>
    <w:rsid w:val="143A0846"/>
    <w:rsid w:val="14740AB3"/>
    <w:rsid w:val="14F21D83"/>
    <w:rsid w:val="150B0023"/>
    <w:rsid w:val="153E7186"/>
    <w:rsid w:val="156220E0"/>
    <w:rsid w:val="15BA3391"/>
    <w:rsid w:val="15EE2FC6"/>
    <w:rsid w:val="15F730E0"/>
    <w:rsid w:val="16012EE3"/>
    <w:rsid w:val="169A50D9"/>
    <w:rsid w:val="16ED4E9D"/>
    <w:rsid w:val="17004FE3"/>
    <w:rsid w:val="17440288"/>
    <w:rsid w:val="17AF52DD"/>
    <w:rsid w:val="17C4517F"/>
    <w:rsid w:val="18EE2A00"/>
    <w:rsid w:val="19202EC9"/>
    <w:rsid w:val="197660FB"/>
    <w:rsid w:val="1A3146DE"/>
    <w:rsid w:val="1A5F2F30"/>
    <w:rsid w:val="1A8042F5"/>
    <w:rsid w:val="1A945F1A"/>
    <w:rsid w:val="1A9E7A39"/>
    <w:rsid w:val="1B430DC7"/>
    <w:rsid w:val="1B9759A6"/>
    <w:rsid w:val="1BC47A7B"/>
    <w:rsid w:val="1C035D07"/>
    <w:rsid w:val="1C1944CF"/>
    <w:rsid w:val="1C2B5075"/>
    <w:rsid w:val="1C497A59"/>
    <w:rsid w:val="1D20535E"/>
    <w:rsid w:val="1D8C4FE7"/>
    <w:rsid w:val="1DD20393"/>
    <w:rsid w:val="1DFE2B8D"/>
    <w:rsid w:val="1E386B3A"/>
    <w:rsid w:val="1E530C0B"/>
    <w:rsid w:val="1F036E13"/>
    <w:rsid w:val="1F4027C5"/>
    <w:rsid w:val="1F77410B"/>
    <w:rsid w:val="1F7E04E6"/>
    <w:rsid w:val="1FB2290F"/>
    <w:rsid w:val="1FDC1843"/>
    <w:rsid w:val="1FFD768A"/>
    <w:rsid w:val="201B2AAB"/>
    <w:rsid w:val="208948AA"/>
    <w:rsid w:val="2120718A"/>
    <w:rsid w:val="215B2F46"/>
    <w:rsid w:val="21B23FEB"/>
    <w:rsid w:val="22381D5E"/>
    <w:rsid w:val="234261F9"/>
    <w:rsid w:val="235C2A7B"/>
    <w:rsid w:val="237D4D03"/>
    <w:rsid w:val="23C64B71"/>
    <w:rsid w:val="241A5B72"/>
    <w:rsid w:val="245D3E4D"/>
    <w:rsid w:val="25B25F1A"/>
    <w:rsid w:val="2621215F"/>
    <w:rsid w:val="26516A31"/>
    <w:rsid w:val="28CC2D60"/>
    <w:rsid w:val="29262A2C"/>
    <w:rsid w:val="29516B26"/>
    <w:rsid w:val="295F5F0C"/>
    <w:rsid w:val="2A146E0A"/>
    <w:rsid w:val="2A365EA4"/>
    <w:rsid w:val="2A4B7B1E"/>
    <w:rsid w:val="2A763467"/>
    <w:rsid w:val="2ADA0E8C"/>
    <w:rsid w:val="2B2D2CA0"/>
    <w:rsid w:val="2B456B55"/>
    <w:rsid w:val="2CA85629"/>
    <w:rsid w:val="2CF758CE"/>
    <w:rsid w:val="2D07771E"/>
    <w:rsid w:val="2D4D5E8E"/>
    <w:rsid w:val="2D565AE0"/>
    <w:rsid w:val="2E0660FA"/>
    <w:rsid w:val="2EBB2596"/>
    <w:rsid w:val="2ED02D8F"/>
    <w:rsid w:val="2FE57E3B"/>
    <w:rsid w:val="310B1780"/>
    <w:rsid w:val="31370A2B"/>
    <w:rsid w:val="316830B1"/>
    <w:rsid w:val="32763191"/>
    <w:rsid w:val="337A75D1"/>
    <w:rsid w:val="33A536D3"/>
    <w:rsid w:val="33CB1199"/>
    <w:rsid w:val="33E97D03"/>
    <w:rsid w:val="34B03B3A"/>
    <w:rsid w:val="3520256D"/>
    <w:rsid w:val="360C3772"/>
    <w:rsid w:val="36206B51"/>
    <w:rsid w:val="36580CF1"/>
    <w:rsid w:val="378E0847"/>
    <w:rsid w:val="37BD6B1C"/>
    <w:rsid w:val="38416563"/>
    <w:rsid w:val="386718EF"/>
    <w:rsid w:val="3A1527C4"/>
    <w:rsid w:val="3ADD2AE6"/>
    <w:rsid w:val="3C0609F5"/>
    <w:rsid w:val="3C604CDF"/>
    <w:rsid w:val="3C6C58B2"/>
    <w:rsid w:val="3CE34305"/>
    <w:rsid w:val="3CF070EE"/>
    <w:rsid w:val="3D6C533E"/>
    <w:rsid w:val="3E162F50"/>
    <w:rsid w:val="3F545382"/>
    <w:rsid w:val="3FE701A1"/>
    <w:rsid w:val="4039286F"/>
    <w:rsid w:val="4112169D"/>
    <w:rsid w:val="41E224E8"/>
    <w:rsid w:val="428A4F08"/>
    <w:rsid w:val="436B1BF2"/>
    <w:rsid w:val="43DE6684"/>
    <w:rsid w:val="4469261F"/>
    <w:rsid w:val="44AD5D2D"/>
    <w:rsid w:val="458C18C5"/>
    <w:rsid w:val="45C06792"/>
    <w:rsid w:val="45F46C40"/>
    <w:rsid w:val="467E0D69"/>
    <w:rsid w:val="46BF2AD0"/>
    <w:rsid w:val="471801E1"/>
    <w:rsid w:val="47396C7C"/>
    <w:rsid w:val="47A361C5"/>
    <w:rsid w:val="47BE1747"/>
    <w:rsid w:val="48730D31"/>
    <w:rsid w:val="48902BEF"/>
    <w:rsid w:val="491F680A"/>
    <w:rsid w:val="49C55091"/>
    <w:rsid w:val="49F91D05"/>
    <w:rsid w:val="4A0E6820"/>
    <w:rsid w:val="4A4E2177"/>
    <w:rsid w:val="4A590D62"/>
    <w:rsid w:val="4A6C47EF"/>
    <w:rsid w:val="4AE1265F"/>
    <w:rsid w:val="4B68473E"/>
    <w:rsid w:val="4C8A07AF"/>
    <w:rsid w:val="4CEE3778"/>
    <w:rsid w:val="4CFC0531"/>
    <w:rsid w:val="4D0B6C37"/>
    <w:rsid w:val="4D1913AF"/>
    <w:rsid w:val="4D82374C"/>
    <w:rsid w:val="4DC55756"/>
    <w:rsid w:val="4DF20CA9"/>
    <w:rsid w:val="4F3817A8"/>
    <w:rsid w:val="4F7256C4"/>
    <w:rsid w:val="4FDB7305"/>
    <w:rsid w:val="50007476"/>
    <w:rsid w:val="50BD57B4"/>
    <w:rsid w:val="50C351ED"/>
    <w:rsid w:val="514A2245"/>
    <w:rsid w:val="525C448C"/>
    <w:rsid w:val="53412DC0"/>
    <w:rsid w:val="539A2FD0"/>
    <w:rsid w:val="54227D3B"/>
    <w:rsid w:val="55C50C94"/>
    <w:rsid w:val="56431885"/>
    <w:rsid w:val="5681744E"/>
    <w:rsid w:val="56D242B5"/>
    <w:rsid w:val="56E70E8F"/>
    <w:rsid w:val="575F151B"/>
    <w:rsid w:val="57674CDA"/>
    <w:rsid w:val="577A232B"/>
    <w:rsid w:val="57F07268"/>
    <w:rsid w:val="586B07E0"/>
    <w:rsid w:val="58D107A6"/>
    <w:rsid w:val="59F52CCB"/>
    <w:rsid w:val="5AC17FB2"/>
    <w:rsid w:val="5AFF230F"/>
    <w:rsid w:val="5C3D6B78"/>
    <w:rsid w:val="5C757E7F"/>
    <w:rsid w:val="5CA257B9"/>
    <w:rsid w:val="5CE87A08"/>
    <w:rsid w:val="5D390D4B"/>
    <w:rsid w:val="5D6C29E3"/>
    <w:rsid w:val="5E242F35"/>
    <w:rsid w:val="5E507583"/>
    <w:rsid w:val="5EB16EF1"/>
    <w:rsid w:val="5EEE4925"/>
    <w:rsid w:val="5F0B4827"/>
    <w:rsid w:val="5F8B4540"/>
    <w:rsid w:val="5FC75421"/>
    <w:rsid w:val="607B14AC"/>
    <w:rsid w:val="60FD3FCE"/>
    <w:rsid w:val="61A43E15"/>
    <w:rsid w:val="61A72FA5"/>
    <w:rsid w:val="61E41734"/>
    <w:rsid w:val="62130864"/>
    <w:rsid w:val="62CD6608"/>
    <w:rsid w:val="631A3C7C"/>
    <w:rsid w:val="63787856"/>
    <w:rsid w:val="63B2417E"/>
    <w:rsid w:val="63CA4F8D"/>
    <w:rsid w:val="65526B5A"/>
    <w:rsid w:val="65661142"/>
    <w:rsid w:val="65D61062"/>
    <w:rsid w:val="667F02CE"/>
    <w:rsid w:val="6684253E"/>
    <w:rsid w:val="668C4B92"/>
    <w:rsid w:val="66E95FDC"/>
    <w:rsid w:val="67400422"/>
    <w:rsid w:val="67763234"/>
    <w:rsid w:val="67CD0E24"/>
    <w:rsid w:val="68A7644B"/>
    <w:rsid w:val="68AD2C7C"/>
    <w:rsid w:val="68DB72BC"/>
    <w:rsid w:val="68EB414E"/>
    <w:rsid w:val="6947736D"/>
    <w:rsid w:val="69B25C51"/>
    <w:rsid w:val="69BE7DC9"/>
    <w:rsid w:val="6AB207E0"/>
    <w:rsid w:val="6AD1505C"/>
    <w:rsid w:val="6CAF42D9"/>
    <w:rsid w:val="6CBE3FF6"/>
    <w:rsid w:val="6D614763"/>
    <w:rsid w:val="6D95377E"/>
    <w:rsid w:val="6DC74F41"/>
    <w:rsid w:val="6DFE11E3"/>
    <w:rsid w:val="6E1605D8"/>
    <w:rsid w:val="6E406A7C"/>
    <w:rsid w:val="6F1C23DC"/>
    <w:rsid w:val="6F484ABE"/>
    <w:rsid w:val="6FF52C75"/>
    <w:rsid w:val="700355D3"/>
    <w:rsid w:val="709734EF"/>
    <w:rsid w:val="709F63BC"/>
    <w:rsid w:val="70AA06C3"/>
    <w:rsid w:val="723C1B8C"/>
    <w:rsid w:val="730A53FB"/>
    <w:rsid w:val="73227587"/>
    <w:rsid w:val="7327165F"/>
    <w:rsid w:val="735E03B0"/>
    <w:rsid w:val="74367FCB"/>
    <w:rsid w:val="74C907C3"/>
    <w:rsid w:val="74F36643"/>
    <w:rsid w:val="750D2C12"/>
    <w:rsid w:val="757415C3"/>
    <w:rsid w:val="7591343A"/>
    <w:rsid w:val="767A5079"/>
    <w:rsid w:val="76B6454F"/>
    <w:rsid w:val="777D1079"/>
    <w:rsid w:val="78202029"/>
    <w:rsid w:val="787B6CB1"/>
    <w:rsid w:val="78A52608"/>
    <w:rsid w:val="7925102C"/>
    <w:rsid w:val="794147D9"/>
    <w:rsid w:val="79F27825"/>
    <w:rsid w:val="79FC5D1F"/>
    <w:rsid w:val="7A0A481C"/>
    <w:rsid w:val="7A3B597C"/>
    <w:rsid w:val="7A953E4A"/>
    <w:rsid w:val="7B826A06"/>
    <w:rsid w:val="7C846EF3"/>
    <w:rsid w:val="7C881A1D"/>
    <w:rsid w:val="7C884A34"/>
    <w:rsid w:val="7C91433E"/>
    <w:rsid w:val="7C9840F0"/>
    <w:rsid w:val="7DCD6B23"/>
    <w:rsid w:val="7E1C29B7"/>
    <w:rsid w:val="7EB57B62"/>
    <w:rsid w:val="7F040DD8"/>
    <w:rsid w:val="7F7C5EE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3"/>
    <w:next w:val="1"/>
    <w:qFormat/>
    <w:uiPriority w:val="0"/>
    <w:pPr>
      <w:keepNext/>
      <w:keepLines/>
      <w:spacing w:before="260" w:after="260" w:line="415" w:lineRule="auto"/>
      <w:jc w:val="center"/>
      <w:outlineLvl w:val="1"/>
    </w:pPr>
    <w:rPr>
      <w:rFonts w:ascii="黑体" w:hAnsi="黑体" w:eastAsia="黑体"/>
      <w:sz w:val="30"/>
      <w:szCs w:val="30"/>
    </w:rPr>
  </w:style>
  <w:style w:type="paragraph" w:styleId="5">
    <w:name w:val="heading 7"/>
    <w:basedOn w:val="1"/>
    <w:next w:val="6"/>
    <w:qFormat/>
    <w:uiPriority w:val="0"/>
    <w:pPr>
      <w:keepNext/>
      <w:keepLines/>
      <w:numPr>
        <w:ilvl w:val="6"/>
        <w:numId w:val="1"/>
      </w:numPr>
      <w:spacing w:before="240" w:after="64" w:line="320" w:lineRule="auto"/>
      <w:outlineLvl w:val="6"/>
    </w:pPr>
    <w:rPr>
      <w:rFonts w:ascii="Times New Roman" w:hAnsi="Times New Roman"/>
      <w:b/>
      <w:kern w:val="0"/>
      <w:sz w:val="24"/>
      <w:szCs w:val="20"/>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w:basedOn w:val="1"/>
    <w:next w:val="1"/>
    <w:unhideWhenUsed/>
    <w:qFormat/>
    <w:uiPriority w:val="0"/>
    <w:pPr>
      <w:spacing w:after="120"/>
    </w:pPr>
  </w:style>
  <w:style w:type="paragraph" w:styleId="6">
    <w:name w:val="Normal Indent"/>
    <w:basedOn w:val="1"/>
    <w:next w:val="1"/>
    <w:unhideWhenUsed/>
    <w:qFormat/>
    <w:uiPriority w:val="0"/>
    <w:pPr>
      <w:ind w:firstLine="420" w:firstLineChars="200"/>
    </w:pPr>
  </w:style>
  <w:style w:type="paragraph" w:styleId="7">
    <w:name w:val="annotation text"/>
    <w:basedOn w:val="1"/>
    <w:next w:val="1"/>
    <w:unhideWhenUsed/>
    <w:qFormat/>
    <w:uiPriority w:val="99"/>
    <w:pPr>
      <w:jc w:val="left"/>
    </w:pPr>
  </w:style>
  <w:style w:type="paragraph" w:styleId="8">
    <w:name w:val="Body Text 3"/>
    <w:basedOn w:val="1"/>
    <w:unhideWhenUsed/>
    <w:qFormat/>
    <w:uiPriority w:val="99"/>
    <w:pPr>
      <w:spacing w:after="120"/>
    </w:pPr>
    <w:rPr>
      <w:kern w:val="0"/>
      <w:sz w:val="16"/>
      <w:szCs w:val="16"/>
    </w:rPr>
  </w:style>
  <w:style w:type="paragraph" w:styleId="9">
    <w:name w:val="Body Text Indent"/>
    <w:basedOn w:val="1"/>
    <w:next w:val="10"/>
    <w:qFormat/>
    <w:uiPriority w:val="0"/>
    <w:pPr>
      <w:spacing w:after="120"/>
      <w:ind w:left="420" w:leftChars="200"/>
    </w:pPr>
    <w:rPr>
      <w:rFonts w:ascii="Times New Roman" w:hAnsi="Times New Roman"/>
      <w:kern w:val="0"/>
      <w:sz w:val="20"/>
      <w:szCs w:val="24"/>
    </w:rPr>
  </w:style>
  <w:style w:type="paragraph" w:styleId="10">
    <w:name w:val="envelope return"/>
    <w:basedOn w:val="1"/>
    <w:qFormat/>
    <w:uiPriority w:val="0"/>
    <w:pPr>
      <w:snapToGrid w:val="0"/>
    </w:pPr>
    <w:rPr>
      <w:rFonts w:ascii="Arial" w:hAnsi="Arial"/>
    </w:rPr>
  </w:style>
  <w:style w:type="paragraph" w:styleId="11">
    <w:name w:val="footer"/>
    <w:basedOn w:val="1"/>
    <w:unhideWhenUsed/>
    <w:qFormat/>
    <w:uiPriority w:val="99"/>
    <w:pPr>
      <w:tabs>
        <w:tab w:val="center" w:pos="4153"/>
        <w:tab w:val="right" w:pos="8306"/>
      </w:tabs>
      <w:snapToGrid w:val="0"/>
      <w:jc w:val="left"/>
    </w:pPr>
    <w:rPr>
      <w:kern w:val="0"/>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39"/>
    <w:pPr>
      <w:tabs>
        <w:tab w:val="right" w:leader="dot" w:pos="9060"/>
      </w:tabs>
      <w:spacing w:before="120" w:after="120"/>
      <w:jc w:val="center"/>
    </w:pPr>
    <w:rPr>
      <w:rFonts w:ascii="Times New Roman" w:hAnsi="Times New Roman" w:eastAsia="宋体" w:cs="Times New Roman"/>
      <w:b/>
      <w:bCs/>
      <w:caps/>
      <w:sz w:val="24"/>
      <w:szCs w:val="24"/>
    </w:rPr>
  </w:style>
  <w:style w:type="paragraph" w:styleId="14">
    <w:name w:val="toc 2"/>
    <w:basedOn w:val="1"/>
    <w:next w:val="1"/>
    <w:qFormat/>
    <w:uiPriority w:val="39"/>
    <w:pPr>
      <w:tabs>
        <w:tab w:val="right" w:leader="dot" w:pos="8302"/>
      </w:tabs>
      <w:ind w:left="210"/>
      <w:jc w:val="left"/>
    </w:pPr>
    <w:rPr>
      <w:rFonts w:ascii="Times New Roman" w:hAnsi="Times New Roman" w:eastAsia="宋体" w:cs="Times New Roman"/>
      <w:smallCaps/>
      <w:sz w:val="20"/>
      <w:szCs w:val="20"/>
    </w:rPr>
  </w:style>
  <w:style w:type="paragraph" w:styleId="15">
    <w:name w:val="Body Text 2"/>
    <w:basedOn w:val="1"/>
    <w:unhideWhenUsed/>
    <w:qFormat/>
    <w:uiPriority w:val="0"/>
    <w:rPr>
      <w:rFonts w:ascii="宋体" w:hAnsi="宋体" w:eastAsia="楷体_GB2312"/>
      <w:kern w:val="0"/>
      <w:sz w:val="20"/>
      <w:szCs w:val="24"/>
      <w:u w:val="single"/>
    </w:rPr>
  </w:style>
  <w:style w:type="paragraph" w:styleId="16">
    <w:name w:val="Normal (Web)"/>
    <w:basedOn w:val="1"/>
    <w:qFormat/>
    <w:uiPriority w:val="99"/>
    <w:pPr>
      <w:widowControl/>
      <w:spacing w:before="100" w:beforeAutospacing="1" w:after="100" w:afterAutospacing="1"/>
      <w:jc w:val="left"/>
    </w:pPr>
    <w:rPr>
      <w:rFonts w:ascii="Times New Roman" w:hAnsi="Times New Roman" w:eastAsia="宋体" w:cs="Times New Roman"/>
      <w:kern w:val="0"/>
      <w:sz w:val="24"/>
      <w:szCs w:val="24"/>
    </w:rPr>
  </w:style>
  <w:style w:type="paragraph" w:styleId="17">
    <w:name w:val="Body Text First Indent"/>
    <w:basedOn w:val="2"/>
    <w:qFormat/>
    <w:uiPriority w:val="0"/>
    <w:pPr>
      <w:ind w:firstLine="420"/>
    </w:pPr>
    <w:rPr>
      <w:rFonts w:ascii="Times New Roman" w:hAnsi="Times New Roman" w:eastAsia="楷体_GB2312"/>
      <w:kern w:val="0"/>
      <w:sz w:val="20"/>
      <w:szCs w:val="20"/>
    </w:rPr>
  </w:style>
  <w:style w:type="paragraph" w:styleId="18">
    <w:name w:val="Body Text First Indent 2"/>
    <w:basedOn w:val="9"/>
    <w:next w:val="17"/>
    <w:qFormat/>
    <w:uiPriority w:val="0"/>
    <w:pPr>
      <w:adjustRightInd w:val="0"/>
      <w:spacing w:line="360" w:lineRule="auto"/>
      <w:ind w:left="0" w:leftChars="0" w:firstLine="420"/>
      <w:textAlignment w:val="baseline"/>
    </w:pPr>
    <w:rPr>
      <w:color w:val="000000"/>
    </w:rPr>
  </w:style>
  <w:style w:type="table" w:styleId="20">
    <w:name w:val="Table Grid"/>
    <w:basedOn w:val="1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23">
    <w:name w:val="_Style 11"/>
    <w:basedOn w:val="3"/>
    <w:next w:val="1"/>
    <w:qFormat/>
    <w:uiPriority w:val="39"/>
    <w:pPr>
      <w:widowControl/>
      <w:spacing w:before="240" w:after="0" w:line="259" w:lineRule="auto"/>
      <w:jc w:val="left"/>
      <w:outlineLvl w:val="9"/>
    </w:pPr>
    <w:rPr>
      <w:rFonts w:ascii="Calibri Light" w:hAnsi="Calibri Light" w:eastAsia="宋体" w:cs="Times New Roman"/>
      <w:b w:val="0"/>
      <w:bCs w:val="0"/>
      <w:color w:val="2E74B5"/>
      <w:kern w:val="0"/>
      <w:sz w:val="32"/>
      <w:szCs w:val="32"/>
    </w:rPr>
  </w:style>
  <w:style w:type="paragraph" w:customStyle="1" w:styleId="24">
    <w:name w:val="p0"/>
    <w:basedOn w:val="1"/>
    <w:qFormat/>
    <w:uiPriority w:val="0"/>
    <w:pPr>
      <w:widowControl/>
      <w:spacing w:before="75" w:after="75"/>
      <w:jc w:val="left"/>
    </w:pPr>
    <w:rPr>
      <w:rFonts w:ascii="宋体" w:hAnsi="宋体" w:cs="宋体"/>
      <w:kern w:val="0"/>
      <w:sz w:val="24"/>
      <w:szCs w:val="24"/>
    </w:rPr>
  </w:style>
  <w:style w:type="paragraph" w:customStyle="1" w:styleId="25">
    <w:name w:val="正文缩进1"/>
    <w:basedOn w:val="26"/>
    <w:unhideWhenUsed/>
    <w:qFormat/>
    <w:uiPriority w:val="0"/>
    <w:pPr>
      <w:spacing w:beforeLines="0" w:afterLines="0" w:line="360" w:lineRule="auto"/>
      <w:ind w:firstLine="200" w:firstLineChars="200"/>
      <w:jc w:val="both"/>
    </w:pPr>
    <w:rPr>
      <w:rFonts w:hint="eastAsia" w:ascii="Times New Roman" w:hAnsi="Times New Roman" w:eastAsia="Times New Roman" w:cs="Times New Roman"/>
      <w:kern w:val="2"/>
      <w:sz w:val="24"/>
      <w:szCs w:val="22"/>
      <w:lang w:val="en-US" w:eastAsia="zh-CN" w:bidi="ar"/>
    </w:rPr>
  </w:style>
  <w:style w:type="paragraph" w:customStyle="1" w:styleId="26">
    <w:name w:val="正文1"/>
    <w:basedOn w:val="1"/>
    <w:unhideWhenUsed/>
    <w:qFormat/>
    <w:uiPriority w:val="0"/>
    <w:pPr>
      <w:spacing w:beforeLines="0" w:afterLines="0" w:line="240" w:lineRule="atLeast"/>
      <w:jc w:val="center"/>
      <w:textAlignment w:val="baseline"/>
    </w:pPr>
    <w:rPr>
      <w:rFonts w:hint="default" w:ascii="Tahoma" w:hAnsi="Tahoma" w:eastAsia="宋体"/>
      <w:sz w:val="24"/>
      <w:szCs w:val="24"/>
    </w:rPr>
  </w:style>
  <w:style w:type="paragraph" w:customStyle="1" w:styleId="27">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28">
    <w:name w:val="发文落款"/>
    <w:basedOn w:val="27"/>
    <w:qFormat/>
    <w:uiPriority w:val="99"/>
    <w:pPr>
      <w:ind w:left="4094" w:right="607" w:firstLine="0"/>
      <w:jc w:val="center"/>
    </w:pPr>
    <w:rPr>
      <w:rFonts w:cs="仿宋_GB2312"/>
      <w:szCs w:val="32"/>
    </w:rPr>
  </w:style>
  <w:style w:type="paragraph" w:customStyle="1" w:styleId="29">
    <w:name w:val="普通 (Web)"/>
    <w:basedOn w:val="1"/>
    <w:qFormat/>
    <w:uiPriority w:val="0"/>
    <w:pPr>
      <w:widowControl/>
      <w:spacing w:before="100" w:after="100"/>
      <w:jc w:val="left"/>
    </w:pPr>
    <w:rPr>
      <w:rFonts w:ascii="Arial Unicode MS" w:hAnsi="Arial Unicode MS" w:eastAsia="Arial Unicode MS"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0"/>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376</Pages>
  <Words>25779</Words>
  <Characters>27328</Characters>
  <Lines>0</Lines>
  <Paragraphs>0</Paragraphs>
  <TotalTime>9</TotalTime>
  <ScaleCrop>false</ScaleCrop>
  <LinksUpToDate>false</LinksUpToDate>
  <CharactersWithSpaces>28425</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2024-12-09T10:13:00Z</dcterms:created>
  <dc:creator>王嘉敏</dc:creator>
  <cp:lastModifiedBy>王嘉敏</cp:lastModifiedBy>
  <cp:lastPrinted>2025-04-03T07:16:39Z</cp:lastPrinted>
  <dcterms:modified xsi:type="dcterms:W3CDTF">2025-04-03T07:16:57Z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00CDB9C42D8E46B3AC27E4977EF4CB38</vt:lpwstr>
  </property>
</Properties>
</file>