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C9A70">
      <w:pPr>
        <w:spacing w:before="63" w:line="224" w:lineRule="auto"/>
        <w:ind w:left="1609"/>
        <w:outlineLvl w:val="0"/>
        <w:rPr>
          <w:rFonts w:ascii="宋体" w:hAnsi="宋体" w:eastAsia="宋体" w:cs="宋体"/>
          <w:color w:val="000000" w:themeColor="text1"/>
          <w:sz w:val="31"/>
          <w:szCs w:val="31"/>
          <w:highlight w:val="none"/>
          <w14:textFill>
            <w14:solidFill>
              <w14:schemeClr w14:val="tx1"/>
            </w14:solidFill>
          </w14:textFill>
        </w:rPr>
      </w:pPr>
      <w:bookmarkStart w:id="0" w:name="_Toc25184"/>
      <w:r>
        <w:rPr>
          <w:rFonts w:ascii="宋体" w:hAnsi="宋体" w:eastAsia="宋体" w:cs="宋体"/>
          <w:b/>
          <w:bCs/>
          <w:color w:val="000000" w:themeColor="text1"/>
          <w:spacing w:val="6"/>
          <w:sz w:val="31"/>
          <w:szCs w:val="31"/>
          <w:highlight w:val="none"/>
          <w14:textFill>
            <w14:solidFill>
              <w14:schemeClr w14:val="tx1"/>
            </w14:solidFill>
          </w14:textFill>
        </w:rPr>
        <w:t>第三章</w:t>
      </w:r>
      <w:r>
        <w:rPr>
          <w:rFonts w:ascii="宋体" w:hAnsi="宋体" w:eastAsia="宋体" w:cs="宋体"/>
          <w:color w:val="000000" w:themeColor="text1"/>
          <w:spacing w:val="6"/>
          <w:sz w:val="31"/>
          <w:szCs w:val="31"/>
          <w:highlight w:val="none"/>
          <w14:textFill>
            <w14:solidFill>
              <w14:schemeClr w14:val="tx1"/>
            </w14:solidFill>
          </w14:textFill>
        </w:rPr>
        <w:t xml:space="preserve">  </w:t>
      </w:r>
      <w:r>
        <w:rPr>
          <w:rFonts w:ascii="宋体" w:hAnsi="宋体" w:eastAsia="宋体" w:cs="宋体"/>
          <w:b/>
          <w:bCs/>
          <w:color w:val="000000" w:themeColor="text1"/>
          <w:spacing w:val="6"/>
          <w:sz w:val="31"/>
          <w:szCs w:val="31"/>
          <w:highlight w:val="none"/>
          <w14:textFill>
            <w14:solidFill>
              <w14:schemeClr w14:val="tx1"/>
            </w14:solidFill>
          </w14:textFill>
        </w:rPr>
        <w:t>评标办法（双信封的综合评分法）</w:t>
      </w:r>
      <w:bookmarkEnd w:id="0"/>
    </w:p>
    <w:p w14:paraId="3C8C17D2">
      <w:pPr>
        <w:spacing w:before="78" w:line="219" w:lineRule="auto"/>
        <w:ind w:left="120"/>
        <w:jc w:val="center"/>
        <w:outlineLvl w:val="0"/>
        <w:rPr>
          <w:rFonts w:ascii="宋体" w:hAnsi="宋体" w:eastAsia="宋体" w:cs="宋体"/>
          <w:color w:val="000000" w:themeColor="text1"/>
          <w:sz w:val="12"/>
          <w:szCs w:val="12"/>
          <w:highlight w:val="none"/>
          <w14:textFill>
            <w14:solidFill>
              <w14:schemeClr w14:val="tx1"/>
            </w14:solidFill>
          </w14:textFill>
        </w:rPr>
      </w:pPr>
      <w:bookmarkStart w:id="1" w:name="bookmark21"/>
      <w:bookmarkEnd w:id="1"/>
      <w:bookmarkStart w:id="2" w:name="_Toc17216"/>
      <w:r>
        <w:rPr>
          <w:rFonts w:ascii="宋体" w:hAnsi="宋体" w:eastAsia="宋体" w:cs="宋体"/>
          <w:b/>
          <w:bCs/>
          <w:color w:val="000000" w:themeColor="text1"/>
          <w:spacing w:val="-3"/>
          <w:sz w:val="24"/>
          <w:szCs w:val="24"/>
          <w:highlight w:val="none"/>
          <w14:textFill>
            <w14:solidFill>
              <w14:schemeClr w14:val="tx1"/>
            </w14:solidFill>
          </w14:textFill>
        </w:rPr>
        <w:t>评标办法前附表</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"bookmark95" </w:instrText>
      </w:r>
      <w:r>
        <w:rPr>
          <w:color w:val="000000" w:themeColor="text1"/>
          <w:highlight w:val="none"/>
          <w14:textFill>
            <w14:solidFill>
              <w14:schemeClr w14:val="tx1"/>
            </w14:solidFill>
          </w14:textFill>
        </w:rPr>
        <w:fldChar w:fldCharType="separate"/>
      </w:r>
      <w:r>
        <w:rPr>
          <w:rFonts w:ascii="宋体" w:hAnsi="宋体" w:eastAsia="宋体" w:cs="宋体"/>
          <w:color w:val="000000" w:themeColor="text1"/>
          <w:spacing w:val="-3"/>
          <w:position w:val="12"/>
          <w:sz w:val="12"/>
          <w:szCs w:val="12"/>
          <w:highlight w:val="none"/>
          <w14:textFill>
            <w14:solidFill>
              <w14:schemeClr w14:val="tx1"/>
            </w14:solidFill>
          </w14:textFill>
        </w:rPr>
        <w:t>1</w:t>
      </w:r>
      <w:r>
        <w:rPr>
          <w:rFonts w:ascii="宋体" w:hAnsi="宋体" w:eastAsia="宋体" w:cs="宋体"/>
          <w:color w:val="000000" w:themeColor="text1"/>
          <w:spacing w:val="-3"/>
          <w:position w:val="12"/>
          <w:sz w:val="12"/>
          <w:szCs w:val="12"/>
          <w:highlight w:val="none"/>
          <w14:textFill>
            <w14:solidFill>
              <w14:schemeClr w14:val="tx1"/>
            </w14:solidFill>
          </w14:textFill>
        </w:rPr>
        <w:fldChar w:fldCharType="end"/>
      </w:r>
      <w:bookmarkEnd w:id="2"/>
    </w:p>
    <w:p w14:paraId="638F081C">
      <w:pPr>
        <w:spacing w:line="16" w:lineRule="exact"/>
        <w:rPr>
          <w:color w:val="000000" w:themeColor="text1"/>
          <w:highlight w:val="none"/>
          <w14:textFill>
            <w14:solidFill>
              <w14:schemeClr w14:val="tx1"/>
            </w14:solidFill>
          </w14:textFill>
        </w:rPr>
      </w:pPr>
    </w:p>
    <w:tbl>
      <w:tblPr>
        <w:tblStyle w:val="9"/>
        <w:tblW w:w="10217" w:type="dxa"/>
        <w:tblInd w:w="-1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0"/>
        <w:gridCol w:w="1641"/>
        <w:gridCol w:w="7476"/>
      </w:tblGrid>
      <w:tr w14:paraId="1A46A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741" w:type="dxa"/>
            <w:gridSpan w:val="2"/>
            <w:vAlign w:val="top"/>
          </w:tcPr>
          <w:p w14:paraId="7B7EDC01">
            <w:pPr>
              <w:pStyle w:val="8"/>
              <w:spacing w:before="35" w:line="228" w:lineRule="auto"/>
              <w:ind w:left="827"/>
              <w:rPr>
                <w:color w:val="000000" w:themeColor="text1"/>
                <w:highlight w:val="none"/>
                <w14:textFill>
                  <w14:solidFill>
                    <w14:schemeClr w14:val="tx1"/>
                  </w14:solidFill>
                </w14:textFill>
              </w:rPr>
            </w:pPr>
            <w:r>
              <w:rPr>
                <w:b/>
                <w:bCs/>
                <w:color w:val="000000" w:themeColor="text1"/>
                <w:spacing w:val="5"/>
                <w:highlight w:val="none"/>
                <w14:textFill>
                  <w14:solidFill>
                    <w14:schemeClr w14:val="tx1"/>
                  </w14:solidFill>
                </w14:textFill>
              </w:rPr>
              <w:t>条款号</w:t>
            </w:r>
          </w:p>
        </w:tc>
        <w:tc>
          <w:tcPr>
            <w:tcW w:w="7476" w:type="dxa"/>
            <w:vAlign w:val="top"/>
          </w:tcPr>
          <w:p w14:paraId="0A6EE3E6">
            <w:pPr>
              <w:pStyle w:val="8"/>
              <w:spacing w:before="35" w:line="228" w:lineRule="auto"/>
              <w:ind w:left="2346"/>
              <w:rPr>
                <w:color w:val="000000" w:themeColor="text1"/>
                <w:highlight w:val="none"/>
                <w14:textFill>
                  <w14:solidFill>
                    <w14:schemeClr w14:val="tx1"/>
                  </w14:solidFill>
                </w14:textFill>
              </w:rPr>
            </w:pPr>
            <w:r>
              <w:rPr>
                <w:b/>
                <w:bCs/>
                <w:color w:val="000000" w:themeColor="text1"/>
                <w:spacing w:val="11"/>
                <w:highlight w:val="none"/>
                <w14:textFill>
                  <w14:solidFill>
                    <w14:schemeClr w14:val="tx1"/>
                  </w14:solidFill>
                </w14:textFill>
              </w:rPr>
              <w:t>评审因素与评审标准</w:t>
            </w:r>
          </w:p>
        </w:tc>
      </w:tr>
      <w:tr w14:paraId="3A9D3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1" w:hRule="atLeast"/>
        </w:trPr>
        <w:tc>
          <w:tcPr>
            <w:tcW w:w="1100" w:type="dxa"/>
            <w:vAlign w:val="center"/>
          </w:tcPr>
          <w:p w14:paraId="77F3F5AD">
            <w:pPr>
              <w:pStyle w:val="8"/>
              <w:spacing w:before="65" w:line="189" w:lineRule="auto"/>
              <w:ind w:left="466"/>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641" w:type="dxa"/>
            <w:vAlign w:val="center"/>
          </w:tcPr>
          <w:p w14:paraId="4FFF85B6">
            <w:pPr>
              <w:pStyle w:val="8"/>
              <w:spacing w:before="65" w:line="228" w:lineRule="auto"/>
              <w:jc w:val="center"/>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评标方法</w:t>
            </w:r>
          </w:p>
        </w:tc>
        <w:tc>
          <w:tcPr>
            <w:tcW w:w="7476" w:type="dxa"/>
            <w:vAlign w:val="top"/>
          </w:tcPr>
          <w:p w14:paraId="2D98A2E6">
            <w:pPr>
              <w:pStyle w:val="8"/>
              <w:spacing w:before="30" w:line="362" w:lineRule="auto"/>
              <w:ind w:left="115" w:right="107" w:firstLine="288"/>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综合评分相等时，评标委员会依次按照以下优先顺序推荐中标候选</w:t>
            </w:r>
            <w:r>
              <w:rPr>
                <w:color w:val="000000" w:themeColor="text1"/>
                <w:spacing w:val="15"/>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人或确定中标人：</w:t>
            </w:r>
          </w:p>
          <w:p w14:paraId="551DD975">
            <w:pPr>
              <w:pStyle w:val="8"/>
              <w:spacing w:before="33" w:line="226" w:lineRule="auto"/>
              <w:ind w:left="411"/>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（1）评标价低的投标人优先；</w:t>
            </w:r>
          </w:p>
          <w:p w14:paraId="57329E0D">
            <w:pPr>
              <w:pStyle w:val="8"/>
              <w:spacing w:before="165" w:line="347" w:lineRule="auto"/>
              <w:ind w:left="113" w:right="107" w:firstLine="298"/>
              <w:rPr>
                <w:color w:val="000000" w:themeColor="text1"/>
                <w:spacing w:val="8"/>
                <w:highlight w:val="none"/>
                <w14:textFill>
                  <w14:solidFill>
                    <w14:schemeClr w14:val="tx1"/>
                  </w14:solidFill>
                </w14:textFill>
              </w:rPr>
            </w:pPr>
            <w:r>
              <w:rPr>
                <w:color w:val="000000" w:themeColor="text1"/>
                <w:spacing w:val="14"/>
                <w:highlight w:val="none"/>
                <w14:textFill>
                  <w14:solidFill>
                    <w14:schemeClr w14:val="tx1"/>
                  </w14:solidFill>
                </w14:textFill>
              </w:rPr>
              <w:t>（2）按招标文件规定被认定为最新年度广</w:t>
            </w:r>
            <w:r>
              <w:rPr>
                <w:color w:val="000000" w:themeColor="text1"/>
                <w:spacing w:val="13"/>
                <w:highlight w:val="none"/>
                <w14:textFill>
                  <w14:solidFill>
                    <w14:schemeClr w14:val="tx1"/>
                  </w14:solidFill>
                </w14:textFill>
              </w:rPr>
              <w:t>东省水运工程从业单位</w:t>
            </w:r>
            <w:r>
              <w:rPr>
                <w:color w:val="000000" w:themeColor="text1"/>
                <w:spacing w:val="12"/>
                <w:highlight w:val="none"/>
                <w14:textFill>
                  <w14:solidFill>
                    <w14:schemeClr w14:val="tx1"/>
                  </w14:solidFill>
                </w14:textFill>
              </w:rPr>
              <w:t>信用评价等级较高的投标人优先；【采用如下的优先顺序：承诺使用</w:t>
            </w:r>
            <w:r>
              <w:rPr>
                <w:color w:val="000000" w:themeColor="text1"/>
                <w:spacing w:val="18"/>
                <w:highlight w:val="none"/>
                <w14:textFill>
                  <w14:solidFill>
                    <w14:schemeClr w14:val="tx1"/>
                  </w14:solidFill>
                </w14:textFill>
              </w:rPr>
              <w:t>的</w:t>
            </w:r>
            <w:r>
              <w:rPr>
                <w:color w:val="000000" w:themeColor="text1"/>
                <w:spacing w:val="-34"/>
                <w:highlight w:val="none"/>
                <w14:textFill>
                  <w14:solidFill>
                    <w14:schemeClr w14:val="tx1"/>
                  </w14:solidFill>
                </w14:textFill>
              </w:rPr>
              <w:t xml:space="preserve"> </w:t>
            </w:r>
            <w:r>
              <w:rPr>
                <w:color w:val="000000" w:themeColor="text1"/>
                <w:highlight w:val="none"/>
                <w14:textFill>
                  <w14:solidFill>
                    <w14:schemeClr w14:val="tx1"/>
                  </w14:solidFill>
                </w14:textFill>
              </w:rPr>
              <w:t>AA</w:t>
            </w:r>
            <w:r>
              <w:rPr>
                <w:color w:val="000000" w:themeColor="text1"/>
                <w:spacing w:val="-25"/>
                <w:highlight w:val="none"/>
                <w14:textFill>
                  <w14:solidFill>
                    <w14:schemeClr w14:val="tx1"/>
                  </w14:solidFill>
                </w14:textFill>
              </w:rPr>
              <w:t xml:space="preserve"> </w:t>
            </w:r>
            <w:r>
              <w:rPr>
                <w:color w:val="000000" w:themeColor="text1"/>
                <w:spacing w:val="18"/>
                <w:highlight w:val="none"/>
                <w14:textFill>
                  <w14:solidFill>
                    <w14:schemeClr w14:val="tx1"/>
                  </w14:solidFill>
                </w14:textFill>
              </w:rPr>
              <w:t>级投标人、不承诺使用的</w:t>
            </w:r>
            <w:r>
              <w:rPr>
                <w:color w:val="000000" w:themeColor="text1"/>
                <w:spacing w:val="-34"/>
                <w:highlight w:val="none"/>
                <w14:textFill>
                  <w14:solidFill>
                    <w14:schemeClr w14:val="tx1"/>
                  </w14:solidFill>
                </w14:textFill>
              </w:rPr>
              <w:t xml:space="preserve"> </w:t>
            </w:r>
            <w:r>
              <w:rPr>
                <w:color w:val="000000" w:themeColor="text1"/>
                <w:highlight w:val="none"/>
                <w14:textFill>
                  <w14:solidFill>
                    <w14:schemeClr w14:val="tx1"/>
                  </w14:solidFill>
                </w14:textFill>
              </w:rPr>
              <w:t>AA</w:t>
            </w:r>
            <w:r>
              <w:rPr>
                <w:color w:val="000000" w:themeColor="text1"/>
                <w:spacing w:val="-25"/>
                <w:highlight w:val="none"/>
                <w14:textFill>
                  <w14:solidFill>
                    <w14:schemeClr w14:val="tx1"/>
                  </w14:solidFill>
                </w14:textFill>
              </w:rPr>
              <w:t xml:space="preserve"> </w:t>
            </w:r>
            <w:r>
              <w:rPr>
                <w:color w:val="000000" w:themeColor="text1"/>
                <w:spacing w:val="18"/>
                <w:highlight w:val="none"/>
                <w14:textFill>
                  <w14:solidFill>
                    <w14:schemeClr w14:val="tx1"/>
                  </w14:solidFill>
                </w14:textFill>
              </w:rPr>
              <w:t>级投标人、承诺使用的</w:t>
            </w:r>
            <w:r>
              <w:rPr>
                <w:color w:val="000000" w:themeColor="text1"/>
                <w:spacing w:val="-31"/>
                <w:highlight w:val="none"/>
                <w14:textFill>
                  <w14:solidFill>
                    <w14:schemeClr w14:val="tx1"/>
                  </w14:solidFill>
                </w14:textFill>
              </w:rPr>
              <w:t xml:space="preserve"> </w:t>
            </w:r>
            <w:r>
              <w:rPr>
                <w:color w:val="000000" w:themeColor="text1"/>
                <w:spacing w:val="18"/>
                <w:highlight w:val="none"/>
                <w14:textFill>
                  <w14:solidFill>
                    <w14:schemeClr w14:val="tx1"/>
                  </w14:solidFill>
                </w14:textFill>
              </w:rPr>
              <w:t>A</w:t>
            </w:r>
            <w:r>
              <w:rPr>
                <w:color w:val="000000" w:themeColor="text1"/>
                <w:spacing w:val="-25"/>
                <w:highlight w:val="none"/>
                <w14:textFill>
                  <w14:solidFill>
                    <w14:schemeClr w14:val="tx1"/>
                  </w14:solidFill>
                </w14:textFill>
              </w:rPr>
              <w:t xml:space="preserve"> </w:t>
            </w:r>
            <w:r>
              <w:rPr>
                <w:color w:val="000000" w:themeColor="text1"/>
                <w:spacing w:val="18"/>
                <w:highlight w:val="none"/>
                <w14:textFill>
                  <w14:solidFill>
                    <w14:schemeClr w14:val="tx1"/>
                  </w14:solidFill>
                </w14:textFill>
              </w:rPr>
              <w:t>级投标</w:t>
            </w:r>
            <w:r>
              <w:rPr>
                <w:color w:val="000000" w:themeColor="text1"/>
                <w:spacing w:val="14"/>
                <w:highlight w:val="none"/>
                <w14:textFill>
                  <w14:solidFill>
                    <w14:schemeClr w14:val="tx1"/>
                  </w14:solidFill>
                </w14:textFill>
              </w:rPr>
              <w:t>人、不承诺使用的A</w:t>
            </w:r>
            <w:r>
              <w:rPr>
                <w:color w:val="000000" w:themeColor="text1"/>
                <w:spacing w:val="-30"/>
                <w:highlight w:val="none"/>
                <w14:textFill>
                  <w14:solidFill>
                    <w14:schemeClr w14:val="tx1"/>
                  </w14:solidFill>
                </w14:textFill>
              </w:rPr>
              <w:t xml:space="preserve"> </w:t>
            </w:r>
            <w:r>
              <w:rPr>
                <w:color w:val="000000" w:themeColor="text1"/>
                <w:spacing w:val="14"/>
                <w:highlight w:val="none"/>
                <w14:textFill>
                  <w14:solidFill>
                    <w14:schemeClr w14:val="tx1"/>
                  </w14:solidFill>
                </w14:textFill>
              </w:rPr>
              <w:t>级投标人、B</w:t>
            </w:r>
            <w:r>
              <w:rPr>
                <w:color w:val="000000" w:themeColor="text1"/>
                <w:spacing w:val="-30"/>
                <w:highlight w:val="none"/>
                <w14:textFill>
                  <w14:solidFill>
                    <w14:schemeClr w14:val="tx1"/>
                  </w14:solidFill>
                </w14:textFill>
              </w:rPr>
              <w:t xml:space="preserve"> </w:t>
            </w:r>
            <w:r>
              <w:rPr>
                <w:color w:val="000000" w:themeColor="text1"/>
                <w:spacing w:val="14"/>
                <w:highlight w:val="none"/>
                <w14:textFill>
                  <w14:solidFill>
                    <w14:schemeClr w14:val="tx1"/>
                  </w14:solidFill>
                </w14:textFill>
              </w:rPr>
              <w:t>级投标人、未参评且被确定为</w:t>
            </w:r>
            <w:r>
              <w:rPr>
                <w:color w:val="000000" w:themeColor="text1"/>
                <w:spacing w:val="-36"/>
                <w:highlight w:val="none"/>
                <w14:textFill>
                  <w14:solidFill>
                    <w14:schemeClr w14:val="tx1"/>
                  </w14:solidFill>
                </w14:textFill>
              </w:rPr>
              <w:t xml:space="preserve"> </w:t>
            </w:r>
            <w:r>
              <w:rPr>
                <w:color w:val="000000" w:themeColor="text1"/>
                <w:spacing w:val="14"/>
                <w:highlight w:val="none"/>
                <w14:textFill>
                  <w14:solidFill>
                    <w14:schemeClr w14:val="tx1"/>
                  </w14:solidFill>
                </w14:textFill>
              </w:rPr>
              <w:t>B</w:t>
            </w:r>
            <w:r>
              <w:rPr>
                <w:color w:val="000000" w:themeColor="text1"/>
                <w:spacing w:val="-30"/>
                <w:highlight w:val="none"/>
                <w14:textFill>
                  <w14:solidFill>
                    <w14:schemeClr w14:val="tx1"/>
                  </w14:solidFill>
                </w14:textFill>
              </w:rPr>
              <w:t xml:space="preserve"> </w:t>
            </w:r>
            <w:r>
              <w:rPr>
                <w:color w:val="000000" w:themeColor="text1"/>
                <w:spacing w:val="14"/>
                <w:highlight w:val="none"/>
                <w14:textFill>
                  <w14:solidFill>
                    <w14:schemeClr w14:val="tx1"/>
                  </w14:solidFill>
                </w14:textFill>
              </w:rPr>
              <w:t>级</w:t>
            </w:r>
            <w:r>
              <w:rPr>
                <w:color w:val="000000" w:themeColor="text1"/>
                <w:spacing w:val="5"/>
                <w:highlight w:val="none"/>
                <w14:textFill>
                  <w14:solidFill>
                    <w14:schemeClr w14:val="tx1"/>
                  </w14:solidFill>
                </w14:textFill>
              </w:rPr>
              <w:t>投标人】</w:t>
            </w:r>
          </w:p>
          <w:p w14:paraId="56D8B3CB">
            <w:pPr>
              <w:pStyle w:val="8"/>
              <w:spacing w:before="165" w:line="347" w:lineRule="auto"/>
              <w:ind w:left="113" w:right="107" w:firstLine="298"/>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（3）商务和技术得分较高的投标人优先；</w:t>
            </w:r>
          </w:p>
          <w:p w14:paraId="7E60DD7E">
            <w:pPr>
              <w:pStyle w:val="8"/>
              <w:spacing w:before="161" w:line="227" w:lineRule="auto"/>
              <w:ind w:left="411"/>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（4）评标委员会视投标人情况综合比较，</w:t>
            </w:r>
            <w:r>
              <w:rPr>
                <w:color w:val="000000" w:themeColor="text1"/>
                <w:spacing w:val="8"/>
                <w:highlight w:val="none"/>
                <w14:textFill>
                  <w14:solidFill>
                    <w14:schemeClr w14:val="tx1"/>
                  </w14:solidFill>
                </w14:textFill>
              </w:rPr>
              <w:t>投票确定其名次。</w:t>
            </w:r>
          </w:p>
        </w:tc>
      </w:tr>
      <w:tr w14:paraId="5819B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4" w:hRule="atLeast"/>
        </w:trPr>
        <w:tc>
          <w:tcPr>
            <w:tcW w:w="1100" w:type="dxa"/>
            <w:vAlign w:val="center"/>
          </w:tcPr>
          <w:p w14:paraId="0F9B81A3">
            <w:pPr>
              <w:pStyle w:val="8"/>
              <w:spacing w:before="65" w:line="381" w:lineRule="auto"/>
              <w:ind w:left="242" w:right="231"/>
              <w:jc w:val="both"/>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2.1.1 2.1.3</w:t>
            </w:r>
          </w:p>
        </w:tc>
        <w:tc>
          <w:tcPr>
            <w:tcW w:w="1641" w:type="dxa"/>
            <w:vAlign w:val="center"/>
          </w:tcPr>
          <w:p w14:paraId="14814F18">
            <w:pPr>
              <w:pStyle w:val="8"/>
              <w:spacing w:before="65" w:line="228" w:lineRule="auto"/>
              <w:ind w:left="120"/>
              <w:jc w:val="center"/>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形式评审与</w:t>
            </w:r>
            <w:r>
              <w:rPr>
                <w:color w:val="000000" w:themeColor="text1"/>
                <w:spacing w:val="6"/>
                <w:highlight w:val="none"/>
                <w14:textFill>
                  <w14:solidFill>
                    <w14:schemeClr w14:val="tx1"/>
                  </w14:solidFill>
                </w14:textFill>
              </w:rPr>
              <w:t>响应性评审</w:t>
            </w:r>
            <w:r>
              <w:rPr>
                <w:color w:val="000000" w:themeColor="text1"/>
                <w:spacing w:val="4"/>
                <w:highlight w:val="none"/>
                <w14:textFill>
                  <w14:solidFill>
                    <w14:schemeClr w14:val="tx1"/>
                  </w14:solidFill>
                </w14:textFill>
              </w:rPr>
              <w:t>标准</w:t>
            </w:r>
          </w:p>
        </w:tc>
        <w:tc>
          <w:tcPr>
            <w:tcW w:w="7476" w:type="dxa"/>
            <w:vAlign w:val="top"/>
          </w:tcPr>
          <w:p w14:paraId="537A29E5">
            <w:pPr>
              <w:pStyle w:val="8"/>
              <w:spacing w:before="33" w:line="228" w:lineRule="auto"/>
              <w:ind w:left="533"/>
              <w:rPr>
                <w:color w:val="000000" w:themeColor="text1"/>
                <w:highlight w:val="none"/>
                <w14:textFill>
                  <w14:solidFill>
                    <w14:schemeClr w14:val="tx1"/>
                  </w14:solidFill>
                </w14:textFill>
              </w:rPr>
            </w:pPr>
            <w:r>
              <w:rPr>
                <w:b/>
                <w:bCs/>
                <w:color w:val="000000" w:themeColor="text1"/>
                <w:spacing w:val="7"/>
                <w:highlight w:val="none"/>
                <w14:textFill>
                  <w14:solidFill>
                    <w14:schemeClr w14:val="tx1"/>
                  </w14:solidFill>
                </w14:textFill>
              </w:rPr>
              <w:t>第一个信封（商务及技术文件）评审标准：</w:t>
            </w:r>
          </w:p>
          <w:p w14:paraId="5D2D4596">
            <w:pPr>
              <w:pStyle w:val="8"/>
              <w:spacing w:before="161" w:line="362" w:lineRule="auto"/>
              <w:ind w:left="114" w:right="-94" w:rightChars="0" w:firstLine="297"/>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（1）投标文件按照招标文件规定的格式、</w:t>
            </w:r>
            <w:r>
              <w:rPr>
                <w:color w:val="000000" w:themeColor="text1"/>
                <w:spacing w:val="-52"/>
                <w:highlight w:val="none"/>
                <w14:textFill>
                  <w14:solidFill>
                    <w14:schemeClr w14:val="tx1"/>
                  </w14:solidFill>
                </w14:textFill>
              </w:rPr>
              <w:t xml:space="preserve"> </w:t>
            </w:r>
            <w:r>
              <w:rPr>
                <w:color w:val="000000" w:themeColor="text1"/>
                <w:spacing w:val="12"/>
                <w:highlight w:val="none"/>
                <w14:textFill>
                  <w14:solidFill>
                    <w14:schemeClr w14:val="tx1"/>
                  </w14:solidFill>
                </w14:textFill>
              </w:rPr>
              <w:t>内容填写，字迹清晰可</w:t>
            </w:r>
            <w:r>
              <w:rPr>
                <w:color w:val="000000" w:themeColor="text1"/>
                <w:highlight w:val="none"/>
                <w14:textFill>
                  <w14:solidFill>
                    <w14:schemeClr w14:val="tx1"/>
                  </w14:solidFill>
                </w14:textFill>
              </w:rPr>
              <w:t>辨：</w:t>
            </w:r>
          </w:p>
          <w:p w14:paraId="7CDAB601">
            <w:pPr>
              <w:pStyle w:val="8"/>
              <w:tabs>
                <w:tab w:val="left" w:pos="6920"/>
              </w:tabs>
              <w:spacing w:before="32" w:line="364" w:lineRule="auto"/>
              <w:ind w:left="113" w:right="-94" w:rightChars="0" w:firstLine="288"/>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a.投标函按招标文件规定填报了项目名称、标段号（如有）、监理</w:t>
            </w:r>
            <w:r>
              <w:rPr>
                <w:color w:val="000000" w:themeColor="text1"/>
                <w:spacing w:val="8"/>
                <w:highlight w:val="none"/>
                <w14:textFill>
                  <w14:solidFill>
                    <w14:schemeClr w14:val="tx1"/>
                  </w14:solidFill>
                </w14:textFill>
              </w:rPr>
              <w:t>服务期限、工程质量要求及安全目标；</w:t>
            </w:r>
          </w:p>
          <w:p w14:paraId="4F8E3913">
            <w:pPr>
              <w:pStyle w:val="8"/>
              <w:spacing w:before="28" w:line="228" w:lineRule="auto"/>
              <w:ind w:left="398"/>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b.投标文件组成齐全完整，内容均按规定填写。</w:t>
            </w:r>
          </w:p>
          <w:p w14:paraId="3EBF7991">
            <w:pPr>
              <w:pStyle w:val="8"/>
              <w:spacing w:before="160" w:line="302" w:lineRule="auto"/>
              <w:ind w:left="113" w:right="109" w:firstLine="298"/>
              <w:rPr>
                <w:color w:val="000000" w:themeColor="text1"/>
                <w:highlight w:val="none"/>
                <w14:textFill>
                  <w14:solidFill>
                    <w14:schemeClr w14:val="tx1"/>
                  </w14:solidFill>
                </w14:textFill>
              </w:rPr>
            </w:pPr>
            <w:r>
              <w:rPr>
                <w:color w:val="000000" w:themeColor="text1"/>
                <w:spacing w:val="14"/>
                <w:highlight w:val="none"/>
                <w14:textFill>
                  <w14:solidFill>
                    <w14:schemeClr w14:val="tx1"/>
                  </w14:solidFill>
                </w14:textFill>
              </w:rPr>
              <w:t>（2）投标文件上法定代表人或其委托代理</w:t>
            </w:r>
            <w:r>
              <w:rPr>
                <w:color w:val="000000" w:themeColor="text1"/>
                <w:spacing w:val="13"/>
                <w:highlight w:val="none"/>
                <w14:textFill>
                  <w14:solidFill>
                    <w14:schemeClr w14:val="tx1"/>
                  </w14:solidFill>
                </w14:textFill>
              </w:rPr>
              <w:t>人的签字、投标人的单</w:t>
            </w:r>
            <w:r>
              <w:rPr>
                <w:color w:val="000000" w:themeColor="text1"/>
                <w:spacing w:val="8"/>
                <w:highlight w:val="none"/>
                <w14:textFill>
                  <w14:solidFill>
                    <w14:schemeClr w14:val="tx1"/>
                  </w14:solidFill>
                </w14:textFill>
              </w:rPr>
              <w:t>位章盖章齐全，符合招标文件规定。</w:t>
            </w:r>
          </w:p>
          <w:p w14:paraId="08C31DFE">
            <w:pPr>
              <w:pStyle w:val="8"/>
              <w:spacing w:before="163" w:line="227" w:lineRule="auto"/>
              <w:ind w:left="411"/>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（3） 投标人按照招标文件的规定提供了投标保证金：</w:t>
            </w:r>
          </w:p>
          <w:p w14:paraId="209C647F">
            <w:pPr>
              <w:pStyle w:val="8"/>
              <w:spacing w:before="161" w:line="365" w:lineRule="auto"/>
              <w:ind w:left="116" w:right="107" w:firstLine="285"/>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a.投标保证金金额符合招标文件规定的金额，且投标保证金有效期</w:t>
            </w:r>
            <w:r>
              <w:rPr>
                <w:color w:val="000000" w:themeColor="text1"/>
                <w:spacing w:val="7"/>
                <w:highlight w:val="none"/>
                <w14:textFill>
                  <w14:solidFill>
                    <w14:schemeClr w14:val="tx1"/>
                  </w14:solidFill>
                </w14:textFill>
              </w:rPr>
              <w:t>不少于投标有效期；</w:t>
            </w:r>
          </w:p>
          <w:p w14:paraId="70FC74E2">
            <w:pPr>
              <w:pStyle w:val="8"/>
              <w:spacing w:before="29" w:line="367" w:lineRule="auto"/>
              <w:ind w:left="114" w:right="107" w:firstLine="283"/>
              <w:jc w:val="both"/>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b.若投标保证金采用现金或支票形式提交，投标人应在招标文件规</w:t>
            </w:r>
            <w:r>
              <w:rPr>
                <w:color w:val="000000" w:themeColor="text1"/>
                <w:spacing w:val="13"/>
                <w:highlight w:val="none"/>
                <w14:textFill>
                  <w14:solidFill>
                    <w14:schemeClr w14:val="tx1"/>
                  </w14:solidFill>
                </w14:textFill>
              </w:rPr>
              <w:t>定的投标保证金递交截止时间之前，将投标保证金由投标人的基本账</w:t>
            </w:r>
            <w:r>
              <w:rPr>
                <w:color w:val="000000" w:themeColor="text1"/>
                <w:spacing w:val="8"/>
                <w:highlight w:val="none"/>
                <w14:textFill>
                  <w14:solidFill>
                    <w14:schemeClr w14:val="tx1"/>
                  </w14:solidFill>
                </w14:textFill>
              </w:rPr>
              <w:t>户转入招标人指定账户；</w:t>
            </w:r>
          </w:p>
          <w:p w14:paraId="6A9B28C3">
            <w:pPr>
              <w:pStyle w:val="8"/>
              <w:spacing w:before="32" w:line="367" w:lineRule="auto"/>
              <w:ind w:left="114" w:right="107" w:firstLine="291"/>
              <w:jc w:val="both"/>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c.若投标保证金采用银行保函形式提交，银行保函的格式、开具保</w:t>
            </w:r>
            <w:r>
              <w:rPr>
                <w:color w:val="000000" w:themeColor="text1"/>
                <w:spacing w:val="13"/>
                <w:highlight w:val="none"/>
                <w14:textFill>
                  <w14:solidFill>
                    <w14:schemeClr w14:val="tx1"/>
                  </w14:solidFill>
                </w14:textFill>
              </w:rPr>
              <w:t>函的银行均满足招标文件要求，银行保函原件在递交投标文件时单独</w:t>
            </w:r>
            <w:r>
              <w:rPr>
                <w:color w:val="000000" w:themeColor="text1"/>
                <w:spacing w:val="8"/>
                <w:highlight w:val="none"/>
                <w14:textFill>
                  <w14:solidFill>
                    <w14:schemeClr w14:val="tx1"/>
                  </w14:solidFill>
                </w14:textFill>
              </w:rPr>
              <w:t>密封递交，其复印件装订在投标文件中。</w:t>
            </w:r>
          </w:p>
          <w:p w14:paraId="51E48011">
            <w:pPr>
              <w:pStyle w:val="8"/>
              <w:spacing w:before="31" w:line="228" w:lineRule="auto"/>
              <w:ind w:firstLine="440" w:firstLineChars="200"/>
              <w:rPr>
                <w:color w:val="000000" w:themeColor="text1"/>
                <w:highlight w:val="none"/>
                <w14:textFill>
                  <w14:solidFill>
                    <w14:schemeClr w14:val="tx1"/>
                  </w14:solidFill>
                </w14:textFill>
              </w:rPr>
            </w:pPr>
            <w:r>
              <w:rPr>
                <w:rFonts w:ascii="宋体" w:hAnsi="宋体" w:eastAsia="宋体" w:cs="宋体"/>
                <w:color w:val="000000" w:themeColor="text1"/>
                <w:spacing w:val="10"/>
                <w:highlight w:val="none"/>
                <w14:textFill>
                  <w14:solidFill>
                    <w14:schemeClr w14:val="tx1"/>
                  </w14:solidFill>
                </w14:textFill>
              </w:rPr>
              <w:t>d.若投标保证金采用其他形式提交，应满足须知前附表 3.4.1项的</w:t>
            </w:r>
            <w:r>
              <w:rPr>
                <w:color w:val="000000" w:themeColor="text1"/>
                <w:spacing w:val="9"/>
                <w:highlight w:val="none"/>
                <w14:textFill>
                  <w14:solidFill>
                    <w14:schemeClr w14:val="tx1"/>
                  </w14:solidFill>
                </w14:textFill>
              </w:rPr>
              <w:t>规</w:t>
            </w:r>
            <w:r>
              <w:rPr>
                <w:color w:val="000000" w:themeColor="text1"/>
                <w:spacing w:val="-3"/>
                <w:highlight w:val="none"/>
                <w14:textFill>
                  <w14:solidFill>
                    <w14:schemeClr w14:val="tx1"/>
                  </w14:solidFill>
                </w14:textFill>
              </w:rPr>
              <w:t>定。</w:t>
            </w:r>
          </w:p>
        </w:tc>
      </w:tr>
    </w:tbl>
    <w:p w14:paraId="687F0FA9">
      <w:pPr>
        <w:spacing w:line="294" w:lineRule="auto"/>
        <w:rPr>
          <w:rFonts w:ascii="宋体" w:hAnsi="宋体" w:eastAsia="宋体" w:cs="宋体"/>
          <w:color w:val="000000" w:themeColor="text1"/>
          <w:sz w:val="18"/>
          <w:szCs w:val="18"/>
          <w:highlight w:val="none"/>
          <w14:textFill>
            <w14:solidFill>
              <w14:schemeClr w14:val="tx1"/>
            </w14:solidFill>
          </w14:textFill>
        </w:rPr>
        <w:sectPr>
          <w:footerReference r:id="rId5" w:type="default"/>
          <w:pgSz w:w="11906" w:h="16839"/>
          <w:pgMar w:top="1403" w:right="1490" w:bottom="1252" w:left="1304" w:header="0" w:footer="1090" w:gutter="0"/>
          <w:pgBorders>
            <w:top w:val="none" w:sz="0" w:space="0"/>
            <w:left w:val="none" w:sz="0" w:space="0"/>
            <w:bottom w:val="none" w:sz="0" w:space="0"/>
            <w:right w:val="none" w:sz="0" w:space="0"/>
          </w:pgBorders>
          <w:pgNumType w:fmt="decimal"/>
          <w:cols w:space="720" w:num="1"/>
        </w:sectPr>
      </w:pPr>
    </w:p>
    <w:tbl>
      <w:tblPr>
        <w:tblStyle w:val="9"/>
        <w:tblW w:w="94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1"/>
        <w:gridCol w:w="1355"/>
        <w:gridCol w:w="7013"/>
      </w:tblGrid>
      <w:tr w14:paraId="0F687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2406" w:type="dxa"/>
            <w:gridSpan w:val="2"/>
            <w:vAlign w:val="top"/>
          </w:tcPr>
          <w:p w14:paraId="2A03C8D7">
            <w:pPr>
              <w:pStyle w:val="8"/>
              <w:spacing w:before="35" w:line="228" w:lineRule="auto"/>
              <w:ind w:left="827"/>
              <w:rPr>
                <w:color w:val="000000" w:themeColor="text1"/>
                <w:highlight w:val="none"/>
                <w14:textFill>
                  <w14:solidFill>
                    <w14:schemeClr w14:val="tx1"/>
                  </w14:solidFill>
                </w14:textFill>
              </w:rPr>
            </w:pPr>
            <w:r>
              <w:rPr>
                <w:b/>
                <w:bCs/>
                <w:color w:val="000000" w:themeColor="text1"/>
                <w:spacing w:val="5"/>
                <w:highlight w:val="none"/>
                <w14:textFill>
                  <w14:solidFill>
                    <w14:schemeClr w14:val="tx1"/>
                  </w14:solidFill>
                </w14:textFill>
              </w:rPr>
              <w:t>条款号</w:t>
            </w:r>
          </w:p>
        </w:tc>
        <w:tc>
          <w:tcPr>
            <w:tcW w:w="7013" w:type="dxa"/>
            <w:vAlign w:val="top"/>
          </w:tcPr>
          <w:p w14:paraId="74BB128C">
            <w:pPr>
              <w:pStyle w:val="8"/>
              <w:spacing w:before="35" w:line="228" w:lineRule="auto"/>
              <w:ind w:left="2346"/>
              <w:rPr>
                <w:color w:val="000000" w:themeColor="text1"/>
                <w:highlight w:val="none"/>
                <w14:textFill>
                  <w14:solidFill>
                    <w14:schemeClr w14:val="tx1"/>
                  </w14:solidFill>
                </w14:textFill>
              </w:rPr>
            </w:pPr>
            <w:r>
              <w:rPr>
                <w:b/>
                <w:bCs/>
                <w:color w:val="000000" w:themeColor="text1"/>
                <w:spacing w:val="11"/>
                <w:highlight w:val="none"/>
                <w14:textFill>
                  <w14:solidFill>
                    <w14:schemeClr w14:val="tx1"/>
                  </w14:solidFill>
                </w14:textFill>
              </w:rPr>
              <w:t>评审因素与评审标准</w:t>
            </w:r>
          </w:p>
        </w:tc>
      </w:tr>
      <w:tr w14:paraId="10E2E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9" w:hRule="atLeast"/>
        </w:trPr>
        <w:tc>
          <w:tcPr>
            <w:tcW w:w="1051" w:type="dxa"/>
            <w:vAlign w:val="top"/>
          </w:tcPr>
          <w:p w14:paraId="0F2B2F08">
            <w:pPr>
              <w:rPr>
                <w:rFonts w:ascii="Arial"/>
                <w:color w:val="000000" w:themeColor="text1"/>
                <w:sz w:val="21"/>
                <w:highlight w:val="none"/>
                <w14:textFill>
                  <w14:solidFill>
                    <w14:schemeClr w14:val="tx1"/>
                  </w14:solidFill>
                </w14:textFill>
              </w:rPr>
            </w:pPr>
          </w:p>
        </w:tc>
        <w:tc>
          <w:tcPr>
            <w:tcW w:w="1355" w:type="dxa"/>
            <w:vAlign w:val="top"/>
          </w:tcPr>
          <w:p w14:paraId="1A27CD8A">
            <w:pPr>
              <w:rPr>
                <w:rFonts w:ascii="Arial"/>
                <w:color w:val="000000" w:themeColor="text1"/>
                <w:sz w:val="21"/>
                <w:highlight w:val="none"/>
                <w14:textFill>
                  <w14:solidFill>
                    <w14:schemeClr w14:val="tx1"/>
                  </w14:solidFill>
                </w14:textFill>
              </w:rPr>
            </w:pPr>
          </w:p>
        </w:tc>
        <w:tc>
          <w:tcPr>
            <w:tcW w:w="7013" w:type="dxa"/>
            <w:vAlign w:val="top"/>
          </w:tcPr>
          <w:p w14:paraId="56F2FE4B">
            <w:pPr>
              <w:pStyle w:val="8"/>
              <w:tabs>
                <w:tab w:val="left" w:pos="7140"/>
              </w:tabs>
              <w:spacing w:before="145" w:line="327" w:lineRule="auto"/>
              <w:ind w:left="112" w:right="107" w:firstLine="298"/>
              <w:rPr>
                <w:color w:val="000000" w:themeColor="text1"/>
                <w:highlight w:val="none"/>
                <w14:textFill>
                  <w14:solidFill>
                    <w14:schemeClr w14:val="tx1"/>
                  </w14:solidFill>
                </w14:textFill>
              </w:rPr>
            </w:pPr>
            <w:r>
              <w:rPr>
                <w:color w:val="000000" w:themeColor="text1"/>
                <w:spacing w:val="14"/>
                <w:highlight w:val="none"/>
                <w14:textFill>
                  <w14:solidFill>
                    <w14:schemeClr w14:val="tx1"/>
                  </w14:solidFill>
                </w14:textFill>
              </w:rPr>
              <w:t>（4）投标人法定代表人授权委托代理人签</w:t>
            </w:r>
            <w:r>
              <w:rPr>
                <w:color w:val="000000" w:themeColor="text1"/>
                <w:spacing w:val="13"/>
                <w:highlight w:val="none"/>
                <w14:textFill>
                  <w14:solidFill>
                    <w14:schemeClr w14:val="tx1"/>
                  </w14:solidFill>
                </w14:textFill>
              </w:rPr>
              <w:t>署投标文件的，须提交授权委托书，且授权人和被授权人均在授权委托书上签名，未使用印</w:t>
            </w:r>
            <w:r>
              <w:rPr>
                <w:color w:val="000000" w:themeColor="text1"/>
                <w:spacing w:val="8"/>
                <w:highlight w:val="none"/>
                <w14:textFill>
                  <w14:solidFill>
                    <w14:schemeClr w14:val="tx1"/>
                  </w14:solidFill>
                </w14:textFill>
              </w:rPr>
              <w:t>章、签名章或其他电子制版签名代替。</w:t>
            </w:r>
          </w:p>
          <w:p w14:paraId="5519B42C">
            <w:pPr>
              <w:pStyle w:val="8"/>
              <w:spacing w:before="161" w:line="327" w:lineRule="auto"/>
              <w:ind w:left="118" w:right="107" w:firstLine="292"/>
              <w:rPr>
                <w:color w:val="000000" w:themeColor="text1"/>
                <w:highlight w:val="none"/>
                <w14:textFill>
                  <w14:solidFill>
                    <w14:schemeClr w14:val="tx1"/>
                  </w14:solidFill>
                </w14:textFill>
              </w:rPr>
            </w:pPr>
            <w:r>
              <w:rPr>
                <w:color w:val="000000" w:themeColor="text1"/>
                <w:spacing w:val="14"/>
                <w:highlight w:val="none"/>
                <w14:textFill>
                  <w14:solidFill>
                    <w14:schemeClr w14:val="tx1"/>
                  </w14:solidFill>
                </w14:textFill>
              </w:rPr>
              <w:t>（5）投标人法定代表人亲自签署投标文件</w:t>
            </w:r>
            <w:r>
              <w:rPr>
                <w:color w:val="000000" w:themeColor="text1"/>
                <w:spacing w:val="13"/>
                <w:highlight w:val="none"/>
                <w14:textFill>
                  <w14:solidFill>
                    <w14:schemeClr w14:val="tx1"/>
                  </w14:solidFill>
                </w14:textFill>
              </w:rPr>
              <w:t>的，提供了法定代表人</w:t>
            </w:r>
            <w:r>
              <w:rPr>
                <w:color w:val="000000" w:themeColor="text1"/>
                <w:spacing w:val="20"/>
                <w:highlight w:val="none"/>
                <w14:textFill>
                  <w14:solidFill>
                    <w14:schemeClr w14:val="tx1"/>
                  </w14:solidFill>
                </w14:textFill>
              </w:rPr>
              <w:t>身份证明，且法定代表人在法定代表人身份证明上签名，未使用印</w:t>
            </w:r>
            <w:r>
              <w:rPr>
                <w:color w:val="000000" w:themeColor="text1"/>
                <w:spacing w:val="8"/>
                <w:highlight w:val="none"/>
                <w14:textFill>
                  <w14:solidFill>
                    <w14:schemeClr w14:val="tx1"/>
                  </w14:solidFill>
                </w14:textFill>
              </w:rPr>
              <w:t>章、签名章或其他电子制版签名代替。</w:t>
            </w:r>
          </w:p>
          <w:p w14:paraId="5FDF1DCF">
            <w:pPr>
              <w:pStyle w:val="8"/>
              <w:spacing w:before="30" w:line="291" w:lineRule="auto"/>
              <w:ind w:left="121" w:right="49" w:firstLine="290"/>
              <w:rPr>
                <w:color w:val="000000" w:themeColor="text1"/>
                <w:sz w:val="21"/>
                <w:szCs w:val="21"/>
                <w:highlight w:val="none"/>
                <w14:textFill>
                  <w14:solidFill>
                    <w14:schemeClr w14:val="tx1"/>
                  </w14:solidFill>
                </w14:textFill>
              </w:rPr>
            </w:pPr>
            <w:r>
              <w:rPr>
                <w:color w:val="000000" w:themeColor="text1"/>
                <w:spacing w:val="14"/>
                <w:highlight w:val="none"/>
                <w14:textFill>
                  <w14:solidFill>
                    <w14:schemeClr w14:val="tx1"/>
                  </w14:solidFill>
                </w14:textFill>
              </w:rPr>
              <w:t>（6）</w:t>
            </w:r>
            <w:r>
              <w:rPr>
                <w:color w:val="000000" w:themeColor="text1"/>
                <w:spacing w:val="-46"/>
                <w:highlight w:val="none"/>
                <w14:textFill>
                  <w14:solidFill>
                    <w14:schemeClr w14:val="tx1"/>
                  </w14:solidFill>
                </w14:textFill>
              </w:rPr>
              <w:t xml:space="preserve"> </w:t>
            </w:r>
            <w:r>
              <w:rPr>
                <w:color w:val="000000" w:themeColor="text1"/>
                <w:spacing w:val="14"/>
                <w:highlight w:val="none"/>
                <w14:textFill>
                  <w14:solidFill>
                    <w14:schemeClr w14:val="tx1"/>
                  </w14:solidFill>
                </w14:textFill>
              </w:rPr>
              <w:t>投标人未以联合体形式投标</w:t>
            </w:r>
            <w:r>
              <w:rPr>
                <w:color w:val="000000" w:themeColor="text1"/>
                <w:spacing w:val="-59"/>
                <w:highlight w:val="none"/>
                <w14:textFill>
                  <w14:solidFill>
                    <w14:schemeClr w14:val="tx1"/>
                  </w14:solidFill>
                </w14:textFill>
              </w:rPr>
              <w:t xml:space="preserve"> </w:t>
            </w:r>
            <w:r>
              <w:rPr>
                <w:color w:val="000000" w:themeColor="text1"/>
                <w:spacing w:val="14"/>
                <w:highlight w:val="none"/>
                <w14:textFill>
                  <w14:solidFill>
                    <w14:schemeClr w14:val="tx1"/>
                  </w14:solidFill>
                </w14:textFill>
              </w:rPr>
              <w:t>。</w:t>
            </w:r>
            <w:r>
              <w:rPr>
                <w:color w:val="000000" w:themeColor="text1"/>
                <w:spacing w:val="-52"/>
                <w:highlight w:val="none"/>
                <w14:textFill>
                  <w14:solidFill>
                    <w14:schemeClr w14:val="tx1"/>
                  </w14:solidFill>
                </w14:textFill>
              </w:rPr>
              <w:t xml:space="preserve"> </w:t>
            </w:r>
          </w:p>
          <w:p w14:paraId="059261AC">
            <w:pPr>
              <w:pStyle w:val="8"/>
              <w:spacing w:before="156" w:line="302" w:lineRule="auto"/>
              <w:ind w:left="115" w:right="109" w:firstLine="296"/>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（7）</w:t>
            </w:r>
            <w:r>
              <w:rPr>
                <w:color w:val="000000" w:themeColor="text1"/>
                <w:spacing w:val="-52"/>
                <w:highlight w:val="none"/>
                <w14:textFill>
                  <w14:solidFill>
                    <w14:schemeClr w14:val="tx1"/>
                  </w14:solidFill>
                </w14:textFill>
              </w:rPr>
              <w:t xml:space="preserve"> </w:t>
            </w:r>
            <w:r>
              <w:rPr>
                <w:color w:val="000000" w:themeColor="text1"/>
                <w:spacing w:val="12"/>
                <w:highlight w:val="none"/>
                <w14:textFill>
                  <w14:solidFill>
                    <w14:schemeClr w14:val="tx1"/>
                  </w14:solidFill>
                </w14:textFill>
              </w:rPr>
              <w:t>同一投标人未提交两个以上不同的投标文件，但招标文件要</w:t>
            </w:r>
            <w:r>
              <w:rPr>
                <w:color w:val="000000" w:themeColor="text1"/>
                <w:spacing w:val="7"/>
                <w:highlight w:val="none"/>
                <w14:textFill>
                  <w14:solidFill>
                    <w14:schemeClr w14:val="tx1"/>
                  </w14:solidFill>
                </w14:textFill>
              </w:rPr>
              <w:t>求提交备选投标的除外。</w:t>
            </w:r>
          </w:p>
          <w:p w14:paraId="545E6CBD">
            <w:pPr>
              <w:pStyle w:val="8"/>
              <w:spacing w:before="161" w:line="226" w:lineRule="auto"/>
              <w:ind w:left="411"/>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（8）投标文件中未出现有关投标报价的内容。</w:t>
            </w:r>
          </w:p>
          <w:p w14:paraId="77364CF8">
            <w:pPr>
              <w:pStyle w:val="8"/>
              <w:spacing w:before="162" w:line="304" w:lineRule="auto"/>
              <w:ind w:left="127" w:right="109" w:firstLine="283"/>
              <w:rPr>
                <w:color w:val="000000" w:themeColor="text1"/>
                <w:highlight w:val="none"/>
                <w14:textFill>
                  <w14:solidFill>
                    <w14:schemeClr w14:val="tx1"/>
                  </w14:solidFill>
                </w14:textFill>
              </w:rPr>
            </w:pPr>
            <w:r>
              <w:rPr>
                <w:color w:val="000000" w:themeColor="text1"/>
                <w:spacing w:val="14"/>
                <w:highlight w:val="none"/>
                <w14:textFill>
                  <w14:solidFill>
                    <w14:schemeClr w14:val="tx1"/>
                  </w14:solidFill>
                </w14:textFill>
              </w:rPr>
              <w:t>（9）投标文件载明的招标项目完成期限未</w:t>
            </w:r>
            <w:r>
              <w:rPr>
                <w:color w:val="000000" w:themeColor="text1"/>
                <w:spacing w:val="13"/>
                <w:highlight w:val="none"/>
                <w14:textFill>
                  <w14:solidFill>
                    <w14:schemeClr w14:val="tx1"/>
                  </w14:solidFill>
                </w14:textFill>
              </w:rPr>
              <w:t>超过招标文件规定的时</w:t>
            </w:r>
            <w:r>
              <w:rPr>
                <w:color w:val="000000" w:themeColor="text1"/>
                <w:spacing w:val="-7"/>
                <w:highlight w:val="none"/>
                <w14:textFill>
                  <w14:solidFill>
                    <w14:schemeClr w14:val="tx1"/>
                  </w14:solidFill>
                </w14:textFill>
              </w:rPr>
              <w:t>限。</w:t>
            </w:r>
          </w:p>
          <w:p w14:paraId="73715F92">
            <w:pPr>
              <w:pStyle w:val="8"/>
              <w:spacing w:before="160" w:line="228" w:lineRule="auto"/>
              <w:ind w:left="411"/>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（10）投标文件对招标文件的实质性要求和条件作出响应。</w:t>
            </w:r>
          </w:p>
          <w:p w14:paraId="57B5C72B">
            <w:pPr>
              <w:pStyle w:val="8"/>
              <w:spacing w:before="161" w:line="228" w:lineRule="auto"/>
              <w:ind w:left="411"/>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（11）权利义务符合招标文件规定：</w:t>
            </w:r>
          </w:p>
          <w:p w14:paraId="23542672">
            <w:pPr>
              <w:pStyle w:val="8"/>
              <w:spacing w:before="162" w:line="240" w:lineRule="auto"/>
              <w:ind w:left="115" w:right="69" w:rightChars="0" w:firstLine="286"/>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a.投标人应接受招标文件规定的风险划分原则，未提出新的风险划</w:t>
            </w:r>
            <w:r>
              <w:rPr>
                <w:color w:val="000000" w:themeColor="text1"/>
                <w:spacing w:val="4"/>
                <w:highlight w:val="none"/>
                <w14:textFill>
                  <w14:solidFill>
                    <w14:schemeClr w14:val="tx1"/>
                  </w14:solidFill>
                </w14:textFill>
              </w:rPr>
              <w:t>分办法；</w:t>
            </w:r>
          </w:p>
          <w:p w14:paraId="5200B570">
            <w:pPr>
              <w:pStyle w:val="8"/>
              <w:spacing w:before="29" w:line="240" w:lineRule="auto"/>
              <w:ind w:left="398"/>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b.投标人未增加委托人的责任范围，或减少投标人</w:t>
            </w:r>
            <w:r>
              <w:rPr>
                <w:color w:val="000000" w:themeColor="text1"/>
                <w:spacing w:val="8"/>
                <w:highlight w:val="none"/>
                <w14:textFill>
                  <w14:solidFill>
                    <w14:schemeClr w14:val="tx1"/>
                  </w14:solidFill>
                </w14:textFill>
              </w:rPr>
              <w:t>义务；</w:t>
            </w:r>
          </w:p>
          <w:p w14:paraId="3C14B6C0">
            <w:pPr>
              <w:pStyle w:val="8"/>
              <w:spacing w:before="161" w:line="240" w:lineRule="auto"/>
              <w:ind w:left="405"/>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c.投标人未提出不同的支付办法；</w:t>
            </w:r>
          </w:p>
          <w:p w14:paraId="38BD6E4A">
            <w:pPr>
              <w:pStyle w:val="8"/>
              <w:spacing w:before="162" w:line="240" w:lineRule="auto"/>
              <w:ind w:left="405" w:right="1660"/>
              <w:rPr>
                <w:color w:val="000000" w:themeColor="text1"/>
                <w:spacing w:val="6"/>
                <w:highlight w:val="none"/>
                <w14:textFill>
                  <w14:solidFill>
                    <w14:schemeClr w14:val="tx1"/>
                  </w14:solidFill>
                </w14:textFill>
              </w:rPr>
            </w:pPr>
            <w:r>
              <w:rPr>
                <w:color w:val="000000" w:themeColor="text1"/>
                <w:spacing w:val="6"/>
                <w:highlight w:val="none"/>
                <w14:textFill>
                  <w14:solidFill>
                    <w14:schemeClr w14:val="tx1"/>
                  </w14:solidFill>
                </w14:textFill>
              </w:rPr>
              <w:t>d.投标人对合同纠纷、事故处理办法未提出异议；</w:t>
            </w:r>
          </w:p>
          <w:p w14:paraId="6F7FF604">
            <w:pPr>
              <w:pStyle w:val="8"/>
              <w:spacing w:before="162" w:line="240" w:lineRule="auto"/>
              <w:ind w:left="405" w:right="1660"/>
              <w:rPr>
                <w:color w:val="000000" w:themeColor="text1"/>
                <w:spacing w:val="6"/>
                <w:highlight w:val="none"/>
                <w14:textFill>
                  <w14:solidFill>
                    <w14:schemeClr w14:val="tx1"/>
                  </w14:solidFill>
                </w14:textFill>
              </w:rPr>
            </w:pPr>
            <w:r>
              <w:rPr>
                <w:color w:val="000000" w:themeColor="text1"/>
                <w:spacing w:val="6"/>
                <w:highlight w:val="none"/>
                <w14:textFill>
                  <w14:solidFill>
                    <w14:schemeClr w14:val="tx1"/>
                  </w14:solidFill>
                </w14:textFill>
              </w:rPr>
              <w:t>e.投标人在投标活动中无欺诈行为；</w:t>
            </w:r>
          </w:p>
          <w:p w14:paraId="7A6F1AF3">
            <w:pPr>
              <w:pStyle w:val="8"/>
              <w:spacing w:before="162" w:line="240" w:lineRule="auto"/>
              <w:ind w:left="405" w:right="1660"/>
              <w:rPr>
                <w:color w:val="000000" w:themeColor="text1"/>
                <w:spacing w:val="6"/>
                <w:highlight w:val="none"/>
                <w14:textFill>
                  <w14:solidFill>
                    <w14:schemeClr w14:val="tx1"/>
                  </w14:solidFill>
                </w14:textFill>
              </w:rPr>
            </w:pPr>
            <w:r>
              <w:rPr>
                <w:color w:val="000000" w:themeColor="text1"/>
                <w:spacing w:val="6"/>
                <w:highlight w:val="none"/>
                <w14:textFill>
                  <w14:solidFill>
                    <w14:schemeClr w14:val="tx1"/>
                  </w14:solidFill>
                </w14:textFill>
              </w:rPr>
              <w:t>f.投标人未对合同条款有重要保留。</w:t>
            </w:r>
          </w:p>
          <w:p w14:paraId="06206F24">
            <w:pPr>
              <w:pStyle w:val="8"/>
              <w:spacing w:before="66" w:line="226" w:lineRule="auto"/>
              <w:ind w:left="533"/>
              <w:rPr>
                <w:b/>
                <w:bCs/>
                <w:color w:val="000000" w:themeColor="text1"/>
                <w:spacing w:val="7"/>
                <w:highlight w:val="none"/>
                <w14:textFill>
                  <w14:solidFill>
                    <w14:schemeClr w14:val="tx1"/>
                  </w14:solidFill>
                </w14:textFill>
              </w:rPr>
            </w:pPr>
          </w:p>
          <w:p w14:paraId="74CCA380">
            <w:pPr>
              <w:pStyle w:val="8"/>
              <w:spacing w:before="66" w:line="226" w:lineRule="auto"/>
              <w:ind w:left="533"/>
              <w:rPr>
                <w:color w:val="000000" w:themeColor="text1"/>
                <w:highlight w:val="none"/>
                <w14:textFill>
                  <w14:solidFill>
                    <w14:schemeClr w14:val="tx1"/>
                  </w14:solidFill>
                </w14:textFill>
              </w:rPr>
            </w:pPr>
            <w:r>
              <w:rPr>
                <w:b/>
                <w:bCs/>
                <w:color w:val="000000" w:themeColor="text1"/>
                <w:spacing w:val="7"/>
                <w:highlight w:val="none"/>
                <w14:textFill>
                  <w14:solidFill>
                    <w14:schemeClr w14:val="tx1"/>
                  </w14:solidFill>
                </w14:textFill>
              </w:rPr>
              <w:t>第二个信封（报价文件）评审标准：</w:t>
            </w:r>
          </w:p>
          <w:p w14:paraId="7EEE260E">
            <w:pPr>
              <w:pStyle w:val="8"/>
              <w:spacing w:before="165" w:line="362" w:lineRule="auto"/>
              <w:ind w:left="114" w:right="109" w:firstLine="429"/>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（1）投标文件按照招标文件规定的格式、</w:t>
            </w:r>
            <w:r>
              <w:rPr>
                <w:color w:val="000000" w:themeColor="text1"/>
                <w:spacing w:val="-59"/>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内容填写，字迹清晰可</w:t>
            </w:r>
            <w:r>
              <w:rPr>
                <w:color w:val="000000" w:themeColor="text1"/>
                <w:spacing w:val="2"/>
                <w:highlight w:val="none"/>
                <w14:textFill>
                  <w14:solidFill>
                    <w14:schemeClr w14:val="tx1"/>
                  </w14:solidFill>
                </w14:textFill>
              </w:rPr>
              <w:t>辨，</w:t>
            </w:r>
            <w:r>
              <w:rPr>
                <w:color w:val="000000" w:themeColor="text1"/>
                <w:spacing w:val="-51"/>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内容齐全完整：</w:t>
            </w:r>
          </w:p>
          <w:p w14:paraId="590AC58D">
            <w:pPr>
              <w:pStyle w:val="8"/>
              <w:spacing w:before="163" w:line="364" w:lineRule="auto"/>
              <w:ind w:left="113" w:right="107" w:firstLine="416"/>
              <w:rPr>
                <w:color w:val="000000" w:themeColor="text1"/>
                <w:highlight w:val="none"/>
                <w14:textFill>
                  <w14:solidFill>
                    <w14:schemeClr w14:val="tx1"/>
                  </w14:solidFill>
                </w14:textFill>
              </w:rPr>
            </w:pPr>
            <w:r>
              <w:rPr>
                <w:rFonts w:ascii="宋体" w:hAnsi="宋体" w:eastAsia="宋体" w:cs="宋体"/>
                <w:color w:val="000000" w:themeColor="text1"/>
                <w:spacing w:val="13"/>
                <w:highlight w:val="none"/>
                <w14:textFill>
                  <w14:solidFill>
                    <w14:schemeClr w14:val="tx1"/>
                  </w14:solidFill>
                </w14:textFill>
              </w:rPr>
              <w:t>a.投标函按招标文件规定填报了项目名称、标段号（如有）、投标总报价（包括大写金额和小写金额）；</w:t>
            </w:r>
          </w:p>
        </w:tc>
      </w:tr>
    </w:tbl>
    <w:p w14:paraId="01B74AD7">
      <w:pPr>
        <w:rPr>
          <w:rFonts w:ascii="Arial"/>
          <w:color w:val="000000" w:themeColor="text1"/>
          <w:sz w:val="21"/>
          <w:highlight w:val="none"/>
          <w14:textFill>
            <w14:solidFill>
              <w14:schemeClr w14:val="tx1"/>
            </w14:solidFill>
          </w14:textFill>
        </w:rPr>
      </w:pPr>
    </w:p>
    <w:p w14:paraId="4F4FA878">
      <w:pPr>
        <w:rPr>
          <w:rFonts w:ascii="Arial" w:hAnsi="Arial" w:eastAsia="Arial" w:cs="Arial"/>
          <w:color w:val="000000" w:themeColor="text1"/>
          <w:sz w:val="21"/>
          <w:szCs w:val="21"/>
          <w:highlight w:val="none"/>
          <w14:textFill>
            <w14:solidFill>
              <w14:schemeClr w14:val="tx1"/>
            </w14:solidFill>
          </w14:textFill>
        </w:rPr>
        <w:sectPr>
          <w:footerReference r:id="rId6" w:type="default"/>
          <w:pgSz w:w="11906" w:h="16839"/>
          <w:pgMar w:top="1416" w:right="1701" w:bottom="1252" w:left="1304" w:header="0" w:footer="1090" w:gutter="0"/>
          <w:pgBorders>
            <w:top w:val="none" w:sz="0" w:space="0"/>
            <w:left w:val="none" w:sz="0" w:space="0"/>
            <w:bottom w:val="none" w:sz="0" w:space="0"/>
            <w:right w:val="none" w:sz="0" w:space="0"/>
          </w:pgBorders>
          <w:pgNumType w:fmt="decimal"/>
          <w:cols w:space="720" w:num="1"/>
        </w:sectPr>
      </w:pPr>
    </w:p>
    <w:tbl>
      <w:tblPr>
        <w:tblStyle w:val="9"/>
        <w:tblW w:w="9990" w:type="dxa"/>
        <w:tblInd w:w="-3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0"/>
        <w:gridCol w:w="1553"/>
        <w:gridCol w:w="7177"/>
      </w:tblGrid>
      <w:tr w14:paraId="57067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2813" w:type="dxa"/>
            <w:gridSpan w:val="2"/>
            <w:vAlign w:val="top"/>
          </w:tcPr>
          <w:p w14:paraId="49CE4426">
            <w:pPr>
              <w:pStyle w:val="8"/>
              <w:spacing w:before="35" w:line="228" w:lineRule="auto"/>
              <w:ind w:left="827"/>
              <w:rPr>
                <w:color w:val="000000" w:themeColor="text1"/>
                <w:highlight w:val="none"/>
                <w14:textFill>
                  <w14:solidFill>
                    <w14:schemeClr w14:val="tx1"/>
                  </w14:solidFill>
                </w14:textFill>
              </w:rPr>
            </w:pPr>
            <w:r>
              <w:rPr>
                <w:b/>
                <w:bCs/>
                <w:color w:val="000000" w:themeColor="text1"/>
                <w:spacing w:val="5"/>
                <w:highlight w:val="none"/>
                <w14:textFill>
                  <w14:solidFill>
                    <w14:schemeClr w14:val="tx1"/>
                  </w14:solidFill>
                </w14:textFill>
              </w:rPr>
              <w:t>条款号</w:t>
            </w:r>
          </w:p>
        </w:tc>
        <w:tc>
          <w:tcPr>
            <w:tcW w:w="7177" w:type="dxa"/>
            <w:vAlign w:val="top"/>
          </w:tcPr>
          <w:p w14:paraId="6D547C41">
            <w:pPr>
              <w:pStyle w:val="8"/>
              <w:spacing w:before="35" w:line="228" w:lineRule="auto"/>
              <w:ind w:left="2346"/>
              <w:rPr>
                <w:color w:val="000000" w:themeColor="text1"/>
                <w:highlight w:val="none"/>
                <w14:textFill>
                  <w14:solidFill>
                    <w14:schemeClr w14:val="tx1"/>
                  </w14:solidFill>
                </w14:textFill>
              </w:rPr>
            </w:pPr>
            <w:r>
              <w:rPr>
                <w:b/>
                <w:bCs/>
                <w:color w:val="000000" w:themeColor="text1"/>
                <w:spacing w:val="11"/>
                <w:highlight w:val="none"/>
                <w14:textFill>
                  <w14:solidFill>
                    <w14:schemeClr w14:val="tx1"/>
                  </w14:solidFill>
                </w14:textFill>
              </w:rPr>
              <w:t>评审因素与评审标准</w:t>
            </w:r>
          </w:p>
        </w:tc>
      </w:tr>
      <w:tr w14:paraId="0C124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0" w:hRule="atLeast"/>
        </w:trPr>
        <w:tc>
          <w:tcPr>
            <w:tcW w:w="1260" w:type="dxa"/>
            <w:vAlign w:val="top"/>
          </w:tcPr>
          <w:p w14:paraId="577269F0">
            <w:pPr>
              <w:rPr>
                <w:rFonts w:ascii="Arial"/>
                <w:color w:val="000000" w:themeColor="text1"/>
                <w:sz w:val="21"/>
                <w:highlight w:val="none"/>
                <w14:textFill>
                  <w14:solidFill>
                    <w14:schemeClr w14:val="tx1"/>
                  </w14:solidFill>
                </w14:textFill>
              </w:rPr>
            </w:pPr>
          </w:p>
        </w:tc>
        <w:tc>
          <w:tcPr>
            <w:tcW w:w="1553" w:type="dxa"/>
            <w:vAlign w:val="top"/>
          </w:tcPr>
          <w:p w14:paraId="124B5B61">
            <w:pPr>
              <w:rPr>
                <w:rFonts w:ascii="Arial"/>
                <w:color w:val="000000" w:themeColor="text1"/>
                <w:sz w:val="21"/>
                <w:highlight w:val="none"/>
                <w14:textFill>
                  <w14:solidFill>
                    <w14:schemeClr w14:val="tx1"/>
                  </w14:solidFill>
                </w14:textFill>
              </w:rPr>
            </w:pPr>
          </w:p>
        </w:tc>
        <w:tc>
          <w:tcPr>
            <w:tcW w:w="7177" w:type="dxa"/>
            <w:vAlign w:val="top"/>
          </w:tcPr>
          <w:p w14:paraId="7B52347C">
            <w:pPr>
              <w:pStyle w:val="8"/>
              <w:spacing w:before="163" w:line="364" w:lineRule="auto"/>
              <w:ind w:left="113" w:right="107" w:firstLine="416"/>
              <w:rPr>
                <w:color w:val="000000" w:themeColor="text1"/>
                <w:highlight w:val="none"/>
                <w14:textFill>
                  <w14:solidFill>
                    <w14:schemeClr w14:val="tx1"/>
                  </w14:solidFill>
                </w14:textFill>
              </w:rPr>
            </w:pPr>
            <w:r>
              <w:rPr>
                <w:color w:val="000000" w:themeColor="text1"/>
                <w:spacing w:val="13"/>
                <w:highlight w:val="none"/>
                <w14:textFill>
                  <w14:solidFill>
                    <w14:schemeClr w14:val="tx1"/>
                  </w14:solidFill>
                </w14:textFill>
              </w:rPr>
              <w:t>b.已标价报价清单说明文字与招标文件规定一致，未进行实质性</w:t>
            </w:r>
            <w:r>
              <w:rPr>
                <w:color w:val="000000" w:themeColor="text1"/>
                <w:spacing w:val="6"/>
                <w:highlight w:val="none"/>
                <w14:textFill>
                  <w14:solidFill>
                    <w14:schemeClr w14:val="tx1"/>
                  </w14:solidFill>
                </w14:textFill>
              </w:rPr>
              <w:t>修改和删减；</w:t>
            </w:r>
          </w:p>
          <w:p w14:paraId="7B931B9C">
            <w:pPr>
              <w:pStyle w:val="8"/>
              <w:spacing w:before="28" w:line="228" w:lineRule="auto"/>
              <w:ind w:left="537"/>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c.投标文件组成齐全完整，内容均按规定填写。</w:t>
            </w:r>
          </w:p>
          <w:p w14:paraId="6AE8ADDF">
            <w:pPr>
              <w:pStyle w:val="8"/>
              <w:spacing w:before="160" w:line="302" w:lineRule="auto"/>
              <w:ind w:left="113" w:right="109" w:firstLine="430"/>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（2）投标文件上法定代表人或其委托代理人的签字、投标人的单</w:t>
            </w:r>
            <w:r>
              <w:rPr>
                <w:color w:val="000000" w:themeColor="text1"/>
                <w:spacing w:val="8"/>
                <w:highlight w:val="none"/>
                <w14:textFill>
                  <w14:solidFill>
                    <w14:schemeClr w14:val="tx1"/>
                  </w14:solidFill>
                </w14:textFill>
              </w:rPr>
              <w:t>位章盖章齐全，符合招标文件规定。</w:t>
            </w:r>
          </w:p>
          <w:p w14:paraId="42F7275D">
            <w:pPr>
              <w:pStyle w:val="8"/>
              <w:spacing w:before="162" w:line="226" w:lineRule="auto"/>
              <w:ind w:left="543"/>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（3）投标报价未超过招标文件设定的最高投标限价（如有）。</w:t>
            </w:r>
          </w:p>
          <w:p w14:paraId="205DF126">
            <w:pPr>
              <w:pStyle w:val="8"/>
              <w:spacing w:before="163" w:line="226" w:lineRule="auto"/>
              <w:ind w:left="543"/>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（4）投标报价的大写金额能够确定具体数值。</w:t>
            </w:r>
          </w:p>
          <w:p w14:paraId="5D7265B7">
            <w:pPr>
              <w:pStyle w:val="8"/>
              <w:spacing w:before="166" w:line="302" w:lineRule="auto"/>
              <w:ind w:left="115" w:right="109" w:firstLine="428"/>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（5）</w:t>
            </w:r>
            <w:r>
              <w:rPr>
                <w:color w:val="000000" w:themeColor="text1"/>
                <w:spacing w:val="-59"/>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同一投标人未提交两个以上不同的投</w:t>
            </w:r>
            <w:r>
              <w:rPr>
                <w:color w:val="000000" w:themeColor="text1"/>
                <w:spacing w:val="7"/>
                <w:highlight w:val="none"/>
                <w14:textFill>
                  <w14:solidFill>
                    <w14:schemeClr w14:val="tx1"/>
                  </w14:solidFill>
                </w14:textFill>
              </w:rPr>
              <w:t>标报价，但招标文件要求提交备选投标的除外。</w:t>
            </w:r>
          </w:p>
        </w:tc>
      </w:tr>
      <w:tr w14:paraId="2BB3C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4" w:hRule="atLeast"/>
        </w:trPr>
        <w:tc>
          <w:tcPr>
            <w:tcW w:w="1260" w:type="dxa"/>
            <w:vAlign w:val="center"/>
          </w:tcPr>
          <w:p w14:paraId="7BBFB739">
            <w:pPr>
              <w:pStyle w:val="8"/>
              <w:spacing w:before="65" w:line="190" w:lineRule="auto"/>
              <w:jc w:val="center"/>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2.1.2</w:t>
            </w:r>
          </w:p>
        </w:tc>
        <w:tc>
          <w:tcPr>
            <w:tcW w:w="1553" w:type="dxa"/>
            <w:vAlign w:val="center"/>
          </w:tcPr>
          <w:p w14:paraId="44EB0532">
            <w:pPr>
              <w:pStyle w:val="8"/>
              <w:spacing w:before="65" w:line="363" w:lineRule="auto"/>
              <w:ind w:right="115"/>
              <w:jc w:val="center"/>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资格评审标</w:t>
            </w:r>
            <w:r>
              <w:rPr>
                <w:color w:val="000000" w:themeColor="text1"/>
                <w:highlight w:val="none"/>
                <w14:textFill>
                  <w14:solidFill>
                    <w14:schemeClr w14:val="tx1"/>
                  </w14:solidFill>
                </w14:textFill>
              </w:rPr>
              <w:t>准</w:t>
            </w:r>
          </w:p>
        </w:tc>
        <w:tc>
          <w:tcPr>
            <w:tcW w:w="7177" w:type="dxa"/>
            <w:vAlign w:val="top"/>
          </w:tcPr>
          <w:p w14:paraId="0D714629">
            <w:pPr>
              <w:pStyle w:val="8"/>
              <w:spacing w:before="166" w:line="302" w:lineRule="auto"/>
              <w:ind w:left="115" w:right="109" w:firstLine="428"/>
              <w:rPr>
                <w:color w:val="000000" w:themeColor="text1"/>
                <w:spacing w:val="8"/>
                <w:highlight w:val="none"/>
                <w14:textFill>
                  <w14:solidFill>
                    <w14:schemeClr w14:val="tx1"/>
                  </w14:solidFill>
                </w14:textFill>
              </w:rPr>
            </w:pPr>
            <w:r>
              <w:rPr>
                <w:color w:val="000000" w:themeColor="text1"/>
                <w:spacing w:val="8"/>
                <w:highlight w:val="none"/>
                <w14:textFill>
                  <w14:solidFill>
                    <w14:schemeClr w14:val="tx1"/>
                  </w14:solidFill>
                </w14:textFill>
              </w:rPr>
              <w:t>（1）投标人具备有效的营业执照、监理资质证书和基本账户开户许可证（如企业所在地已取消企业银行账户许可而无法提供开户许可证的，则需附上开户银行盖章的“基本存款账户信息 ”或“人民银行账户管理系统查询的基本账户信息截图 ”）。</w:t>
            </w:r>
          </w:p>
          <w:p w14:paraId="2FFC54AB">
            <w:pPr>
              <w:pStyle w:val="8"/>
              <w:spacing w:before="164" w:line="228" w:lineRule="auto"/>
              <w:ind w:left="543"/>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（2）投标人的资质等级符合招标文件规定。</w:t>
            </w:r>
          </w:p>
          <w:p w14:paraId="3907FA0C">
            <w:pPr>
              <w:pStyle w:val="8"/>
              <w:spacing w:before="160" w:line="228" w:lineRule="auto"/>
              <w:ind w:left="543"/>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（3）投标人的类似工程业绩符合招标文件规定。</w:t>
            </w:r>
          </w:p>
          <w:p w14:paraId="793C135F">
            <w:pPr>
              <w:pStyle w:val="8"/>
              <w:spacing w:before="161" w:line="227" w:lineRule="auto"/>
              <w:ind w:left="543"/>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（4）投标人的信誉符合招标文件规定。</w:t>
            </w:r>
          </w:p>
          <w:p w14:paraId="3556CF6A">
            <w:pPr>
              <w:pStyle w:val="8"/>
              <w:spacing w:before="162" w:line="303" w:lineRule="auto"/>
              <w:ind w:left="114" w:right="109" w:firstLine="429"/>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（5）投标人的总监理工程师（含备选，如有）资格、在岗情况符合招标文件规定，并按规定在投标文件中签字确认。</w:t>
            </w:r>
          </w:p>
          <w:p w14:paraId="096DB25A">
            <w:pPr>
              <w:pStyle w:val="8"/>
              <w:spacing w:before="129" w:line="408" w:lineRule="exact"/>
              <w:ind w:left="543"/>
              <w:rPr>
                <w:color w:val="000000" w:themeColor="text1"/>
                <w:sz w:val="10"/>
                <w:szCs w:val="10"/>
                <w:highlight w:val="none"/>
                <w14:textFill>
                  <w14:solidFill>
                    <w14:schemeClr w14:val="tx1"/>
                  </w14:solidFill>
                </w14:textFill>
              </w:rPr>
            </w:pPr>
            <w:r>
              <w:rPr>
                <w:color w:val="000000" w:themeColor="text1"/>
                <w:spacing w:val="8"/>
                <w:position w:val="5"/>
                <w:highlight w:val="none"/>
                <w14:textFill>
                  <w14:solidFill>
                    <w14:schemeClr w14:val="tx1"/>
                  </w14:solidFill>
                </w14:textFill>
              </w:rPr>
              <w:t>（6）投标人的其他要求符合招标文件规定。</w:t>
            </w:r>
          </w:p>
          <w:p w14:paraId="1469D150">
            <w:pPr>
              <w:pStyle w:val="8"/>
              <w:spacing w:before="33" w:line="302" w:lineRule="auto"/>
              <w:ind w:left="116" w:right="108" w:firstLine="426"/>
              <w:rPr>
                <w:color w:val="000000" w:themeColor="text1"/>
                <w:sz w:val="21"/>
                <w:szCs w:val="21"/>
                <w:highlight w:val="none"/>
                <w14:textFill>
                  <w14:solidFill>
                    <w14:schemeClr w14:val="tx1"/>
                  </w14:solidFill>
                </w14:textFill>
              </w:rPr>
            </w:pPr>
            <w:r>
              <w:rPr>
                <w:color w:val="000000" w:themeColor="text1"/>
                <w:spacing w:val="6"/>
                <w:highlight w:val="none"/>
                <w14:textFill>
                  <w14:solidFill>
                    <w14:schemeClr w14:val="tx1"/>
                  </w14:solidFill>
                </w14:textFill>
              </w:rPr>
              <w:t>（7）投标人不存在第二章“投标人须知</w:t>
            </w:r>
            <w:r>
              <w:rPr>
                <w:color w:val="000000" w:themeColor="text1"/>
                <w:spacing w:val="-58"/>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”第</w:t>
            </w:r>
            <w:r>
              <w:rPr>
                <w:color w:val="000000" w:themeColor="text1"/>
                <w:spacing w:val="-22"/>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1.4.3</w:t>
            </w:r>
            <w:r>
              <w:rPr>
                <w:color w:val="000000" w:themeColor="text1"/>
                <w:spacing w:val="-32"/>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项或第</w:t>
            </w:r>
            <w:r>
              <w:rPr>
                <w:color w:val="000000" w:themeColor="text1"/>
                <w:spacing w:val="-21"/>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1.4.4</w:t>
            </w:r>
            <w:r>
              <w:rPr>
                <w:color w:val="000000" w:themeColor="text1"/>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项规定的任何一种情形。</w:t>
            </w:r>
          </w:p>
        </w:tc>
      </w:tr>
    </w:tbl>
    <w:p w14:paraId="152FC2ED">
      <w:pPr>
        <w:spacing w:line="219" w:lineRule="auto"/>
        <w:rPr>
          <w:rFonts w:ascii="宋体" w:hAnsi="宋体" w:eastAsia="宋体" w:cs="宋体"/>
          <w:color w:val="000000" w:themeColor="text1"/>
          <w:sz w:val="18"/>
          <w:szCs w:val="18"/>
          <w:highlight w:val="none"/>
          <w14:textFill>
            <w14:solidFill>
              <w14:schemeClr w14:val="tx1"/>
            </w14:solidFill>
          </w14:textFill>
        </w:rPr>
        <w:sectPr>
          <w:footerReference r:id="rId7" w:type="default"/>
          <w:pgSz w:w="11906" w:h="16839"/>
          <w:pgMar w:top="1416" w:right="1701" w:bottom="1252" w:left="1304" w:header="0" w:footer="1090" w:gutter="0"/>
          <w:pgBorders>
            <w:top w:val="none" w:sz="0" w:space="0"/>
            <w:left w:val="none" w:sz="0" w:space="0"/>
            <w:bottom w:val="none" w:sz="0" w:space="0"/>
            <w:right w:val="none" w:sz="0" w:space="0"/>
          </w:pgBorders>
          <w:pgNumType w:fmt="decimal"/>
          <w:cols w:space="720" w:num="1"/>
        </w:sectPr>
      </w:pPr>
    </w:p>
    <w:tbl>
      <w:tblPr>
        <w:tblStyle w:val="9"/>
        <w:tblW w:w="10382" w:type="dxa"/>
        <w:tblInd w:w="-3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2"/>
        <w:gridCol w:w="1132"/>
        <w:gridCol w:w="8348"/>
      </w:tblGrid>
      <w:tr w14:paraId="57CED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902" w:type="dxa"/>
            <w:vAlign w:val="top"/>
          </w:tcPr>
          <w:p w14:paraId="4A5D3FCF">
            <w:pPr>
              <w:pStyle w:val="8"/>
              <w:spacing w:before="35" w:line="228" w:lineRule="auto"/>
              <w:ind w:left="188"/>
              <w:rPr>
                <w:color w:val="000000" w:themeColor="text1"/>
                <w:highlight w:val="none"/>
                <w14:textFill>
                  <w14:solidFill>
                    <w14:schemeClr w14:val="tx1"/>
                  </w14:solidFill>
                </w14:textFill>
              </w:rPr>
            </w:pPr>
            <w:r>
              <w:rPr>
                <w:b/>
                <w:bCs/>
                <w:color w:val="000000" w:themeColor="text1"/>
                <w:spacing w:val="5"/>
                <w:highlight w:val="none"/>
                <w14:textFill>
                  <w14:solidFill>
                    <w14:schemeClr w14:val="tx1"/>
                  </w14:solidFill>
                </w14:textFill>
              </w:rPr>
              <w:t>条款号</w:t>
            </w:r>
          </w:p>
        </w:tc>
        <w:tc>
          <w:tcPr>
            <w:tcW w:w="1132" w:type="dxa"/>
            <w:vAlign w:val="top"/>
          </w:tcPr>
          <w:p w14:paraId="4F399A6C">
            <w:pPr>
              <w:pStyle w:val="8"/>
              <w:spacing w:before="35" w:line="228" w:lineRule="auto"/>
              <w:ind w:left="222"/>
              <w:rPr>
                <w:color w:val="000000" w:themeColor="text1"/>
                <w:highlight w:val="none"/>
                <w14:textFill>
                  <w14:solidFill>
                    <w14:schemeClr w14:val="tx1"/>
                  </w14:solidFill>
                </w14:textFill>
              </w:rPr>
            </w:pPr>
            <w:r>
              <w:rPr>
                <w:b/>
                <w:bCs/>
                <w:color w:val="000000" w:themeColor="text1"/>
                <w:spacing w:val="6"/>
                <w:highlight w:val="none"/>
                <w14:textFill>
                  <w14:solidFill>
                    <w14:schemeClr w14:val="tx1"/>
                  </w14:solidFill>
                </w14:textFill>
              </w:rPr>
              <w:t>条款内容</w:t>
            </w:r>
          </w:p>
        </w:tc>
        <w:tc>
          <w:tcPr>
            <w:tcW w:w="8348" w:type="dxa"/>
            <w:vAlign w:val="top"/>
          </w:tcPr>
          <w:p w14:paraId="7C45BBC8">
            <w:pPr>
              <w:pStyle w:val="8"/>
              <w:spacing w:before="35" w:line="228" w:lineRule="auto"/>
              <w:ind w:left="3040"/>
              <w:rPr>
                <w:color w:val="000000" w:themeColor="text1"/>
                <w:highlight w:val="none"/>
                <w14:textFill>
                  <w14:solidFill>
                    <w14:schemeClr w14:val="tx1"/>
                  </w14:solidFill>
                </w14:textFill>
              </w:rPr>
            </w:pPr>
            <w:r>
              <w:rPr>
                <w:b/>
                <w:bCs/>
                <w:color w:val="000000" w:themeColor="text1"/>
                <w:spacing w:val="6"/>
                <w:highlight w:val="none"/>
                <w14:textFill>
                  <w14:solidFill>
                    <w14:schemeClr w14:val="tx1"/>
                  </w14:solidFill>
                </w14:textFill>
              </w:rPr>
              <w:t>编列内容</w:t>
            </w:r>
          </w:p>
        </w:tc>
      </w:tr>
      <w:tr w14:paraId="4C64B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2" w:type="dxa"/>
            <w:vAlign w:val="center"/>
          </w:tcPr>
          <w:p w14:paraId="3507A8F9">
            <w:pPr>
              <w:pStyle w:val="8"/>
              <w:spacing w:before="65" w:line="190" w:lineRule="auto"/>
              <w:ind w:left="242"/>
              <w:jc w:val="both"/>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2.2.1</w:t>
            </w:r>
          </w:p>
        </w:tc>
        <w:tc>
          <w:tcPr>
            <w:tcW w:w="1132" w:type="dxa"/>
            <w:vAlign w:val="center"/>
          </w:tcPr>
          <w:p w14:paraId="0E5E7D99">
            <w:pPr>
              <w:pStyle w:val="8"/>
              <w:spacing w:before="65" w:line="223" w:lineRule="auto"/>
              <w:jc w:val="center"/>
              <w:rPr>
                <w:color w:val="000000" w:themeColor="text1"/>
                <w:spacing w:val="6"/>
                <w:highlight w:val="none"/>
                <w14:textFill>
                  <w14:solidFill>
                    <w14:schemeClr w14:val="tx1"/>
                  </w14:solidFill>
                </w14:textFill>
              </w:rPr>
            </w:pPr>
            <w:r>
              <w:rPr>
                <w:color w:val="000000" w:themeColor="text1"/>
                <w:spacing w:val="6"/>
                <w:highlight w:val="none"/>
                <w14:textFill>
                  <w14:solidFill>
                    <w14:schemeClr w14:val="tx1"/>
                  </w14:solidFill>
                </w14:textFill>
              </w:rPr>
              <w:t>分值构成</w:t>
            </w:r>
          </w:p>
          <w:p w14:paraId="2672B93A">
            <w:pPr>
              <w:pStyle w:val="8"/>
              <w:spacing w:before="65" w:line="223"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（总分100</w:t>
            </w:r>
            <w:r>
              <w:rPr>
                <w:color w:val="000000" w:themeColor="text1"/>
                <w:spacing w:val="-1"/>
                <w:highlight w:val="none"/>
                <w14:textFill>
                  <w14:solidFill>
                    <w14:schemeClr w14:val="tx1"/>
                  </w14:solidFill>
                </w14:textFill>
              </w:rPr>
              <w:t>分）</w:t>
            </w:r>
          </w:p>
        </w:tc>
        <w:tc>
          <w:tcPr>
            <w:tcW w:w="8348" w:type="dxa"/>
            <w:vAlign w:val="top"/>
          </w:tcPr>
          <w:p w14:paraId="4989E19E">
            <w:pPr>
              <w:pStyle w:val="8"/>
              <w:spacing w:before="26" w:line="227" w:lineRule="auto"/>
              <w:ind w:firstLine="218" w:firstLineChars="100"/>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第一个信封（商务及技术文件）评分分值构成</w:t>
            </w:r>
            <w:r>
              <w:rPr>
                <w:color w:val="000000" w:themeColor="text1"/>
                <w:spacing w:val="8"/>
                <w:highlight w:val="none"/>
                <w14:textFill>
                  <w14:solidFill>
                    <w14:schemeClr w14:val="tx1"/>
                  </w14:solidFill>
                </w14:textFill>
              </w:rPr>
              <w:t>：</w:t>
            </w:r>
          </w:p>
          <w:p w14:paraId="259329C8">
            <w:pPr>
              <w:pStyle w:val="8"/>
              <w:spacing w:before="180" w:line="228" w:lineRule="auto"/>
              <w:ind w:firstLine="424" w:firstLineChars="200"/>
              <w:rPr>
                <w:rFonts w:hint="default" w:eastAsia="宋体"/>
                <w:color w:val="000000" w:themeColor="text1"/>
                <w:highlight w:val="none"/>
                <w:lang w:val="en-US" w:eastAsia="zh-CN"/>
                <w14:textFill>
                  <w14:solidFill>
                    <w14:schemeClr w14:val="tx1"/>
                  </w14:solidFill>
                </w14:textFill>
              </w:rPr>
            </w:pPr>
            <w:r>
              <w:rPr>
                <w:color w:val="000000" w:themeColor="text1"/>
                <w:spacing w:val="6"/>
                <w:highlight w:val="none"/>
                <w14:textFill>
                  <w14:solidFill>
                    <w14:schemeClr w14:val="tx1"/>
                  </w14:solidFill>
                </w14:textFill>
              </w:rPr>
              <w:t>监理大纲：</w:t>
            </w:r>
            <w:r>
              <w:rPr>
                <w:rFonts w:hint="eastAsia" w:ascii="宋体" w:hAnsi="宋体" w:eastAsia="宋体" w:cs="宋体"/>
                <w:color w:val="000000" w:themeColor="text1"/>
                <w:spacing w:val="6"/>
                <w:highlight w:val="none"/>
                <w:u w:val="single" w:color="auto"/>
                <w:lang w:val="en-US" w:eastAsia="zh-CN"/>
                <w14:textFill>
                  <w14:solidFill>
                    <w14:schemeClr w14:val="tx1"/>
                  </w14:solidFill>
                </w14:textFill>
              </w:rPr>
              <w:t xml:space="preserve">40 </w:t>
            </w:r>
            <w:r>
              <w:rPr>
                <w:color w:val="000000" w:themeColor="text1"/>
                <w:spacing w:val="6"/>
                <w:highlight w:val="none"/>
                <w14:textFill>
                  <w14:solidFill>
                    <w14:schemeClr w14:val="tx1"/>
                  </w14:solidFill>
                </w14:textFill>
              </w:rPr>
              <w:t>分</w:t>
            </w:r>
            <w:r>
              <w:rPr>
                <w:rFonts w:hint="eastAsia"/>
                <w:color w:val="000000" w:themeColor="text1"/>
                <w:spacing w:val="6"/>
                <w:highlight w:val="none"/>
                <w:lang w:val="en-US" w:eastAsia="zh-CN"/>
                <w14:textFill>
                  <w14:solidFill>
                    <w14:schemeClr w14:val="tx1"/>
                  </w14:solidFill>
                </w14:textFill>
              </w:rPr>
              <w:t xml:space="preserve">                 </w:t>
            </w:r>
          </w:p>
          <w:p w14:paraId="4CAB176F">
            <w:pPr>
              <w:pStyle w:val="8"/>
              <w:spacing w:before="160" w:line="228" w:lineRule="auto"/>
              <w:ind w:firstLine="420" w:firstLineChars="200"/>
              <w:rPr>
                <w:color w:val="000000" w:themeColor="text1"/>
                <w:spacing w:val="5"/>
                <w:highlight w:val="none"/>
                <w14:textFill>
                  <w14:solidFill>
                    <w14:schemeClr w14:val="tx1"/>
                  </w14:solidFill>
                </w14:textFill>
              </w:rPr>
            </w:pPr>
            <w:r>
              <w:rPr>
                <w:color w:val="000000" w:themeColor="text1"/>
                <w:spacing w:val="5"/>
                <w:highlight w:val="none"/>
                <w14:textFill>
                  <w14:solidFill>
                    <w14:schemeClr w14:val="tx1"/>
                  </w14:solidFill>
                </w14:textFill>
              </w:rPr>
              <w:t>主要人员：</w:t>
            </w:r>
            <w:r>
              <w:rPr>
                <w:rFonts w:hint="eastAsia"/>
                <w:color w:val="000000" w:themeColor="text1"/>
                <w:spacing w:val="5"/>
                <w:highlight w:val="none"/>
                <w:u w:val="single" w:color="auto"/>
                <w:lang w:val="en-US" w:eastAsia="zh-CN"/>
                <w14:textFill>
                  <w14:solidFill>
                    <w14:schemeClr w14:val="tx1"/>
                  </w14:solidFill>
                </w14:textFill>
              </w:rPr>
              <w:t>25</w:t>
            </w:r>
            <w:r>
              <w:rPr>
                <w:color w:val="000000" w:themeColor="text1"/>
                <w:spacing w:val="-28"/>
                <w:highlight w:val="none"/>
                <w:u w:val="single" w:color="auto"/>
                <w14:textFill>
                  <w14:solidFill>
                    <w14:schemeClr w14:val="tx1"/>
                  </w14:solidFill>
                </w14:textFill>
              </w:rPr>
              <w:t xml:space="preserve"> </w:t>
            </w:r>
            <w:r>
              <w:rPr>
                <w:color w:val="000000" w:themeColor="text1"/>
                <w:spacing w:val="5"/>
                <w:highlight w:val="none"/>
                <w14:textFill>
                  <w14:solidFill>
                    <w14:schemeClr w14:val="tx1"/>
                  </w14:solidFill>
                </w14:textFill>
              </w:rPr>
              <w:t>分</w:t>
            </w:r>
            <w:r>
              <w:rPr>
                <w:rFonts w:hint="eastAsia"/>
                <w:color w:val="000000" w:themeColor="text1"/>
                <w:spacing w:val="5"/>
                <w:highlight w:val="none"/>
                <w:lang w:val="en-US" w:eastAsia="zh-CN"/>
                <w14:textFill>
                  <w14:solidFill>
                    <w14:schemeClr w14:val="tx1"/>
                  </w14:solidFill>
                </w14:textFill>
              </w:rPr>
              <w:t xml:space="preserve">                 </w:t>
            </w:r>
          </w:p>
          <w:p w14:paraId="09F75073">
            <w:pPr>
              <w:pStyle w:val="8"/>
              <w:spacing w:before="160" w:line="228" w:lineRule="auto"/>
              <w:ind w:left="0" w:firstLine="636" w:firstLineChars="300"/>
              <w:rPr>
                <w:color w:val="000000" w:themeColor="text1"/>
                <w:spacing w:val="6"/>
                <w:highlight w:val="none"/>
                <w14:textFill>
                  <w14:solidFill>
                    <w14:schemeClr w14:val="tx1"/>
                  </w14:solidFill>
                </w14:textFill>
              </w:rPr>
            </w:pPr>
            <w:r>
              <w:rPr>
                <w:color w:val="000000" w:themeColor="text1"/>
                <w:spacing w:val="6"/>
                <w:highlight w:val="none"/>
                <w14:textFill>
                  <w14:solidFill>
                    <w14:schemeClr w14:val="tx1"/>
                  </w14:solidFill>
                </w14:textFill>
              </w:rPr>
              <w:t>总监理工程师：</w:t>
            </w:r>
            <w:r>
              <w:rPr>
                <w:rFonts w:hint="eastAsia"/>
                <w:color w:val="000000" w:themeColor="text1"/>
                <w:spacing w:val="6"/>
                <w:highlight w:val="none"/>
                <w:u w:val="single" w:color="auto"/>
                <w:lang w:val="en-US" w:eastAsia="zh-CN"/>
                <w14:textFill>
                  <w14:solidFill>
                    <w14:schemeClr w14:val="tx1"/>
                  </w14:solidFill>
                </w14:textFill>
              </w:rPr>
              <w:t>20</w:t>
            </w:r>
            <w:r>
              <w:rPr>
                <w:color w:val="000000" w:themeColor="text1"/>
                <w:spacing w:val="-35"/>
                <w:highlight w:val="none"/>
                <w:u w:val="single" w:color="auto"/>
                <w14:textFill>
                  <w14:solidFill>
                    <w14:schemeClr w14:val="tx1"/>
                  </w14:solidFill>
                </w14:textFill>
              </w:rPr>
              <w:t xml:space="preserve"> </w:t>
            </w:r>
            <w:r>
              <w:rPr>
                <w:color w:val="000000" w:themeColor="text1"/>
                <w:spacing w:val="6"/>
                <w:highlight w:val="none"/>
                <w14:textFill>
                  <w14:solidFill>
                    <w14:schemeClr w14:val="tx1"/>
                  </w14:solidFill>
                </w14:textFill>
              </w:rPr>
              <w:t>分</w:t>
            </w:r>
            <w:r>
              <w:rPr>
                <w:rFonts w:hint="eastAsia"/>
                <w:color w:val="000000" w:themeColor="text1"/>
                <w:spacing w:val="6"/>
                <w:highlight w:val="none"/>
                <w:lang w:val="en-US" w:eastAsia="zh-CN"/>
                <w14:textFill>
                  <w14:solidFill>
                    <w14:schemeClr w14:val="tx1"/>
                  </w14:solidFill>
                </w14:textFill>
              </w:rPr>
              <w:t xml:space="preserve">          </w:t>
            </w:r>
          </w:p>
          <w:p w14:paraId="18F3DFDE">
            <w:pPr>
              <w:pStyle w:val="8"/>
              <w:spacing w:before="161" w:line="228" w:lineRule="auto"/>
              <w:ind w:left="0" w:firstLine="642" w:firstLineChars="300"/>
              <w:rPr>
                <w:color w:val="000000" w:themeColor="text1"/>
                <w:spacing w:val="7"/>
                <w:highlight w:val="none"/>
                <w14:textFill>
                  <w14:solidFill>
                    <w14:schemeClr w14:val="tx1"/>
                  </w14:solidFill>
                </w14:textFill>
              </w:rPr>
            </w:pPr>
            <w:r>
              <w:rPr>
                <w:color w:val="000000" w:themeColor="text1"/>
                <w:spacing w:val="7"/>
                <w:highlight w:val="none"/>
                <w14:textFill>
                  <w14:solidFill>
                    <w14:schemeClr w14:val="tx1"/>
                  </w14:solidFill>
                </w14:textFill>
              </w:rPr>
              <w:t>其他主要监理人员：</w:t>
            </w:r>
            <w:r>
              <w:rPr>
                <w:rFonts w:hint="eastAsia"/>
                <w:color w:val="000000" w:themeColor="text1"/>
                <w:spacing w:val="7"/>
                <w:highlight w:val="none"/>
                <w:u w:val="single" w:color="auto"/>
                <w:lang w:val="en-US" w:eastAsia="zh-CN"/>
                <w14:textFill>
                  <w14:solidFill>
                    <w14:schemeClr w14:val="tx1"/>
                  </w14:solidFill>
                </w14:textFill>
              </w:rPr>
              <w:t>5</w:t>
            </w:r>
            <w:r>
              <w:rPr>
                <w:color w:val="000000" w:themeColor="text1"/>
                <w:spacing w:val="7"/>
                <w:highlight w:val="none"/>
                <w14:textFill>
                  <w14:solidFill>
                    <w14:schemeClr w14:val="tx1"/>
                  </w14:solidFill>
                </w14:textFill>
              </w:rPr>
              <w:t>分</w:t>
            </w:r>
            <w:r>
              <w:rPr>
                <w:rFonts w:hint="eastAsia"/>
                <w:color w:val="000000" w:themeColor="text1"/>
                <w:spacing w:val="7"/>
                <w:highlight w:val="none"/>
                <w:lang w:val="en-US" w:eastAsia="zh-CN"/>
                <w14:textFill>
                  <w14:solidFill>
                    <w14:schemeClr w14:val="tx1"/>
                  </w14:solidFill>
                </w14:textFill>
              </w:rPr>
              <w:t xml:space="preserve">       </w:t>
            </w:r>
          </w:p>
          <w:p w14:paraId="706BB040">
            <w:pPr>
              <w:pStyle w:val="8"/>
              <w:spacing w:before="161" w:line="228" w:lineRule="auto"/>
              <w:ind w:firstLine="424" w:firstLineChars="200"/>
              <w:rPr>
                <w:rFonts w:ascii="宋体" w:hAnsi="宋体" w:eastAsia="宋体" w:cs="宋体"/>
                <w:color w:val="000000" w:themeColor="text1"/>
                <w:spacing w:val="6"/>
                <w:highlight w:val="none"/>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其他因素：</w:t>
            </w:r>
            <w:r>
              <w:rPr>
                <w:rFonts w:hint="eastAsia" w:ascii="宋体" w:hAnsi="宋体" w:eastAsia="宋体" w:cs="宋体"/>
                <w:color w:val="000000" w:themeColor="text1"/>
                <w:spacing w:val="6"/>
                <w:highlight w:val="none"/>
                <w:u w:val="single"/>
                <w:lang w:val="en-US" w:eastAsia="zh-CN"/>
                <w14:textFill>
                  <w14:solidFill>
                    <w14:schemeClr w14:val="tx1"/>
                  </w14:solidFill>
                </w14:textFill>
              </w:rPr>
              <w:t xml:space="preserve"> 2</w:t>
            </w:r>
            <w:r>
              <w:rPr>
                <w:rFonts w:hint="eastAsia" w:cs="宋体"/>
                <w:color w:val="000000" w:themeColor="text1"/>
                <w:spacing w:val="6"/>
                <w:highlight w:val="none"/>
                <w:u w:val="single"/>
                <w:lang w:val="en-US" w:eastAsia="zh-CN"/>
                <w14:textFill>
                  <w14:solidFill>
                    <w14:schemeClr w14:val="tx1"/>
                  </w14:solidFill>
                </w14:textFill>
              </w:rPr>
              <w:t>3</w:t>
            </w:r>
            <w:r>
              <w:rPr>
                <w:rFonts w:ascii="宋体" w:hAnsi="宋体" w:eastAsia="宋体" w:cs="宋体"/>
                <w:color w:val="000000" w:themeColor="text1"/>
                <w:spacing w:val="6"/>
                <w:highlight w:val="none"/>
                <w14:textFill>
                  <w14:solidFill>
                    <w14:schemeClr w14:val="tx1"/>
                  </w14:solidFill>
                </w14:textFill>
              </w:rPr>
              <w:t xml:space="preserve">分： </w:t>
            </w:r>
            <w:r>
              <w:rPr>
                <w:rFonts w:hint="eastAsia" w:cs="宋体"/>
                <w:color w:val="000000" w:themeColor="text1"/>
                <w:spacing w:val="6"/>
                <w:highlight w:val="none"/>
                <w:lang w:val="en-US" w:eastAsia="zh-CN"/>
                <w14:textFill>
                  <w14:solidFill>
                    <w14:schemeClr w14:val="tx1"/>
                  </w14:solidFill>
                </w14:textFill>
              </w:rPr>
              <w:t xml:space="preserve">            </w:t>
            </w:r>
          </w:p>
          <w:p w14:paraId="0390BF1B">
            <w:pPr>
              <w:pStyle w:val="8"/>
              <w:spacing w:before="161" w:line="228" w:lineRule="auto"/>
              <w:ind w:left="0" w:firstLine="636" w:firstLineChars="300"/>
              <w:rPr>
                <w:rFonts w:hint="eastAsia" w:cs="宋体"/>
                <w:color w:val="000000" w:themeColor="text1"/>
                <w:spacing w:val="6"/>
                <w:highlight w:val="none"/>
                <w:lang w:val="en-US" w:eastAsia="zh-CN"/>
                <w14:textFill>
                  <w14:solidFill>
                    <w14:schemeClr w14:val="tx1"/>
                  </w14:solidFill>
                </w14:textFill>
              </w:rPr>
            </w:pPr>
            <w:r>
              <w:rPr>
                <w:rFonts w:ascii="宋体" w:hAnsi="宋体" w:eastAsia="宋体" w:cs="宋体"/>
                <w:color w:val="000000" w:themeColor="text1"/>
                <w:spacing w:val="6"/>
                <w:highlight w:val="none"/>
                <w14:textFill>
                  <w14:solidFill>
                    <w14:schemeClr w14:val="tx1"/>
                  </w14:solidFill>
                </w14:textFill>
              </w:rPr>
              <w:t>业绩：</w:t>
            </w:r>
            <w:r>
              <w:rPr>
                <w:rFonts w:hint="eastAsia" w:ascii="宋体" w:hAnsi="宋体" w:eastAsia="宋体" w:cs="宋体"/>
                <w:color w:val="000000" w:themeColor="text1"/>
                <w:spacing w:val="6"/>
                <w:highlight w:val="none"/>
                <w:u w:val="single"/>
                <w:lang w:val="en-US" w:eastAsia="zh-CN"/>
                <w14:textFill>
                  <w14:solidFill>
                    <w14:schemeClr w14:val="tx1"/>
                  </w14:solidFill>
                </w14:textFill>
              </w:rPr>
              <w:t xml:space="preserve">10 </w:t>
            </w:r>
            <w:r>
              <w:rPr>
                <w:rFonts w:ascii="宋体" w:hAnsi="宋体" w:eastAsia="宋体" w:cs="宋体"/>
                <w:color w:val="000000" w:themeColor="text1"/>
                <w:spacing w:val="6"/>
                <w:highlight w:val="none"/>
                <w14:textFill>
                  <w14:solidFill>
                    <w14:schemeClr w14:val="tx1"/>
                  </w14:solidFill>
                </w14:textFill>
              </w:rPr>
              <w:t>分</w:t>
            </w:r>
            <w:r>
              <w:rPr>
                <w:rFonts w:hint="eastAsia" w:cs="宋体"/>
                <w:color w:val="000000" w:themeColor="text1"/>
                <w:spacing w:val="6"/>
                <w:highlight w:val="none"/>
                <w:lang w:val="en-US" w:eastAsia="zh-CN"/>
                <w14:textFill>
                  <w14:solidFill>
                    <w14:schemeClr w14:val="tx1"/>
                  </w14:solidFill>
                </w14:textFill>
              </w:rPr>
              <w:t xml:space="preserve">                  </w:t>
            </w:r>
          </w:p>
          <w:p w14:paraId="481A9702">
            <w:pPr>
              <w:pStyle w:val="8"/>
              <w:spacing w:before="161" w:line="228" w:lineRule="auto"/>
              <w:ind w:left="0" w:firstLine="606" w:firstLineChars="300"/>
              <w:rPr>
                <w:color w:val="000000" w:themeColor="text1"/>
                <w:spacing w:val="1"/>
                <w:highlight w:val="none"/>
                <w14:textFill>
                  <w14:solidFill>
                    <w14:schemeClr w14:val="tx1"/>
                  </w14:solidFill>
                </w14:textFill>
              </w:rPr>
            </w:pPr>
            <w:r>
              <w:rPr>
                <w:color w:val="000000" w:themeColor="text1"/>
                <w:spacing w:val="1"/>
                <w:highlight w:val="none"/>
                <w14:textFill>
                  <w14:solidFill>
                    <w14:schemeClr w14:val="tx1"/>
                  </w14:solidFill>
                </w14:textFill>
              </w:rPr>
              <w:t>履约信誉：</w:t>
            </w:r>
            <w:r>
              <w:rPr>
                <w:color w:val="000000" w:themeColor="text1"/>
                <w:spacing w:val="-76"/>
                <w:highlight w:val="none"/>
                <w:u w:val="single" w:color="auto"/>
                <w14:textFill>
                  <w14:solidFill>
                    <w14:schemeClr w14:val="tx1"/>
                  </w14:solidFill>
                </w14:textFill>
              </w:rPr>
              <w:t xml:space="preserve"> </w:t>
            </w:r>
            <w:r>
              <w:rPr>
                <w:color w:val="000000" w:themeColor="text1"/>
                <w:spacing w:val="1"/>
                <w:highlight w:val="none"/>
                <w:u w:val="single" w:color="auto"/>
                <w14:textFill>
                  <w14:solidFill>
                    <w14:schemeClr w14:val="tx1"/>
                  </w14:solidFill>
                </w14:textFill>
              </w:rPr>
              <w:t>10</w:t>
            </w:r>
            <w:r>
              <w:rPr>
                <w:color w:val="000000" w:themeColor="text1"/>
                <w:spacing w:val="-38"/>
                <w:highlight w:val="none"/>
                <w:u w:val="single" w:color="auto"/>
                <w14:textFill>
                  <w14:solidFill>
                    <w14:schemeClr w14:val="tx1"/>
                  </w14:solidFill>
                </w14:textFill>
              </w:rPr>
              <w:t xml:space="preserve"> </w:t>
            </w:r>
            <w:r>
              <w:rPr>
                <w:color w:val="000000" w:themeColor="text1"/>
                <w:spacing w:val="1"/>
                <w:highlight w:val="none"/>
                <w14:textFill>
                  <w14:solidFill>
                    <w14:schemeClr w14:val="tx1"/>
                  </w14:solidFill>
                </w14:textFill>
              </w:rPr>
              <w:t>分</w:t>
            </w:r>
            <w:r>
              <w:rPr>
                <w:rFonts w:hint="eastAsia"/>
                <w:color w:val="000000" w:themeColor="text1"/>
                <w:spacing w:val="1"/>
                <w:highlight w:val="none"/>
                <w:lang w:val="en-US" w:eastAsia="zh-CN"/>
                <w14:textFill>
                  <w14:solidFill>
                    <w14:schemeClr w14:val="tx1"/>
                  </w14:solidFill>
                </w14:textFill>
              </w:rPr>
              <w:t xml:space="preserve">              </w:t>
            </w:r>
          </w:p>
          <w:p w14:paraId="7A92AE90">
            <w:pPr>
              <w:pStyle w:val="8"/>
              <w:spacing w:before="161" w:line="228" w:lineRule="auto"/>
              <w:ind w:left="0" w:firstLine="636" w:firstLineChars="300"/>
              <w:rPr>
                <w:rFonts w:hint="eastAsia"/>
                <w:strike w:val="0"/>
                <w:dstrike w:val="0"/>
                <w:color w:val="000000" w:themeColor="text1"/>
                <w:highlight w:val="none"/>
                <w:lang w:val="en-US" w:eastAsia="zh-CN"/>
                <w14:textFill>
                  <w14:solidFill>
                    <w14:schemeClr w14:val="tx1"/>
                  </w14:solidFill>
                </w14:textFill>
              </w:rPr>
            </w:pPr>
            <w:r>
              <w:rPr>
                <w:strike w:val="0"/>
                <w:dstrike w:val="0"/>
                <w:color w:val="000000" w:themeColor="text1"/>
                <w:spacing w:val="6"/>
                <w:highlight w:val="none"/>
                <w14:textFill>
                  <w14:solidFill>
                    <w14:schemeClr w14:val="tx1"/>
                  </w14:solidFill>
                </w14:textFill>
              </w:rPr>
              <w:t>设施设备配备：</w:t>
            </w:r>
            <w:r>
              <w:rPr>
                <w:rFonts w:hint="eastAsia"/>
                <w:strike w:val="0"/>
                <w:dstrike w:val="0"/>
                <w:color w:val="000000" w:themeColor="text1"/>
                <w:spacing w:val="6"/>
                <w:highlight w:val="none"/>
                <w:u w:val="single"/>
                <w:lang w:val="en-US" w:eastAsia="zh-CN"/>
                <w14:textFill>
                  <w14:solidFill>
                    <w14:schemeClr w14:val="tx1"/>
                  </w14:solidFill>
                </w14:textFill>
              </w:rPr>
              <w:t>0</w:t>
            </w:r>
            <w:r>
              <w:rPr>
                <w:strike w:val="0"/>
                <w:dstrike w:val="0"/>
                <w:color w:val="000000" w:themeColor="text1"/>
                <w:spacing w:val="6"/>
                <w:highlight w:val="none"/>
                <w14:textFill>
                  <w14:solidFill>
                    <w14:schemeClr w14:val="tx1"/>
                  </w14:solidFill>
                </w14:textFill>
              </w:rPr>
              <w:t>分</w:t>
            </w:r>
            <w:r>
              <w:rPr>
                <w:strike w:val="0"/>
                <w:dstrike w:val="0"/>
                <w:color w:val="000000" w:themeColor="text1"/>
                <w:highlight w:val="none"/>
                <w14:textFill>
                  <w14:solidFill>
                    <w14:schemeClr w14:val="tx1"/>
                  </w14:solidFill>
                </w14:textFill>
              </w:rPr>
              <w:t xml:space="preserve"> </w:t>
            </w:r>
            <w:r>
              <w:rPr>
                <w:rFonts w:hint="eastAsia"/>
                <w:strike w:val="0"/>
                <w:dstrike w:val="0"/>
                <w:color w:val="000000" w:themeColor="text1"/>
                <w:highlight w:val="none"/>
                <w:lang w:val="en-US" w:eastAsia="zh-CN"/>
                <w14:textFill>
                  <w14:solidFill>
                    <w14:schemeClr w14:val="tx1"/>
                  </w14:solidFill>
                </w14:textFill>
              </w:rPr>
              <w:t xml:space="preserve">            </w:t>
            </w:r>
          </w:p>
          <w:p w14:paraId="18BCF38B">
            <w:pPr>
              <w:pStyle w:val="8"/>
              <w:spacing w:before="161" w:line="228" w:lineRule="auto"/>
              <w:ind w:left="0" w:firstLine="636" w:firstLineChars="300"/>
              <w:rPr>
                <w:rFonts w:hint="eastAsia"/>
                <w:color w:val="000000" w:themeColor="text1"/>
                <w:spacing w:val="6"/>
                <w:highlight w:val="none"/>
                <w:lang w:val="en-US" w:eastAsia="zh-CN"/>
                <w14:textFill>
                  <w14:solidFill>
                    <w14:schemeClr w14:val="tx1"/>
                  </w14:solidFill>
                </w14:textFill>
              </w:rPr>
            </w:pPr>
            <w:r>
              <w:rPr>
                <w:color w:val="000000" w:themeColor="text1"/>
                <w:spacing w:val="6"/>
                <w:highlight w:val="none"/>
                <w14:textFill>
                  <w14:solidFill>
                    <w14:schemeClr w14:val="tx1"/>
                  </w14:solidFill>
                </w14:textFill>
              </w:rPr>
              <w:t>企业综合实力：</w:t>
            </w:r>
            <w:r>
              <w:rPr>
                <w:rFonts w:hint="eastAsia"/>
                <w:color w:val="000000" w:themeColor="text1"/>
                <w:spacing w:val="6"/>
                <w:highlight w:val="none"/>
                <w:u w:val="single" w:color="auto"/>
                <w:lang w:val="en-US" w:eastAsia="zh-CN"/>
                <w14:textFill>
                  <w14:solidFill>
                    <w14:schemeClr w14:val="tx1"/>
                  </w14:solidFill>
                </w14:textFill>
              </w:rPr>
              <w:t xml:space="preserve">3 </w:t>
            </w:r>
            <w:r>
              <w:rPr>
                <w:color w:val="000000" w:themeColor="text1"/>
                <w:spacing w:val="6"/>
                <w:highlight w:val="none"/>
                <w14:textFill>
                  <w14:solidFill>
                    <w14:schemeClr w14:val="tx1"/>
                  </w14:solidFill>
                </w14:textFill>
              </w:rPr>
              <w:t>分</w:t>
            </w:r>
            <w:r>
              <w:rPr>
                <w:rFonts w:hint="eastAsia"/>
                <w:color w:val="000000" w:themeColor="text1"/>
                <w:spacing w:val="6"/>
                <w:highlight w:val="none"/>
                <w:lang w:val="en-US" w:eastAsia="zh-CN"/>
                <w14:textFill>
                  <w14:solidFill>
                    <w14:schemeClr w14:val="tx1"/>
                  </w14:solidFill>
                </w14:textFill>
              </w:rPr>
              <w:t xml:space="preserve">         </w:t>
            </w:r>
          </w:p>
          <w:p w14:paraId="33B68CAC">
            <w:pPr>
              <w:pStyle w:val="8"/>
              <w:spacing w:before="161" w:line="228" w:lineRule="auto"/>
              <w:ind w:left="0" w:firstLine="212" w:firstLineChars="100"/>
              <w:rPr>
                <w:color w:val="000000" w:themeColor="text1"/>
                <w:spacing w:val="7"/>
                <w:highlight w:val="none"/>
                <w14:textFill>
                  <w14:solidFill>
                    <w14:schemeClr w14:val="tx1"/>
                  </w14:solidFill>
                </w14:textFill>
              </w:rPr>
            </w:pPr>
            <w:r>
              <w:rPr>
                <w:color w:val="000000" w:themeColor="text1"/>
                <w:spacing w:val="6"/>
                <w:highlight w:val="none"/>
                <w14:textFill>
                  <w14:solidFill>
                    <w14:schemeClr w14:val="tx1"/>
                  </w14:solidFill>
                </w14:textFill>
              </w:rPr>
              <w:t>第二个信封（报价文件）评分分值构成：</w:t>
            </w:r>
            <w:r>
              <w:rPr>
                <w:color w:val="000000" w:themeColor="text1"/>
                <w:spacing w:val="7"/>
                <w:highlight w:val="none"/>
                <w14:textFill>
                  <w14:solidFill>
                    <w14:schemeClr w14:val="tx1"/>
                  </w14:solidFill>
                </w14:textFill>
              </w:rPr>
              <w:t xml:space="preserve"> </w:t>
            </w:r>
          </w:p>
          <w:p w14:paraId="05E74535">
            <w:pPr>
              <w:pStyle w:val="8"/>
              <w:spacing w:before="161" w:line="228" w:lineRule="auto"/>
              <w:ind w:firstLine="630" w:firstLineChars="300"/>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评标价：</w:t>
            </w:r>
            <w:r>
              <w:rPr>
                <w:rFonts w:hint="eastAsia"/>
                <w:color w:val="000000" w:themeColor="text1"/>
                <w:spacing w:val="5"/>
                <w:highlight w:val="none"/>
                <w:u w:val="single" w:color="auto"/>
                <w:lang w:val="en-US" w:eastAsia="zh-CN"/>
                <w14:textFill>
                  <w14:solidFill>
                    <w14:schemeClr w14:val="tx1"/>
                  </w14:solidFill>
                </w14:textFill>
              </w:rPr>
              <w:t>12</w:t>
            </w:r>
            <w:r>
              <w:rPr>
                <w:color w:val="000000" w:themeColor="text1"/>
                <w:spacing w:val="5"/>
                <w:highlight w:val="none"/>
                <w14:textFill>
                  <w14:solidFill>
                    <w14:schemeClr w14:val="tx1"/>
                  </w14:solidFill>
                </w14:textFill>
              </w:rPr>
              <w:t>分</w:t>
            </w:r>
            <w:r>
              <w:rPr>
                <w:rFonts w:hint="eastAsia"/>
                <w:color w:val="000000" w:themeColor="text1"/>
                <w:spacing w:val="5"/>
                <w:highlight w:val="none"/>
                <w:lang w:val="en-US" w:eastAsia="zh-CN"/>
                <w14:textFill>
                  <w14:solidFill>
                    <w14:schemeClr w14:val="tx1"/>
                  </w14:solidFill>
                </w14:textFill>
              </w:rPr>
              <w:t xml:space="preserve">                  </w:t>
            </w:r>
          </w:p>
        </w:tc>
      </w:tr>
      <w:tr w14:paraId="33DAE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902" w:type="dxa"/>
            <w:vAlign w:val="center"/>
          </w:tcPr>
          <w:p w14:paraId="267E7C2E">
            <w:pPr>
              <w:pStyle w:val="8"/>
              <w:spacing w:before="65" w:line="189" w:lineRule="auto"/>
              <w:ind w:left="242"/>
              <w:jc w:val="center"/>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2.2.2</w:t>
            </w:r>
          </w:p>
        </w:tc>
        <w:tc>
          <w:tcPr>
            <w:tcW w:w="1132" w:type="dxa"/>
            <w:vAlign w:val="center"/>
          </w:tcPr>
          <w:p w14:paraId="5632CE90">
            <w:pPr>
              <w:pStyle w:val="8"/>
              <w:spacing w:before="65" w:line="226" w:lineRule="auto"/>
              <w:jc w:val="center"/>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评标基准价</w:t>
            </w:r>
            <w:r>
              <w:rPr>
                <w:color w:val="000000" w:themeColor="text1"/>
                <w:spacing w:val="7"/>
                <w:highlight w:val="none"/>
                <w14:textFill>
                  <w14:solidFill>
                    <w14:schemeClr w14:val="tx1"/>
                  </w14:solidFill>
                </w14:textFill>
              </w:rPr>
              <w:t>计算方法</w:t>
            </w:r>
          </w:p>
        </w:tc>
        <w:tc>
          <w:tcPr>
            <w:tcW w:w="8348" w:type="dxa"/>
            <w:vAlign w:val="top"/>
          </w:tcPr>
          <w:p w14:paraId="4C8B04F5">
            <w:pPr>
              <w:pStyle w:val="8"/>
              <w:spacing w:before="34" w:line="226" w:lineRule="auto"/>
              <w:ind w:left="112"/>
              <w:rPr>
                <w:color w:val="000000" w:themeColor="text1"/>
                <w:highlight w:val="none"/>
                <w14:textFill>
                  <w14:solidFill>
                    <w14:schemeClr w14:val="tx1"/>
                  </w14:solidFill>
                </w14:textFill>
              </w:rPr>
            </w:pPr>
            <w:r>
              <w:rPr>
                <w:b/>
                <w:bCs/>
                <w:color w:val="000000" w:themeColor="text1"/>
                <w:spacing w:val="9"/>
                <w:highlight w:val="none"/>
                <w14:textFill>
                  <w14:solidFill>
                    <w14:schemeClr w14:val="tx1"/>
                  </w14:solidFill>
                </w14:textFill>
              </w:rPr>
              <w:t>评标基准价的计算</w:t>
            </w:r>
            <w:r>
              <w:rPr>
                <w:b/>
                <w:bCs/>
                <w:color w:val="000000" w:themeColor="text1"/>
                <w:spacing w:val="-4"/>
                <w:highlight w:val="none"/>
                <w14:textFill>
                  <w14:solidFill>
                    <w14:schemeClr w14:val="tx1"/>
                  </w14:solidFill>
                </w14:textFill>
              </w:rPr>
              <w:t>：</w:t>
            </w:r>
          </w:p>
          <w:p w14:paraId="7A9D6C6A">
            <w:pPr>
              <w:pStyle w:val="8"/>
              <w:spacing w:before="163" w:line="226" w:lineRule="auto"/>
              <w:ind w:left="112"/>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在开标现场，招标人将当场计算并宣布评标基准价。</w:t>
            </w:r>
          </w:p>
          <w:p w14:paraId="74A7C0AE">
            <w:pPr>
              <w:pStyle w:val="8"/>
              <w:spacing w:before="163" w:line="226" w:lineRule="auto"/>
              <w:ind w:left="150"/>
              <w:rPr>
                <w:color w:val="000000" w:themeColor="text1"/>
                <w:highlight w:val="none"/>
                <w14:textFill>
                  <w14:solidFill>
                    <w14:schemeClr w14:val="tx1"/>
                  </w14:solidFill>
                </w14:textFill>
              </w:rPr>
            </w:pPr>
            <w:r>
              <w:rPr>
                <w:rFonts w:hint="eastAsia"/>
                <w:color w:val="000000" w:themeColor="text1"/>
                <w:spacing w:val="2"/>
                <w:highlight w:val="none"/>
                <w:lang w:eastAsia="zh-CN"/>
                <w14:textFill>
                  <w14:solidFill>
                    <w14:schemeClr w14:val="tx1"/>
                  </w14:solidFill>
                </w14:textFill>
              </w:rPr>
              <w:t>（</w:t>
            </w:r>
            <w:r>
              <w:rPr>
                <w:rFonts w:hint="eastAsia"/>
                <w:color w:val="000000" w:themeColor="text1"/>
                <w:spacing w:val="2"/>
                <w:highlight w:val="none"/>
                <w:lang w:val="en-US" w:eastAsia="zh-CN"/>
                <w14:textFill>
                  <w14:solidFill>
                    <w14:schemeClr w14:val="tx1"/>
                  </w14:solidFill>
                </w14:textFill>
              </w:rPr>
              <w:t>1</w:t>
            </w:r>
            <w:r>
              <w:rPr>
                <w:rFonts w:hint="eastAsia"/>
                <w:color w:val="000000" w:themeColor="text1"/>
                <w:spacing w:val="2"/>
                <w:highlight w:val="none"/>
                <w:lang w:eastAsia="zh-CN"/>
                <w14:textFill>
                  <w14:solidFill>
                    <w14:schemeClr w14:val="tx1"/>
                  </w14:solidFill>
                </w14:textFill>
              </w:rPr>
              <w:t>）</w:t>
            </w:r>
            <w:r>
              <w:rPr>
                <w:color w:val="000000" w:themeColor="text1"/>
                <w:spacing w:val="2"/>
                <w:highlight w:val="none"/>
                <w14:textFill>
                  <w14:solidFill>
                    <w14:schemeClr w14:val="tx1"/>
                  </w14:solidFill>
                </w14:textFill>
              </w:rPr>
              <w:t>评标价的确定：</w:t>
            </w:r>
          </w:p>
          <w:p w14:paraId="315167E6">
            <w:pPr>
              <w:pStyle w:val="8"/>
              <w:spacing w:before="163" w:line="226" w:lineRule="auto"/>
              <w:ind w:left="112"/>
              <w:rPr>
                <w:color w:val="000000" w:themeColor="text1"/>
                <w:spacing w:val="8"/>
                <w:highlight w:val="none"/>
                <w14:textFill>
                  <w14:solidFill>
                    <w14:schemeClr w14:val="tx1"/>
                  </w14:solidFill>
                </w14:textFill>
              </w:rPr>
            </w:pPr>
            <w:r>
              <w:rPr>
                <w:color w:val="000000" w:themeColor="text1"/>
                <w:spacing w:val="8"/>
                <w:highlight w:val="none"/>
                <w14:textFill>
                  <w14:solidFill>
                    <w14:schemeClr w14:val="tx1"/>
                  </w14:solidFill>
                </w14:textFill>
              </w:rPr>
              <w:t>评标价=投标函文字报价</w:t>
            </w:r>
          </w:p>
          <w:p w14:paraId="44CFF625">
            <w:pPr>
              <w:pStyle w:val="8"/>
              <w:numPr>
                <w:ilvl w:val="0"/>
                <w:numId w:val="1"/>
              </w:numPr>
              <w:spacing w:before="163" w:line="226" w:lineRule="auto"/>
              <w:ind w:left="112"/>
              <w:rPr>
                <w:rFonts w:hint="eastAsia"/>
                <w:color w:val="000000" w:themeColor="text1"/>
                <w:spacing w:val="8"/>
                <w:highlight w:val="none"/>
                <w:lang w:eastAsia="zh-CN"/>
                <w14:textFill>
                  <w14:solidFill>
                    <w14:schemeClr w14:val="tx1"/>
                  </w14:solidFill>
                </w14:textFill>
              </w:rPr>
            </w:pPr>
            <w:r>
              <w:rPr>
                <w:rFonts w:hint="eastAsia"/>
                <w:color w:val="000000" w:themeColor="text1"/>
                <w:spacing w:val="8"/>
                <w:highlight w:val="none"/>
                <w:lang w:eastAsia="zh-CN"/>
                <w14:textFill>
                  <w14:solidFill>
                    <w14:schemeClr w14:val="tx1"/>
                  </w14:solidFill>
                </w14:textFill>
              </w:rPr>
              <w:t>有效评标价范围:</w:t>
            </w:r>
          </w:p>
          <w:p w14:paraId="76B5FE69">
            <w:pPr>
              <w:pStyle w:val="8"/>
              <w:spacing w:before="163" w:line="327" w:lineRule="auto"/>
              <w:ind w:left="126" w:right="-61" w:rightChars="0" w:firstLine="420"/>
              <w:rPr>
                <w:rFonts w:hint="eastAsia"/>
                <w:color w:val="000000" w:themeColor="text1"/>
                <w:spacing w:val="9"/>
                <w:highlight w:val="none"/>
                <w:lang w:eastAsia="zh-CN"/>
                <w14:textFill>
                  <w14:solidFill>
                    <w14:schemeClr w14:val="tx1"/>
                  </w14:solidFill>
                </w14:textFill>
              </w:rPr>
            </w:pPr>
            <w:r>
              <w:rPr>
                <w:rFonts w:hint="eastAsia"/>
                <w:color w:val="000000" w:themeColor="text1"/>
                <w:spacing w:val="9"/>
                <w:highlight w:val="none"/>
                <w:lang w:eastAsia="zh-CN"/>
                <w14:textFill>
                  <w14:solidFill>
                    <w14:schemeClr w14:val="tx1"/>
                  </w14:solidFill>
                </w14:textFill>
              </w:rPr>
              <w:t>有效评标价范围:不大于最高投标限价的评标价为有效评标价。若大于最高投标限价的评标价，将否决其投标</w:t>
            </w:r>
          </w:p>
          <w:p w14:paraId="08E6FB6C">
            <w:pPr>
              <w:pStyle w:val="8"/>
              <w:spacing w:before="163" w:line="226" w:lineRule="auto"/>
              <w:ind w:left="112"/>
              <w:rPr>
                <w:color w:val="000000" w:themeColor="text1"/>
                <w:highlight w:val="none"/>
                <w14:textFill>
                  <w14:solidFill>
                    <w14:schemeClr w14:val="tx1"/>
                  </w14:solidFill>
                </w14:textFill>
              </w:rPr>
            </w:pPr>
            <w:r>
              <w:rPr>
                <w:rFonts w:hint="eastAsia"/>
                <w:color w:val="000000" w:themeColor="text1"/>
                <w:spacing w:val="8"/>
                <w:highlight w:val="none"/>
                <w:lang w:eastAsia="zh-CN"/>
                <w14:textFill>
                  <w14:solidFill>
                    <w14:schemeClr w14:val="tx1"/>
                  </w14:solidFill>
                </w14:textFill>
              </w:rPr>
              <w:t>（</w:t>
            </w:r>
            <w:r>
              <w:rPr>
                <w:rFonts w:hint="eastAsia"/>
                <w:color w:val="000000" w:themeColor="text1"/>
                <w:spacing w:val="8"/>
                <w:highlight w:val="none"/>
                <w:lang w:val="en-US" w:eastAsia="zh-CN"/>
                <w14:textFill>
                  <w14:solidFill>
                    <w14:schemeClr w14:val="tx1"/>
                  </w14:solidFill>
                </w14:textFill>
              </w:rPr>
              <w:t>3</w:t>
            </w:r>
            <w:r>
              <w:rPr>
                <w:rFonts w:hint="eastAsia"/>
                <w:color w:val="000000" w:themeColor="text1"/>
                <w:spacing w:val="8"/>
                <w:highlight w:val="none"/>
                <w:lang w:eastAsia="zh-CN"/>
                <w14:textFill>
                  <w14:solidFill>
                    <w14:schemeClr w14:val="tx1"/>
                  </w14:solidFill>
                </w14:textFill>
              </w:rPr>
              <w:t>）</w:t>
            </w:r>
            <w:r>
              <w:rPr>
                <w:color w:val="000000" w:themeColor="text1"/>
                <w:spacing w:val="8"/>
                <w:highlight w:val="none"/>
                <w14:textFill>
                  <w14:solidFill>
                    <w14:schemeClr w14:val="tx1"/>
                  </w14:solidFill>
                </w14:textFill>
              </w:rPr>
              <w:t>确定参与评标基准价计算</w:t>
            </w:r>
            <w:r>
              <w:rPr>
                <w:color w:val="000000" w:themeColor="text1"/>
                <w:spacing w:val="7"/>
                <w:highlight w:val="none"/>
                <w14:textFill>
                  <w14:solidFill>
                    <w14:schemeClr w14:val="tx1"/>
                  </w14:solidFill>
                </w14:textFill>
              </w:rPr>
              <w:t>的评标价平均值计</w:t>
            </w:r>
            <w:r>
              <w:rPr>
                <w:color w:val="000000" w:themeColor="text1"/>
                <w:spacing w:val="6"/>
                <w:highlight w:val="none"/>
                <w14:textFill>
                  <w14:solidFill>
                    <w14:schemeClr w14:val="tx1"/>
                  </w14:solidFill>
                </w14:textFill>
              </w:rPr>
              <w:t>算：</w:t>
            </w:r>
          </w:p>
          <w:p w14:paraId="77C51876">
            <w:pPr>
              <w:pStyle w:val="8"/>
              <w:spacing w:before="163" w:line="327" w:lineRule="auto"/>
              <w:ind w:left="126" w:right="-61" w:rightChars="0" w:firstLine="420"/>
              <w:rPr>
                <w:color w:val="000000" w:themeColor="text1"/>
                <w:spacing w:val="8"/>
                <w:highlight w:val="none"/>
                <w14:textFill>
                  <w14:solidFill>
                    <w14:schemeClr w14:val="tx1"/>
                  </w14:solidFill>
                </w14:textFill>
              </w:rPr>
            </w:pPr>
            <w:r>
              <w:rPr>
                <w:color w:val="000000" w:themeColor="text1"/>
                <w:spacing w:val="12"/>
                <w:highlight w:val="none"/>
                <w14:textFill>
                  <w14:solidFill>
                    <w14:schemeClr w14:val="tx1"/>
                  </w14:solidFill>
                </w14:textFill>
              </w:rPr>
              <w:t>①参与评标基准价计算的评标价范围：最高投标限价的</w:t>
            </w:r>
            <w:r>
              <w:rPr>
                <w:color w:val="000000" w:themeColor="text1"/>
                <w:spacing w:val="-32"/>
                <w:highlight w:val="none"/>
                <w14:textFill>
                  <w14:solidFill>
                    <w14:schemeClr w14:val="tx1"/>
                  </w14:solidFill>
                </w14:textFill>
              </w:rPr>
              <w:t xml:space="preserve"> </w:t>
            </w:r>
            <w:r>
              <w:rPr>
                <w:color w:val="000000" w:themeColor="text1"/>
                <w:spacing w:val="12"/>
                <w:highlight w:val="none"/>
                <w14:textFill>
                  <w14:solidFill>
                    <w14:schemeClr w14:val="tx1"/>
                  </w14:solidFill>
                </w14:textFill>
              </w:rPr>
              <w:t>85%≤参与</w:t>
            </w:r>
            <w:r>
              <w:rPr>
                <w:color w:val="000000" w:themeColor="text1"/>
                <w:spacing w:val="14"/>
                <w:highlight w:val="none"/>
                <w14:textFill>
                  <w14:solidFill>
                    <w14:schemeClr w14:val="tx1"/>
                  </w14:solidFill>
                </w14:textFill>
              </w:rPr>
              <w:t>评标基准价计算的评标价≤最高投标限价的100%，小于最高投标限价</w:t>
            </w:r>
            <w:r>
              <w:rPr>
                <w:color w:val="000000" w:themeColor="text1"/>
                <w:spacing w:val="9"/>
                <w:highlight w:val="none"/>
                <w14:textFill>
                  <w14:solidFill>
                    <w14:schemeClr w14:val="tx1"/>
                  </w14:solidFill>
                </w14:textFill>
              </w:rPr>
              <w:t>85%的评标价不参与评标基准价的计算，但仍参与评标价的得分计</w:t>
            </w:r>
            <w:r>
              <w:rPr>
                <w:color w:val="000000" w:themeColor="text1"/>
                <w:spacing w:val="8"/>
                <w:highlight w:val="none"/>
                <w14:textFill>
                  <w14:solidFill>
                    <w14:schemeClr w14:val="tx1"/>
                  </w14:solidFill>
                </w14:textFill>
              </w:rPr>
              <w:t>算。</w:t>
            </w:r>
          </w:p>
          <w:p w14:paraId="7A7A1B36">
            <w:pPr>
              <w:pStyle w:val="8"/>
              <w:spacing w:before="163" w:line="327" w:lineRule="auto"/>
              <w:ind w:left="126" w:right="-61" w:rightChars="0" w:firstLine="420"/>
              <w:rPr>
                <w:color w:val="000000" w:themeColor="text1"/>
                <w:spacing w:val="8"/>
                <w:highlight w:val="none"/>
                <w14:textFill>
                  <w14:solidFill>
                    <w14:schemeClr w14:val="tx1"/>
                  </w14:solidFill>
                </w14:textFill>
              </w:rPr>
            </w:pPr>
            <w:r>
              <w:rPr>
                <w:color w:val="000000" w:themeColor="text1"/>
                <w:spacing w:val="17"/>
                <w:highlight w:val="none"/>
                <w14:textFill>
                  <w14:solidFill>
                    <w14:schemeClr w14:val="tx1"/>
                  </w14:solidFill>
                </w14:textFill>
              </w:rPr>
              <w:t>②参与评标基准价计算的有效评标价的算术平均值：</w:t>
            </w:r>
            <w:r>
              <w:rPr>
                <w:color w:val="000000" w:themeColor="text1"/>
                <w:spacing w:val="-33"/>
                <w:highlight w:val="none"/>
                <w14:textFill>
                  <w14:solidFill>
                    <w14:schemeClr w14:val="tx1"/>
                  </w14:solidFill>
                </w14:textFill>
              </w:rPr>
              <w:t xml:space="preserve"> </w:t>
            </w:r>
            <w:r>
              <w:rPr>
                <w:color w:val="000000" w:themeColor="text1"/>
                <w:spacing w:val="17"/>
                <w:highlight w:val="none"/>
                <w14:textFill>
                  <w14:solidFill>
                    <w14:schemeClr w14:val="tx1"/>
                  </w14:solidFill>
                </w14:textFill>
              </w:rPr>
              <w:t>除按第二章</w:t>
            </w:r>
            <w:r>
              <w:rPr>
                <w:color w:val="000000" w:themeColor="text1"/>
                <w:highlight w:val="none"/>
                <w14:textFill>
                  <w14:solidFill>
                    <w14:schemeClr w14:val="tx1"/>
                  </w14:solidFill>
                </w14:textFill>
              </w:rPr>
              <w:t xml:space="preserve"> </w:t>
            </w:r>
            <w:r>
              <w:rPr>
                <w:color w:val="000000" w:themeColor="text1"/>
                <w:spacing w:val="9"/>
                <w:highlight w:val="none"/>
                <w14:textFill>
                  <w14:solidFill>
                    <w14:schemeClr w14:val="tx1"/>
                  </w14:solidFill>
                </w14:textFill>
              </w:rPr>
              <w:t>“投标人须知</w:t>
            </w:r>
            <w:r>
              <w:rPr>
                <w:color w:val="000000" w:themeColor="text1"/>
                <w:spacing w:val="-58"/>
                <w:highlight w:val="none"/>
                <w14:textFill>
                  <w14:solidFill>
                    <w14:schemeClr w14:val="tx1"/>
                  </w14:solidFill>
                </w14:textFill>
              </w:rPr>
              <w:t xml:space="preserve"> </w:t>
            </w:r>
            <w:r>
              <w:rPr>
                <w:color w:val="000000" w:themeColor="text1"/>
                <w:spacing w:val="9"/>
                <w:highlight w:val="none"/>
                <w14:textFill>
                  <w14:solidFill>
                    <w14:schemeClr w14:val="tx1"/>
                  </w14:solidFill>
                </w14:textFill>
              </w:rPr>
              <w:t>”第</w:t>
            </w:r>
            <w:r>
              <w:rPr>
                <w:color w:val="000000" w:themeColor="text1"/>
                <w:spacing w:val="-33"/>
                <w:highlight w:val="none"/>
                <w14:textFill>
                  <w14:solidFill>
                    <w14:schemeClr w14:val="tx1"/>
                  </w14:solidFill>
                </w14:textFill>
              </w:rPr>
              <w:t xml:space="preserve"> </w:t>
            </w:r>
            <w:r>
              <w:rPr>
                <w:color w:val="000000" w:themeColor="text1"/>
                <w:spacing w:val="9"/>
                <w:highlight w:val="none"/>
                <w14:textFill>
                  <w14:solidFill>
                    <w14:schemeClr w14:val="tx1"/>
                  </w14:solidFill>
                </w14:textFill>
              </w:rPr>
              <w:t>5.2.4</w:t>
            </w:r>
            <w:r>
              <w:rPr>
                <w:color w:val="000000" w:themeColor="text1"/>
                <w:spacing w:val="-32"/>
                <w:highlight w:val="none"/>
                <w14:textFill>
                  <w14:solidFill>
                    <w14:schemeClr w14:val="tx1"/>
                  </w14:solidFill>
                </w14:textFill>
              </w:rPr>
              <w:t xml:space="preserve"> </w:t>
            </w:r>
            <w:r>
              <w:rPr>
                <w:color w:val="000000" w:themeColor="text1"/>
                <w:spacing w:val="9"/>
                <w:highlight w:val="none"/>
                <w14:textFill>
                  <w14:solidFill>
                    <w14:schemeClr w14:val="tx1"/>
                  </w14:solidFill>
                </w14:textFill>
              </w:rPr>
              <w:t>项规定开标现场被宣布为不进入评标基准价计</w:t>
            </w:r>
            <w:r>
              <w:rPr>
                <w:color w:val="000000" w:themeColor="text1"/>
                <w:spacing w:val="12"/>
                <w:highlight w:val="none"/>
                <w14:textFill>
                  <w14:solidFill>
                    <w14:schemeClr w14:val="tx1"/>
                  </w14:solidFill>
                </w14:textFill>
              </w:rPr>
              <w:t>算的投标报价之外，在上述确定的参与评标基准价计算的评标价中去掉一个最高值和一个最低值后的算术平均值即为参与评标基准价计算的有</w:t>
            </w:r>
            <w:r>
              <w:rPr>
                <w:color w:val="000000" w:themeColor="text1"/>
                <w:highlight w:val="none"/>
                <w14:textFill>
                  <w14:solidFill>
                    <w14:schemeClr w14:val="tx1"/>
                  </w14:solidFill>
                </w14:textFill>
              </w:rPr>
              <w:t xml:space="preserve"> </w:t>
            </w:r>
            <w:r>
              <w:rPr>
                <w:color w:val="000000" w:themeColor="text1"/>
                <w:spacing w:val="9"/>
                <w:highlight w:val="none"/>
                <w14:textFill>
                  <w14:solidFill>
                    <w14:schemeClr w14:val="tx1"/>
                  </w14:solidFill>
                </w14:textFill>
              </w:rPr>
              <w:t>效评标价的算术平均值(如果参与评标价平均值计算的有效投标人少于</w:t>
            </w:r>
            <w:r>
              <w:rPr>
                <w:color w:val="000000" w:themeColor="text1"/>
                <w:spacing w:val="-15"/>
                <w:highlight w:val="none"/>
                <w14:textFill>
                  <w14:solidFill>
                    <w14:schemeClr w14:val="tx1"/>
                  </w14:solidFill>
                </w14:textFill>
              </w:rPr>
              <w:t xml:space="preserve"> </w:t>
            </w:r>
            <w:r>
              <w:rPr>
                <w:color w:val="000000" w:themeColor="text1"/>
                <w:spacing w:val="9"/>
                <w:highlight w:val="none"/>
                <w14:textFill>
                  <w14:solidFill>
                    <w14:schemeClr w14:val="tx1"/>
                  </w14:solidFill>
                </w14:textFill>
              </w:rPr>
              <w:t>5</w:t>
            </w:r>
            <w:r>
              <w:rPr>
                <w:color w:val="000000" w:themeColor="text1"/>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家（含5家）时，则计算上述平均值时不去掉最高值和最低值)；</w:t>
            </w:r>
          </w:p>
          <w:p w14:paraId="303A1732">
            <w:pPr>
              <w:pStyle w:val="8"/>
              <w:spacing w:before="163" w:line="327" w:lineRule="auto"/>
              <w:ind w:left="126" w:right="-61" w:rightChars="0" w:firstLine="420"/>
              <w:rPr>
                <w:rFonts w:hint="eastAsia" w:eastAsia="宋体"/>
                <w:color w:val="000000" w:themeColor="text1"/>
                <w:highlight w:val="none"/>
                <w:lang w:eastAsia="zh-CN"/>
                <w14:textFill>
                  <w14:solidFill>
                    <w14:schemeClr w14:val="tx1"/>
                  </w14:solidFill>
                </w14:textFill>
              </w:rPr>
            </w:pPr>
            <w:r>
              <w:rPr>
                <w:color w:val="000000" w:themeColor="text1"/>
                <w:spacing w:val="12"/>
                <w:highlight w:val="none"/>
                <w14:textFill>
                  <w14:solidFill>
                    <w14:schemeClr w14:val="tx1"/>
                  </w14:solidFill>
                </w14:textFill>
              </w:rPr>
              <w:t>若投标人的评标价均小于最高投标限价的</w:t>
            </w:r>
            <w:r>
              <w:rPr>
                <w:color w:val="000000" w:themeColor="text1"/>
                <w:spacing w:val="-19"/>
                <w:highlight w:val="none"/>
                <w14:textFill>
                  <w14:solidFill>
                    <w14:schemeClr w14:val="tx1"/>
                  </w14:solidFill>
                </w14:textFill>
              </w:rPr>
              <w:t xml:space="preserve"> </w:t>
            </w:r>
            <w:r>
              <w:rPr>
                <w:color w:val="000000" w:themeColor="text1"/>
                <w:spacing w:val="12"/>
                <w:highlight w:val="none"/>
                <w14:textFill>
                  <w14:solidFill>
                    <w14:schemeClr w14:val="tx1"/>
                  </w14:solidFill>
                </w14:textFill>
              </w:rPr>
              <w:t>85%时，则以最高投标限</w:t>
            </w:r>
            <w:r>
              <w:rPr>
                <w:color w:val="000000" w:themeColor="text1"/>
                <w:spacing w:val="11"/>
                <w:highlight w:val="none"/>
                <w14:textFill>
                  <w14:solidFill>
                    <w14:schemeClr w14:val="tx1"/>
                  </w14:solidFill>
                </w14:textFill>
              </w:rPr>
              <w:t>价的</w:t>
            </w:r>
            <w:r>
              <w:rPr>
                <w:color w:val="000000" w:themeColor="text1"/>
                <w:spacing w:val="-33"/>
                <w:highlight w:val="none"/>
                <w14:textFill>
                  <w14:solidFill>
                    <w14:schemeClr w14:val="tx1"/>
                  </w14:solidFill>
                </w14:textFill>
              </w:rPr>
              <w:t xml:space="preserve"> </w:t>
            </w:r>
            <w:r>
              <w:rPr>
                <w:color w:val="000000" w:themeColor="text1"/>
                <w:spacing w:val="11"/>
                <w:highlight w:val="none"/>
                <w14:textFill>
                  <w14:solidFill>
                    <w14:schemeClr w14:val="tx1"/>
                  </w14:solidFill>
                </w14:textFill>
              </w:rPr>
              <w:t>85%为评标基准价</w:t>
            </w:r>
            <w:r>
              <w:rPr>
                <w:rFonts w:hint="eastAsia"/>
                <w:color w:val="000000" w:themeColor="text1"/>
                <w:spacing w:val="42"/>
                <w:highlight w:val="none"/>
                <w:lang w:eastAsia="zh-CN"/>
                <w14:textFill>
                  <w14:solidFill>
                    <w14:schemeClr w14:val="tx1"/>
                  </w14:solidFill>
                </w14:textFill>
              </w:rPr>
              <w:t>，</w:t>
            </w:r>
            <w:r>
              <w:rPr>
                <w:color w:val="000000" w:themeColor="text1"/>
                <w:spacing w:val="11"/>
                <w:highlight w:val="none"/>
                <w14:textFill>
                  <w14:solidFill>
                    <w14:schemeClr w14:val="tx1"/>
                  </w14:solidFill>
                </w14:textFill>
              </w:rPr>
              <w:t>同时可对评标价小于最高</w:t>
            </w:r>
            <w:r>
              <w:rPr>
                <w:color w:val="000000" w:themeColor="text1"/>
                <w:spacing w:val="10"/>
                <w:highlight w:val="none"/>
                <w14:textFill>
                  <w14:solidFill>
                    <w14:schemeClr w14:val="tx1"/>
                  </w14:solidFill>
                </w14:textFill>
              </w:rPr>
              <w:t>投标限价的</w:t>
            </w:r>
            <w:r>
              <w:rPr>
                <w:color w:val="000000" w:themeColor="text1"/>
                <w:spacing w:val="-34"/>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85％的</w:t>
            </w:r>
            <w:bookmarkStart w:id="3" w:name="bookmark97"/>
            <w:bookmarkEnd w:id="3"/>
            <w:bookmarkStart w:id="4" w:name="bookmark98"/>
            <w:bookmarkEnd w:id="4"/>
            <w:r>
              <w:rPr>
                <w:color w:val="000000" w:themeColor="text1"/>
                <w:spacing w:val="12"/>
                <w:highlight w:val="none"/>
                <w14:textFill>
                  <w14:solidFill>
                    <w14:schemeClr w14:val="tx1"/>
                  </w14:solidFill>
                </w14:textFill>
              </w:rPr>
              <w:t>启动澄清程序，要求投标人作出书面说明并提供相</w:t>
            </w:r>
            <w:r>
              <w:rPr>
                <w:color w:val="000000" w:themeColor="text1"/>
                <w:spacing w:val="11"/>
                <w:highlight w:val="none"/>
                <w14:textFill>
                  <w14:solidFill>
                    <w14:schemeClr w14:val="tx1"/>
                  </w14:solidFill>
                </w14:textFill>
              </w:rPr>
              <w:t>关证明材料。投标人</w:t>
            </w:r>
            <w:r>
              <w:rPr>
                <w:color w:val="000000" w:themeColor="text1"/>
                <w:spacing w:val="12"/>
                <w:highlight w:val="none"/>
                <w14:textFill>
                  <w14:solidFill>
                    <w14:schemeClr w14:val="tx1"/>
                  </w14:solidFill>
                </w14:textFill>
              </w:rPr>
              <w:t>不能合理说明或者不能提供相关证明资料的，</w:t>
            </w:r>
            <w:r>
              <w:rPr>
                <w:color w:val="000000" w:themeColor="text1"/>
                <w:spacing w:val="11"/>
                <w:highlight w:val="none"/>
                <w14:textFill>
                  <w14:solidFill>
                    <w14:schemeClr w14:val="tx1"/>
                  </w14:solidFill>
                </w14:textFill>
              </w:rPr>
              <w:t>评标委员会认定该投标人</w:t>
            </w:r>
            <w:r>
              <w:rPr>
                <w:color w:val="000000" w:themeColor="text1"/>
                <w:spacing w:val="12"/>
                <w:highlight w:val="none"/>
                <w14:textFill>
                  <w14:solidFill>
                    <w14:schemeClr w14:val="tx1"/>
                  </w14:solidFill>
                </w14:textFill>
              </w:rPr>
              <w:t>以低于成本报价竞标，否决其投标。当所有投标人</w:t>
            </w:r>
            <w:r>
              <w:rPr>
                <w:color w:val="000000" w:themeColor="text1"/>
                <w:spacing w:val="11"/>
                <w:highlight w:val="none"/>
                <w14:textFill>
                  <w14:solidFill>
                    <w14:schemeClr w14:val="tx1"/>
                  </w14:solidFill>
                </w14:textFill>
              </w:rPr>
              <w:t>的投标因此种情况被</w:t>
            </w:r>
            <w:r>
              <w:rPr>
                <w:color w:val="000000" w:themeColor="text1"/>
                <w:spacing w:val="12"/>
                <w:highlight w:val="none"/>
                <w14:textFill>
                  <w14:solidFill>
                    <w14:schemeClr w14:val="tx1"/>
                  </w14:solidFill>
                </w14:textFill>
              </w:rPr>
              <w:t>否决；或当因此种情况被否决部分投标人后，有效</w:t>
            </w:r>
            <w:r>
              <w:rPr>
                <w:color w:val="000000" w:themeColor="text1"/>
                <w:spacing w:val="11"/>
                <w:highlight w:val="none"/>
                <w14:textFill>
                  <w14:solidFill>
                    <w14:schemeClr w14:val="tx1"/>
                  </w14:solidFill>
                </w14:textFill>
              </w:rPr>
              <w:t>投标人不足三家，评</w:t>
            </w:r>
            <w:r>
              <w:rPr>
                <w:color w:val="000000" w:themeColor="text1"/>
                <w:spacing w:val="12"/>
                <w:highlight w:val="none"/>
                <w14:textFill>
                  <w14:solidFill>
                    <w14:schemeClr w14:val="tx1"/>
                  </w14:solidFill>
                </w14:textFill>
              </w:rPr>
              <w:t>标委员会认为竞争不足的情况出现时，评标委员会</w:t>
            </w:r>
            <w:r>
              <w:rPr>
                <w:color w:val="000000" w:themeColor="text1"/>
                <w:spacing w:val="11"/>
                <w:highlight w:val="none"/>
                <w14:textFill>
                  <w14:solidFill>
                    <w14:schemeClr w14:val="tx1"/>
                  </w14:solidFill>
                </w14:textFill>
              </w:rPr>
              <w:t>可以否决全部投标。</w:t>
            </w:r>
            <w:r>
              <w:rPr>
                <w:color w:val="000000" w:themeColor="text1"/>
                <w:highlight w:val="none"/>
                <w14:textFill>
                  <w14:solidFill>
                    <w14:schemeClr w14:val="tx1"/>
                  </w14:solidFill>
                </w14:textFill>
              </w:rPr>
              <w:t xml:space="preserve"> </w:t>
            </w:r>
            <w:r>
              <w:rPr>
                <w:color w:val="000000" w:themeColor="text1"/>
                <w:spacing w:val="12"/>
                <w:highlight w:val="none"/>
                <w14:textFill>
                  <w14:solidFill>
                    <w14:schemeClr w14:val="tx1"/>
                  </w14:solidFill>
                </w14:textFill>
              </w:rPr>
              <w:t>未否决全部投标的，评标委员会应当在评标报</w:t>
            </w:r>
            <w:r>
              <w:rPr>
                <w:color w:val="000000" w:themeColor="text1"/>
                <w:spacing w:val="11"/>
                <w:highlight w:val="none"/>
                <w14:textFill>
                  <w14:solidFill>
                    <w14:schemeClr w14:val="tx1"/>
                  </w14:solidFill>
                </w14:textFill>
              </w:rPr>
              <w:t>告中阐明理由并推荐中标</w:t>
            </w:r>
            <w:r>
              <w:rPr>
                <w:color w:val="000000" w:themeColor="text1"/>
                <w:spacing w:val="4"/>
                <w:highlight w:val="none"/>
                <w14:textFill>
                  <w14:solidFill>
                    <w14:schemeClr w14:val="tx1"/>
                  </w14:solidFill>
                </w14:textFill>
              </w:rPr>
              <w:t>候选人</w:t>
            </w:r>
            <w:r>
              <w:rPr>
                <w:rFonts w:hint="eastAsia"/>
                <w:color w:val="000000" w:themeColor="text1"/>
                <w:spacing w:val="4"/>
                <w:highlight w:val="none"/>
                <w:lang w:eastAsia="zh-CN"/>
                <w14:textFill>
                  <w14:solidFill>
                    <w14:schemeClr w14:val="tx1"/>
                  </w14:solidFill>
                </w14:textFill>
              </w:rPr>
              <w:t>。</w:t>
            </w:r>
          </w:p>
        </w:tc>
      </w:tr>
    </w:tbl>
    <w:p w14:paraId="4920234B">
      <w:pPr>
        <w:spacing w:line="229" w:lineRule="auto"/>
        <w:rPr>
          <w:rFonts w:ascii="宋体" w:hAnsi="宋体" w:eastAsia="宋体" w:cs="宋体"/>
          <w:color w:val="000000" w:themeColor="text1"/>
          <w:sz w:val="18"/>
          <w:szCs w:val="18"/>
          <w:highlight w:val="none"/>
          <w14:textFill>
            <w14:solidFill>
              <w14:schemeClr w14:val="tx1"/>
            </w14:solidFill>
          </w14:textFill>
        </w:rPr>
        <w:sectPr>
          <w:footerReference r:id="rId8" w:type="default"/>
          <w:pgSz w:w="11906" w:h="16839"/>
          <w:pgMar w:top="1406" w:right="1409" w:bottom="1252" w:left="1304" w:header="0" w:footer="1090" w:gutter="0"/>
          <w:pgBorders>
            <w:top w:val="none" w:sz="0" w:space="0"/>
            <w:left w:val="none" w:sz="0" w:space="0"/>
            <w:bottom w:val="none" w:sz="0" w:space="0"/>
            <w:right w:val="none" w:sz="0" w:space="0"/>
          </w:pgBorders>
          <w:pgNumType w:fmt="decimal"/>
          <w:cols w:space="720" w:num="1"/>
        </w:sectPr>
      </w:pPr>
    </w:p>
    <w:tbl>
      <w:tblPr>
        <w:tblStyle w:val="9"/>
        <w:tblW w:w="98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1"/>
        <w:gridCol w:w="1367"/>
        <w:gridCol w:w="7391"/>
      </w:tblGrid>
      <w:tr w14:paraId="33960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2" w:hRule="atLeast"/>
        </w:trPr>
        <w:tc>
          <w:tcPr>
            <w:tcW w:w="1061" w:type="dxa"/>
            <w:vAlign w:val="top"/>
          </w:tcPr>
          <w:p w14:paraId="4F10B6B0">
            <w:pPr>
              <w:rPr>
                <w:rFonts w:ascii="Arial"/>
                <w:color w:val="000000" w:themeColor="text1"/>
                <w:sz w:val="21"/>
                <w:highlight w:val="none"/>
                <w14:textFill>
                  <w14:solidFill>
                    <w14:schemeClr w14:val="tx1"/>
                  </w14:solidFill>
                </w14:textFill>
              </w:rPr>
            </w:pPr>
          </w:p>
        </w:tc>
        <w:tc>
          <w:tcPr>
            <w:tcW w:w="1367" w:type="dxa"/>
            <w:vAlign w:val="top"/>
          </w:tcPr>
          <w:p w14:paraId="5DA7CAF1">
            <w:pPr>
              <w:rPr>
                <w:rFonts w:ascii="Arial"/>
                <w:color w:val="000000" w:themeColor="text1"/>
                <w:sz w:val="21"/>
                <w:highlight w:val="none"/>
                <w14:textFill>
                  <w14:solidFill>
                    <w14:schemeClr w14:val="tx1"/>
                  </w14:solidFill>
                </w14:textFill>
              </w:rPr>
            </w:pPr>
          </w:p>
        </w:tc>
        <w:tc>
          <w:tcPr>
            <w:tcW w:w="7391" w:type="dxa"/>
            <w:vAlign w:val="top"/>
          </w:tcPr>
          <w:p w14:paraId="11CBA409">
            <w:pPr>
              <w:pStyle w:val="8"/>
              <w:spacing w:before="32" w:line="342" w:lineRule="auto"/>
              <w:ind w:left="114" w:right="296" w:firstLine="434"/>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即使某投标文件第二个信封未通过形式评审与响应性评审,</w:t>
            </w:r>
            <w:r>
              <w:rPr>
                <w:color w:val="000000" w:themeColor="text1"/>
                <w:spacing w:val="8"/>
                <w:highlight w:val="none"/>
                <w14:textFill>
                  <w14:solidFill>
                    <w14:schemeClr w14:val="tx1"/>
                  </w14:solidFill>
                </w14:textFill>
              </w:rPr>
              <w:t>如其报</w:t>
            </w:r>
            <w:r>
              <w:rPr>
                <w:color w:val="000000" w:themeColor="text1"/>
                <w:highlight w:val="none"/>
                <w14:textFill>
                  <w14:solidFill>
                    <w14:schemeClr w14:val="tx1"/>
                  </w14:solidFill>
                </w14:textFill>
              </w:rPr>
              <w:t xml:space="preserve">  </w:t>
            </w:r>
            <w:r>
              <w:rPr>
                <w:color w:val="000000" w:themeColor="text1"/>
                <w:spacing w:val="10"/>
                <w:highlight w:val="none"/>
                <w14:textFill>
                  <w14:solidFill>
                    <w14:schemeClr w14:val="tx1"/>
                  </w14:solidFill>
                </w14:textFill>
              </w:rPr>
              <w:t>价处于参与评标基准价计算的评标价的有效</w:t>
            </w:r>
            <w:r>
              <w:rPr>
                <w:color w:val="000000" w:themeColor="text1"/>
                <w:spacing w:val="9"/>
                <w:highlight w:val="none"/>
                <w14:textFill>
                  <w14:solidFill>
                    <w14:schemeClr w14:val="tx1"/>
                  </w14:solidFill>
                </w14:textFill>
              </w:rPr>
              <w:t>范围内，其评标价仍应参与</w:t>
            </w:r>
            <w:r>
              <w:rPr>
                <w:color w:val="000000" w:themeColor="text1"/>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有效评标价平均值的计算。</w:t>
            </w:r>
          </w:p>
          <w:p w14:paraId="5716C204">
            <w:pPr>
              <w:pStyle w:val="8"/>
              <w:spacing w:before="196" w:line="226" w:lineRule="auto"/>
              <w:ind w:left="150"/>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w:t>
            </w:r>
            <w:r>
              <w:rPr>
                <w:rFonts w:hint="eastAsia"/>
                <w:color w:val="000000" w:themeColor="text1"/>
                <w:spacing w:val="7"/>
                <w:highlight w:val="none"/>
                <w:lang w:val="en-US" w:eastAsia="zh-CN"/>
                <w14:textFill>
                  <w14:solidFill>
                    <w14:schemeClr w14:val="tx1"/>
                  </w14:solidFill>
                </w14:textFill>
              </w:rPr>
              <w:t>4</w:t>
            </w:r>
            <w:r>
              <w:rPr>
                <w:color w:val="000000" w:themeColor="text1"/>
                <w:spacing w:val="7"/>
                <w:highlight w:val="none"/>
                <w14:textFill>
                  <w14:solidFill>
                    <w14:schemeClr w14:val="tx1"/>
                  </w14:solidFill>
                </w14:textFill>
              </w:rPr>
              <w:t>)评标基准价的确定</w:t>
            </w:r>
            <w:r>
              <w:rPr>
                <w:color w:val="000000" w:themeColor="text1"/>
                <w:spacing w:val="3"/>
                <w:highlight w:val="none"/>
                <w14:textFill>
                  <w14:solidFill>
                    <w14:schemeClr w14:val="tx1"/>
                  </w14:solidFill>
                </w14:textFill>
              </w:rPr>
              <w:t>：</w:t>
            </w:r>
          </w:p>
          <w:p w14:paraId="2475C7A5">
            <w:pPr>
              <w:pStyle w:val="8"/>
              <w:spacing w:before="135" w:line="335" w:lineRule="auto"/>
              <w:ind w:left="115" w:right="298" w:firstLine="418"/>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将参与评标基准价计算的有效评标价的算术平均值直接作</w:t>
            </w:r>
            <w:r>
              <w:rPr>
                <w:color w:val="000000" w:themeColor="text1"/>
                <w:spacing w:val="7"/>
                <w:highlight w:val="none"/>
                <w14:textFill>
                  <w14:solidFill>
                    <w14:schemeClr w14:val="tx1"/>
                  </w14:solidFill>
                </w14:textFill>
              </w:rPr>
              <w:t>为评标基准价</w:t>
            </w:r>
          </w:p>
          <w:p w14:paraId="79EB24EE">
            <w:pPr>
              <w:pStyle w:val="8"/>
              <w:spacing w:before="21" w:line="342" w:lineRule="auto"/>
              <w:ind w:left="112" w:right="347" w:firstLine="420"/>
              <w:jc w:val="both"/>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在评标过程中，评标委员会应对招标人计算的评标基准价进行复</w:t>
            </w:r>
            <w:r>
              <w:rPr>
                <w:color w:val="000000" w:themeColor="text1"/>
                <w:spacing w:val="8"/>
                <w:highlight w:val="none"/>
                <w14:textFill>
                  <w14:solidFill>
                    <w14:schemeClr w14:val="tx1"/>
                  </w14:solidFill>
                </w14:textFill>
              </w:rPr>
              <w:t>核，存在计算错误的应予以修正并在评标报告中作出说明。除此之外</w:t>
            </w:r>
            <w:r>
              <w:rPr>
                <w:rFonts w:hint="eastAsia"/>
                <w:color w:val="000000" w:themeColor="text1"/>
                <w:spacing w:val="8"/>
                <w:highlight w:val="none"/>
                <w:lang w:eastAsia="zh-CN"/>
                <w14:textFill>
                  <w14:solidFill>
                    <w14:schemeClr w14:val="tx1"/>
                  </w14:solidFill>
                </w14:textFill>
              </w:rPr>
              <w:t>，</w:t>
            </w:r>
            <w:r>
              <w:rPr>
                <w:color w:val="000000" w:themeColor="text1"/>
                <w:spacing w:val="9"/>
                <w:highlight w:val="none"/>
                <w14:textFill>
                  <w14:solidFill>
                    <w14:schemeClr w14:val="tx1"/>
                  </w14:solidFill>
                </w14:textFill>
              </w:rPr>
              <w:t>评标基准价在整个评标期间保持不变，不随任何因素发生变化。</w:t>
            </w:r>
          </w:p>
          <w:p w14:paraId="44D578B7">
            <w:pPr>
              <w:pStyle w:val="8"/>
              <w:spacing w:before="31" w:line="226" w:lineRule="auto"/>
              <w:ind w:left="535"/>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备注：评标基准价四舍五入至个位整数。</w:t>
            </w:r>
          </w:p>
        </w:tc>
      </w:tr>
      <w:tr w14:paraId="3D8B6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61" w:type="dxa"/>
            <w:shd w:val="clear" w:color="auto" w:fill="auto"/>
            <w:vAlign w:val="center"/>
          </w:tcPr>
          <w:p w14:paraId="31E0F6DC">
            <w:pPr>
              <w:pStyle w:val="8"/>
              <w:spacing w:before="65" w:line="189" w:lineRule="auto"/>
              <w:jc w:val="center"/>
              <w:rPr>
                <w:rFonts w:ascii="宋体" w:hAnsi="宋体" w:eastAsia="宋体" w:cs="宋体"/>
                <w:snapToGrid w:val="0"/>
                <w:color w:val="000000" w:themeColor="text1"/>
                <w:kern w:val="0"/>
                <w:sz w:val="20"/>
                <w:szCs w:val="20"/>
                <w:highlight w:val="none"/>
                <w:lang w:val="en-US" w:eastAsia="en-US" w:bidi="ar-SA"/>
                <w14:textFill>
                  <w14:solidFill>
                    <w14:schemeClr w14:val="tx1"/>
                  </w14:solidFill>
                </w14:textFill>
              </w:rPr>
            </w:pPr>
            <w:r>
              <w:rPr>
                <w:color w:val="000000" w:themeColor="text1"/>
                <w:spacing w:val="2"/>
                <w:highlight w:val="none"/>
                <w14:textFill>
                  <w14:solidFill>
                    <w14:schemeClr w14:val="tx1"/>
                  </w14:solidFill>
                </w14:textFill>
              </w:rPr>
              <w:t>2.2.3</w:t>
            </w:r>
          </w:p>
        </w:tc>
        <w:tc>
          <w:tcPr>
            <w:tcW w:w="1367" w:type="dxa"/>
            <w:shd w:val="clear" w:color="auto" w:fill="auto"/>
            <w:vAlign w:val="center"/>
          </w:tcPr>
          <w:p w14:paraId="1B014FD0">
            <w:pPr>
              <w:pStyle w:val="8"/>
              <w:spacing w:before="65" w:line="226" w:lineRule="auto"/>
              <w:jc w:val="center"/>
              <w:rPr>
                <w:rFonts w:ascii="宋体" w:hAnsi="宋体" w:eastAsia="宋体" w:cs="宋体"/>
                <w:snapToGrid w:val="0"/>
                <w:color w:val="000000" w:themeColor="text1"/>
                <w:kern w:val="0"/>
                <w:sz w:val="20"/>
                <w:szCs w:val="20"/>
                <w:highlight w:val="none"/>
                <w:lang w:val="en-US" w:eastAsia="en-US" w:bidi="ar-SA"/>
                <w14:textFill>
                  <w14:solidFill>
                    <w14:schemeClr w14:val="tx1"/>
                  </w14:solidFill>
                </w14:textFill>
              </w:rPr>
            </w:pPr>
            <w:r>
              <w:rPr>
                <w:color w:val="000000" w:themeColor="text1"/>
                <w:spacing w:val="8"/>
                <w:highlight w:val="none"/>
                <w14:textFill>
                  <w14:solidFill>
                    <w14:schemeClr w14:val="tx1"/>
                  </w14:solidFill>
                </w14:textFill>
              </w:rPr>
              <w:t>评标价的偏</w:t>
            </w:r>
            <w:r>
              <w:rPr>
                <w:color w:val="000000" w:themeColor="text1"/>
                <w:spacing w:val="7"/>
                <w:highlight w:val="none"/>
                <w14:textFill>
                  <w14:solidFill>
                    <w14:schemeClr w14:val="tx1"/>
                  </w14:solidFill>
                </w14:textFill>
              </w:rPr>
              <w:t>差率计算公</w:t>
            </w:r>
            <w:r>
              <w:rPr>
                <w:color w:val="000000" w:themeColor="text1"/>
                <w:highlight w:val="none"/>
                <w14:textFill>
                  <w14:solidFill>
                    <w14:schemeClr w14:val="tx1"/>
                  </w14:solidFill>
                </w14:textFill>
              </w:rPr>
              <w:t>式</w:t>
            </w:r>
          </w:p>
        </w:tc>
        <w:tc>
          <w:tcPr>
            <w:tcW w:w="7391" w:type="dxa"/>
            <w:shd w:val="clear" w:color="auto" w:fill="auto"/>
            <w:vAlign w:val="center"/>
          </w:tcPr>
          <w:p w14:paraId="7DE15ABD">
            <w:pPr>
              <w:pStyle w:val="8"/>
              <w:spacing w:before="65" w:line="226" w:lineRule="auto"/>
              <w:jc w:val="both"/>
              <w:rPr>
                <w:rFonts w:ascii="宋体" w:hAnsi="宋体" w:eastAsia="宋体" w:cs="宋体"/>
                <w:snapToGrid w:val="0"/>
                <w:color w:val="000000" w:themeColor="text1"/>
                <w:kern w:val="0"/>
                <w:sz w:val="20"/>
                <w:szCs w:val="20"/>
                <w:highlight w:val="none"/>
                <w:lang w:val="en-US" w:eastAsia="en-US" w:bidi="ar-SA"/>
                <w14:textFill>
                  <w14:solidFill>
                    <w14:schemeClr w14:val="tx1"/>
                  </w14:solidFill>
                </w14:textFill>
              </w:rPr>
            </w:pPr>
            <w:r>
              <w:rPr>
                <w:color w:val="000000" w:themeColor="text1"/>
                <w:spacing w:val="7"/>
                <w:highlight w:val="none"/>
                <w14:textFill>
                  <w14:solidFill>
                    <w14:schemeClr w14:val="tx1"/>
                  </w14:solidFill>
                </w14:textFill>
              </w:rPr>
              <w:t>偏差率=100%</w:t>
            </w:r>
            <w:r>
              <w:rPr>
                <w:color w:val="000000" w:themeColor="text1"/>
                <w:spacing w:val="51"/>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×（投标人评标价－评标基准价）/评标基准价</w:t>
            </w:r>
          </w:p>
        </w:tc>
      </w:tr>
    </w:tbl>
    <w:p w14:paraId="75C2CFAE">
      <w:pPr>
        <w:rPr>
          <w:rFonts w:ascii="Arial"/>
          <w:color w:val="000000" w:themeColor="text1"/>
          <w:sz w:val="21"/>
          <w:highlight w:val="none"/>
          <w14:textFill>
            <w14:solidFill>
              <w14:schemeClr w14:val="tx1"/>
            </w14:solidFill>
          </w14:textFill>
        </w:rPr>
      </w:pPr>
    </w:p>
    <w:p w14:paraId="481B6C23">
      <w:pPr>
        <w:rPr>
          <w:rFonts w:ascii="Arial" w:hAnsi="Arial" w:eastAsia="Arial" w:cs="Arial"/>
          <w:color w:val="000000" w:themeColor="text1"/>
          <w:sz w:val="21"/>
          <w:szCs w:val="21"/>
          <w:highlight w:val="none"/>
          <w14:textFill>
            <w14:solidFill>
              <w14:schemeClr w14:val="tx1"/>
            </w14:solidFill>
          </w14:textFill>
        </w:rPr>
        <w:sectPr>
          <w:footerReference r:id="rId9" w:type="default"/>
          <w:pgSz w:w="11906" w:h="16839"/>
          <w:pgMar w:top="1416" w:right="1409" w:bottom="1252" w:left="1304" w:header="0" w:footer="1090" w:gutter="0"/>
          <w:pgBorders>
            <w:top w:val="none" w:sz="0" w:space="0"/>
            <w:left w:val="none" w:sz="0" w:space="0"/>
            <w:bottom w:val="none" w:sz="0" w:space="0"/>
            <w:right w:val="none" w:sz="0" w:space="0"/>
          </w:pgBorders>
          <w:pgNumType w:fmt="decimal"/>
          <w:cols w:space="720" w:num="1"/>
        </w:sectPr>
      </w:pPr>
    </w:p>
    <w:p w14:paraId="69ABDC1C">
      <w:pPr>
        <w:rPr>
          <w:rFonts w:ascii="宋体" w:hAnsi="宋体" w:eastAsia="宋体" w:cs="宋体"/>
          <w:color w:val="000000" w:themeColor="text1"/>
          <w:spacing w:val="8"/>
          <w:sz w:val="20"/>
          <w:szCs w:val="20"/>
          <w:highlight w:val="none"/>
          <w14:textFill>
            <w14:solidFill>
              <w14:schemeClr w14:val="tx1"/>
            </w14:solidFill>
          </w14:textFill>
        </w:rPr>
      </w:pPr>
    </w:p>
    <w:tbl>
      <w:tblPr>
        <w:tblStyle w:val="9"/>
        <w:tblW w:w="9922" w:type="dxa"/>
        <w:tblInd w:w="-4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1"/>
        <w:gridCol w:w="15"/>
        <w:gridCol w:w="1192"/>
        <w:gridCol w:w="1066"/>
        <w:gridCol w:w="1443"/>
        <w:gridCol w:w="901"/>
        <w:gridCol w:w="4064"/>
      </w:tblGrid>
      <w:tr w14:paraId="56148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5858" w:type="dxa"/>
            <w:gridSpan w:val="6"/>
            <w:vAlign w:val="top"/>
          </w:tcPr>
          <w:p w14:paraId="2719BB32">
            <w:pPr>
              <w:pStyle w:val="8"/>
              <w:spacing w:before="142" w:line="218" w:lineRule="auto"/>
              <w:ind w:left="1566"/>
              <w:rPr>
                <w:color w:val="000000" w:themeColor="text1"/>
                <w:sz w:val="10"/>
                <w:szCs w:val="10"/>
                <w:highlight w:val="none"/>
                <w14:textFill>
                  <w14:solidFill>
                    <w14:schemeClr w14:val="tx1"/>
                  </w14:solidFill>
                </w14:textFill>
              </w:rPr>
            </w:pPr>
            <w:r>
              <w:rPr>
                <w:b/>
                <w:bCs/>
                <w:color w:val="000000" w:themeColor="text1"/>
                <w:spacing w:val="7"/>
                <w:highlight w:val="none"/>
                <w14:textFill>
                  <w14:solidFill>
                    <w14:schemeClr w14:val="tx1"/>
                  </w14:solidFill>
                </w14:textFill>
              </w:rPr>
              <w:t>评分因素与权重分值</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"bookmark99" </w:instrText>
            </w:r>
            <w:r>
              <w:rPr>
                <w:color w:val="000000" w:themeColor="text1"/>
                <w:highlight w:val="none"/>
                <w14:textFill>
                  <w14:solidFill>
                    <w14:schemeClr w14:val="tx1"/>
                  </w14:solidFill>
                </w14:textFill>
              </w:rPr>
              <w:fldChar w:fldCharType="separate"/>
            </w:r>
            <w:r>
              <w:rPr>
                <w:b/>
                <w:bCs/>
                <w:color w:val="000000" w:themeColor="text1"/>
                <w:spacing w:val="7"/>
                <w:position w:val="10"/>
                <w:sz w:val="10"/>
                <w:szCs w:val="10"/>
                <w:highlight w:val="none"/>
                <w14:textFill>
                  <w14:solidFill>
                    <w14:schemeClr w14:val="tx1"/>
                  </w14:solidFill>
                </w14:textFill>
              </w:rPr>
              <w:t>1</w:t>
            </w:r>
            <w:r>
              <w:rPr>
                <w:b/>
                <w:bCs/>
                <w:color w:val="000000" w:themeColor="text1"/>
                <w:spacing w:val="7"/>
                <w:position w:val="10"/>
                <w:sz w:val="10"/>
                <w:szCs w:val="10"/>
                <w:highlight w:val="none"/>
                <w14:textFill>
                  <w14:solidFill>
                    <w14:schemeClr w14:val="tx1"/>
                  </w14:solidFill>
                </w14:textFill>
              </w:rPr>
              <w:fldChar w:fldCharType="end"/>
            </w:r>
          </w:p>
        </w:tc>
        <w:tc>
          <w:tcPr>
            <w:tcW w:w="4064" w:type="dxa"/>
            <w:vMerge w:val="restart"/>
            <w:tcBorders>
              <w:bottom w:val="nil"/>
            </w:tcBorders>
            <w:vAlign w:val="top"/>
          </w:tcPr>
          <w:p w14:paraId="71129985">
            <w:pPr>
              <w:spacing w:line="461" w:lineRule="auto"/>
              <w:rPr>
                <w:rFonts w:ascii="Arial"/>
                <w:color w:val="000000" w:themeColor="text1"/>
                <w:sz w:val="21"/>
                <w:highlight w:val="none"/>
                <w14:textFill>
                  <w14:solidFill>
                    <w14:schemeClr w14:val="tx1"/>
                  </w14:solidFill>
                </w14:textFill>
              </w:rPr>
            </w:pPr>
          </w:p>
          <w:p w14:paraId="33D8DCB9">
            <w:pPr>
              <w:pStyle w:val="8"/>
              <w:spacing w:before="65" w:line="229" w:lineRule="auto"/>
              <w:ind w:left="1467"/>
              <w:rPr>
                <w:color w:val="000000" w:themeColor="text1"/>
                <w:sz w:val="10"/>
                <w:szCs w:val="10"/>
                <w:highlight w:val="none"/>
                <w14:textFill>
                  <w14:solidFill>
                    <w14:schemeClr w14:val="tx1"/>
                  </w14:solidFill>
                </w14:textFill>
              </w:rPr>
            </w:pPr>
            <w:r>
              <w:rPr>
                <w:b/>
                <w:bCs/>
                <w:color w:val="000000" w:themeColor="text1"/>
                <w:spacing w:val="6"/>
                <w:highlight w:val="none"/>
                <w14:textFill>
                  <w14:solidFill>
                    <w14:schemeClr w14:val="tx1"/>
                  </w14:solidFill>
                </w14:textFill>
              </w:rPr>
              <w:t>评分标准</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"bookmark100" </w:instrText>
            </w:r>
            <w:r>
              <w:rPr>
                <w:color w:val="000000" w:themeColor="text1"/>
                <w:highlight w:val="none"/>
                <w14:textFill>
                  <w14:solidFill>
                    <w14:schemeClr w14:val="tx1"/>
                  </w14:solidFill>
                </w14:textFill>
              </w:rPr>
              <w:fldChar w:fldCharType="separate"/>
            </w:r>
            <w:r>
              <w:rPr>
                <w:b/>
                <w:bCs/>
                <w:color w:val="000000" w:themeColor="text1"/>
                <w:spacing w:val="6"/>
                <w:position w:val="10"/>
                <w:sz w:val="10"/>
                <w:szCs w:val="10"/>
                <w:highlight w:val="none"/>
                <w14:textFill>
                  <w14:solidFill>
                    <w14:schemeClr w14:val="tx1"/>
                  </w14:solidFill>
                </w14:textFill>
              </w:rPr>
              <w:t>2</w:t>
            </w:r>
            <w:r>
              <w:rPr>
                <w:b/>
                <w:bCs/>
                <w:color w:val="000000" w:themeColor="text1"/>
                <w:spacing w:val="6"/>
                <w:position w:val="10"/>
                <w:sz w:val="10"/>
                <w:szCs w:val="10"/>
                <w:highlight w:val="none"/>
                <w14:textFill>
                  <w14:solidFill>
                    <w14:schemeClr w14:val="tx1"/>
                  </w14:solidFill>
                </w14:textFill>
              </w:rPr>
              <w:fldChar w:fldCharType="end"/>
            </w:r>
          </w:p>
        </w:tc>
      </w:tr>
      <w:tr w14:paraId="7387E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241" w:type="dxa"/>
            <w:vAlign w:val="center"/>
          </w:tcPr>
          <w:p w14:paraId="313DCA53">
            <w:pPr>
              <w:pStyle w:val="8"/>
              <w:spacing w:before="65" w:line="228" w:lineRule="auto"/>
              <w:jc w:val="center"/>
              <w:rPr>
                <w:color w:val="000000" w:themeColor="text1"/>
                <w:highlight w:val="none"/>
                <w14:textFill>
                  <w14:solidFill>
                    <w14:schemeClr w14:val="tx1"/>
                  </w14:solidFill>
                </w14:textFill>
              </w:rPr>
            </w:pPr>
            <w:r>
              <w:rPr>
                <w:b/>
                <w:bCs/>
                <w:color w:val="000000" w:themeColor="text1"/>
                <w:spacing w:val="5"/>
                <w:highlight w:val="none"/>
                <w14:textFill>
                  <w14:solidFill>
                    <w14:schemeClr w14:val="tx1"/>
                  </w14:solidFill>
                </w14:textFill>
              </w:rPr>
              <w:t>条款号</w:t>
            </w:r>
          </w:p>
        </w:tc>
        <w:tc>
          <w:tcPr>
            <w:tcW w:w="1207" w:type="dxa"/>
            <w:gridSpan w:val="2"/>
            <w:vAlign w:val="center"/>
          </w:tcPr>
          <w:p w14:paraId="68F87260">
            <w:pPr>
              <w:pStyle w:val="8"/>
              <w:spacing w:before="65" w:line="228" w:lineRule="auto"/>
              <w:jc w:val="center"/>
              <w:rPr>
                <w:color w:val="000000" w:themeColor="text1"/>
                <w:highlight w:val="none"/>
                <w14:textFill>
                  <w14:solidFill>
                    <w14:schemeClr w14:val="tx1"/>
                  </w14:solidFill>
                </w14:textFill>
              </w:rPr>
            </w:pPr>
            <w:r>
              <w:rPr>
                <w:b/>
                <w:bCs/>
                <w:color w:val="000000" w:themeColor="text1"/>
                <w:spacing w:val="6"/>
                <w:highlight w:val="none"/>
                <w14:textFill>
                  <w14:solidFill>
                    <w14:schemeClr w14:val="tx1"/>
                  </w14:solidFill>
                </w14:textFill>
              </w:rPr>
              <w:t>评分因素</w:t>
            </w:r>
          </w:p>
        </w:tc>
        <w:tc>
          <w:tcPr>
            <w:tcW w:w="1066" w:type="dxa"/>
            <w:vAlign w:val="center"/>
          </w:tcPr>
          <w:p w14:paraId="02B894DC">
            <w:pPr>
              <w:pStyle w:val="8"/>
              <w:spacing w:before="139" w:line="284" w:lineRule="auto"/>
              <w:ind w:left="43" w:right="34"/>
              <w:jc w:val="center"/>
              <w:rPr>
                <w:color w:val="000000" w:themeColor="text1"/>
                <w:highlight w:val="none"/>
                <w14:textFill>
                  <w14:solidFill>
                    <w14:schemeClr w14:val="tx1"/>
                  </w14:solidFill>
                </w14:textFill>
              </w:rPr>
            </w:pPr>
            <w:r>
              <w:rPr>
                <w:b/>
                <w:bCs/>
                <w:color w:val="000000" w:themeColor="text1"/>
                <w:spacing w:val="6"/>
                <w:highlight w:val="none"/>
                <w14:textFill>
                  <w14:solidFill>
                    <w14:schemeClr w14:val="tx1"/>
                  </w14:solidFill>
                </w14:textFill>
              </w:rPr>
              <w:t>评分因素权重分值</w:t>
            </w:r>
          </w:p>
        </w:tc>
        <w:tc>
          <w:tcPr>
            <w:tcW w:w="1443" w:type="dxa"/>
            <w:vAlign w:val="center"/>
          </w:tcPr>
          <w:p w14:paraId="5B38FD86">
            <w:pPr>
              <w:pStyle w:val="8"/>
              <w:spacing w:before="139" w:line="284" w:lineRule="auto"/>
              <w:ind w:right="176"/>
              <w:jc w:val="center"/>
              <w:rPr>
                <w:color w:val="000000" w:themeColor="text1"/>
                <w:highlight w:val="none"/>
                <w14:textFill>
                  <w14:solidFill>
                    <w14:schemeClr w14:val="tx1"/>
                  </w14:solidFill>
                </w14:textFill>
              </w:rPr>
            </w:pPr>
            <w:r>
              <w:rPr>
                <w:b/>
                <w:bCs/>
                <w:color w:val="000000" w:themeColor="text1"/>
                <w:spacing w:val="5"/>
                <w:highlight w:val="none"/>
                <w14:textFill>
                  <w14:solidFill>
                    <w14:schemeClr w14:val="tx1"/>
                  </w14:solidFill>
                </w14:textFill>
              </w:rPr>
              <w:t>各评分因素细分项</w:t>
            </w:r>
          </w:p>
        </w:tc>
        <w:tc>
          <w:tcPr>
            <w:tcW w:w="901" w:type="dxa"/>
            <w:vAlign w:val="center"/>
          </w:tcPr>
          <w:p w14:paraId="53878AB0">
            <w:pPr>
              <w:pStyle w:val="8"/>
              <w:spacing w:before="65" w:line="228" w:lineRule="auto"/>
              <w:jc w:val="center"/>
              <w:rPr>
                <w:color w:val="000000" w:themeColor="text1"/>
                <w:highlight w:val="none"/>
                <w14:textFill>
                  <w14:solidFill>
                    <w14:schemeClr w14:val="tx1"/>
                  </w14:solidFill>
                </w14:textFill>
              </w:rPr>
            </w:pPr>
            <w:r>
              <w:rPr>
                <w:b/>
                <w:bCs/>
                <w:color w:val="000000" w:themeColor="text1"/>
                <w:spacing w:val="2"/>
                <w:highlight w:val="none"/>
                <w14:textFill>
                  <w14:solidFill>
                    <w14:schemeClr w14:val="tx1"/>
                  </w14:solidFill>
                </w14:textFill>
              </w:rPr>
              <w:t>分值</w:t>
            </w:r>
          </w:p>
        </w:tc>
        <w:tc>
          <w:tcPr>
            <w:tcW w:w="4064" w:type="dxa"/>
            <w:vMerge w:val="continue"/>
            <w:tcBorders>
              <w:top w:val="nil"/>
            </w:tcBorders>
            <w:vAlign w:val="top"/>
          </w:tcPr>
          <w:p w14:paraId="4A3B63AF">
            <w:pPr>
              <w:rPr>
                <w:rFonts w:ascii="Arial"/>
                <w:color w:val="000000" w:themeColor="text1"/>
                <w:sz w:val="21"/>
                <w:highlight w:val="none"/>
                <w14:textFill>
                  <w14:solidFill>
                    <w14:schemeClr w14:val="tx1"/>
                  </w14:solidFill>
                </w14:textFill>
              </w:rPr>
            </w:pPr>
          </w:p>
        </w:tc>
      </w:tr>
      <w:tr w14:paraId="1DCFD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1241" w:type="dxa"/>
            <w:vMerge w:val="restart"/>
            <w:vAlign w:val="center"/>
          </w:tcPr>
          <w:p w14:paraId="70388646">
            <w:pPr>
              <w:pStyle w:val="8"/>
              <w:spacing w:before="65" w:line="369" w:lineRule="auto"/>
              <w:ind w:right="199"/>
              <w:jc w:val="center"/>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2.2.4</w:t>
            </w:r>
            <w:r>
              <w:rPr>
                <w:color w:val="000000" w:themeColor="text1"/>
                <w:spacing w:val="-10"/>
                <w:highlight w:val="none"/>
                <w14:textFill>
                  <w14:solidFill>
                    <w14:schemeClr w14:val="tx1"/>
                  </w14:solidFill>
                </w14:textFill>
              </w:rPr>
              <w:t>(1)</w:t>
            </w:r>
          </w:p>
        </w:tc>
        <w:tc>
          <w:tcPr>
            <w:tcW w:w="1207" w:type="dxa"/>
            <w:gridSpan w:val="2"/>
            <w:vMerge w:val="restart"/>
            <w:vAlign w:val="center"/>
          </w:tcPr>
          <w:p w14:paraId="18AF32E5">
            <w:pPr>
              <w:pStyle w:val="8"/>
              <w:spacing w:before="65" w:line="228" w:lineRule="auto"/>
              <w:ind w:left="170"/>
              <w:jc w:val="center"/>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监理大纲</w:t>
            </w:r>
          </w:p>
        </w:tc>
        <w:tc>
          <w:tcPr>
            <w:tcW w:w="1066" w:type="dxa"/>
            <w:vMerge w:val="restart"/>
            <w:vAlign w:val="center"/>
          </w:tcPr>
          <w:p w14:paraId="4F86FE33">
            <w:pPr>
              <w:pStyle w:val="8"/>
              <w:tabs>
                <w:tab w:val="left" w:pos="455"/>
              </w:tabs>
              <w:spacing w:before="65" w:line="228" w:lineRule="auto"/>
              <w:ind w:firstLine="400" w:firstLineChars="200"/>
              <w:jc w:val="both"/>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40</w:t>
            </w:r>
            <w:r>
              <w:rPr>
                <w:color w:val="000000" w:themeColor="text1"/>
                <w:highlight w:val="none"/>
                <w14:textFill>
                  <w14:solidFill>
                    <w14:schemeClr w14:val="tx1"/>
                  </w14:solidFill>
                </w14:textFill>
              </w:rPr>
              <w:t>分</w:t>
            </w:r>
          </w:p>
        </w:tc>
        <w:tc>
          <w:tcPr>
            <w:tcW w:w="1443" w:type="dxa"/>
            <w:tcBorders>
              <w:bottom w:val="single" w:color="000000" w:sz="2" w:space="0"/>
            </w:tcBorders>
            <w:vAlign w:val="center"/>
          </w:tcPr>
          <w:p w14:paraId="1658E5B0">
            <w:pPr>
              <w:pStyle w:val="10"/>
              <w:rPr>
                <w:rFonts w:hint="eastAsia" w:ascii="宋体" w:hAnsi="宋体" w:eastAsia="宋体" w:cs="宋体"/>
                <w:color w:val="FF0000"/>
                <w:sz w:val="20"/>
                <w:szCs w:val="20"/>
                <w:highlight w:val="none"/>
              </w:rPr>
            </w:pPr>
            <w:r>
              <w:rPr>
                <w:rFonts w:hint="eastAsia" w:ascii="宋体" w:hAnsi="宋体" w:eastAsia="宋体" w:cs="宋体"/>
                <w:color w:val="auto"/>
                <w:sz w:val="20"/>
                <w:szCs w:val="20"/>
                <w:highlight w:val="none"/>
              </w:rPr>
              <w:t>主要监理岗位职责</w:t>
            </w:r>
          </w:p>
        </w:tc>
        <w:tc>
          <w:tcPr>
            <w:tcW w:w="901" w:type="dxa"/>
            <w:tcBorders>
              <w:bottom w:val="single" w:color="000000" w:sz="2" w:space="0"/>
            </w:tcBorders>
            <w:vAlign w:val="center"/>
          </w:tcPr>
          <w:p w14:paraId="7FD1D140">
            <w:pPr>
              <w:spacing w:line="380" w:lineRule="atLeast"/>
              <w:jc w:val="center"/>
              <w:rPr>
                <w:rFonts w:hint="eastAsia" w:ascii="宋体" w:hAnsi="宋体" w:eastAsia="宋体" w:cs="宋体"/>
                <w:color w:val="FF0000"/>
                <w:sz w:val="20"/>
                <w:szCs w:val="20"/>
                <w:highlight w:val="none"/>
              </w:rPr>
            </w:pPr>
            <w:r>
              <w:rPr>
                <w:rFonts w:hint="eastAsia" w:ascii="宋体" w:hAnsi="宋体" w:eastAsia="宋体" w:cs="宋体"/>
                <w:color w:val="auto"/>
                <w:sz w:val="20"/>
                <w:szCs w:val="20"/>
                <w:highlight w:val="none"/>
                <w:u w:val="none"/>
              </w:rPr>
              <w:t>10</w:t>
            </w:r>
            <w:r>
              <w:rPr>
                <w:rFonts w:hint="eastAsia" w:ascii="宋体" w:hAnsi="宋体" w:eastAsia="宋体" w:cs="宋体"/>
                <w:color w:val="auto"/>
                <w:sz w:val="20"/>
                <w:szCs w:val="20"/>
                <w:highlight w:val="none"/>
              </w:rPr>
              <w:t>分</w:t>
            </w:r>
          </w:p>
        </w:tc>
        <w:tc>
          <w:tcPr>
            <w:tcW w:w="4064" w:type="dxa"/>
            <w:tcBorders>
              <w:bottom w:val="single" w:color="000000" w:sz="2" w:space="0"/>
            </w:tcBorders>
            <w:vAlign w:val="center"/>
          </w:tcPr>
          <w:p w14:paraId="06DE8FA9">
            <w:pPr>
              <w:spacing w:line="380" w:lineRule="atLeast"/>
              <w:jc w:val="left"/>
              <w:rPr>
                <w:rFonts w:hint="eastAsia" w:ascii="宋体" w:hAnsi="宋体" w:eastAsia="宋体" w:cs="宋体"/>
                <w:color w:val="FF0000"/>
                <w:spacing w:val="7"/>
                <w:sz w:val="20"/>
                <w:szCs w:val="20"/>
                <w:highlight w:val="none"/>
                <w:lang w:val="en-US" w:eastAsia="en-US"/>
              </w:rPr>
            </w:pPr>
            <w:r>
              <w:rPr>
                <w:rFonts w:hint="eastAsia" w:ascii="宋体" w:hAnsi="宋体" w:eastAsia="宋体" w:cs="宋体"/>
                <w:color w:val="auto"/>
                <w:sz w:val="20"/>
                <w:szCs w:val="20"/>
                <w:highlight w:val="none"/>
              </w:rPr>
              <w:t>总监理工程师、监理工程师及其它监理人员配备完整，设置合理，人员岗位、职责明确，项目部有从业资格证书的专业人员齐全。优10分，良(10-</w:t>
            </w:r>
            <w:r>
              <w:rPr>
                <w:rFonts w:hint="eastAsia" w:ascii="宋体" w:hAnsi="宋体" w:eastAsia="宋体" w:cs="宋体"/>
                <w:color w:val="auto"/>
                <w:sz w:val="20"/>
                <w:szCs w:val="20"/>
                <w:highlight w:val="none"/>
                <w:lang w:val="en-US" w:eastAsia="zh-CN"/>
              </w:rPr>
              <w:t>8</w:t>
            </w:r>
            <w:r>
              <w:rPr>
                <w:rFonts w:hint="eastAsia" w:ascii="宋体" w:hAnsi="宋体" w:eastAsia="宋体" w:cs="宋体"/>
                <w:color w:val="auto"/>
                <w:sz w:val="20"/>
                <w:szCs w:val="20"/>
                <w:highlight w:val="none"/>
              </w:rPr>
              <w:t>]分，一般(</w:t>
            </w:r>
            <w:r>
              <w:rPr>
                <w:rFonts w:hint="eastAsia" w:ascii="宋体" w:hAnsi="宋体" w:eastAsia="宋体" w:cs="宋体"/>
                <w:color w:val="auto"/>
                <w:sz w:val="20"/>
                <w:szCs w:val="20"/>
                <w:highlight w:val="none"/>
                <w:lang w:val="en-US" w:eastAsia="zh-CN"/>
              </w:rPr>
              <w:t>8</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6</w:t>
            </w:r>
            <w:r>
              <w:rPr>
                <w:rFonts w:hint="eastAsia" w:ascii="宋体" w:hAnsi="宋体" w:eastAsia="宋体" w:cs="宋体"/>
                <w:color w:val="auto"/>
                <w:sz w:val="20"/>
                <w:szCs w:val="20"/>
                <w:highlight w:val="none"/>
              </w:rPr>
              <w:t>]分。缺少该项不得分。</w:t>
            </w:r>
          </w:p>
        </w:tc>
      </w:tr>
      <w:tr w14:paraId="1B804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5" w:hRule="atLeast"/>
        </w:trPr>
        <w:tc>
          <w:tcPr>
            <w:tcW w:w="1241" w:type="dxa"/>
            <w:vMerge w:val="continue"/>
            <w:vAlign w:val="top"/>
          </w:tcPr>
          <w:p w14:paraId="7FDAAD80">
            <w:pPr>
              <w:rPr>
                <w:rFonts w:ascii="Arial"/>
                <w:color w:val="000000" w:themeColor="text1"/>
                <w:sz w:val="21"/>
                <w:highlight w:val="none"/>
                <w14:textFill>
                  <w14:solidFill>
                    <w14:schemeClr w14:val="tx1"/>
                  </w14:solidFill>
                </w14:textFill>
              </w:rPr>
            </w:pPr>
          </w:p>
        </w:tc>
        <w:tc>
          <w:tcPr>
            <w:tcW w:w="1207" w:type="dxa"/>
            <w:gridSpan w:val="2"/>
            <w:vMerge w:val="continue"/>
            <w:vAlign w:val="top"/>
          </w:tcPr>
          <w:p w14:paraId="3F06D6C8">
            <w:pPr>
              <w:rPr>
                <w:rFonts w:ascii="Arial"/>
                <w:color w:val="000000" w:themeColor="text1"/>
                <w:sz w:val="21"/>
                <w:highlight w:val="none"/>
                <w14:textFill>
                  <w14:solidFill>
                    <w14:schemeClr w14:val="tx1"/>
                  </w14:solidFill>
                </w14:textFill>
              </w:rPr>
            </w:pPr>
          </w:p>
        </w:tc>
        <w:tc>
          <w:tcPr>
            <w:tcW w:w="1066" w:type="dxa"/>
            <w:vMerge w:val="continue"/>
            <w:vAlign w:val="top"/>
          </w:tcPr>
          <w:p w14:paraId="647C5298">
            <w:pPr>
              <w:rPr>
                <w:rFonts w:ascii="Arial"/>
                <w:color w:val="000000" w:themeColor="text1"/>
                <w:sz w:val="21"/>
                <w:highlight w:val="none"/>
                <w14:textFill>
                  <w14:solidFill>
                    <w14:schemeClr w14:val="tx1"/>
                  </w14:solidFill>
                </w14:textFill>
              </w:rPr>
            </w:pPr>
          </w:p>
        </w:tc>
        <w:tc>
          <w:tcPr>
            <w:tcW w:w="1443" w:type="dxa"/>
            <w:tcBorders>
              <w:top w:val="single" w:color="000000" w:sz="2" w:space="0"/>
              <w:bottom w:val="single" w:color="000000" w:sz="2" w:space="0"/>
            </w:tcBorders>
            <w:vAlign w:val="center"/>
          </w:tcPr>
          <w:p w14:paraId="7C44BDB2">
            <w:pPr>
              <w:spacing w:line="380" w:lineRule="atLeast"/>
              <w:jc w:val="center"/>
              <w:rPr>
                <w:rFonts w:hint="eastAsia" w:ascii="宋体" w:hAnsi="宋体" w:eastAsia="宋体" w:cs="宋体"/>
                <w:color w:val="FF0000"/>
                <w:spacing w:val="7"/>
                <w:sz w:val="20"/>
                <w:szCs w:val="20"/>
                <w:highlight w:val="none"/>
              </w:rPr>
            </w:pPr>
            <w:r>
              <w:rPr>
                <w:rFonts w:hint="eastAsia" w:ascii="宋体" w:hAnsi="宋体" w:eastAsia="宋体" w:cs="宋体"/>
                <w:color w:val="auto"/>
                <w:sz w:val="20"/>
                <w:szCs w:val="20"/>
                <w:highlight w:val="none"/>
              </w:rPr>
              <w:t>对本项目监理的重点难点分析及对策</w:t>
            </w:r>
          </w:p>
        </w:tc>
        <w:tc>
          <w:tcPr>
            <w:tcW w:w="901" w:type="dxa"/>
            <w:tcBorders>
              <w:top w:val="single" w:color="000000" w:sz="2" w:space="0"/>
              <w:bottom w:val="single" w:color="000000" w:sz="2" w:space="0"/>
            </w:tcBorders>
            <w:vAlign w:val="center"/>
          </w:tcPr>
          <w:p w14:paraId="152FDAD5">
            <w:pPr>
              <w:spacing w:line="380" w:lineRule="atLeast"/>
              <w:jc w:val="center"/>
              <w:rPr>
                <w:rFonts w:hint="eastAsia" w:ascii="宋体" w:hAnsi="宋体" w:eastAsia="宋体" w:cs="宋体"/>
                <w:color w:val="FF0000"/>
                <w:sz w:val="20"/>
                <w:szCs w:val="20"/>
                <w:highlight w:val="none"/>
              </w:rPr>
            </w:pPr>
            <w:r>
              <w:rPr>
                <w:rFonts w:hint="eastAsia" w:ascii="宋体" w:hAnsi="宋体" w:eastAsia="宋体" w:cs="宋体"/>
                <w:color w:val="auto"/>
                <w:sz w:val="20"/>
                <w:szCs w:val="20"/>
                <w:highlight w:val="none"/>
                <w:u w:val="none"/>
              </w:rPr>
              <w:t>10</w:t>
            </w:r>
            <w:r>
              <w:rPr>
                <w:rFonts w:hint="eastAsia" w:ascii="宋体" w:hAnsi="宋体" w:eastAsia="宋体" w:cs="宋体"/>
                <w:color w:val="auto"/>
                <w:sz w:val="20"/>
                <w:szCs w:val="20"/>
                <w:highlight w:val="none"/>
              </w:rPr>
              <w:t>分</w:t>
            </w:r>
          </w:p>
        </w:tc>
        <w:tc>
          <w:tcPr>
            <w:tcW w:w="4064" w:type="dxa"/>
            <w:tcBorders>
              <w:top w:val="single" w:color="000000" w:sz="2" w:space="0"/>
              <w:bottom w:val="single" w:color="000000" w:sz="2" w:space="0"/>
            </w:tcBorders>
            <w:vAlign w:val="center"/>
          </w:tcPr>
          <w:p w14:paraId="6FE175CA">
            <w:pPr>
              <w:spacing w:line="380" w:lineRule="atLeast"/>
              <w:jc w:val="left"/>
              <w:rPr>
                <w:rFonts w:hint="eastAsia" w:ascii="宋体" w:hAnsi="宋体" w:eastAsia="宋体" w:cs="宋体"/>
                <w:color w:val="FF0000"/>
                <w:spacing w:val="7"/>
                <w:sz w:val="20"/>
                <w:szCs w:val="20"/>
                <w:highlight w:val="none"/>
                <w:lang w:val="en-US" w:eastAsia="en-US"/>
              </w:rPr>
            </w:pPr>
            <w:r>
              <w:rPr>
                <w:rFonts w:hint="eastAsia" w:ascii="宋体" w:hAnsi="宋体" w:eastAsia="宋体" w:cs="宋体"/>
                <w:color w:val="auto"/>
                <w:sz w:val="20"/>
                <w:szCs w:val="20"/>
                <w:highlight w:val="none"/>
              </w:rPr>
              <w:t>对监理内容理解全面，对项目的重点、难点认识充分，</w:t>
            </w:r>
            <w:r>
              <w:rPr>
                <w:rFonts w:hint="eastAsia" w:ascii="宋体" w:hAnsi="宋体" w:eastAsia="宋体" w:cs="宋体"/>
                <w:color w:val="auto"/>
                <w:sz w:val="20"/>
                <w:szCs w:val="20"/>
                <w:highlight w:val="none"/>
                <w:lang w:val="en-US" w:eastAsia="zh-CN"/>
              </w:rPr>
              <w:t>措</w:t>
            </w:r>
            <w:r>
              <w:rPr>
                <w:rFonts w:hint="eastAsia" w:ascii="宋体" w:hAnsi="宋体" w:eastAsia="宋体" w:cs="宋体"/>
                <w:color w:val="auto"/>
                <w:sz w:val="20"/>
                <w:szCs w:val="20"/>
                <w:highlight w:val="none"/>
              </w:rPr>
              <w:t>施得当，方案切实可行，安排周密。优10分，良(10-</w:t>
            </w:r>
            <w:r>
              <w:rPr>
                <w:rFonts w:hint="eastAsia" w:ascii="宋体" w:hAnsi="宋体" w:eastAsia="宋体" w:cs="宋体"/>
                <w:color w:val="auto"/>
                <w:sz w:val="20"/>
                <w:szCs w:val="20"/>
                <w:highlight w:val="none"/>
                <w:lang w:val="en-US" w:eastAsia="zh-CN"/>
              </w:rPr>
              <w:t>8</w:t>
            </w:r>
            <w:r>
              <w:rPr>
                <w:rFonts w:hint="eastAsia" w:ascii="宋体" w:hAnsi="宋体" w:eastAsia="宋体" w:cs="宋体"/>
                <w:color w:val="auto"/>
                <w:sz w:val="20"/>
                <w:szCs w:val="20"/>
                <w:highlight w:val="none"/>
              </w:rPr>
              <w:t>]分，一般(</w:t>
            </w:r>
            <w:r>
              <w:rPr>
                <w:rFonts w:hint="eastAsia" w:ascii="宋体" w:hAnsi="宋体" w:eastAsia="宋体" w:cs="宋体"/>
                <w:color w:val="auto"/>
                <w:sz w:val="20"/>
                <w:szCs w:val="20"/>
                <w:highlight w:val="none"/>
                <w:lang w:val="en-US" w:eastAsia="zh-CN"/>
              </w:rPr>
              <w:t>8</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6</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缺少该项不得分。</w:t>
            </w:r>
          </w:p>
        </w:tc>
      </w:tr>
      <w:tr w14:paraId="24616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41" w:type="dxa"/>
            <w:vMerge w:val="continue"/>
            <w:vAlign w:val="top"/>
          </w:tcPr>
          <w:p w14:paraId="1EFB3BB7">
            <w:pPr>
              <w:rPr>
                <w:rFonts w:ascii="Arial"/>
                <w:color w:val="000000" w:themeColor="text1"/>
                <w:sz w:val="21"/>
                <w:highlight w:val="none"/>
                <w14:textFill>
                  <w14:solidFill>
                    <w14:schemeClr w14:val="tx1"/>
                  </w14:solidFill>
                </w14:textFill>
              </w:rPr>
            </w:pPr>
          </w:p>
        </w:tc>
        <w:tc>
          <w:tcPr>
            <w:tcW w:w="1207" w:type="dxa"/>
            <w:gridSpan w:val="2"/>
            <w:vMerge w:val="continue"/>
            <w:vAlign w:val="top"/>
          </w:tcPr>
          <w:p w14:paraId="46269B72">
            <w:pPr>
              <w:rPr>
                <w:rFonts w:ascii="Arial"/>
                <w:color w:val="000000" w:themeColor="text1"/>
                <w:sz w:val="21"/>
                <w:highlight w:val="none"/>
                <w14:textFill>
                  <w14:solidFill>
                    <w14:schemeClr w14:val="tx1"/>
                  </w14:solidFill>
                </w14:textFill>
              </w:rPr>
            </w:pPr>
          </w:p>
        </w:tc>
        <w:tc>
          <w:tcPr>
            <w:tcW w:w="1066" w:type="dxa"/>
            <w:vMerge w:val="continue"/>
            <w:vAlign w:val="top"/>
          </w:tcPr>
          <w:p w14:paraId="67F9214B">
            <w:pPr>
              <w:rPr>
                <w:rFonts w:ascii="Arial"/>
                <w:color w:val="000000" w:themeColor="text1"/>
                <w:sz w:val="21"/>
                <w:highlight w:val="none"/>
                <w14:textFill>
                  <w14:solidFill>
                    <w14:schemeClr w14:val="tx1"/>
                  </w14:solidFill>
                </w14:textFill>
              </w:rPr>
            </w:pPr>
          </w:p>
        </w:tc>
        <w:tc>
          <w:tcPr>
            <w:tcW w:w="1443" w:type="dxa"/>
            <w:tcBorders>
              <w:top w:val="single" w:color="000000" w:sz="2" w:space="0"/>
              <w:bottom w:val="single" w:color="000000" w:sz="2" w:space="0"/>
            </w:tcBorders>
            <w:vAlign w:val="center"/>
          </w:tcPr>
          <w:p w14:paraId="27869D5F">
            <w:pPr>
              <w:spacing w:line="380" w:lineRule="atLeast"/>
              <w:jc w:val="center"/>
              <w:rPr>
                <w:rFonts w:hint="eastAsia" w:ascii="宋体" w:hAnsi="宋体" w:eastAsia="宋体" w:cs="宋体"/>
                <w:color w:val="FF0000"/>
                <w:spacing w:val="7"/>
                <w:sz w:val="20"/>
                <w:szCs w:val="20"/>
                <w:highlight w:val="none"/>
              </w:rPr>
            </w:pPr>
            <w:r>
              <w:rPr>
                <w:rFonts w:hint="eastAsia" w:ascii="宋体" w:hAnsi="宋体" w:eastAsia="宋体" w:cs="宋体"/>
                <w:color w:val="auto"/>
                <w:sz w:val="20"/>
                <w:szCs w:val="20"/>
                <w:highlight w:val="none"/>
              </w:rPr>
              <w:t>监理工作的程序与措施</w:t>
            </w:r>
          </w:p>
        </w:tc>
        <w:tc>
          <w:tcPr>
            <w:tcW w:w="901" w:type="dxa"/>
            <w:tcBorders>
              <w:top w:val="single" w:color="000000" w:sz="2" w:space="0"/>
              <w:bottom w:val="single" w:color="000000" w:sz="2" w:space="0"/>
            </w:tcBorders>
            <w:vAlign w:val="center"/>
          </w:tcPr>
          <w:p w14:paraId="1A34EE49">
            <w:pPr>
              <w:spacing w:line="380" w:lineRule="atLeast"/>
              <w:jc w:val="center"/>
              <w:rPr>
                <w:rFonts w:hint="eastAsia" w:ascii="宋体" w:hAnsi="宋体" w:eastAsia="宋体" w:cs="宋体"/>
                <w:color w:val="FF0000"/>
                <w:sz w:val="20"/>
                <w:szCs w:val="20"/>
                <w:highlight w:val="none"/>
              </w:rPr>
            </w:pPr>
            <w:r>
              <w:rPr>
                <w:rFonts w:hint="eastAsia" w:ascii="宋体" w:hAnsi="宋体" w:eastAsia="宋体" w:cs="宋体"/>
                <w:color w:val="auto"/>
                <w:sz w:val="20"/>
                <w:szCs w:val="20"/>
                <w:highlight w:val="none"/>
                <w:u w:val="none"/>
              </w:rPr>
              <w:t>10</w:t>
            </w:r>
            <w:r>
              <w:rPr>
                <w:rFonts w:hint="eastAsia" w:ascii="宋体" w:hAnsi="宋体" w:eastAsia="宋体" w:cs="宋体"/>
                <w:color w:val="auto"/>
                <w:sz w:val="20"/>
                <w:szCs w:val="20"/>
                <w:highlight w:val="none"/>
              </w:rPr>
              <w:t>分</w:t>
            </w:r>
          </w:p>
        </w:tc>
        <w:tc>
          <w:tcPr>
            <w:tcW w:w="4064" w:type="dxa"/>
            <w:tcBorders>
              <w:top w:val="single" w:color="000000" w:sz="2" w:space="0"/>
              <w:bottom w:val="single" w:color="000000" w:sz="2" w:space="0"/>
            </w:tcBorders>
            <w:vAlign w:val="center"/>
          </w:tcPr>
          <w:p w14:paraId="3C803228">
            <w:pPr>
              <w:pStyle w:val="11"/>
              <w:rPr>
                <w:rFonts w:hint="eastAsia" w:ascii="宋体" w:hAnsi="宋体" w:eastAsia="宋体" w:cs="宋体"/>
                <w:color w:val="FF0000"/>
                <w:spacing w:val="7"/>
                <w:sz w:val="20"/>
                <w:szCs w:val="20"/>
                <w:highlight w:val="none"/>
              </w:rPr>
            </w:pPr>
            <w:r>
              <w:rPr>
                <w:rFonts w:hint="eastAsia" w:hAnsi="宋体" w:eastAsia="宋体" w:cs="宋体"/>
                <w:color w:val="auto"/>
                <w:kern w:val="2"/>
                <w:sz w:val="20"/>
                <w:szCs w:val="20"/>
                <w:highlight w:val="none"/>
              </w:rPr>
              <w:t>控制目标明确、内容全面、措施针对性强、预控和动态控制措施完整，实施方法科学。优10分，良(10-8]分，一般(8-6]分</w:t>
            </w:r>
            <w:r>
              <w:rPr>
                <w:rFonts w:hint="eastAsia" w:hAnsi="宋体" w:eastAsia="宋体" w:cs="宋体"/>
                <w:color w:val="auto"/>
                <w:kern w:val="2"/>
                <w:sz w:val="20"/>
                <w:szCs w:val="20"/>
                <w:highlight w:val="none"/>
                <w:lang w:eastAsia="zh-CN"/>
              </w:rPr>
              <w:t>，</w:t>
            </w:r>
            <w:r>
              <w:rPr>
                <w:rFonts w:hint="eastAsia" w:hAnsi="宋体" w:eastAsia="宋体" w:cs="宋体"/>
                <w:color w:val="auto"/>
                <w:kern w:val="2"/>
                <w:sz w:val="20"/>
                <w:szCs w:val="20"/>
                <w:highlight w:val="none"/>
              </w:rPr>
              <w:t>缺少该项不得分。</w:t>
            </w:r>
          </w:p>
        </w:tc>
      </w:tr>
      <w:tr w14:paraId="650B7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241" w:type="dxa"/>
            <w:vMerge w:val="continue"/>
            <w:vAlign w:val="top"/>
          </w:tcPr>
          <w:p w14:paraId="338C9CF0">
            <w:pPr>
              <w:rPr>
                <w:rFonts w:ascii="Arial"/>
                <w:color w:val="000000" w:themeColor="text1"/>
                <w:sz w:val="21"/>
                <w:highlight w:val="none"/>
                <w14:textFill>
                  <w14:solidFill>
                    <w14:schemeClr w14:val="tx1"/>
                  </w14:solidFill>
                </w14:textFill>
              </w:rPr>
            </w:pPr>
          </w:p>
        </w:tc>
        <w:tc>
          <w:tcPr>
            <w:tcW w:w="1207" w:type="dxa"/>
            <w:gridSpan w:val="2"/>
            <w:vMerge w:val="continue"/>
            <w:vAlign w:val="top"/>
          </w:tcPr>
          <w:p w14:paraId="63FDFA92">
            <w:pPr>
              <w:rPr>
                <w:rFonts w:ascii="Arial"/>
                <w:color w:val="000000" w:themeColor="text1"/>
                <w:sz w:val="21"/>
                <w:highlight w:val="none"/>
                <w14:textFill>
                  <w14:solidFill>
                    <w14:schemeClr w14:val="tx1"/>
                  </w14:solidFill>
                </w14:textFill>
              </w:rPr>
            </w:pPr>
          </w:p>
        </w:tc>
        <w:tc>
          <w:tcPr>
            <w:tcW w:w="1066" w:type="dxa"/>
            <w:vMerge w:val="continue"/>
            <w:vAlign w:val="top"/>
          </w:tcPr>
          <w:p w14:paraId="0D25F630">
            <w:pPr>
              <w:rPr>
                <w:rFonts w:ascii="Arial"/>
                <w:color w:val="000000" w:themeColor="text1"/>
                <w:sz w:val="21"/>
                <w:highlight w:val="none"/>
                <w14:textFill>
                  <w14:solidFill>
                    <w14:schemeClr w14:val="tx1"/>
                  </w14:solidFill>
                </w14:textFill>
              </w:rPr>
            </w:pPr>
          </w:p>
        </w:tc>
        <w:tc>
          <w:tcPr>
            <w:tcW w:w="1443" w:type="dxa"/>
            <w:tcBorders>
              <w:top w:val="single" w:color="000000" w:sz="2" w:space="0"/>
              <w:bottom w:val="single" w:color="000000" w:sz="2" w:space="0"/>
            </w:tcBorders>
            <w:vAlign w:val="center"/>
          </w:tcPr>
          <w:p w14:paraId="2E073511">
            <w:pPr>
              <w:spacing w:line="380" w:lineRule="atLeast"/>
              <w:jc w:val="center"/>
              <w:rPr>
                <w:rFonts w:hint="eastAsia" w:ascii="宋体" w:hAnsi="宋体" w:eastAsia="宋体" w:cs="宋体"/>
                <w:color w:val="FF0000"/>
                <w:spacing w:val="7"/>
                <w:sz w:val="20"/>
                <w:szCs w:val="20"/>
                <w:highlight w:val="none"/>
              </w:rPr>
            </w:pPr>
            <w:r>
              <w:rPr>
                <w:rFonts w:hint="eastAsia" w:ascii="宋体" w:hAnsi="宋体" w:eastAsia="宋体" w:cs="宋体"/>
                <w:color w:val="auto"/>
                <w:sz w:val="20"/>
                <w:szCs w:val="20"/>
                <w:highlight w:val="none"/>
              </w:rPr>
              <w:t>对本工程的建议</w:t>
            </w:r>
          </w:p>
        </w:tc>
        <w:tc>
          <w:tcPr>
            <w:tcW w:w="901" w:type="dxa"/>
            <w:tcBorders>
              <w:top w:val="single" w:color="000000" w:sz="2" w:space="0"/>
              <w:bottom w:val="single" w:color="000000" w:sz="2" w:space="0"/>
            </w:tcBorders>
            <w:vAlign w:val="center"/>
          </w:tcPr>
          <w:p w14:paraId="5E7954AC">
            <w:pPr>
              <w:spacing w:line="380" w:lineRule="atLeast"/>
              <w:jc w:val="center"/>
              <w:rPr>
                <w:rFonts w:hint="eastAsia" w:ascii="宋体" w:hAnsi="宋体" w:eastAsia="宋体" w:cs="宋体"/>
                <w:color w:val="FF0000"/>
                <w:sz w:val="20"/>
                <w:szCs w:val="20"/>
                <w:highlight w:val="none"/>
              </w:rPr>
            </w:pPr>
            <w:r>
              <w:rPr>
                <w:rFonts w:hint="eastAsia" w:ascii="宋体" w:hAnsi="宋体" w:eastAsia="宋体" w:cs="宋体"/>
                <w:color w:val="auto"/>
                <w:sz w:val="20"/>
                <w:szCs w:val="20"/>
                <w:highlight w:val="none"/>
                <w:u w:val="none"/>
              </w:rPr>
              <w:t>10</w:t>
            </w:r>
            <w:r>
              <w:rPr>
                <w:rFonts w:hint="eastAsia" w:ascii="宋体" w:hAnsi="宋体" w:eastAsia="宋体" w:cs="宋体"/>
                <w:color w:val="auto"/>
                <w:sz w:val="20"/>
                <w:szCs w:val="20"/>
                <w:highlight w:val="none"/>
              </w:rPr>
              <w:t>分</w:t>
            </w:r>
          </w:p>
        </w:tc>
        <w:tc>
          <w:tcPr>
            <w:tcW w:w="4064" w:type="dxa"/>
            <w:tcBorders>
              <w:top w:val="single" w:color="000000" w:sz="2" w:space="0"/>
              <w:bottom w:val="single" w:color="000000" w:sz="2" w:space="0"/>
            </w:tcBorders>
            <w:vAlign w:val="center"/>
          </w:tcPr>
          <w:p w14:paraId="5B9433A4">
            <w:pPr>
              <w:pStyle w:val="11"/>
              <w:rPr>
                <w:rFonts w:hint="eastAsia" w:ascii="宋体" w:hAnsi="宋体" w:eastAsia="宋体" w:cs="宋体"/>
                <w:color w:val="FF0000"/>
                <w:spacing w:val="7"/>
                <w:sz w:val="20"/>
                <w:highlight w:val="none"/>
              </w:rPr>
            </w:pPr>
            <w:r>
              <w:rPr>
                <w:rFonts w:hint="eastAsia" w:hAnsi="宋体" w:eastAsia="宋体" w:cs="宋体"/>
                <w:color w:val="auto"/>
                <w:kern w:val="2"/>
                <w:sz w:val="20"/>
                <w:szCs w:val="20"/>
                <w:highlight w:val="none"/>
              </w:rPr>
              <w:t>具有科学、合理、可行及具体指施的合理化建议。优10分，良(10-8]分，一般(8-6]分</w:t>
            </w:r>
            <w:r>
              <w:rPr>
                <w:rFonts w:hint="eastAsia" w:hAnsi="宋体" w:eastAsia="宋体" w:cs="宋体"/>
                <w:color w:val="auto"/>
                <w:kern w:val="2"/>
                <w:sz w:val="20"/>
                <w:szCs w:val="20"/>
                <w:highlight w:val="none"/>
                <w:lang w:eastAsia="zh-CN"/>
              </w:rPr>
              <w:t>，</w:t>
            </w:r>
            <w:r>
              <w:rPr>
                <w:rFonts w:hint="eastAsia" w:hAnsi="宋体" w:eastAsia="宋体" w:cs="宋体"/>
                <w:color w:val="auto"/>
                <w:kern w:val="2"/>
                <w:sz w:val="20"/>
                <w:szCs w:val="20"/>
                <w:highlight w:val="none"/>
              </w:rPr>
              <w:t>缺少该项不得分。</w:t>
            </w:r>
          </w:p>
        </w:tc>
      </w:tr>
      <w:tr w14:paraId="01186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1" w:hRule="atLeast"/>
        </w:trPr>
        <w:tc>
          <w:tcPr>
            <w:tcW w:w="1241" w:type="dxa"/>
            <w:vMerge w:val="restart"/>
            <w:tcBorders>
              <w:top w:val="single" w:color="000000" w:sz="2" w:space="0"/>
              <w:bottom w:val="single" w:color="000000" w:sz="2" w:space="0"/>
            </w:tcBorders>
            <w:vAlign w:val="center"/>
          </w:tcPr>
          <w:p w14:paraId="29654FF7">
            <w:pPr>
              <w:pStyle w:val="8"/>
              <w:spacing w:before="65" w:line="347" w:lineRule="auto"/>
              <w:ind w:right="201"/>
              <w:jc w:val="center"/>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 xml:space="preserve">2.2.4 </w:t>
            </w:r>
            <w:r>
              <w:rPr>
                <w:color w:val="000000" w:themeColor="text1"/>
                <w:spacing w:val="-10"/>
                <w:highlight w:val="none"/>
                <w14:textFill>
                  <w14:solidFill>
                    <w14:schemeClr w14:val="tx1"/>
                  </w14:solidFill>
                </w14:textFill>
              </w:rPr>
              <w:t>(2)</w:t>
            </w:r>
          </w:p>
        </w:tc>
        <w:tc>
          <w:tcPr>
            <w:tcW w:w="1207" w:type="dxa"/>
            <w:gridSpan w:val="2"/>
            <w:vMerge w:val="restart"/>
            <w:tcBorders>
              <w:top w:val="single" w:color="000000" w:sz="2" w:space="0"/>
              <w:bottom w:val="single" w:color="000000" w:sz="2" w:space="0"/>
            </w:tcBorders>
            <w:vAlign w:val="center"/>
          </w:tcPr>
          <w:p w14:paraId="54AFDA6D">
            <w:pPr>
              <w:pStyle w:val="8"/>
              <w:spacing w:before="65" w:line="229" w:lineRule="auto"/>
              <w:jc w:val="center"/>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主要人员</w:t>
            </w:r>
          </w:p>
        </w:tc>
        <w:tc>
          <w:tcPr>
            <w:tcW w:w="1066" w:type="dxa"/>
            <w:vMerge w:val="restart"/>
            <w:tcBorders>
              <w:top w:val="single" w:color="000000" w:sz="2" w:space="0"/>
              <w:bottom w:val="single" w:color="000000" w:sz="2" w:space="0"/>
            </w:tcBorders>
            <w:vAlign w:val="center"/>
          </w:tcPr>
          <w:p w14:paraId="6BAD5F5B">
            <w:pPr>
              <w:pStyle w:val="8"/>
              <w:tabs>
                <w:tab w:val="left" w:pos="507"/>
              </w:tabs>
              <w:spacing w:before="65" w:line="228" w:lineRule="auto"/>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25</w:t>
            </w:r>
            <w:r>
              <w:rPr>
                <w:color w:val="000000" w:themeColor="text1"/>
                <w:highlight w:val="none"/>
                <w14:textFill>
                  <w14:solidFill>
                    <w14:schemeClr w14:val="tx1"/>
                  </w14:solidFill>
                </w14:textFill>
              </w:rPr>
              <w:t>分</w:t>
            </w:r>
          </w:p>
        </w:tc>
        <w:tc>
          <w:tcPr>
            <w:tcW w:w="1443" w:type="dxa"/>
            <w:tcBorders>
              <w:top w:val="single" w:color="000000" w:sz="2" w:space="0"/>
              <w:bottom w:val="single" w:color="000000" w:sz="2" w:space="0"/>
            </w:tcBorders>
            <w:vAlign w:val="center"/>
          </w:tcPr>
          <w:p w14:paraId="17D5E141">
            <w:pPr>
              <w:pStyle w:val="8"/>
              <w:spacing w:before="141" w:line="283" w:lineRule="auto"/>
              <w:ind w:right="-79"/>
              <w:jc w:val="center"/>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总监理工程师</w:t>
            </w:r>
          </w:p>
        </w:tc>
        <w:tc>
          <w:tcPr>
            <w:tcW w:w="901" w:type="dxa"/>
            <w:tcBorders>
              <w:top w:val="single" w:color="000000" w:sz="2" w:space="0"/>
              <w:bottom w:val="single" w:color="000000" w:sz="2" w:space="0"/>
            </w:tcBorders>
            <w:vAlign w:val="center"/>
          </w:tcPr>
          <w:p w14:paraId="7816C1C7">
            <w:pPr>
              <w:pStyle w:val="8"/>
              <w:tabs>
                <w:tab w:val="left" w:pos="422"/>
              </w:tabs>
              <w:spacing w:before="65" w:line="228" w:lineRule="auto"/>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w:t>
            </w:r>
            <w:r>
              <w:rPr>
                <w:color w:val="000000" w:themeColor="text1"/>
                <w:highlight w:val="none"/>
                <w14:textFill>
                  <w14:solidFill>
                    <w14:schemeClr w14:val="tx1"/>
                  </w14:solidFill>
                </w14:textFill>
              </w:rPr>
              <w:t>分</w:t>
            </w:r>
          </w:p>
        </w:tc>
        <w:tc>
          <w:tcPr>
            <w:tcW w:w="4064" w:type="dxa"/>
            <w:tcBorders>
              <w:top w:val="single" w:color="000000" w:sz="2" w:space="0"/>
              <w:bottom w:val="single" w:color="000000" w:sz="2" w:space="0"/>
            </w:tcBorders>
            <w:vAlign w:val="center"/>
          </w:tcPr>
          <w:p w14:paraId="4372D859">
            <w:pPr>
              <w:pStyle w:val="8"/>
              <w:numPr>
                <w:ilvl w:val="0"/>
                <w:numId w:val="0"/>
              </w:numPr>
              <w:spacing w:before="0" w:line="281" w:lineRule="auto"/>
              <w:ind w:right="0"/>
              <w:jc w:val="left"/>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满足招标文件资格审查强制性要求的得</w:t>
            </w:r>
            <w:r>
              <w:rPr>
                <w:rFonts w:hint="eastAsia" w:ascii="宋体" w:hAnsi="宋体" w:cs="宋体"/>
                <w:color w:val="000000" w:themeColor="text1"/>
                <w:szCs w:val="21"/>
                <w:highlight w:val="none"/>
                <w:lang w:val="en-US" w:eastAsia="zh-CN"/>
                <w14:textFill>
                  <w14:solidFill>
                    <w14:schemeClr w14:val="tx1"/>
                  </w14:solidFill>
                </w14:textFill>
              </w:rPr>
              <w:t>12</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lang w:eastAsia="zh-CN"/>
                <w14:textFill>
                  <w14:solidFill>
                    <w14:schemeClr w14:val="tx1"/>
                  </w14:solidFill>
                </w14:textFill>
              </w:rPr>
              <w:t>；</w:t>
            </w:r>
          </w:p>
          <w:p w14:paraId="6411962D">
            <w:pPr>
              <w:pStyle w:val="8"/>
              <w:numPr>
                <w:ilvl w:val="-1"/>
                <w:numId w:val="0"/>
              </w:numPr>
              <w:spacing w:before="0" w:line="281" w:lineRule="auto"/>
              <w:ind w:right="0"/>
              <w:jc w:val="left"/>
              <w:rPr>
                <w:rFonts w:hint="eastAsia" w:cs="宋体"/>
                <w:color w:val="000000" w:themeColor="text1"/>
                <w:spacing w:val="7"/>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2.2020年1月1日至今（以交（竣）工验收时间为准）作为项目总监</w:t>
            </w:r>
            <w:r>
              <w:rPr>
                <w:rFonts w:hint="eastAsia" w:cs="宋体"/>
                <w:color w:val="000000" w:themeColor="text1"/>
                <w:szCs w:val="21"/>
                <w:highlight w:val="none"/>
                <w:lang w:val="en-US" w:eastAsia="zh-CN"/>
                <w14:textFill>
                  <w14:solidFill>
                    <w14:schemeClr w14:val="tx1"/>
                  </w14:solidFill>
                </w14:textFill>
              </w:rPr>
              <w:t>或副总监或总监代表</w:t>
            </w:r>
            <w:r>
              <w:rPr>
                <w:rFonts w:hint="eastAsia" w:ascii="宋体" w:hAnsi="宋体" w:cs="宋体"/>
                <w:color w:val="000000" w:themeColor="text1"/>
                <w:szCs w:val="21"/>
                <w:highlight w:val="none"/>
                <w:lang w:val="en-US" w:eastAsia="zh-CN"/>
                <w14:textFill>
                  <w14:solidFill>
                    <w14:schemeClr w14:val="tx1"/>
                  </w14:solidFill>
                </w14:textFill>
              </w:rPr>
              <w:t>完成过质量合格的</w:t>
            </w:r>
            <w:r>
              <w:rPr>
                <w:rFonts w:hint="eastAsia" w:cs="宋体"/>
                <w:color w:val="000000" w:themeColor="text1"/>
                <w:szCs w:val="21"/>
                <w:highlight w:val="none"/>
                <w:lang w:val="en-US" w:eastAsia="zh-CN"/>
                <w14:textFill>
                  <w14:solidFill>
                    <w14:schemeClr w14:val="tx1"/>
                  </w14:solidFill>
                </w14:textFill>
              </w:rPr>
              <w:t>水运</w:t>
            </w:r>
            <w:r>
              <w:rPr>
                <w:rFonts w:hint="eastAsia" w:ascii="宋体" w:hAnsi="宋体" w:cs="宋体"/>
                <w:color w:val="000000" w:themeColor="text1"/>
                <w:szCs w:val="21"/>
                <w:highlight w:val="none"/>
                <w:lang w:val="en-US" w:eastAsia="zh-CN"/>
                <w14:textFill>
                  <w14:solidFill>
                    <w14:schemeClr w14:val="tx1"/>
                  </w14:solidFill>
                </w14:textFill>
              </w:rPr>
              <w:t>工程</w:t>
            </w:r>
            <w:r>
              <w:rPr>
                <w:rFonts w:hint="eastAsia" w:cs="宋体"/>
                <w:color w:val="000000" w:themeColor="text1"/>
                <w:szCs w:val="21"/>
                <w:highlight w:val="none"/>
                <w:lang w:val="en-US" w:eastAsia="zh-CN"/>
                <w14:textFill>
                  <w14:solidFill>
                    <w14:schemeClr w14:val="tx1"/>
                  </w14:solidFill>
                </w14:textFill>
              </w:rPr>
              <w:t>监理业绩</w:t>
            </w:r>
            <w:r>
              <w:rPr>
                <w:rFonts w:hint="eastAsia" w:ascii="宋体" w:hAnsi="宋体" w:cs="宋体"/>
                <w:color w:val="000000" w:themeColor="text1"/>
                <w:szCs w:val="21"/>
                <w:highlight w:val="none"/>
                <w:lang w:val="en-US" w:eastAsia="zh-CN"/>
                <w14:textFill>
                  <w14:solidFill>
                    <w14:schemeClr w14:val="tx1"/>
                  </w14:solidFill>
                </w14:textFill>
              </w:rPr>
              <w:t>得</w:t>
            </w:r>
            <w:r>
              <w:rPr>
                <w:rFonts w:hint="eastAsia"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分，最多得</w:t>
            </w:r>
            <w:r>
              <w:rPr>
                <w:rFonts w:hint="eastAsia"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lang w:val="en-US" w:eastAsia="zh-CN"/>
                <w14:textFill>
                  <w14:solidFill>
                    <w14:schemeClr w14:val="tx1"/>
                  </w14:solidFill>
                </w14:textFill>
              </w:rPr>
              <w:t>分。</w:t>
            </w:r>
            <w:r>
              <w:rPr>
                <w:rFonts w:hint="eastAsia" w:cs="宋体"/>
                <w:color w:val="000000" w:themeColor="text1"/>
                <w:spacing w:val="7"/>
                <w:highlight w:val="none"/>
                <w:lang w:val="en-US" w:eastAsia="zh-CN"/>
                <w14:textFill>
                  <w14:solidFill>
                    <w14:schemeClr w14:val="tx1"/>
                  </w14:solidFill>
                </w14:textFill>
              </w:rPr>
              <w:t>注：</w:t>
            </w:r>
            <w:r>
              <w:rPr>
                <w:rFonts w:hint="eastAsia" w:ascii="宋体" w:hAnsi="宋体" w:eastAsia="宋体" w:cs="宋体"/>
                <w:color w:val="000000" w:themeColor="text1"/>
                <w:spacing w:val="7"/>
                <w:highlight w:val="none"/>
                <w14:textFill>
                  <w14:solidFill>
                    <w14:schemeClr w14:val="tx1"/>
                  </w14:solidFill>
                </w14:textFill>
              </w:rPr>
              <w:t>须同时提供中标通知书、监理合同协议书、项目评定书或交(竣)工验收证书。业绩认定时间以工程竣(交)工验收证书实际竣(交)工时间为准。</w:t>
            </w:r>
          </w:p>
          <w:p w14:paraId="6AC30498">
            <w:pPr>
              <w:pStyle w:val="8"/>
              <w:numPr>
                <w:ilvl w:val="-1"/>
                <w:numId w:val="0"/>
              </w:numPr>
              <w:spacing w:before="0" w:line="281" w:lineRule="auto"/>
              <w:ind w:right="0"/>
              <w:jc w:val="left"/>
              <w:rPr>
                <w:rFonts w:hint="eastAsia" w:cs="宋体"/>
                <w:color w:val="000000" w:themeColor="text1"/>
                <w:spacing w:val="7"/>
                <w:highlight w:val="none"/>
                <w:lang w:eastAsia="zh-CN"/>
                <w14:textFill>
                  <w14:solidFill>
                    <w14:schemeClr w14:val="tx1"/>
                  </w14:solidFill>
                </w14:textFill>
              </w:rPr>
            </w:pPr>
            <w:r>
              <w:rPr>
                <w:rFonts w:hint="eastAsia" w:cs="宋体"/>
                <w:color w:val="000000" w:themeColor="text1"/>
                <w:spacing w:val="7"/>
                <w:highlight w:val="none"/>
                <w:lang w:val="en-US" w:eastAsia="zh-CN"/>
                <w14:textFill>
                  <w14:solidFill>
                    <w14:schemeClr w14:val="tx1"/>
                  </w14:solidFill>
                </w14:textFill>
              </w:rPr>
              <w:t>3.</w:t>
            </w:r>
            <w:r>
              <w:rPr>
                <w:rFonts w:hint="eastAsia" w:ascii="宋体" w:hAnsi="宋体" w:eastAsia="宋体" w:cs="宋体"/>
                <w:color w:val="000000" w:themeColor="text1"/>
                <w:spacing w:val="7"/>
                <w:highlight w:val="none"/>
                <w:lang w:eastAsia="zh-CN"/>
                <w14:textFill>
                  <w14:solidFill>
                    <w14:schemeClr w14:val="tx1"/>
                  </w14:solidFill>
                </w14:textFill>
              </w:rPr>
              <w:t>具有水运工程</w:t>
            </w:r>
            <w:r>
              <w:rPr>
                <w:rFonts w:hint="eastAsia" w:cs="宋体"/>
                <w:color w:val="000000" w:themeColor="text1"/>
                <w:spacing w:val="7"/>
                <w:highlight w:val="none"/>
                <w:lang w:val="en-US" w:eastAsia="zh-CN"/>
                <w14:textFill>
                  <w14:solidFill>
                    <w14:schemeClr w14:val="tx1"/>
                  </w14:solidFill>
                </w14:textFill>
              </w:rPr>
              <w:t>系列</w:t>
            </w:r>
            <w:r>
              <w:rPr>
                <w:rFonts w:hint="eastAsia" w:ascii="宋体" w:hAnsi="宋体" w:eastAsia="宋体" w:cs="宋体"/>
                <w:color w:val="000000" w:themeColor="text1"/>
                <w:spacing w:val="7"/>
                <w:highlight w:val="none"/>
                <w:lang w:eastAsia="zh-CN"/>
                <w14:textFill>
                  <w14:solidFill>
                    <w14:schemeClr w14:val="tx1"/>
                  </w14:solidFill>
                </w14:textFill>
              </w:rPr>
              <w:t>高级</w:t>
            </w:r>
            <w:r>
              <w:rPr>
                <w:rFonts w:hint="eastAsia" w:cs="宋体"/>
                <w:color w:val="000000" w:themeColor="text1"/>
                <w:spacing w:val="7"/>
                <w:highlight w:val="none"/>
                <w:lang w:val="en-US" w:eastAsia="zh-CN"/>
                <w14:textFill>
                  <w14:solidFill>
                    <w14:schemeClr w14:val="tx1"/>
                  </w14:solidFill>
                </w14:textFill>
              </w:rPr>
              <w:t>或以上</w:t>
            </w:r>
            <w:r>
              <w:rPr>
                <w:rFonts w:hint="eastAsia" w:ascii="宋体" w:hAnsi="宋体" w:eastAsia="宋体" w:cs="宋体"/>
                <w:color w:val="000000" w:themeColor="text1"/>
                <w:spacing w:val="7"/>
                <w:highlight w:val="none"/>
                <w:lang w:eastAsia="zh-CN"/>
                <w14:textFill>
                  <w14:solidFill>
                    <w14:schemeClr w14:val="tx1"/>
                  </w14:solidFill>
                </w14:textFill>
              </w:rPr>
              <w:t>工程师职称，得</w:t>
            </w:r>
            <w:r>
              <w:rPr>
                <w:rFonts w:hint="eastAsia" w:cs="宋体"/>
                <w:color w:val="000000" w:themeColor="text1"/>
                <w:spacing w:val="7"/>
                <w:highlight w:val="none"/>
                <w:lang w:val="en-US" w:eastAsia="zh-CN"/>
                <w14:textFill>
                  <w14:solidFill>
                    <w14:schemeClr w14:val="tx1"/>
                  </w14:solidFill>
                </w14:textFill>
              </w:rPr>
              <w:t>2</w:t>
            </w:r>
            <w:r>
              <w:rPr>
                <w:rFonts w:hint="eastAsia" w:ascii="宋体" w:hAnsi="宋体" w:eastAsia="宋体" w:cs="宋体"/>
                <w:color w:val="000000" w:themeColor="text1"/>
                <w:spacing w:val="7"/>
                <w:highlight w:val="none"/>
                <w:lang w:eastAsia="zh-CN"/>
                <w14:textFill>
                  <w14:solidFill>
                    <w14:schemeClr w14:val="tx1"/>
                  </w14:solidFill>
                </w14:textFill>
              </w:rPr>
              <w:t>分</w:t>
            </w:r>
            <w:r>
              <w:rPr>
                <w:rFonts w:hint="eastAsia" w:cs="宋体"/>
                <w:color w:val="000000" w:themeColor="text1"/>
                <w:spacing w:val="7"/>
                <w:highlight w:val="none"/>
                <w:lang w:eastAsia="zh-CN"/>
                <w14:textFill>
                  <w14:solidFill>
                    <w14:schemeClr w14:val="tx1"/>
                  </w14:solidFill>
                </w14:textFill>
              </w:rPr>
              <w:t>。</w:t>
            </w:r>
          </w:p>
          <w:p w14:paraId="534629C5">
            <w:pPr>
              <w:pStyle w:val="8"/>
              <w:numPr>
                <w:ilvl w:val="-1"/>
                <w:numId w:val="0"/>
              </w:numPr>
              <w:spacing w:before="0" w:line="281" w:lineRule="auto"/>
              <w:ind w:right="0" w:rightChars="0"/>
              <w:jc w:val="left"/>
              <w:rPr>
                <w:rFonts w:hint="eastAsia" w:cs="宋体"/>
                <w:color w:val="000000" w:themeColor="text1"/>
                <w:spacing w:val="7"/>
                <w:highlight w:val="none"/>
                <w:lang w:val="en-US" w:eastAsia="zh-CN"/>
                <w14:textFill>
                  <w14:solidFill>
                    <w14:schemeClr w14:val="tx1"/>
                  </w14:solidFill>
                </w14:textFill>
              </w:rPr>
            </w:pPr>
            <w:r>
              <w:rPr>
                <w:rFonts w:hint="eastAsia" w:cs="宋体"/>
                <w:color w:val="000000" w:themeColor="text1"/>
                <w:spacing w:val="7"/>
                <w:highlight w:val="none"/>
                <w:lang w:val="en-US" w:eastAsia="zh-CN"/>
                <w14:textFill>
                  <w14:solidFill>
                    <w14:schemeClr w14:val="tx1"/>
                  </w14:solidFill>
                </w14:textFill>
              </w:rPr>
              <w:t>4.同时具有交通建设工程安全、环保监理培训考试合格证书的得2分。</w:t>
            </w:r>
          </w:p>
        </w:tc>
      </w:tr>
      <w:tr w14:paraId="2E892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241" w:type="dxa"/>
            <w:vMerge w:val="continue"/>
            <w:tcBorders>
              <w:top w:val="single" w:color="000000" w:sz="2" w:space="0"/>
            </w:tcBorders>
            <w:vAlign w:val="top"/>
          </w:tcPr>
          <w:p w14:paraId="205BD627">
            <w:pPr>
              <w:rPr>
                <w:rFonts w:ascii="Arial"/>
                <w:color w:val="000000" w:themeColor="text1"/>
                <w:sz w:val="21"/>
                <w:highlight w:val="none"/>
                <w14:textFill>
                  <w14:solidFill>
                    <w14:schemeClr w14:val="tx1"/>
                  </w14:solidFill>
                </w14:textFill>
              </w:rPr>
            </w:pPr>
          </w:p>
        </w:tc>
        <w:tc>
          <w:tcPr>
            <w:tcW w:w="1207" w:type="dxa"/>
            <w:gridSpan w:val="2"/>
            <w:vMerge w:val="continue"/>
            <w:tcBorders>
              <w:top w:val="single" w:color="000000" w:sz="2" w:space="0"/>
            </w:tcBorders>
            <w:vAlign w:val="top"/>
          </w:tcPr>
          <w:p w14:paraId="23AE491E">
            <w:pPr>
              <w:rPr>
                <w:rFonts w:ascii="Arial"/>
                <w:color w:val="000000" w:themeColor="text1"/>
                <w:sz w:val="21"/>
                <w:highlight w:val="none"/>
                <w14:textFill>
                  <w14:solidFill>
                    <w14:schemeClr w14:val="tx1"/>
                  </w14:solidFill>
                </w14:textFill>
              </w:rPr>
            </w:pPr>
          </w:p>
        </w:tc>
        <w:tc>
          <w:tcPr>
            <w:tcW w:w="1066" w:type="dxa"/>
            <w:vMerge w:val="continue"/>
            <w:tcBorders>
              <w:top w:val="single" w:color="000000" w:sz="2" w:space="0"/>
            </w:tcBorders>
            <w:vAlign w:val="top"/>
          </w:tcPr>
          <w:p w14:paraId="0322BBE4">
            <w:pPr>
              <w:rPr>
                <w:rFonts w:ascii="Arial"/>
                <w:color w:val="000000" w:themeColor="text1"/>
                <w:sz w:val="21"/>
                <w:highlight w:val="none"/>
                <w14:textFill>
                  <w14:solidFill>
                    <w14:schemeClr w14:val="tx1"/>
                  </w14:solidFill>
                </w14:textFill>
              </w:rPr>
            </w:pPr>
          </w:p>
        </w:tc>
        <w:tc>
          <w:tcPr>
            <w:tcW w:w="1443" w:type="dxa"/>
            <w:tcBorders>
              <w:top w:val="single" w:color="000000" w:sz="2" w:space="0"/>
            </w:tcBorders>
            <w:vAlign w:val="center"/>
          </w:tcPr>
          <w:p w14:paraId="41F31844">
            <w:pPr>
              <w:pStyle w:val="8"/>
              <w:spacing w:before="141" w:line="283" w:lineRule="auto"/>
              <w:ind w:right="-52" w:rightChars="0"/>
              <w:jc w:val="center"/>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其他主要监理人员</w:t>
            </w:r>
          </w:p>
        </w:tc>
        <w:tc>
          <w:tcPr>
            <w:tcW w:w="901" w:type="dxa"/>
            <w:tcBorders>
              <w:top w:val="single" w:color="000000" w:sz="2" w:space="0"/>
            </w:tcBorders>
            <w:vAlign w:val="center"/>
          </w:tcPr>
          <w:p w14:paraId="0C7A807F">
            <w:pPr>
              <w:pStyle w:val="8"/>
              <w:numPr>
                <w:ilvl w:val="-1"/>
                <w:numId w:val="0"/>
              </w:numPr>
              <w:spacing w:before="144" w:line="282" w:lineRule="auto"/>
              <w:ind w:right="181"/>
              <w:jc w:val="center"/>
              <w:rPr>
                <w:rFonts w:hint="eastAsia"/>
                <w:color w:val="000000" w:themeColor="text1"/>
                <w:spacing w:val="7"/>
                <w:highlight w:val="none"/>
                <w:u w:val="none"/>
                <w:lang w:eastAsia="zh-CN"/>
                <w14:textFill>
                  <w14:solidFill>
                    <w14:schemeClr w14:val="tx1"/>
                  </w14:solidFill>
                </w14:textFill>
              </w:rPr>
            </w:pPr>
            <w:r>
              <w:rPr>
                <w:rFonts w:hint="eastAsia"/>
                <w:color w:val="000000" w:themeColor="text1"/>
                <w:spacing w:val="7"/>
                <w:highlight w:val="none"/>
                <w:u w:val="none"/>
                <w:lang w:val="en-US" w:eastAsia="zh-CN"/>
                <w14:textFill>
                  <w14:solidFill>
                    <w14:schemeClr w14:val="tx1"/>
                  </w14:solidFill>
                </w14:textFill>
              </w:rPr>
              <w:t>5</w:t>
            </w:r>
            <w:r>
              <w:rPr>
                <w:rFonts w:hint="eastAsia"/>
                <w:color w:val="000000" w:themeColor="text1"/>
                <w:spacing w:val="7"/>
                <w:highlight w:val="none"/>
                <w:u w:val="none"/>
                <w:lang w:eastAsia="zh-CN"/>
                <w14:textFill>
                  <w14:solidFill>
                    <w14:schemeClr w14:val="tx1"/>
                  </w14:solidFill>
                </w14:textFill>
              </w:rPr>
              <w:t>分</w:t>
            </w:r>
          </w:p>
        </w:tc>
        <w:tc>
          <w:tcPr>
            <w:tcW w:w="4064" w:type="dxa"/>
            <w:tcBorders>
              <w:top w:val="single" w:color="000000" w:sz="2" w:space="0"/>
            </w:tcBorders>
            <w:vAlign w:val="center"/>
          </w:tcPr>
          <w:p w14:paraId="44EE861A">
            <w:pPr>
              <w:pStyle w:val="8"/>
              <w:numPr>
                <w:ilvl w:val="-1"/>
                <w:numId w:val="0"/>
              </w:numPr>
              <w:spacing w:before="0" w:line="281" w:lineRule="auto"/>
              <w:ind w:right="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w:t>
            </w:r>
            <w:r>
              <w:rPr>
                <w:rFonts w:hint="eastAsia" w:cs="宋体"/>
                <w:color w:val="auto"/>
                <w:szCs w:val="24"/>
                <w:highlight w:val="none"/>
                <w:lang w:val="en-US" w:eastAsia="zh-CN"/>
              </w:rPr>
              <w:t>.</w:t>
            </w:r>
            <w:r>
              <w:rPr>
                <w:rFonts w:hint="eastAsia" w:ascii="宋体" w:hAnsi="宋体" w:eastAsia="宋体" w:cs="宋体"/>
                <w:color w:val="auto"/>
                <w:spacing w:val="0"/>
                <w:sz w:val="20"/>
                <w:szCs w:val="24"/>
                <w:highlight w:val="none"/>
                <w:u w:val="none"/>
                <w:lang w:val="en-US" w:eastAsia="zh-CN"/>
              </w:rPr>
              <w:t>专业监理工程师中</w:t>
            </w:r>
            <w:r>
              <w:rPr>
                <w:rFonts w:hint="eastAsia" w:ascii="宋体" w:hAnsi="宋体" w:eastAsia="宋体" w:cs="宋体"/>
                <w:b w:val="0"/>
                <w:bCs w:val="0"/>
                <w:color w:val="auto"/>
                <w:spacing w:val="0"/>
                <w:szCs w:val="24"/>
                <w:highlight w:val="none"/>
                <w:u w:val="none"/>
                <w:lang w:eastAsia="zh-CN"/>
              </w:rPr>
              <w:t>具有工程类专业</w:t>
            </w:r>
            <w:r>
              <w:rPr>
                <w:rFonts w:hint="eastAsia" w:ascii="宋体" w:hAnsi="宋体" w:eastAsia="宋体" w:cs="宋体"/>
                <w:b w:val="0"/>
                <w:bCs w:val="0"/>
                <w:color w:val="auto"/>
                <w:spacing w:val="0"/>
                <w:szCs w:val="24"/>
                <w:highlight w:val="none"/>
                <w:u w:val="none"/>
                <w:lang w:val="en-US" w:eastAsia="zh-CN"/>
              </w:rPr>
              <w:t>高</w:t>
            </w:r>
            <w:r>
              <w:rPr>
                <w:rFonts w:hint="eastAsia" w:ascii="宋体" w:hAnsi="宋体" w:eastAsia="宋体" w:cs="宋体"/>
                <w:b w:val="0"/>
                <w:bCs w:val="0"/>
                <w:color w:val="auto"/>
                <w:spacing w:val="0"/>
                <w:szCs w:val="24"/>
                <w:highlight w:val="none"/>
                <w:u w:val="none"/>
                <w:lang w:eastAsia="zh-CN"/>
              </w:rPr>
              <w:t>级或以上职称，</w:t>
            </w:r>
            <w:r>
              <w:rPr>
                <w:rFonts w:hint="eastAsia" w:ascii="宋体" w:hAnsi="宋体" w:eastAsia="宋体" w:cs="宋体"/>
                <w:b w:val="0"/>
                <w:bCs w:val="0"/>
                <w:color w:val="auto"/>
                <w:spacing w:val="0"/>
                <w:szCs w:val="24"/>
                <w:highlight w:val="none"/>
                <w:u w:val="none"/>
                <w:lang w:val="en-US" w:eastAsia="zh-CN"/>
              </w:rPr>
              <w:t>每人得1分，最高得</w:t>
            </w:r>
            <w:r>
              <w:rPr>
                <w:rFonts w:hint="eastAsia" w:ascii="宋体" w:hAnsi="宋体" w:eastAsia="宋体" w:cs="宋体"/>
                <w:b w:val="0"/>
                <w:bCs w:val="0"/>
                <w:color w:val="auto"/>
                <w:spacing w:val="0"/>
                <w:szCs w:val="24"/>
                <w:highlight w:val="none"/>
                <w:u w:val="none" w:color="auto"/>
                <w:lang w:val="en-US" w:eastAsia="zh-CN"/>
              </w:rPr>
              <w:t>2</w:t>
            </w:r>
            <w:r>
              <w:rPr>
                <w:rFonts w:hint="eastAsia" w:ascii="宋体" w:hAnsi="宋体" w:eastAsia="宋体" w:cs="宋体"/>
                <w:b w:val="0"/>
                <w:bCs w:val="0"/>
                <w:color w:val="auto"/>
                <w:spacing w:val="0"/>
                <w:szCs w:val="24"/>
                <w:highlight w:val="none"/>
                <w:u w:val="none"/>
                <w:lang w:val="en-US" w:eastAsia="zh-CN"/>
              </w:rPr>
              <w:t>分</w:t>
            </w:r>
            <w:r>
              <w:rPr>
                <w:rFonts w:hint="eastAsia" w:ascii="宋体" w:hAnsi="宋体" w:eastAsia="宋体" w:cs="宋体"/>
                <w:b w:val="0"/>
                <w:bCs w:val="0"/>
                <w:color w:val="auto"/>
                <w:spacing w:val="0"/>
                <w:szCs w:val="24"/>
                <w:highlight w:val="none"/>
                <w:u w:val="none"/>
                <w:lang w:eastAsia="zh-CN"/>
              </w:rPr>
              <w:t>。</w:t>
            </w:r>
          </w:p>
          <w:p w14:paraId="19B8B9EC">
            <w:pPr>
              <w:pStyle w:val="8"/>
              <w:numPr>
                <w:ilvl w:val="0"/>
                <w:numId w:val="0"/>
              </w:numPr>
              <w:spacing w:before="0" w:line="281" w:lineRule="auto"/>
              <w:ind w:right="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w:t>
            </w:r>
            <w:r>
              <w:rPr>
                <w:rFonts w:hint="eastAsia" w:cs="宋体"/>
                <w:color w:val="auto"/>
                <w:szCs w:val="24"/>
                <w:highlight w:val="none"/>
                <w:lang w:val="en-US" w:eastAsia="zh-CN"/>
              </w:rPr>
              <w:t>.</w:t>
            </w:r>
            <w:r>
              <w:rPr>
                <w:rFonts w:hint="eastAsia" w:ascii="宋体" w:hAnsi="宋体" w:eastAsia="宋体" w:cs="宋体"/>
                <w:color w:val="auto"/>
                <w:szCs w:val="24"/>
                <w:highlight w:val="none"/>
              </w:rPr>
              <w:t>测量工程师同时具有测绘相关专业中级或以上职称、注册测绘师注册证书的</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需提供注册登记截图，否则本项不得分</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得2分。本项最多得2分。</w:t>
            </w:r>
          </w:p>
          <w:p w14:paraId="15FCB96D">
            <w:pPr>
              <w:pStyle w:val="8"/>
              <w:numPr>
                <w:ilvl w:val="-1"/>
                <w:numId w:val="0"/>
              </w:numPr>
              <w:spacing w:before="0" w:line="281" w:lineRule="auto"/>
              <w:ind w:right="0"/>
              <w:jc w:val="both"/>
              <w:rPr>
                <w:rFonts w:hint="eastAsia" w:ascii="宋体" w:hAnsi="宋体" w:eastAsia="宋体" w:cs="宋体"/>
                <w:color w:val="000000" w:themeColor="text1"/>
                <w:spacing w:val="7"/>
                <w:highlight w:val="none"/>
                <w:u w:val="none"/>
                <w:lang w:eastAsia="zh-CN"/>
                <w14:textFill>
                  <w14:solidFill>
                    <w14:schemeClr w14:val="tx1"/>
                  </w14:solidFill>
                </w14:textFill>
              </w:rPr>
            </w:pPr>
            <w:r>
              <w:rPr>
                <w:rFonts w:hint="eastAsia" w:ascii="宋体" w:hAnsi="宋体" w:eastAsia="宋体" w:cs="宋体"/>
                <w:color w:val="auto"/>
                <w:szCs w:val="24"/>
                <w:highlight w:val="none"/>
                <w:lang w:val="en-US" w:eastAsia="zh-CN"/>
              </w:rPr>
              <w:t>3</w:t>
            </w:r>
            <w:r>
              <w:rPr>
                <w:rFonts w:hint="eastAsia" w:cs="宋体"/>
                <w:color w:val="auto"/>
                <w:szCs w:val="24"/>
                <w:highlight w:val="none"/>
                <w:lang w:val="en-US" w:eastAsia="zh-CN"/>
              </w:rPr>
              <w:t>.</w:t>
            </w:r>
            <w:r>
              <w:rPr>
                <w:rFonts w:hint="eastAsia" w:ascii="宋体" w:hAnsi="宋体" w:eastAsia="宋体" w:cs="宋体"/>
                <w:color w:val="auto"/>
                <w:szCs w:val="24"/>
                <w:highlight w:val="none"/>
              </w:rPr>
              <w:t>档案及竣工资料负责人同时具有档案管理相关专业中级或以上职称、市级或以上档案管理部门颁发的档案专业人员岗位职务培训证书得</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分。本项最多得</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分。</w:t>
            </w:r>
          </w:p>
        </w:tc>
      </w:tr>
      <w:tr w14:paraId="5146E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1" w:hRule="atLeast"/>
        </w:trPr>
        <w:tc>
          <w:tcPr>
            <w:tcW w:w="1241" w:type="dxa"/>
            <w:vAlign w:val="center"/>
          </w:tcPr>
          <w:p w14:paraId="7996C818">
            <w:pPr>
              <w:pStyle w:val="8"/>
              <w:spacing w:before="65" w:line="369" w:lineRule="auto"/>
              <w:ind w:right="199"/>
              <w:jc w:val="center"/>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 xml:space="preserve">2.2.4 </w:t>
            </w:r>
            <w:r>
              <w:rPr>
                <w:color w:val="000000" w:themeColor="text1"/>
                <w:spacing w:val="-10"/>
                <w:highlight w:val="none"/>
                <w14:textFill>
                  <w14:solidFill>
                    <w14:schemeClr w14:val="tx1"/>
                  </w14:solidFill>
                </w14:textFill>
              </w:rPr>
              <w:t>(3)</w:t>
            </w:r>
          </w:p>
        </w:tc>
        <w:tc>
          <w:tcPr>
            <w:tcW w:w="1207" w:type="dxa"/>
            <w:gridSpan w:val="2"/>
            <w:vAlign w:val="center"/>
          </w:tcPr>
          <w:p w14:paraId="7DC44032">
            <w:pPr>
              <w:pStyle w:val="8"/>
              <w:spacing w:before="65" w:line="226" w:lineRule="auto"/>
              <w:jc w:val="center"/>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评标价</w:t>
            </w:r>
          </w:p>
        </w:tc>
        <w:tc>
          <w:tcPr>
            <w:tcW w:w="1066" w:type="dxa"/>
            <w:vAlign w:val="center"/>
          </w:tcPr>
          <w:p w14:paraId="3041775B">
            <w:pPr>
              <w:pStyle w:val="8"/>
              <w:tabs>
                <w:tab w:val="left" w:pos="455"/>
              </w:tabs>
              <w:spacing w:before="65" w:line="228" w:lineRule="auto"/>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12</w:t>
            </w:r>
            <w:r>
              <w:rPr>
                <w:color w:val="000000" w:themeColor="text1"/>
                <w:highlight w:val="none"/>
                <w14:textFill>
                  <w14:solidFill>
                    <w14:schemeClr w14:val="tx1"/>
                  </w14:solidFill>
                </w14:textFill>
              </w:rPr>
              <w:t>分</w:t>
            </w:r>
          </w:p>
        </w:tc>
        <w:tc>
          <w:tcPr>
            <w:tcW w:w="6408" w:type="dxa"/>
            <w:gridSpan w:val="3"/>
            <w:vAlign w:val="top"/>
          </w:tcPr>
          <w:p w14:paraId="62769E53">
            <w:pPr>
              <w:pStyle w:val="8"/>
              <w:keepNext w:val="0"/>
              <w:keepLines w:val="0"/>
              <w:pageBreakBefore w:val="0"/>
              <w:widowControl/>
              <w:kinsoku/>
              <w:wordWrap/>
              <w:overflowPunct/>
              <w:topLinePunct w:val="0"/>
              <w:autoSpaceDE/>
              <w:autoSpaceDN/>
              <w:bidi w:val="0"/>
              <w:adjustRightInd w:val="0"/>
              <w:snapToGrid w:val="0"/>
              <w:spacing w:before="34" w:line="226" w:lineRule="auto"/>
              <w:ind w:left="113"/>
              <w:textAlignment w:val="baseline"/>
              <w:rPr>
                <w:color w:val="000000" w:themeColor="text1"/>
                <w:spacing w:val="8"/>
                <w:highlight w:val="none"/>
                <w14:textFill>
                  <w14:solidFill>
                    <w14:schemeClr w14:val="tx1"/>
                  </w14:solidFill>
                </w14:textFill>
              </w:rPr>
            </w:pPr>
            <w:r>
              <w:rPr>
                <w:color w:val="000000" w:themeColor="text1"/>
                <w:spacing w:val="8"/>
                <w:highlight w:val="none"/>
                <w14:textFill>
                  <w14:solidFill>
                    <w14:schemeClr w14:val="tx1"/>
                  </w14:solidFill>
                </w14:textFill>
              </w:rPr>
              <w:t>评标价得分计算公式示例：</w:t>
            </w:r>
          </w:p>
          <w:p w14:paraId="34F7A335">
            <w:pPr>
              <w:pStyle w:val="8"/>
              <w:keepNext w:val="0"/>
              <w:keepLines w:val="0"/>
              <w:pageBreakBefore w:val="0"/>
              <w:widowControl/>
              <w:kinsoku/>
              <w:wordWrap/>
              <w:overflowPunct/>
              <w:topLinePunct w:val="0"/>
              <w:autoSpaceDE/>
              <w:autoSpaceDN/>
              <w:bidi w:val="0"/>
              <w:adjustRightInd w:val="0"/>
              <w:snapToGrid w:val="0"/>
              <w:spacing w:before="34" w:line="226" w:lineRule="auto"/>
              <w:jc w:val="both"/>
              <w:textAlignment w:val="baseline"/>
              <w:rPr>
                <w:rFonts w:hint="eastAsia"/>
                <w:color w:val="000000" w:themeColor="text1"/>
                <w:spacing w:val="-2"/>
                <w:highlight w:val="none"/>
                <w:lang w:val="en-US" w:eastAsia="zh-CN"/>
                <w14:textFill>
                  <w14:solidFill>
                    <w14:schemeClr w14:val="tx1"/>
                  </w14:solidFill>
                </w14:textFill>
              </w:rPr>
            </w:pPr>
            <w:r>
              <w:rPr>
                <w:rFonts w:hint="eastAsia"/>
                <w:color w:val="000000" w:themeColor="text1"/>
                <w:spacing w:val="11"/>
                <w:highlight w:val="none"/>
                <w:lang w:eastAsia="zh-CN"/>
                <w14:textFill>
                  <w14:solidFill>
                    <w14:schemeClr w14:val="tx1"/>
                  </w14:solidFill>
                </w14:textFill>
              </w:rPr>
              <w:t>（</w:t>
            </w:r>
            <w:r>
              <w:rPr>
                <w:rFonts w:hint="eastAsia"/>
                <w:color w:val="000000" w:themeColor="text1"/>
                <w:spacing w:val="11"/>
                <w:highlight w:val="none"/>
                <w:lang w:val="en-US" w:eastAsia="zh-CN"/>
                <w14:textFill>
                  <w14:solidFill>
                    <w14:schemeClr w14:val="tx1"/>
                  </w14:solidFill>
                </w14:textFill>
              </w:rPr>
              <w:t>1</w:t>
            </w:r>
            <w:r>
              <w:rPr>
                <w:rFonts w:hint="eastAsia"/>
                <w:color w:val="000000" w:themeColor="text1"/>
                <w:spacing w:val="11"/>
                <w:highlight w:val="none"/>
                <w:lang w:eastAsia="zh-CN"/>
                <w14:textFill>
                  <w14:solidFill>
                    <w14:schemeClr w14:val="tx1"/>
                  </w14:solidFill>
                </w14:textFill>
              </w:rPr>
              <w:t>）</w:t>
            </w:r>
            <w:r>
              <w:rPr>
                <w:color w:val="000000" w:themeColor="text1"/>
                <w:spacing w:val="11"/>
                <w:highlight w:val="none"/>
                <w14:textFill>
                  <w14:solidFill>
                    <w14:schemeClr w14:val="tx1"/>
                  </w14:solidFill>
                </w14:textFill>
              </w:rPr>
              <w:t>如果投标人的评标价&gt;评标基准价，则评</w:t>
            </w:r>
            <w:r>
              <w:rPr>
                <w:color w:val="000000" w:themeColor="text1"/>
                <w:spacing w:val="10"/>
                <w:highlight w:val="none"/>
                <w14:textFill>
                  <w14:solidFill>
                    <w14:schemeClr w14:val="tx1"/>
                  </w14:solidFill>
                </w14:textFill>
              </w:rPr>
              <w:t>标价得分＝F</w:t>
            </w:r>
            <w:r>
              <w:rPr>
                <w:rFonts w:hint="eastAsia"/>
                <w:color w:val="000000" w:themeColor="text1"/>
                <w:spacing w:val="10"/>
                <w:highlight w:val="none"/>
                <w:lang w:val="en-US" w:eastAsia="zh-CN"/>
                <w14:textFill>
                  <w14:solidFill>
                    <w14:schemeClr w14:val="tx1"/>
                  </w14:solidFill>
                </w14:textFill>
              </w:rPr>
              <w:t>-</w:t>
            </w:r>
            <w:r>
              <w:rPr>
                <w:color w:val="000000" w:themeColor="text1"/>
                <w:spacing w:val="10"/>
                <w:highlight w:val="none"/>
                <w14:textFill>
                  <w14:solidFill>
                    <w14:schemeClr w14:val="tx1"/>
                  </w14:solidFill>
                </w14:textFill>
              </w:rPr>
              <w:t>偏</w:t>
            </w:r>
            <w:r>
              <w:rPr>
                <w:color w:val="000000" w:themeColor="text1"/>
                <w:spacing w:val="7"/>
                <w:highlight w:val="none"/>
                <w14:textFill>
                  <w14:solidFill>
                    <w14:schemeClr w14:val="tx1"/>
                  </w14:solidFill>
                </w14:textFill>
              </w:rPr>
              <w:t>差率×100×D1</w:t>
            </w:r>
            <w:r>
              <w:rPr>
                <w:rFonts w:hint="eastAsia"/>
                <w:color w:val="000000" w:themeColor="text1"/>
                <w:spacing w:val="7"/>
                <w:highlight w:val="none"/>
                <w:lang w:eastAsia="zh-CN"/>
                <w14:textFill>
                  <w14:solidFill>
                    <w14:schemeClr w14:val="tx1"/>
                  </w14:solidFill>
                </w14:textFill>
              </w:rPr>
              <w:t>，</w:t>
            </w:r>
            <w:r>
              <w:rPr>
                <w:color w:val="000000" w:themeColor="text1"/>
                <w:spacing w:val="7"/>
                <w:highlight w:val="none"/>
                <w14:textFill>
                  <w14:solidFill>
                    <w14:schemeClr w14:val="tx1"/>
                  </w14:solidFill>
                </w14:textFill>
              </w:rPr>
              <w:t>D1取</w:t>
            </w:r>
            <w:r>
              <w:rPr>
                <w:rFonts w:hint="eastAsia"/>
                <w:color w:val="000000" w:themeColor="text1"/>
                <w:spacing w:val="7"/>
                <w:highlight w:val="none"/>
                <w:lang w:val="en-US" w:eastAsia="zh-CN"/>
                <w14:textFill>
                  <w14:solidFill>
                    <w14:schemeClr w14:val="tx1"/>
                  </w14:solidFill>
                </w14:textFill>
              </w:rPr>
              <w:t>0.2</w:t>
            </w:r>
            <w:r>
              <w:rPr>
                <w:color w:val="000000" w:themeColor="text1"/>
                <w:spacing w:val="-2"/>
                <w:highlight w:val="none"/>
                <w14:textFill>
                  <w14:solidFill>
                    <w14:schemeClr w14:val="tx1"/>
                  </w14:solidFill>
                </w14:textFill>
              </w:rPr>
              <w:t>；</w:t>
            </w:r>
          </w:p>
          <w:p w14:paraId="6D8B4130">
            <w:pPr>
              <w:pStyle w:val="8"/>
              <w:keepNext w:val="0"/>
              <w:keepLines w:val="0"/>
              <w:pageBreakBefore w:val="0"/>
              <w:widowControl/>
              <w:numPr>
                <w:ilvl w:val="0"/>
                <w:numId w:val="0"/>
              </w:numPr>
              <w:kinsoku/>
              <w:wordWrap/>
              <w:overflowPunct/>
              <w:topLinePunct w:val="0"/>
              <w:autoSpaceDE/>
              <w:autoSpaceDN/>
              <w:bidi w:val="0"/>
              <w:adjustRightInd w:val="0"/>
              <w:snapToGrid w:val="0"/>
              <w:spacing w:before="34" w:line="226" w:lineRule="auto"/>
              <w:jc w:val="both"/>
              <w:textAlignment w:val="baseline"/>
              <w:rPr>
                <w:color w:val="000000" w:themeColor="text1"/>
                <w:spacing w:val="3"/>
                <w:highlight w:val="none"/>
                <w14:textFill>
                  <w14:solidFill>
                    <w14:schemeClr w14:val="tx1"/>
                  </w14:solidFill>
                </w14:textFill>
              </w:rPr>
            </w:pPr>
            <w:r>
              <w:rPr>
                <w:rFonts w:hint="eastAsia"/>
                <w:color w:val="000000" w:themeColor="text1"/>
                <w:spacing w:val="17"/>
                <w:highlight w:val="none"/>
                <w:lang w:eastAsia="zh-CN"/>
                <w14:textFill>
                  <w14:solidFill>
                    <w14:schemeClr w14:val="tx1"/>
                  </w14:solidFill>
                </w14:textFill>
              </w:rPr>
              <w:t>（</w:t>
            </w:r>
            <w:r>
              <w:rPr>
                <w:rFonts w:hint="eastAsia"/>
                <w:color w:val="000000" w:themeColor="text1"/>
                <w:spacing w:val="17"/>
                <w:highlight w:val="none"/>
                <w:lang w:val="en-US" w:eastAsia="zh-CN"/>
                <w14:textFill>
                  <w14:solidFill>
                    <w14:schemeClr w14:val="tx1"/>
                  </w14:solidFill>
                </w14:textFill>
              </w:rPr>
              <w:t>2</w:t>
            </w:r>
            <w:r>
              <w:rPr>
                <w:rFonts w:hint="eastAsia"/>
                <w:color w:val="000000" w:themeColor="text1"/>
                <w:spacing w:val="17"/>
                <w:highlight w:val="none"/>
                <w:lang w:eastAsia="zh-CN"/>
                <w14:textFill>
                  <w14:solidFill>
                    <w14:schemeClr w14:val="tx1"/>
                  </w14:solidFill>
                </w14:textFill>
              </w:rPr>
              <w:t>）</w:t>
            </w:r>
            <w:r>
              <w:rPr>
                <w:color w:val="000000" w:themeColor="text1"/>
                <w:spacing w:val="17"/>
                <w:highlight w:val="none"/>
                <w14:textFill>
                  <w14:solidFill>
                    <w14:schemeClr w14:val="tx1"/>
                  </w14:solidFill>
                </w14:textFill>
              </w:rPr>
              <w:t>如果投标人的评标价≤评标基准价，则评标价得分＝F</w:t>
            </w:r>
            <w:r>
              <w:rPr>
                <w:rFonts w:hint="eastAsia"/>
                <w:color w:val="000000" w:themeColor="text1"/>
                <w:spacing w:val="17"/>
                <w:highlight w:val="none"/>
                <w:lang w:val="en-US" w:eastAsia="zh-CN"/>
                <w14:textFill>
                  <w14:solidFill>
                    <w14:schemeClr w14:val="tx1"/>
                  </w14:solidFill>
                </w14:textFill>
              </w:rPr>
              <w:t>+</w:t>
            </w:r>
            <w:r>
              <w:rPr>
                <w:color w:val="000000" w:themeColor="text1"/>
                <w:spacing w:val="8"/>
                <w:highlight w:val="none"/>
                <w14:textFill>
                  <w14:solidFill>
                    <w14:schemeClr w14:val="tx1"/>
                  </w14:solidFill>
                </w14:textFill>
              </w:rPr>
              <w:t>偏差率×</w:t>
            </w:r>
            <w:r>
              <w:rPr>
                <w:color w:val="000000" w:themeColor="text1"/>
                <w:spacing w:val="-77"/>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100×D2</w:t>
            </w:r>
            <w:r>
              <w:rPr>
                <w:rFonts w:hint="eastAsia"/>
                <w:color w:val="000000" w:themeColor="text1"/>
                <w:spacing w:val="8"/>
                <w:highlight w:val="none"/>
                <w:lang w:eastAsia="zh-CN"/>
                <w14:textFill>
                  <w14:solidFill>
                    <w14:schemeClr w14:val="tx1"/>
                  </w14:solidFill>
                </w14:textFill>
              </w:rPr>
              <w:t>，</w:t>
            </w:r>
            <w:r>
              <w:rPr>
                <w:color w:val="000000" w:themeColor="text1"/>
                <w:spacing w:val="8"/>
                <w:highlight w:val="none"/>
                <w14:textFill>
                  <w14:solidFill>
                    <w14:schemeClr w14:val="tx1"/>
                  </w14:solidFill>
                </w14:textFill>
              </w:rPr>
              <w:t>D2</w:t>
            </w:r>
            <w:r>
              <w:rPr>
                <w:color w:val="000000" w:themeColor="text1"/>
                <w:spacing w:val="-32"/>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宜取</w:t>
            </w:r>
            <w:r>
              <w:rPr>
                <w:rFonts w:hint="eastAsia"/>
                <w:color w:val="000000" w:themeColor="text1"/>
                <w:spacing w:val="8"/>
                <w:highlight w:val="none"/>
                <w:lang w:val="en-US" w:eastAsia="zh-CN"/>
                <w14:textFill>
                  <w14:solidFill>
                    <w14:schemeClr w14:val="tx1"/>
                  </w14:solidFill>
                </w14:textFill>
              </w:rPr>
              <w:t>0.1</w:t>
            </w:r>
            <w:r>
              <w:rPr>
                <w:color w:val="000000" w:themeColor="text1"/>
                <w:spacing w:val="3"/>
                <w:highlight w:val="none"/>
                <w14:textFill>
                  <w14:solidFill>
                    <w14:schemeClr w14:val="tx1"/>
                  </w14:solidFill>
                </w14:textFill>
              </w:rPr>
              <w:t>。</w:t>
            </w:r>
          </w:p>
          <w:p w14:paraId="71D601D8">
            <w:pPr>
              <w:pStyle w:val="8"/>
              <w:keepNext w:val="0"/>
              <w:keepLines w:val="0"/>
              <w:pageBreakBefore w:val="0"/>
              <w:widowControl/>
              <w:numPr>
                <w:ilvl w:val="0"/>
                <w:numId w:val="0"/>
              </w:numPr>
              <w:kinsoku/>
              <w:wordWrap/>
              <w:overflowPunct/>
              <w:topLinePunct w:val="0"/>
              <w:autoSpaceDE/>
              <w:autoSpaceDN/>
              <w:bidi w:val="0"/>
              <w:adjustRightInd w:val="0"/>
              <w:snapToGrid w:val="0"/>
              <w:spacing w:before="34" w:line="226" w:lineRule="auto"/>
              <w:textAlignment w:val="baseline"/>
              <w:rPr>
                <w:color w:val="000000" w:themeColor="text1"/>
                <w:spacing w:val="4"/>
                <w:highlight w:val="none"/>
                <w14:textFill>
                  <w14:solidFill>
                    <w14:schemeClr w14:val="tx1"/>
                  </w14:solidFill>
                </w14:textFill>
              </w:rPr>
            </w:pPr>
            <w:r>
              <w:rPr>
                <w:color w:val="000000" w:themeColor="text1"/>
                <w:spacing w:val="4"/>
                <w:highlight w:val="none"/>
                <w14:textFill>
                  <w14:solidFill>
                    <w14:schemeClr w14:val="tx1"/>
                  </w14:solidFill>
                </w14:textFill>
              </w:rPr>
              <w:t>其中：F</w:t>
            </w:r>
            <w:r>
              <w:rPr>
                <w:color w:val="000000" w:themeColor="text1"/>
                <w:spacing w:val="-35"/>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为评标价分值。</w:t>
            </w:r>
          </w:p>
          <w:p w14:paraId="446CD1D0">
            <w:pPr>
              <w:pStyle w:val="8"/>
              <w:keepNext w:val="0"/>
              <w:keepLines w:val="0"/>
              <w:pageBreakBefore w:val="0"/>
              <w:widowControl/>
              <w:numPr>
                <w:ilvl w:val="0"/>
                <w:numId w:val="0"/>
              </w:numPr>
              <w:kinsoku/>
              <w:wordWrap/>
              <w:overflowPunct/>
              <w:topLinePunct w:val="0"/>
              <w:autoSpaceDE/>
              <w:autoSpaceDN/>
              <w:bidi w:val="0"/>
              <w:adjustRightInd w:val="0"/>
              <w:snapToGrid w:val="0"/>
              <w:spacing w:before="34" w:line="226" w:lineRule="auto"/>
              <w:textAlignment w:val="baseline"/>
              <w:rPr>
                <w:color w:val="000000" w:themeColor="text1"/>
                <w:highlight w:val="none"/>
                <w14:textFill>
                  <w14:solidFill>
                    <w14:schemeClr w14:val="tx1"/>
                  </w14:solidFill>
                </w14:textFill>
              </w:rPr>
            </w:pPr>
            <w:r>
              <w:rPr>
                <w:color w:val="000000" w:themeColor="text1"/>
                <w:spacing w:val="22"/>
                <w:highlight w:val="none"/>
                <w14:textFill>
                  <w14:solidFill>
                    <w14:schemeClr w14:val="tx1"/>
                  </w14:solidFill>
                </w14:textFill>
              </w:rPr>
              <w:t>注：评标价得分计算保留小数点后四位，小数点后第五位</w:t>
            </w:r>
            <w:r>
              <w:rPr>
                <w:rFonts w:hint="eastAsia"/>
                <w:color w:val="000000" w:themeColor="text1"/>
                <w:highlight w:val="none"/>
                <w:lang w:eastAsia="zh-CN"/>
                <w14:textFill>
                  <w14:solidFill>
                    <w14:schemeClr w14:val="tx1"/>
                  </w14:solidFill>
                </w14:textFill>
              </w:rPr>
              <w:t>“</w:t>
            </w:r>
            <w:r>
              <w:rPr>
                <w:color w:val="000000" w:themeColor="text1"/>
                <w:spacing w:val="4"/>
                <w:highlight w:val="none"/>
                <w14:textFill>
                  <w14:solidFill>
                    <w14:schemeClr w14:val="tx1"/>
                  </w14:solidFill>
                </w14:textFill>
              </w:rPr>
              <w:t>四舍五入</w:t>
            </w:r>
            <w:r>
              <w:rPr>
                <w:rFonts w:hint="eastAsia"/>
                <w:color w:val="000000" w:themeColor="text1"/>
                <w:highlight w:val="none"/>
                <w:lang w:eastAsia="zh-CN"/>
                <w14:textFill>
                  <w14:solidFill>
                    <w14:schemeClr w14:val="tx1"/>
                  </w14:solidFill>
                </w14:textFill>
              </w:rPr>
              <w:t>”</w:t>
            </w:r>
            <w:r>
              <w:rPr>
                <w:color w:val="000000" w:themeColor="text1"/>
                <w:spacing w:val="4"/>
                <w:highlight w:val="none"/>
                <w14:textFill>
                  <w14:solidFill>
                    <w14:schemeClr w14:val="tx1"/>
                  </w14:solidFill>
                </w14:textFill>
              </w:rPr>
              <w:t>。</w:t>
            </w:r>
          </w:p>
        </w:tc>
      </w:tr>
      <w:tr w14:paraId="3F276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1241" w:type="dxa"/>
            <w:vMerge w:val="restart"/>
            <w:vAlign w:val="center"/>
          </w:tcPr>
          <w:p w14:paraId="68116BD6">
            <w:pPr>
              <w:pStyle w:val="8"/>
              <w:spacing w:before="190" w:line="189" w:lineRule="auto"/>
              <w:jc w:val="center"/>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2.2.4</w:t>
            </w:r>
            <w:r>
              <w:rPr>
                <w:color w:val="000000" w:themeColor="text1"/>
                <w:spacing w:val="-10"/>
                <w:highlight w:val="none"/>
                <w14:textFill>
                  <w14:solidFill>
                    <w14:schemeClr w14:val="tx1"/>
                  </w14:solidFill>
                </w14:textFill>
              </w:rPr>
              <w:t>(4)</w:t>
            </w:r>
          </w:p>
        </w:tc>
        <w:tc>
          <w:tcPr>
            <w:tcW w:w="1207" w:type="dxa"/>
            <w:gridSpan w:val="2"/>
            <w:vMerge w:val="restart"/>
            <w:vAlign w:val="center"/>
          </w:tcPr>
          <w:p w14:paraId="445A0D77">
            <w:pPr>
              <w:pStyle w:val="8"/>
              <w:spacing w:before="59" w:line="225" w:lineRule="auto"/>
              <w:jc w:val="center"/>
              <w:rPr>
                <w:color w:val="000000" w:themeColor="text1"/>
                <w:sz w:val="14"/>
                <w:szCs w:val="14"/>
                <w:highlight w:val="none"/>
                <w14:textFill>
                  <w14:solidFill>
                    <w14:schemeClr w14:val="tx1"/>
                  </w14:solidFill>
                </w14:textFill>
              </w:rPr>
            </w:pPr>
            <w:bookmarkStart w:id="5" w:name="bookmark99"/>
            <w:bookmarkEnd w:id="5"/>
            <w:bookmarkStart w:id="6" w:name="bookmark100"/>
            <w:bookmarkEnd w:id="6"/>
            <w:r>
              <w:rPr>
                <w:color w:val="000000" w:themeColor="text1"/>
                <w:spacing w:val="7"/>
                <w:highlight w:val="none"/>
                <w14:textFill>
                  <w14:solidFill>
                    <w14:schemeClr w14:val="tx1"/>
                  </w14:solidFill>
                </w14:textFill>
              </w:rPr>
              <w:t>其他因素</w:t>
            </w:r>
          </w:p>
        </w:tc>
        <w:tc>
          <w:tcPr>
            <w:tcW w:w="1066" w:type="dxa"/>
            <w:vMerge w:val="restart"/>
            <w:vAlign w:val="center"/>
          </w:tcPr>
          <w:p w14:paraId="545FB423">
            <w:pPr>
              <w:pStyle w:val="8"/>
              <w:spacing w:before="158" w:line="228" w:lineRule="auto"/>
              <w:ind w:left="466"/>
              <w:jc w:val="both"/>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23</w:t>
            </w:r>
            <w:r>
              <w:rPr>
                <w:color w:val="000000" w:themeColor="text1"/>
                <w:highlight w:val="none"/>
                <w14:textFill>
                  <w14:solidFill>
                    <w14:schemeClr w14:val="tx1"/>
                  </w14:solidFill>
                </w14:textFill>
              </w:rPr>
              <w:t>分</w:t>
            </w:r>
          </w:p>
        </w:tc>
        <w:tc>
          <w:tcPr>
            <w:tcW w:w="1443" w:type="dxa"/>
            <w:vAlign w:val="center"/>
          </w:tcPr>
          <w:p w14:paraId="4E4364A3">
            <w:pPr>
              <w:pStyle w:val="8"/>
              <w:spacing w:before="35" w:line="228" w:lineRule="auto"/>
              <w:jc w:val="center"/>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业绩</w:t>
            </w:r>
          </w:p>
        </w:tc>
        <w:tc>
          <w:tcPr>
            <w:tcW w:w="901" w:type="dxa"/>
            <w:vAlign w:val="center"/>
          </w:tcPr>
          <w:p w14:paraId="5FA70F86">
            <w:pPr>
              <w:pStyle w:val="8"/>
              <w:tabs>
                <w:tab w:val="left" w:pos="422"/>
              </w:tabs>
              <w:spacing w:before="35" w:line="228" w:lineRule="auto"/>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w:t>
            </w:r>
            <w:r>
              <w:rPr>
                <w:color w:val="000000" w:themeColor="text1"/>
                <w:highlight w:val="none"/>
                <w14:textFill>
                  <w14:solidFill>
                    <w14:schemeClr w14:val="tx1"/>
                  </w14:solidFill>
                </w14:textFill>
              </w:rPr>
              <w:t>分</w:t>
            </w:r>
          </w:p>
        </w:tc>
        <w:tc>
          <w:tcPr>
            <w:tcW w:w="4064" w:type="dxa"/>
            <w:vAlign w:val="top"/>
          </w:tcPr>
          <w:p w14:paraId="4AEADB90">
            <w:pPr>
              <w:widowControl w:val="0"/>
              <w:kinsoku/>
              <w:autoSpaceDE/>
              <w:autoSpaceDN/>
              <w:adjustRightInd/>
              <w:snapToGrid w:val="0"/>
              <w:spacing w:line="240" w:lineRule="auto"/>
              <w:jc w:val="both"/>
              <w:textAlignment w:val="auto"/>
              <w:rPr>
                <w:rFonts w:hint="eastAsia" w:ascii="宋体" w:hAnsi="宋体" w:eastAsia="宋体" w:cs="宋体"/>
                <w:snapToGrid w:val="0"/>
                <w:color w:val="000000" w:themeColor="text1"/>
                <w:spacing w:val="22"/>
                <w:kern w:val="0"/>
                <w:sz w:val="20"/>
                <w:szCs w:val="20"/>
                <w:highlight w:val="none"/>
                <w:lang w:val="en-US" w:eastAsia="zh-CN"/>
                <w14:textFill>
                  <w14:solidFill>
                    <w14:schemeClr w14:val="tx1"/>
                  </w14:solidFill>
                </w14:textFill>
              </w:rPr>
            </w:pPr>
            <w:r>
              <w:rPr>
                <w:rFonts w:hint="default" w:ascii="宋体" w:hAnsi="宋体" w:eastAsia="宋体" w:cs="宋体"/>
                <w:color w:val="000000" w:themeColor="text1"/>
                <w:spacing w:val="22"/>
                <w:sz w:val="20"/>
                <w:szCs w:val="20"/>
                <w:highlight w:val="none"/>
                <w:lang w:val="en-US" w:eastAsia="en-US"/>
                <w14:textFill>
                  <w14:solidFill>
                    <w14:schemeClr w14:val="tx1"/>
                  </w14:solidFill>
                </w14:textFill>
              </w:rPr>
              <w:t>1</w:t>
            </w:r>
            <w:r>
              <w:rPr>
                <w:rFonts w:hint="eastAsia" w:ascii="宋体" w:hAnsi="宋体" w:eastAsia="宋体" w:cs="宋体"/>
                <w:color w:val="000000" w:themeColor="text1"/>
                <w:spacing w:val="22"/>
                <w:sz w:val="20"/>
                <w:szCs w:val="20"/>
                <w:highlight w:val="none"/>
                <w:lang w:val="en-US" w:eastAsia="zh-CN"/>
                <w14:textFill>
                  <w14:solidFill>
                    <w14:schemeClr w14:val="tx1"/>
                  </w14:solidFill>
                </w14:textFill>
              </w:rPr>
              <w:t>.</w:t>
            </w:r>
            <w:r>
              <w:rPr>
                <w:rFonts w:hint="default" w:ascii="宋体" w:hAnsi="宋体" w:eastAsia="宋体" w:cs="宋体"/>
                <w:color w:val="000000" w:themeColor="text1"/>
                <w:spacing w:val="22"/>
                <w:sz w:val="20"/>
                <w:szCs w:val="20"/>
                <w:highlight w:val="none"/>
                <w14:textFill>
                  <w14:solidFill>
                    <w14:schemeClr w14:val="tx1"/>
                  </w14:solidFill>
                </w14:textFill>
              </w:rPr>
              <w:t>满足招标文件资格</w:t>
            </w:r>
            <w:r>
              <w:rPr>
                <w:rFonts w:hint="default" w:ascii="宋体" w:hAnsi="宋体" w:eastAsia="宋体" w:cs="宋体"/>
                <w:color w:val="000000" w:themeColor="text1"/>
                <w:spacing w:val="22"/>
                <w:sz w:val="20"/>
                <w:szCs w:val="20"/>
                <w:highlight w:val="none"/>
                <w:lang w:val="en-US" w:eastAsia="en-US"/>
                <w14:textFill>
                  <w14:solidFill>
                    <w14:schemeClr w14:val="tx1"/>
                  </w14:solidFill>
                </w14:textFill>
              </w:rPr>
              <w:t>审查条件（业绩最低要求）的，得6分</w:t>
            </w:r>
            <w:r>
              <w:rPr>
                <w:rFonts w:hint="eastAsia" w:ascii="宋体" w:hAnsi="宋体" w:eastAsia="宋体" w:cs="宋体"/>
                <w:color w:val="000000" w:themeColor="text1"/>
                <w:spacing w:val="22"/>
                <w:sz w:val="20"/>
                <w:szCs w:val="20"/>
                <w:highlight w:val="none"/>
                <w:lang w:val="en-US" w:eastAsia="zh-CN"/>
                <w14:textFill>
                  <w14:solidFill>
                    <w14:schemeClr w14:val="tx1"/>
                  </w14:solidFill>
                </w14:textFill>
              </w:rPr>
              <w:t>。</w:t>
            </w:r>
          </w:p>
          <w:p w14:paraId="42BA8F60">
            <w:pPr>
              <w:widowControl w:val="0"/>
              <w:kinsoku/>
              <w:autoSpaceDE/>
              <w:autoSpaceDN/>
              <w:adjustRightInd/>
              <w:snapToGrid w:val="0"/>
              <w:spacing w:line="240" w:lineRule="auto"/>
              <w:jc w:val="both"/>
              <w:textAlignment w:val="auto"/>
              <w:rPr>
                <w:rFonts w:hint="default" w:ascii="宋体" w:hAnsi="宋体" w:eastAsia="宋体" w:cs="宋体"/>
                <w:snapToGrid w:val="0"/>
                <w:color w:val="000000" w:themeColor="text1"/>
                <w:spacing w:val="22"/>
                <w:kern w:val="0"/>
                <w:sz w:val="20"/>
                <w:szCs w:val="20"/>
                <w:highlight w:val="none"/>
                <w:lang w:eastAsia="en-US"/>
                <w14:textFill>
                  <w14:solidFill>
                    <w14:schemeClr w14:val="tx1"/>
                  </w14:solidFill>
                </w14:textFill>
              </w:rPr>
            </w:pPr>
            <w:r>
              <w:rPr>
                <w:rFonts w:hint="default" w:ascii="宋体" w:hAnsi="宋体" w:eastAsia="宋体" w:cs="宋体"/>
                <w:snapToGrid w:val="0"/>
                <w:color w:val="000000" w:themeColor="text1"/>
                <w:spacing w:val="22"/>
                <w:kern w:val="0"/>
                <w:sz w:val="20"/>
                <w:szCs w:val="20"/>
                <w:highlight w:val="none"/>
                <w:lang w:val="en-US" w:eastAsia="en-US"/>
                <w14:textFill>
                  <w14:solidFill>
                    <w14:schemeClr w14:val="tx1"/>
                  </w14:solidFill>
                </w14:textFill>
              </w:rPr>
              <w:t>2</w:t>
            </w:r>
            <w:r>
              <w:rPr>
                <w:rFonts w:hint="eastAsia" w:ascii="宋体" w:hAnsi="宋体" w:eastAsia="宋体" w:cs="宋体"/>
                <w:snapToGrid w:val="0"/>
                <w:color w:val="000000" w:themeColor="text1"/>
                <w:spacing w:val="22"/>
                <w:kern w:val="0"/>
                <w:sz w:val="20"/>
                <w:szCs w:val="20"/>
                <w:highlight w:val="none"/>
                <w:lang w:val="en-US" w:eastAsia="zh-CN"/>
                <w14:textFill>
                  <w14:solidFill>
                    <w14:schemeClr w14:val="tx1"/>
                  </w14:solidFill>
                </w14:textFill>
              </w:rPr>
              <w:t>.</w:t>
            </w:r>
            <w:r>
              <w:rPr>
                <w:rFonts w:hint="default" w:ascii="宋体" w:hAnsi="宋体" w:eastAsia="宋体" w:cs="宋体"/>
                <w:snapToGrid w:val="0"/>
                <w:color w:val="000000" w:themeColor="text1"/>
                <w:spacing w:val="22"/>
                <w:kern w:val="0"/>
                <w:sz w:val="20"/>
                <w:szCs w:val="20"/>
                <w:highlight w:val="none"/>
                <w:lang w:eastAsia="en-US"/>
                <w14:textFill>
                  <w14:solidFill>
                    <w14:schemeClr w14:val="tx1"/>
                  </w14:solidFill>
                </w14:textFill>
              </w:rPr>
              <w:t>20</w:t>
            </w:r>
            <w:r>
              <w:rPr>
                <w:rFonts w:hint="default" w:ascii="宋体" w:hAnsi="宋体" w:eastAsia="宋体" w:cs="宋体"/>
                <w:snapToGrid w:val="0"/>
                <w:color w:val="000000" w:themeColor="text1"/>
                <w:spacing w:val="22"/>
                <w:kern w:val="0"/>
                <w:sz w:val="20"/>
                <w:szCs w:val="20"/>
                <w:highlight w:val="none"/>
                <w:lang w:val="en-US" w:eastAsia="en-US"/>
                <w14:textFill>
                  <w14:solidFill>
                    <w14:schemeClr w14:val="tx1"/>
                  </w14:solidFill>
                </w14:textFill>
              </w:rPr>
              <w:t>20</w:t>
            </w:r>
            <w:r>
              <w:rPr>
                <w:rFonts w:hint="default" w:ascii="宋体" w:hAnsi="宋体" w:eastAsia="宋体" w:cs="宋体"/>
                <w:snapToGrid w:val="0"/>
                <w:color w:val="000000" w:themeColor="text1"/>
                <w:spacing w:val="22"/>
                <w:kern w:val="0"/>
                <w:sz w:val="20"/>
                <w:szCs w:val="20"/>
                <w:highlight w:val="none"/>
                <w:lang w:eastAsia="en-US"/>
                <w14:textFill>
                  <w14:solidFill>
                    <w14:schemeClr w14:val="tx1"/>
                  </w14:solidFill>
                </w14:textFill>
              </w:rPr>
              <w:t>年1月1日至今（以交（竣）工验收时间为准）完成过质量合格的</w:t>
            </w:r>
            <w:r>
              <w:rPr>
                <w:rFonts w:ascii="宋体" w:hAnsi="宋体" w:eastAsia="宋体" w:cs="宋体"/>
                <w:snapToGrid w:val="0"/>
                <w:color w:val="000000" w:themeColor="text1"/>
                <w:spacing w:val="22"/>
                <w:kern w:val="0"/>
                <w:sz w:val="20"/>
                <w:szCs w:val="20"/>
                <w:highlight w:val="none"/>
                <w:lang w:eastAsia="en-US"/>
                <w14:textFill>
                  <w14:solidFill>
                    <w14:schemeClr w14:val="tx1"/>
                  </w14:solidFill>
                </w14:textFill>
              </w:rPr>
              <w:t>5万吨级</w:t>
            </w:r>
            <w:r>
              <w:rPr>
                <w:rFonts w:hint="default" w:ascii="宋体" w:hAnsi="宋体" w:eastAsia="宋体" w:cs="宋体"/>
                <w:snapToGrid w:val="0"/>
                <w:color w:val="000000" w:themeColor="text1"/>
                <w:spacing w:val="22"/>
                <w:kern w:val="0"/>
                <w:sz w:val="20"/>
                <w:szCs w:val="20"/>
                <w:highlight w:val="none"/>
                <w:lang w:eastAsia="en-US"/>
                <w14:textFill>
                  <w14:solidFill>
                    <w14:schemeClr w14:val="tx1"/>
                  </w14:solidFill>
                </w14:textFill>
              </w:rPr>
              <w:t>（或以上）码头港池疏浚或</w:t>
            </w:r>
            <w:r>
              <w:rPr>
                <w:rFonts w:ascii="宋体" w:hAnsi="宋体" w:eastAsia="宋体" w:cs="宋体"/>
                <w:snapToGrid w:val="0"/>
                <w:color w:val="000000" w:themeColor="text1"/>
                <w:spacing w:val="22"/>
                <w:kern w:val="0"/>
                <w:sz w:val="20"/>
                <w:szCs w:val="20"/>
                <w:highlight w:val="none"/>
                <w:lang w:eastAsia="en-US"/>
                <w14:textFill>
                  <w14:solidFill>
                    <w14:schemeClr w14:val="tx1"/>
                  </w14:solidFill>
                </w14:textFill>
              </w:rPr>
              <w:t>5万吨级</w:t>
            </w:r>
            <w:r>
              <w:rPr>
                <w:rFonts w:hint="default" w:ascii="宋体" w:hAnsi="宋体" w:eastAsia="宋体" w:cs="宋体"/>
                <w:snapToGrid w:val="0"/>
                <w:color w:val="000000" w:themeColor="text1"/>
                <w:spacing w:val="22"/>
                <w:kern w:val="0"/>
                <w:sz w:val="20"/>
                <w:szCs w:val="20"/>
                <w:highlight w:val="none"/>
                <w:lang w:eastAsia="en-US"/>
                <w14:textFill>
                  <w14:solidFill>
                    <w14:schemeClr w14:val="tx1"/>
                  </w14:solidFill>
                </w14:textFill>
              </w:rPr>
              <w:t>（或以上）航道疏浚工程业绩监理项目每项得</w:t>
            </w:r>
            <w:r>
              <w:rPr>
                <w:rFonts w:hint="default" w:ascii="宋体" w:hAnsi="宋体" w:eastAsia="宋体" w:cs="宋体"/>
                <w:snapToGrid w:val="0"/>
                <w:color w:val="000000" w:themeColor="text1"/>
                <w:spacing w:val="22"/>
                <w:kern w:val="0"/>
                <w:sz w:val="20"/>
                <w:szCs w:val="20"/>
                <w:highlight w:val="none"/>
                <w:lang w:val="en-US" w:eastAsia="en-US"/>
                <w14:textFill>
                  <w14:solidFill>
                    <w14:schemeClr w14:val="tx1"/>
                  </w14:solidFill>
                </w14:textFill>
              </w:rPr>
              <w:t>1</w:t>
            </w:r>
            <w:r>
              <w:rPr>
                <w:rFonts w:hint="default" w:ascii="宋体" w:hAnsi="宋体" w:eastAsia="宋体" w:cs="宋体"/>
                <w:snapToGrid w:val="0"/>
                <w:color w:val="000000" w:themeColor="text1"/>
                <w:spacing w:val="22"/>
                <w:kern w:val="0"/>
                <w:sz w:val="20"/>
                <w:szCs w:val="20"/>
                <w:highlight w:val="none"/>
                <w:lang w:eastAsia="en-US"/>
                <w14:textFill>
                  <w14:solidFill>
                    <w14:schemeClr w14:val="tx1"/>
                  </w14:solidFill>
                </w14:textFill>
              </w:rPr>
              <w:t>分，最多得</w:t>
            </w:r>
            <w:r>
              <w:rPr>
                <w:rFonts w:hint="default" w:ascii="宋体" w:hAnsi="宋体" w:eastAsia="宋体" w:cs="宋体"/>
                <w:snapToGrid w:val="0"/>
                <w:color w:val="000000" w:themeColor="text1"/>
                <w:spacing w:val="22"/>
                <w:kern w:val="0"/>
                <w:sz w:val="20"/>
                <w:szCs w:val="20"/>
                <w:highlight w:val="none"/>
                <w:lang w:val="en-US" w:eastAsia="en-US"/>
                <w14:textFill>
                  <w14:solidFill>
                    <w14:schemeClr w14:val="tx1"/>
                  </w14:solidFill>
                </w14:textFill>
              </w:rPr>
              <w:t>4</w:t>
            </w:r>
            <w:r>
              <w:rPr>
                <w:rFonts w:hint="default" w:ascii="宋体" w:hAnsi="宋体" w:eastAsia="宋体" w:cs="宋体"/>
                <w:snapToGrid w:val="0"/>
                <w:color w:val="000000" w:themeColor="text1"/>
                <w:spacing w:val="22"/>
                <w:kern w:val="0"/>
                <w:sz w:val="20"/>
                <w:szCs w:val="20"/>
                <w:highlight w:val="none"/>
                <w:lang w:eastAsia="en-US"/>
                <w14:textFill>
                  <w14:solidFill>
                    <w14:schemeClr w14:val="tx1"/>
                  </w14:solidFill>
                </w14:textFill>
              </w:rPr>
              <w:t>分。</w:t>
            </w:r>
          </w:p>
          <w:p w14:paraId="700A2639">
            <w:pPr>
              <w:pStyle w:val="8"/>
              <w:numPr>
                <w:ilvl w:val="0"/>
                <w:numId w:val="0"/>
              </w:numPr>
              <w:spacing w:before="34" w:line="226" w:lineRule="auto"/>
              <w:jc w:val="both"/>
              <w:rPr>
                <w:rFonts w:ascii="Arial"/>
                <w:color w:val="000000" w:themeColor="text1"/>
                <w:sz w:val="21"/>
                <w:highlight w:val="none"/>
                <w14:textFill>
                  <w14:solidFill>
                    <w14:schemeClr w14:val="tx1"/>
                  </w14:solidFill>
                </w14:textFill>
              </w:rPr>
            </w:pPr>
            <w:r>
              <w:rPr>
                <w:rFonts w:hint="eastAsia" w:ascii="宋体" w:hAnsi="宋体" w:eastAsia="宋体" w:cs="Times New Roman"/>
                <w:snapToGrid/>
                <w:color w:val="000000" w:themeColor="text1"/>
                <w:kern w:val="0"/>
                <w:szCs w:val="21"/>
                <w:highlight w:val="none"/>
                <w:lang w:eastAsia="zh-CN"/>
                <w14:textFill>
                  <w14:solidFill>
                    <w14:schemeClr w14:val="tx1"/>
                  </w14:solidFill>
                </w14:textFill>
              </w:rPr>
              <w:t>（须同时提供中标通知书或监理合同、项目监理评定书或交工或竣工验收证明或质量鉴定书等。）</w:t>
            </w:r>
          </w:p>
        </w:tc>
      </w:tr>
      <w:tr w14:paraId="7B988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7" w:hRule="atLeast"/>
        </w:trPr>
        <w:tc>
          <w:tcPr>
            <w:tcW w:w="1241" w:type="dxa"/>
            <w:vMerge w:val="continue"/>
            <w:vAlign w:val="center"/>
          </w:tcPr>
          <w:p w14:paraId="357A4B10">
            <w:pPr>
              <w:pStyle w:val="8"/>
              <w:spacing w:before="143" w:line="231" w:lineRule="auto"/>
              <w:ind w:left="348"/>
              <w:jc w:val="center"/>
              <w:rPr>
                <w:color w:val="000000" w:themeColor="text1"/>
                <w:highlight w:val="none"/>
                <w14:textFill>
                  <w14:solidFill>
                    <w14:schemeClr w14:val="tx1"/>
                  </w14:solidFill>
                </w14:textFill>
              </w:rPr>
            </w:pPr>
          </w:p>
        </w:tc>
        <w:tc>
          <w:tcPr>
            <w:tcW w:w="1207" w:type="dxa"/>
            <w:gridSpan w:val="2"/>
            <w:vMerge w:val="continue"/>
            <w:vAlign w:val="center"/>
          </w:tcPr>
          <w:p w14:paraId="0E658B97">
            <w:pPr>
              <w:jc w:val="center"/>
              <w:rPr>
                <w:rFonts w:ascii="Arial"/>
                <w:color w:val="000000" w:themeColor="text1"/>
                <w:sz w:val="21"/>
                <w:highlight w:val="none"/>
                <w14:textFill>
                  <w14:solidFill>
                    <w14:schemeClr w14:val="tx1"/>
                  </w14:solidFill>
                </w14:textFill>
              </w:rPr>
            </w:pPr>
          </w:p>
        </w:tc>
        <w:tc>
          <w:tcPr>
            <w:tcW w:w="1066" w:type="dxa"/>
            <w:vMerge w:val="continue"/>
            <w:vAlign w:val="center"/>
          </w:tcPr>
          <w:p w14:paraId="630B9357">
            <w:pPr>
              <w:jc w:val="center"/>
              <w:rPr>
                <w:rFonts w:ascii="Arial"/>
                <w:color w:val="000000" w:themeColor="text1"/>
                <w:sz w:val="21"/>
                <w:highlight w:val="none"/>
                <w14:textFill>
                  <w14:solidFill>
                    <w14:schemeClr w14:val="tx1"/>
                  </w14:solidFill>
                </w14:textFill>
              </w:rPr>
            </w:pPr>
          </w:p>
        </w:tc>
        <w:tc>
          <w:tcPr>
            <w:tcW w:w="1443" w:type="dxa"/>
            <w:vAlign w:val="center"/>
          </w:tcPr>
          <w:p w14:paraId="10708CD2">
            <w:pPr>
              <w:pStyle w:val="8"/>
              <w:spacing w:before="65" w:line="227" w:lineRule="auto"/>
              <w:jc w:val="center"/>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履约信誉</w:t>
            </w:r>
          </w:p>
        </w:tc>
        <w:tc>
          <w:tcPr>
            <w:tcW w:w="901" w:type="dxa"/>
            <w:vAlign w:val="center"/>
          </w:tcPr>
          <w:p w14:paraId="75156809">
            <w:pPr>
              <w:pStyle w:val="8"/>
              <w:spacing w:before="65" w:line="228" w:lineRule="auto"/>
              <w:jc w:val="center"/>
              <w:rPr>
                <w:color w:val="000000" w:themeColor="text1"/>
                <w:highlight w:val="none"/>
                <w14:textFill>
                  <w14:solidFill>
                    <w14:schemeClr w14:val="tx1"/>
                  </w14:solidFill>
                </w14:textFill>
              </w:rPr>
            </w:pPr>
            <w:r>
              <w:rPr>
                <w:color w:val="000000" w:themeColor="text1"/>
                <w:spacing w:val="-5"/>
                <w:highlight w:val="none"/>
                <w:u w:val="single" w:color="auto"/>
                <w14:textFill>
                  <w14:solidFill>
                    <w14:schemeClr w14:val="tx1"/>
                  </w14:solidFill>
                </w14:textFill>
              </w:rPr>
              <w:t>10</w:t>
            </w:r>
            <w:r>
              <w:rPr>
                <w:color w:val="000000" w:themeColor="text1"/>
                <w:spacing w:val="-38"/>
                <w:highlight w:val="none"/>
                <w:u w:val="single" w:color="auto"/>
                <w14:textFill>
                  <w14:solidFill>
                    <w14:schemeClr w14:val="tx1"/>
                  </w14:solidFill>
                </w14:textFill>
              </w:rPr>
              <w:t xml:space="preserve"> </w:t>
            </w:r>
            <w:r>
              <w:rPr>
                <w:color w:val="000000" w:themeColor="text1"/>
                <w:spacing w:val="-5"/>
                <w:highlight w:val="none"/>
                <w14:textFill>
                  <w14:solidFill>
                    <w14:schemeClr w14:val="tx1"/>
                  </w14:solidFill>
                </w14:textFill>
              </w:rPr>
              <w:t>分</w:t>
            </w:r>
          </w:p>
        </w:tc>
        <w:tc>
          <w:tcPr>
            <w:tcW w:w="4064" w:type="dxa"/>
            <w:vAlign w:val="center"/>
          </w:tcPr>
          <w:p w14:paraId="6AAD3B0A">
            <w:pPr>
              <w:pStyle w:val="8"/>
              <w:spacing w:before="0" w:line="228" w:lineRule="auto"/>
              <w:jc w:val="both"/>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1. 信用等级分值（5</w:t>
            </w:r>
            <w:r>
              <w:rPr>
                <w:color w:val="000000" w:themeColor="text1"/>
                <w:spacing w:val="-26"/>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分）</w:t>
            </w:r>
          </w:p>
          <w:p w14:paraId="2EC842C9">
            <w:pPr>
              <w:pStyle w:val="8"/>
              <w:spacing w:before="0" w:line="239" w:lineRule="auto"/>
              <w:ind w:right="0" w:rightChars="0"/>
              <w:jc w:val="both"/>
              <w:rPr>
                <w:color w:val="000000" w:themeColor="text1"/>
                <w:spacing w:val="13"/>
                <w:highlight w:val="none"/>
                <w14:textFill>
                  <w14:solidFill>
                    <w14:schemeClr w14:val="tx1"/>
                  </w14:solidFill>
                </w14:textFill>
              </w:rPr>
            </w:pPr>
            <w:r>
              <w:rPr>
                <w:color w:val="000000" w:themeColor="text1"/>
                <w:highlight w:val="none"/>
                <w14:textFill>
                  <w14:solidFill>
                    <w14:schemeClr w14:val="tx1"/>
                  </w14:solidFill>
                </w14:textFill>
              </w:rPr>
              <w:t>AA</w:t>
            </w:r>
            <w:r>
              <w:rPr>
                <w:color w:val="000000" w:themeColor="text1"/>
                <w:spacing w:val="13"/>
                <w:highlight w:val="none"/>
                <w14:textFill>
                  <w14:solidFill>
                    <w14:schemeClr w14:val="tx1"/>
                  </w14:solidFill>
                </w14:textFill>
              </w:rPr>
              <w:t>、A、B、C</w:t>
            </w:r>
            <w:r>
              <w:rPr>
                <w:color w:val="000000" w:themeColor="text1"/>
                <w:spacing w:val="-22"/>
                <w:highlight w:val="none"/>
                <w14:textFill>
                  <w14:solidFill>
                    <w14:schemeClr w14:val="tx1"/>
                  </w14:solidFill>
                </w14:textFill>
              </w:rPr>
              <w:t xml:space="preserve"> </w:t>
            </w:r>
            <w:r>
              <w:rPr>
                <w:color w:val="000000" w:themeColor="text1"/>
                <w:spacing w:val="13"/>
                <w:highlight w:val="none"/>
                <w14:textFill>
                  <w14:solidFill>
                    <w14:schemeClr w14:val="tx1"/>
                  </w14:solidFill>
                </w14:textFill>
              </w:rPr>
              <w:t>级单位的信用等级分得分</w:t>
            </w:r>
          </w:p>
          <w:p w14:paraId="6E11AF8A">
            <w:pPr>
              <w:pStyle w:val="8"/>
              <w:spacing w:before="0" w:line="239" w:lineRule="auto"/>
              <w:ind w:right="0" w:rightChars="0"/>
              <w:jc w:val="both"/>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分别为</w:t>
            </w:r>
            <w:r>
              <w:rPr>
                <w:color w:val="000000" w:themeColor="text1"/>
                <w:spacing w:val="-18"/>
                <w:highlight w:val="none"/>
                <w14:textFill>
                  <w14:solidFill>
                    <w14:schemeClr w14:val="tx1"/>
                  </w14:solidFill>
                </w14:textFill>
              </w:rPr>
              <w:t xml:space="preserve"> </w:t>
            </w:r>
            <w:r>
              <w:rPr>
                <w:color w:val="000000" w:themeColor="text1"/>
                <w:spacing w:val="4"/>
                <w:highlight w:val="none"/>
                <w:u w:val="single" w:color="auto"/>
                <w14:textFill>
                  <w14:solidFill>
                    <w14:schemeClr w14:val="tx1"/>
                  </w14:solidFill>
                </w14:textFill>
              </w:rPr>
              <w:t>5.00、4.75、4.45、3.65</w:t>
            </w:r>
            <w:r>
              <w:rPr>
                <w:color w:val="000000" w:themeColor="text1"/>
                <w:spacing w:val="-36"/>
                <w:highlight w:val="none"/>
                <w:u w:val="single" w:color="auto"/>
                <w14:textFill>
                  <w14:solidFill>
                    <w14:schemeClr w14:val="tx1"/>
                  </w14:solidFill>
                </w14:textFill>
              </w:rPr>
              <w:t xml:space="preserve"> </w:t>
            </w:r>
            <w:r>
              <w:rPr>
                <w:color w:val="000000" w:themeColor="text1"/>
                <w:spacing w:val="4"/>
                <w:highlight w:val="none"/>
                <w14:textFill>
                  <w14:solidFill>
                    <w14:schemeClr w14:val="tx1"/>
                  </w14:solidFill>
                </w14:textFill>
              </w:rPr>
              <w:t>分。</w:t>
            </w:r>
          </w:p>
          <w:p w14:paraId="05D7BBE5">
            <w:pPr>
              <w:pStyle w:val="8"/>
              <w:spacing w:before="0" w:line="246" w:lineRule="auto"/>
              <w:ind w:right="0" w:rightChars="0"/>
              <w:jc w:val="both"/>
              <w:rPr>
                <w:color w:val="000000" w:themeColor="text1"/>
                <w:highlight w:val="none"/>
                <w14:textFill>
                  <w14:solidFill>
                    <w14:schemeClr w14:val="tx1"/>
                  </w14:solidFill>
                </w14:textFill>
              </w:rPr>
            </w:pPr>
            <w:r>
              <w:rPr>
                <w:color w:val="000000" w:themeColor="text1"/>
                <w:spacing w:val="11"/>
                <w:highlight w:val="none"/>
                <w14:textFill>
                  <w14:solidFill>
                    <w14:schemeClr w14:val="tx1"/>
                  </w14:solidFill>
                </w14:textFill>
              </w:rPr>
              <w:t>注：信用等级的确定原则遵循投标人须</w:t>
            </w:r>
            <w:r>
              <w:rPr>
                <w:color w:val="000000" w:themeColor="text1"/>
                <w:spacing w:val="8"/>
                <w:highlight w:val="none"/>
                <w14:textFill>
                  <w14:solidFill>
                    <w14:schemeClr w14:val="tx1"/>
                  </w14:solidFill>
                </w14:textFill>
              </w:rPr>
              <w:t>知前附表</w:t>
            </w:r>
            <w:r>
              <w:rPr>
                <w:color w:val="000000" w:themeColor="text1"/>
                <w:spacing w:val="-9"/>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10.2</w:t>
            </w:r>
            <w:r>
              <w:rPr>
                <w:color w:val="000000" w:themeColor="text1"/>
                <w:spacing w:val="-30"/>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款的规定</w:t>
            </w:r>
            <w:r>
              <w:rPr>
                <w:color w:val="000000" w:themeColor="text1"/>
                <w:spacing w:val="-59"/>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w:t>
            </w:r>
            <w:r>
              <w:rPr>
                <w:color w:val="000000" w:themeColor="text1"/>
                <w:spacing w:val="-53"/>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以联合体形</w:t>
            </w:r>
            <w:r>
              <w:rPr>
                <w:color w:val="000000" w:themeColor="text1"/>
                <w:spacing w:val="11"/>
                <w:highlight w:val="none"/>
                <w14:textFill>
                  <w14:solidFill>
                    <w14:schemeClr w14:val="tx1"/>
                  </w14:solidFill>
                </w14:textFill>
              </w:rPr>
              <w:t>式投标的，按联合体成员中等级较低的</w:t>
            </w:r>
            <w:r>
              <w:rPr>
                <w:color w:val="000000" w:themeColor="text1"/>
                <w:spacing w:val="3"/>
                <w:highlight w:val="none"/>
                <w14:textFill>
                  <w14:solidFill>
                    <w14:schemeClr w14:val="tx1"/>
                  </w14:solidFill>
                </w14:textFill>
              </w:rPr>
              <w:t>计算。</w:t>
            </w:r>
          </w:p>
          <w:p w14:paraId="62B88F84">
            <w:pPr>
              <w:pStyle w:val="8"/>
              <w:spacing w:before="0" w:line="228" w:lineRule="auto"/>
              <w:jc w:val="both"/>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2. 履约情况（5</w:t>
            </w:r>
            <w:r>
              <w:rPr>
                <w:color w:val="000000" w:themeColor="text1"/>
                <w:spacing w:val="-37"/>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分）</w:t>
            </w:r>
          </w:p>
          <w:p w14:paraId="57A034B9">
            <w:pPr>
              <w:pStyle w:val="8"/>
              <w:spacing w:before="0" w:line="228" w:lineRule="auto"/>
              <w:jc w:val="both"/>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若没出现下述情形得满分；</w:t>
            </w:r>
          </w:p>
          <w:p w14:paraId="5C55047B">
            <w:pPr>
              <w:pStyle w:val="8"/>
              <w:spacing w:before="0" w:line="245" w:lineRule="auto"/>
              <w:ind w:right="0"/>
              <w:jc w:val="both"/>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投标文件递交截止日前</w:t>
            </w:r>
            <w:r>
              <w:rPr>
                <w:color w:val="000000" w:themeColor="text1"/>
                <w:spacing w:val="-19"/>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1</w:t>
            </w:r>
            <w:r>
              <w:rPr>
                <w:color w:val="000000" w:themeColor="text1"/>
                <w:spacing w:val="-37"/>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年内，投标</w:t>
            </w:r>
            <w:r>
              <w:rPr>
                <w:color w:val="000000" w:themeColor="text1"/>
                <w:spacing w:val="11"/>
                <w:highlight w:val="none"/>
                <w14:textFill>
                  <w14:solidFill>
                    <w14:schemeClr w14:val="tx1"/>
                  </w14:solidFill>
                </w14:textFill>
              </w:rPr>
              <w:t>人因水运工程（含附属设施）质量、</w:t>
            </w:r>
            <w:r>
              <w:rPr>
                <w:color w:val="000000" w:themeColor="text1"/>
                <w:spacing w:val="8"/>
                <w:highlight w:val="none"/>
                <w14:textFill>
                  <w14:solidFill>
                    <w14:schemeClr w14:val="tx1"/>
                  </w14:solidFill>
                </w14:textFill>
              </w:rPr>
              <w:t xml:space="preserve"> </w:t>
            </w:r>
            <w:r>
              <w:rPr>
                <w:color w:val="000000" w:themeColor="text1"/>
                <w:spacing w:val="22"/>
                <w:highlight w:val="none"/>
                <w14:textFill>
                  <w14:solidFill>
                    <w14:schemeClr w14:val="tx1"/>
                  </w14:solidFill>
                </w14:textFill>
              </w:rPr>
              <w:t>安全</w:t>
            </w:r>
            <w:r>
              <w:rPr>
                <w:color w:val="000000" w:themeColor="text1"/>
                <w:spacing w:val="-46"/>
                <w:highlight w:val="none"/>
                <w14:textFill>
                  <w14:solidFill>
                    <w14:schemeClr w14:val="tx1"/>
                  </w14:solidFill>
                </w14:textFill>
              </w:rPr>
              <w:t xml:space="preserve"> </w:t>
            </w:r>
            <w:r>
              <w:rPr>
                <w:color w:val="000000" w:themeColor="text1"/>
                <w:spacing w:val="22"/>
                <w:highlight w:val="none"/>
                <w14:textFill>
                  <w14:solidFill>
                    <w14:schemeClr w14:val="tx1"/>
                  </w14:solidFill>
                </w14:textFill>
              </w:rPr>
              <w:t>、履约或招标投标问题等原因</w:t>
            </w:r>
            <w:r>
              <w:rPr>
                <w:color w:val="000000" w:themeColor="text1"/>
                <w:highlight w:val="none"/>
                <w14:textFill>
                  <w14:solidFill>
                    <w14:schemeClr w14:val="tx1"/>
                  </w14:solidFill>
                </w14:textFill>
              </w:rPr>
              <w:t xml:space="preserve"> 被：</w:t>
            </w:r>
          </w:p>
          <w:p w14:paraId="2B35696D">
            <w:pPr>
              <w:pStyle w:val="8"/>
              <w:spacing w:before="0" w:line="239" w:lineRule="auto"/>
              <w:ind w:right="0"/>
              <w:jc w:val="both"/>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（1）交通运输部行政处罚的，扣</w:t>
            </w:r>
            <w:r>
              <w:rPr>
                <w:color w:val="000000" w:themeColor="text1"/>
                <w:spacing w:val="-32"/>
                <w:highlight w:val="none"/>
                <w14:textFill>
                  <w14:solidFill>
                    <w14:schemeClr w14:val="tx1"/>
                  </w14:solidFill>
                </w14:textFill>
              </w:rPr>
              <w:t xml:space="preserve"> </w:t>
            </w:r>
            <w:r>
              <w:rPr>
                <w:color w:val="000000" w:themeColor="text1"/>
                <w:spacing w:val="8"/>
                <w:highlight w:val="none"/>
                <w:u w:val="single" w:color="auto"/>
                <w14:textFill>
                  <w14:solidFill>
                    <w14:schemeClr w14:val="tx1"/>
                  </w14:solidFill>
                </w14:textFill>
              </w:rPr>
              <w:t>5</w:t>
            </w:r>
            <w:r>
              <w:rPr>
                <w:color w:val="000000" w:themeColor="text1"/>
                <w:spacing w:val="-35"/>
                <w:highlight w:val="none"/>
                <w:u w:val="single" w:color="auto"/>
                <w14:textFill>
                  <w14:solidFill>
                    <w14:schemeClr w14:val="tx1"/>
                  </w14:solidFill>
                </w14:textFill>
              </w:rPr>
              <w:t xml:space="preserve"> </w:t>
            </w:r>
            <w:r>
              <w:rPr>
                <w:color w:val="000000" w:themeColor="text1"/>
                <w:spacing w:val="8"/>
                <w:highlight w:val="none"/>
                <w14:textFill>
                  <w14:solidFill>
                    <w14:schemeClr w14:val="tx1"/>
                  </w14:solidFill>
                </w14:textFill>
              </w:rPr>
              <w:t>分/</w:t>
            </w:r>
            <w:r>
              <w:rPr>
                <w:color w:val="000000" w:themeColor="text1"/>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次。</w:t>
            </w:r>
          </w:p>
          <w:p w14:paraId="73375FC7">
            <w:pPr>
              <w:pStyle w:val="8"/>
              <w:spacing w:before="0" w:line="239" w:lineRule="auto"/>
              <w:ind w:right="0" w:rightChars="0"/>
              <w:jc w:val="both"/>
              <w:rPr>
                <w:color w:val="000000" w:themeColor="text1"/>
                <w:highlight w:val="none"/>
                <w14:textFill>
                  <w14:solidFill>
                    <w14:schemeClr w14:val="tx1"/>
                  </w14:solidFill>
                </w14:textFill>
              </w:rPr>
            </w:pPr>
            <w:r>
              <w:rPr>
                <w:color w:val="000000" w:themeColor="text1"/>
                <w:spacing w:val="13"/>
                <w:highlight w:val="none"/>
                <w14:textFill>
                  <w14:solidFill>
                    <w14:schemeClr w14:val="tx1"/>
                  </w14:solidFill>
                </w14:textFill>
              </w:rPr>
              <w:t>（2）广东省交通运输厅行政处罚的</w:t>
            </w:r>
            <w:r>
              <w:rPr>
                <w:rFonts w:hint="eastAsia"/>
                <w:color w:val="000000" w:themeColor="text1"/>
                <w:spacing w:val="13"/>
                <w:highlight w:val="none"/>
                <w:lang w:eastAsia="zh-CN"/>
                <w14:textFill>
                  <w14:solidFill>
                    <w14:schemeClr w14:val="tx1"/>
                  </w14:solidFill>
                </w14:textFill>
              </w:rPr>
              <w:t>，</w:t>
            </w:r>
            <w:r>
              <w:rPr>
                <w:color w:val="000000" w:themeColor="text1"/>
                <w:highlight w:val="none"/>
                <w14:textFill>
                  <w14:solidFill>
                    <w14:schemeClr w14:val="tx1"/>
                  </w14:solidFill>
                </w14:textFill>
              </w:rPr>
              <w:t>扣</w:t>
            </w:r>
            <w:r>
              <w:rPr>
                <w:rFonts w:hint="eastAsia"/>
                <w:color w:val="000000" w:themeColor="text1"/>
                <w:spacing w:val="-36"/>
                <w:highlight w:val="none"/>
                <w:u w:val="single" w:color="auto"/>
                <w:lang w:val="en-US" w:eastAsia="zh-CN"/>
                <w14:textFill>
                  <w14:solidFill>
                    <w14:schemeClr w14:val="tx1"/>
                  </w14:solidFill>
                </w14:textFill>
              </w:rPr>
              <w:t>3</w:t>
            </w:r>
            <w:r>
              <w:rPr>
                <w:color w:val="000000" w:themeColor="text1"/>
                <w:highlight w:val="none"/>
                <w14:textFill>
                  <w14:solidFill>
                    <w14:schemeClr w14:val="tx1"/>
                  </w14:solidFill>
                </w14:textFill>
              </w:rPr>
              <w:t>分/次。</w:t>
            </w:r>
          </w:p>
          <w:p w14:paraId="5D672887">
            <w:pPr>
              <w:pStyle w:val="8"/>
              <w:tabs>
                <w:tab w:val="left" w:pos="232"/>
              </w:tabs>
              <w:spacing w:before="0" w:line="251" w:lineRule="auto"/>
              <w:ind w:right="0" w:rightChars="0"/>
              <w:jc w:val="both"/>
              <w:rPr>
                <w:color w:val="000000" w:themeColor="text1"/>
                <w:sz w:val="10"/>
                <w:szCs w:val="10"/>
                <w:highlight w:val="none"/>
                <w:u w:val="single" w:color="auto"/>
                <w14:textFill>
                  <w14:solidFill>
                    <w14:schemeClr w14:val="tx1"/>
                  </w14:solidFill>
                </w14:textFill>
              </w:rPr>
            </w:pPr>
            <w:r>
              <w:rPr>
                <w:color w:val="000000" w:themeColor="text1"/>
                <w:spacing w:val="10"/>
                <w:highlight w:val="none"/>
                <w:u w:val="single" w:color="auto"/>
                <w14:textFill>
                  <w14:solidFill>
                    <w14:schemeClr w14:val="tx1"/>
                  </w14:solidFill>
                </w14:textFill>
              </w:rPr>
              <w:t>（3）项目所在地地级以上市交通运输</w:t>
            </w:r>
            <w:r>
              <w:rPr>
                <w:color w:val="000000" w:themeColor="text1"/>
                <w:spacing w:val="5"/>
                <w:highlight w:val="none"/>
                <w:u w:val="single" w:color="auto"/>
                <w14:textFill>
                  <w14:solidFill>
                    <w14:schemeClr w14:val="tx1"/>
                  </w14:solidFill>
                </w14:textFill>
              </w:rPr>
              <w:t>局行政处罚的，扣</w:t>
            </w:r>
            <w:r>
              <w:rPr>
                <w:color w:val="000000" w:themeColor="text1"/>
                <w:spacing w:val="-17"/>
                <w:highlight w:val="none"/>
                <w:u w:val="single" w:color="auto"/>
                <w14:textFill>
                  <w14:solidFill>
                    <w14:schemeClr w14:val="tx1"/>
                  </w14:solidFill>
                </w14:textFill>
              </w:rPr>
              <w:t xml:space="preserve"> </w:t>
            </w:r>
            <w:r>
              <w:rPr>
                <w:color w:val="000000" w:themeColor="text1"/>
                <w:spacing w:val="5"/>
                <w:highlight w:val="none"/>
                <w:u w:val="single" w:color="auto"/>
                <w14:textFill>
                  <w14:solidFill>
                    <w14:schemeClr w14:val="tx1"/>
                  </w14:solidFill>
                </w14:textFill>
              </w:rPr>
              <w:t>1.5</w:t>
            </w:r>
            <w:r>
              <w:rPr>
                <w:color w:val="000000" w:themeColor="text1"/>
                <w:spacing w:val="-38"/>
                <w:highlight w:val="none"/>
                <w:u w:val="single" w:color="auto"/>
                <w14:textFill>
                  <w14:solidFill>
                    <w14:schemeClr w14:val="tx1"/>
                  </w14:solidFill>
                </w14:textFill>
              </w:rPr>
              <w:t xml:space="preserve"> </w:t>
            </w:r>
            <w:r>
              <w:rPr>
                <w:color w:val="000000" w:themeColor="text1"/>
                <w:spacing w:val="5"/>
                <w:highlight w:val="none"/>
                <w:u w:val="single" w:color="auto"/>
                <w14:textFill>
                  <w14:solidFill>
                    <w14:schemeClr w14:val="tx1"/>
                  </w14:solidFill>
                </w14:textFill>
              </w:rPr>
              <w:t>分/次。</w:t>
            </w:r>
            <w:r>
              <w:rPr>
                <w:rFonts w:hint="eastAsia"/>
                <w:b/>
                <w:bCs/>
                <w:color w:val="000000" w:themeColor="text1"/>
                <w:spacing w:val="5"/>
                <w:sz w:val="22"/>
                <w:szCs w:val="22"/>
                <w:highlight w:val="none"/>
                <w:u w:val="single" w:color="auto"/>
                <w14:textFill>
                  <w14:solidFill>
                    <w14:schemeClr w14:val="tx1"/>
                  </w14:solidFill>
                </w14:textFill>
              </w:rPr>
              <w:t>¹</w:t>
            </w:r>
          </w:p>
          <w:p w14:paraId="75AD24A4">
            <w:pPr>
              <w:pStyle w:val="8"/>
              <w:spacing w:before="0" w:line="238" w:lineRule="auto"/>
              <w:ind w:right="0" w:rightChars="0"/>
              <w:jc w:val="both"/>
              <w:rPr>
                <w:color w:val="000000" w:themeColor="text1"/>
                <w:spacing w:val="2"/>
                <w:highlight w:val="none"/>
                <w14:textFill>
                  <w14:solidFill>
                    <w14:schemeClr w14:val="tx1"/>
                  </w14:solidFill>
                </w14:textFill>
              </w:rPr>
            </w:pPr>
            <w:r>
              <w:rPr>
                <w:rFonts w:ascii="宋体" w:hAnsi="宋体" w:eastAsia="宋体" w:cs="宋体"/>
                <w:color w:val="000000" w:themeColor="text1"/>
                <w:spacing w:val="8"/>
                <w:highlight w:val="none"/>
                <w14:textFill>
                  <w14:solidFill>
                    <w14:schemeClr w14:val="tx1"/>
                  </w14:solidFill>
                </w14:textFill>
              </w:rPr>
              <w:t>（4）广东省交通运输厅正式约</w:t>
            </w:r>
            <w:r>
              <w:rPr>
                <w:color w:val="000000" w:themeColor="text1"/>
                <w:spacing w:val="13"/>
                <w:highlight w:val="none"/>
                <w14:textFill>
                  <w14:solidFill>
                    <w14:schemeClr w14:val="tx1"/>
                  </w14:solidFill>
                </w14:textFill>
              </w:rPr>
              <w:t>谈的，</w:t>
            </w:r>
            <w:r>
              <w:rPr>
                <w:color w:val="000000" w:themeColor="text1"/>
                <w:spacing w:val="2"/>
                <w:highlight w:val="none"/>
                <w14:textFill>
                  <w14:solidFill>
                    <w14:schemeClr w14:val="tx1"/>
                  </w14:solidFill>
                </w14:textFill>
              </w:rPr>
              <w:t>扣</w:t>
            </w:r>
            <w:r>
              <w:rPr>
                <w:color w:val="000000" w:themeColor="text1"/>
                <w:spacing w:val="-37"/>
                <w:highlight w:val="none"/>
                <w14:textFill>
                  <w14:solidFill>
                    <w14:schemeClr w14:val="tx1"/>
                  </w14:solidFill>
                </w14:textFill>
              </w:rPr>
              <w:t xml:space="preserve"> </w:t>
            </w:r>
            <w:r>
              <w:rPr>
                <w:color w:val="000000" w:themeColor="text1"/>
                <w:spacing w:val="2"/>
                <w:highlight w:val="none"/>
                <w:u w:val="single" w:color="auto"/>
                <w14:textFill>
                  <w14:solidFill>
                    <w14:schemeClr w14:val="tx1"/>
                  </w14:solidFill>
                </w14:textFill>
              </w:rPr>
              <w:t>0.1</w:t>
            </w:r>
            <w:r>
              <w:rPr>
                <w:color w:val="000000" w:themeColor="text1"/>
                <w:spacing w:val="-37"/>
                <w:highlight w:val="none"/>
                <w:u w:val="single" w:color="auto"/>
                <w14:textFill>
                  <w14:solidFill>
                    <w14:schemeClr w14:val="tx1"/>
                  </w14:solidFill>
                </w14:textFill>
              </w:rPr>
              <w:t xml:space="preserve"> </w:t>
            </w:r>
            <w:r>
              <w:rPr>
                <w:color w:val="000000" w:themeColor="text1"/>
                <w:spacing w:val="2"/>
                <w:highlight w:val="none"/>
                <w14:textFill>
                  <w14:solidFill>
                    <w14:schemeClr w14:val="tx1"/>
                  </w14:solidFill>
                </w14:textFill>
              </w:rPr>
              <w:t>分/次。</w:t>
            </w:r>
          </w:p>
          <w:p w14:paraId="45F41B28">
            <w:pPr>
              <w:pStyle w:val="8"/>
              <w:spacing w:before="0" w:line="238" w:lineRule="auto"/>
              <w:ind w:right="0" w:rightChars="0"/>
              <w:jc w:val="both"/>
              <w:rPr>
                <w:color w:val="000000" w:themeColor="text1"/>
                <w:highlight w:val="none"/>
                <w14:textFill>
                  <w14:solidFill>
                    <w14:schemeClr w14:val="tx1"/>
                  </w14:solidFill>
                </w14:textFill>
              </w:rPr>
            </w:pPr>
            <w:r>
              <w:rPr>
                <w:color w:val="000000" w:themeColor="text1"/>
                <w:spacing w:val="11"/>
                <w:highlight w:val="none"/>
                <w14:textFill>
                  <w14:solidFill>
                    <w14:schemeClr w14:val="tx1"/>
                  </w14:solidFill>
                </w14:textFill>
              </w:rPr>
              <w:t>注：同一事项同时被多个部门行政处</w:t>
            </w:r>
            <w:r>
              <w:rPr>
                <w:color w:val="000000" w:themeColor="text1"/>
                <w:spacing w:val="1"/>
                <w:highlight w:val="none"/>
                <w14:textFill>
                  <w14:solidFill>
                    <w14:schemeClr w14:val="tx1"/>
                  </w14:solidFill>
                </w14:textFill>
              </w:rPr>
              <w:t xml:space="preserve"> </w:t>
            </w:r>
            <w:r>
              <w:rPr>
                <w:color w:val="000000" w:themeColor="text1"/>
                <w:spacing w:val="12"/>
                <w:highlight w:val="none"/>
                <w14:textFill>
                  <w14:solidFill>
                    <w14:schemeClr w14:val="tx1"/>
                  </w14:solidFill>
                </w14:textFill>
              </w:rPr>
              <w:t>罚或正式约谈只按最高的扣分计算1</w:t>
            </w:r>
            <w:r>
              <w:rPr>
                <w:color w:val="000000" w:themeColor="text1"/>
                <w:spacing w:val="18"/>
                <w:highlight w:val="none"/>
                <w14:textFill>
                  <w14:solidFill>
                    <w14:schemeClr w14:val="tx1"/>
                  </w14:solidFill>
                </w14:textFill>
              </w:rPr>
              <w:t>次</w:t>
            </w:r>
            <w:r>
              <w:rPr>
                <w:rFonts w:hint="eastAsia"/>
                <w:b/>
                <w:bCs/>
                <w:color w:val="000000" w:themeColor="text1"/>
                <w:spacing w:val="18"/>
                <w:sz w:val="22"/>
                <w:szCs w:val="22"/>
                <w:highlight w:val="none"/>
                <w14:textFill>
                  <w14:solidFill>
                    <w14:schemeClr w14:val="tx1"/>
                  </w14:solidFill>
                </w14:textFill>
              </w:rPr>
              <w:t>²</w:t>
            </w:r>
            <w:r>
              <w:rPr>
                <w:color w:val="000000" w:themeColor="text1"/>
                <w:spacing w:val="18"/>
                <w:highlight w:val="none"/>
                <w14:textFill>
                  <w14:solidFill>
                    <w14:schemeClr w14:val="tx1"/>
                  </w14:solidFill>
                </w14:textFill>
              </w:rPr>
              <w:t>。如果扣完本项分值，可以从投</w:t>
            </w:r>
            <w:r>
              <w:rPr>
                <w:color w:val="000000" w:themeColor="text1"/>
                <w:spacing w:val="9"/>
                <w:highlight w:val="none"/>
                <w14:textFill>
                  <w14:solidFill>
                    <w14:schemeClr w14:val="tx1"/>
                  </w14:solidFill>
                </w14:textFill>
              </w:rPr>
              <w:t>标人总得分中扣。</w:t>
            </w:r>
            <w:r>
              <w:rPr>
                <w:color w:val="000000" w:themeColor="text1"/>
                <w:spacing w:val="-58"/>
                <w:highlight w:val="none"/>
                <w14:textFill>
                  <w14:solidFill>
                    <w14:schemeClr w14:val="tx1"/>
                  </w14:solidFill>
                </w14:textFill>
              </w:rPr>
              <w:t xml:space="preserve"> </w:t>
            </w:r>
            <w:r>
              <w:rPr>
                <w:color w:val="000000" w:themeColor="text1"/>
                <w:spacing w:val="9"/>
                <w:highlight w:val="none"/>
                <w14:textFill>
                  <w14:solidFill>
                    <w14:schemeClr w14:val="tx1"/>
                  </w14:solidFill>
                </w14:textFill>
              </w:rPr>
              <w:t>以联合体形式投标</w:t>
            </w:r>
            <w:r>
              <w:rPr>
                <w:color w:val="000000" w:themeColor="text1"/>
                <w:highlight w:val="none"/>
                <w14:textFill>
                  <w14:solidFill>
                    <w14:schemeClr w14:val="tx1"/>
                  </w14:solidFill>
                </w14:textFill>
              </w:rPr>
              <w:t xml:space="preserve"> </w:t>
            </w:r>
            <w:r>
              <w:rPr>
                <w:color w:val="000000" w:themeColor="text1"/>
                <w:spacing w:val="11"/>
                <w:highlight w:val="none"/>
                <w14:textFill>
                  <w14:solidFill>
                    <w14:schemeClr w14:val="tx1"/>
                  </w14:solidFill>
                </w14:textFill>
              </w:rPr>
              <w:t>的，若各联合体成员任何一方或均存</w:t>
            </w:r>
            <w:r>
              <w:rPr>
                <w:color w:val="000000" w:themeColor="text1"/>
                <w:spacing w:val="9"/>
                <w:highlight w:val="none"/>
                <w14:textFill>
                  <w14:solidFill>
                    <w14:schemeClr w14:val="tx1"/>
                  </w14:solidFill>
                </w14:textFill>
              </w:rPr>
              <w:t xml:space="preserve"> </w:t>
            </w:r>
            <w:r>
              <w:rPr>
                <w:color w:val="000000" w:themeColor="text1"/>
                <w:spacing w:val="11"/>
                <w:highlight w:val="none"/>
                <w14:textFill>
                  <w14:solidFill>
                    <w14:schemeClr w14:val="tx1"/>
                  </w14:solidFill>
                </w14:textFill>
              </w:rPr>
              <w:t>在上述情形的，对联合体各成员进行</w:t>
            </w:r>
            <w:r>
              <w:rPr>
                <w:color w:val="000000" w:themeColor="text1"/>
                <w:spacing w:val="6"/>
                <w:highlight w:val="none"/>
                <w14:textFill>
                  <w14:solidFill>
                    <w14:schemeClr w14:val="tx1"/>
                  </w14:solidFill>
                </w14:textFill>
              </w:rPr>
              <w:t>累计扣分。</w:t>
            </w:r>
          </w:p>
        </w:tc>
      </w:tr>
      <w:tr w14:paraId="5C131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241" w:type="dxa"/>
            <w:vMerge w:val="continue"/>
            <w:vAlign w:val="top"/>
          </w:tcPr>
          <w:p w14:paraId="3B6418F3">
            <w:pPr>
              <w:rPr>
                <w:rFonts w:ascii="Arial"/>
                <w:color w:val="000000" w:themeColor="text1"/>
                <w:sz w:val="21"/>
                <w:highlight w:val="none"/>
                <w14:textFill>
                  <w14:solidFill>
                    <w14:schemeClr w14:val="tx1"/>
                  </w14:solidFill>
                </w14:textFill>
              </w:rPr>
            </w:pPr>
          </w:p>
        </w:tc>
        <w:tc>
          <w:tcPr>
            <w:tcW w:w="1207" w:type="dxa"/>
            <w:gridSpan w:val="2"/>
            <w:vMerge w:val="continue"/>
            <w:vAlign w:val="top"/>
          </w:tcPr>
          <w:p w14:paraId="3BDFEAE6">
            <w:pPr>
              <w:rPr>
                <w:rFonts w:ascii="Arial"/>
                <w:color w:val="000000" w:themeColor="text1"/>
                <w:sz w:val="21"/>
                <w:highlight w:val="none"/>
                <w14:textFill>
                  <w14:solidFill>
                    <w14:schemeClr w14:val="tx1"/>
                  </w14:solidFill>
                </w14:textFill>
              </w:rPr>
            </w:pPr>
          </w:p>
        </w:tc>
        <w:tc>
          <w:tcPr>
            <w:tcW w:w="1066" w:type="dxa"/>
            <w:vMerge w:val="continue"/>
            <w:vAlign w:val="top"/>
          </w:tcPr>
          <w:p w14:paraId="36A4E024">
            <w:pPr>
              <w:rPr>
                <w:rFonts w:ascii="Arial"/>
                <w:color w:val="000000" w:themeColor="text1"/>
                <w:sz w:val="21"/>
                <w:highlight w:val="none"/>
                <w14:textFill>
                  <w14:solidFill>
                    <w14:schemeClr w14:val="tx1"/>
                  </w14:solidFill>
                </w14:textFill>
              </w:rPr>
            </w:pPr>
          </w:p>
        </w:tc>
        <w:tc>
          <w:tcPr>
            <w:tcW w:w="1443" w:type="dxa"/>
            <w:vAlign w:val="center"/>
          </w:tcPr>
          <w:p w14:paraId="6F8C8595">
            <w:pPr>
              <w:pStyle w:val="8"/>
              <w:spacing w:before="141" w:line="283" w:lineRule="auto"/>
              <w:ind w:right="141"/>
              <w:jc w:val="center"/>
              <w:rPr>
                <w:color w:val="000000" w:themeColor="text1"/>
                <w:highlight w:val="none"/>
                <w:u w:val="none" w:color="auto"/>
                <w14:textFill>
                  <w14:solidFill>
                    <w14:schemeClr w14:val="tx1"/>
                  </w14:solidFill>
                </w14:textFill>
              </w:rPr>
            </w:pPr>
            <w:r>
              <w:rPr>
                <w:color w:val="000000" w:themeColor="text1"/>
                <w:spacing w:val="6"/>
                <w:highlight w:val="none"/>
                <w:u w:val="none" w:color="auto"/>
                <w14:textFill>
                  <w14:solidFill>
                    <w14:schemeClr w14:val="tx1"/>
                  </w14:solidFill>
                </w14:textFill>
              </w:rPr>
              <w:t>设施设备</w:t>
            </w:r>
            <w:r>
              <w:rPr>
                <w:color w:val="000000" w:themeColor="text1"/>
                <w:spacing w:val="4"/>
                <w:highlight w:val="none"/>
                <w:u w:val="none" w:color="auto"/>
                <w14:textFill>
                  <w14:solidFill>
                    <w14:schemeClr w14:val="tx1"/>
                  </w14:solidFill>
                </w14:textFill>
              </w:rPr>
              <w:t>配备</w:t>
            </w:r>
          </w:p>
        </w:tc>
        <w:tc>
          <w:tcPr>
            <w:tcW w:w="901" w:type="dxa"/>
            <w:vAlign w:val="center"/>
          </w:tcPr>
          <w:p w14:paraId="0860E2FA">
            <w:pPr>
              <w:pStyle w:val="8"/>
              <w:tabs>
                <w:tab w:val="left" w:pos="422"/>
              </w:tabs>
              <w:spacing w:before="65" w:line="228" w:lineRule="auto"/>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0</w:t>
            </w:r>
            <w:r>
              <w:rPr>
                <w:color w:val="000000" w:themeColor="text1"/>
                <w:highlight w:val="none"/>
                <w14:textFill>
                  <w14:solidFill>
                    <w14:schemeClr w14:val="tx1"/>
                  </w14:solidFill>
                </w14:textFill>
              </w:rPr>
              <w:t>分</w:t>
            </w:r>
          </w:p>
        </w:tc>
        <w:tc>
          <w:tcPr>
            <w:tcW w:w="4064" w:type="dxa"/>
            <w:vAlign w:val="center"/>
          </w:tcPr>
          <w:p w14:paraId="59CF5BD5">
            <w:pPr>
              <w:jc w:val="both"/>
              <w:rPr>
                <w:rFonts w:hint="default" w:ascii="Arial" w:eastAsia="宋体"/>
                <w:color w:val="000000" w:themeColor="text1"/>
                <w:sz w:val="21"/>
                <w:highlight w:val="none"/>
                <w:lang w:val="en-US" w:eastAsia="zh-CN"/>
                <w14:textFill>
                  <w14:solidFill>
                    <w14:schemeClr w14:val="tx1"/>
                  </w14:solidFill>
                </w14:textFill>
              </w:rPr>
            </w:pPr>
            <w:r>
              <w:rPr>
                <w:rFonts w:hint="eastAsia" w:ascii="宋体" w:hAnsi="宋体" w:eastAsia="宋体" w:cs="宋体"/>
                <w:color w:val="000000" w:themeColor="text1"/>
                <w:spacing w:val="11"/>
                <w:sz w:val="20"/>
                <w:szCs w:val="20"/>
                <w:highlight w:val="none"/>
                <w:lang w:val="en-US" w:eastAsia="zh-CN"/>
                <w14:textFill>
                  <w14:solidFill>
                    <w14:schemeClr w14:val="tx1"/>
                  </w14:solidFill>
                </w14:textFill>
              </w:rPr>
              <w:t>/</w:t>
            </w:r>
          </w:p>
        </w:tc>
      </w:tr>
      <w:tr w14:paraId="36A6B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241" w:type="dxa"/>
            <w:vMerge w:val="continue"/>
            <w:vAlign w:val="top"/>
          </w:tcPr>
          <w:p w14:paraId="3B7BE102">
            <w:pPr>
              <w:rPr>
                <w:rFonts w:ascii="Arial"/>
                <w:color w:val="000000" w:themeColor="text1"/>
                <w:sz w:val="21"/>
                <w:highlight w:val="none"/>
                <w14:textFill>
                  <w14:solidFill>
                    <w14:schemeClr w14:val="tx1"/>
                  </w14:solidFill>
                </w14:textFill>
              </w:rPr>
            </w:pPr>
          </w:p>
        </w:tc>
        <w:tc>
          <w:tcPr>
            <w:tcW w:w="1207" w:type="dxa"/>
            <w:gridSpan w:val="2"/>
            <w:vMerge w:val="continue"/>
            <w:vAlign w:val="top"/>
          </w:tcPr>
          <w:p w14:paraId="112116CB">
            <w:pPr>
              <w:rPr>
                <w:rFonts w:ascii="Arial"/>
                <w:color w:val="000000" w:themeColor="text1"/>
                <w:sz w:val="21"/>
                <w:highlight w:val="none"/>
                <w14:textFill>
                  <w14:solidFill>
                    <w14:schemeClr w14:val="tx1"/>
                  </w14:solidFill>
                </w14:textFill>
              </w:rPr>
            </w:pPr>
          </w:p>
        </w:tc>
        <w:tc>
          <w:tcPr>
            <w:tcW w:w="1066" w:type="dxa"/>
            <w:vMerge w:val="continue"/>
            <w:vAlign w:val="top"/>
          </w:tcPr>
          <w:p w14:paraId="2741F73A">
            <w:pPr>
              <w:rPr>
                <w:rFonts w:ascii="Arial"/>
                <w:color w:val="000000" w:themeColor="text1"/>
                <w:sz w:val="21"/>
                <w:highlight w:val="none"/>
                <w14:textFill>
                  <w14:solidFill>
                    <w14:schemeClr w14:val="tx1"/>
                  </w14:solidFill>
                </w14:textFill>
              </w:rPr>
            </w:pPr>
          </w:p>
        </w:tc>
        <w:tc>
          <w:tcPr>
            <w:tcW w:w="1443" w:type="dxa"/>
            <w:vAlign w:val="center"/>
          </w:tcPr>
          <w:p w14:paraId="62BADAA3">
            <w:pPr>
              <w:pStyle w:val="8"/>
              <w:tabs>
                <w:tab w:val="left" w:pos="1480"/>
              </w:tabs>
              <w:spacing w:before="258" w:line="335" w:lineRule="auto"/>
              <w:ind w:right="141"/>
              <w:jc w:val="center"/>
              <w:rPr>
                <w:color w:val="000000" w:themeColor="text1"/>
                <w:highlight w:val="none"/>
                <w:u w:val="none" w:color="auto"/>
                <w14:textFill>
                  <w14:solidFill>
                    <w14:schemeClr w14:val="tx1"/>
                  </w14:solidFill>
                </w14:textFill>
              </w:rPr>
            </w:pPr>
            <w:r>
              <w:rPr>
                <w:color w:val="000000" w:themeColor="text1"/>
                <w:spacing w:val="6"/>
                <w:highlight w:val="none"/>
                <w:u w:val="none" w:color="auto"/>
                <w14:textFill>
                  <w14:solidFill>
                    <w14:schemeClr w14:val="tx1"/>
                  </w14:solidFill>
                </w14:textFill>
              </w:rPr>
              <w:t>企业综合</w:t>
            </w:r>
            <w:r>
              <w:rPr>
                <w:color w:val="000000" w:themeColor="text1"/>
                <w:highlight w:val="none"/>
                <w:u w:val="none" w:color="auto"/>
                <w14:textFill>
                  <w14:solidFill>
                    <w14:schemeClr w14:val="tx1"/>
                  </w14:solidFill>
                </w14:textFill>
              </w:rPr>
              <w:t>能力</w:t>
            </w:r>
          </w:p>
        </w:tc>
        <w:tc>
          <w:tcPr>
            <w:tcW w:w="901" w:type="dxa"/>
            <w:vAlign w:val="center"/>
          </w:tcPr>
          <w:p w14:paraId="0A42004D">
            <w:pPr>
              <w:pStyle w:val="8"/>
              <w:tabs>
                <w:tab w:val="left" w:pos="422"/>
              </w:tabs>
              <w:spacing w:before="65" w:line="228" w:lineRule="auto"/>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color w:val="000000" w:themeColor="text1"/>
                <w:highlight w:val="none"/>
                <w14:textFill>
                  <w14:solidFill>
                    <w14:schemeClr w14:val="tx1"/>
                  </w14:solidFill>
                </w14:textFill>
              </w:rPr>
              <w:t>分</w:t>
            </w:r>
          </w:p>
        </w:tc>
        <w:tc>
          <w:tcPr>
            <w:tcW w:w="4064" w:type="dxa"/>
            <w:vAlign w:val="center"/>
          </w:tcPr>
          <w:p w14:paraId="34865A94">
            <w:pPr>
              <w:pStyle w:val="8"/>
              <w:numPr>
                <w:ilvl w:val="-1"/>
                <w:numId w:val="0"/>
              </w:numPr>
              <w:tabs>
                <w:tab w:val="left" w:pos="4000"/>
              </w:tabs>
              <w:spacing w:before="2" w:line="238" w:lineRule="auto"/>
              <w:ind w:right="-45" w:rightChars="0"/>
              <w:rPr>
                <w:rFonts w:hint="eastAsia" w:ascii="宋体" w:hAnsi="宋体" w:eastAsia="宋体" w:cs="宋体"/>
                <w:color w:val="000000" w:themeColor="text1"/>
                <w:spacing w:val="11"/>
                <w:highlight w:val="none"/>
                <w:lang w:val="en-US" w:eastAsia="zh-CN"/>
                <w14:textFill>
                  <w14:solidFill>
                    <w14:schemeClr w14:val="tx1"/>
                  </w14:solidFill>
                </w14:textFill>
              </w:rPr>
            </w:pPr>
            <w:r>
              <w:rPr>
                <w:rFonts w:hint="eastAsia" w:ascii="宋体" w:hAnsi="宋体" w:eastAsia="宋体" w:cs="宋体"/>
                <w:color w:val="000000" w:themeColor="text1"/>
                <w:spacing w:val="11"/>
                <w:highlight w:val="none"/>
                <w14:textFill>
                  <w14:solidFill>
                    <w14:schemeClr w14:val="tx1"/>
                  </w14:solidFill>
                </w14:textFill>
              </w:rPr>
              <w:t>1、</w:t>
            </w:r>
            <w:r>
              <w:rPr>
                <w:rFonts w:hint="eastAsia" w:ascii="宋体" w:hAnsi="宋体" w:eastAsia="宋体" w:cs="宋体"/>
                <w:color w:val="auto"/>
                <w:highlight w:val="none"/>
              </w:rPr>
              <w:t>自</w:t>
            </w:r>
            <w:r>
              <w:rPr>
                <w:rFonts w:ascii="宋体" w:hAnsi="宋体" w:eastAsia="宋体" w:cs="宋体"/>
                <w:color w:val="auto"/>
                <w:highlight w:val="none"/>
              </w:rPr>
              <w:t>20</w:t>
            </w:r>
            <w:r>
              <w:rPr>
                <w:rFonts w:hint="eastAsia" w:ascii="宋体" w:hAnsi="宋体" w:eastAsia="宋体" w:cs="宋体"/>
                <w:color w:val="auto"/>
                <w:highlight w:val="none"/>
                <w:lang w:val="en-US" w:eastAsia="zh-CN"/>
              </w:rPr>
              <w:t>20</w:t>
            </w:r>
            <w:r>
              <w:rPr>
                <w:rFonts w:ascii="宋体" w:hAnsi="宋体" w:eastAsia="宋体" w:cs="宋体"/>
                <w:color w:val="auto"/>
                <w:highlight w:val="none"/>
              </w:rPr>
              <w:t>年1月1日至今（以</w:t>
            </w:r>
            <w:r>
              <w:rPr>
                <w:rFonts w:hint="eastAsia" w:ascii="宋体" w:hAnsi="宋体" w:eastAsia="宋体" w:cs="宋体"/>
                <w:color w:val="auto"/>
                <w:highlight w:val="none"/>
              </w:rPr>
              <w:t>获奖证书颁发时间为准）投标人获得过中国交通建设监理协会颁发的“交通建设优秀监理企业”荣誉称号的</w:t>
            </w:r>
            <w:r>
              <w:rPr>
                <w:rFonts w:hint="eastAsia" w:cs="宋体"/>
                <w:color w:val="auto"/>
                <w:highlight w:val="none"/>
                <w:lang w:eastAsia="zh-CN"/>
              </w:rPr>
              <w:t>，</w:t>
            </w:r>
            <w:r>
              <w:rPr>
                <w:rFonts w:hint="eastAsia" w:cs="宋体"/>
                <w:color w:val="auto"/>
                <w:highlight w:val="none"/>
                <w:lang w:val="en-US" w:eastAsia="zh-CN"/>
              </w:rPr>
              <w:t>每个得1.5分，最多</w:t>
            </w:r>
            <w:r>
              <w:rPr>
                <w:rFonts w:hint="eastAsia" w:ascii="宋体" w:hAnsi="宋体" w:eastAsia="宋体" w:cs="宋体"/>
                <w:color w:val="auto"/>
                <w:highlight w:val="none"/>
              </w:rPr>
              <w:t>得</w:t>
            </w:r>
            <w:r>
              <w:rPr>
                <w:rFonts w:hint="eastAsia" w:cs="宋体"/>
                <w:color w:val="auto"/>
                <w:highlight w:val="none"/>
                <w:lang w:val="en-US" w:eastAsia="zh-CN"/>
              </w:rPr>
              <w:t>3</w:t>
            </w:r>
            <w:r>
              <w:rPr>
                <w:rFonts w:ascii="宋体" w:hAnsi="宋体" w:eastAsia="宋体" w:cs="宋体"/>
                <w:color w:val="auto"/>
                <w:highlight w:val="none"/>
              </w:rPr>
              <w:t>分</w:t>
            </w:r>
            <w:r>
              <w:rPr>
                <w:rFonts w:hint="eastAsia" w:ascii="宋体" w:hAnsi="宋体" w:eastAsia="宋体" w:cs="宋体"/>
                <w:color w:val="auto"/>
                <w:highlight w:val="none"/>
              </w:rPr>
              <w:t>（须提供</w:t>
            </w:r>
            <w:r>
              <w:rPr>
                <w:rFonts w:hint="eastAsia" w:ascii="宋体" w:hAnsi="宋体" w:eastAsia="宋体" w:cs="宋体"/>
                <w:color w:val="auto"/>
                <w:highlight w:val="none"/>
                <w:lang w:val="en-US" w:eastAsia="zh-CN"/>
              </w:rPr>
              <w:t>获奖证书</w:t>
            </w:r>
            <w:r>
              <w:rPr>
                <w:rFonts w:hint="eastAsia" w:ascii="宋体" w:hAnsi="宋体" w:eastAsia="宋体" w:cs="宋体"/>
                <w:color w:val="auto"/>
                <w:highlight w:val="none"/>
              </w:rPr>
              <w:t>扫描件）</w:t>
            </w:r>
            <w:r>
              <w:rPr>
                <w:rFonts w:hint="eastAsia" w:ascii="宋体" w:hAnsi="宋体" w:eastAsia="宋体" w:cs="宋体"/>
                <w:color w:val="000000" w:themeColor="text1"/>
                <w:spacing w:val="11"/>
                <w:highlight w:val="none"/>
                <w14:textFill>
                  <w14:solidFill>
                    <w14:schemeClr w14:val="tx1"/>
                  </w14:solidFill>
                </w14:textFill>
              </w:rPr>
              <w:t>。</w:t>
            </w:r>
          </w:p>
        </w:tc>
      </w:tr>
      <w:tr w14:paraId="11827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9922" w:type="dxa"/>
            <w:gridSpan w:val="7"/>
            <w:vAlign w:val="center"/>
          </w:tcPr>
          <w:p w14:paraId="13155EAD">
            <w:pPr>
              <w:pStyle w:val="8"/>
              <w:spacing w:before="45" w:line="228" w:lineRule="auto"/>
              <w:ind w:left="126"/>
              <w:jc w:val="left"/>
              <w:rPr>
                <w:color w:val="000000" w:themeColor="text1"/>
                <w:highlight w:val="none"/>
                <w14:textFill>
                  <w14:solidFill>
                    <w14:schemeClr w14:val="tx1"/>
                  </w14:solidFill>
                </w14:textFill>
              </w:rPr>
            </w:pPr>
            <w:r>
              <w:rPr>
                <w:b/>
                <w:bCs/>
                <w:color w:val="000000" w:themeColor="text1"/>
                <w:spacing w:val="6"/>
                <w:highlight w:val="none"/>
                <w14:textFill>
                  <w14:solidFill>
                    <w14:schemeClr w14:val="tx1"/>
                  </w14:solidFill>
                </w14:textFill>
              </w:rPr>
              <w:t>需要补充的其他内容</w:t>
            </w:r>
          </w:p>
        </w:tc>
      </w:tr>
      <w:tr w14:paraId="7DFD5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256" w:type="dxa"/>
            <w:gridSpan w:val="2"/>
            <w:vAlign w:val="top"/>
          </w:tcPr>
          <w:p w14:paraId="0A4725D9">
            <w:pPr>
              <w:pStyle w:val="8"/>
              <w:spacing w:before="73" w:line="228" w:lineRule="auto"/>
              <w:ind w:left="311"/>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条款号</w:t>
            </w:r>
          </w:p>
        </w:tc>
        <w:tc>
          <w:tcPr>
            <w:tcW w:w="8666" w:type="dxa"/>
            <w:gridSpan w:val="5"/>
            <w:vAlign w:val="top"/>
          </w:tcPr>
          <w:p w14:paraId="540E0EB5">
            <w:pPr>
              <w:pStyle w:val="8"/>
              <w:spacing w:before="73" w:line="228" w:lineRule="auto"/>
              <w:ind w:left="2993"/>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补充或修改的内容</w:t>
            </w:r>
          </w:p>
        </w:tc>
      </w:tr>
      <w:tr w14:paraId="1B3DE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1256" w:type="dxa"/>
            <w:gridSpan w:val="2"/>
            <w:vAlign w:val="center"/>
          </w:tcPr>
          <w:p w14:paraId="412EFCBD">
            <w:pPr>
              <w:pStyle w:val="8"/>
              <w:spacing w:before="65" w:line="189" w:lineRule="auto"/>
              <w:jc w:val="center"/>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3.2.2</w:t>
            </w:r>
          </w:p>
        </w:tc>
        <w:tc>
          <w:tcPr>
            <w:tcW w:w="8666" w:type="dxa"/>
            <w:gridSpan w:val="5"/>
            <w:vAlign w:val="center"/>
          </w:tcPr>
          <w:p w14:paraId="5BBAB4C6">
            <w:pPr>
              <w:pStyle w:val="8"/>
              <w:spacing w:before="35" w:line="228" w:lineRule="auto"/>
              <w:ind w:left="109"/>
              <w:jc w:val="both"/>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将评标办法原文第</w:t>
            </w:r>
            <w:r>
              <w:rPr>
                <w:color w:val="000000" w:themeColor="text1"/>
                <w:spacing w:val="-27"/>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3.2.2</w:t>
            </w:r>
            <w:r>
              <w:rPr>
                <w:color w:val="000000" w:themeColor="text1"/>
                <w:spacing w:val="-35"/>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项修改如下：</w:t>
            </w:r>
          </w:p>
          <w:p w14:paraId="4FFFCEF9">
            <w:pPr>
              <w:pStyle w:val="8"/>
              <w:spacing w:before="161" w:line="359" w:lineRule="auto"/>
              <w:ind w:left="110" w:right="109" w:firstLine="3"/>
              <w:jc w:val="both"/>
              <w:rPr>
                <w:color w:val="000000" w:themeColor="text1"/>
                <w:highlight w:val="none"/>
                <w14:textFill>
                  <w14:solidFill>
                    <w14:schemeClr w14:val="tx1"/>
                  </w14:solidFill>
                </w14:textFill>
              </w:rPr>
            </w:pPr>
            <w:r>
              <w:rPr>
                <w:color w:val="000000" w:themeColor="text1"/>
                <w:spacing w:val="11"/>
                <w:highlight w:val="none"/>
                <w14:textFill>
                  <w14:solidFill>
                    <w14:schemeClr w14:val="tx1"/>
                  </w14:solidFill>
                </w14:textFill>
              </w:rPr>
              <w:t>投标人的商务和技术得分分值计算保留小数点后三位，小数点后第四位“</w:t>
            </w:r>
            <w:r>
              <w:rPr>
                <w:color w:val="000000" w:themeColor="text1"/>
                <w:spacing w:val="-57"/>
                <w:highlight w:val="none"/>
                <w14:textFill>
                  <w14:solidFill>
                    <w14:schemeClr w14:val="tx1"/>
                  </w14:solidFill>
                </w14:textFill>
              </w:rPr>
              <w:t xml:space="preserve"> </w:t>
            </w:r>
            <w:r>
              <w:rPr>
                <w:color w:val="000000" w:themeColor="text1"/>
                <w:spacing w:val="11"/>
                <w:highlight w:val="none"/>
                <w14:textFill>
                  <w14:solidFill>
                    <w14:schemeClr w14:val="tx1"/>
                  </w14:solidFill>
                </w14:textFill>
              </w:rPr>
              <w:t>四舍五</w:t>
            </w:r>
            <w:bookmarkStart w:id="7" w:name="bookmark101"/>
            <w:bookmarkEnd w:id="7"/>
            <w:bookmarkStart w:id="8" w:name="bookmark102"/>
            <w:bookmarkEnd w:id="8"/>
            <w:r>
              <w:rPr>
                <w:color w:val="000000" w:themeColor="text1"/>
                <w:spacing w:val="3"/>
                <w:highlight w:val="none"/>
                <w14:textFill>
                  <w14:solidFill>
                    <w14:schemeClr w14:val="tx1"/>
                  </w14:solidFill>
                </w14:textFill>
              </w:rPr>
              <w:t>入</w:t>
            </w:r>
            <w:r>
              <w:rPr>
                <w:color w:val="000000" w:themeColor="text1"/>
                <w:spacing w:val="-69"/>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w:t>
            </w:r>
          </w:p>
        </w:tc>
      </w:tr>
      <w:tr w14:paraId="48367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8" w:hRule="atLeast"/>
        </w:trPr>
        <w:tc>
          <w:tcPr>
            <w:tcW w:w="1256" w:type="dxa"/>
            <w:gridSpan w:val="2"/>
            <w:vAlign w:val="center"/>
          </w:tcPr>
          <w:p w14:paraId="30F8A929">
            <w:pPr>
              <w:pStyle w:val="8"/>
              <w:spacing w:before="65" w:line="189" w:lineRule="auto"/>
              <w:jc w:val="center"/>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3.2.3</w:t>
            </w:r>
          </w:p>
        </w:tc>
        <w:tc>
          <w:tcPr>
            <w:tcW w:w="8666" w:type="dxa"/>
            <w:gridSpan w:val="5"/>
            <w:vAlign w:val="top"/>
          </w:tcPr>
          <w:p w14:paraId="3624ED52">
            <w:pPr>
              <w:pStyle w:val="8"/>
              <w:spacing w:before="36" w:line="227" w:lineRule="auto"/>
              <w:ind w:left="109"/>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将评标办法范本原文第</w:t>
            </w:r>
            <w:r>
              <w:rPr>
                <w:color w:val="000000" w:themeColor="text1"/>
                <w:spacing w:val="-19"/>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3.2.3</w:t>
            </w:r>
            <w:r>
              <w:rPr>
                <w:color w:val="000000" w:themeColor="text1"/>
                <w:spacing w:val="-35"/>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项细化如下：</w:t>
            </w:r>
          </w:p>
          <w:p w14:paraId="31B2C9C1">
            <w:pPr>
              <w:pStyle w:val="8"/>
              <w:spacing w:before="161" w:line="228" w:lineRule="auto"/>
              <w:ind w:left="534"/>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投标人的商务和技术得分=A+B+D。</w:t>
            </w:r>
          </w:p>
          <w:p w14:paraId="1338B73D">
            <w:pPr>
              <w:pStyle w:val="8"/>
              <w:spacing w:before="161" w:line="361" w:lineRule="auto"/>
              <w:ind w:left="114" w:right="109" w:firstLine="420"/>
              <w:rPr>
                <w:color w:val="000000" w:themeColor="text1"/>
                <w:highlight w:val="none"/>
                <w14:textFill>
                  <w14:solidFill>
                    <w14:schemeClr w14:val="tx1"/>
                  </w14:solidFill>
                </w14:textFill>
              </w:rPr>
            </w:pPr>
            <w:r>
              <w:rPr>
                <w:color w:val="000000" w:themeColor="text1"/>
                <w:spacing w:val="15"/>
                <w:highlight w:val="none"/>
                <w14:textFill>
                  <w14:solidFill>
                    <w14:schemeClr w14:val="tx1"/>
                  </w14:solidFill>
                </w14:textFill>
              </w:rPr>
              <w:t>投标文件评分因素</w:t>
            </w:r>
            <w:r>
              <w:rPr>
                <w:color w:val="000000" w:themeColor="text1"/>
                <w:spacing w:val="15"/>
                <w:highlight w:val="none"/>
                <w:u w:val="single" w:color="auto"/>
                <w14:textFill>
                  <w14:solidFill>
                    <w14:schemeClr w14:val="tx1"/>
                  </w14:solidFill>
                </w14:textFill>
              </w:rPr>
              <w:t>（监理大纲）</w:t>
            </w:r>
            <w:r>
              <w:rPr>
                <w:color w:val="000000" w:themeColor="text1"/>
                <w:spacing w:val="15"/>
                <w:highlight w:val="none"/>
                <w14:textFill>
                  <w14:solidFill>
                    <w14:schemeClr w14:val="tx1"/>
                  </w14:solidFill>
                </w14:textFill>
              </w:rPr>
              <w:t>细分项得分均不应低于其权重分的60%</w:t>
            </w:r>
            <w:r>
              <w:rPr>
                <w:color w:val="000000" w:themeColor="text1"/>
                <w:spacing w:val="14"/>
                <w:highlight w:val="none"/>
                <w14:textFill>
                  <w14:solidFill>
                    <w14:schemeClr w14:val="tx1"/>
                  </w14:solidFill>
                </w14:textFill>
              </w:rPr>
              <w:t>，评</w:t>
            </w:r>
            <w:r>
              <w:rPr>
                <w:color w:val="000000" w:themeColor="text1"/>
                <w:spacing w:val="9"/>
                <w:highlight w:val="none"/>
                <w14:textFill>
                  <w14:solidFill>
                    <w14:schemeClr w14:val="tx1"/>
                  </w14:solidFill>
                </w14:textFill>
              </w:rPr>
              <w:t>分低于权重分值60%的，评标委员会成员应当在评标报告</w:t>
            </w:r>
            <w:r>
              <w:rPr>
                <w:color w:val="000000" w:themeColor="text1"/>
                <w:spacing w:val="8"/>
                <w:highlight w:val="none"/>
                <w14:textFill>
                  <w14:solidFill>
                    <w14:schemeClr w14:val="tx1"/>
                  </w14:solidFill>
                </w14:textFill>
              </w:rPr>
              <w:t>中作出说明。</w:t>
            </w:r>
          </w:p>
          <w:p w14:paraId="19F50724">
            <w:pPr>
              <w:pStyle w:val="8"/>
              <w:spacing w:before="36" w:line="372" w:lineRule="auto"/>
              <w:ind w:left="110" w:right="107" w:firstLine="420"/>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评标委员会人数不少于9人单数时，计算投标人技术得分时:首先在评委技术评分中，采用取消同一评委对同一标段各投标人评分总分的差值最大的评委评分分值（当2名或以上技术评委评分总分差值最大时，应取消其中1名评委评分，具体办法如下</w:t>
            </w:r>
            <w:r>
              <w:rPr>
                <w:color w:val="000000" w:themeColor="text1"/>
                <w:spacing w:val="-2"/>
                <w:highlight w:val="none"/>
                <w14:textFill>
                  <w14:solidFill>
                    <w14:schemeClr w14:val="tx1"/>
                  </w14:solidFill>
                </w14:textFill>
              </w:rPr>
              <w:t>），</w:t>
            </w:r>
            <w:r>
              <w:rPr>
                <w:color w:val="000000" w:themeColor="text1"/>
                <w:spacing w:val="12"/>
                <w:highlight w:val="none"/>
                <w14:textFill>
                  <w14:solidFill>
                    <w14:schemeClr w14:val="tx1"/>
                  </w14:solidFill>
                </w14:textFill>
              </w:rPr>
              <w:t>再对各评分因素细分项中取消一个最高、一个最低分后计算</w:t>
            </w:r>
            <w:r>
              <w:rPr>
                <w:color w:val="000000" w:themeColor="text1"/>
                <w:spacing w:val="11"/>
                <w:highlight w:val="none"/>
                <w14:textFill>
                  <w14:solidFill>
                    <w14:schemeClr w14:val="tx1"/>
                  </w14:solidFill>
                </w14:textFill>
              </w:rPr>
              <w:t>算术</w:t>
            </w:r>
            <w:r>
              <w:rPr>
                <w:color w:val="000000" w:themeColor="text1"/>
                <w:spacing w:val="12"/>
                <w:highlight w:val="none"/>
                <w14:textFill>
                  <w14:solidFill>
                    <w14:schemeClr w14:val="tx1"/>
                  </w14:solidFill>
                </w14:textFill>
              </w:rPr>
              <w:t>平均值的和为投标人的最终技术得分，平均值计算保留小数点后三位，小数点后</w:t>
            </w:r>
            <w:r>
              <w:rPr>
                <w:color w:val="000000" w:themeColor="text1"/>
                <w:spacing w:val="11"/>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第四位“</w:t>
            </w:r>
            <w:r>
              <w:rPr>
                <w:color w:val="000000" w:themeColor="text1"/>
                <w:spacing w:val="-69"/>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四舍五入</w:t>
            </w:r>
            <w:r>
              <w:rPr>
                <w:color w:val="000000" w:themeColor="text1"/>
                <w:spacing w:val="-70"/>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w:t>
            </w:r>
          </w:p>
          <w:p w14:paraId="081A0264">
            <w:pPr>
              <w:pStyle w:val="8"/>
              <w:spacing w:before="31" w:line="370" w:lineRule="auto"/>
              <w:ind w:left="112" w:right="109" w:firstLine="421"/>
              <w:jc w:val="both"/>
              <w:rPr>
                <w:color w:val="000000" w:themeColor="text1"/>
                <w:highlight w:val="none"/>
                <w14:textFill>
                  <w14:solidFill>
                    <w14:schemeClr w14:val="tx1"/>
                  </w14:solidFill>
                </w14:textFill>
              </w:rPr>
            </w:pPr>
            <w:r>
              <w:rPr>
                <w:color w:val="000000" w:themeColor="text1"/>
                <w:spacing w:val="13"/>
                <w:highlight w:val="none"/>
                <w14:textFill>
                  <w14:solidFill>
                    <w14:schemeClr w14:val="tx1"/>
                  </w14:solidFill>
                </w14:textFill>
              </w:rPr>
              <w:t>取消其中1名评委评分的办法一（依次按照以下流程</w:t>
            </w:r>
            <w:r>
              <w:rPr>
                <w:color w:val="000000" w:themeColor="text1"/>
                <w:spacing w:val="-12"/>
                <w:highlight w:val="none"/>
                <w14:textFill>
                  <w14:solidFill>
                    <w14:schemeClr w14:val="tx1"/>
                  </w14:solidFill>
                </w14:textFill>
              </w:rPr>
              <w:t>）：（</w:t>
            </w:r>
            <w:r>
              <w:rPr>
                <w:color w:val="000000" w:themeColor="text1"/>
                <w:spacing w:val="13"/>
                <w:highlight w:val="none"/>
                <w14:textFill>
                  <w14:solidFill>
                    <w14:schemeClr w14:val="tx1"/>
                  </w14:solidFill>
                </w14:textFill>
              </w:rPr>
              <w:t>1）对比上</w:t>
            </w:r>
            <w:r>
              <w:rPr>
                <w:color w:val="000000" w:themeColor="text1"/>
                <w:spacing w:val="12"/>
                <w:highlight w:val="none"/>
                <w14:textFill>
                  <w14:solidFill>
                    <w14:schemeClr w14:val="tx1"/>
                  </w14:solidFill>
                </w14:textFill>
              </w:rPr>
              <w:t>述出现技术评分总分差值最大的评委的次分差（次分差＝某一评委技术评分总分的最高</w:t>
            </w:r>
            <w:r>
              <w:rPr>
                <w:color w:val="000000" w:themeColor="text1"/>
                <w:spacing w:val="15"/>
                <w:highlight w:val="none"/>
                <w14:textFill>
                  <w14:solidFill>
                    <w14:schemeClr w14:val="tx1"/>
                  </w14:solidFill>
                </w14:textFill>
              </w:rPr>
              <w:t>分－该评委技术评分总分的次低分</w:t>
            </w:r>
            <w:r>
              <w:rPr>
                <w:color w:val="000000" w:themeColor="text1"/>
                <w:spacing w:val="-3"/>
                <w:highlight w:val="none"/>
                <w14:textFill>
                  <w14:solidFill>
                    <w14:schemeClr w14:val="tx1"/>
                  </w14:solidFill>
                </w14:textFill>
              </w:rPr>
              <w:t>），</w:t>
            </w:r>
            <w:r>
              <w:rPr>
                <w:color w:val="000000" w:themeColor="text1"/>
                <w:spacing w:val="15"/>
                <w:highlight w:val="none"/>
                <w14:textFill>
                  <w14:solidFill>
                    <w14:schemeClr w14:val="tx1"/>
                  </w14:solidFill>
                </w14:textFill>
              </w:rPr>
              <w:t>取消次分差最大的评委评分</w:t>
            </w:r>
            <w:r>
              <w:rPr>
                <w:color w:val="000000" w:themeColor="text1"/>
                <w:spacing w:val="-3"/>
                <w:highlight w:val="none"/>
                <w14:textFill>
                  <w14:solidFill>
                    <w14:schemeClr w14:val="tx1"/>
                  </w14:solidFill>
                </w14:textFill>
              </w:rPr>
              <w:t>；（</w:t>
            </w:r>
            <w:r>
              <w:rPr>
                <w:color w:val="000000" w:themeColor="text1"/>
                <w:spacing w:val="15"/>
                <w:highlight w:val="none"/>
                <w14:textFill>
                  <w14:solidFill>
                    <w14:schemeClr w14:val="tx1"/>
                  </w14:solidFill>
                </w14:textFill>
              </w:rPr>
              <w:t>2）如次</w:t>
            </w:r>
            <w:r>
              <w:rPr>
                <w:color w:val="000000" w:themeColor="text1"/>
                <w:spacing w:val="9"/>
                <w:highlight w:val="none"/>
                <w14:textFill>
                  <w14:solidFill>
                    <w14:schemeClr w14:val="tx1"/>
                  </w14:solidFill>
                </w14:textFill>
              </w:rPr>
              <w:t>分差仍相同，则按随机抽取的方式选定取消1名评委评分。</w:t>
            </w:r>
          </w:p>
          <w:p w14:paraId="4E32B3C9">
            <w:pPr>
              <w:pStyle w:val="8"/>
              <w:spacing w:before="31" w:line="367" w:lineRule="auto"/>
              <w:ind w:left="114" w:right="108" w:firstLine="417"/>
              <w:jc w:val="both"/>
              <w:rPr>
                <w:color w:val="000000" w:themeColor="text1"/>
                <w:highlight w:val="none"/>
                <w14:textFill>
                  <w14:solidFill>
                    <w14:schemeClr w14:val="tx1"/>
                  </w14:solidFill>
                </w14:textFill>
              </w:rPr>
            </w:pPr>
            <w:r>
              <w:rPr>
                <w:color w:val="000000" w:themeColor="text1"/>
                <w:spacing w:val="17"/>
                <w:highlight w:val="none"/>
                <w14:textFill>
                  <w14:solidFill>
                    <w14:schemeClr w14:val="tx1"/>
                  </w14:solidFill>
                </w14:textFill>
              </w:rPr>
              <w:t>注</w:t>
            </w:r>
            <w:r>
              <w:rPr>
                <w:color w:val="000000" w:themeColor="text1"/>
                <w:spacing w:val="-60"/>
                <w:highlight w:val="none"/>
                <w14:textFill>
                  <w14:solidFill>
                    <w14:schemeClr w14:val="tx1"/>
                  </w14:solidFill>
                </w14:textFill>
              </w:rPr>
              <w:t xml:space="preserve"> </w:t>
            </w:r>
            <w:r>
              <w:rPr>
                <w:color w:val="000000" w:themeColor="text1"/>
                <w:spacing w:val="17"/>
                <w:highlight w:val="none"/>
                <w14:textFill>
                  <w14:solidFill>
                    <w14:schemeClr w14:val="tx1"/>
                  </w14:solidFill>
                </w14:textFill>
              </w:rPr>
              <w:t>：如同一评委对5名投标人技术评分总分分别为：</w:t>
            </w:r>
            <w:r>
              <w:rPr>
                <w:color w:val="000000" w:themeColor="text1"/>
                <w:spacing w:val="-58"/>
                <w:highlight w:val="none"/>
                <w14:textFill>
                  <w14:solidFill>
                    <w14:schemeClr w14:val="tx1"/>
                  </w14:solidFill>
                </w14:textFill>
              </w:rPr>
              <w:t xml:space="preserve"> </w:t>
            </w:r>
            <w:r>
              <w:rPr>
                <w:color w:val="000000" w:themeColor="text1"/>
                <w:spacing w:val="17"/>
                <w:highlight w:val="none"/>
                <w14:textFill>
                  <w14:solidFill>
                    <w14:schemeClr w14:val="tx1"/>
                  </w14:solidFill>
                </w14:textFill>
              </w:rPr>
              <w:t>40</w:t>
            </w:r>
            <w:r>
              <w:rPr>
                <w:color w:val="000000" w:themeColor="text1"/>
                <w:spacing w:val="16"/>
                <w:highlight w:val="none"/>
                <w14:textFill>
                  <w14:solidFill>
                    <w14:schemeClr w14:val="tx1"/>
                  </w14:solidFill>
                </w14:textFill>
              </w:rPr>
              <w:t>分（最高分）、40</w:t>
            </w:r>
            <w:r>
              <w:rPr>
                <w:color w:val="000000" w:themeColor="text1"/>
                <w:spacing w:val="12"/>
                <w:highlight w:val="none"/>
                <w14:textFill>
                  <w14:solidFill>
                    <w14:schemeClr w14:val="tx1"/>
                  </w14:solidFill>
                </w14:textFill>
              </w:rPr>
              <w:t>分、39分、38分、38分（次低分）、</w:t>
            </w:r>
            <w:r>
              <w:rPr>
                <w:color w:val="000000" w:themeColor="text1"/>
                <w:spacing w:val="11"/>
                <w:highlight w:val="none"/>
                <w14:textFill>
                  <w14:solidFill>
                    <w14:schemeClr w14:val="tx1"/>
                  </w14:solidFill>
                </w14:textFill>
              </w:rPr>
              <w:t>37分、37分（最低分</w:t>
            </w:r>
            <w:r>
              <w:rPr>
                <w:color w:val="000000" w:themeColor="text1"/>
                <w:spacing w:val="1"/>
                <w:highlight w:val="none"/>
                <w14:textFill>
                  <w14:solidFill>
                    <w14:schemeClr w14:val="tx1"/>
                  </w14:solidFill>
                </w14:textFill>
              </w:rPr>
              <w:t>），</w:t>
            </w:r>
            <w:r>
              <w:rPr>
                <w:color w:val="000000" w:themeColor="text1"/>
                <w:spacing w:val="11"/>
                <w:highlight w:val="none"/>
                <w14:textFill>
                  <w14:solidFill>
                    <w14:schemeClr w14:val="tx1"/>
                  </w14:solidFill>
                </w14:textFill>
              </w:rPr>
              <w:t>则其最大差值为3</w:t>
            </w:r>
            <w:r>
              <w:rPr>
                <w:color w:val="000000" w:themeColor="text1"/>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分，次分差为：40分-38分=2分。</w:t>
            </w:r>
          </w:p>
          <w:p w14:paraId="68773718">
            <w:pPr>
              <w:pStyle w:val="8"/>
              <w:spacing w:before="32" w:line="227" w:lineRule="auto"/>
              <w:ind w:left="534"/>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取消其中1名评委评分的办法二：按随机抽取的方式选定取消1名评委评分。</w:t>
            </w:r>
          </w:p>
          <w:p w14:paraId="51576794">
            <w:pPr>
              <w:pStyle w:val="8"/>
              <w:spacing w:before="164" w:line="367" w:lineRule="auto"/>
              <w:ind w:left="111" w:right="107" w:firstLine="419"/>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评标委员会人数为7人时，计算投标人技术得分时:各评分因素细分项中取消</w:t>
            </w:r>
            <w:r>
              <w:rPr>
                <w:color w:val="000000" w:themeColor="text1"/>
                <w:spacing w:val="6"/>
                <w:highlight w:val="none"/>
                <w14:textFill>
                  <w14:solidFill>
                    <w14:schemeClr w14:val="tx1"/>
                  </w14:solidFill>
                </w14:textFill>
              </w:rPr>
              <w:t xml:space="preserve"> </w:t>
            </w:r>
            <w:r>
              <w:rPr>
                <w:color w:val="000000" w:themeColor="text1"/>
                <w:spacing w:val="12"/>
                <w:highlight w:val="none"/>
                <w14:textFill>
                  <w14:solidFill>
                    <w14:schemeClr w14:val="tx1"/>
                  </w14:solidFill>
                </w14:textFill>
              </w:rPr>
              <w:t>一个最高、一个最低分后计算算术平均值的和为投标人的最终技术得分，平均值</w:t>
            </w:r>
            <w:r>
              <w:rPr>
                <w:color w:val="000000" w:themeColor="text1"/>
                <w:spacing w:val="10"/>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计算保留小数点后三位，小数点后第四位“</w:t>
            </w:r>
            <w:r>
              <w:rPr>
                <w:color w:val="000000" w:themeColor="text1"/>
                <w:spacing w:val="-71"/>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四舍五入</w:t>
            </w:r>
            <w:r>
              <w:rPr>
                <w:color w:val="000000" w:themeColor="text1"/>
                <w:spacing w:val="-70"/>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w:t>
            </w:r>
          </w:p>
          <w:p w14:paraId="4634C323">
            <w:pPr>
              <w:pStyle w:val="8"/>
              <w:spacing w:before="31" w:line="227" w:lineRule="auto"/>
              <w:ind w:left="555"/>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以上评标委员会人数以实际参与评审的评标委员会人数数量为准。</w:t>
            </w:r>
          </w:p>
        </w:tc>
      </w:tr>
      <w:tr w14:paraId="1591D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6" w:hRule="atLeast"/>
        </w:trPr>
        <w:tc>
          <w:tcPr>
            <w:tcW w:w="1256" w:type="dxa"/>
            <w:gridSpan w:val="2"/>
            <w:vAlign w:val="center"/>
          </w:tcPr>
          <w:p w14:paraId="75779014">
            <w:pPr>
              <w:pStyle w:val="8"/>
              <w:spacing w:before="65" w:line="189" w:lineRule="auto"/>
              <w:jc w:val="center"/>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3.9</w:t>
            </w:r>
          </w:p>
        </w:tc>
        <w:tc>
          <w:tcPr>
            <w:tcW w:w="8666" w:type="dxa"/>
            <w:gridSpan w:val="5"/>
            <w:vAlign w:val="top"/>
          </w:tcPr>
          <w:p w14:paraId="23AB6AAA">
            <w:pPr>
              <w:pStyle w:val="8"/>
              <w:spacing w:before="36" w:line="228" w:lineRule="auto"/>
              <w:ind w:left="546"/>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增加</w:t>
            </w:r>
            <w:r>
              <w:rPr>
                <w:color w:val="000000" w:themeColor="text1"/>
                <w:spacing w:val="-32"/>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3.9.3</w:t>
            </w:r>
            <w:r>
              <w:rPr>
                <w:rFonts w:hint="eastAsia"/>
                <w:color w:val="000000" w:themeColor="text1"/>
                <w:spacing w:val="3"/>
                <w:highlight w:val="none"/>
                <w:lang w:eastAsia="zh-CN"/>
                <w14:textFill>
                  <w14:solidFill>
                    <w14:schemeClr w14:val="tx1"/>
                  </w14:solidFill>
                </w14:textFill>
              </w:rPr>
              <w:t>、</w:t>
            </w:r>
            <w:r>
              <w:rPr>
                <w:rFonts w:hint="eastAsia"/>
                <w:color w:val="000000" w:themeColor="text1"/>
                <w:spacing w:val="3"/>
                <w:highlight w:val="none"/>
                <w:lang w:val="en-US" w:eastAsia="zh-CN"/>
                <w14:textFill>
                  <w14:solidFill>
                    <w14:schemeClr w14:val="tx1"/>
                  </w14:solidFill>
                </w14:textFill>
              </w:rPr>
              <w:t>3.9.4、3.9.5、3.9.6、</w:t>
            </w:r>
            <w:r>
              <w:rPr>
                <w:color w:val="000000" w:themeColor="text1"/>
                <w:spacing w:val="3"/>
                <w:highlight w:val="none"/>
                <w14:textFill>
                  <w14:solidFill>
                    <w14:schemeClr w14:val="tx1"/>
                  </w14:solidFill>
                </w14:textFill>
              </w:rPr>
              <w:t>3.9.7</w:t>
            </w:r>
            <w:r>
              <w:rPr>
                <w:color w:val="000000" w:themeColor="text1"/>
                <w:spacing w:val="-34"/>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项：</w:t>
            </w:r>
          </w:p>
          <w:p w14:paraId="21D9042A">
            <w:pPr>
              <w:pStyle w:val="8"/>
              <w:spacing w:before="160" w:line="377" w:lineRule="auto"/>
              <w:ind w:right="107" w:firstLine="436" w:firstLineChars="200"/>
              <w:rPr>
                <w:color w:val="000000" w:themeColor="text1"/>
                <w:spacing w:val="9"/>
                <w:position w:val="10"/>
                <w:sz w:val="10"/>
                <w:szCs w:val="10"/>
                <w:highlight w:val="none"/>
                <w14:textFill>
                  <w14:solidFill>
                    <w14:schemeClr w14:val="tx1"/>
                  </w14:solidFill>
                </w14:textFill>
              </w:rPr>
            </w:pPr>
            <w:r>
              <w:rPr>
                <w:color w:val="000000" w:themeColor="text1"/>
                <w:spacing w:val="9"/>
                <w:highlight w:val="none"/>
                <w14:textFill>
                  <w14:solidFill>
                    <w14:schemeClr w14:val="tx1"/>
                  </w14:solidFill>
                </w14:textFill>
              </w:rPr>
              <w:t>3.9.3</w:t>
            </w:r>
            <w:r>
              <w:rPr>
                <w:color w:val="000000" w:themeColor="text1"/>
                <w:spacing w:val="-35"/>
                <w:highlight w:val="none"/>
                <w14:textFill>
                  <w14:solidFill>
                    <w14:schemeClr w14:val="tx1"/>
                  </w14:solidFill>
                </w14:textFill>
              </w:rPr>
              <w:t xml:space="preserve"> </w:t>
            </w:r>
            <w:r>
              <w:rPr>
                <w:color w:val="000000" w:themeColor="text1"/>
                <w:spacing w:val="9"/>
                <w:highlight w:val="none"/>
                <w:u w:val="single" w:color="auto"/>
                <w14:textFill>
                  <w14:solidFill>
                    <w14:schemeClr w14:val="tx1"/>
                  </w14:solidFill>
                </w14:textFill>
              </w:rPr>
              <w:t>如允许多个标段同时投标，推荐中标候选人方式</w:t>
            </w:r>
            <w:r>
              <w:rPr>
                <w:color w:val="000000" w:themeColor="text1"/>
                <w:spacing w:val="-13"/>
                <w:highlight w:val="none"/>
                <w:u w:val="single" w:color="auto"/>
                <w14:textFill>
                  <w14:solidFill>
                    <w14:schemeClr w14:val="tx1"/>
                  </w14:solidFill>
                </w14:textFill>
              </w:rPr>
              <w:t>：</w:t>
            </w:r>
            <w:r>
              <w:rPr>
                <w:color w:val="000000" w:themeColor="text1"/>
                <w:spacing w:val="-79"/>
                <w:highlight w:val="none"/>
                <w:u w:val="single" w:color="auto"/>
                <w14:textFill>
                  <w14:solidFill>
                    <w14:schemeClr w14:val="tx1"/>
                  </w14:solidFill>
                </w14:textFill>
              </w:rPr>
              <w:t xml:space="preserve"> </w:t>
            </w:r>
            <w:r>
              <w:rPr>
                <w:color w:val="000000" w:themeColor="text1"/>
                <w:spacing w:val="-13"/>
                <w:highlight w:val="none"/>
                <w:u w:val="single" w:color="auto"/>
                <w14:textFill>
                  <w14:solidFill>
                    <w14:schemeClr w14:val="tx1"/>
                  </w14:solidFill>
                </w14:textFill>
              </w:rPr>
              <w:t>（</w:t>
            </w:r>
            <w:r>
              <w:rPr>
                <w:color w:val="000000" w:themeColor="text1"/>
                <w:spacing w:val="9"/>
                <w:highlight w:val="none"/>
                <w:u w:val="single" w:color="auto"/>
                <w14:textFill>
                  <w14:solidFill>
                    <w14:schemeClr w14:val="tx1"/>
                  </w14:solidFill>
                </w14:textFill>
              </w:rPr>
              <w:t>1）</w:t>
            </w:r>
            <w:r>
              <w:rPr>
                <w:color w:val="000000" w:themeColor="text1"/>
                <w:spacing w:val="-57"/>
                <w:highlight w:val="none"/>
                <w:u w:val="single" w:color="auto"/>
                <w14:textFill>
                  <w14:solidFill>
                    <w14:schemeClr w14:val="tx1"/>
                  </w14:solidFill>
                </w14:textFill>
              </w:rPr>
              <w:t xml:space="preserve"> </w:t>
            </w:r>
            <w:r>
              <w:rPr>
                <w:color w:val="000000" w:themeColor="text1"/>
                <w:spacing w:val="9"/>
                <w:highlight w:val="none"/>
                <w:u w:val="single" w:color="auto"/>
                <w14:textFill>
                  <w14:solidFill>
                    <w14:schemeClr w14:val="tx1"/>
                  </w14:solidFill>
                </w14:textFill>
              </w:rPr>
              <w:t>已被推</w:t>
            </w:r>
            <w:r>
              <w:rPr>
                <w:color w:val="000000" w:themeColor="text1"/>
                <w:spacing w:val="8"/>
                <w:highlight w:val="none"/>
                <w:u w:val="single" w:color="auto"/>
                <w14:textFill>
                  <w14:solidFill>
                    <w14:schemeClr w14:val="tx1"/>
                  </w14:solidFill>
                </w14:textFill>
              </w:rPr>
              <w:t>荐为某</w:t>
            </w:r>
            <w:r>
              <w:rPr>
                <w:color w:val="000000" w:themeColor="text1"/>
                <w:spacing w:val="17"/>
                <w:highlight w:val="none"/>
                <w:u w:val="single" w:color="auto"/>
                <w14:textFill>
                  <w14:solidFill>
                    <w14:schemeClr w14:val="tx1"/>
                  </w14:solidFill>
                </w14:textFill>
              </w:rPr>
              <w:t>一标段的第一中标候选人，</w:t>
            </w:r>
            <w:r>
              <w:rPr>
                <w:color w:val="000000" w:themeColor="text1"/>
                <w:spacing w:val="-40"/>
                <w:highlight w:val="none"/>
                <w:u w:val="single" w:color="auto"/>
                <w14:textFill>
                  <w14:solidFill>
                    <w14:schemeClr w14:val="tx1"/>
                  </w14:solidFill>
                </w14:textFill>
              </w:rPr>
              <w:t xml:space="preserve"> </w:t>
            </w:r>
            <w:r>
              <w:rPr>
                <w:color w:val="000000" w:themeColor="text1"/>
                <w:spacing w:val="17"/>
                <w:highlight w:val="none"/>
                <w:u w:val="single" w:color="auto"/>
                <w14:textFill>
                  <w14:solidFill>
                    <w14:schemeClr w14:val="tx1"/>
                  </w14:solidFill>
                </w14:textFill>
              </w:rPr>
              <w:t>自动失去其在本次招标中其他标</w:t>
            </w:r>
            <w:r>
              <w:rPr>
                <w:color w:val="000000" w:themeColor="text1"/>
                <w:spacing w:val="16"/>
                <w:highlight w:val="none"/>
                <w:u w:val="single" w:color="auto"/>
                <w14:textFill>
                  <w14:solidFill>
                    <w14:schemeClr w14:val="tx1"/>
                  </w14:solidFill>
                </w14:textFill>
              </w:rPr>
              <w:t>段的中标候选人资</w:t>
            </w:r>
            <w:r>
              <w:rPr>
                <w:color w:val="000000" w:themeColor="text1"/>
                <w:spacing w:val="15"/>
                <w:highlight w:val="none"/>
                <w:u w:val="single" w:color="auto"/>
                <w14:textFill>
                  <w14:solidFill>
                    <w14:schemeClr w14:val="tx1"/>
                  </w14:solidFill>
                </w14:textFill>
              </w:rPr>
              <w:t>格。（2）按标段最高投标限价由高到低顺序依次选定各标段中标候选人，如果</w:t>
            </w:r>
            <w:r>
              <w:rPr>
                <w:color w:val="000000" w:themeColor="text1"/>
                <w:spacing w:val="12"/>
                <w:highlight w:val="none"/>
                <w:u w:val="single" w:color="auto"/>
                <w14:textFill>
                  <w14:solidFill>
                    <w14:schemeClr w14:val="tx1"/>
                  </w14:solidFill>
                </w14:textFill>
              </w:rPr>
              <w:t>出现投标人在多个标段都排名第一，将确定该投标人为最高投标限价较高的标段的第一中标候选人，同时该投标人自动失去在本次招标中其他标段的中标候选人</w:t>
            </w:r>
            <w:r>
              <w:rPr>
                <w:color w:val="000000" w:themeColor="text1"/>
                <w:spacing w:val="9"/>
                <w:highlight w:val="none"/>
                <w:u w:val="single" w:color="auto"/>
                <w14:textFill>
                  <w14:solidFill>
                    <w14:schemeClr w14:val="tx1"/>
                  </w14:solidFill>
                </w14:textFill>
              </w:rPr>
              <w:t>资格，其他标段的综合排名名次高者自动上升为中标候选人，以此类推</w:t>
            </w:r>
            <w:r>
              <w:rPr>
                <w:color w:val="000000" w:themeColor="text1"/>
                <w:spacing w:val="9"/>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"bookmark103" </w:instrText>
            </w:r>
            <w:r>
              <w:rPr>
                <w:color w:val="000000" w:themeColor="text1"/>
                <w:highlight w:val="none"/>
                <w14:textFill>
                  <w14:solidFill>
                    <w14:schemeClr w14:val="tx1"/>
                  </w14:solidFill>
                </w14:textFill>
              </w:rPr>
              <w:fldChar w:fldCharType="separate"/>
            </w:r>
            <w:r>
              <w:rPr>
                <w:color w:val="000000" w:themeColor="text1"/>
                <w:spacing w:val="9"/>
                <w:position w:val="10"/>
                <w:sz w:val="10"/>
                <w:szCs w:val="10"/>
                <w:highlight w:val="none"/>
                <w14:textFill>
                  <w14:solidFill>
                    <w14:schemeClr w14:val="tx1"/>
                  </w14:solidFill>
                </w14:textFill>
              </w:rPr>
              <w:t>1</w:t>
            </w:r>
            <w:r>
              <w:rPr>
                <w:color w:val="000000" w:themeColor="text1"/>
                <w:spacing w:val="9"/>
                <w:position w:val="10"/>
                <w:sz w:val="10"/>
                <w:szCs w:val="10"/>
                <w:highlight w:val="none"/>
                <w14:textFill>
                  <w14:solidFill>
                    <w14:schemeClr w14:val="tx1"/>
                  </w14:solidFill>
                </w14:textFill>
              </w:rPr>
              <w:fldChar w:fldCharType="end"/>
            </w:r>
          </w:p>
          <w:p w14:paraId="726AA209">
            <w:pPr>
              <w:pStyle w:val="8"/>
              <w:spacing w:before="160" w:line="377" w:lineRule="auto"/>
              <w:ind w:right="107" w:firstLine="452" w:firstLineChars="200"/>
              <w:rPr>
                <w:color w:val="000000" w:themeColor="text1"/>
                <w:spacing w:val="13"/>
                <w:highlight w:val="none"/>
                <w14:textFill>
                  <w14:solidFill>
                    <w14:schemeClr w14:val="tx1"/>
                  </w14:solidFill>
                </w14:textFill>
              </w:rPr>
            </w:pPr>
            <w:r>
              <w:rPr>
                <w:color w:val="000000" w:themeColor="text1"/>
                <w:spacing w:val="13"/>
                <w:highlight w:val="none"/>
                <w14:textFill>
                  <w14:solidFill>
                    <w14:schemeClr w14:val="tx1"/>
                  </w14:solidFill>
                </w14:textFill>
              </w:rPr>
              <w:t>3.9.4</w:t>
            </w:r>
            <w:r>
              <w:rPr>
                <w:color w:val="000000" w:themeColor="text1"/>
                <w:spacing w:val="-33"/>
                <w:highlight w:val="none"/>
                <w14:textFill>
                  <w14:solidFill>
                    <w14:schemeClr w14:val="tx1"/>
                  </w14:solidFill>
                </w14:textFill>
              </w:rPr>
              <w:t xml:space="preserve"> </w:t>
            </w:r>
            <w:r>
              <w:rPr>
                <w:color w:val="000000" w:themeColor="text1"/>
                <w:spacing w:val="13"/>
                <w:highlight w:val="none"/>
                <w14:textFill>
                  <w14:solidFill>
                    <w14:schemeClr w14:val="tx1"/>
                  </w14:solidFill>
                </w14:textFill>
              </w:rPr>
              <w:t>通过第一个信封商务和技术文件评审</w:t>
            </w:r>
            <w:r>
              <w:rPr>
                <w:color w:val="000000" w:themeColor="text1"/>
                <w:spacing w:val="12"/>
                <w:highlight w:val="none"/>
                <w14:textFill>
                  <w14:solidFill>
                    <w14:schemeClr w14:val="tx1"/>
                  </w14:solidFill>
                </w14:textFill>
              </w:rPr>
              <w:t>的投标人少于</w:t>
            </w:r>
            <w:r>
              <w:rPr>
                <w:color w:val="000000" w:themeColor="text1"/>
                <w:spacing w:val="-30"/>
                <w:highlight w:val="none"/>
                <w14:textFill>
                  <w14:solidFill>
                    <w14:schemeClr w14:val="tx1"/>
                  </w14:solidFill>
                </w14:textFill>
              </w:rPr>
              <w:t xml:space="preserve"> </w:t>
            </w:r>
            <w:r>
              <w:rPr>
                <w:color w:val="000000" w:themeColor="text1"/>
                <w:spacing w:val="12"/>
                <w:highlight w:val="none"/>
                <w14:textFill>
                  <w14:solidFill>
                    <w14:schemeClr w14:val="tx1"/>
                  </w14:solidFill>
                </w14:textFill>
              </w:rPr>
              <w:t>3</w:t>
            </w:r>
            <w:r>
              <w:rPr>
                <w:color w:val="000000" w:themeColor="text1"/>
                <w:spacing w:val="-31"/>
                <w:highlight w:val="none"/>
                <w14:textFill>
                  <w14:solidFill>
                    <w14:schemeClr w14:val="tx1"/>
                  </w14:solidFill>
                </w14:textFill>
              </w:rPr>
              <w:t xml:space="preserve"> </w:t>
            </w:r>
            <w:r>
              <w:rPr>
                <w:color w:val="000000" w:themeColor="text1"/>
                <w:spacing w:val="12"/>
                <w:highlight w:val="none"/>
                <w14:textFill>
                  <w14:solidFill>
                    <w14:schemeClr w14:val="tx1"/>
                  </w14:solidFill>
                </w14:textFill>
              </w:rPr>
              <w:t>个的，评标委员会可以否决全部投标；未否决全部投标的，评标委员会应当在评标报告中阐明理</w:t>
            </w:r>
            <w:bookmarkStart w:id="9" w:name="bookmark103"/>
            <w:bookmarkEnd w:id="9"/>
            <w:r>
              <w:rPr>
                <w:color w:val="000000" w:themeColor="text1"/>
                <w:spacing w:val="12"/>
                <w:highlight w:val="none"/>
                <w14:textFill>
                  <w14:solidFill>
                    <w14:schemeClr w14:val="tx1"/>
                  </w14:solidFill>
                </w14:textFill>
              </w:rPr>
              <w:t>由，招标人应当按照招标文件规定的程序进行第二个信封报价开标，但评标委员会在进行报价评审时仍有权否决全部投标；评标委员会未在报价文件评审时否决</w:t>
            </w:r>
            <w:r>
              <w:rPr>
                <w:color w:val="000000" w:themeColor="text1"/>
                <w:spacing w:val="9"/>
                <w:highlight w:val="none"/>
                <w14:textFill>
                  <w14:solidFill>
                    <w14:schemeClr w14:val="tx1"/>
                  </w14:solidFill>
                </w14:textFill>
              </w:rPr>
              <w:t>全部投标的，应当在评标报告中阐明理由并推荐中标候选人。</w:t>
            </w:r>
          </w:p>
          <w:p w14:paraId="1ACC31D5">
            <w:pPr>
              <w:pStyle w:val="8"/>
              <w:spacing w:before="31" w:line="340" w:lineRule="auto"/>
              <w:ind w:left="112" w:right="107" w:firstLine="382"/>
              <w:rPr>
                <w:color w:val="000000" w:themeColor="text1"/>
                <w:highlight w:val="none"/>
                <w14:textFill>
                  <w14:solidFill>
                    <w14:schemeClr w14:val="tx1"/>
                  </w14:solidFill>
                </w14:textFill>
              </w:rPr>
            </w:pPr>
            <w:r>
              <w:rPr>
                <w:color w:val="000000" w:themeColor="text1"/>
                <w:spacing w:val="13"/>
                <w:highlight w:val="none"/>
                <w14:textFill>
                  <w14:solidFill>
                    <w14:schemeClr w14:val="tx1"/>
                  </w14:solidFill>
                </w14:textFill>
              </w:rPr>
              <w:t>3.9.5</w:t>
            </w:r>
            <w:r>
              <w:rPr>
                <w:color w:val="000000" w:themeColor="text1"/>
                <w:spacing w:val="-33"/>
                <w:highlight w:val="none"/>
                <w14:textFill>
                  <w14:solidFill>
                    <w14:schemeClr w14:val="tx1"/>
                  </w14:solidFill>
                </w14:textFill>
              </w:rPr>
              <w:t xml:space="preserve"> </w:t>
            </w:r>
            <w:r>
              <w:rPr>
                <w:color w:val="000000" w:themeColor="text1"/>
                <w:spacing w:val="13"/>
                <w:highlight w:val="none"/>
                <w14:textFill>
                  <w14:solidFill>
                    <w14:schemeClr w14:val="tx1"/>
                  </w14:solidFill>
                </w14:textFill>
              </w:rPr>
              <w:t>通过第一个信封商务和技术文件评审的投标</w:t>
            </w:r>
            <w:r>
              <w:rPr>
                <w:color w:val="000000" w:themeColor="text1"/>
                <w:spacing w:val="12"/>
                <w:highlight w:val="none"/>
                <w14:textFill>
                  <w14:solidFill>
                    <w14:schemeClr w14:val="tx1"/>
                  </w14:solidFill>
                </w14:textFill>
              </w:rPr>
              <w:t>人在</w:t>
            </w:r>
            <w:r>
              <w:rPr>
                <w:color w:val="000000" w:themeColor="text1"/>
                <w:spacing w:val="-31"/>
                <w:highlight w:val="none"/>
                <w14:textFill>
                  <w14:solidFill>
                    <w14:schemeClr w14:val="tx1"/>
                  </w14:solidFill>
                </w14:textFill>
              </w:rPr>
              <w:t xml:space="preserve"> </w:t>
            </w:r>
            <w:r>
              <w:rPr>
                <w:color w:val="000000" w:themeColor="text1"/>
                <w:spacing w:val="12"/>
                <w:highlight w:val="none"/>
                <w14:textFill>
                  <w14:solidFill>
                    <w14:schemeClr w14:val="tx1"/>
                  </w14:solidFill>
                </w14:textFill>
              </w:rPr>
              <w:t>3</w:t>
            </w:r>
            <w:r>
              <w:rPr>
                <w:color w:val="000000" w:themeColor="text1"/>
                <w:spacing w:val="-30"/>
                <w:highlight w:val="none"/>
                <w14:textFill>
                  <w14:solidFill>
                    <w14:schemeClr w14:val="tx1"/>
                  </w14:solidFill>
                </w14:textFill>
              </w:rPr>
              <w:t xml:space="preserve"> </w:t>
            </w:r>
            <w:r>
              <w:rPr>
                <w:color w:val="000000" w:themeColor="text1"/>
                <w:spacing w:val="12"/>
                <w:highlight w:val="none"/>
                <w14:textFill>
                  <w14:solidFill>
                    <w14:schemeClr w14:val="tx1"/>
                  </w14:solidFill>
                </w14:textFill>
              </w:rPr>
              <w:t>个及以上的，招标人应当按照招标文件规定的程序进行第二个信封报价文件开标；在对报价文件进</w:t>
            </w:r>
            <w:r>
              <w:rPr>
                <w:color w:val="000000" w:themeColor="text1"/>
                <w:spacing w:val="9"/>
                <w:highlight w:val="none"/>
                <w14:textFill>
                  <w14:solidFill>
                    <w14:schemeClr w14:val="tx1"/>
                  </w14:solidFill>
                </w14:textFill>
              </w:rPr>
              <w:t xml:space="preserve"> </w:t>
            </w:r>
            <w:r>
              <w:rPr>
                <w:color w:val="000000" w:themeColor="text1"/>
                <w:spacing w:val="11"/>
                <w:highlight w:val="none"/>
                <w14:textFill>
                  <w14:solidFill>
                    <w14:schemeClr w14:val="tx1"/>
                  </w14:solidFill>
                </w14:textFill>
              </w:rPr>
              <w:t>行评审后，有效投标不足</w:t>
            </w:r>
            <w:r>
              <w:rPr>
                <w:color w:val="000000" w:themeColor="text1"/>
                <w:spacing w:val="-18"/>
                <w:highlight w:val="none"/>
                <w14:textFill>
                  <w14:solidFill>
                    <w14:schemeClr w14:val="tx1"/>
                  </w14:solidFill>
                </w14:textFill>
              </w:rPr>
              <w:t xml:space="preserve"> </w:t>
            </w:r>
            <w:r>
              <w:rPr>
                <w:color w:val="000000" w:themeColor="text1"/>
                <w:spacing w:val="11"/>
                <w:highlight w:val="none"/>
                <w14:textFill>
                  <w14:solidFill>
                    <w14:schemeClr w14:val="tx1"/>
                  </w14:solidFill>
                </w14:textFill>
              </w:rPr>
              <w:t>3</w:t>
            </w:r>
            <w:r>
              <w:rPr>
                <w:color w:val="000000" w:themeColor="text1"/>
                <w:spacing w:val="-37"/>
                <w:highlight w:val="none"/>
                <w14:textFill>
                  <w14:solidFill>
                    <w14:schemeClr w14:val="tx1"/>
                  </w14:solidFill>
                </w14:textFill>
              </w:rPr>
              <w:t xml:space="preserve"> </w:t>
            </w:r>
            <w:r>
              <w:rPr>
                <w:color w:val="000000" w:themeColor="text1"/>
                <w:spacing w:val="11"/>
                <w:highlight w:val="none"/>
                <w14:textFill>
                  <w14:solidFill>
                    <w14:schemeClr w14:val="tx1"/>
                  </w14:solidFill>
                </w14:textFill>
              </w:rPr>
              <w:t>个的，评标委员会可以否决全部投标。未否决全部投</w:t>
            </w:r>
            <w:r>
              <w:rPr>
                <w:color w:val="000000" w:themeColor="text1"/>
                <w:highlight w:val="none"/>
                <w14:textFill>
                  <w14:solidFill>
                    <w14:schemeClr w14:val="tx1"/>
                  </w14:solidFill>
                </w14:textFill>
              </w:rPr>
              <w:t xml:space="preserve"> </w:t>
            </w:r>
            <w:r>
              <w:rPr>
                <w:color w:val="000000" w:themeColor="text1"/>
                <w:spacing w:val="9"/>
                <w:highlight w:val="none"/>
                <w14:textFill>
                  <w14:solidFill>
                    <w14:schemeClr w14:val="tx1"/>
                  </w14:solidFill>
                </w14:textFill>
              </w:rPr>
              <w:t>标的，评标委员会应当在评标报告中阐明理由并推荐中标候选人。</w:t>
            </w:r>
          </w:p>
          <w:p w14:paraId="23F134A9">
            <w:pPr>
              <w:pStyle w:val="8"/>
              <w:spacing w:before="164" w:line="302" w:lineRule="auto"/>
              <w:ind w:left="113" w:right="109" w:firstLine="381"/>
              <w:rPr>
                <w:color w:val="000000" w:themeColor="text1"/>
                <w:highlight w:val="none"/>
                <w14:textFill>
                  <w14:solidFill>
                    <w14:schemeClr w14:val="tx1"/>
                  </w14:solidFill>
                </w14:textFill>
              </w:rPr>
            </w:pPr>
            <w:r>
              <w:rPr>
                <w:color w:val="000000" w:themeColor="text1"/>
                <w:spacing w:val="14"/>
                <w:highlight w:val="none"/>
                <w14:textFill>
                  <w14:solidFill>
                    <w14:schemeClr w14:val="tx1"/>
                  </w14:solidFill>
                </w14:textFill>
              </w:rPr>
              <w:t>3.9.6</w:t>
            </w:r>
            <w:r>
              <w:rPr>
                <w:color w:val="000000" w:themeColor="text1"/>
                <w:spacing w:val="-30"/>
                <w:highlight w:val="none"/>
                <w14:textFill>
                  <w14:solidFill>
                    <w14:schemeClr w14:val="tx1"/>
                  </w14:solidFill>
                </w14:textFill>
              </w:rPr>
              <w:t xml:space="preserve"> </w:t>
            </w:r>
            <w:r>
              <w:rPr>
                <w:color w:val="000000" w:themeColor="text1"/>
                <w:spacing w:val="14"/>
                <w:highlight w:val="none"/>
                <w14:textFill>
                  <w14:solidFill>
                    <w14:schemeClr w14:val="tx1"/>
                  </w14:solidFill>
                </w14:textFill>
              </w:rPr>
              <w:t>如果发生无法确定推荐中标候选人的其</w:t>
            </w:r>
            <w:r>
              <w:rPr>
                <w:color w:val="000000" w:themeColor="text1"/>
                <w:spacing w:val="13"/>
                <w:highlight w:val="none"/>
                <w14:textFill>
                  <w14:solidFill>
                    <w14:schemeClr w14:val="tx1"/>
                  </w14:solidFill>
                </w14:textFill>
              </w:rPr>
              <w:t>它意外情况，评标委员会可建</w:t>
            </w:r>
            <w:r>
              <w:rPr>
                <w:color w:val="000000" w:themeColor="text1"/>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议招标人重新招标。</w:t>
            </w:r>
          </w:p>
          <w:p w14:paraId="50AEF69C">
            <w:pPr>
              <w:pStyle w:val="8"/>
              <w:spacing w:before="130" w:line="408" w:lineRule="exact"/>
              <w:ind w:left="494"/>
              <w:rPr>
                <w:color w:val="000000" w:themeColor="text1"/>
                <w:highlight w:val="none"/>
                <w14:textFill>
                  <w14:solidFill>
                    <w14:schemeClr w14:val="tx1"/>
                  </w14:solidFill>
                </w14:textFill>
              </w:rPr>
            </w:pPr>
            <w:r>
              <w:rPr>
                <w:color w:val="000000" w:themeColor="text1"/>
                <w:spacing w:val="8"/>
                <w:position w:val="5"/>
                <w:highlight w:val="none"/>
                <w14:textFill>
                  <w14:solidFill>
                    <w14:schemeClr w14:val="tx1"/>
                  </w14:solidFill>
                </w14:textFill>
              </w:rPr>
              <w:t>3.9.7</w:t>
            </w:r>
            <w:r>
              <w:rPr>
                <w:color w:val="000000" w:themeColor="text1"/>
                <w:spacing w:val="-37"/>
                <w:position w:val="5"/>
                <w:highlight w:val="none"/>
                <w14:textFill>
                  <w14:solidFill>
                    <w14:schemeClr w14:val="tx1"/>
                  </w14:solidFill>
                </w14:textFill>
              </w:rPr>
              <w:t xml:space="preserve"> </w:t>
            </w:r>
            <w:r>
              <w:rPr>
                <w:color w:val="000000" w:themeColor="text1"/>
                <w:spacing w:val="8"/>
                <w:position w:val="5"/>
                <w:highlight w:val="none"/>
                <w14:textFill>
                  <w14:solidFill>
                    <w14:schemeClr w14:val="tx1"/>
                  </w14:solidFill>
                </w14:textFill>
              </w:rPr>
              <w:t>本招标文件规定的否决投标条款包含在以下条款：</w:t>
            </w:r>
          </w:p>
          <w:p w14:paraId="5A7EB540">
            <w:pPr>
              <w:pStyle w:val="8"/>
              <w:spacing w:before="32" w:line="226" w:lineRule="auto"/>
              <w:ind w:left="500"/>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（1）招标公告第</w:t>
            </w:r>
            <w:r>
              <w:rPr>
                <w:rFonts w:hint="eastAsia"/>
                <w:color w:val="000000" w:themeColor="text1"/>
                <w:spacing w:val="-16"/>
                <w:highlight w:val="none"/>
                <w:lang w:val="en-US" w:eastAsia="zh-CN"/>
                <w14:textFill>
                  <w14:solidFill>
                    <w14:schemeClr w14:val="tx1"/>
                  </w14:solidFill>
                </w14:textFill>
              </w:rPr>
              <w:t>3</w:t>
            </w:r>
            <w:r>
              <w:rPr>
                <w:color w:val="000000" w:themeColor="text1"/>
                <w:spacing w:val="5"/>
                <w:highlight w:val="none"/>
                <w14:textFill>
                  <w14:solidFill>
                    <w14:schemeClr w14:val="tx1"/>
                  </w14:solidFill>
                </w14:textFill>
              </w:rPr>
              <w:t>点投标人资格要求；</w:t>
            </w:r>
          </w:p>
          <w:p w14:paraId="2F965E38">
            <w:pPr>
              <w:pStyle w:val="8"/>
              <w:spacing w:before="163" w:line="228" w:lineRule="auto"/>
              <w:ind w:left="500"/>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（2）</w:t>
            </w:r>
            <w:r>
              <w:rPr>
                <w:color w:val="000000" w:themeColor="text1"/>
                <w:spacing w:val="-45"/>
                <w:highlight w:val="none"/>
                <w14:textFill>
                  <w14:solidFill>
                    <w14:schemeClr w14:val="tx1"/>
                  </w14:solidFill>
                </w14:textFill>
              </w:rPr>
              <w:t xml:space="preserve"> </w:t>
            </w:r>
            <w:r>
              <w:rPr>
                <w:color w:val="000000" w:themeColor="text1"/>
                <w:spacing w:val="7"/>
                <w:highlight w:val="none"/>
                <w:u w:val="single" w:color="auto"/>
                <w14:textFill>
                  <w14:solidFill>
                    <w14:schemeClr w14:val="tx1"/>
                  </w14:solidFill>
                </w14:textFill>
              </w:rPr>
              <w:t>投标人须知 1.4.3</w:t>
            </w:r>
            <w:r>
              <w:rPr>
                <w:color w:val="000000" w:themeColor="text1"/>
                <w:spacing w:val="-21"/>
                <w:highlight w:val="none"/>
                <w:u w:val="single" w:color="auto"/>
                <w14:textFill>
                  <w14:solidFill>
                    <w14:schemeClr w14:val="tx1"/>
                  </w14:solidFill>
                </w14:textFill>
              </w:rPr>
              <w:t xml:space="preserve"> </w:t>
            </w:r>
            <w:r>
              <w:rPr>
                <w:color w:val="000000" w:themeColor="text1"/>
                <w:spacing w:val="7"/>
                <w:highlight w:val="none"/>
                <w:u w:val="single" w:color="auto"/>
                <w14:textFill>
                  <w14:solidFill>
                    <w14:schemeClr w14:val="tx1"/>
                  </w14:solidFill>
                </w14:textFill>
              </w:rPr>
              <w:t>项、</w:t>
            </w:r>
            <w:r>
              <w:rPr>
                <w:color w:val="000000" w:themeColor="text1"/>
                <w:spacing w:val="-53"/>
                <w:highlight w:val="none"/>
                <w:u w:val="single" w:color="auto"/>
                <w14:textFill>
                  <w14:solidFill>
                    <w14:schemeClr w14:val="tx1"/>
                  </w14:solidFill>
                </w14:textFill>
              </w:rPr>
              <w:t xml:space="preserve"> </w:t>
            </w:r>
            <w:r>
              <w:rPr>
                <w:color w:val="000000" w:themeColor="text1"/>
                <w:spacing w:val="7"/>
                <w:highlight w:val="none"/>
                <w:u w:val="single" w:color="auto"/>
                <w14:textFill>
                  <w14:solidFill>
                    <w14:schemeClr w14:val="tx1"/>
                  </w14:solidFill>
                </w14:textFill>
              </w:rPr>
              <w:t>1.4.4</w:t>
            </w:r>
            <w:r>
              <w:rPr>
                <w:color w:val="000000" w:themeColor="text1"/>
                <w:spacing w:val="-21"/>
                <w:highlight w:val="none"/>
                <w:u w:val="single" w:color="auto"/>
                <w14:textFill>
                  <w14:solidFill>
                    <w14:schemeClr w14:val="tx1"/>
                  </w14:solidFill>
                </w14:textFill>
              </w:rPr>
              <w:t xml:space="preserve"> </w:t>
            </w:r>
            <w:r>
              <w:rPr>
                <w:color w:val="000000" w:themeColor="text1"/>
                <w:spacing w:val="7"/>
                <w:highlight w:val="none"/>
                <w:u w:val="single" w:color="auto"/>
                <w14:textFill>
                  <w14:solidFill>
                    <w14:schemeClr w14:val="tx1"/>
                  </w14:solidFill>
                </w14:textFill>
              </w:rPr>
              <w:t>项、</w:t>
            </w:r>
            <w:r>
              <w:rPr>
                <w:color w:val="000000" w:themeColor="text1"/>
                <w:spacing w:val="-53"/>
                <w:highlight w:val="none"/>
                <w:u w:val="single" w:color="auto"/>
                <w14:textFill>
                  <w14:solidFill>
                    <w14:schemeClr w14:val="tx1"/>
                  </w14:solidFill>
                </w14:textFill>
              </w:rPr>
              <w:t xml:space="preserve"> </w:t>
            </w:r>
            <w:r>
              <w:rPr>
                <w:color w:val="000000" w:themeColor="text1"/>
                <w:spacing w:val="7"/>
                <w:highlight w:val="none"/>
                <w:u w:val="single" w:color="auto"/>
                <w14:textFill>
                  <w14:solidFill>
                    <w14:schemeClr w14:val="tx1"/>
                  </w14:solidFill>
                </w14:textFill>
              </w:rPr>
              <w:t>1.12.2</w:t>
            </w:r>
            <w:r>
              <w:rPr>
                <w:color w:val="000000" w:themeColor="text1"/>
                <w:spacing w:val="-21"/>
                <w:highlight w:val="none"/>
                <w:u w:val="single" w:color="auto"/>
                <w14:textFill>
                  <w14:solidFill>
                    <w14:schemeClr w14:val="tx1"/>
                  </w14:solidFill>
                </w14:textFill>
              </w:rPr>
              <w:t xml:space="preserve"> </w:t>
            </w:r>
            <w:r>
              <w:rPr>
                <w:color w:val="000000" w:themeColor="text1"/>
                <w:spacing w:val="7"/>
                <w:highlight w:val="none"/>
                <w:u w:val="single" w:color="auto"/>
                <w14:textFill>
                  <w14:solidFill>
                    <w14:schemeClr w14:val="tx1"/>
                  </w14:solidFill>
                </w14:textFill>
              </w:rPr>
              <w:t>项、3.4.2</w:t>
            </w:r>
            <w:r>
              <w:rPr>
                <w:color w:val="000000" w:themeColor="text1"/>
                <w:spacing w:val="-20"/>
                <w:highlight w:val="none"/>
                <w:u w:val="single" w:color="auto"/>
                <w14:textFill>
                  <w14:solidFill>
                    <w14:schemeClr w14:val="tx1"/>
                  </w14:solidFill>
                </w14:textFill>
              </w:rPr>
              <w:t xml:space="preserve"> </w:t>
            </w:r>
            <w:r>
              <w:rPr>
                <w:color w:val="000000" w:themeColor="text1"/>
                <w:spacing w:val="7"/>
                <w:highlight w:val="none"/>
                <w:u w:val="single" w:color="auto"/>
                <w14:textFill>
                  <w14:solidFill>
                    <w14:schemeClr w14:val="tx1"/>
                  </w14:solidFill>
                </w14:textFill>
              </w:rPr>
              <w:t>项、3</w:t>
            </w:r>
            <w:r>
              <w:rPr>
                <w:color w:val="000000" w:themeColor="text1"/>
                <w:spacing w:val="6"/>
                <w:highlight w:val="none"/>
                <w:u w:val="single" w:color="auto"/>
                <w14:textFill>
                  <w14:solidFill>
                    <w14:schemeClr w14:val="tx1"/>
                  </w14:solidFill>
                </w14:textFill>
              </w:rPr>
              <w:t>.5.8</w:t>
            </w:r>
            <w:r>
              <w:rPr>
                <w:color w:val="000000" w:themeColor="text1"/>
                <w:spacing w:val="-20"/>
                <w:highlight w:val="none"/>
                <w:u w:val="single" w:color="auto"/>
                <w14:textFill>
                  <w14:solidFill>
                    <w14:schemeClr w14:val="tx1"/>
                  </w14:solidFill>
                </w14:textFill>
              </w:rPr>
              <w:t xml:space="preserve"> </w:t>
            </w:r>
            <w:r>
              <w:rPr>
                <w:color w:val="000000" w:themeColor="text1"/>
                <w:spacing w:val="6"/>
                <w:highlight w:val="none"/>
                <w:u w:val="single" w:color="auto"/>
                <w14:textFill>
                  <w14:solidFill>
                    <w14:schemeClr w14:val="tx1"/>
                  </w14:solidFill>
                </w14:textFill>
              </w:rPr>
              <w:t>项、</w:t>
            </w:r>
            <w:r>
              <w:rPr>
                <w:color w:val="000000" w:themeColor="text1"/>
                <w:spacing w:val="1"/>
                <w:highlight w:val="none"/>
                <w:u w:val="single" w:color="auto"/>
                <w14:textFill>
                  <w14:solidFill>
                    <w14:schemeClr w14:val="tx1"/>
                  </w14:solidFill>
                </w14:textFill>
              </w:rPr>
              <w:t>3.6.1</w:t>
            </w:r>
            <w:r>
              <w:rPr>
                <w:color w:val="000000" w:themeColor="text1"/>
                <w:spacing w:val="-33"/>
                <w:highlight w:val="none"/>
                <w:u w:val="single" w:color="auto"/>
                <w14:textFill>
                  <w14:solidFill>
                    <w14:schemeClr w14:val="tx1"/>
                  </w14:solidFill>
                </w14:textFill>
              </w:rPr>
              <w:t xml:space="preserve"> </w:t>
            </w:r>
            <w:r>
              <w:rPr>
                <w:color w:val="000000" w:themeColor="text1"/>
                <w:spacing w:val="1"/>
                <w:highlight w:val="none"/>
                <w:u w:val="single" w:color="auto"/>
                <w14:textFill>
                  <w14:solidFill>
                    <w14:schemeClr w14:val="tx1"/>
                  </w14:solidFill>
                </w14:textFill>
              </w:rPr>
              <w:t>项</w:t>
            </w:r>
            <w:r>
              <w:rPr>
                <w:color w:val="000000" w:themeColor="text1"/>
                <w:spacing w:val="1"/>
                <w:highlight w:val="none"/>
                <w14:textFill>
                  <w14:solidFill>
                    <w14:schemeClr w14:val="tx1"/>
                  </w14:solidFill>
                </w14:textFill>
              </w:rPr>
              <w:t>；</w:t>
            </w:r>
          </w:p>
          <w:p w14:paraId="3EBA1FB9">
            <w:pPr>
              <w:pStyle w:val="8"/>
              <w:spacing w:before="163" w:line="227" w:lineRule="auto"/>
              <w:ind w:left="500"/>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（3）本评标办法的否决条款。</w:t>
            </w:r>
          </w:p>
        </w:tc>
      </w:tr>
    </w:tbl>
    <w:p w14:paraId="5B015392">
      <w:bookmarkStart w:id="10" w:name="_GoBack"/>
      <w:bookmarkEnd w:id="10"/>
    </w:p>
    <w:sectPr>
      <w:footerReference r:id="rId10"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宋三简体">
    <w:altName w:val="宋体"/>
    <w:panose1 w:val="00000000000000000000"/>
    <w:charset w:val="86"/>
    <w:family w:val="auto"/>
    <w:pitch w:val="default"/>
    <w:sig w:usb0="00000000" w:usb1="00000000" w:usb2="0000001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181B8">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73B1F8">
                          <w:pPr>
                            <w:pStyle w:val="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G3d4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K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G3d4zAgAAZQQAAA4AAAAAAAAAAQAgAAAAHwEAAGRycy9lMm9Eb2MueG1sUEsF&#10;BgAAAAAGAAYAWQEAAMQFAAAAAA==&#10;">
              <v:fill on="f" focussize="0,0"/>
              <v:stroke on="f" weight="0.5pt"/>
              <v:imagedata o:title=""/>
              <o:lock v:ext="edit" aspectratio="f"/>
              <v:textbox inset="0mm,0mm,0mm,0mm" style="mso-fit-shape-to-text:t;">
                <w:txbxContent>
                  <w:p w14:paraId="5973B1F8">
                    <w:pPr>
                      <w:pStyle w:val="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53B4A">
    <w:pPr>
      <w:spacing w:line="176" w:lineRule="auto"/>
      <w:ind w:left="45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067BF6">
                          <w:pPr>
                            <w:pStyle w:val="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6Q0I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P6Q0IzAgAAZQQAAA4AAAAAAAAAAQAgAAAAHwEAAGRycy9lMm9Eb2MueG1sUEsF&#10;BgAAAAAGAAYAWQEAAMQFAAAAAA==&#10;">
              <v:fill on="f" focussize="0,0"/>
              <v:stroke on="f" weight="0.5pt"/>
              <v:imagedata o:title=""/>
              <o:lock v:ext="edit" aspectratio="f"/>
              <v:textbox inset="0mm,0mm,0mm,0mm" style="mso-fit-shape-to-text:t;">
                <w:txbxContent>
                  <w:p w14:paraId="6F067BF6">
                    <w:pPr>
                      <w:pStyle w:val="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2E673">
    <w:pPr>
      <w:spacing w:line="176" w:lineRule="auto"/>
      <w:ind w:left="45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E0D441">
                          <w:pPr>
                            <w:pStyle w:val="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DeCM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o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DDeCMzAgAAZQQAAA4AAAAAAAAAAQAgAAAAHwEAAGRycy9lMm9Eb2MueG1sUEsF&#10;BgAAAAAGAAYAWQEAAMQFAAAAAA==&#10;">
              <v:fill on="f" focussize="0,0"/>
              <v:stroke on="f" weight="0.5pt"/>
              <v:imagedata o:title=""/>
              <o:lock v:ext="edit" aspectratio="f"/>
              <v:textbox inset="0mm,0mm,0mm,0mm" style="mso-fit-shape-to-text:t;">
                <w:txbxContent>
                  <w:p w14:paraId="29E0D441">
                    <w:pPr>
                      <w:pStyle w:val="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172E7">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20406F">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5r8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t/5r8zAgAAZQQAAA4AAAAAAAAAAQAgAAAAHwEAAGRycy9lMm9Eb2MueG1sUEsF&#10;BgAAAAAGAAYAWQEAAMQFAAAAAA==&#10;">
              <v:fill on="f" focussize="0,0"/>
              <v:stroke on="f" weight="0.5pt"/>
              <v:imagedata o:title=""/>
              <o:lock v:ext="edit" aspectratio="f"/>
              <v:textbox inset="0mm,0mm,0mm,0mm" style="mso-fit-shape-to-text:t;">
                <w:txbxContent>
                  <w:p w14:paraId="2C20406F">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2569B">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F1A02">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4AF1A02">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30E4D">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9F5CA8">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9NME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e9NMEzAgAAZQQAAA4AAAAAAAAAAQAgAAAAHwEAAGRycy9lMm9Eb2MueG1sUEsF&#10;BgAAAAAGAAYAWQEAAMQFAAAAAA==&#10;">
              <v:fill on="f" focussize="0,0"/>
              <v:stroke on="f" weight="0.5pt"/>
              <v:imagedata o:title=""/>
              <o:lock v:ext="edit" aspectratio="f"/>
              <v:textbox inset="0mm,0mm,0mm,0mm" style="mso-fit-shape-to-text:t;">
                <w:txbxContent>
                  <w:p w14:paraId="1D9F5CA8">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09264C"/>
    <w:multiLevelType w:val="singleLevel"/>
    <w:tmpl w:val="D509264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F20543"/>
    <w:rsid w:val="45F20543"/>
    <w:rsid w:val="4D11719E"/>
    <w:rsid w:val="779A1B50"/>
    <w:rsid w:val="7F2F6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3">
    <w:name w:val="Body Text"/>
    <w:basedOn w:val="1"/>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w:basedOn w:val="3"/>
    <w:qFormat/>
    <w:uiPriority w:val="0"/>
    <w:pPr>
      <w:ind w:firstLine="420" w:firstLineChars="100"/>
    </w:pPr>
  </w:style>
  <w:style w:type="paragraph" w:customStyle="1" w:styleId="8">
    <w:name w:val="Table Text"/>
    <w:basedOn w:val="1"/>
    <w:semiHidden/>
    <w:qFormat/>
    <w:uiPriority w:val="0"/>
    <w:rPr>
      <w:rFonts w:ascii="宋体" w:hAnsi="宋体" w:eastAsia="宋体" w:cs="宋体"/>
      <w:sz w:val="20"/>
      <w:szCs w:val="20"/>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表格正文-DDDDD"/>
    <w:basedOn w:val="1"/>
    <w:qFormat/>
    <w:uiPriority w:val="0"/>
    <w:pPr>
      <w:spacing w:line="300" w:lineRule="exact"/>
      <w:jc w:val="center"/>
    </w:pPr>
    <w:rPr>
      <w:rFonts w:ascii="方正宋三简体" w:eastAsia="方正宋三简体"/>
      <w:szCs w:val="21"/>
    </w:rPr>
  </w:style>
  <w:style w:type="paragraph" w:customStyle="1" w:styleId="11">
    <w:name w:val="正文3"/>
    <w:qFormat/>
    <w:uiPriority w:val="0"/>
    <w:pPr>
      <w:widowControl w:val="0"/>
      <w:adjustRightInd w:val="0"/>
      <w:spacing w:line="312" w:lineRule="atLeast"/>
      <w:jc w:val="both"/>
    </w:pPr>
    <w:rPr>
      <w:rFonts w:ascii="宋体" w:hAnsi="MingLiU_HKSCS" w:eastAsia="MingLiU_HKSCS"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5616</Words>
  <Characters>5941</Characters>
  <Lines>0</Lines>
  <Paragraphs>0</Paragraphs>
  <TotalTime>0</TotalTime>
  <ScaleCrop>false</ScaleCrop>
  <LinksUpToDate>false</LinksUpToDate>
  <CharactersWithSpaces>6212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2025-03-31T04:43:00Z</dcterms:created>
  <dc:creator>ABC</dc:creator>
  <cp:lastModifiedBy>ABC</cp:lastModifiedBy>
  <dcterms:modified xsi:type="dcterms:W3CDTF">2025-04-01T00:25:32Z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CDD0EC7527564F3FAC342D3BD4F13924_11</vt:lpwstr>
  </property>
  <property fmtid="{D5CDD505-2E9C-101B-9397-08002B2CF9AE}" pid="4" name="KSOTemplateDocerSaveRecord">
    <vt:lpwstr>eyJoZGlkIjoiMDFjMmMyNjY3MjA5NzIyODQzMDg4ZmQwNTJhZGY4MzIiLCJ1c2VySWQiOiI1ODEyMDc3MzUifQ==</vt:lpwstr>
  </property>
</Properties>
</file>