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849FA">
      <w:pPr>
        <w:rPr>
          <w:rFonts w:ascii="仿宋_GB2312" w:eastAsia="仿宋_GB2312"/>
          <w:color w:val="auto"/>
          <w:sz w:val="32"/>
          <w:szCs w:val="32"/>
          <w:highlight w:val="none"/>
        </w:rPr>
      </w:pPr>
    </w:p>
    <w:p w14:paraId="593DC5CF">
      <w:pPr>
        <w:widowControl/>
        <w:jc w:val="left"/>
        <w:rPr>
          <w:rFonts w:hint="eastAsia"/>
          <w:color w:val="auto"/>
          <w:sz w:val="36"/>
          <w:highlight w:val="none"/>
          <w:u w:val="single"/>
          <w:lang w:eastAsia="zh-CN"/>
        </w:rPr>
      </w:pPr>
    </w:p>
    <w:p w14:paraId="2F2E1BB0">
      <w:pPr>
        <w:widowControl/>
        <w:jc w:val="left"/>
        <w:rPr>
          <w:rFonts w:hint="eastAsia"/>
          <w:color w:val="auto"/>
          <w:sz w:val="36"/>
          <w:highlight w:val="none"/>
          <w:u w:val="single"/>
          <w:lang w:eastAsia="zh-CN"/>
        </w:rPr>
      </w:pPr>
    </w:p>
    <w:p w14:paraId="361FCF40">
      <w:pPr>
        <w:widowControl/>
        <w:jc w:val="center"/>
        <w:rPr>
          <w:rFonts w:ascii="宋体"/>
          <w:b/>
          <w:bCs/>
          <w:color w:val="auto"/>
          <w:spacing w:val="40"/>
          <w:sz w:val="44"/>
          <w:szCs w:val="44"/>
          <w:highlight w:val="none"/>
        </w:rPr>
      </w:pPr>
      <w:r>
        <w:rPr>
          <w:rFonts w:hint="eastAsia"/>
          <w:color w:val="auto"/>
          <w:sz w:val="36"/>
          <w:highlight w:val="none"/>
          <w:u w:val="single"/>
          <w:lang w:eastAsia="zh-CN"/>
        </w:rPr>
        <w:t>华南区域危险废物环境风险防控技术中心建设项目实验室施工专业承包</w:t>
      </w:r>
    </w:p>
    <w:p w14:paraId="5D5BEA94">
      <w:pPr>
        <w:spacing w:line="360" w:lineRule="auto"/>
        <w:jc w:val="center"/>
        <w:rPr>
          <w:color w:val="auto"/>
          <w:sz w:val="36"/>
          <w:highlight w:val="none"/>
          <w:u w:val="single"/>
        </w:rPr>
      </w:pPr>
    </w:p>
    <w:p w14:paraId="20EB44B8">
      <w:pPr>
        <w:spacing w:line="360" w:lineRule="auto"/>
        <w:jc w:val="center"/>
        <w:rPr>
          <w:rFonts w:eastAsia="楷体_GB2312"/>
          <w:b/>
          <w:bCs/>
          <w:color w:val="auto"/>
          <w:spacing w:val="26"/>
          <w:sz w:val="110"/>
          <w:szCs w:val="110"/>
          <w:highlight w:val="none"/>
        </w:rPr>
      </w:pPr>
      <w:r>
        <w:rPr>
          <w:rFonts w:hint="eastAsia" w:eastAsia="楷体_GB2312"/>
          <w:b/>
          <w:bCs/>
          <w:color w:val="auto"/>
          <w:spacing w:val="26"/>
          <w:sz w:val="110"/>
          <w:szCs w:val="110"/>
          <w:highlight w:val="none"/>
        </w:rPr>
        <w:t>招标文件</w:t>
      </w:r>
    </w:p>
    <w:p w14:paraId="743FAE36">
      <w:pPr>
        <w:spacing w:line="360" w:lineRule="auto"/>
        <w:jc w:val="center"/>
        <w:rPr>
          <w:color w:val="auto"/>
          <w:sz w:val="32"/>
          <w:highlight w:val="none"/>
        </w:rPr>
      </w:pPr>
    </w:p>
    <w:p w14:paraId="111795DA">
      <w:pPr>
        <w:spacing w:line="360" w:lineRule="auto"/>
        <w:rPr>
          <w:color w:val="auto"/>
          <w:sz w:val="52"/>
          <w:highlight w:val="none"/>
        </w:rPr>
      </w:pPr>
    </w:p>
    <w:p w14:paraId="257D65C1">
      <w:pPr>
        <w:spacing w:line="360" w:lineRule="auto"/>
        <w:rPr>
          <w:color w:val="auto"/>
          <w:sz w:val="52"/>
          <w:highlight w:val="none"/>
        </w:rPr>
      </w:pPr>
    </w:p>
    <w:p w14:paraId="7EAAFE0E">
      <w:pPr>
        <w:spacing w:line="360" w:lineRule="auto"/>
        <w:ind w:firstLine="900" w:firstLineChars="300"/>
        <w:rPr>
          <w:color w:val="auto"/>
          <w:sz w:val="30"/>
          <w:szCs w:val="30"/>
          <w:highlight w:val="none"/>
          <w:u w:val="single"/>
        </w:rPr>
      </w:pPr>
      <w:r>
        <w:rPr>
          <w:rFonts w:hint="eastAsia"/>
          <w:color w:val="auto"/>
          <w:sz w:val="30"/>
          <w:szCs w:val="30"/>
          <w:highlight w:val="none"/>
        </w:rPr>
        <w:t>招</w:t>
      </w:r>
      <w:r>
        <w:rPr>
          <w:color w:val="auto"/>
          <w:sz w:val="30"/>
          <w:szCs w:val="30"/>
          <w:highlight w:val="none"/>
        </w:rPr>
        <w:t xml:space="preserve">  </w:t>
      </w:r>
      <w:r>
        <w:rPr>
          <w:rFonts w:hint="eastAsia"/>
          <w:color w:val="auto"/>
          <w:sz w:val="30"/>
          <w:szCs w:val="30"/>
          <w:highlight w:val="none"/>
        </w:rPr>
        <w:t>标</w:t>
      </w:r>
      <w:r>
        <w:rPr>
          <w:color w:val="auto"/>
          <w:sz w:val="30"/>
          <w:szCs w:val="30"/>
          <w:highlight w:val="none"/>
        </w:rPr>
        <w:t xml:space="preserve"> </w:t>
      </w:r>
      <w:r>
        <w:rPr>
          <w:rFonts w:hint="eastAsia"/>
          <w:color w:val="auto"/>
          <w:sz w:val="30"/>
          <w:szCs w:val="30"/>
          <w:highlight w:val="none"/>
        </w:rPr>
        <w:t>单</w:t>
      </w:r>
      <w:r>
        <w:rPr>
          <w:color w:val="auto"/>
          <w:sz w:val="30"/>
          <w:szCs w:val="30"/>
          <w:highlight w:val="none"/>
        </w:rPr>
        <w:t xml:space="preserve"> </w:t>
      </w:r>
      <w:r>
        <w:rPr>
          <w:rFonts w:hint="eastAsia"/>
          <w:color w:val="auto"/>
          <w:sz w:val="30"/>
          <w:szCs w:val="30"/>
          <w:highlight w:val="none"/>
        </w:rPr>
        <w:t>位：</w:t>
      </w:r>
      <w:r>
        <w:rPr>
          <w:rFonts w:hint="eastAsia"/>
          <w:color w:val="auto"/>
          <w:sz w:val="30"/>
          <w:szCs w:val="30"/>
          <w:highlight w:val="none"/>
          <w:u w:val="single"/>
        </w:rPr>
        <w:t>生态环境部华南环境科学研究所</w:t>
      </w:r>
    </w:p>
    <w:p w14:paraId="419B1631">
      <w:pPr>
        <w:spacing w:line="360" w:lineRule="auto"/>
        <w:ind w:firstLine="2700" w:firstLineChars="900"/>
        <w:rPr>
          <w:color w:val="auto"/>
          <w:sz w:val="30"/>
          <w:szCs w:val="30"/>
          <w:highlight w:val="none"/>
          <w:u w:val="single"/>
        </w:rPr>
      </w:pPr>
      <w:r>
        <w:rPr>
          <w:rFonts w:hint="eastAsia"/>
          <w:color w:val="auto"/>
          <w:sz w:val="30"/>
          <w:szCs w:val="30"/>
          <w:highlight w:val="none"/>
          <w:u w:val="single"/>
        </w:rPr>
        <w:t>（生态环境部生态环境应急研究所）</w:t>
      </w:r>
      <w:r>
        <w:rPr>
          <w:color w:val="auto"/>
          <w:sz w:val="30"/>
          <w:szCs w:val="30"/>
          <w:highlight w:val="none"/>
          <w:u w:val="single"/>
        </w:rPr>
        <w:t xml:space="preserve"> </w:t>
      </w:r>
    </w:p>
    <w:p w14:paraId="6FB7D6CC">
      <w:pPr>
        <w:spacing w:line="360" w:lineRule="auto"/>
        <w:ind w:firstLine="900" w:firstLineChars="300"/>
        <w:rPr>
          <w:color w:val="auto"/>
          <w:sz w:val="30"/>
          <w:szCs w:val="30"/>
          <w:highlight w:val="none"/>
        </w:rPr>
      </w:pPr>
      <w:r>
        <w:rPr>
          <w:rFonts w:hint="eastAsia"/>
          <w:color w:val="auto"/>
          <w:sz w:val="30"/>
          <w:szCs w:val="30"/>
          <w:highlight w:val="none"/>
        </w:rPr>
        <w:t>项目建设管理单位（或称项目代建单位）：</w:t>
      </w:r>
    </w:p>
    <w:p w14:paraId="35D794F0">
      <w:pPr>
        <w:spacing w:line="360" w:lineRule="auto"/>
        <w:ind w:firstLine="3000" w:firstLineChars="1000"/>
        <w:rPr>
          <w:color w:val="auto"/>
          <w:sz w:val="30"/>
          <w:szCs w:val="30"/>
          <w:highlight w:val="none"/>
          <w:u w:val="single"/>
        </w:rPr>
      </w:pPr>
      <w:r>
        <w:rPr>
          <w:rFonts w:hint="eastAsia"/>
          <w:color w:val="auto"/>
          <w:sz w:val="30"/>
          <w:szCs w:val="30"/>
          <w:highlight w:val="none"/>
          <w:u w:val="single"/>
        </w:rPr>
        <w:t>生态环境部华南环境科学研究所</w:t>
      </w:r>
    </w:p>
    <w:p w14:paraId="11CC9496">
      <w:pPr>
        <w:spacing w:line="360" w:lineRule="auto"/>
        <w:ind w:firstLine="2700" w:firstLineChars="900"/>
        <w:rPr>
          <w:color w:val="auto"/>
          <w:sz w:val="30"/>
          <w:szCs w:val="30"/>
          <w:highlight w:val="none"/>
          <w:u w:val="single"/>
        </w:rPr>
      </w:pPr>
      <w:r>
        <w:rPr>
          <w:rFonts w:hint="eastAsia"/>
          <w:color w:val="auto"/>
          <w:sz w:val="30"/>
          <w:szCs w:val="30"/>
          <w:highlight w:val="none"/>
          <w:u w:val="single"/>
        </w:rPr>
        <w:t>（生态环境部生态环境应急研究所）</w:t>
      </w:r>
      <w:r>
        <w:rPr>
          <w:color w:val="auto"/>
          <w:sz w:val="30"/>
          <w:szCs w:val="30"/>
          <w:highlight w:val="none"/>
          <w:u w:val="single"/>
        </w:rPr>
        <w:t xml:space="preserve"> </w:t>
      </w:r>
    </w:p>
    <w:p w14:paraId="28254869">
      <w:pPr>
        <w:spacing w:line="360" w:lineRule="auto"/>
        <w:ind w:firstLine="945"/>
        <w:rPr>
          <w:color w:val="auto"/>
          <w:sz w:val="30"/>
          <w:szCs w:val="30"/>
          <w:highlight w:val="none"/>
          <w:u w:val="single"/>
        </w:rPr>
      </w:pPr>
      <w:r>
        <w:rPr>
          <w:rFonts w:hint="eastAsia"/>
          <w:color w:val="auto"/>
          <w:sz w:val="30"/>
          <w:szCs w:val="30"/>
          <w:highlight w:val="none"/>
        </w:rPr>
        <w:t>招标代理单位：</w:t>
      </w:r>
      <w:r>
        <w:rPr>
          <w:rFonts w:hint="eastAsia" w:ascii="宋体" w:hAnsi="宋体" w:cs="宋体"/>
          <w:color w:val="auto"/>
          <w:sz w:val="32"/>
          <w:szCs w:val="32"/>
          <w:highlight w:val="none"/>
          <w:u w:val="single"/>
        </w:rPr>
        <w:t>广东省国际工程咨询有限公司</w:t>
      </w:r>
      <w:r>
        <w:rPr>
          <w:color w:val="auto"/>
          <w:sz w:val="30"/>
          <w:szCs w:val="30"/>
          <w:highlight w:val="none"/>
          <w:u w:val="single"/>
        </w:rPr>
        <w:t xml:space="preserve">  </w:t>
      </w:r>
    </w:p>
    <w:p w14:paraId="02EB1AB7">
      <w:pPr>
        <w:spacing w:line="360" w:lineRule="auto"/>
        <w:ind w:firstLine="945"/>
        <w:rPr>
          <w:color w:val="auto"/>
          <w:sz w:val="32"/>
          <w:highlight w:val="none"/>
        </w:rPr>
      </w:pPr>
      <w:r>
        <w:rPr>
          <w:rFonts w:hint="eastAsia"/>
          <w:color w:val="auto"/>
          <w:sz w:val="32"/>
          <w:highlight w:val="none"/>
        </w:rPr>
        <w:t>日</w:t>
      </w:r>
      <w:r>
        <w:rPr>
          <w:color w:val="auto"/>
          <w:sz w:val="32"/>
          <w:highlight w:val="none"/>
        </w:rPr>
        <w:t xml:space="preserve">        </w:t>
      </w:r>
      <w:r>
        <w:rPr>
          <w:rFonts w:hint="eastAsia"/>
          <w:color w:val="auto"/>
          <w:sz w:val="32"/>
          <w:highlight w:val="none"/>
        </w:rPr>
        <w:t>期：</w:t>
      </w:r>
      <w:r>
        <w:rPr>
          <w:rFonts w:hint="eastAsia"/>
          <w:color w:val="auto"/>
          <w:sz w:val="32"/>
          <w:highlight w:val="none"/>
          <w:u w:val="single"/>
          <w:lang w:val="en-US" w:eastAsia="zh-CN"/>
        </w:rPr>
        <w:t>2025</w:t>
      </w:r>
      <w:r>
        <w:rPr>
          <w:color w:val="auto"/>
          <w:sz w:val="32"/>
          <w:highlight w:val="none"/>
          <w:u w:val="single"/>
        </w:rPr>
        <w:t xml:space="preserve"> </w:t>
      </w:r>
      <w:r>
        <w:rPr>
          <w:rFonts w:hint="eastAsia"/>
          <w:color w:val="auto"/>
          <w:sz w:val="32"/>
          <w:highlight w:val="none"/>
        </w:rPr>
        <w:t>年</w:t>
      </w:r>
      <w:r>
        <w:rPr>
          <w:color w:val="auto"/>
          <w:sz w:val="32"/>
          <w:highlight w:val="none"/>
          <w:u w:val="single"/>
        </w:rPr>
        <w:t xml:space="preserve"> </w:t>
      </w:r>
      <w:r>
        <w:rPr>
          <w:rFonts w:hint="eastAsia"/>
          <w:color w:val="auto"/>
          <w:sz w:val="32"/>
          <w:highlight w:val="none"/>
          <w:u w:val="single"/>
          <w:lang w:val="en-US" w:eastAsia="zh-CN"/>
        </w:rPr>
        <w:t>3</w:t>
      </w:r>
      <w:r>
        <w:rPr>
          <w:rFonts w:hint="eastAsia"/>
          <w:color w:val="auto"/>
          <w:sz w:val="32"/>
          <w:highlight w:val="none"/>
        </w:rPr>
        <w:t>月</w:t>
      </w:r>
      <w:r>
        <w:rPr>
          <w:rFonts w:hint="eastAsia"/>
          <w:color w:val="auto"/>
          <w:sz w:val="32"/>
          <w:highlight w:val="none"/>
          <w:u w:val="single"/>
        </w:rPr>
        <w:t xml:space="preserve">  </w:t>
      </w:r>
      <w:r>
        <w:rPr>
          <w:rFonts w:hint="eastAsia"/>
          <w:color w:val="auto"/>
          <w:sz w:val="32"/>
          <w:highlight w:val="none"/>
          <w:u w:val="single"/>
          <w:lang w:val="en-US" w:eastAsia="zh-CN"/>
        </w:rPr>
        <w:t>28</w:t>
      </w:r>
      <w:r>
        <w:rPr>
          <w:rFonts w:hint="eastAsia"/>
          <w:color w:val="auto"/>
          <w:sz w:val="32"/>
          <w:highlight w:val="none"/>
        </w:rPr>
        <w:t>日</w:t>
      </w:r>
    </w:p>
    <w:p w14:paraId="33B7C6AA">
      <w:pPr>
        <w:rPr>
          <w:rStyle w:val="21"/>
          <w:b/>
          <w:bCs/>
          <w:color w:val="auto"/>
          <w:highlight w:val="none"/>
        </w:rPr>
      </w:pPr>
      <w:r>
        <w:rPr>
          <w:rStyle w:val="21"/>
          <w:b/>
          <w:bCs/>
          <w:color w:val="auto"/>
          <w:highlight w:val="none"/>
        </w:rPr>
        <w:br w:type="page"/>
      </w:r>
      <w:r>
        <w:rPr>
          <w:rStyle w:val="21"/>
          <w:b/>
          <w:bCs/>
          <w:color w:val="auto"/>
          <w:highlight w:val="none"/>
        </w:rPr>
        <w:br w:type="page"/>
      </w:r>
    </w:p>
    <w:p w14:paraId="769755D8">
      <w:pPr>
        <w:jc w:val="center"/>
        <w:rPr>
          <w:rFonts w:hint="eastAsia" w:ascii="宋体" w:hAnsi="宋体"/>
          <w:b/>
          <w:caps/>
          <w:color w:val="auto"/>
          <w:kern w:val="0"/>
          <w:highlight w:val="none"/>
        </w:rPr>
      </w:pPr>
      <w:r>
        <w:rPr>
          <w:rStyle w:val="21"/>
          <w:rFonts w:hint="eastAsia"/>
          <w:b/>
          <w:bCs/>
          <w:color w:val="auto"/>
          <w:sz w:val="28"/>
          <w:szCs w:val="28"/>
          <w:highlight w:val="none"/>
          <w:u w:val="none"/>
        </w:rPr>
        <w:t>目  录</w:t>
      </w:r>
    </w:p>
    <w:p w14:paraId="0F63CDCE">
      <w:pPr>
        <w:pStyle w:val="15"/>
        <w:rPr>
          <w:rFonts w:hint="eastAsia"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"_Toc21525489" </w:instrText>
      </w:r>
      <w:r>
        <w:rPr>
          <w:color w:val="auto"/>
          <w:highlight w:val="none"/>
        </w:rPr>
        <w:fldChar w:fldCharType="separate"/>
      </w:r>
      <w:r>
        <w:rPr>
          <w:rStyle w:val="21"/>
          <w:color w:val="auto"/>
          <w:highlight w:val="none"/>
        </w:rPr>
        <w:t>第一章  投标须知</w:t>
      </w:r>
      <w:r>
        <w:rPr>
          <w:color w:val="auto"/>
          <w:highlight w:val="none"/>
        </w:rPr>
        <w:tab/>
      </w:r>
      <w:r>
        <w:rPr>
          <w:color w:val="auto"/>
          <w:highlight w:val="none"/>
        </w:rPr>
        <w:fldChar w:fldCharType="begin"/>
      </w:r>
      <w:r>
        <w:rPr>
          <w:color w:val="auto"/>
          <w:highlight w:val="none"/>
        </w:rPr>
        <w:instrText xml:space="preserve"> PAGEREF _Toc21525489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3FDAC855">
      <w:pPr>
        <w:pStyle w:val="16"/>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"_Toc21525490" </w:instrText>
      </w:r>
      <w:r>
        <w:rPr>
          <w:color w:val="auto"/>
          <w:highlight w:val="none"/>
        </w:rPr>
        <w:fldChar w:fldCharType="separate"/>
      </w:r>
      <w:r>
        <w:rPr>
          <w:rStyle w:val="21"/>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_Toc21525490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1A4E7DA3">
      <w:pPr>
        <w:pStyle w:val="16"/>
        <w:rPr>
          <w:rFonts w:hint="eastAsia" w:eastAsia="宋体" w:asciiTheme="minorHAnsi" w:hAnsiTheme="minorHAnsi" w:cstheme="minorBidi"/>
          <w:color w:val="auto"/>
          <w:sz w:val="21"/>
          <w:szCs w:val="22"/>
          <w:highlight w:val="none"/>
          <w:lang w:val="en-US" w:eastAsia="zh-CN"/>
        </w:rPr>
      </w:pPr>
      <w:r>
        <w:rPr>
          <w:color w:val="auto"/>
          <w:highlight w:val="none"/>
        </w:rPr>
        <w:fldChar w:fldCharType="begin"/>
      </w:r>
      <w:r>
        <w:rPr>
          <w:color w:val="auto"/>
          <w:highlight w:val="none"/>
        </w:rPr>
        <w:instrText xml:space="preserve"> HYPERLINK \l "_Toc21525491" </w:instrText>
      </w:r>
      <w:r>
        <w:rPr>
          <w:color w:val="auto"/>
          <w:highlight w:val="none"/>
        </w:rPr>
        <w:fldChar w:fldCharType="separate"/>
      </w:r>
      <w:r>
        <w:rPr>
          <w:rStyle w:val="21"/>
          <w:color w:val="auto"/>
          <w:highlight w:val="none"/>
        </w:rPr>
        <w:t>二、投标须知修改表</w:t>
      </w:r>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0</w:t>
      </w:r>
    </w:p>
    <w:p w14:paraId="1EF9E5D2">
      <w:pPr>
        <w:pStyle w:val="16"/>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"_Toc21525492" </w:instrText>
      </w:r>
      <w:r>
        <w:rPr>
          <w:color w:val="auto"/>
          <w:highlight w:val="none"/>
        </w:rPr>
        <w:fldChar w:fldCharType="separate"/>
      </w:r>
      <w:r>
        <w:rPr>
          <w:rStyle w:val="21"/>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_Toc21525492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70F130A1">
      <w:pPr>
        <w:pStyle w:val="10"/>
        <w:tabs>
          <w:tab w:val="right" w:leader="dot" w:pos="9060"/>
        </w:tabs>
        <w:ind w:left="840"/>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"_Toc21525493" </w:instrText>
      </w:r>
      <w:r>
        <w:rPr>
          <w:color w:val="auto"/>
          <w:highlight w:val="none"/>
        </w:rPr>
        <w:fldChar w:fldCharType="separate"/>
      </w:r>
      <w:r>
        <w:rPr>
          <w:rStyle w:val="21"/>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_Toc21525493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0670A34">
      <w:pPr>
        <w:pStyle w:val="10"/>
        <w:tabs>
          <w:tab w:val="right" w:leader="dot" w:pos="9060"/>
        </w:tabs>
        <w:ind w:left="840"/>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"_Toc21525494" </w:instrText>
      </w:r>
      <w:r>
        <w:rPr>
          <w:color w:val="auto"/>
          <w:highlight w:val="none"/>
        </w:rPr>
        <w:fldChar w:fldCharType="separate"/>
      </w:r>
      <w:r>
        <w:rPr>
          <w:rStyle w:val="21"/>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_Toc21525494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1DFE69E1">
      <w:pPr>
        <w:pStyle w:val="10"/>
        <w:tabs>
          <w:tab w:val="right" w:leader="dot" w:pos="9060"/>
        </w:tabs>
        <w:ind w:left="840"/>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"_Toc21525495" </w:instrText>
      </w:r>
      <w:r>
        <w:rPr>
          <w:color w:val="auto"/>
          <w:highlight w:val="none"/>
        </w:rPr>
        <w:fldChar w:fldCharType="separate"/>
      </w:r>
      <w:r>
        <w:rPr>
          <w:rStyle w:val="21"/>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_Toc21525495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6161020F">
      <w:pPr>
        <w:pStyle w:val="10"/>
        <w:tabs>
          <w:tab w:val="right" w:leader="dot" w:pos="9060"/>
        </w:tabs>
        <w:ind w:left="840"/>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"_Toc21525496" </w:instrText>
      </w:r>
      <w:r>
        <w:rPr>
          <w:color w:val="auto"/>
          <w:highlight w:val="none"/>
        </w:rPr>
        <w:fldChar w:fldCharType="separate"/>
      </w:r>
      <w:r>
        <w:rPr>
          <w:rStyle w:val="21"/>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_Toc21525496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5B06BC7A">
      <w:pPr>
        <w:pStyle w:val="10"/>
        <w:tabs>
          <w:tab w:val="right" w:leader="dot" w:pos="9060"/>
        </w:tabs>
        <w:ind w:left="840"/>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"_Toc21525497" </w:instrText>
      </w:r>
      <w:r>
        <w:rPr>
          <w:color w:val="auto"/>
          <w:highlight w:val="none"/>
        </w:rPr>
        <w:fldChar w:fldCharType="separate"/>
      </w:r>
      <w:r>
        <w:rPr>
          <w:rStyle w:val="21"/>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_Toc21525497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49366C22">
      <w:pPr>
        <w:pStyle w:val="15"/>
        <w:rPr>
          <w:rFonts w:hint="eastAsia"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"_Toc21525498" </w:instrText>
      </w:r>
      <w:r>
        <w:rPr>
          <w:color w:val="auto"/>
          <w:highlight w:val="none"/>
        </w:rPr>
        <w:fldChar w:fldCharType="separate"/>
      </w:r>
      <w:r>
        <w:rPr>
          <w:rStyle w:val="21"/>
          <w:color w:val="auto"/>
          <w:highlight w:val="none"/>
        </w:rPr>
        <w:t>第二章  开标、评标及定标办法</w:t>
      </w:r>
      <w:r>
        <w:rPr>
          <w:color w:val="auto"/>
          <w:highlight w:val="none"/>
        </w:rPr>
        <w:tab/>
      </w:r>
      <w:r>
        <w:rPr>
          <w:color w:val="auto"/>
          <w:highlight w:val="none"/>
        </w:rPr>
        <w:fldChar w:fldCharType="begin"/>
      </w:r>
      <w:r>
        <w:rPr>
          <w:color w:val="auto"/>
          <w:highlight w:val="none"/>
        </w:rPr>
        <w:instrText xml:space="preserve"> PAGEREF _Toc21525498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30B0B840">
      <w:pPr>
        <w:pStyle w:val="16"/>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"_Toc21525499" </w:instrText>
      </w:r>
      <w:r>
        <w:rPr>
          <w:color w:val="auto"/>
          <w:highlight w:val="none"/>
        </w:rPr>
        <w:fldChar w:fldCharType="separate"/>
      </w:r>
      <w:r>
        <w:rPr>
          <w:rStyle w:val="21"/>
          <w:color w:val="auto"/>
          <w:highlight w:val="none"/>
        </w:rPr>
        <w:t>一、开标、评标及定标办法修改表</w:t>
      </w:r>
      <w:r>
        <w:rPr>
          <w:color w:val="auto"/>
          <w:highlight w:val="none"/>
        </w:rPr>
        <w:tab/>
      </w:r>
      <w:r>
        <w:rPr>
          <w:color w:val="auto"/>
          <w:highlight w:val="none"/>
        </w:rPr>
        <w:fldChar w:fldCharType="begin"/>
      </w:r>
      <w:r>
        <w:rPr>
          <w:color w:val="auto"/>
          <w:highlight w:val="none"/>
        </w:rPr>
        <w:instrText xml:space="preserve"> PAGEREF _Toc21525499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515BD3C1">
      <w:pPr>
        <w:pStyle w:val="16"/>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"_Toc21525500" </w:instrText>
      </w:r>
      <w:r>
        <w:rPr>
          <w:color w:val="auto"/>
          <w:highlight w:val="none"/>
        </w:rPr>
        <w:fldChar w:fldCharType="separate"/>
      </w:r>
      <w:r>
        <w:rPr>
          <w:rStyle w:val="21"/>
          <w:color w:val="auto"/>
          <w:highlight w:val="none"/>
        </w:rPr>
        <w:t>二、开标、评标及定标办法通用条款</w:t>
      </w:r>
      <w:r>
        <w:rPr>
          <w:color w:val="auto"/>
          <w:highlight w:val="none"/>
        </w:rPr>
        <w:tab/>
      </w:r>
      <w:r>
        <w:rPr>
          <w:color w:val="auto"/>
          <w:highlight w:val="none"/>
        </w:rPr>
        <w:fldChar w:fldCharType="begin"/>
      </w:r>
      <w:r>
        <w:rPr>
          <w:color w:val="auto"/>
          <w:highlight w:val="none"/>
        </w:rPr>
        <w:instrText xml:space="preserve"> PAGEREF _Toc21525500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4170A0D8">
      <w:pPr>
        <w:pStyle w:val="10"/>
        <w:tabs>
          <w:tab w:val="right" w:leader="dot" w:pos="9060"/>
        </w:tabs>
        <w:ind w:left="840"/>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"_Toc21525501" </w:instrText>
      </w:r>
      <w:r>
        <w:rPr>
          <w:color w:val="auto"/>
          <w:highlight w:val="none"/>
        </w:rPr>
        <w:fldChar w:fldCharType="separate"/>
      </w:r>
      <w:r>
        <w:rPr>
          <w:rStyle w:val="21"/>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_Toc21525501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6D5845EB">
      <w:pPr>
        <w:pStyle w:val="10"/>
        <w:tabs>
          <w:tab w:val="right" w:leader="dot" w:pos="9060"/>
        </w:tabs>
        <w:ind w:left="840"/>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"_Toc21525502" </w:instrText>
      </w:r>
      <w:r>
        <w:rPr>
          <w:color w:val="auto"/>
          <w:highlight w:val="none"/>
        </w:rPr>
        <w:fldChar w:fldCharType="separate"/>
      </w:r>
      <w:r>
        <w:rPr>
          <w:rStyle w:val="21"/>
          <w:color w:val="auto"/>
          <w:highlight w:val="none"/>
        </w:rPr>
        <w:t>（二）开标评标办法程序和细则</w:t>
      </w:r>
      <w:r>
        <w:rPr>
          <w:color w:val="auto"/>
          <w:highlight w:val="none"/>
        </w:rPr>
        <w:tab/>
      </w:r>
      <w:r>
        <w:rPr>
          <w:color w:val="auto"/>
          <w:highlight w:val="none"/>
        </w:rPr>
        <w:fldChar w:fldCharType="begin"/>
      </w:r>
      <w:r>
        <w:rPr>
          <w:color w:val="auto"/>
          <w:highlight w:val="none"/>
        </w:rPr>
        <w:instrText xml:space="preserve"> PAGEREF _Toc21525502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26E2D83E">
      <w:pPr>
        <w:pStyle w:val="10"/>
        <w:tabs>
          <w:tab w:val="right" w:leader="dot" w:pos="9060"/>
        </w:tabs>
        <w:ind w:left="840"/>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"_Toc21525503" </w:instrText>
      </w:r>
      <w:r>
        <w:rPr>
          <w:color w:val="auto"/>
          <w:highlight w:val="none"/>
        </w:rPr>
        <w:fldChar w:fldCharType="separate"/>
      </w:r>
      <w:r>
        <w:rPr>
          <w:rStyle w:val="21"/>
          <w:color w:val="auto"/>
          <w:highlight w:val="none"/>
        </w:rPr>
        <w:t>可选办法一（适合综合评分法一，技术标与经济标先后分别开启）</w:t>
      </w:r>
      <w:r>
        <w:rPr>
          <w:color w:val="auto"/>
          <w:highlight w:val="none"/>
        </w:rPr>
        <w:tab/>
      </w:r>
      <w:r>
        <w:rPr>
          <w:color w:val="auto"/>
          <w:highlight w:val="none"/>
        </w:rPr>
        <w:fldChar w:fldCharType="begin"/>
      </w:r>
      <w:r>
        <w:rPr>
          <w:color w:val="auto"/>
          <w:highlight w:val="none"/>
        </w:rPr>
        <w:instrText xml:space="preserve"> PAGEREF _Toc21525503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14:paraId="0E54E264">
      <w:pPr>
        <w:pStyle w:val="10"/>
        <w:tabs>
          <w:tab w:val="right" w:leader="dot" w:pos="9060"/>
        </w:tabs>
        <w:ind w:left="840"/>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"_Toc21525504" </w:instrText>
      </w:r>
      <w:r>
        <w:rPr>
          <w:color w:val="auto"/>
          <w:highlight w:val="none"/>
        </w:rPr>
        <w:fldChar w:fldCharType="separate"/>
      </w:r>
      <w:r>
        <w:rPr>
          <w:rStyle w:val="21"/>
          <w:color w:val="auto"/>
          <w:highlight w:val="none"/>
        </w:rPr>
        <w:t>可选办法二（适合综合评分法一，技术标与经济标同时开启）</w:t>
      </w:r>
      <w:r>
        <w:rPr>
          <w:color w:val="auto"/>
          <w:highlight w:val="none"/>
        </w:rPr>
        <w:tab/>
      </w:r>
      <w:r>
        <w:rPr>
          <w:color w:val="auto"/>
          <w:highlight w:val="none"/>
        </w:rPr>
        <w:fldChar w:fldCharType="begin"/>
      </w:r>
      <w:r>
        <w:rPr>
          <w:color w:val="auto"/>
          <w:highlight w:val="none"/>
        </w:rPr>
        <w:instrText xml:space="preserve"> PAGEREF _Toc21525504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10222993">
      <w:pPr>
        <w:pStyle w:val="10"/>
        <w:tabs>
          <w:tab w:val="right" w:leader="dot" w:pos="9060"/>
        </w:tabs>
        <w:ind w:left="840"/>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"_Toc21525505" </w:instrText>
      </w:r>
      <w:r>
        <w:rPr>
          <w:color w:val="auto"/>
          <w:highlight w:val="none"/>
        </w:rPr>
        <w:fldChar w:fldCharType="separate"/>
      </w:r>
      <w:r>
        <w:rPr>
          <w:rStyle w:val="21"/>
          <w:color w:val="auto"/>
          <w:highlight w:val="none"/>
        </w:rPr>
        <w:t>可选办法三（适合综合评分法二，技术标与经济标先后分别开启）</w:t>
      </w:r>
      <w:r>
        <w:rPr>
          <w:color w:val="auto"/>
          <w:highlight w:val="none"/>
        </w:rPr>
        <w:tab/>
      </w:r>
      <w:r>
        <w:rPr>
          <w:color w:val="auto"/>
          <w:highlight w:val="none"/>
        </w:rPr>
        <w:fldChar w:fldCharType="begin"/>
      </w:r>
      <w:r>
        <w:rPr>
          <w:color w:val="auto"/>
          <w:highlight w:val="none"/>
        </w:rPr>
        <w:instrText xml:space="preserve"> PAGEREF _Toc21525505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02A91AF6">
      <w:pPr>
        <w:pStyle w:val="10"/>
        <w:tabs>
          <w:tab w:val="right" w:leader="dot" w:pos="9060"/>
        </w:tabs>
        <w:ind w:left="840"/>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"_Toc21525506" </w:instrText>
      </w:r>
      <w:r>
        <w:rPr>
          <w:color w:val="auto"/>
          <w:highlight w:val="none"/>
        </w:rPr>
        <w:fldChar w:fldCharType="separate"/>
      </w:r>
      <w:r>
        <w:rPr>
          <w:rStyle w:val="21"/>
          <w:color w:val="auto"/>
          <w:highlight w:val="none"/>
        </w:rPr>
        <w:t>可选办法四（适合综合评分法二，技术标与经济标同时开启）</w:t>
      </w:r>
      <w:r>
        <w:rPr>
          <w:color w:val="auto"/>
          <w:highlight w:val="none"/>
        </w:rPr>
        <w:tab/>
      </w:r>
      <w:r>
        <w:rPr>
          <w:color w:val="auto"/>
          <w:highlight w:val="none"/>
        </w:rPr>
        <w:fldChar w:fldCharType="begin"/>
      </w:r>
      <w:r>
        <w:rPr>
          <w:color w:val="auto"/>
          <w:highlight w:val="none"/>
        </w:rPr>
        <w:instrText xml:space="preserve"> PAGEREF _Toc21525506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25F1F935">
      <w:pPr>
        <w:pStyle w:val="10"/>
        <w:tabs>
          <w:tab w:val="right" w:leader="dot" w:pos="9060"/>
        </w:tabs>
        <w:ind w:left="840"/>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"_Toc21525507" </w:instrText>
      </w:r>
      <w:r>
        <w:rPr>
          <w:color w:val="auto"/>
          <w:highlight w:val="none"/>
        </w:rPr>
        <w:fldChar w:fldCharType="separate"/>
      </w:r>
      <w:r>
        <w:rPr>
          <w:rStyle w:val="21"/>
          <w:color w:val="auto"/>
          <w:highlight w:val="none"/>
        </w:rPr>
        <w:t>可选办法五（适合综合评分法三，技术标与经济标先后分别开启）</w:t>
      </w:r>
      <w:r>
        <w:rPr>
          <w:color w:val="auto"/>
          <w:highlight w:val="none"/>
        </w:rPr>
        <w:tab/>
      </w:r>
      <w:r>
        <w:rPr>
          <w:color w:val="auto"/>
          <w:highlight w:val="none"/>
        </w:rPr>
        <w:fldChar w:fldCharType="begin"/>
      </w:r>
      <w:r>
        <w:rPr>
          <w:color w:val="auto"/>
          <w:highlight w:val="none"/>
        </w:rPr>
        <w:instrText xml:space="preserve"> PAGEREF _Toc21525507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0EC0919D">
      <w:pPr>
        <w:pStyle w:val="10"/>
        <w:tabs>
          <w:tab w:val="right" w:leader="dot" w:pos="9060"/>
        </w:tabs>
        <w:ind w:left="840"/>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"_Toc21525508" </w:instrText>
      </w:r>
      <w:r>
        <w:rPr>
          <w:color w:val="auto"/>
          <w:highlight w:val="none"/>
        </w:rPr>
        <w:fldChar w:fldCharType="separate"/>
      </w:r>
      <w:r>
        <w:rPr>
          <w:rStyle w:val="21"/>
          <w:color w:val="auto"/>
          <w:highlight w:val="none"/>
        </w:rPr>
        <w:t>可选办法六（适合综合评分法三，技术标与经济标同时开启）</w:t>
      </w:r>
      <w:r>
        <w:rPr>
          <w:color w:val="auto"/>
          <w:highlight w:val="none"/>
        </w:rPr>
        <w:tab/>
      </w:r>
      <w:r>
        <w:rPr>
          <w:color w:val="auto"/>
          <w:highlight w:val="none"/>
        </w:rPr>
        <w:fldChar w:fldCharType="begin"/>
      </w:r>
      <w:r>
        <w:rPr>
          <w:color w:val="auto"/>
          <w:highlight w:val="none"/>
        </w:rPr>
        <w:instrText xml:space="preserve"> PAGEREF _Toc21525508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2F11B9EF">
      <w:pPr>
        <w:pStyle w:val="10"/>
        <w:tabs>
          <w:tab w:val="right" w:leader="dot" w:pos="9060"/>
        </w:tabs>
        <w:ind w:left="840"/>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"_Toc21525509" </w:instrText>
      </w:r>
      <w:r>
        <w:rPr>
          <w:color w:val="auto"/>
          <w:highlight w:val="none"/>
        </w:rPr>
        <w:fldChar w:fldCharType="separate"/>
      </w:r>
      <w:r>
        <w:rPr>
          <w:rStyle w:val="21"/>
          <w:color w:val="auto"/>
          <w:highlight w:val="none"/>
        </w:rPr>
        <w:t>可选办法七（适合综合评分法四，技术标与经济标同时开启）</w:t>
      </w:r>
      <w:r>
        <w:rPr>
          <w:color w:val="auto"/>
          <w:highlight w:val="none"/>
        </w:rPr>
        <w:tab/>
      </w:r>
      <w:r>
        <w:rPr>
          <w:color w:val="auto"/>
          <w:highlight w:val="none"/>
        </w:rPr>
        <w:fldChar w:fldCharType="begin"/>
      </w:r>
      <w:r>
        <w:rPr>
          <w:color w:val="auto"/>
          <w:highlight w:val="none"/>
        </w:rPr>
        <w:instrText xml:space="preserve"> PAGEREF _Toc21525509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14:paraId="4DC59F37">
      <w:pPr>
        <w:pStyle w:val="10"/>
        <w:tabs>
          <w:tab w:val="right" w:leader="dot" w:pos="9060"/>
        </w:tabs>
        <w:ind w:left="840"/>
        <w:rPr>
          <w:rFonts w:hint="eastAsia"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"_Toc21525510" </w:instrText>
      </w:r>
      <w:r>
        <w:rPr>
          <w:color w:val="auto"/>
          <w:highlight w:val="none"/>
        </w:rPr>
        <w:fldChar w:fldCharType="separate"/>
      </w:r>
      <w:r>
        <w:rPr>
          <w:rStyle w:val="21"/>
          <w:color w:val="auto"/>
          <w:highlight w:val="none"/>
        </w:rPr>
        <w:t>可选办法八（适合经评审的最低投标价法，技术标与经济标同时开启）</w:t>
      </w:r>
      <w:r>
        <w:rPr>
          <w:color w:val="auto"/>
          <w:highlight w:val="none"/>
        </w:rPr>
        <w:tab/>
      </w:r>
      <w:r>
        <w:rPr>
          <w:color w:val="auto"/>
          <w:highlight w:val="none"/>
        </w:rPr>
        <w:fldChar w:fldCharType="begin"/>
      </w:r>
      <w:r>
        <w:rPr>
          <w:color w:val="auto"/>
          <w:highlight w:val="none"/>
        </w:rPr>
        <w:instrText xml:space="preserve"> PAGEREF _Toc21525510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353A2442">
      <w:pPr>
        <w:pStyle w:val="15"/>
        <w:rPr>
          <w:rFonts w:hint="eastAsia"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"_Toc21525511" </w:instrText>
      </w:r>
      <w:r>
        <w:rPr>
          <w:color w:val="auto"/>
          <w:highlight w:val="none"/>
        </w:rPr>
        <w:fldChar w:fldCharType="separate"/>
      </w:r>
      <w:r>
        <w:rPr>
          <w:rStyle w:val="21"/>
          <w:color w:val="auto"/>
          <w:highlight w:val="none"/>
        </w:rPr>
        <w:t>第三章  合同条款</w:t>
      </w:r>
      <w:r>
        <w:rPr>
          <w:color w:val="auto"/>
          <w:highlight w:val="none"/>
        </w:rPr>
        <w:tab/>
      </w:r>
      <w:r>
        <w:rPr>
          <w:color w:val="auto"/>
          <w:highlight w:val="none"/>
        </w:rPr>
        <w:fldChar w:fldCharType="begin"/>
      </w:r>
      <w:r>
        <w:rPr>
          <w:color w:val="auto"/>
          <w:highlight w:val="none"/>
        </w:rPr>
        <w:instrText xml:space="preserve"> PAGEREF _Toc21525511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77848578">
      <w:pPr>
        <w:pStyle w:val="15"/>
        <w:rPr>
          <w:rFonts w:hint="eastAsia"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"_Toc21525512" </w:instrText>
      </w:r>
      <w:r>
        <w:rPr>
          <w:color w:val="auto"/>
          <w:highlight w:val="none"/>
        </w:rPr>
        <w:fldChar w:fldCharType="separate"/>
      </w:r>
      <w:r>
        <w:rPr>
          <w:rStyle w:val="21"/>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_Toc21525512 \h </w:instrText>
      </w:r>
      <w:r>
        <w:rPr>
          <w:color w:val="auto"/>
          <w:highlight w:val="none"/>
        </w:rPr>
        <w:fldChar w:fldCharType="separate"/>
      </w:r>
      <w:r>
        <w:rPr>
          <w:color w:val="auto"/>
          <w:highlight w:val="none"/>
        </w:rPr>
        <w:t>100</w:t>
      </w:r>
      <w:r>
        <w:rPr>
          <w:color w:val="auto"/>
          <w:highlight w:val="none"/>
        </w:rPr>
        <w:fldChar w:fldCharType="end"/>
      </w:r>
      <w:r>
        <w:rPr>
          <w:color w:val="auto"/>
          <w:highlight w:val="none"/>
        </w:rPr>
        <w:fldChar w:fldCharType="end"/>
      </w:r>
    </w:p>
    <w:p w14:paraId="258C0A80">
      <w:pPr>
        <w:pStyle w:val="15"/>
        <w:rPr>
          <w:rFonts w:hint="eastAsia"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"_Toc21525513" </w:instrText>
      </w:r>
      <w:r>
        <w:rPr>
          <w:color w:val="auto"/>
          <w:highlight w:val="none"/>
        </w:rPr>
        <w:fldChar w:fldCharType="separate"/>
      </w:r>
      <w:r>
        <w:rPr>
          <w:rStyle w:val="21"/>
          <w:color w:val="auto"/>
          <w:highlight w:val="none"/>
        </w:rPr>
        <w:t>第五章  技术条件（工程建设标准）</w:t>
      </w:r>
      <w:r>
        <w:rPr>
          <w:color w:val="auto"/>
          <w:highlight w:val="none"/>
        </w:rPr>
        <w:tab/>
      </w:r>
      <w:r>
        <w:rPr>
          <w:color w:val="auto"/>
          <w:highlight w:val="none"/>
        </w:rPr>
        <w:fldChar w:fldCharType="begin"/>
      </w:r>
      <w:r>
        <w:rPr>
          <w:color w:val="auto"/>
          <w:highlight w:val="none"/>
        </w:rPr>
        <w:instrText xml:space="preserve"> PAGEREF _Toc21525513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14:paraId="4BD9EA29">
      <w:pPr>
        <w:pStyle w:val="15"/>
        <w:rPr>
          <w:rFonts w:hint="eastAsia"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"_Toc21525514" </w:instrText>
      </w:r>
      <w:r>
        <w:rPr>
          <w:color w:val="auto"/>
          <w:highlight w:val="none"/>
        </w:rPr>
        <w:fldChar w:fldCharType="separate"/>
      </w:r>
      <w:r>
        <w:rPr>
          <w:rStyle w:val="21"/>
          <w:color w:val="auto"/>
          <w:highlight w:val="none"/>
        </w:rPr>
        <w:t>第六章  图纸及勘察资料</w:t>
      </w:r>
      <w:r>
        <w:rPr>
          <w:color w:val="auto"/>
          <w:highlight w:val="none"/>
        </w:rPr>
        <w:tab/>
      </w:r>
      <w:r>
        <w:rPr>
          <w:color w:val="auto"/>
          <w:highlight w:val="none"/>
        </w:rPr>
        <w:fldChar w:fldCharType="begin"/>
      </w:r>
      <w:r>
        <w:rPr>
          <w:color w:val="auto"/>
          <w:highlight w:val="none"/>
        </w:rPr>
        <w:instrText xml:space="preserve"> PAGEREF _Toc21525514 \h </w:instrText>
      </w:r>
      <w:r>
        <w:rPr>
          <w:color w:val="auto"/>
          <w:highlight w:val="none"/>
        </w:rPr>
        <w:fldChar w:fldCharType="separate"/>
      </w:r>
      <w:r>
        <w:rPr>
          <w:color w:val="auto"/>
          <w:highlight w:val="none"/>
        </w:rPr>
        <w:t>113</w:t>
      </w:r>
      <w:r>
        <w:rPr>
          <w:color w:val="auto"/>
          <w:highlight w:val="none"/>
        </w:rPr>
        <w:fldChar w:fldCharType="end"/>
      </w:r>
      <w:r>
        <w:rPr>
          <w:color w:val="auto"/>
          <w:highlight w:val="none"/>
        </w:rPr>
        <w:fldChar w:fldCharType="end"/>
      </w:r>
    </w:p>
    <w:p w14:paraId="043F3F00">
      <w:pPr>
        <w:pStyle w:val="15"/>
        <w:rPr>
          <w:rFonts w:hint="eastAsia"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"_Toc21525515" </w:instrText>
      </w:r>
      <w:r>
        <w:rPr>
          <w:color w:val="auto"/>
          <w:highlight w:val="none"/>
        </w:rPr>
        <w:fldChar w:fldCharType="separate"/>
      </w:r>
      <w:r>
        <w:rPr>
          <w:rStyle w:val="21"/>
          <w:color w:val="auto"/>
          <w:highlight w:val="none"/>
        </w:rPr>
        <w:t>第七章  工程量清单</w:t>
      </w:r>
      <w:r>
        <w:rPr>
          <w:color w:val="auto"/>
          <w:highlight w:val="none"/>
        </w:rPr>
        <w:tab/>
      </w:r>
      <w:r>
        <w:rPr>
          <w:color w:val="auto"/>
          <w:highlight w:val="none"/>
        </w:rPr>
        <w:fldChar w:fldCharType="begin"/>
      </w:r>
      <w:r>
        <w:rPr>
          <w:color w:val="auto"/>
          <w:highlight w:val="none"/>
        </w:rPr>
        <w:instrText xml:space="preserve"> PAGEREF _Toc21525515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14:paraId="620E1C7A">
      <w:pPr>
        <w:pStyle w:val="15"/>
        <w:rPr>
          <w:rFonts w:hint="eastAsia"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"_Toc21525516" </w:instrText>
      </w:r>
      <w:r>
        <w:rPr>
          <w:color w:val="auto"/>
          <w:highlight w:val="none"/>
        </w:rPr>
        <w:fldChar w:fldCharType="separate"/>
      </w:r>
      <w:r>
        <w:rPr>
          <w:rStyle w:val="21"/>
          <w:color w:val="auto"/>
          <w:highlight w:val="none"/>
        </w:rPr>
        <w:t>第八章  最高投标限价</w:t>
      </w:r>
      <w:r>
        <w:rPr>
          <w:color w:val="auto"/>
          <w:highlight w:val="none"/>
        </w:rPr>
        <w:tab/>
      </w:r>
      <w:r>
        <w:rPr>
          <w:color w:val="auto"/>
          <w:highlight w:val="none"/>
        </w:rPr>
        <w:fldChar w:fldCharType="begin"/>
      </w:r>
      <w:r>
        <w:rPr>
          <w:color w:val="auto"/>
          <w:highlight w:val="none"/>
        </w:rPr>
        <w:instrText xml:space="preserve"> PAGEREF _Toc21525516 \h </w:instrText>
      </w:r>
      <w:r>
        <w:rPr>
          <w:color w:val="auto"/>
          <w:highlight w:val="none"/>
        </w:rPr>
        <w:fldChar w:fldCharType="separate"/>
      </w:r>
      <w:r>
        <w:rPr>
          <w:color w:val="auto"/>
          <w:highlight w:val="none"/>
        </w:rPr>
        <w:t>115</w:t>
      </w:r>
      <w:r>
        <w:rPr>
          <w:color w:val="auto"/>
          <w:highlight w:val="none"/>
        </w:rPr>
        <w:fldChar w:fldCharType="end"/>
      </w:r>
      <w:r>
        <w:rPr>
          <w:color w:val="auto"/>
          <w:highlight w:val="none"/>
        </w:rPr>
        <w:fldChar w:fldCharType="end"/>
      </w:r>
    </w:p>
    <w:p w14:paraId="1A35446F">
      <w:pPr>
        <w:pStyle w:val="2"/>
        <w:rPr>
          <w:color w:val="auto"/>
          <w:highlight w:val="none"/>
        </w:rPr>
      </w:pPr>
      <w:r>
        <w:rPr>
          <w:color w:val="auto"/>
          <w:highlight w:val="none"/>
        </w:rPr>
        <w:fldChar w:fldCharType="end"/>
      </w:r>
      <w:bookmarkStart w:id="0" w:name="_Toc2272545"/>
      <w:bookmarkStart w:id="1" w:name="_Toc21525489"/>
      <w:r>
        <w:rPr>
          <w:rFonts w:hint="eastAsia"/>
          <w:color w:val="auto"/>
          <w:highlight w:val="none"/>
        </w:rPr>
        <w:t>第一章</w:t>
      </w:r>
      <w:r>
        <w:rPr>
          <w:color w:val="auto"/>
          <w:highlight w:val="none"/>
        </w:rPr>
        <w:t xml:space="preserve">  </w:t>
      </w:r>
      <w:r>
        <w:rPr>
          <w:rFonts w:hint="eastAsia"/>
          <w:color w:val="auto"/>
          <w:highlight w:val="none"/>
        </w:rPr>
        <w:t>投标须知</w:t>
      </w:r>
      <w:bookmarkEnd w:id="0"/>
      <w:bookmarkEnd w:id="1"/>
    </w:p>
    <w:p w14:paraId="4AB3DC74">
      <w:pPr>
        <w:pStyle w:val="6"/>
        <w:rPr>
          <w:color w:val="auto"/>
          <w:highlight w:val="none"/>
        </w:rPr>
      </w:pPr>
      <w:bookmarkStart w:id="2" w:name="_Toc21525490"/>
      <w:bookmarkStart w:id="3" w:name="_Toc2272546"/>
      <w:r>
        <w:rPr>
          <w:rFonts w:hint="eastAsia"/>
          <w:color w:val="auto"/>
          <w:highlight w:val="none"/>
        </w:rPr>
        <w:t>一、投标须知前附表</w:t>
      </w:r>
      <w:bookmarkEnd w:id="2"/>
      <w:bookmarkEnd w:id="3"/>
    </w:p>
    <w:p w14:paraId="5EDD13ED">
      <w:pPr>
        <w:pStyle w:val="8"/>
        <w:spacing w:line="360" w:lineRule="auto"/>
        <w:ind w:firstLine="0"/>
        <w:rPr>
          <w:rFonts w:hint="eastAsia" w:ascii="宋体" w:hAnsi="宋体"/>
          <w:b/>
          <w:color w:val="auto"/>
          <w:sz w:val="24"/>
          <w:szCs w:val="24"/>
          <w:highlight w:val="none"/>
        </w:rPr>
      </w:pPr>
      <w:r>
        <w:rPr>
          <w:rFonts w:hint="eastAsia" w:ascii="宋体" w:hAnsi="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18"/>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14:paraId="32DE4D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68656863">
            <w:pPr>
              <w:rPr>
                <w:rFonts w:hint="eastAsia"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3CAE914F">
            <w:pPr>
              <w:rPr>
                <w:rFonts w:hint="eastAsia"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14:paraId="49454D40">
            <w:pPr>
              <w:ind w:firstLine="458"/>
              <w:rPr>
                <w:rFonts w:hint="eastAsia"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14:paraId="1614E3A4">
            <w:pPr>
              <w:pStyle w:val="12"/>
              <w:ind w:firstLine="458"/>
              <w:jc w:val="center"/>
              <w:rPr>
                <w:rFonts w:hint="eastAsia" w:ascii="宋体" w:hAnsi="宋体"/>
                <w:color w:val="auto"/>
                <w:szCs w:val="21"/>
                <w:highlight w:val="none"/>
              </w:rPr>
            </w:pPr>
            <w:r>
              <w:rPr>
                <w:rFonts w:hint="eastAsia" w:ascii="宋体" w:hAnsi="宋体"/>
                <w:color w:val="auto"/>
                <w:szCs w:val="21"/>
                <w:highlight w:val="none"/>
              </w:rPr>
              <w:t>说明与要求</w:t>
            </w:r>
          </w:p>
        </w:tc>
      </w:tr>
      <w:tr w14:paraId="4CE791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03F2D58D">
            <w:pPr>
              <w:rPr>
                <w:rFonts w:hint="eastAsia"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0750D2BC">
            <w:pPr>
              <w:rPr>
                <w:rFonts w:hint="eastAsia" w:ascii="宋体" w:hAnsi="宋体"/>
                <w:color w:val="auto"/>
                <w:szCs w:val="21"/>
                <w:highlight w:val="none"/>
              </w:rPr>
            </w:pP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4273CD17">
            <w:pPr>
              <w:rPr>
                <w:rFonts w:hint="eastAsia"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14:paraId="54851BF6">
            <w:pPr>
              <w:rPr>
                <w:rFonts w:hint="eastAsia" w:ascii="宋体" w:hAnsi="宋体"/>
                <w:color w:val="auto"/>
                <w:szCs w:val="21"/>
                <w:highlight w:val="none"/>
                <w:u w:val="single"/>
              </w:rPr>
            </w:pPr>
            <w:r>
              <w:rPr>
                <w:rFonts w:hint="eastAsia" w:ascii="宋体" w:hAnsi="宋体"/>
                <w:color w:val="auto"/>
                <w:szCs w:val="21"/>
                <w:highlight w:val="none"/>
              </w:rPr>
              <w:t>招标人（即发包人）：</w:t>
            </w:r>
            <w:r>
              <w:rPr>
                <w:rFonts w:hint="eastAsia" w:ascii="宋体" w:hAnsi="宋体"/>
                <w:color w:val="auto"/>
                <w:szCs w:val="21"/>
                <w:highlight w:val="none"/>
                <w:u w:val="single"/>
              </w:rPr>
              <w:t>生态环境部华南环境科学研究所</w:t>
            </w:r>
          </w:p>
          <w:p w14:paraId="22FA3545">
            <w:pPr>
              <w:rPr>
                <w:rFonts w:hint="eastAsia" w:ascii="宋体" w:hAnsi="宋体"/>
                <w:color w:val="auto"/>
                <w:szCs w:val="21"/>
                <w:highlight w:val="none"/>
              </w:rPr>
            </w:pPr>
            <w:r>
              <w:rPr>
                <w:rFonts w:hint="eastAsia" w:ascii="宋体" w:hAnsi="宋体"/>
                <w:color w:val="auto"/>
                <w:szCs w:val="21"/>
                <w:highlight w:val="none"/>
                <w:u w:val="single"/>
              </w:rPr>
              <w:t>（生态环境部生态环境应急研究所）</w:t>
            </w:r>
          </w:p>
          <w:p w14:paraId="1C0BA095">
            <w:pPr>
              <w:rPr>
                <w:rFonts w:hint="eastAsia" w:ascii="宋体" w:hAnsi="宋体"/>
                <w:color w:val="auto"/>
                <w:szCs w:val="21"/>
                <w:highlight w:val="none"/>
                <w:u w:val="single"/>
              </w:rPr>
            </w:pPr>
            <w:r>
              <w:rPr>
                <w:rFonts w:hint="eastAsia" w:ascii="宋体" w:hAnsi="宋体"/>
                <w:color w:val="auto"/>
                <w:szCs w:val="21"/>
                <w:highlight w:val="none"/>
              </w:rPr>
              <w:t>项目建设管理单位：</w:t>
            </w:r>
            <w:r>
              <w:rPr>
                <w:rFonts w:hint="eastAsia" w:ascii="宋体" w:hAnsi="宋体"/>
                <w:color w:val="auto"/>
                <w:szCs w:val="21"/>
                <w:highlight w:val="none"/>
                <w:u w:val="single"/>
              </w:rPr>
              <w:t>生态环境部华南环境科学研究所</w:t>
            </w:r>
          </w:p>
          <w:p w14:paraId="63F43036">
            <w:pPr>
              <w:rPr>
                <w:rFonts w:hint="eastAsia" w:ascii="宋体" w:hAnsi="宋体"/>
                <w:color w:val="auto"/>
                <w:szCs w:val="21"/>
                <w:highlight w:val="none"/>
              </w:rPr>
            </w:pPr>
            <w:r>
              <w:rPr>
                <w:rFonts w:hint="eastAsia" w:ascii="宋体" w:hAnsi="宋体"/>
                <w:color w:val="auto"/>
                <w:szCs w:val="21"/>
                <w:highlight w:val="none"/>
                <w:u w:val="single"/>
              </w:rPr>
              <w:t xml:space="preserve">（生态环境部生态环境应急研究所） </w:t>
            </w:r>
          </w:p>
          <w:p w14:paraId="374ACA88">
            <w:pPr>
              <w:rPr>
                <w:rFonts w:hint="eastAsia" w:ascii="宋体" w:hAnsi="宋体"/>
                <w:color w:val="auto"/>
                <w:szCs w:val="21"/>
                <w:highlight w:val="none"/>
              </w:rPr>
            </w:pPr>
            <w:r>
              <w:rPr>
                <w:rFonts w:hint="eastAsia" w:ascii="宋体" w:hAnsi="宋体"/>
                <w:color w:val="auto"/>
                <w:szCs w:val="21"/>
                <w:highlight w:val="none"/>
              </w:rPr>
              <w:t>招标代理：</w:t>
            </w:r>
            <w:r>
              <w:rPr>
                <w:rFonts w:ascii="宋体" w:hAnsi="宋体"/>
                <w:color w:val="auto"/>
                <w:szCs w:val="21"/>
                <w:highlight w:val="none"/>
                <w:u w:val="single"/>
              </w:rPr>
              <w:t xml:space="preserve"> </w:t>
            </w:r>
            <w:r>
              <w:rPr>
                <w:rFonts w:hint="eastAsia" w:ascii="宋体" w:hAnsi="宋体"/>
                <w:color w:val="auto"/>
                <w:szCs w:val="21"/>
                <w:highlight w:val="none"/>
                <w:u w:val="single"/>
              </w:rPr>
              <w:t>广东省国际工程咨询有限公司</w:t>
            </w:r>
            <w:r>
              <w:rPr>
                <w:rFonts w:ascii="宋体" w:hAnsi="宋体"/>
                <w:color w:val="auto"/>
                <w:szCs w:val="21"/>
                <w:highlight w:val="none"/>
                <w:u w:val="single"/>
              </w:rPr>
              <w:t xml:space="preserve">  </w:t>
            </w:r>
          </w:p>
          <w:p w14:paraId="7A51D321">
            <w:pPr>
              <w:rPr>
                <w:rFonts w:hint="eastAsia" w:ascii="宋体" w:hAnsi="宋体"/>
                <w:color w:val="auto"/>
                <w:szCs w:val="21"/>
                <w:highlight w:val="none"/>
              </w:rPr>
            </w:pPr>
            <w:r>
              <w:rPr>
                <w:rFonts w:hint="eastAsia" w:ascii="宋体" w:hAnsi="宋体"/>
                <w:color w:val="auto"/>
                <w:szCs w:val="21"/>
                <w:highlight w:val="none"/>
              </w:rPr>
              <w:t>设计单位：</w:t>
            </w:r>
            <w:r>
              <w:rPr>
                <w:rFonts w:hint="eastAsia" w:ascii="宋体" w:hAnsi="宋体"/>
                <w:color w:val="auto"/>
                <w:szCs w:val="21"/>
                <w:highlight w:val="none"/>
                <w:u w:val="single"/>
              </w:rPr>
              <w:t>(主)深圳华森建筑与工程设计顾问有限公司,(成)广州市城市规划勘测设计研究院有限公司</w:t>
            </w:r>
          </w:p>
          <w:p w14:paraId="5B8822C4">
            <w:pPr>
              <w:rPr>
                <w:rFonts w:hint="eastAsia" w:ascii="宋体" w:hAnsi="宋体"/>
                <w:color w:val="auto"/>
                <w:szCs w:val="21"/>
                <w:highlight w:val="none"/>
                <w:u w:val="single"/>
              </w:rPr>
            </w:pPr>
            <w:r>
              <w:rPr>
                <w:rFonts w:hint="eastAsia" w:ascii="宋体" w:hAnsi="宋体"/>
                <w:color w:val="auto"/>
                <w:szCs w:val="21"/>
                <w:highlight w:val="none"/>
              </w:rPr>
              <w:t>监理单位：</w:t>
            </w:r>
            <w:r>
              <w:rPr>
                <w:rFonts w:ascii="宋体" w:hAnsi="宋体"/>
                <w:color w:val="auto"/>
                <w:szCs w:val="21"/>
                <w:highlight w:val="none"/>
                <w:u w:val="single"/>
              </w:rPr>
              <w:t xml:space="preserve"> </w:t>
            </w:r>
            <w:r>
              <w:rPr>
                <w:rFonts w:hint="eastAsia" w:ascii="宋体" w:hAnsi="宋体"/>
                <w:color w:val="auto"/>
                <w:szCs w:val="21"/>
                <w:highlight w:val="none"/>
                <w:u w:val="single"/>
              </w:rPr>
              <w:t>广东建设工程监理有限公司</w:t>
            </w:r>
            <w:r>
              <w:rPr>
                <w:rFonts w:ascii="宋体" w:hAnsi="宋体"/>
                <w:color w:val="auto"/>
                <w:szCs w:val="21"/>
                <w:highlight w:val="none"/>
                <w:u w:val="single"/>
              </w:rPr>
              <w:t xml:space="preserve"> </w:t>
            </w:r>
          </w:p>
          <w:p w14:paraId="204C303F">
            <w:pPr>
              <w:rPr>
                <w:rFonts w:hint="eastAsia" w:ascii="宋体" w:hAnsi="宋体"/>
                <w:color w:val="auto"/>
                <w:szCs w:val="21"/>
                <w:highlight w:val="none"/>
                <w:u w:val="single"/>
              </w:rPr>
            </w:pPr>
            <w:r>
              <w:rPr>
                <w:rFonts w:hint="eastAsia" w:ascii="宋体" w:hAnsi="宋体"/>
                <w:color w:val="auto"/>
                <w:szCs w:val="21"/>
                <w:highlight w:val="none"/>
              </w:rPr>
              <w:t>检测机构：</w:t>
            </w:r>
            <w:r>
              <w:rPr>
                <w:rFonts w:hint="eastAsia" w:ascii="宋体" w:hAnsi="宋体"/>
                <w:color w:val="auto"/>
                <w:szCs w:val="21"/>
                <w:highlight w:val="none"/>
                <w:u w:val="single"/>
              </w:rPr>
              <w:t xml:space="preserve">（主）广东省建设工程质量安全检测总站有限公司；（成）广东在田检测技术服务有限公司 </w:t>
            </w:r>
          </w:p>
          <w:p w14:paraId="116A7090">
            <w:pPr>
              <w:rPr>
                <w:color w:val="auto"/>
                <w:highlight w:val="none"/>
              </w:rPr>
            </w:pPr>
            <w:r>
              <w:rPr>
                <w:rFonts w:hint="eastAsia" w:ascii="宋体" w:hAnsi="宋体"/>
                <w:color w:val="auto"/>
                <w:szCs w:val="21"/>
                <w:highlight w:val="none"/>
                <w:u w:val="single"/>
              </w:rPr>
              <w:t>施工总承包单位：广州一建建设集团有限公司</w:t>
            </w:r>
          </w:p>
        </w:tc>
      </w:tr>
      <w:tr w14:paraId="10CEC1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14:paraId="61C31EBD">
            <w:pPr>
              <w:rPr>
                <w:rFonts w:hint="eastAsia"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3E431D91">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EC3CF8D">
            <w:pPr>
              <w:rPr>
                <w:rFonts w:hint="eastAsia"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14:paraId="2A637BA8">
            <w:pPr>
              <w:rPr>
                <w:rFonts w:hint="eastAsia" w:ascii="宋体" w:hAnsi="宋体"/>
                <w:color w:val="auto"/>
                <w:szCs w:val="21"/>
                <w:highlight w:val="none"/>
                <w:u w:val="single"/>
              </w:rPr>
            </w:pPr>
            <w:r>
              <w:rPr>
                <w:rFonts w:hint="eastAsia" w:ascii="宋体" w:hAnsi="宋体"/>
                <w:color w:val="auto"/>
                <w:szCs w:val="21"/>
                <w:highlight w:val="none"/>
                <w:u w:val="single"/>
                <w:lang w:eastAsia="zh-CN"/>
              </w:rPr>
              <w:t>华南区域危险废物环境风险防控技术中心建设项目实验室施工专业承包</w:t>
            </w:r>
          </w:p>
        </w:tc>
      </w:tr>
      <w:tr w14:paraId="7FC430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61E57453">
            <w:pPr>
              <w:rPr>
                <w:rFonts w:hint="eastAsia"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0915F84F">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60560E29">
            <w:pPr>
              <w:rPr>
                <w:rFonts w:hint="eastAsia"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14:paraId="1E784B49">
            <w:pPr>
              <w:rPr>
                <w:rFonts w:hint="eastAsia" w:ascii="宋体" w:hAnsi="宋体"/>
                <w:color w:val="auto"/>
                <w:szCs w:val="21"/>
                <w:highlight w:val="none"/>
                <w:u w:val="single"/>
              </w:rPr>
            </w:pPr>
            <w:r>
              <w:rPr>
                <w:rFonts w:hint="eastAsia" w:ascii="宋体" w:hAnsi="宋体"/>
                <w:color w:val="auto"/>
                <w:szCs w:val="21"/>
                <w:highlight w:val="none"/>
                <w:u w:val="single"/>
              </w:rPr>
              <w:t>详见招标公告；</w:t>
            </w:r>
          </w:p>
        </w:tc>
      </w:tr>
      <w:tr w14:paraId="4ABFC8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1E5BA999">
            <w:pPr>
              <w:rPr>
                <w:rFonts w:hint="eastAsia"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62B60B4B">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14BF56B">
            <w:pPr>
              <w:rPr>
                <w:rFonts w:hint="eastAsia" w:ascii="宋体" w:hAnsi="宋体"/>
                <w:color w:val="auto"/>
                <w:szCs w:val="21"/>
                <w:highlight w:val="none"/>
              </w:rPr>
            </w:pPr>
            <w:r>
              <w:rPr>
                <w:rFonts w:hint="eastAsia" w:ascii="宋体" w:hAnsi="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14:paraId="03224C24">
            <w:pPr>
              <w:rPr>
                <w:rFonts w:hint="eastAsia" w:ascii="宋体" w:hAnsi="宋体"/>
                <w:color w:val="auto"/>
                <w:szCs w:val="21"/>
                <w:highlight w:val="none"/>
                <w:u w:val="single"/>
              </w:rPr>
            </w:pPr>
            <w:r>
              <w:rPr>
                <w:rFonts w:hint="eastAsia" w:ascii="宋体" w:hAnsi="宋体"/>
                <w:color w:val="auto"/>
                <w:szCs w:val="21"/>
                <w:highlight w:val="none"/>
                <w:u w:val="single"/>
              </w:rPr>
              <w:t>详见招标公告；</w:t>
            </w:r>
          </w:p>
        </w:tc>
      </w:tr>
      <w:tr w14:paraId="2E6F7D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138761CF">
            <w:pPr>
              <w:rPr>
                <w:rFonts w:hint="eastAsia"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7F67DCBD">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1A979E55">
            <w:pPr>
              <w:rPr>
                <w:rFonts w:hint="eastAsia" w:ascii="宋体" w:hAnsi="宋体"/>
                <w:color w:val="auto"/>
                <w:szCs w:val="21"/>
                <w:highlight w:val="none"/>
              </w:rPr>
            </w:pPr>
            <w:r>
              <w:rPr>
                <w:rFonts w:hint="eastAsia" w:ascii="宋体" w:hAnsi="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14:paraId="2054B4B5">
            <w:pPr>
              <w:spacing w:line="3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承包人按招标文件、招标图纸、</w:t>
            </w:r>
            <w:r>
              <w:rPr>
                <w:rFonts w:hint="eastAsia" w:ascii="宋体" w:hAnsi="宋体" w:cs="宋体"/>
                <w:bCs/>
                <w:color w:val="auto"/>
                <w:szCs w:val="21"/>
                <w:highlight w:val="none"/>
                <w:u w:val="single"/>
              </w:rPr>
              <w:t>技术条件（工程建设标准）</w:t>
            </w:r>
            <w:r>
              <w:rPr>
                <w:rFonts w:hint="eastAsia" w:ascii="宋体" w:hAnsi="宋体" w:cs="宋体"/>
                <w:color w:val="auto"/>
                <w:szCs w:val="21"/>
                <w:highlight w:val="none"/>
                <w:u w:val="single"/>
              </w:rPr>
              <w:t>及招标时发出的相关资料结合工程现场实际情况、工程特点，包工、包材料（含辅材、软件、工具、备品备件）、包深化设计、包系统设备安装和管线敷设、包工期、包质量、包安全生产、包文明施工、包各系统测试和调试以及与相关系统的联合调试、包系统试运行、包验收、包移交、包系统维护、软件升级、技术培训和系统正式移交后的技术服务与支持、包结算、</w:t>
            </w:r>
            <w:r>
              <w:rPr>
                <w:rFonts w:hint="eastAsia" w:ascii="宋体" w:hAnsi="宋体" w:cs="宋体"/>
                <w:bCs/>
                <w:snapToGrid w:val="0"/>
                <w:color w:val="auto"/>
                <w:kern w:val="0"/>
                <w:szCs w:val="21"/>
                <w:highlight w:val="none"/>
                <w:u w:val="single"/>
              </w:rPr>
              <w:t>包</w:t>
            </w:r>
            <w:r>
              <w:rPr>
                <w:rFonts w:hint="eastAsia" w:ascii="宋体" w:hAnsi="宋体" w:cs="宋体"/>
                <w:color w:val="auto"/>
                <w:szCs w:val="21"/>
                <w:highlight w:val="none"/>
                <w:u w:val="single"/>
              </w:rPr>
              <w:t>资料整理、包专业协调及配合、包</w:t>
            </w:r>
            <w:r>
              <w:rPr>
                <w:rFonts w:hint="eastAsia" w:ascii="宋体" w:hAnsi="宋体" w:cs="宋体"/>
                <w:bCs/>
                <w:snapToGrid w:val="0"/>
                <w:color w:val="auto"/>
                <w:kern w:val="0"/>
                <w:szCs w:val="21"/>
                <w:highlight w:val="none"/>
                <w:u w:val="single"/>
              </w:rPr>
              <w:t>承包人应当购买的保险</w:t>
            </w:r>
            <w:r>
              <w:rPr>
                <w:rFonts w:hint="eastAsia" w:ascii="宋体" w:hAnsi="宋体" w:cs="宋体"/>
                <w:color w:val="auto"/>
                <w:szCs w:val="21"/>
                <w:highlight w:val="none"/>
                <w:u w:val="single"/>
              </w:rPr>
              <w:t>、包竣工图编制（须满足规划等各专项验收要求）、包竣工资料汇总、包服从项目建筑工程施工总承包单位（</w:t>
            </w:r>
            <w:r>
              <w:rPr>
                <w:rFonts w:hint="eastAsia" w:ascii="宋体" w:hAnsi="宋体"/>
                <w:color w:val="auto"/>
                <w:szCs w:val="21"/>
                <w:highlight w:val="none"/>
                <w:u w:val="single"/>
              </w:rPr>
              <w:t>广州一建建设集团有限公司</w:t>
            </w:r>
            <w:r>
              <w:rPr>
                <w:rFonts w:hint="eastAsia" w:ascii="宋体" w:hAnsi="宋体" w:cs="宋体"/>
                <w:color w:val="auto"/>
                <w:szCs w:val="21"/>
                <w:highlight w:val="none"/>
                <w:u w:val="single"/>
              </w:rPr>
              <w:t>）的施工总承包管理等。合</w:t>
            </w:r>
            <w:r>
              <w:rPr>
                <w:rFonts w:hint="eastAsia" w:ascii="宋体" w:hAnsi="宋体" w:cs="宋体"/>
                <w:color w:val="auto"/>
                <w:highlight w:val="none"/>
                <w:u w:val="single"/>
              </w:rPr>
              <w:t>同价款根据招标文件施工合同约定的计价方式进行计价和结算。</w:t>
            </w:r>
          </w:p>
          <w:p w14:paraId="34CBB634">
            <w:pPr>
              <w:rPr>
                <w:rFonts w:hint="eastAsia" w:ascii="宋体" w:hAnsi="宋体"/>
                <w:color w:val="auto"/>
                <w:szCs w:val="21"/>
                <w:highlight w:val="none"/>
              </w:rPr>
            </w:pPr>
            <w:r>
              <w:rPr>
                <w:rFonts w:hint="eastAsia" w:ascii="宋体" w:hAnsi="宋体" w:cs="宋体"/>
                <w:b/>
                <w:color w:val="auto"/>
                <w:szCs w:val="21"/>
                <w:highlight w:val="none"/>
                <w:u w:val="single"/>
              </w:rPr>
              <w:t>各投标单位必须详细阅读本工程招标文件和其它有关文件，并充分研究招标图纸和了解技术条件（工程建设标准）内容、现场条件及风险等，完成上述所有工程内容。</w:t>
            </w:r>
          </w:p>
        </w:tc>
      </w:tr>
      <w:tr w14:paraId="312BC2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101D2C54">
            <w:pPr>
              <w:rPr>
                <w:rFonts w:hint="eastAsia"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41251736">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067BB9E7">
            <w:pP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14:paraId="3C018A3B">
            <w:pPr>
              <w:rPr>
                <w:rFonts w:hint="eastAsia" w:ascii="宋体" w:hAnsi="宋体" w:cs="宋体"/>
                <w:color w:val="auto"/>
                <w:highlight w:val="none"/>
                <w:u w:val="single"/>
              </w:rPr>
            </w:pPr>
            <w:r>
              <w:rPr>
                <w:rFonts w:hint="eastAsia" w:ascii="宋体" w:hAnsi="宋体" w:cs="宋体"/>
                <w:color w:val="auto"/>
                <w:szCs w:val="21"/>
                <w:highlight w:val="none"/>
                <w:u w:val="single"/>
              </w:rPr>
              <w:t>1、质量标准：</w:t>
            </w:r>
            <w:r>
              <w:rPr>
                <w:rFonts w:hint="eastAsia" w:ascii="宋体" w:hAnsi="宋体" w:cs="宋体"/>
                <w:color w:val="auto"/>
                <w:highlight w:val="none"/>
                <w:u w:val="single"/>
              </w:rPr>
              <w:t>合格，符合设计图纸要求和国家、省、市相关法律法规规定要求及行业颁发的工程质量验收标准。按照国家最新颁布《建筑工程施工质量验收统一标准》及相应配套的各专业验收规范，一次验收合格。</w:t>
            </w:r>
          </w:p>
          <w:p w14:paraId="1A3D5E05">
            <w:pPr>
              <w:rPr>
                <w:rFonts w:hint="eastAsia" w:ascii="宋体" w:hAnsi="宋体" w:cs="宋体"/>
                <w:color w:val="auto"/>
                <w:szCs w:val="21"/>
                <w:highlight w:val="none"/>
                <w:u w:val="single"/>
              </w:rPr>
            </w:pPr>
            <w:r>
              <w:rPr>
                <w:rFonts w:hint="eastAsia" w:ascii="宋体" w:hAnsi="宋体" w:cs="宋体"/>
                <w:color w:val="auto"/>
                <w:highlight w:val="none"/>
                <w:u w:val="single"/>
              </w:rPr>
              <w:t>2、获奖目标：</w:t>
            </w:r>
            <w:r>
              <w:rPr>
                <w:rFonts w:hint="eastAsia" w:ascii="宋体" w:hAnsi="宋体" w:cs="宋体"/>
                <w:color w:val="auto"/>
                <w:szCs w:val="21"/>
                <w:highlight w:val="none"/>
                <w:u w:val="single"/>
              </w:rPr>
              <w:t>配合广州一建建设集团有限公司使整个建设项目获得“省级或以上工程优质奖”奖项。</w:t>
            </w:r>
          </w:p>
          <w:p w14:paraId="32457430">
            <w:pPr>
              <w:rPr>
                <w:rFonts w:hint="eastAsia" w:ascii="宋体" w:hAnsi="宋体" w:cs="宋体"/>
                <w:color w:val="auto"/>
                <w:highlight w:val="none"/>
              </w:rPr>
            </w:pPr>
            <w:r>
              <w:rPr>
                <w:rFonts w:hint="eastAsia" w:ascii="宋体" w:hAnsi="宋体" w:cs="宋体"/>
                <w:color w:val="auto"/>
                <w:szCs w:val="21"/>
                <w:highlight w:val="none"/>
                <w:u w:val="single"/>
              </w:rPr>
              <w:t>3、确保不发生一般事故等级及以上的安全生产事故且死亡人数为零，达到“省级安全文明示范工地”的要求，保证施工场地清洁、扬尘及噪音管理符合环境卫生管理的有关规定。</w:t>
            </w:r>
          </w:p>
        </w:tc>
      </w:tr>
      <w:tr w14:paraId="38385F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04D5FDBB">
            <w:pPr>
              <w:rPr>
                <w:rFonts w:hint="eastAsia"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5ED24E69">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0CCB2AA0">
            <w:pPr>
              <w:rPr>
                <w:rFonts w:hint="eastAsia" w:ascii="宋体" w:hAnsi="宋体"/>
                <w:color w:val="auto"/>
                <w:szCs w:val="21"/>
                <w:highlight w:val="none"/>
              </w:rPr>
            </w:pPr>
            <w:r>
              <w:rPr>
                <w:rFonts w:hint="eastAsia" w:ascii="宋体" w:hAnsi="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14:paraId="43EE4462">
            <w:pPr>
              <w:rPr>
                <w:rFonts w:hint="eastAsia"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详见本工程招标公告。具体以本项目挂网的招标文件、技术条件（工程建设标准）、招标图纸、工程量清单及有关资料说明为准。具体工作界面以招标图纸和工程量清单为准。</w:t>
            </w:r>
          </w:p>
          <w:p w14:paraId="2EE38D3F">
            <w:pPr>
              <w:rPr>
                <w:rFonts w:hint="eastAsia" w:ascii="宋体" w:hAnsi="宋体"/>
                <w:color w:val="auto"/>
                <w:szCs w:val="21"/>
                <w:highlight w:val="none"/>
                <w:u w:val="single"/>
              </w:rPr>
            </w:pPr>
            <w:r>
              <w:rPr>
                <w:rFonts w:hint="eastAsia" w:ascii="宋体" w:hAnsi="宋体" w:cs="宋体"/>
                <w:color w:val="auto"/>
                <w:kern w:val="0"/>
                <w:szCs w:val="21"/>
                <w:highlight w:val="none"/>
                <w:u w:val="single"/>
                <w:lang w:val="zh-CN"/>
              </w:rPr>
              <w:t>注：（1）招标人在实施过程中根据本工程实际情况有权增减部分内容，承包人不能拒绝执行。（2）招标文件的解释权归招标人所有，招标人有权在法律允许范围内调整本次招标活动的细节及保留最终解释权。</w:t>
            </w:r>
          </w:p>
        </w:tc>
      </w:tr>
      <w:tr w14:paraId="21A8DE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762BEA58">
            <w:pPr>
              <w:rPr>
                <w:rFonts w:hint="eastAsia"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51C3BDA9">
            <w:pPr>
              <w:rPr>
                <w:rFonts w:hint="eastAsia"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1147965">
            <w:pPr>
              <w:rPr>
                <w:rFonts w:hint="eastAsia" w:ascii="宋体" w:hAnsi="宋体"/>
                <w:color w:val="auto"/>
                <w:szCs w:val="21"/>
                <w:highlight w:val="none"/>
              </w:rPr>
            </w:pPr>
            <w:r>
              <w:rPr>
                <w:rFonts w:hint="eastAsia" w:ascii="宋体" w:hAnsi="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14:paraId="1CDB83A4">
            <w:pPr>
              <w:rPr>
                <w:rFonts w:hint="eastAsia"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2025年11月1日</w:t>
            </w:r>
            <w:r>
              <w:rPr>
                <w:rFonts w:hint="eastAsia" w:ascii="宋体" w:hAnsi="宋体"/>
                <w:color w:val="auto"/>
                <w:szCs w:val="21"/>
                <w:highlight w:val="none"/>
              </w:rPr>
              <w:t>计划开工，施工总期：386日历天。</w:t>
            </w:r>
            <w:r>
              <w:rPr>
                <w:rFonts w:ascii="宋体" w:hAnsi="宋体"/>
                <w:color w:val="auto"/>
                <w:szCs w:val="21"/>
                <w:highlight w:val="none"/>
              </w:rPr>
              <w:t xml:space="preserve">                                                                       </w:t>
            </w:r>
          </w:p>
        </w:tc>
      </w:tr>
      <w:tr w14:paraId="5C7B90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B528A6E">
            <w:pPr>
              <w:rPr>
                <w:rFonts w:hint="eastAsia"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7FFA4459">
            <w:pPr>
              <w:rPr>
                <w:rFonts w:hint="eastAsia" w:ascii="宋体" w:hAnsi="宋体"/>
                <w:color w:val="auto"/>
                <w:szCs w:val="21"/>
                <w:highlight w:val="none"/>
              </w:rPr>
            </w:pPr>
            <w:r>
              <w:rPr>
                <w:rFonts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14:paraId="042E1147">
            <w:pPr>
              <w:rPr>
                <w:rFonts w:hint="eastAsia"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14:paraId="14C586AC">
            <w:pPr>
              <w:rPr>
                <w:rFonts w:hint="eastAsia" w:ascii="宋体" w:hAnsi="宋体"/>
                <w:color w:val="auto"/>
                <w:szCs w:val="21"/>
                <w:highlight w:val="none"/>
                <w:u w:val="single"/>
              </w:rPr>
            </w:pPr>
            <w:r>
              <w:rPr>
                <w:rFonts w:hint="eastAsia" w:ascii="宋体" w:hAnsi="宋体"/>
                <w:color w:val="auto"/>
                <w:szCs w:val="21"/>
                <w:highlight w:val="none"/>
                <w:u w:val="single"/>
              </w:rPr>
              <w:t>财政资金</w:t>
            </w:r>
          </w:p>
        </w:tc>
      </w:tr>
      <w:tr w14:paraId="42DDB7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77D88EE9">
            <w:pPr>
              <w:rPr>
                <w:rFonts w:hint="eastAsia"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51D7456E">
            <w:pPr>
              <w:rPr>
                <w:rFonts w:hint="eastAsia" w:ascii="宋体" w:hAnsi="宋体"/>
                <w:color w:val="auto"/>
                <w:szCs w:val="21"/>
                <w:highlight w:val="none"/>
              </w:rPr>
            </w:pPr>
            <w:r>
              <w:rPr>
                <w:rFonts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14:paraId="4CBCEFB9">
            <w:pPr>
              <w:rPr>
                <w:rFonts w:hint="eastAsia"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14:paraId="45596DC0">
            <w:pPr>
              <w:rPr>
                <w:rFonts w:hint="eastAsia" w:ascii="宋体" w:hAnsi="宋体"/>
                <w:color w:val="auto"/>
                <w:szCs w:val="21"/>
                <w:highlight w:val="none"/>
              </w:rPr>
            </w:pPr>
            <w:r>
              <w:rPr>
                <w:rFonts w:hint="eastAsia" w:ascii="宋体" w:hAnsi="宋体"/>
                <w:color w:val="auto"/>
                <w:szCs w:val="21"/>
                <w:highlight w:val="none"/>
              </w:rPr>
              <w:t>详见本工程招标公告。</w:t>
            </w:r>
          </w:p>
        </w:tc>
      </w:tr>
      <w:tr w14:paraId="358B39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8F1F29B">
            <w:pPr>
              <w:rPr>
                <w:rFonts w:hint="eastAsia"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30CB68DD">
            <w:pPr>
              <w:ind w:firstLine="458"/>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E7F5466">
            <w:pPr>
              <w:rPr>
                <w:rFonts w:hint="eastAsia"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14:paraId="6E646A3D">
            <w:pPr>
              <w:rPr>
                <w:rFonts w:hint="eastAsia" w:ascii="宋体" w:hAnsi="宋体"/>
                <w:color w:val="auto"/>
                <w:szCs w:val="21"/>
                <w:highlight w:val="none"/>
              </w:rPr>
            </w:pPr>
            <w:r>
              <w:rPr>
                <w:rFonts w:hint="eastAsia" w:ascii="宋体" w:hAnsi="宋体"/>
                <w:color w:val="auto"/>
                <w:szCs w:val="21"/>
                <w:highlight w:val="none"/>
              </w:rPr>
              <w:t>详见本工程招标公告。</w:t>
            </w:r>
          </w:p>
        </w:tc>
      </w:tr>
      <w:tr w14:paraId="0C48B0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89F87CC">
            <w:pPr>
              <w:rPr>
                <w:rFonts w:hint="eastAsia" w:ascii="宋体" w:hAnsi="宋体"/>
                <w:color w:val="auto"/>
                <w:szCs w:val="21"/>
                <w:highlight w:val="none"/>
              </w:rPr>
            </w:pPr>
            <w:r>
              <w:rPr>
                <w:rFonts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14:paraId="239854CE">
            <w:pPr>
              <w:rPr>
                <w:rFonts w:hint="eastAsia" w:ascii="宋体" w:hAnsi="宋体"/>
                <w:color w:val="auto"/>
                <w:szCs w:val="21"/>
                <w:highlight w:val="none"/>
              </w:rPr>
            </w:pPr>
            <w:r>
              <w:rPr>
                <w:rFonts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14:paraId="5163C23C">
            <w:pPr>
              <w:rPr>
                <w:rFonts w:hint="eastAsia"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14:paraId="6795156E">
            <w:pPr>
              <w:rPr>
                <w:rFonts w:hint="eastAsia" w:ascii="宋体" w:hAnsi="宋体"/>
                <w:color w:val="auto"/>
                <w:szCs w:val="21"/>
                <w:highlight w:val="none"/>
              </w:rPr>
            </w:pPr>
            <w:r>
              <w:rPr>
                <w:rFonts w:hint="eastAsia" w:ascii="宋体" w:hAnsi="宋体"/>
                <w:color w:val="auto"/>
                <w:szCs w:val="21"/>
                <w:highlight w:val="none"/>
              </w:rPr>
              <w:t>工程量清单计价。</w:t>
            </w:r>
          </w:p>
        </w:tc>
      </w:tr>
      <w:tr w14:paraId="71FE95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96AA6E4">
            <w:pPr>
              <w:rPr>
                <w:rFonts w:hint="eastAsia" w:ascii="宋体" w:hAnsi="宋体"/>
                <w:color w:val="auto"/>
                <w:szCs w:val="21"/>
                <w:highlight w:val="none"/>
              </w:rPr>
            </w:pPr>
            <w:r>
              <w:rPr>
                <w:rFonts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14:paraId="6C3A3F1E">
            <w:pPr>
              <w:rPr>
                <w:rFonts w:hint="eastAsia" w:ascii="宋体" w:hAnsi="宋体"/>
                <w:color w:val="auto"/>
                <w:szCs w:val="21"/>
                <w:highlight w:val="none"/>
              </w:rPr>
            </w:pPr>
            <w:r>
              <w:rPr>
                <w:rFonts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14:paraId="76FA34D8">
            <w:pPr>
              <w:rPr>
                <w:rFonts w:hint="eastAsia"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14:paraId="401A0C0C">
            <w:pPr>
              <w:rPr>
                <w:rFonts w:hint="eastAsia" w:ascii="宋体" w:hAnsi="宋体"/>
                <w:color w:val="auto"/>
                <w:szCs w:val="21"/>
                <w:highlight w:val="none"/>
                <w:u w:val="single"/>
              </w:rPr>
            </w:pP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120</w:t>
            </w:r>
            <w:r>
              <w:rPr>
                <w:rFonts w:ascii="宋体" w:hAnsi="宋体"/>
                <w:color w:val="auto"/>
                <w:szCs w:val="21"/>
                <w:highlight w:val="none"/>
                <w:u w:val="single"/>
              </w:rPr>
              <w:t xml:space="preserve"> </w:t>
            </w:r>
            <w:r>
              <w:rPr>
                <w:rFonts w:hint="eastAsia" w:ascii="宋体" w:hAnsi="宋体"/>
                <w:color w:val="auto"/>
                <w:szCs w:val="21"/>
                <w:highlight w:val="none"/>
              </w:rPr>
              <w:t>日历天。（从投标截止之日计起）</w:t>
            </w:r>
          </w:p>
        </w:tc>
      </w:tr>
      <w:tr w14:paraId="601756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6693C40">
            <w:pPr>
              <w:rPr>
                <w:rFonts w:hint="eastAsia" w:ascii="宋体" w:hAnsi="宋体"/>
                <w:color w:val="auto"/>
                <w:szCs w:val="21"/>
                <w:highlight w:val="none"/>
              </w:rPr>
            </w:pPr>
            <w:r>
              <w:rPr>
                <w:rFonts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14:paraId="1DDF2BF7">
            <w:pPr>
              <w:rPr>
                <w:rFonts w:hint="eastAsia" w:ascii="宋体" w:hAnsi="宋体"/>
                <w:color w:val="auto"/>
                <w:szCs w:val="21"/>
                <w:highlight w:val="none"/>
              </w:rPr>
            </w:pPr>
            <w:r>
              <w:rPr>
                <w:rFonts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14:paraId="5C8C0FBD">
            <w:pPr>
              <w:rPr>
                <w:rFonts w:hint="eastAsia"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14:paraId="7A35C665">
            <w:pPr>
              <w:rPr>
                <w:color w:val="auto"/>
                <w:highlight w:val="none"/>
              </w:rPr>
            </w:pPr>
            <w:r>
              <w:rPr>
                <w:rFonts w:hint="eastAsia"/>
                <w:color w:val="auto"/>
                <w:highlight w:val="none"/>
              </w:rPr>
              <w:t>方式一：本项目不收投标保证金。</w:t>
            </w:r>
          </w:p>
          <w:p w14:paraId="08F9FBAB">
            <w:pPr>
              <w:widowControl/>
              <w:jc w:val="left"/>
              <w:rPr>
                <w:strike/>
                <w:color w:val="auto"/>
                <w:highlight w:val="none"/>
              </w:rPr>
            </w:pPr>
            <w:r>
              <w:rPr>
                <w:rFonts w:hint="eastAsia"/>
                <w:strike/>
                <w:color w:val="auto"/>
                <w:highlight w:val="none"/>
              </w:rPr>
              <w:t>方式二：本项目收取投标保证金</w:t>
            </w:r>
            <w:r>
              <w:rPr>
                <w:rFonts w:hint="eastAsia"/>
                <w:strike/>
                <w:color w:val="auto"/>
                <w:highlight w:val="none"/>
                <w:u w:val="single"/>
              </w:rPr>
              <w:t xml:space="preserve">      </w:t>
            </w:r>
            <w:r>
              <w:rPr>
                <w:rFonts w:hint="eastAsia"/>
                <w:strike/>
                <w:color w:val="auto"/>
                <w:highlight w:val="none"/>
              </w:rPr>
              <w:t>万元人民币，缴纳时间在</w:t>
            </w:r>
            <w:r>
              <w:rPr>
                <w:rFonts w:hint="eastAsia"/>
                <w:strike/>
                <w:color w:val="auto"/>
                <w:highlight w:val="none"/>
                <w:u w:val="single"/>
              </w:rPr>
              <w:t xml:space="preserve">        </w:t>
            </w:r>
            <w:r>
              <w:rPr>
                <w:rFonts w:hint="eastAsia"/>
                <w:strike/>
                <w:color w:val="auto"/>
                <w:highlight w:val="none"/>
              </w:rPr>
              <w:t>之前。</w:t>
            </w:r>
          </w:p>
          <w:p w14:paraId="070A3AC6">
            <w:pPr>
              <w:widowControl/>
              <w:jc w:val="left"/>
              <w:rPr>
                <w:strike/>
                <w:color w:val="auto"/>
                <w:highlight w:val="none"/>
              </w:rPr>
            </w:pPr>
            <w:r>
              <w:rPr>
                <w:rFonts w:hint="eastAsia"/>
                <w:strike/>
                <w:color w:val="auto"/>
                <w:highlight w:val="none"/>
              </w:rPr>
              <w:t>注：</w:t>
            </w:r>
          </w:p>
          <w:p w14:paraId="2B8C8F72">
            <w:pPr>
              <w:widowControl/>
              <w:jc w:val="left"/>
              <w:rPr>
                <w:strike/>
                <w:color w:val="auto"/>
                <w:highlight w:val="none"/>
              </w:rPr>
            </w:pPr>
            <w:r>
              <w:rPr>
                <w:rFonts w:hint="eastAsia"/>
                <w:strike/>
                <w:color w:val="auto"/>
                <w:highlight w:val="none"/>
              </w:rPr>
              <w:t>1、政府投资项目不得收取投标保证金。鼓励招标人对简单小额项目不要求提供投标担保，对中小企业投标人免除投标担保。</w:t>
            </w:r>
          </w:p>
          <w:p w14:paraId="170E06BE">
            <w:pPr>
              <w:rPr>
                <w:strike/>
                <w:color w:val="auto"/>
                <w:highlight w:val="none"/>
              </w:rPr>
            </w:pPr>
            <w:r>
              <w:rPr>
                <w:rFonts w:hint="eastAsia"/>
                <w:strike/>
                <w:color w:val="auto"/>
                <w:highlight w:val="none"/>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2DF6DA6C">
            <w:pPr>
              <w:rPr>
                <w:color w:val="auto"/>
                <w:highlight w:val="none"/>
              </w:rPr>
            </w:pPr>
            <w:r>
              <w:rPr>
                <w:rFonts w:hint="eastAsia"/>
                <w:strike/>
                <w:color w:val="auto"/>
                <w:highlight w:val="none"/>
              </w:rPr>
              <w:t>3、招标人在免收投标保证金的同时，应约定免交投标保证金的投标人存在16.4条款所列情形的后续处理措施。</w:t>
            </w:r>
          </w:p>
        </w:tc>
      </w:tr>
      <w:tr w14:paraId="0083D8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F0BDE5E">
            <w:pPr>
              <w:rPr>
                <w:rFonts w:hint="eastAsia" w:ascii="宋体" w:hAnsi="宋体"/>
                <w:color w:val="auto"/>
                <w:szCs w:val="21"/>
                <w:highlight w:val="none"/>
              </w:rPr>
            </w:pPr>
            <w:r>
              <w:rPr>
                <w:rFonts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14:paraId="3339E5F9">
            <w:pPr>
              <w:rPr>
                <w:rFonts w:hint="eastAsia" w:ascii="宋体" w:hAnsi="宋体"/>
                <w:color w:val="auto"/>
                <w:szCs w:val="21"/>
                <w:highlight w:val="none"/>
              </w:rPr>
            </w:pPr>
            <w:r>
              <w:rPr>
                <w:rFonts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14:paraId="23D5937E">
            <w:pPr>
              <w:jc w:val="center"/>
              <w:rPr>
                <w:rFonts w:hint="eastAsia" w:ascii="宋体" w:hAnsi="宋体"/>
                <w:color w:val="auto"/>
                <w:szCs w:val="21"/>
                <w:highlight w:val="none"/>
              </w:rPr>
            </w:pPr>
            <w:r>
              <w:rPr>
                <w:rFonts w:hint="eastAsia" w:ascii="宋体" w:hAnsi="宋体" w:cs="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14:paraId="0E5F2B6C">
            <w:pPr>
              <w:pStyle w:val="12"/>
              <w:rPr>
                <w:rFonts w:hint="eastAsia" w:ascii="宋体" w:hAnsi="宋体" w:cs="宋体"/>
                <w:color w:val="auto"/>
                <w:szCs w:val="21"/>
                <w:highlight w:val="none"/>
                <w:u w:val="single"/>
              </w:rPr>
            </w:pPr>
            <w:r>
              <w:rPr>
                <w:rFonts w:hint="eastAsia" w:ascii="宋体" w:hAnsi="宋体" w:cs="宋体"/>
                <w:color w:val="auto"/>
                <w:szCs w:val="21"/>
                <w:highlight w:val="none"/>
                <w:u w:val="single"/>
              </w:rPr>
              <w:t>时间：自招标公告发布之日起具备现场踏勘条件；</w:t>
            </w:r>
          </w:p>
          <w:p w14:paraId="362FAFAE">
            <w:pPr>
              <w:pStyle w:val="12"/>
              <w:rPr>
                <w:rFonts w:hint="eastAsia" w:ascii="宋体" w:hAnsi="宋体" w:cs="宋体"/>
                <w:color w:val="auto"/>
                <w:szCs w:val="21"/>
                <w:highlight w:val="none"/>
                <w:u w:val="single"/>
              </w:rPr>
            </w:pPr>
            <w:r>
              <w:rPr>
                <w:rFonts w:hint="eastAsia" w:ascii="宋体" w:hAnsi="宋体" w:cs="宋体"/>
                <w:color w:val="auto"/>
                <w:szCs w:val="21"/>
                <w:highlight w:val="none"/>
                <w:u w:val="single"/>
              </w:rPr>
              <w:t>方式：招标人不集中组织，由投标人自行踏勘；</w:t>
            </w:r>
          </w:p>
          <w:p w14:paraId="3385C35A">
            <w:pPr>
              <w:rPr>
                <w:rFonts w:hint="eastAsia" w:ascii="宋体" w:hAnsi="宋体"/>
                <w:color w:val="auto"/>
                <w:szCs w:val="21"/>
                <w:highlight w:val="none"/>
              </w:rPr>
            </w:pPr>
            <w:r>
              <w:rPr>
                <w:rFonts w:hint="eastAsia" w:ascii="宋体" w:hAnsi="宋体" w:cs="宋体"/>
                <w:color w:val="auto"/>
                <w:szCs w:val="21"/>
                <w:highlight w:val="none"/>
                <w:u w:val="single"/>
              </w:rPr>
              <w:t>现场详细地点：项目地点。</w:t>
            </w:r>
            <w:r>
              <w:rPr>
                <w:rFonts w:hint="eastAsia" w:ascii="宋体" w:hAnsi="宋体" w:cs="宋体"/>
                <w:color w:val="auto"/>
                <w:szCs w:val="21"/>
                <w:highlight w:val="none"/>
              </w:rPr>
              <w:t xml:space="preserve">                                      </w:t>
            </w:r>
          </w:p>
        </w:tc>
      </w:tr>
      <w:tr w14:paraId="5E2B9D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CC9553C">
            <w:pPr>
              <w:rPr>
                <w:rFonts w:hint="eastAsia" w:ascii="宋体" w:hAnsi="宋体"/>
                <w:color w:val="auto"/>
                <w:szCs w:val="21"/>
                <w:highlight w:val="none"/>
              </w:rPr>
            </w:pPr>
            <w:r>
              <w:rPr>
                <w:rFonts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14:paraId="55B812DE">
            <w:pPr>
              <w:rPr>
                <w:rFonts w:hint="eastAsia" w:ascii="宋体" w:hAnsi="宋体"/>
                <w:color w:val="auto"/>
                <w:szCs w:val="21"/>
                <w:highlight w:val="none"/>
              </w:rPr>
            </w:pPr>
            <w:r>
              <w:rPr>
                <w:rFonts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14:paraId="75CCE1A0">
            <w:pPr>
              <w:rPr>
                <w:rFonts w:hint="eastAsia"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14:paraId="3C65D98C">
            <w:pPr>
              <w:rPr>
                <w:rFonts w:hint="eastAsia" w:ascii="宋体" w:hAnsi="宋体"/>
                <w:color w:val="auto"/>
                <w:szCs w:val="21"/>
                <w:highlight w:val="none"/>
              </w:rPr>
            </w:pPr>
            <w:r>
              <w:rPr>
                <w:rFonts w:hint="eastAsia" w:ascii="宋体" w:hAnsi="宋体"/>
                <w:color w:val="auto"/>
                <w:szCs w:val="21"/>
                <w:highlight w:val="none"/>
              </w:rPr>
              <w:t>疑问提交时间：</w:t>
            </w:r>
            <w:r>
              <w:rPr>
                <w:rFonts w:hint="eastAsia" w:ascii="宋体" w:hAnsi="宋体" w:cs="宋体"/>
                <w:color w:val="auto"/>
                <w:szCs w:val="21"/>
                <w:highlight w:val="none"/>
                <w:u w:val="single"/>
                <w:lang w:bidi="ar"/>
              </w:rPr>
              <w:t>在递交投标文件截止日期前18日</w:t>
            </w:r>
            <w:r>
              <w:rPr>
                <w:rFonts w:hint="eastAsia" w:ascii="宋体" w:hAnsi="宋体"/>
                <w:color w:val="auto"/>
                <w:szCs w:val="21"/>
                <w:highlight w:val="none"/>
              </w:rPr>
              <w:t>前；</w:t>
            </w:r>
          </w:p>
          <w:p w14:paraId="053FE37A">
            <w:pPr>
              <w:rPr>
                <w:rFonts w:hint="eastAsia" w:ascii="宋体" w:hAnsi="宋体"/>
                <w:color w:val="auto"/>
                <w:szCs w:val="21"/>
                <w:highlight w:val="none"/>
              </w:rPr>
            </w:pPr>
            <w:r>
              <w:rPr>
                <w:rFonts w:hint="eastAsia" w:ascii="宋体" w:hAnsi="宋体"/>
                <w:color w:val="auto"/>
                <w:szCs w:val="21"/>
                <w:highlight w:val="none"/>
              </w:rPr>
              <w:t>形式：投标人的疑问通过</w:t>
            </w:r>
            <w:r>
              <w:rPr>
                <w:rFonts w:hint="eastAsia" w:ascii="宋体" w:hAnsi="宋体" w:cs="宋体"/>
                <w:color w:val="auto"/>
                <w:szCs w:val="21"/>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Cs w:val="21"/>
                <w:highlight w:val="none"/>
              </w:rPr>
              <w:t>提交。</w:t>
            </w:r>
          </w:p>
          <w:p w14:paraId="6A2E2053">
            <w:pPr>
              <w:rPr>
                <w:rFonts w:hint="eastAsia" w:ascii="宋体" w:hAnsi="宋体"/>
                <w:color w:val="auto"/>
                <w:szCs w:val="21"/>
                <w:highlight w:val="none"/>
              </w:rPr>
            </w:pPr>
            <w:r>
              <w:rPr>
                <w:rFonts w:hint="eastAsia" w:ascii="宋体" w:hAnsi="宋体"/>
                <w:color w:val="auto"/>
                <w:szCs w:val="21"/>
                <w:highlight w:val="none"/>
              </w:rPr>
              <w:t>具体要求：按照交易平台关于全流程电子化项目的相关指南进行操作，详见：</w:t>
            </w:r>
            <w:r>
              <w:rPr>
                <w:rFonts w:hint="eastAsia" w:ascii="宋体" w:hAnsi="宋体"/>
                <w:color w:val="auto"/>
                <w:szCs w:val="21"/>
                <w:highlight w:val="none"/>
                <w:u w:val="single"/>
              </w:rPr>
              <w:t xml:space="preserve">广州交易集团有限公司（广州公共资源交易中心）网站http://www.gzggzy.cn）最新发布的指引。 </w:t>
            </w:r>
            <w:r>
              <w:rPr>
                <w:rFonts w:hint="eastAsia" w:ascii="宋体" w:hAnsi="宋体"/>
                <w:color w:val="auto"/>
                <w:szCs w:val="21"/>
                <w:highlight w:val="none"/>
              </w:rPr>
              <w:t xml:space="preserve">   </w:t>
            </w:r>
          </w:p>
          <w:p w14:paraId="224E26FB">
            <w:pPr>
              <w:rPr>
                <w:rFonts w:hint="eastAsia" w:ascii="宋体" w:hAnsi="宋体"/>
                <w:color w:val="auto"/>
                <w:szCs w:val="21"/>
                <w:highlight w:val="none"/>
              </w:rPr>
            </w:pPr>
            <w:r>
              <w:rPr>
                <w:rFonts w:hint="eastAsia" w:ascii="宋体" w:hAnsi="宋体"/>
                <w:color w:val="auto"/>
                <w:szCs w:val="21"/>
                <w:highlight w:val="none"/>
              </w:rPr>
              <w:t>提问一律不得署名。</w:t>
            </w:r>
          </w:p>
        </w:tc>
      </w:tr>
      <w:tr w14:paraId="59BE77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F5BBD88">
            <w:pPr>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026F36ED">
            <w:pPr>
              <w:rPr>
                <w:rFonts w:hint="eastAsia"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21CE6710">
            <w:pPr>
              <w:rPr>
                <w:rFonts w:hint="eastAsia" w:ascii="宋体" w:hAnsi="宋体"/>
                <w:color w:val="auto"/>
                <w:szCs w:val="21"/>
                <w:highlight w:val="none"/>
              </w:rPr>
            </w:pPr>
            <w:r>
              <w:rPr>
                <w:rFonts w:hint="eastAsia" w:ascii="宋体" w:hAnsi="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14:paraId="1F3B36FD">
            <w:pPr>
              <w:rPr>
                <w:rFonts w:hint="eastAsia" w:ascii="宋体" w:hAnsi="宋体"/>
                <w:strike/>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时（北京时间）。</w:t>
            </w:r>
          </w:p>
        </w:tc>
      </w:tr>
      <w:tr w14:paraId="5A4800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49B6C56">
            <w:pPr>
              <w:rPr>
                <w:rFonts w:hint="eastAsia"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03C147A9">
            <w:pPr>
              <w:rPr>
                <w:rFonts w:hint="eastAsia" w:ascii="宋体" w:hAnsi="宋体"/>
                <w:color w:val="auto"/>
                <w:szCs w:val="21"/>
                <w:highlight w:val="none"/>
              </w:rPr>
            </w:pPr>
            <w:r>
              <w:rPr>
                <w:rFonts w:ascii="宋体" w:hAnsi="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09A17FAB">
            <w:pPr>
              <w:rPr>
                <w:rFonts w:hint="eastAsia"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14:paraId="48216920">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（技术标和经济标同时开标）</w:t>
            </w:r>
          </w:p>
          <w:p w14:paraId="7FDD0016">
            <w:pPr>
              <w:rPr>
                <w:rFonts w:hint="eastAsia" w:ascii="宋体" w:hAnsi="宋体" w:cs="宋体"/>
                <w:color w:val="auto"/>
                <w:szCs w:val="21"/>
                <w:highlight w:val="none"/>
                <w:u w:val="single"/>
              </w:rPr>
            </w:pPr>
            <w:r>
              <w:rPr>
                <w:rFonts w:hint="eastAsia" w:ascii="宋体" w:hAnsi="宋体" w:cs="宋体"/>
                <w:color w:val="auto"/>
                <w:szCs w:val="21"/>
                <w:highlight w:val="none"/>
              </w:rPr>
              <w:t>1、开标开始时间：</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分（与投标截止时间为同一时间），地点：</w:t>
            </w:r>
            <w:r>
              <w:rPr>
                <w:rFonts w:hint="eastAsia" w:ascii="宋体" w:hAnsi="宋体" w:cs="宋体"/>
                <w:color w:val="auto"/>
                <w:szCs w:val="21"/>
                <w:highlight w:val="none"/>
                <w:u w:val="single"/>
              </w:rPr>
              <w:t>广州交易集团有限公司（广州公共资源交易中心）第  开标室（广州市天河区天润路333号）</w:t>
            </w:r>
            <w:r>
              <w:rPr>
                <w:rFonts w:hint="eastAsia" w:ascii="宋体" w:hAnsi="宋体" w:cs="宋体"/>
                <w:color w:val="auto"/>
                <w:szCs w:val="21"/>
                <w:highlight w:val="none"/>
              </w:rPr>
              <w:t>。投标人也可选择参加在线开标，具体按照交易平台相关指南进行操作。详见：</w:t>
            </w:r>
            <w:r>
              <w:rPr>
                <w:rFonts w:hint="eastAsia" w:ascii="宋体" w:hAnsi="宋体" w:cs="宋体"/>
                <w:color w:val="auto"/>
                <w:szCs w:val="21"/>
                <w:highlight w:val="none"/>
                <w:u w:val="single"/>
              </w:rPr>
              <w:t>广州交易集团有限公司（广州公共资源交易中心）网站（http://www.gzggzy.cn/）服务指南栏目</w:t>
            </w:r>
            <w:r>
              <w:rPr>
                <w:rFonts w:hint="eastAsia" w:ascii="宋体" w:hAnsi="宋体" w:cs="宋体"/>
                <w:color w:val="auto"/>
                <w:szCs w:val="21"/>
                <w:highlight w:val="none"/>
              </w:rPr>
              <w:t>。</w:t>
            </w:r>
          </w:p>
          <w:p w14:paraId="6B18C15B">
            <w:pPr>
              <w:rPr>
                <w:rFonts w:hint="eastAsia" w:ascii="宋体" w:hAnsi="宋体" w:cs="宋体"/>
                <w:color w:val="auto"/>
                <w:szCs w:val="21"/>
                <w:highlight w:val="none"/>
              </w:rPr>
            </w:pPr>
            <w:r>
              <w:rPr>
                <w:rFonts w:hint="eastAsia" w:ascii="宋体" w:hAnsi="宋体" w:cs="宋体"/>
                <w:color w:val="auto"/>
                <w:szCs w:val="21"/>
                <w:highlight w:val="none"/>
              </w:rPr>
              <w:t>注：投标文件解密问题。投标人只用执行一次解密，招标人执行解密次数根据招标文件开标次数确定。</w:t>
            </w:r>
          </w:p>
          <w:p w14:paraId="21802D53">
            <w:pPr>
              <w:rPr>
                <w:rFonts w:hint="eastAsia" w:ascii="宋体" w:hAnsi="宋体" w:cs="宋体"/>
                <w:color w:val="auto"/>
                <w:szCs w:val="21"/>
                <w:highlight w:val="none"/>
              </w:rPr>
            </w:pPr>
            <w:r>
              <w:rPr>
                <w:rFonts w:hint="eastAsia" w:ascii="宋体" w:hAnsi="宋体" w:cs="宋体"/>
                <w:color w:val="auto"/>
                <w:szCs w:val="21"/>
                <w:highlight w:val="none"/>
              </w:rPr>
              <w:t>2、递交投标文件备用光盘时间：</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分至</w:t>
            </w:r>
            <w:r>
              <w:rPr>
                <w:rFonts w:hint="eastAsia" w:ascii="宋体" w:hAnsi="宋体" w:cs="宋体"/>
                <w:color w:val="auto"/>
                <w:szCs w:val="21"/>
                <w:highlight w:val="none"/>
                <w:u w:val="single"/>
              </w:rPr>
              <w:t xml:space="preserve"> 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分；递交地点：</w:t>
            </w:r>
            <w:r>
              <w:rPr>
                <w:rFonts w:hint="eastAsia" w:ascii="宋体" w:hAnsi="宋体" w:cs="宋体"/>
                <w:color w:val="auto"/>
                <w:szCs w:val="21"/>
                <w:highlight w:val="none"/>
                <w:u w:val="single"/>
              </w:rPr>
              <w:t>广州交易集团有限公司（广州公共资源交易中心）第  开标室（广州市天河区天润路333号）</w:t>
            </w:r>
            <w:r>
              <w:rPr>
                <w:rFonts w:hint="eastAsia" w:ascii="宋体" w:hAnsi="宋体" w:cs="宋体"/>
                <w:color w:val="auto"/>
                <w:highlight w:val="none"/>
              </w:rPr>
              <w:t>。</w:t>
            </w:r>
            <w:r>
              <w:rPr>
                <w:rFonts w:hint="eastAsia" w:ascii="宋体" w:hAnsi="宋体" w:cs="宋体"/>
                <w:color w:val="auto"/>
                <w:highlight w:val="none"/>
                <w:u w:val="single"/>
              </w:rPr>
              <w:t>注：投标人递交</w:t>
            </w:r>
            <w:r>
              <w:rPr>
                <w:rFonts w:hint="eastAsia" w:ascii="宋体" w:hAnsi="宋体" w:cs="宋体"/>
                <w:color w:val="auto"/>
                <w:szCs w:val="21"/>
                <w:highlight w:val="none"/>
                <w:u w:val="single"/>
              </w:rPr>
              <w:t>投标文件备用光盘时应附上法定代表人证明书及法定代表人授权委托书（授权代表递交时出具)，并出示本人身份证原件。</w:t>
            </w:r>
            <w:r>
              <w:rPr>
                <w:rFonts w:hint="eastAsia" w:ascii="宋体" w:hAnsi="宋体" w:cs="宋体"/>
                <w:color w:val="auto"/>
                <w:highlight w:val="none"/>
              </w:rPr>
              <w:t>（建议安排在投标文件截止时间前15分钟至投标文件截止</w:t>
            </w:r>
            <w:r>
              <w:rPr>
                <w:rFonts w:hint="eastAsia" w:ascii="宋体" w:hAnsi="宋体" w:cs="宋体"/>
                <w:color w:val="auto"/>
                <w:szCs w:val="21"/>
                <w:highlight w:val="none"/>
              </w:rPr>
              <w:t>时间）</w:t>
            </w:r>
          </w:p>
          <w:p w14:paraId="743458C0">
            <w:pPr>
              <w:pStyle w:val="11"/>
              <w:rPr>
                <w:rFonts w:hint="eastAsia" w:hAnsi="宋体" w:cs="宋体"/>
                <w:b/>
                <w:bCs/>
                <w:color w:val="auto"/>
                <w:highlight w:val="none"/>
              </w:rPr>
            </w:pPr>
            <w:r>
              <w:rPr>
                <w:rFonts w:hint="eastAsia" w:hAnsi="宋体" w:cs="宋体"/>
                <w:b/>
                <w:bCs/>
                <w:color w:val="auto"/>
                <w:highlight w:val="none"/>
              </w:rPr>
              <w:t>3、投标人应在投标文件递交截止时间前通过广州交易集团有限公司（广州公共资源交易中心）电子招标投标交易平台递交电子投标文件。</w:t>
            </w:r>
          </w:p>
          <w:p w14:paraId="28F0358F">
            <w:pPr>
              <w:rPr>
                <w:rFonts w:hint="eastAsia" w:ascii="宋体" w:hAnsi="宋体" w:cs="宋体"/>
                <w:color w:val="auto"/>
                <w:highlight w:val="none"/>
              </w:rPr>
            </w:pPr>
            <w:r>
              <w:rPr>
                <w:rFonts w:hint="eastAsia" w:ascii="宋体" w:hAnsi="宋体" w:cs="宋体"/>
                <w:color w:val="auto"/>
                <w:szCs w:val="21"/>
                <w:highlight w:val="none"/>
              </w:rPr>
              <w:t>上述时间</w:t>
            </w:r>
            <w:r>
              <w:rPr>
                <w:rFonts w:hint="eastAsia" w:ascii="宋体" w:hAnsi="宋体" w:cs="宋体"/>
                <w:color w:val="auto"/>
                <w:highlight w:val="none"/>
              </w:rPr>
              <w:t>及地点是否有改变，请密切留意补充公告和招标答疑纪要的相关信息。</w:t>
            </w:r>
          </w:p>
          <w:p w14:paraId="547A1806">
            <w:pPr>
              <w:widowControl/>
              <w:jc w:val="left"/>
              <w:rPr>
                <w:rFonts w:hint="eastAsia" w:ascii="宋体" w:hAnsi="宋体"/>
                <w:color w:val="auto"/>
                <w:szCs w:val="21"/>
                <w:highlight w:val="none"/>
              </w:rPr>
            </w:pPr>
            <w:r>
              <w:rPr>
                <w:rFonts w:hint="eastAsia" w:hAnsi="宋体" w:cs="宋体"/>
                <w:b/>
                <w:bCs/>
                <w:color w:val="auto"/>
                <w:szCs w:val="21"/>
                <w:highlight w:val="none"/>
                <w:u w:val="single"/>
              </w:rPr>
              <w:t>请各投标人密切留意广州交易集团有限公司（广州公共资源交易中心）公布本项目的日程安排，投标人可登录广州交易集团有限公司（广州公共资源交易中心）网站首页，点击“建设工程”专栏中的“项目查询（日程安排、答疑纪要）”输入项目编号或项目名称查询最新信息安排。</w:t>
            </w:r>
          </w:p>
        </w:tc>
      </w:tr>
      <w:tr w14:paraId="01B1EE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02317935">
            <w:pPr>
              <w:rPr>
                <w:rFonts w:hint="eastAsia"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1A994C0A">
            <w:pPr>
              <w:rPr>
                <w:rFonts w:hint="eastAsia" w:ascii="宋体" w:hAnsi="宋体"/>
                <w:color w:val="auto"/>
                <w:szCs w:val="21"/>
                <w:highlight w:val="none"/>
              </w:rPr>
            </w:pPr>
            <w:r>
              <w:rPr>
                <w:rFonts w:ascii="宋体" w:hAnsi="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14:paraId="3AFDA906">
            <w:pPr>
              <w:rPr>
                <w:rFonts w:hint="eastAsia" w:ascii="宋体" w:hAnsi="宋体"/>
                <w:color w:val="auto"/>
                <w:szCs w:val="21"/>
                <w:highlight w:val="none"/>
              </w:rPr>
            </w:pPr>
            <w:r>
              <w:rPr>
                <w:rFonts w:hint="eastAsia" w:ascii="宋体" w:hAnsi="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14:paraId="5201AB9E">
            <w:pPr>
              <w:pStyle w:val="4"/>
              <w:ind w:firstLine="0"/>
              <w:rPr>
                <w:rFonts w:hint="eastAsia" w:ascii="宋体" w:hAnsi="宋体"/>
                <w:color w:val="auto"/>
                <w:szCs w:val="21"/>
                <w:highlight w:val="none"/>
              </w:rPr>
            </w:pPr>
            <w:r>
              <w:rPr>
                <w:rFonts w:hint="eastAsia" w:ascii="宋体" w:hAnsi="宋体"/>
                <w:color w:val="auto"/>
                <w:szCs w:val="21"/>
                <w:highlight w:val="none"/>
              </w:rPr>
              <w:t>方式一：选取方法</w:t>
            </w:r>
            <w:r>
              <w:rPr>
                <w:rFonts w:hint="eastAsia" w:ascii="宋体" w:hAnsi="宋体"/>
                <w:color w:val="auto"/>
                <w:szCs w:val="21"/>
                <w:highlight w:val="none"/>
                <w:u w:val="single"/>
              </w:rPr>
              <w:t xml:space="preserve">七 </w:t>
            </w:r>
            <w:r>
              <w:rPr>
                <w:rFonts w:hint="eastAsia" w:ascii="宋体" w:hAnsi="宋体"/>
                <w:color w:val="auto"/>
                <w:szCs w:val="21"/>
                <w:highlight w:val="none"/>
              </w:rPr>
              <w:t>；（适合综合评分法四，技术标与经济标同时开启）；</w:t>
            </w:r>
            <w:r>
              <w:rPr>
                <w:rFonts w:hint="eastAsia" w:ascii="宋体" w:hAnsi="宋体"/>
                <w:b/>
                <w:bCs/>
                <w:color w:val="auto"/>
                <w:szCs w:val="21"/>
                <w:highlight w:val="none"/>
              </w:rPr>
              <w:t>投标人总得分（1</w:t>
            </w:r>
            <w:r>
              <w:rPr>
                <w:rFonts w:ascii="宋体" w:hAnsi="宋体"/>
                <w:b/>
                <w:bCs/>
                <w:color w:val="auto"/>
                <w:szCs w:val="21"/>
                <w:highlight w:val="none"/>
              </w:rPr>
              <w:t>00</w:t>
            </w:r>
            <w:r>
              <w:rPr>
                <w:rFonts w:hint="eastAsia" w:ascii="宋体" w:hAnsi="宋体"/>
                <w:b/>
                <w:bCs/>
                <w:color w:val="auto"/>
                <w:szCs w:val="21"/>
                <w:highlight w:val="none"/>
              </w:rPr>
              <w:t>分）=技术得分（1</w:t>
            </w:r>
            <w:r>
              <w:rPr>
                <w:rFonts w:ascii="宋体" w:hAnsi="宋体"/>
                <w:b/>
                <w:bCs/>
                <w:color w:val="auto"/>
                <w:szCs w:val="21"/>
                <w:highlight w:val="none"/>
              </w:rPr>
              <w:t>00</w:t>
            </w:r>
            <w:r>
              <w:rPr>
                <w:rFonts w:hint="eastAsia" w:ascii="宋体" w:hAnsi="宋体"/>
                <w:b/>
                <w:bCs/>
                <w:color w:val="auto"/>
                <w:szCs w:val="21"/>
                <w:highlight w:val="none"/>
              </w:rPr>
              <w:t>分）×技术得分权重（40%）＋经济得分（1</w:t>
            </w:r>
            <w:r>
              <w:rPr>
                <w:rFonts w:ascii="宋体" w:hAnsi="宋体"/>
                <w:b/>
                <w:bCs/>
                <w:color w:val="auto"/>
                <w:szCs w:val="21"/>
                <w:highlight w:val="none"/>
              </w:rPr>
              <w:t>00</w:t>
            </w:r>
            <w:r>
              <w:rPr>
                <w:rFonts w:hint="eastAsia" w:ascii="宋体" w:hAnsi="宋体"/>
                <w:b/>
                <w:bCs/>
                <w:color w:val="auto"/>
                <w:szCs w:val="21"/>
                <w:highlight w:val="none"/>
              </w:rPr>
              <w:t>分）×经济得分权重（60%）</w:t>
            </w:r>
          </w:p>
          <w:p w14:paraId="55B19BB8">
            <w:pPr>
              <w:pStyle w:val="4"/>
              <w:ind w:firstLine="0"/>
              <w:rPr>
                <w:rFonts w:hint="eastAsia" w:ascii="宋体" w:hAnsi="宋体"/>
                <w:color w:val="auto"/>
                <w:szCs w:val="21"/>
                <w:highlight w:val="none"/>
              </w:rPr>
            </w:pPr>
            <w:r>
              <w:rPr>
                <w:rFonts w:hint="eastAsia" w:ascii="宋体" w:hAnsi="宋体"/>
                <w:strike/>
                <w:color w:val="auto"/>
                <w:szCs w:val="21"/>
                <w:highlight w:val="none"/>
              </w:rPr>
              <w:t>方式二：选取方法</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（不少于2种），开标时在上述方法中随机抽取一种供评标时使用。</w:t>
            </w:r>
          </w:p>
        </w:tc>
      </w:tr>
      <w:tr w14:paraId="0AC9C8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0111C70">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14:paraId="78CECC3A">
            <w:pPr>
              <w:rPr>
                <w:rFonts w:hint="eastAsia" w:ascii="宋体" w:hAnsi="宋体"/>
                <w:color w:val="auto"/>
                <w:szCs w:val="21"/>
                <w:highlight w:val="none"/>
              </w:rPr>
            </w:pPr>
            <w:r>
              <w:rPr>
                <w:rFonts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14:paraId="397E9813">
            <w:pPr>
              <w:rPr>
                <w:rFonts w:hint="eastAsia"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14:paraId="1D85A45C">
            <w:pPr>
              <w:rPr>
                <w:rFonts w:hint="eastAsia" w:ascii="宋体" w:hAnsi="宋体"/>
                <w:color w:val="auto"/>
                <w:highlight w:val="none"/>
              </w:rPr>
            </w:pPr>
            <w:r>
              <w:rPr>
                <w:rFonts w:hint="eastAsia" w:ascii="宋体" w:hAnsi="宋体"/>
                <w:color w:val="auto"/>
                <w:highlight w:val="none"/>
              </w:rPr>
              <w:t>方式一：中标人提供的履约保证金为中标价款的10%。</w:t>
            </w:r>
          </w:p>
          <w:p w14:paraId="5D02581E">
            <w:pPr>
              <w:pStyle w:val="4"/>
              <w:spacing w:after="0"/>
              <w:ind w:firstLine="0"/>
              <w:rPr>
                <w:rFonts w:hint="eastAsia" w:ascii="宋体" w:hAnsi="宋体"/>
                <w:color w:val="auto"/>
                <w:highlight w:val="none"/>
              </w:rPr>
            </w:pPr>
            <w:r>
              <w:rPr>
                <w:rFonts w:hint="eastAsia" w:ascii="宋体" w:hAnsi="宋体"/>
                <w:strike/>
                <w:color w:val="auto"/>
                <w:highlight w:val="none"/>
              </w:rPr>
              <w:t>方式二：中标人提供的履约保函的保证额为中标价款与最高投标限价之间的差额，</w:t>
            </w:r>
            <w:r>
              <w:rPr>
                <w:rFonts w:hint="eastAsia" w:ascii="楷体" w:hAnsi="楷体" w:eastAsia="楷体" w:cs="宋体"/>
                <w:strike/>
                <w:color w:val="auto"/>
                <w:kern w:val="0"/>
                <w:sz w:val="22"/>
                <w:szCs w:val="22"/>
                <w:highlight w:val="none"/>
              </w:rPr>
              <w:t>且不超过中标价款的10%</w:t>
            </w:r>
            <w:r>
              <w:rPr>
                <w:rFonts w:hint="eastAsia" w:ascii="宋体" w:hAnsi="宋体"/>
                <w:strike/>
                <w:color w:val="auto"/>
                <w:highlight w:val="none"/>
              </w:rPr>
              <w:t>。</w:t>
            </w:r>
          </w:p>
        </w:tc>
      </w:tr>
      <w:tr w14:paraId="657C85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32E402CC">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5B34EDB8">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0A9AC4C">
            <w:pPr>
              <w:rPr>
                <w:rFonts w:hint="eastAsia"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14:paraId="45102A85">
            <w:pPr>
              <w:rPr>
                <w:rFonts w:hint="eastAsia" w:ascii="宋体" w:hAnsi="宋体"/>
                <w:color w:val="auto"/>
                <w:szCs w:val="21"/>
                <w:highlight w:val="none"/>
              </w:rPr>
            </w:pPr>
            <w:r>
              <w:rPr>
                <w:rFonts w:hint="eastAsia" w:ascii="宋体" w:hAnsi="宋体"/>
                <w:color w:val="auto"/>
                <w:szCs w:val="21"/>
                <w:highlight w:val="none"/>
              </w:rPr>
              <w:t>人民币84,457,414.14元（大写：捌仟肆佰肆拾伍万柒仟肆佰壹拾肆元壹角肆分）。</w:t>
            </w:r>
            <w:r>
              <w:rPr>
                <w:rFonts w:hint="eastAsia" w:ascii="宋体" w:hAnsi="宋体"/>
                <w:color w:val="auto"/>
                <w:szCs w:val="21"/>
                <w:highlight w:val="none"/>
                <w:lang w:val="en-US" w:eastAsia="zh-CN"/>
              </w:rPr>
              <w:t>具体内容以《最高投标限价公布函》为准。</w:t>
            </w:r>
          </w:p>
        </w:tc>
      </w:tr>
      <w:tr w14:paraId="0B743F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6D9F916F">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618FBF75">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DCF2646">
            <w:pPr>
              <w:rPr>
                <w:rFonts w:hint="eastAsia"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14:paraId="507C09EB">
            <w:pPr>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本项目绿色施工安全防护措施费</w:t>
            </w:r>
            <w:r>
              <w:rPr>
                <w:rFonts w:hint="eastAsia" w:ascii="宋体" w:hAnsi="宋体"/>
                <w:color w:val="auto"/>
                <w:szCs w:val="21"/>
                <w:highlight w:val="none"/>
                <w:lang w:val="en-US" w:eastAsia="zh-CN"/>
              </w:rPr>
              <w:t>总金额</w:t>
            </w:r>
            <w:r>
              <w:rPr>
                <w:rFonts w:hint="eastAsia" w:ascii="宋体" w:hAnsi="宋体"/>
                <w:color w:val="auto"/>
                <w:szCs w:val="21"/>
                <w:highlight w:val="none"/>
              </w:rPr>
              <w:t>为</w:t>
            </w:r>
            <w:r>
              <w:rPr>
                <w:rFonts w:ascii="宋体" w:hAnsi="宋体"/>
                <w:color w:val="auto"/>
                <w:szCs w:val="21"/>
                <w:highlight w:val="none"/>
                <w:u w:val="single"/>
              </w:rPr>
              <w:t xml:space="preserve"> </w:t>
            </w:r>
            <w:r>
              <w:rPr>
                <w:rFonts w:hint="eastAsia" w:ascii="宋体" w:hAnsi="宋体"/>
                <w:color w:val="auto"/>
                <w:szCs w:val="21"/>
                <w:highlight w:val="none"/>
                <w:u w:val="single"/>
              </w:rPr>
              <w:t>2,282,918.11</w:t>
            </w:r>
            <w:r>
              <w:rPr>
                <w:rFonts w:hint="eastAsia" w:ascii="宋体" w:hAnsi="宋体"/>
                <w:color w:val="auto"/>
                <w:szCs w:val="21"/>
                <w:highlight w:val="none"/>
              </w:rPr>
              <w:t>元，暂列金额为</w:t>
            </w:r>
            <w:r>
              <w:rPr>
                <w:rFonts w:hint="eastAsia" w:ascii="宋体" w:hAnsi="宋体"/>
                <w:color w:val="auto"/>
                <w:szCs w:val="21"/>
                <w:highlight w:val="none"/>
                <w:u w:val="single"/>
              </w:rPr>
              <w:t>4,528,552.66</w:t>
            </w:r>
            <w:r>
              <w:rPr>
                <w:rFonts w:hint="eastAsia" w:ascii="宋体" w:hAnsi="宋体"/>
                <w:color w:val="auto"/>
                <w:szCs w:val="21"/>
                <w:highlight w:val="none"/>
              </w:rPr>
              <w:t>元，</w:t>
            </w:r>
            <w:r>
              <w:rPr>
                <w:rFonts w:hint="eastAsia" w:ascii="宋体" w:hAnsi="宋体"/>
                <w:color w:val="auto"/>
                <w:szCs w:val="21"/>
                <w:highlight w:val="none"/>
                <w:lang w:val="en-US" w:eastAsia="zh-CN"/>
              </w:rPr>
              <w:t>专业工程</w:t>
            </w:r>
            <w:r>
              <w:rPr>
                <w:rFonts w:hint="eastAsia" w:ascii="宋体" w:hAnsi="宋体"/>
                <w:color w:val="auto"/>
                <w:szCs w:val="21"/>
                <w:highlight w:val="none"/>
              </w:rPr>
              <w:t>暂估价为</w:t>
            </w:r>
            <w:r>
              <w:rPr>
                <w:rFonts w:hint="eastAsia" w:ascii="宋体" w:hAnsi="宋体"/>
                <w:color w:val="auto"/>
                <w:szCs w:val="21"/>
                <w:highlight w:val="none"/>
                <w:u w:val="single"/>
              </w:rPr>
              <w:t>3,100,000.00</w:t>
            </w:r>
            <w:r>
              <w:rPr>
                <w:rFonts w:hint="eastAsia" w:ascii="宋体" w:hAnsi="宋体"/>
                <w:color w:val="auto"/>
                <w:szCs w:val="21"/>
                <w:highlight w:val="none"/>
              </w:rPr>
              <w:t>元。</w:t>
            </w:r>
            <w:r>
              <w:rPr>
                <w:rFonts w:hint="eastAsia" w:ascii="宋体" w:hAnsi="宋体"/>
                <w:color w:val="auto"/>
                <w:szCs w:val="21"/>
                <w:highlight w:val="none"/>
                <w:lang w:val="en-US" w:eastAsia="zh-CN"/>
              </w:rPr>
              <w:t>具体内容以《最高投标限价公布函》为准。</w:t>
            </w:r>
          </w:p>
          <w:p w14:paraId="26EDD559">
            <w:pPr>
              <w:rPr>
                <w:rFonts w:hint="eastAsia" w:ascii="宋体" w:hAnsi="宋体"/>
                <w:color w:val="auto"/>
                <w:szCs w:val="21"/>
                <w:highlight w:val="none"/>
              </w:rPr>
            </w:pPr>
            <w:r>
              <w:rPr>
                <w:rFonts w:hint="eastAsia" w:ascii="宋体" w:hAnsi="宋体"/>
                <w:color w:val="auto"/>
                <w:szCs w:val="21"/>
                <w:highlight w:val="none"/>
              </w:rPr>
              <w:t>（未按招标文件规定的金额填写的，由评标委员会按照招标文件规定的金额进行修正）</w:t>
            </w:r>
          </w:p>
        </w:tc>
      </w:tr>
      <w:tr w14:paraId="4FD87D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2EA6886F">
            <w:pPr>
              <w:rPr>
                <w:rFonts w:hint="eastAsia" w:ascii="宋体" w:hAnsi="宋体"/>
                <w:color w:val="auto"/>
                <w:szCs w:val="21"/>
                <w:highlight w:val="none"/>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14:paraId="66155FC4">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C7E722D">
            <w:pPr>
              <w:pStyle w:val="4"/>
              <w:ind w:firstLine="0"/>
              <w:rPr>
                <w:rFonts w:hint="eastAsia" w:ascii="宋体" w:hAnsi="宋体"/>
                <w:color w:val="auto"/>
                <w:szCs w:val="21"/>
                <w:highlight w:val="none"/>
              </w:rPr>
            </w:pPr>
            <w:r>
              <w:rPr>
                <w:rFonts w:hint="eastAsia" w:ascii="宋体" w:hAnsi="宋体"/>
                <w:color w:val="auto"/>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14:paraId="6D5A37CD">
            <w:pPr>
              <w:rPr>
                <w:rFonts w:hint="eastAsia" w:ascii="宋体" w:hAnsi="宋体"/>
                <w:color w:val="auto"/>
                <w:szCs w:val="21"/>
                <w:highlight w:val="none"/>
              </w:rPr>
            </w:pPr>
            <w:r>
              <w:rPr>
                <w:rFonts w:hint="eastAsia" w:ascii="宋体" w:hAnsi="宋体"/>
                <w:color w:val="auto"/>
                <w:szCs w:val="21"/>
                <w:highlight w:val="none"/>
              </w:rPr>
              <w:t>按照《建设工程质量管理条例》规定。</w:t>
            </w:r>
          </w:p>
        </w:tc>
      </w:tr>
      <w:tr w14:paraId="197A6C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399BE6F">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20E1B7E2">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F867AC8">
            <w:pPr>
              <w:rPr>
                <w:rFonts w:hint="eastAsia" w:ascii="宋体" w:hAnsi="宋体"/>
                <w:color w:val="auto"/>
                <w:szCs w:val="21"/>
                <w:highlight w:val="none"/>
              </w:rPr>
            </w:pPr>
            <w:r>
              <w:rPr>
                <w:rFonts w:hint="eastAsia" w:ascii="宋体" w:hAnsi="宋体"/>
                <w:color w:val="auto"/>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14:paraId="48BE5D8A">
            <w:pPr>
              <w:rPr>
                <w:rFonts w:hint="eastAsia" w:ascii="宋体" w:hAnsi="宋体"/>
                <w:color w:val="auto"/>
                <w:szCs w:val="21"/>
                <w:highlight w:val="none"/>
              </w:rPr>
            </w:pPr>
            <w:r>
              <w:rPr>
                <w:rFonts w:hint="eastAsia" w:ascii="宋体" w:hAnsi="宋体"/>
                <w:color w:val="auto"/>
                <w:szCs w:val="21"/>
                <w:highlight w:val="none"/>
              </w:rPr>
              <w:t>计算评标参考价的等分点值</w:t>
            </w:r>
            <w:r>
              <w:rPr>
                <w:rFonts w:ascii="宋体" w:hAnsi="宋体"/>
                <w:color w:val="auto"/>
                <w:szCs w:val="21"/>
                <w:highlight w:val="none"/>
              </w:rPr>
              <w:t>X</w:t>
            </w:r>
            <w:r>
              <w:rPr>
                <w:rFonts w:hint="eastAsia" w:ascii="宋体" w:hAnsi="宋体"/>
                <w:color w:val="auto"/>
                <w:szCs w:val="21"/>
                <w:highlight w:val="none"/>
              </w:rPr>
              <w:t>在开标前从[0,100]</w:t>
            </w:r>
            <w:r>
              <w:rPr>
                <w:rFonts w:hint="eastAsia" w:ascii="宋体" w:hAnsi="宋体"/>
                <w:color w:val="auto"/>
                <w:highlight w:val="none"/>
              </w:rPr>
              <w:t xml:space="preserve"> </w:t>
            </w:r>
            <w:r>
              <w:rPr>
                <w:rFonts w:hint="eastAsia" w:ascii="宋体" w:hAnsi="宋体"/>
                <w:color w:val="auto"/>
                <w:szCs w:val="21"/>
                <w:highlight w:val="none"/>
              </w:rPr>
              <w:t>的整数中随机抽取。</w:t>
            </w:r>
          </w:p>
        </w:tc>
      </w:tr>
      <w:tr w14:paraId="122496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BD9CC1D">
            <w:pPr>
              <w:rPr>
                <w:rFonts w:hint="eastAsia" w:ascii="宋体" w:hAnsi="宋体"/>
                <w:color w:val="auto"/>
                <w:szCs w:val="21"/>
                <w:highlight w:val="none"/>
              </w:rPr>
            </w:pPr>
            <w:r>
              <w:rPr>
                <w:rFonts w:hint="eastAsia" w:ascii="宋体" w:hAnsi="宋体"/>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14:paraId="155A510D">
            <w:pPr>
              <w:ind w:firstLine="458"/>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2A17CDF">
            <w:pPr>
              <w:rPr>
                <w:rFonts w:hint="eastAsia" w:ascii="宋体" w:hAnsi="宋体"/>
                <w:color w:val="auto"/>
                <w:szCs w:val="21"/>
                <w:highlight w:val="none"/>
              </w:rPr>
            </w:pPr>
            <w:r>
              <w:rPr>
                <w:rFonts w:hint="eastAsia" w:ascii="宋体" w:hAnsi="宋体"/>
                <w:color w:val="auto"/>
                <w:szCs w:val="21"/>
                <w:highlight w:val="none"/>
              </w:rPr>
              <w:t>进入第二阶段评审的家数。（本款不适用）</w:t>
            </w:r>
          </w:p>
        </w:tc>
        <w:tc>
          <w:tcPr>
            <w:tcW w:w="5857" w:type="dxa"/>
            <w:tcBorders>
              <w:top w:val="single" w:color="auto" w:sz="4" w:space="0"/>
              <w:left w:val="single" w:color="auto" w:sz="4" w:space="0"/>
              <w:bottom w:val="single" w:color="auto" w:sz="4" w:space="0"/>
              <w:right w:val="double" w:color="auto" w:sz="4" w:space="0"/>
            </w:tcBorders>
            <w:vAlign w:val="center"/>
          </w:tcPr>
          <w:p w14:paraId="52774645">
            <w:pPr>
              <w:rPr>
                <w:rFonts w:hint="eastAsia" w:ascii="宋体" w:hAnsi="宋体"/>
                <w:strike/>
                <w:color w:val="auto"/>
                <w:szCs w:val="21"/>
                <w:highlight w:val="none"/>
              </w:rPr>
            </w:pPr>
            <w:r>
              <w:rPr>
                <w:rFonts w:ascii="宋体" w:hAnsi="宋体"/>
                <w:strike/>
                <w:color w:val="auto"/>
                <w:szCs w:val="21"/>
                <w:highlight w:val="none"/>
              </w:rPr>
              <w:fldChar w:fldCharType="begin"/>
            </w:r>
            <w:r>
              <w:rPr>
                <w:rFonts w:ascii="宋体" w:hAnsi="宋体"/>
                <w:strike/>
                <w:color w:val="auto"/>
                <w:szCs w:val="21"/>
                <w:highlight w:val="none"/>
              </w:rPr>
              <w:instrText xml:space="preserve"> </w:instrText>
            </w:r>
            <w:r>
              <w:rPr>
                <w:rFonts w:hint="eastAsia" w:ascii="宋体" w:hAnsi="宋体"/>
                <w:strike/>
                <w:color w:val="auto"/>
                <w:szCs w:val="21"/>
                <w:highlight w:val="none"/>
              </w:rPr>
              <w:instrText xml:space="preserve">= 1 \* GB3</w:instrText>
            </w:r>
            <w:r>
              <w:rPr>
                <w:rFonts w:ascii="宋体" w:hAnsi="宋体"/>
                <w:strike/>
                <w:color w:val="auto"/>
                <w:szCs w:val="21"/>
                <w:highlight w:val="none"/>
              </w:rPr>
              <w:instrText xml:space="preserve"> </w:instrText>
            </w:r>
            <w:r>
              <w:rPr>
                <w:rFonts w:ascii="宋体" w:hAnsi="宋体"/>
                <w:strike/>
                <w:color w:val="auto"/>
                <w:szCs w:val="21"/>
                <w:highlight w:val="none"/>
              </w:rPr>
              <w:fldChar w:fldCharType="separate"/>
            </w:r>
            <w:r>
              <w:rPr>
                <w:rFonts w:hint="eastAsia" w:ascii="宋体" w:hAnsi="宋体"/>
                <w:strike/>
                <w:color w:val="auto"/>
                <w:szCs w:val="21"/>
                <w:highlight w:val="none"/>
              </w:rPr>
              <w:t>①</w:t>
            </w:r>
            <w:r>
              <w:rPr>
                <w:rFonts w:ascii="宋体" w:hAnsi="宋体"/>
                <w:strike/>
                <w:color w:val="auto"/>
                <w:szCs w:val="21"/>
                <w:highlight w:val="none"/>
              </w:rPr>
              <w:fldChar w:fldCharType="end"/>
            </w:r>
            <w:r>
              <w:rPr>
                <w:rFonts w:hint="eastAsia" w:ascii="宋体" w:hAnsi="宋体"/>
                <w:strike/>
                <w:color w:val="auto"/>
                <w:szCs w:val="21"/>
                <w:highlight w:val="none"/>
              </w:rPr>
              <w:t>通过技术有效性审查的投标人均进入第二阶段（适用于通过技术有效性审查家数在[3,</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]中的）。</w:t>
            </w:r>
          </w:p>
          <w:p w14:paraId="429637D2">
            <w:pPr>
              <w:rPr>
                <w:rFonts w:hint="eastAsia" w:ascii="宋体" w:hAnsi="宋体"/>
                <w:strike/>
                <w:color w:val="auto"/>
                <w:szCs w:val="21"/>
                <w:highlight w:val="none"/>
              </w:rPr>
            </w:pPr>
            <w:r>
              <w:rPr>
                <w:rFonts w:ascii="宋体" w:hAnsi="宋体"/>
                <w:strike/>
                <w:color w:val="auto"/>
                <w:szCs w:val="21"/>
                <w:highlight w:val="none"/>
              </w:rPr>
              <w:fldChar w:fldCharType="begin"/>
            </w:r>
            <w:r>
              <w:rPr>
                <w:rFonts w:ascii="宋体" w:hAnsi="宋体"/>
                <w:strike/>
                <w:color w:val="auto"/>
                <w:szCs w:val="21"/>
                <w:highlight w:val="none"/>
              </w:rPr>
              <w:instrText xml:space="preserve"> </w:instrText>
            </w:r>
            <w:r>
              <w:rPr>
                <w:rFonts w:hint="eastAsia" w:ascii="宋体" w:hAnsi="宋体"/>
                <w:strike/>
                <w:color w:val="auto"/>
                <w:szCs w:val="21"/>
                <w:highlight w:val="none"/>
              </w:rPr>
              <w:instrText xml:space="preserve">= 2 \* GB3</w:instrText>
            </w:r>
            <w:r>
              <w:rPr>
                <w:rFonts w:ascii="宋体" w:hAnsi="宋体"/>
                <w:strike/>
                <w:color w:val="auto"/>
                <w:szCs w:val="21"/>
                <w:highlight w:val="none"/>
              </w:rPr>
              <w:instrText xml:space="preserve"> </w:instrText>
            </w:r>
            <w:r>
              <w:rPr>
                <w:rFonts w:ascii="宋体" w:hAnsi="宋体"/>
                <w:strike/>
                <w:color w:val="auto"/>
                <w:szCs w:val="21"/>
                <w:highlight w:val="none"/>
              </w:rPr>
              <w:fldChar w:fldCharType="separate"/>
            </w:r>
            <w:r>
              <w:rPr>
                <w:rFonts w:hint="eastAsia" w:ascii="宋体" w:hAnsi="宋体"/>
                <w:strike/>
                <w:color w:val="auto"/>
                <w:szCs w:val="21"/>
                <w:highlight w:val="none"/>
              </w:rPr>
              <w:t>②</w:t>
            </w:r>
            <w:r>
              <w:rPr>
                <w:rFonts w:ascii="宋体" w:hAnsi="宋体"/>
                <w:strike/>
                <w:color w:val="auto"/>
                <w:szCs w:val="21"/>
                <w:highlight w:val="none"/>
              </w:rPr>
              <w:fldChar w:fldCharType="end"/>
            </w:r>
            <w:r>
              <w:rPr>
                <w:rFonts w:hint="eastAsia" w:ascii="宋体" w:hAnsi="宋体"/>
                <w:strike/>
                <w:color w:val="auto"/>
                <w:szCs w:val="21"/>
                <w:highlight w:val="none"/>
              </w:rPr>
              <w:t>将第一阶段得分由高至低排序，前</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名投标人进入第二阶段评审（适用于通过技术有效性审查家数大于</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家的，招标人可根据工程具体情况，确定不少于</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家进入第二阶段）。</w:t>
            </w:r>
          </w:p>
          <w:p w14:paraId="1955E928">
            <w:pPr>
              <w:rPr>
                <w:rFonts w:hint="eastAsia" w:ascii="宋体" w:hAnsi="宋体"/>
                <w:color w:val="auto"/>
                <w:szCs w:val="21"/>
                <w:highlight w:val="none"/>
              </w:rPr>
            </w:pPr>
            <w:r>
              <w:rPr>
                <w:rFonts w:hint="eastAsia" w:ascii="宋体" w:hAnsi="宋体"/>
                <w:strike/>
                <w:color w:val="auto"/>
                <w:szCs w:val="21"/>
                <w:highlight w:val="none"/>
              </w:rPr>
              <w:t>注：本款适用于选择评标办法一至评标办法六。进入第二阶段的投标人家数应符合</w:t>
            </w:r>
            <w:r>
              <w:rPr>
                <w:rFonts w:hint="eastAsia" w:ascii="宋体" w:hAnsi="宋体" w:cs="仿宋_GB2312"/>
                <w:strike/>
                <w:color w:val="auto"/>
                <w:szCs w:val="21"/>
                <w:highlight w:val="none"/>
              </w:rPr>
              <w:t>行政监管部门的要求。</w:t>
            </w:r>
          </w:p>
        </w:tc>
      </w:tr>
      <w:tr w14:paraId="39EE12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C2AAE6C">
            <w:pPr>
              <w:rPr>
                <w:rFonts w:hint="eastAsia" w:ascii="宋体" w:hAnsi="宋体"/>
                <w:color w:val="auto"/>
                <w:szCs w:val="21"/>
                <w:highlight w:val="none"/>
              </w:rPr>
            </w:pPr>
            <w:r>
              <w:rPr>
                <w:rFonts w:hint="eastAsia" w:ascii="宋体" w:hAnsi="宋体"/>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14:paraId="5EE880DE">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65FE81E">
            <w:pPr>
              <w:rPr>
                <w:rFonts w:hint="eastAsia" w:ascii="宋体" w:hAnsi="宋体"/>
                <w:color w:val="auto"/>
                <w:szCs w:val="21"/>
                <w:highlight w:val="none"/>
              </w:rPr>
            </w:pPr>
            <w:r>
              <w:rPr>
                <w:rFonts w:hint="eastAsia" w:ascii="宋体" w:hAnsi="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14:paraId="17EFF943">
            <w:pPr>
              <w:rPr>
                <w:rFonts w:hint="eastAsia" w:ascii="宋体" w:hAnsi="宋体"/>
                <w:color w:val="auto"/>
                <w:szCs w:val="21"/>
                <w:highlight w:val="none"/>
              </w:rPr>
            </w:pPr>
            <w:r>
              <w:rPr>
                <w:rFonts w:hint="eastAsia" w:hAnsi="宋体" w:cs="宋体"/>
                <w:color w:val="auto"/>
                <w:szCs w:val="21"/>
                <w:highlight w:val="none"/>
                <w:u w:val="single"/>
              </w:rPr>
              <w:t>工程成本警戒价按建安工程费最高投标限</w:t>
            </w:r>
            <w:r>
              <w:rPr>
                <w:rFonts w:hint="eastAsia" w:ascii="宋体" w:hAnsi="宋体" w:cs="宋体"/>
                <w:color w:val="auto"/>
                <w:szCs w:val="21"/>
                <w:highlight w:val="none"/>
                <w:u w:val="single"/>
              </w:rPr>
              <w:t>价的</w:t>
            </w:r>
            <w:r>
              <w:rPr>
                <w:rFonts w:hint="eastAsia" w:ascii="宋体" w:hAnsi="宋体" w:cs="宋体"/>
                <w:color w:val="auto"/>
                <w:szCs w:val="21"/>
                <w:highlight w:val="none"/>
                <w:u w:val="single"/>
                <w:lang w:val="en-US" w:eastAsia="zh-CN"/>
              </w:rPr>
              <w:t>90</w:t>
            </w:r>
            <w:r>
              <w:rPr>
                <w:rFonts w:hint="eastAsia" w:ascii="宋体" w:hAnsi="宋体" w:cs="宋体"/>
                <w:color w:val="auto"/>
                <w:szCs w:val="21"/>
                <w:highlight w:val="none"/>
                <w:u w:val="single"/>
              </w:rPr>
              <w:t>%设</w:t>
            </w:r>
            <w:r>
              <w:rPr>
                <w:rFonts w:hint="eastAsia" w:hAnsi="宋体" w:cs="宋体"/>
                <w:color w:val="auto"/>
                <w:szCs w:val="21"/>
                <w:highlight w:val="none"/>
                <w:u w:val="single"/>
              </w:rPr>
              <w:t>置为</w:t>
            </w:r>
            <w:r>
              <w:rPr>
                <w:rFonts w:hint="eastAsia" w:hAnsi="宋体" w:cs="宋体"/>
                <w:color w:val="auto"/>
                <w:szCs w:val="21"/>
                <w:highlight w:val="none"/>
                <w:u w:val="single"/>
                <w:lang w:val="en-US" w:eastAsia="zh-CN"/>
              </w:rPr>
              <w:t>人民币</w:t>
            </w:r>
            <w:r>
              <w:rPr>
                <w:rFonts w:hint="eastAsia" w:ascii="宋体" w:hAnsi="宋体"/>
                <w:color w:val="auto"/>
                <w:szCs w:val="21"/>
                <w:highlight w:val="none"/>
                <w:u w:val="single"/>
              </w:rPr>
              <w:t>76011672.73元</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53B67470">
            <w:pPr>
              <w:rPr>
                <w:rFonts w:hint="eastAsia" w:ascii="宋体" w:hAnsi="宋体"/>
                <w:color w:val="auto"/>
                <w:szCs w:val="21"/>
                <w:highlight w:val="none"/>
                <w:u w:val="single"/>
              </w:rPr>
            </w:pPr>
            <w:r>
              <w:rPr>
                <w:rFonts w:hint="eastAsia" w:ascii="宋体" w:hAnsi="宋体"/>
                <w:color w:val="auto"/>
                <w:szCs w:val="21"/>
                <w:highlight w:val="none"/>
              </w:rPr>
              <w:t>注：为充分体现招标人意</w:t>
            </w:r>
            <w:bookmarkStart w:id="55" w:name="_GoBack"/>
            <w:bookmarkEnd w:id="55"/>
            <w:r>
              <w:rPr>
                <w:rFonts w:hint="eastAsia" w:ascii="宋体" w:hAnsi="宋体"/>
                <w:color w:val="auto"/>
                <w:szCs w:val="21"/>
                <w:highlight w:val="none"/>
              </w:rPr>
              <w:t>愿及落实项目招标人负责制，警戒价由招标人决定。</w:t>
            </w:r>
          </w:p>
        </w:tc>
      </w:tr>
      <w:tr w14:paraId="2CCB3A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E696CA4">
            <w:pPr>
              <w:rPr>
                <w:rFonts w:hint="eastAsia" w:ascii="宋体" w:hAnsi="宋体"/>
                <w:color w:val="auto"/>
                <w:szCs w:val="21"/>
                <w:highlight w:val="none"/>
              </w:rPr>
            </w:pPr>
            <w:r>
              <w:rPr>
                <w:rFonts w:hint="eastAsia" w:ascii="宋体" w:hAnsi="宋体"/>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14:paraId="5B270FD6">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B2F3DE2">
            <w:pPr>
              <w:rPr>
                <w:rFonts w:hint="eastAsia" w:ascii="宋体" w:hAnsi="宋体"/>
                <w:color w:val="auto"/>
                <w:szCs w:val="21"/>
                <w:highlight w:val="none"/>
              </w:rPr>
            </w:pPr>
            <w:r>
              <w:rPr>
                <w:rFonts w:hint="eastAsia" w:ascii="宋体" w:hAnsi="宋体"/>
                <w:color w:val="auto"/>
                <w:szCs w:val="21"/>
                <w:highlight w:val="none"/>
              </w:rPr>
              <w:t>第一阶段各分值的权重（本款不适用）</w:t>
            </w:r>
          </w:p>
        </w:tc>
        <w:tc>
          <w:tcPr>
            <w:tcW w:w="5857" w:type="dxa"/>
            <w:tcBorders>
              <w:top w:val="single" w:color="auto" w:sz="4" w:space="0"/>
              <w:left w:val="single" w:color="auto" w:sz="4" w:space="0"/>
              <w:bottom w:val="single" w:color="auto" w:sz="4" w:space="0"/>
              <w:right w:val="double" w:color="auto" w:sz="4" w:space="0"/>
            </w:tcBorders>
            <w:vAlign w:val="center"/>
          </w:tcPr>
          <w:p w14:paraId="33F2F0B9">
            <w:pPr>
              <w:rPr>
                <w:rFonts w:hint="eastAsia" w:ascii="宋体" w:hAnsi="宋体"/>
                <w:strike/>
                <w:color w:val="auto"/>
                <w:szCs w:val="21"/>
                <w:highlight w:val="none"/>
              </w:rPr>
            </w:pPr>
            <w:r>
              <w:rPr>
                <w:rFonts w:hint="eastAsia" w:ascii="宋体" w:hAnsi="宋体"/>
                <w:strike/>
                <w:color w:val="auto"/>
                <w:szCs w:val="21"/>
                <w:highlight w:val="none"/>
              </w:rPr>
              <w:t>技术分权重为</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%，综合诚信评价分数权重为</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w:t>
            </w:r>
          </w:p>
          <w:p w14:paraId="25F9374E">
            <w:pPr>
              <w:rPr>
                <w:rFonts w:hint="eastAsia" w:ascii="宋体" w:hAnsi="宋体"/>
                <w:color w:val="auto"/>
                <w:szCs w:val="21"/>
                <w:highlight w:val="none"/>
              </w:rPr>
            </w:pPr>
            <w:r>
              <w:rPr>
                <w:rFonts w:hint="eastAsia" w:ascii="宋体" w:hAnsi="宋体"/>
                <w:strike/>
                <w:color w:val="auto"/>
                <w:szCs w:val="21"/>
                <w:highlight w:val="none"/>
              </w:rPr>
              <w:t>注：综合诚信评价得分权重按《关于诚信综合评价在招标投标环节中应用的指引》（招标投标指引2020年第6期）规定执行，招标人可在[0,20%]选择。技术分权重=100%-综合诚信评价得分权重</w:t>
            </w:r>
          </w:p>
        </w:tc>
      </w:tr>
      <w:tr w14:paraId="0CABB1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20F890C">
            <w:pPr>
              <w:rPr>
                <w:rFonts w:hint="eastAsia" w:ascii="宋体" w:hAnsi="宋体"/>
                <w:color w:val="auto"/>
                <w:szCs w:val="21"/>
                <w:highlight w:val="none"/>
              </w:rPr>
            </w:pPr>
            <w:r>
              <w:rPr>
                <w:rFonts w:hint="eastAsia" w:ascii="宋体" w:hAnsi="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14:paraId="64FFDBD4">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A3ED7D1">
            <w:pPr>
              <w:rPr>
                <w:rFonts w:hint="eastAsia" w:ascii="宋体" w:hAnsi="宋体"/>
                <w:color w:val="auto"/>
                <w:szCs w:val="21"/>
                <w:highlight w:val="none"/>
              </w:rPr>
            </w:pPr>
            <w:r>
              <w:rPr>
                <w:rFonts w:hint="eastAsia" w:ascii="宋体" w:hAnsi="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14:paraId="0C2AAB4E">
            <w:pPr>
              <w:rPr>
                <w:rFonts w:hint="eastAsia" w:ascii="宋体" w:hAnsi="宋体"/>
                <w:color w:val="auto"/>
                <w:szCs w:val="21"/>
                <w:highlight w:val="none"/>
              </w:rPr>
            </w:pPr>
            <w:r>
              <w:rPr>
                <w:rFonts w:hint="eastAsia" w:ascii="宋体" w:hAnsi="宋体"/>
                <w:color w:val="auto"/>
                <w:szCs w:val="21"/>
                <w:highlight w:val="none"/>
              </w:rPr>
              <w:t>评标委员会由招标人依法组建。</w:t>
            </w:r>
          </w:p>
        </w:tc>
      </w:tr>
      <w:tr w14:paraId="424DA3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BC01C13">
            <w:pPr>
              <w:rPr>
                <w:rFonts w:hint="eastAsia" w:ascii="宋体" w:hAnsi="宋体"/>
                <w:color w:val="auto"/>
                <w:szCs w:val="21"/>
                <w:highlight w:val="none"/>
              </w:rPr>
            </w:pPr>
            <w:r>
              <w:rPr>
                <w:rFonts w:hint="eastAsia" w:ascii="宋体" w:hAnsi="宋体"/>
                <w:color w:val="auto"/>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14:paraId="1D08AD94">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AD1491F">
            <w:pPr>
              <w:rPr>
                <w:rFonts w:hint="eastAsia" w:ascii="宋体" w:hAnsi="宋体"/>
                <w:color w:val="auto"/>
                <w:szCs w:val="21"/>
                <w:highlight w:val="none"/>
              </w:rPr>
            </w:pPr>
            <w:r>
              <w:rPr>
                <w:rFonts w:hint="eastAsia" w:ascii="宋体" w:hAnsi="宋体"/>
                <w:color w:val="auto"/>
                <w:szCs w:val="21"/>
                <w:highlight w:val="none"/>
              </w:rPr>
              <w:t>企业综合诚信评价分数（本款不适用）</w:t>
            </w:r>
          </w:p>
        </w:tc>
        <w:tc>
          <w:tcPr>
            <w:tcW w:w="5857" w:type="dxa"/>
            <w:tcBorders>
              <w:top w:val="single" w:color="auto" w:sz="4" w:space="0"/>
              <w:left w:val="single" w:color="auto" w:sz="4" w:space="0"/>
              <w:bottom w:val="single" w:color="auto" w:sz="4" w:space="0"/>
              <w:right w:val="double" w:color="auto" w:sz="4" w:space="0"/>
            </w:tcBorders>
            <w:vAlign w:val="center"/>
          </w:tcPr>
          <w:p w14:paraId="289FAE52">
            <w:pPr>
              <w:rPr>
                <w:rFonts w:hint="eastAsia" w:ascii="宋体" w:hAnsi="宋体"/>
                <w:color w:val="auto"/>
                <w:szCs w:val="21"/>
                <w:highlight w:val="none"/>
              </w:rPr>
            </w:pPr>
            <w:r>
              <w:rPr>
                <w:rFonts w:hint="eastAsia" w:ascii="宋体" w:hAnsi="宋体"/>
                <w:strike/>
                <w:color w:val="auto"/>
                <w:szCs w:val="21"/>
                <w:highlight w:val="none"/>
              </w:rPr>
              <w:t>本项目的企业综合诚信评价分数，以</w:t>
            </w:r>
            <w:r>
              <w:rPr>
                <w:rFonts w:ascii="宋体" w:hAnsi="宋体"/>
                <w:strike/>
                <w:color w:val="auto"/>
                <w:szCs w:val="21"/>
                <w:highlight w:val="none"/>
                <w:u w:val="single"/>
              </w:rPr>
              <w:t xml:space="preserve">              </w:t>
            </w:r>
            <w:r>
              <w:rPr>
                <w:rFonts w:hint="eastAsia" w:ascii="宋体" w:hAnsi="宋体"/>
                <w:strike/>
                <w:color w:val="auto"/>
                <w:szCs w:val="21"/>
                <w:highlight w:val="none"/>
              </w:rPr>
              <w:t>排名为准。</w:t>
            </w:r>
          </w:p>
        </w:tc>
      </w:tr>
      <w:tr w14:paraId="6E26F3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6E1345C">
            <w:pPr>
              <w:rPr>
                <w:rFonts w:hint="eastAsia" w:ascii="宋体" w:hAnsi="宋体"/>
                <w:color w:val="auto"/>
                <w:szCs w:val="21"/>
                <w:highlight w:val="none"/>
              </w:rPr>
            </w:pPr>
            <w:r>
              <w:rPr>
                <w:rFonts w:hint="eastAsia" w:ascii="宋体" w:hAnsi="宋体"/>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14:paraId="796A11FE">
            <w:pPr>
              <w:ind w:firstLine="458"/>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81214D6">
            <w:pPr>
              <w:ind w:firstLine="458"/>
              <w:rPr>
                <w:rFonts w:hint="eastAsia" w:ascii="宋体" w:hAnsi="宋体"/>
                <w:color w:val="auto"/>
                <w:szCs w:val="21"/>
                <w:highlight w:val="none"/>
              </w:rPr>
            </w:pPr>
            <w:r>
              <w:rPr>
                <w:rFonts w:hint="eastAsia" w:ascii="宋体" w:hAnsi="宋体"/>
                <w:color w:val="auto"/>
                <w:szCs w:val="21"/>
                <w:highlight w:val="none"/>
              </w:rPr>
              <w:t>第二阶段投标人名次的排序方法（适用于办法一、办法二）（本款不适用）</w:t>
            </w:r>
          </w:p>
        </w:tc>
        <w:tc>
          <w:tcPr>
            <w:tcW w:w="5857" w:type="dxa"/>
            <w:tcBorders>
              <w:top w:val="single" w:color="auto" w:sz="4" w:space="0"/>
              <w:left w:val="single" w:color="auto" w:sz="4" w:space="0"/>
              <w:bottom w:val="single" w:color="auto" w:sz="4" w:space="0"/>
              <w:right w:val="double" w:color="auto" w:sz="4" w:space="0"/>
            </w:tcBorders>
            <w:vAlign w:val="center"/>
          </w:tcPr>
          <w:p w14:paraId="7AF7CDDD">
            <w:pPr>
              <w:rPr>
                <w:rFonts w:hint="eastAsia" w:ascii="宋体" w:hAnsi="宋体"/>
                <w:strike/>
                <w:color w:val="auto"/>
                <w:szCs w:val="21"/>
                <w:highlight w:val="none"/>
              </w:rPr>
            </w:pPr>
            <w:r>
              <w:rPr>
                <w:rFonts w:hint="eastAsia" w:ascii="宋体" w:hAnsi="宋体"/>
                <w:strike/>
                <w:color w:val="auto"/>
                <w:szCs w:val="21"/>
                <w:highlight w:val="none"/>
              </w:rPr>
              <w:t>选取方法</w:t>
            </w:r>
            <w:r>
              <w:rPr>
                <w:rFonts w:hint="eastAsia" w:ascii="宋体" w:hAnsi="宋体"/>
                <w:strike/>
                <w:color w:val="auto"/>
                <w:szCs w:val="21"/>
                <w:highlight w:val="none"/>
                <w:u w:val="single"/>
              </w:rPr>
              <w:t xml:space="preserve">     </w:t>
            </w:r>
          </w:p>
          <w:p w14:paraId="617BF6E6">
            <w:pPr>
              <w:rPr>
                <w:rFonts w:hint="eastAsia" w:ascii="宋体" w:hAnsi="宋体"/>
                <w:strike/>
                <w:color w:val="auto"/>
                <w:szCs w:val="21"/>
                <w:highlight w:val="none"/>
              </w:rPr>
            </w:pPr>
            <w:r>
              <w:rPr>
                <w:rFonts w:hint="eastAsia" w:ascii="宋体" w:hAnsi="宋体"/>
                <w:strike/>
                <w:color w:val="auto"/>
                <w:szCs w:val="21"/>
                <w:highlight w:val="none"/>
              </w:rPr>
              <w:t>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r>
              <w:rPr>
                <w:rFonts w:ascii="宋体" w:hAnsi="宋体"/>
                <w:strike/>
                <w:color w:val="auto"/>
                <w:szCs w:val="21"/>
                <w:highlight w:val="none"/>
              </w:rPr>
              <w:t xml:space="preserve"> </w:t>
            </w:r>
          </w:p>
          <w:p w14:paraId="5F238DBD">
            <w:pPr>
              <w:rPr>
                <w:rFonts w:hint="eastAsia" w:ascii="宋体" w:hAnsi="宋体"/>
                <w:strike/>
                <w:color w:val="auto"/>
                <w:szCs w:val="21"/>
                <w:highlight w:val="none"/>
              </w:rPr>
            </w:pPr>
            <w:r>
              <w:rPr>
                <w:rFonts w:hint="eastAsia" w:ascii="宋体" w:hAnsi="宋体"/>
                <w:strike/>
                <w:color w:val="auto"/>
                <w:szCs w:val="21"/>
                <w:highlight w:val="none"/>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14:paraId="04C33BFC">
            <w:pPr>
              <w:rPr>
                <w:rFonts w:hint="eastAsia" w:ascii="宋体" w:hAnsi="宋体"/>
                <w:color w:val="auto"/>
                <w:szCs w:val="21"/>
                <w:highlight w:val="none"/>
              </w:rPr>
            </w:pPr>
            <w:r>
              <w:rPr>
                <w:rFonts w:hint="eastAsia" w:ascii="宋体" w:hAnsi="宋体"/>
                <w:strike/>
                <w:color w:val="auto"/>
                <w:szCs w:val="21"/>
                <w:highlight w:val="none"/>
              </w:rPr>
              <w:t xml:space="preserve">方法三： （由招标人自行确定） </w:t>
            </w:r>
          </w:p>
        </w:tc>
      </w:tr>
      <w:tr w14:paraId="5AE737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0F345D4">
            <w:pPr>
              <w:rPr>
                <w:rFonts w:hint="eastAsia" w:ascii="宋体" w:hAnsi="宋体"/>
                <w:color w:val="auto"/>
                <w:szCs w:val="21"/>
                <w:highlight w:val="none"/>
              </w:rPr>
            </w:pPr>
            <w:r>
              <w:rPr>
                <w:rFonts w:hint="eastAsia" w:ascii="宋体" w:hAnsi="宋体"/>
                <w:color w:val="auto"/>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14:paraId="5B27A396">
            <w:pPr>
              <w:ind w:firstLine="458"/>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E375E53">
            <w:pPr>
              <w:rPr>
                <w:rFonts w:hint="eastAsia" w:ascii="宋体" w:hAnsi="宋体"/>
                <w:color w:val="auto"/>
                <w:szCs w:val="21"/>
                <w:highlight w:val="none"/>
              </w:rPr>
            </w:pPr>
            <w:r>
              <w:rPr>
                <w:rFonts w:hint="eastAsia" w:ascii="宋体" w:hAnsi="宋体"/>
                <w:color w:val="auto"/>
                <w:szCs w:val="21"/>
                <w:highlight w:val="none"/>
              </w:rPr>
              <w:t>经济分相同情况下的排序方法（适用于办法三、办法四）（本款不适用）</w:t>
            </w:r>
          </w:p>
        </w:tc>
        <w:tc>
          <w:tcPr>
            <w:tcW w:w="5857" w:type="dxa"/>
            <w:tcBorders>
              <w:top w:val="single" w:color="auto" w:sz="4" w:space="0"/>
              <w:left w:val="single" w:color="auto" w:sz="4" w:space="0"/>
              <w:bottom w:val="single" w:color="auto" w:sz="4" w:space="0"/>
              <w:right w:val="double" w:color="auto" w:sz="4" w:space="0"/>
            </w:tcBorders>
            <w:vAlign w:val="center"/>
          </w:tcPr>
          <w:p w14:paraId="530AA1A1">
            <w:pPr>
              <w:rPr>
                <w:rFonts w:hint="eastAsia" w:ascii="宋体" w:hAnsi="宋体"/>
                <w:strike/>
                <w:color w:val="auto"/>
                <w:szCs w:val="21"/>
                <w:highlight w:val="none"/>
              </w:rPr>
            </w:pPr>
            <w:r>
              <w:rPr>
                <w:rFonts w:hint="eastAsia" w:ascii="宋体" w:hAnsi="宋体"/>
                <w:strike/>
                <w:color w:val="auto"/>
                <w:szCs w:val="21"/>
                <w:highlight w:val="none"/>
              </w:rPr>
              <w:t>选取方法</w:t>
            </w:r>
            <w:r>
              <w:rPr>
                <w:rFonts w:hint="eastAsia" w:ascii="宋体" w:hAnsi="宋体"/>
                <w:strike/>
                <w:color w:val="auto"/>
                <w:szCs w:val="21"/>
                <w:highlight w:val="none"/>
                <w:u w:val="single"/>
              </w:rPr>
              <w:t xml:space="preserve">     </w:t>
            </w:r>
          </w:p>
          <w:p w14:paraId="456C5588">
            <w:pPr>
              <w:rPr>
                <w:rFonts w:hint="eastAsia" w:ascii="宋体" w:hAnsi="宋体"/>
                <w:strike/>
                <w:color w:val="auto"/>
                <w:szCs w:val="21"/>
                <w:highlight w:val="none"/>
              </w:rPr>
            </w:pPr>
            <w:r>
              <w:rPr>
                <w:rFonts w:hint="eastAsia" w:ascii="宋体" w:hAnsi="宋体"/>
                <w:strike/>
                <w:color w:val="auto"/>
                <w:szCs w:val="21"/>
                <w:highlight w:val="none"/>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14:paraId="6686D568">
            <w:pPr>
              <w:rPr>
                <w:rFonts w:hint="eastAsia" w:ascii="宋体" w:hAnsi="宋体"/>
                <w:strike/>
                <w:color w:val="auto"/>
                <w:szCs w:val="21"/>
                <w:highlight w:val="none"/>
              </w:rPr>
            </w:pPr>
            <w:r>
              <w:rPr>
                <w:rFonts w:hint="eastAsia" w:ascii="宋体" w:hAnsi="宋体"/>
                <w:strike/>
                <w:color w:val="auto"/>
                <w:szCs w:val="21"/>
                <w:highlight w:val="none"/>
              </w:rPr>
              <w:t>方法二：经济分相同的投标文件，由评标委员会采用随机方式，确定投标人的排序。</w:t>
            </w:r>
          </w:p>
          <w:p w14:paraId="132F2EBA">
            <w:pPr>
              <w:rPr>
                <w:rFonts w:hint="eastAsia" w:ascii="宋体" w:hAnsi="宋体"/>
                <w:color w:val="auto"/>
                <w:szCs w:val="21"/>
                <w:highlight w:val="none"/>
              </w:rPr>
            </w:pPr>
            <w:r>
              <w:rPr>
                <w:rFonts w:hint="eastAsia" w:ascii="宋体" w:hAnsi="宋体"/>
                <w:strike/>
                <w:color w:val="auto"/>
                <w:szCs w:val="21"/>
                <w:highlight w:val="none"/>
              </w:rPr>
              <w:t xml:space="preserve">方法三：  （由招标人自行确定） </w:t>
            </w:r>
          </w:p>
        </w:tc>
      </w:tr>
      <w:tr w14:paraId="3425F4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85075ED">
            <w:pPr>
              <w:rPr>
                <w:rFonts w:hint="eastAsia" w:ascii="宋体" w:hAnsi="宋体"/>
                <w:color w:val="auto"/>
                <w:szCs w:val="21"/>
                <w:highlight w:val="none"/>
              </w:rPr>
            </w:pPr>
            <w:r>
              <w:rPr>
                <w:rFonts w:hint="eastAsia" w:ascii="宋体" w:hAnsi="宋体"/>
                <w:color w:val="auto"/>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14:paraId="4800BAD6">
            <w:pPr>
              <w:ind w:firstLine="458"/>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8DC47DF">
            <w:pPr>
              <w:rPr>
                <w:rFonts w:hint="eastAsia" w:ascii="宋体" w:hAnsi="宋体"/>
                <w:color w:val="auto"/>
                <w:szCs w:val="21"/>
                <w:highlight w:val="none"/>
              </w:rPr>
            </w:pPr>
            <w:r>
              <w:rPr>
                <w:rFonts w:hint="eastAsia" w:ascii="宋体" w:hAnsi="宋体"/>
                <w:color w:val="auto"/>
                <w:szCs w:val="21"/>
                <w:highlight w:val="none"/>
              </w:rPr>
              <w:t>第二阶段投标人名次的排序方法（适用于办法五、办法六）（本款不适用）</w:t>
            </w:r>
          </w:p>
        </w:tc>
        <w:tc>
          <w:tcPr>
            <w:tcW w:w="5857" w:type="dxa"/>
            <w:tcBorders>
              <w:top w:val="single" w:color="auto" w:sz="4" w:space="0"/>
              <w:left w:val="single" w:color="auto" w:sz="4" w:space="0"/>
              <w:bottom w:val="single" w:color="auto" w:sz="4" w:space="0"/>
              <w:right w:val="double" w:color="auto" w:sz="4" w:space="0"/>
            </w:tcBorders>
            <w:vAlign w:val="center"/>
          </w:tcPr>
          <w:p w14:paraId="40BEE0AE">
            <w:pPr>
              <w:rPr>
                <w:rFonts w:hint="eastAsia" w:ascii="宋体" w:hAnsi="宋体"/>
                <w:strike/>
                <w:color w:val="auto"/>
                <w:szCs w:val="21"/>
                <w:highlight w:val="none"/>
              </w:rPr>
            </w:pPr>
            <w:r>
              <w:rPr>
                <w:rFonts w:hint="eastAsia" w:ascii="宋体" w:hAnsi="宋体"/>
                <w:strike/>
                <w:color w:val="auto"/>
                <w:szCs w:val="21"/>
                <w:highlight w:val="none"/>
              </w:rPr>
              <w:t>选取方法</w:t>
            </w:r>
            <w:r>
              <w:rPr>
                <w:rFonts w:hint="eastAsia" w:ascii="宋体" w:hAnsi="宋体"/>
                <w:strike/>
                <w:color w:val="auto"/>
                <w:szCs w:val="21"/>
                <w:highlight w:val="none"/>
                <w:u w:val="single"/>
              </w:rPr>
              <w:t xml:space="preserve">     </w:t>
            </w:r>
          </w:p>
          <w:p w14:paraId="77D2DDB5">
            <w:pPr>
              <w:rPr>
                <w:rFonts w:hint="eastAsia" w:ascii="宋体" w:hAnsi="宋体"/>
                <w:strike/>
                <w:color w:val="auto"/>
                <w:szCs w:val="21"/>
                <w:highlight w:val="none"/>
              </w:rPr>
            </w:pPr>
            <w:r>
              <w:rPr>
                <w:rFonts w:hint="eastAsia" w:ascii="宋体" w:hAnsi="宋体"/>
                <w:strike/>
                <w:color w:val="auto"/>
                <w:szCs w:val="21"/>
                <w:highlight w:val="none"/>
              </w:rPr>
              <w:t>方法一：评标委员会按照“总分=</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的公式，计算各有效投标文件的总分，并按照总分从高到低排序。总得分相同的投标文件，以报价较低的排前；总得分与报价均相同的投标文件，以</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较高的排前；总得分、报价与</w:t>
            </w:r>
            <w:r>
              <w:rPr>
                <w:rFonts w:hint="eastAsia" w:ascii="宋体" w:hAnsi="宋体"/>
                <w:strike/>
                <w:color w:val="auto"/>
                <w:szCs w:val="21"/>
                <w:highlight w:val="none"/>
                <w:u w:val="single"/>
              </w:rPr>
              <w:t xml:space="preserve">     </w:t>
            </w:r>
            <w:r>
              <w:rPr>
                <w:rFonts w:hint="eastAsia" w:ascii="宋体" w:hAnsi="宋体"/>
                <w:strike/>
                <w:color w:val="auto"/>
                <w:szCs w:val="21"/>
                <w:highlight w:val="none"/>
              </w:rPr>
              <w:t>均相同的投标文件，以诚信综合评价分数高的排前；如仍存在相同情况，则对具有相同情况的投标人，由评标委员会采用随机方式，确定投标人的排序。</w:t>
            </w:r>
          </w:p>
          <w:p w14:paraId="4A621A9A">
            <w:pPr>
              <w:rPr>
                <w:rFonts w:hint="eastAsia" w:ascii="宋体" w:hAnsi="宋体"/>
                <w:color w:val="auto"/>
                <w:szCs w:val="21"/>
                <w:highlight w:val="none"/>
              </w:rPr>
            </w:pPr>
            <w:r>
              <w:rPr>
                <w:rFonts w:hint="eastAsia" w:ascii="宋体" w:hAnsi="宋体"/>
                <w:strike/>
                <w:color w:val="auto"/>
                <w:szCs w:val="21"/>
                <w:highlight w:val="none"/>
              </w:rPr>
              <w:t xml:space="preserve">方法二：  （由招标人自行确定） </w:t>
            </w:r>
          </w:p>
        </w:tc>
      </w:tr>
      <w:tr w14:paraId="5EA1BF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E0F3733">
            <w:pPr>
              <w:rPr>
                <w:rFonts w:hint="eastAsia" w:ascii="宋体" w:hAnsi="宋体"/>
                <w:color w:val="auto"/>
                <w:szCs w:val="21"/>
                <w:highlight w:val="none"/>
              </w:rPr>
            </w:pPr>
            <w:r>
              <w:rPr>
                <w:rFonts w:hint="eastAsia" w:ascii="宋体" w:hAnsi="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14:paraId="48045EBD">
            <w:pPr>
              <w:rPr>
                <w:rFonts w:hint="eastAsia"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14:paraId="297523A0">
            <w:pPr>
              <w:rPr>
                <w:rFonts w:hint="eastAsia" w:ascii="宋体" w:hAnsi="宋体"/>
                <w:color w:val="auto"/>
                <w:szCs w:val="21"/>
                <w:highlight w:val="none"/>
              </w:rPr>
            </w:pPr>
            <w:r>
              <w:rPr>
                <w:rFonts w:hint="eastAsia" w:ascii="宋体" w:hAnsi="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14:paraId="7DA14DE3">
            <w:pPr>
              <w:rPr>
                <w:rFonts w:hint="eastAsia" w:ascii="宋体" w:hAnsi="宋体"/>
                <w:color w:val="auto"/>
                <w:szCs w:val="21"/>
                <w:highlight w:val="none"/>
                <w:u w:val="single"/>
              </w:rPr>
            </w:pPr>
            <w:r>
              <w:rPr>
                <w:rFonts w:ascii="宋体" w:hAnsi="宋体"/>
                <w:color w:val="auto"/>
                <w:szCs w:val="21"/>
                <w:highlight w:val="none"/>
                <w:u w:val="single"/>
              </w:rPr>
              <w:t xml:space="preserve">                                           </w:t>
            </w:r>
          </w:p>
        </w:tc>
      </w:tr>
      <w:tr w14:paraId="3D92C8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2778EA7">
            <w:pPr>
              <w:rPr>
                <w:rFonts w:hint="eastAsia"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3FC85A61">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1CFF874">
            <w:pPr>
              <w:rPr>
                <w:rFonts w:hint="eastAsia" w:ascii="宋体" w:hAnsi="宋体"/>
                <w:color w:val="auto"/>
                <w:szCs w:val="21"/>
                <w:highlight w:val="none"/>
              </w:rPr>
            </w:pPr>
            <w:r>
              <w:rPr>
                <w:rFonts w:hint="eastAsia" w:ascii="宋体" w:hAnsi="宋体"/>
                <w:color w:val="auto"/>
                <w:szCs w:val="21"/>
                <w:highlight w:val="none"/>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14:paraId="7C48D3B5">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711B51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F1FA8E0">
            <w:pPr>
              <w:rPr>
                <w:rFonts w:hint="eastAsia" w:ascii="宋体" w:hAnsi="宋体"/>
                <w:color w:val="auto"/>
                <w:szCs w:val="21"/>
                <w:highlight w:val="none"/>
              </w:rPr>
            </w:pPr>
            <w:r>
              <w:rPr>
                <w:rFonts w:hint="eastAsia" w:ascii="宋体" w:hAnsi="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14:paraId="550E4A13">
            <w:pPr>
              <w:rPr>
                <w:rFonts w:hint="eastAsia"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296B395">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14:paraId="05C95DA5">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■不允许；</w:t>
            </w:r>
          </w:p>
          <w:p w14:paraId="478F4846">
            <w:pPr>
              <w:spacing w:line="276" w:lineRule="auto"/>
              <w:ind w:left="62" w:right="62"/>
              <w:rPr>
                <w:rStyle w:val="29"/>
                <w:rFonts w:hint="eastAsia" w:ascii="宋体" w:hAnsi="宋体"/>
                <w:color w:val="auto"/>
                <w:kern w:val="0"/>
                <w:szCs w:val="21"/>
                <w:highlight w:val="none"/>
                <w:lang w:val="zh-CN"/>
              </w:rPr>
            </w:pPr>
            <w:r>
              <w:rPr>
                <w:rFonts w:hint="eastAsia" w:ascii="宋体" w:hAnsi="宋体" w:cs="宋体"/>
                <w:color w:val="auto"/>
                <w:szCs w:val="21"/>
                <w:highlight w:val="none"/>
                <w:lang w:val="zh-CN"/>
              </w:rPr>
              <w:t>□</w:t>
            </w:r>
            <w:r>
              <w:rPr>
                <w:rStyle w:val="29"/>
                <w:rFonts w:ascii="宋体" w:hAnsi="宋体"/>
                <w:color w:val="auto"/>
                <w:kern w:val="0"/>
                <w:szCs w:val="21"/>
                <w:highlight w:val="none"/>
                <w:lang w:val="zh-CN"/>
              </w:rPr>
              <w:t>允许：</w:t>
            </w:r>
          </w:p>
          <w:p w14:paraId="59F21C56">
            <w:pPr>
              <w:spacing w:line="276" w:lineRule="auto"/>
              <w:ind w:left="62" w:right="62"/>
              <w:rPr>
                <w:rStyle w:val="29"/>
                <w:color w:val="auto"/>
                <w:highlight w:val="none"/>
              </w:rPr>
            </w:pPr>
            <w:r>
              <w:rPr>
                <w:rStyle w:val="29"/>
                <w:color w:val="auto"/>
                <w:highlight w:val="none"/>
              </w:rPr>
              <w:t>分包内容要求：</w:t>
            </w:r>
            <w:r>
              <w:rPr>
                <w:rStyle w:val="29"/>
                <w:rFonts w:hint="eastAsia"/>
                <w:color w:val="auto"/>
                <w:highlight w:val="none"/>
              </w:rPr>
              <w:t>/</w:t>
            </w:r>
          </w:p>
          <w:p w14:paraId="7C6B41CD">
            <w:pPr>
              <w:spacing w:line="276" w:lineRule="auto"/>
              <w:ind w:left="62" w:right="62"/>
              <w:rPr>
                <w:rStyle w:val="29"/>
                <w:color w:val="auto"/>
                <w:highlight w:val="none"/>
              </w:rPr>
            </w:pPr>
            <w:r>
              <w:rPr>
                <w:rStyle w:val="29"/>
                <w:color w:val="auto"/>
                <w:highlight w:val="none"/>
              </w:rPr>
              <w:t xml:space="preserve">    对分包人的资质要求：</w:t>
            </w:r>
            <w:r>
              <w:rPr>
                <w:rStyle w:val="29"/>
                <w:rFonts w:hint="eastAsia"/>
                <w:color w:val="auto"/>
                <w:highlight w:val="none"/>
                <w:u w:val="single"/>
              </w:rPr>
              <w:t>/</w:t>
            </w:r>
            <w:r>
              <w:rPr>
                <w:rStyle w:val="29"/>
                <w:color w:val="auto"/>
                <w:highlight w:val="none"/>
                <w:u w:val="single"/>
              </w:rPr>
              <w:t>。</w:t>
            </w:r>
          </w:p>
          <w:p w14:paraId="5DE0BC5D">
            <w:pPr>
              <w:rPr>
                <w:rFonts w:hint="eastAsia" w:ascii="宋体" w:hAnsi="宋体"/>
                <w:color w:val="auto"/>
                <w:kern w:val="0"/>
                <w:szCs w:val="21"/>
                <w:highlight w:val="none"/>
                <w:lang w:val="zh-CN"/>
              </w:rPr>
            </w:pPr>
            <w:r>
              <w:rPr>
                <w:rStyle w:val="29"/>
                <w:color w:val="auto"/>
                <w:highlight w:val="none"/>
              </w:rPr>
              <w:t xml:space="preserve">    对分包人的其他要求：</w:t>
            </w:r>
            <w:r>
              <w:rPr>
                <w:rStyle w:val="29"/>
                <w:rFonts w:hint="eastAsia"/>
                <w:color w:val="auto"/>
                <w:highlight w:val="none"/>
                <w:u w:val="single"/>
              </w:rPr>
              <w:t>/</w:t>
            </w:r>
            <w:r>
              <w:rPr>
                <w:rStyle w:val="29"/>
                <w:color w:val="auto"/>
                <w:highlight w:val="none"/>
                <w:u w:val="single"/>
              </w:rPr>
              <w:t>。</w:t>
            </w:r>
          </w:p>
        </w:tc>
      </w:tr>
      <w:tr w14:paraId="362E35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2E46D9F">
            <w:pPr>
              <w:rPr>
                <w:rFonts w:hint="eastAsia" w:ascii="宋体" w:hAnsi="宋体"/>
                <w:color w:val="auto"/>
                <w:szCs w:val="21"/>
                <w:highlight w:val="none"/>
              </w:rPr>
            </w:pPr>
            <w:r>
              <w:rPr>
                <w:rFonts w:hint="eastAsia" w:ascii="宋体" w:hAnsi="宋体"/>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14:paraId="5E8E4782">
            <w:pPr>
              <w:jc w:val="center"/>
              <w:rPr>
                <w:rFonts w:hint="eastAsia"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82EE720">
            <w:pPr>
              <w:jc w:val="center"/>
              <w:rPr>
                <w:rFonts w:hint="eastAsia" w:ascii="宋体" w:hAnsi="宋体"/>
                <w:color w:val="auto"/>
                <w:highlight w:val="none"/>
              </w:rPr>
            </w:pPr>
            <w:r>
              <w:rPr>
                <w:rFonts w:hint="eastAsia" w:ascii="宋体" w:hAnsi="宋体"/>
                <w:color w:val="auto"/>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14:paraId="0A93D94A">
            <w:pPr>
              <w:rPr>
                <w:rFonts w:hint="eastAsia"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w:t>
            </w:r>
            <w:r>
              <w:rPr>
                <w:rStyle w:val="29"/>
                <w:rFonts w:hint="eastAsia" w:ascii="宋体" w:hAnsi="宋体"/>
                <w:color w:val="auto"/>
                <w:szCs w:val="21"/>
                <w:highlight w:val="none"/>
                <w:u w:val="single"/>
              </w:rPr>
              <w:t>广州交易集团有限公司（广州公共资源交易中心）（</w:t>
            </w:r>
            <w:r>
              <w:rPr>
                <w:rStyle w:val="29"/>
                <w:rFonts w:ascii="宋体" w:hAnsi="宋体"/>
                <w:color w:val="auto"/>
                <w:szCs w:val="21"/>
                <w:highlight w:val="none"/>
                <w:u w:val="single"/>
              </w:rPr>
              <w:t>http://www.gzggzy.cn/</w:t>
            </w:r>
            <w:r>
              <w:rPr>
                <w:rStyle w:val="29"/>
                <w:rFonts w:hint="eastAsia" w:ascii="宋体" w:hAnsi="宋体"/>
                <w:color w:val="auto"/>
                <w:szCs w:val="21"/>
                <w:highlight w:val="none"/>
                <w:u w:val="single"/>
              </w:rPr>
              <w:t>）网站发布的最新指引</w:t>
            </w:r>
            <w:r>
              <w:rPr>
                <w:rFonts w:hint="eastAsia" w:ascii="宋体" w:hAnsi="宋体"/>
                <w:color w:val="auto"/>
                <w:sz w:val="24"/>
                <w:szCs w:val="24"/>
                <w:highlight w:val="none"/>
                <w:u w:val="single"/>
              </w:rPr>
              <w:t xml:space="preserve"> </w:t>
            </w:r>
            <w:r>
              <w:rPr>
                <w:rFonts w:hint="eastAsia" w:ascii="宋体" w:hAnsi="宋体" w:cs="Courier New"/>
                <w:color w:val="auto"/>
                <w:szCs w:val="21"/>
                <w:highlight w:val="none"/>
              </w:rPr>
              <w:t xml:space="preserve">。  </w:t>
            </w:r>
          </w:p>
          <w:p w14:paraId="1D09B97D">
            <w:pPr>
              <w:rPr>
                <w:rFonts w:hint="eastAsia" w:ascii="宋体" w:hAnsi="宋体" w:cs="Courier New"/>
                <w:color w:val="auto"/>
                <w:szCs w:val="21"/>
                <w:highlight w:val="none"/>
              </w:rPr>
            </w:pPr>
            <w:r>
              <w:rPr>
                <w:rFonts w:hint="eastAsia" w:ascii="宋体" w:hAnsi="宋体" w:cs="Courier New"/>
                <w:color w:val="auto"/>
                <w:szCs w:val="21"/>
                <w:highlight w:val="none"/>
              </w:rPr>
              <w:t>2、提交投标文件光盘备用</w:t>
            </w:r>
          </w:p>
          <w:p w14:paraId="190EB2CB">
            <w:pPr>
              <w:rPr>
                <w:rFonts w:hint="eastAsia"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1E8940DE">
            <w:pPr>
              <w:rPr>
                <w:rFonts w:hint="eastAsia" w:ascii="宋体" w:hAnsi="宋体" w:cs="Courier New"/>
                <w:color w:val="auto"/>
                <w:szCs w:val="21"/>
                <w:highlight w:val="none"/>
              </w:rPr>
            </w:pPr>
            <w:r>
              <w:rPr>
                <w:rFonts w:hint="eastAsia" w:ascii="宋体" w:hAnsi="宋体" w:cs="Courier New"/>
                <w:color w:val="auto"/>
                <w:szCs w:val="21"/>
                <w:highlight w:val="none"/>
              </w:rPr>
              <w:t xml:space="preserve"> 3、补救方案</w:t>
            </w:r>
          </w:p>
          <w:p w14:paraId="1B34848C">
            <w:pPr>
              <w:rPr>
                <w:rFonts w:hint="eastAsia"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2303E358">
            <w:pPr>
              <w:rPr>
                <w:rFonts w:hint="eastAsia"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DB59155">
            <w:pPr>
              <w:rPr>
                <w:rFonts w:hint="eastAsia"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511482DA">
            <w:pPr>
              <w:rPr>
                <w:rFonts w:hint="eastAsia"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4A27A97E">
            <w:pPr>
              <w:rPr>
                <w:rFonts w:hint="eastAsia"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14:paraId="784EEA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1C07120">
            <w:pPr>
              <w:rPr>
                <w:rFonts w:hint="eastAsia" w:ascii="宋体" w:hAnsi="宋体"/>
                <w:color w:val="auto"/>
                <w:szCs w:val="21"/>
                <w:highlight w:val="none"/>
              </w:rPr>
            </w:pPr>
            <w:r>
              <w:rPr>
                <w:rFonts w:hint="eastAsia" w:ascii="宋体" w:hAnsi="宋体" w:cs="宋体"/>
                <w:color w:val="auto"/>
                <w:szCs w:val="21"/>
                <w:highlight w:val="none"/>
              </w:rPr>
              <w:t>37</w:t>
            </w:r>
          </w:p>
        </w:tc>
        <w:tc>
          <w:tcPr>
            <w:tcW w:w="981" w:type="dxa"/>
            <w:tcBorders>
              <w:top w:val="single" w:color="auto" w:sz="4" w:space="0"/>
              <w:left w:val="single" w:color="auto" w:sz="4" w:space="0"/>
              <w:bottom w:val="single" w:color="auto" w:sz="4" w:space="0"/>
              <w:right w:val="single" w:color="auto" w:sz="4" w:space="0"/>
            </w:tcBorders>
            <w:vAlign w:val="center"/>
          </w:tcPr>
          <w:p w14:paraId="32CDA7FA">
            <w:pPr>
              <w:jc w:val="center"/>
              <w:rPr>
                <w:rFonts w:hint="eastAsia"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F2C4C8D">
            <w:pPr>
              <w:jc w:val="center"/>
              <w:rPr>
                <w:rFonts w:hint="eastAsia" w:ascii="宋体" w:hAnsi="宋体"/>
                <w:color w:val="auto"/>
                <w:highlight w:val="none"/>
              </w:rPr>
            </w:pPr>
          </w:p>
        </w:tc>
        <w:tc>
          <w:tcPr>
            <w:tcW w:w="5857" w:type="dxa"/>
            <w:tcBorders>
              <w:top w:val="single" w:color="auto" w:sz="4" w:space="0"/>
              <w:left w:val="single" w:color="auto" w:sz="4" w:space="0"/>
              <w:bottom w:val="single" w:color="auto" w:sz="4" w:space="0"/>
              <w:right w:val="double" w:color="auto" w:sz="4" w:space="0"/>
            </w:tcBorders>
            <w:vAlign w:val="center"/>
          </w:tcPr>
          <w:p w14:paraId="61C98C3D">
            <w:pPr>
              <w:pStyle w:val="4"/>
              <w:tabs>
                <w:tab w:val="left" w:pos="7380"/>
              </w:tabs>
              <w:spacing w:after="0" w:line="360" w:lineRule="exact"/>
              <w:ind w:firstLine="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内容：招标人对中标人参与“百千万工程”的具体要求</w:t>
            </w:r>
          </w:p>
          <w:p w14:paraId="349BE469">
            <w:pPr>
              <w:pStyle w:val="4"/>
              <w:tabs>
                <w:tab w:val="left" w:pos="7380"/>
              </w:tabs>
              <w:spacing w:after="0" w:line="360" w:lineRule="exact"/>
              <w:ind w:firstLine="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说明与要求：</w:t>
            </w:r>
          </w:p>
          <w:p w14:paraId="43E1118E">
            <w:pPr>
              <w:spacing w:line="360" w:lineRule="exact"/>
              <w:rPr>
                <w:rFonts w:hint="eastAsia" w:ascii="宋体" w:hAnsi="宋体" w:cs="宋体"/>
                <w:color w:val="auto"/>
                <w:kern w:val="0"/>
                <w:sz w:val="22"/>
                <w:highlight w:val="none"/>
                <w:lang w:val="zh-CN"/>
              </w:rPr>
            </w:pPr>
            <w:r>
              <w:rPr>
                <w:rFonts w:hint="eastAsia" w:ascii="宋体" w:hAnsi="宋体" w:cs="宋体"/>
                <w:color w:val="auto"/>
                <w:kern w:val="0"/>
                <w:sz w:val="22"/>
                <w:highlight w:val="none"/>
                <w:lang w:val="zh-CN"/>
              </w:rPr>
              <w:t>☑</w:t>
            </w:r>
            <w:r>
              <w:rPr>
                <w:rStyle w:val="29"/>
                <w:rFonts w:hint="eastAsia" w:ascii="宋体" w:hAnsi="宋体"/>
                <w:color w:val="auto"/>
                <w:szCs w:val="21"/>
                <w:highlight w:val="none"/>
              </w:rPr>
              <w:t>具体要求在中标后按照投标承诺和招标人的要求执行</w:t>
            </w:r>
            <w:r>
              <w:rPr>
                <w:rFonts w:hint="eastAsia" w:ascii="宋体" w:hAnsi="宋体" w:cs="宋体"/>
                <w:color w:val="auto"/>
                <w:kern w:val="0"/>
                <w:sz w:val="22"/>
                <w:highlight w:val="none"/>
                <w:lang w:val="zh-CN"/>
              </w:rPr>
              <w:t>。</w:t>
            </w:r>
          </w:p>
          <w:p w14:paraId="1DED7A45">
            <w:pPr>
              <w:rPr>
                <w:rFonts w:hint="eastAsia" w:ascii="宋体" w:hAnsi="宋体" w:cs="Courier New"/>
                <w:color w:val="auto"/>
                <w:szCs w:val="21"/>
                <w:highlight w:val="none"/>
              </w:rPr>
            </w:pPr>
            <w:r>
              <w:rPr>
                <w:rFonts w:hint="eastAsia" w:ascii="宋体" w:hAnsi="宋体" w:cs="宋体"/>
                <w:color w:val="auto"/>
                <w:kern w:val="0"/>
                <w:sz w:val="22"/>
                <w:highlight w:val="none"/>
                <w:lang w:val="zh-CN"/>
              </w:rPr>
              <w:t>□具体要求：（由招标人填写）</w:t>
            </w:r>
          </w:p>
        </w:tc>
      </w:tr>
      <w:tr w14:paraId="0E2945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14:paraId="6F0E4921">
            <w:pPr>
              <w:rPr>
                <w:rFonts w:hint="eastAsia" w:ascii="宋体" w:hAnsi="宋体" w:cs="宋体"/>
                <w:color w:val="auto"/>
                <w:szCs w:val="21"/>
                <w:highlight w:val="none"/>
              </w:rPr>
            </w:pPr>
            <w:r>
              <w:rPr>
                <w:rFonts w:hint="eastAsia" w:ascii="宋体" w:hAnsi="宋体" w:cs="宋体"/>
                <w:color w:val="auto"/>
                <w:szCs w:val="21"/>
                <w:highlight w:val="none"/>
              </w:rPr>
              <w:t>38</w:t>
            </w:r>
          </w:p>
        </w:tc>
        <w:tc>
          <w:tcPr>
            <w:tcW w:w="981" w:type="dxa"/>
            <w:tcBorders>
              <w:top w:val="single" w:color="auto" w:sz="4" w:space="0"/>
              <w:left w:val="single" w:color="auto" w:sz="4" w:space="0"/>
              <w:bottom w:val="double" w:color="auto" w:sz="4" w:space="0"/>
              <w:right w:val="single" w:color="auto" w:sz="4" w:space="0"/>
            </w:tcBorders>
            <w:vAlign w:val="center"/>
          </w:tcPr>
          <w:p w14:paraId="165C156B">
            <w:pPr>
              <w:wordWrap w:val="0"/>
              <w:jc w:val="center"/>
              <w:rPr>
                <w:rFonts w:hint="eastAsia" w:ascii="宋体" w:hAnsi="宋体"/>
                <w:color w:val="auto"/>
                <w:highlight w:val="none"/>
              </w:rPr>
            </w:pPr>
            <w:r>
              <w:rPr>
                <w:rFonts w:hint="eastAsia" w:ascii="宋体" w:hAnsi="宋体" w:cs="宋体"/>
                <w:color w:val="auto"/>
                <w:szCs w:val="21"/>
                <w:highlight w:val="none"/>
              </w:rPr>
              <w:t>增加</w:t>
            </w:r>
          </w:p>
        </w:tc>
        <w:tc>
          <w:tcPr>
            <w:tcW w:w="1810" w:type="dxa"/>
            <w:tcBorders>
              <w:top w:val="single" w:color="auto" w:sz="4" w:space="0"/>
              <w:left w:val="single" w:color="auto" w:sz="4" w:space="0"/>
              <w:bottom w:val="double" w:color="auto" w:sz="4" w:space="0"/>
              <w:right w:val="single" w:color="auto" w:sz="4" w:space="0"/>
            </w:tcBorders>
            <w:vAlign w:val="center"/>
          </w:tcPr>
          <w:p w14:paraId="560CA930">
            <w:pPr>
              <w:wordWrap w:val="0"/>
              <w:jc w:val="center"/>
              <w:rPr>
                <w:rFonts w:hint="eastAsia" w:ascii="宋体" w:hAnsi="宋体"/>
                <w:color w:val="auto"/>
                <w:highlight w:val="none"/>
              </w:rPr>
            </w:pPr>
            <w:r>
              <w:rPr>
                <w:rFonts w:hint="eastAsia" w:ascii="宋体" w:hAnsi="宋体" w:cs="宋体"/>
                <w:bCs/>
                <w:color w:val="auto"/>
                <w:highlight w:val="none"/>
              </w:rPr>
              <w:t>其他费用</w:t>
            </w:r>
          </w:p>
        </w:tc>
        <w:tc>
          <w:tcPr>
            <w:tcW w:w="5857" w:type="dxa"/>
            <w:tcBorders>
              <w:top w:val="single" w:color="auto" w:sz="4" w:space="0"/>
              <w:left w:val="single" w:color="auto" w:sz="4" w:space="0"/>
              <w:bottom w:val="double" w:color="auto" w:sz="4" w:space="0"/>
              <w:right w:val="double" w:color="auto" w:sz="4" w:space="0"/>
            </w:tcBorders>
            <w:vAlign w:val="center"/>
          </w:tcPr>
          <w:p w14:paraId="549B439F">
            <w:pPr>
              <w:wordWrap w:val="0"/>
              <w:adjustRightInd w:val="0"/>
              <w:snapToGrid w:val="0"/>
              <w:spacing w:line="36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1、中标人按《广州市发展改革委转发省发展改革委关于规范公共资源交易服务收费及有关问题的通知》（穗发改〔2017〕811号）文件的规定，向广州公共资源交易中心缴纳交易服务费，其费用包含在中标人投标报价中，招标人不另行支付。</w:t>
            </w:r>
          </w:p>
          <w:p w14:paraId="2E1602EE">
            <w:pPr>
              <w:wordWrap w:val="0"/>
              <w:adjustRightInd w:val="0"/>
              <w:snapToGrid w:val="0"/>
              <w:spacing w:line="360" w:lineRule="exact"/>
              <w:rPr>
                <w:rFonts w:hint="eastAsia" w:ascii="宋体" w:hAnsi="宋体" w:cs="宋体"/>
                <w:color w:val="auto"/>
                <w:kern w:val="0"/>
                <w:sz w:val="22"/>
                <w:highlight w:val="none"/>
                <w:lang w:val="zh-CN"/>
              </w:rPr>
            </w:pPr>
            <w:r>
              <w:rPr>
                <w:rFonts w:hint="eastAsia" w:ascii="宋体" w:hAnsi="宋体" w:cs="宋体"/>
                <w:color w:val="auto"/>
                <w:szCs w:val="21"/>
                <w:highlight w:val="none"/>
              </w:rPr>
              <w:t>2、招标代理费由中标人在领取中标通知书之前一次性支付给招标代理机构。招标代理费按照《国家计委关于印发&lt;招标代理服务收费管理暂行办法&gt;的通知》(计价格〔2002〕1980号)收费标准计算，按中标价作为结算基价，计算本项目招标代理费。招标代理费已包含在中标人的投标报价中，</w:t>
            </w:r>
            <w:r>
              <w:rPr>
                <w:rFonts w:hint="eastAsia" w:ascii="宋体" w:hAnsi="宋体" w:cs="宋体"/>
                <w:color w:val="auto"/>
                <w:szCs w:val="21"/>
                <w:highlight w:val="none"/>
                <w:lang w:val="zh-CN"/>
              </w:rPr>
              <w:t>招标人不另行支付。</w:t>
            </w:r>
          </w:p>
        </w:tc>
      </w:tr>
    </w:tbl>
    <w:p w14:paraId="4B00B7E4">
      <w:pPr>
        <w:spacing w:line="480" w:lineRule="auto"/>
        <w:outlineLvl w:val="1"/>
        <w:rPr>
          <w:rStyle w:val="29"/>
          <w:rFonts w:hint="eastAsia" w:ascii="宋体" w:hAnsi="宋体"/>
          <w:b/>
          <w:color w:val="auto"/>
          <w:highlight w:val="none"/>
        </w:rPr>
      </w:pPr>
      <w:r>
        <w:rPr>
          <w:rFonts w:hint="eastAsia" w:ascii="宋体" w:hAnsi="宋体"/>
          <w:strike/>
          <w:dstrike w:val="0"/>
          <w:color w:val="auto"/>
          <w:sz w:val="24"/>
          <w:highlight w:val="none"/>
        </w:rPr>
        <w:t>注：企业</w:t>
      </w:r>
      <w:r>
        <w:rPr>
          <w:rFonts w:hint="eastAsia" w:ascii="宋体" w:hAnsi="宋体" w:cs="宋体"/>
          <w:strike/>
          <w:dstrike w:val="0"/>
          <w:color w:val="auto"/>
          <w:kern w:val="0"/>
          <w:sz w:val="24"/>
          <w:highlight w:val="none"/>
        </w:rPr>
        <w:t>综合诚信评价得分即</w:t>
      </w:r>
      <w:r>
        <w:rPr>
          <w:rFonts w:hint="eastAsia" w:ascii="宋体" w:hAnsi="宋体"/>
          <w:strike/>
          <w:dstrike w:val="0"/>
          <w:color w:val="auto"/>
          <w:sz w:val="24"/>
          <w:highlight w:val="none"/>
        </w:rPr>
        <w:t>企业</w:t>
      </w:r>
      <w:r>
        <w:rPr>
          <w:rFonts w:hint="eastAsia" w:ascii="宋体" w:hAnsi="宋体" w:cs="宋体"/>
          <w:strike/>
          <w:dstrike w:val="0"/>
          <w:color w:val="auto"/>
          <w:kern w:val="0"/>
          <w:sz w:val="24"/>
          <w:highlight w:val="none"/>
        </w:rPr>
        <w:t>综合诚信评价</w:t>
      </w:r>
      <w:r>
        <w:rPr>
          <w:rFonts w:ascii="宋体" w:hAnsi="宋体" w:cs="宋体"/>
          <w:strike/>
          <w:dstrike w:val="0"/>
          <w:color w:val="auto"/>
          <w:kern w:val="0"/>
          <w:sz w:val="24"/>
          <w:highlight w:val="none"/>
        </w:rPr>
        <w:t>60</w:t>
      </w:r>
      <w:r>
        <w:rPr>
          <w:rFonts w:hint="eastAsia" w:ascii="宋体" w:hAnsi="宋体" w:cs="宋体"/>
          <w:strike/>
          <w:dstrike w:val="0"/>
          <w:color w:val="auto"/>
          <w:kern w:val="0"/>
          <w:sz w:val="24"/>
          <w:highlight w:val="none"/>
        </w:rPr>
        <w:t>日诚信分，以下同。</w:t>
      </w:r>
      <w:r>
        <w:rPr>
          <w:color w:val="auto"/>
          <w:highlight w:val="none"/>
        </w:rPr>
        <w:br w:type="page"/>
      </w:r>
      <w:bookmarkStart w:id="4" w:name="_Toc185324316"/>
      <w:r>
        <w:rPr>
          <w:rFonts w:hint="eastAsia" w:ascii="Arial" w:hAnsi="Arial" w:eastAsia="宋体" w:cs="Times New Roman"/>
          <w:b/>
          <w:color w:val="auto"/>
          <w:kern w:val="2"/>
          <w:sz w:val="24"/>
          <w:szCs w:val="24"/>
          <w:highlight w:val="none"/>
          <w:lang w:val="en-US" w:eastAsia="zh-CN" w:bidi="ar-SA"/>
        </w:rPr>
        <w:t>二、投标须知修改表</w:t>
      </w:r>
      <w:bookmarkEnd w:id="4"/>
    </w:p>
    <w:p w14:paraId="218FD907">
      <w:pPr>
        <w:pStyle w:val="32"/>
        <w:spacing w:line="360" w:lineRule="auto"/>
        <w:rPr>
          <w:rStyle w:val="29"/>
          <w:rFonts w:hint="eastAsia" w:ascii="宋体" w:hAnsi="宋体"/>
          <w:b/>
          <w:color w:val="auto"/>
          <w:sz w:val="21"/>
          <w:szCs w:val="21"/>
          <w:highlight w:val="none"/>
        </w:rPr>
      </w:pPr>
      <w:r>
        <w:rPr>
          <w:rStyle w:val="29"/>
          <w:rFonts w:ascii="宋体" w:hAnsi="宋体"/>
          <w:b/>
          <w:color w:val="auto"/>
          <w:sz w:val="21"/>
          <w:szCs w:val="21"/>
          <w:highlight w:val="none"/>
        </w:rPr>
        <w:t>声明：</w:t>
      </w:r>
      <w:r>
        <w:rPr>
          <w:rStyle w:val="29"/>
          <w:rFonts w:hint="eastAsia" w:ascii="宋体" w:hAnsi="宋体"/>
          <w:b/>
          <w:color w:val="auto"/>
          <w:sz w:val="21"/>
          <w:szCs w:val="21"/>
          <w:highlight w:val="none"/>
        </w:rPr>
        <w:t>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4E79B3B8">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条款号：2.5             修改类型：增加</w:t>
      </w:r>
    </w:p>
    <w:p w14:paraId="56B0E5A5">
      <w:pPr>
        <w:pBdr>
          <w:bottom w:val="single" w:color="auto" w:sz="6"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2.5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6461ADFA">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条款号：5.1             修改类型：修改</w:t>
      </w:r>
    </w:p>
    <w:p w14:paraId="5889A93B">
      <w:pPr>
        <w:spacing w:line="360" w:lineRule="auto"/>
        <w:ind w:firstLine="422" w:firstLineChars="200"/>
        <w:rPr>
          <w:rFonts w:hint="eastAsia" w:ascii="宋体" w:hAnsi="宋体" w:cs="宋体"/>
          <w:bCs/>
          <w:color w:val="auto"/>
          <w:szCs w:val="21"/>
          <w:highlight w:val="none"/>
          <w:u w:val="single"/>
        </w:rPr>
      </w:pPr>
      <w:r>
        <w:rPr>
          <w:rFonts w:hint="eastAsia" w:ascii="宋体" w:hAnsi="宋体" w:cs="宋体"/>
          <w:b/>
          <w:color w:val="auto"/>
          <w:szCs w:val="21"/>
          <w:highlight w:val="none"/>
        </w:rPr>
        <w:t>原文：</w:t>
      </w:r>
      <w:r>
        <w:rPr>
          <w:rFonts w:hint="eastAsia" w:ascii="宋体" w:hAnsi="宋体" w:cs="宋体"/>
          <w:bCs/>
          <w:color w:val="auto"/>
          <w:szCs w:val="21"/>
          <w:highlight w:val="none"/>
        </w:rPr>
        <w:t>5.1 投标人应按本投标须知前附表第15项所述时间和要求对工程现场及周围环境进行踏勘，</w:t>
      </w:r>
      <w:r>
        <w:rPr>
          <w:rFonts w:hint="eastAsia" w:ascii="宋体" w:hAnsi="宋体" w:cs="宋体"/>
          <w:color w:val="auto"/>
          <w:szCs w:val="21"/>
          <w:highlight w:val="none"/>
        </w:rPr>
        <w:t>投标人应充分重视和仔细地进行这种考察，</w:t>
      </w:r>
      <w:r>
        <w:rPr>
          <w:rFonts w:hint="eastAsia" w:ascii="宋体" w:hAnsi="宋体" w:cs="宋体"/>
          <w:bCs/>
          <w:color w:val="auto"/>
          <w:szCs w:val="21"/>
          <w:highlight w:val="none"/>
        </w:rPr>
        <w:t>以便投标人获取</w:t>
      </w:r>
      <w:r>
        <w:rPr>
          <w:rFonts w:hint="eastAsia" w:ascii="宋体" w:hAnsi="宋体" w:cs="宋体"/>
          <w:color w:val="auto"/>
          <w:szCs w:val="21"/>
          <w:highlight w:val="none"/>
        </w:rPr>
        <w:t>那些须投标人自己负责的</w:t>
      </w:r>
      <w:r>
        <w:rPr>
          <w:rFonts w:hint="eastAsia" w:ascii="宋体" w:hAnsi="宋体" w:cs="宋体"/>
          <w:bCs/>
          <w:color w:val="auto"/>
          <w:szCs w:val="21"/>
          <w:highlight w:val="none"/>
        </w:rPr>
        <w:t>有关编制投标文件和签署合同所涉及现场所有的资料。</w:t>
      </w:r>
      <w:r>
        <w:rPr>
          <w:rFonts w:hint="eastAsia" w:ascii="宋体" w:hAnsi="宋体" w:cs="宋体"/>
          <w:color w:val="auto"/>
          <w:szCs w:val="21"/>
          <w:highlight w:val="none"/>
        </w:rPr>
        <w:t>一旦中标，这种考察即被认为其结果已在中标文件中得到充分反映。考察现场的费用由投标人自己承担。</w:t>
      </w:r>
    </w:p>
    <w:p w14:paraId="1F6C2F2E">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olor w:val="auto"/>
          <w:szCs w:val="21"/>
          <w:highlight w:val="none"/>
          <w:u w:val="single"/>
        </w:rPr>
        <w:t>投标人不进行踏勘的，视为已熟知现场条件，自行承担相关风险</w:t>
      </w:r>
      <w:r>
        <w:rPr>
          <w:rFonts w:hint="eastAsia" w:ascii="宋体" w:hAnsi="宋体" w:cs="宋体"/>
          <w:color w:val="auto"/>
          <w:szCs w:val="21"/>
          <w:highlight w:val="none"/>
        </w:rPr>
        <w:t>。一旦中标，这种考察即被认为其结果已在中标文件中得到充分反映。</w:t>
      </w:r>
      <w:r>
        <w:rPr>
          <w:rFonts w:hint="eastAsia" w:ascii="宋体" w:hAnsi="宋体" w:cs="宋体"/>
          <w:color w:val="auto"/>
          <w:szCs w:val="21"/>
          <w:highlight w:val="none"/>
          <w:u w:val="single"/>
        </w:rPr>
        <w:t>招标人不受理因投标人缺乏对现场条件的了解或掌握而提出的任何索赔。</w:t>
      </w:r>
      <w:r>
        <w:rPr>
          <w:rFonts w:hint="eastAsia" w:ascii="宋体" w:hAnsi="宋体" w:cs="宋体"/>
          <w:color w:val="auto"/>
          <w:szCs w:val="21"/>
          <w:highlight w:val="none"/>
        </w:rPr>
        <w:t>考察现场的费用由投标人自己承担。</w:t>
      </w:r>
    </w:p>
    <w:p w14:paraId="11A429BF">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条款号：8.1          修改类型：修改</w:t>
      </w:r>
    </w:p>
    <w:p w14:paraId="4BF1B26C">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原文</w:t>
      </w:r>
      <w:r>
        <w:rPr>
          <w:rStyle w:val="29"/>
          <w:rFonts w:hint="eastAsia" w:ascii="宋体" w:hAnsi="宋体"/>
          <w:b/>
          <w:color w:val="auto"/>
          <w:szCs w:val="21"/>
          <w:highlight w:val="none"/>
        </w:rPr>
        <w:t>：</w:t>
      </w:r>
      <w:r>
        <w:rPr>
          <w:rStyle w:val="29"/>
          <w:rFonts w:ascii="宋体" w:hAnsi="宋体"/>
          <w:color w:val="auto"/>
          <w:szCs w:val="21"/>
          <w:highlight w:val="none"/>
        </w:rPr>
        <w:t>8.1投标人若对招标文件（包括招标图纸）中有疑问，可以书面形式通过</w:t>
      </w:r>
      <w:r>
        <w:rPr>
          <w:rStyle w:val="29"/>
          <w:rFonts w:ascii="宋体" w:hAnsi="宋体"/>
          <w:color w:val="auto"/>
          <w:szCs w:val="21"/>
          <w:highlight w:val="none"/>
          <w:u w:val="single"/>
        </w:rPr>
        <w:t xml:space="preserve">        </w:t>
      </w:r>
      <w:r>
        <w:rPr>
          <w:rStyle w:val="29"/>
          <w:rFonts w:ascii="宋体" w:hAnsi="宋体"/>
          <w:color w:val="auto"/>
          <w:szCs w:val="21"/>
          <w:highlight w:val="none"/>
        </w:rPr>
        <w:t>交易平台提交给招标人或招标代理人，提交形式见本须知前附表第16项。</w:t>
      </w:r>
    </w:p>
    <w:p w14:paraId="15CDAB23">
      <w:pPr>
        <w:pBdr>
          <w:bottom w:val="single" w:color="000000" w:sz="6" w:space="1"/>
        </w:pBdr>
        <w:spacing w:line="360" w:lineRule="auto"/>
        <w:ind w:firstLine="422" w:firstLineChars="200"/>
        <w:rPr>
          <w:rStyle w:val="29"/>
          <w:rFonts w:hint="eastAsia" w:ascii="宋体" w:hAnsi="宋体"/>
          <w:color w:val="auto"/>
          <w:szCs w:val="21"/>
          <w:highlight w:val="none"/>
        </w:rPr>
      </w:pPr>
      <w:r>
        <w:rPr>
          <w:rStyle w:val="29"/>
          <w:rFonts w:ascii="宋体" w:hAnsi="宋体"/>
          <w:b/>
          <w:color w:val="auto"/>
          <w:szCs w:val="21"/>
          <w:highlight w:val="none"/>
        </w:rPr>
        <w:t>现文：</w:t>
      </w:r>
      <w:r>
        <w:rPr>
          <w:rStyle w:val="29"/>
          <w:rFonts w:ascii="宋体" w:hAnsi="宋体"/>
          <w:color w:val="auto"/>
          <w:szCs w:val="21"/>
          <w:highlight w:val="none"/>
        </w:rPr>
        <w:t>8.1投标人若对招标文件</w:t>
      </w:r>
      <w:r>
        <w:rPr>
          <w:rStyle w:val="29"/>
          <w:rFonts w:ascii="宋体" w:hAnsi="宋体"/>
          <w:color w:val="auto"/>
          <w:szCs w:val="21"/>
          <w:highlight w:val="none"/>
          <w:u w:val="single"/>
        </w:rPr>
        <w:t>（包括招标图纸、</w:t>
      </w:r>
      <w:r>
        <w:rPr>
          <w:rStyle w:val="29"/>
          <w:rFonts w:hint="eastAsia" w:ascii="宋体" w:hAnsi="宋体"/>
          <w:color w:val="auto"/>
          <w:szCs w:val="21"/>
          <w:highlight w:val="none"/>
          <w:u w:val="single"/>
        </w:rPr>
        <w:t>招标工程量</w:t>
      </w:r>
      <w:r>
        <w:rPr>
          <w:rStyle w:val="29"/>
          <w:rFonts w:ascii="宋体" w:hAnsi="宋体"/>
          <w:color w:val="auto"/>
          <w:szCs w:val="21"/>
          <w:highlight w:val="none"/>
          <w:u w:val="single"/>
        </w:rPr>
        <w:t>清单、合同条款等）</w:t>
      </w:r>
      <w:r>
        <w:rPr>
          <w:rStyle w:val="29"/>
          <w:rFonts w:ascii="宋体" w:hAnsi="宋体"/>
          <w:color w:val="auto"/>
          <w:szCs w:val="21"/>
          <w:highlight w:val="none"/>
        </w:rPr>
        <w:t>中有疑问，可以书面形式通过</w:t>
      </w:r>
      <w:r>
        <w:rPr>
          <w:rStyle w:val="29"/>
          <w:rFonts w:ascii="宋体" w:hAnsi="宋体"/>
          <w:color w:val="auto"/>
          <w:szCs w:val="21"/>
          <w:highlight w:val="none"/>
          <w:u w:val="single"/>
        </w:rPr>
        <w:t>广州公共资源交易中心</w:t>
      </w:r>
      <w:r>
        <w:rPr>
          <w:rStyle w:val="29"/>
          <w:rFonts w:ascii="宋体" w:hAnsi="宋体"/>
          <w:color w:val="auto"/>
          <w:szCs w:val="21"/>
          <w:highlight w:val="none"/>
        </w:rPr>
        <w:t>交易平台提交给招标人或招标代理人，提交形式见本须知前附表第16项。</w:t>
      </w:r>
    </w:p>
    <w:p w14:paraId="2C9FEBD9">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条款号：8.2          修改类型：修改</w:t>
      </w:r>
    </w:p>
    <w:p w14:paraId="3D57D0E1">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原文：</w:t>
      </w:r>
      <w:r>
        <w:rPr>
          <w:rStyle w:val="29"/>
          <w:rFonts w:ascii="宋体" w:hAnsi="宋体"/>
          <w:color w:val="auto"/>
          <w:szCs w:val="21"/>
          <w:highlight w:val="none"/>
        </w:rPr>
        <w:t>8.2招标答疑会会议纪要将在提交投标文件截止时间15日前在</w:t>
      </w:r>
      <w:r>
        <w:rPr>
          <w:rStyle w:val="29"/>
          <w:rFonts w:ascii="宋体" w:hAnsi="宋体"/>
          <w:color w:val="auto"/>
          <w:szCs w:val="21"/>
          <w:highlight w:val="none"/>
          <w:u w:val="single"/>
        </w:rPr>
        <w:t xml:space="preserve">   </w:t>
      </w:r>
      <w:r>
        <w:rPr>
          <w:rStyle w:val="29"/>
          <w:rFonts w:ascii="宋体" w:hAnsi="宋体"/>
          <w:color w:val="auto"/>
          <w:szCs w:val="21"/>
          <w:highlight w:val="none"/>
        </w:rPr>
        <w:t>交易平台 “项目答疑纪要”专区公开发布。答疑纪要一经在</w:t>
      </w:r>
      <w:r>
        <w:rPr>
          <w:rStyle w:val="29"/>
          <w:rFonts w:ascii="宋体" w:hAnsi="宋体"/>
          <w:color w:val="auto"/>
          <w:szCs w:val="21"/>
          <w:highlight w:val="none"/>
          <w:u w:val="single"/>
        </w:rPr>
        <w:t xml:space="preserve">   </w:t>
      </w:r>
      <w:r>
        <w:rPr>
          <w:rStyle w:val="29"/>
          <w:rFonts w:ascii="宋体" w:hAnsi="宋体"/>
          <w:color w:val="auto"/>
          <w:szCs w:val="21"/>
          <w:highlight w:val="none"/>
        </w:rPr>
        <w:t>交易平台发布，视作已发放给所有投标人。</w:t>
      </w:r>
    </w:p>
    <w:p w14:paraId="29850A33">
      <w:pPr>
        <w:pBdr>
          <w:bottom w:val="single" w:color="000000" w:sz="6" w:space="1"/>
        </w:pBdr>
        <w:spacing w:line="360" w:lineRule="auto"/>
        <w:ind w:firstLine="422" w:firstLineChars="200"/>
        <w:rPr>
          <w:rStyle w:val="29"/>
          <w:rFonts w:hint="eastAsia" w:ascii="宋体" w:hAnsi="宋体"/>
          <w:color w:val="auto"/>
          <w:szCs w:val="21"/>
          <w:highlight w:val="none"/>
        </w:rPr>
      </w:pPr>
      <w:r>
        <w:rPr>
          <w:rStyle w:val="29"/>
          <w:rFonts w:ascii="宋体" w:hAnsi="宋体"/>
          <w:b/>
          <w:color w:val="auto"/>
          <w:szCs w:val="21"/>
          <w:highlight w:val="none"/>
        </w:rPr>
        <w:t>现文：</w:t>
      </w:r>
      <w:r>
        <w:rPr>
          <w:rStyle w:val="29"/>
          <w:rFonts w:ascii="宋体" w:hAnsi="宋体"/>
          <w:color w:val="auto"/>
          <w:szCs w:val="21"/>
          <w:highlight w:val="none"/>
        </w:rPr>
        <w:t>8.2招标答疑会会议纪要将在提交投标文件截止时间15日前在</w:t>
      </w:r>
      <w:r>
        <w:rPr>
          <w:rStyle w:val="29"/>
          <w:rFonts w:hint="eastAsia" w:ascii="宋体" w:hAnsi="宋体"/>
          <w:color w:val="auto"/>
          <w:szCs w:val="21"/>
          <w:highlight w:val="none"/>
          <w:u w:val="single"/>
        </w:rPr>
        <w:t>广州交易集团有限公司（广州公共资源交易中心）</w:t>
      </w:r>
      <w:r>
        <w:rPr>
          <w:rStyle w:val="29"/>
          <w:rFonts w:ascii="宋体" w:hAnsi="宋体"/>
          <w:color w:val="auto"/>
          <w:szCs w:val="21"/>
          <w:highlight w:val="none"/>
        </w:rPr>
        <w:t>交易平台“项目答疑纪要”专区公开发布。答疑纪要一经在</w:t>
      </w:r>
      <w:r>
        <w:rPr>
          <w:rStyle w:val="29"/>
          <w:rFonts w:hint="eastAsia" w:ascii="宋体" w:hAnsi="宋体"/>
          <w:color w:val="auto"/>
          <w:szCs w:val="21"/>
          <w:highlight w:val="none"/>
          <w:u w:val="single"/>
        </w:rPr>
        <w:t>广州交易集团有限公司（广州公共资源交易中心）</w:t>
      </w:r>
      <w:r>
        <w:rPr>
          <w:rStyle w:val="29"/>
          <w:rFonts w:ascii="宋体" w:hAnsi="宋体"/>
          <w:color w:val="auto"/>
          <w:szCs w:val="21"/>
          <w:highlight w:val="none"/>
        </w:rPr>
        <w:t>交易平台发布，视作已发放给所有投标人。</w:t>
      </w:r>
    </w:p>
    <w:p w14:paraId="127D959C">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条款号：8.3                    修改类型：修改</w:t>
      </w:r>
    </w:p>
    <w:p w14:paraId="412344D9">
      <w:pPr>
        <w:pBdr>
          <w:bottom w:val="single" w:color="auto" w:sz="6" w:space="1"/>
        </w:pBdr>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8.3答疑会会议纪要为招标文件的一部分。</w:t>
      </w:r>
    </w:p>
    <w:p w14:paraId="2F2042DB">
      <w:pPr>
        <w:pBdr>
          <w:bottom w:val="single" w:color="auto" w:sz="6" w:space="1"/>
        </w:pBdr>
        <w:spacing w:line="360" w:lineRule="auto"/>
        <w:ind w:firstLine="472" w:firstLineChars="224"/>
        <w:rPr>
          <w:rFonts w:hint="eastAsia"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8.3</w:t>
      </w:r>
      <w:r>
        <w:rPr>
          <w:rFonts w:hint="eastAsia" w:ascii="宋体" w:hAnsi="宋体" w:cs="宋体"/>
          <w:bCs/>
          <w:color w:val="auto"/>
          <w:szCs w:val="21"/>
          <w:highlight w:val="none"/>
          <w:u w:val="single"/>
        </w:rPr>
        <w:t>招标答疑纪要</w:t>
      </w:r>
      <w:r>
        <w:rPr>
          <w:rFonts w:hint="eastAsia" w:ascii="宋体" w:hAnsi="宋体" w:cs="宋体"/>
          <w:bCs/>
          <w:color w:val="auto"/>
          <w:szCs w:val="21"/>
          <w:highlight w:val="none"/>
        </w:rPr>
        <w:t>为招标文件的一部分。</w:t>
      </w:r>
    </w:p>
    <w:p w14:paraId="040C5415">
      <w:pPr>
        <w:pStyle w:val="4"/>
        <w:spacing w:line="46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条款号：8.4</w:t>
      </w:r>
      <w:r>
        <w:rPr>
          <w:rFonts w:hint="eastAsia" w:ascii="宋体" w:hAnsi="宋体" w:cs="宋体"/>
          <w:color w:val="auto"/>
          <w:szCs w:val="21"/>
          <w:highlight w:val="none"/>
        </w:rPr>
        <w:t xml:space="preserve">                  </w:t>
      </w:r>
      <w:r>
        <w:rPr>
          <w:rFonts w:hint="eastAsia" w:ascii="宋体" w:hAnsi="宋体" w:cs="宋体"/>
          <w:b/>
          <w:color w:val="auto"/>
          <w:szCs w:val="21"/>
          <w:highlight w:val="none"/>
        </w:rPr>
        <w:t>修改类型：修改</w:t>
      </w:r>
    </w:p>
    <w:p w14:paraId="3A7E62F5">
      <w:pPr>
        <w:pStyle w:val="4"/>
        <w:spacing w:line="460" w:lineRule="exact"/>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8.4若招标答疑会会议纪要与招标文件有矛盾，以答疑会议纪要最后发出的书面形式的文件为准。</w:t>
      </w:r>
    </w:p>
    <w:p w14:paraId="5CF4C3F7">
      <w:pPr>
        <w:pBdr>
          <w:bottom w:val="single" w:color="auto" w:sz="6" w:space="1"/>
        </w:pBdr>
        <w:spacing w:line="460" w:lineRule="exact"/>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8.4若</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与招标文件有矛盾时，以</w:t>
      </w:r>
      <w:r>
        <w:rPr>
          <w:rFonts w:hint="eastAsia" w:ascii="宋体" w:hAnsi="宋体" w:cs="宋体"/>
          <w:color w:val="auto"/>
          <w:szCs w:val="21"/>
          <w:highlight w:val="none"/>
          <w:u w:val="single"/>
        </w:rPr>
        <w:t>广州交易集团有限公司（广州公共资源交易中心）交易平台</w:t>
      </w:r>
      <w:r>
        <w:rPr>
          <w:rFonts w:hint="eastAsia" w:ascii="宋体" w:hAnsi="宋体" w:cs="宋体"/>
          <w:color w:val="auto"/>
          <w:szCs w:val="21"/>
          <w:highlight w:val="none"/>
        </w:rPr>
        <w:t>最后发布的答疑纪要为准。</w:t>
      </w:r>
    </w:p>
    <w:p w14:paraId="07D9E1B4">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条款号：9.2          修改类型：修改</w:t>
      </w:r>
    </w:p>
    <w:p w14:paraId="004A7525">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原文：</w:t>
      </w:r>
      <w:r>
        <w:rPr>
          <w:rStyle w:val="29"/>
          <w:rFonts w:ascii="宋体" w:hAnsi="宋体"/>
          <w:color w:val="auto"/>
          <w:szCs w:val="21"/>
          <w:highlight w:val="none"/>
        </w:rPr>
        <w:t>9.2招标文件的澄清或修改将在</w:t>
      </w:r>
      <w:r>
        <w:rPr>
          <w:rStyle w:val="29"/>
          <w:rFonts w:ascii="宋体" w:hAnsi="宋体"/>
          <w:color w:val="auto"/>
          <w:szCs w:val="21"/>
          <w:highlight w:val="none"/>
          <w:u w:val="single"/>
        </w:rPr>
        <w:t xml:space="preserve">        </w:t>
      </w:r>
      <w:r>
        <w:rPr>
          <w:rStyle w:val="29"/>
          <w:rFonts w:ascii="宋体" w:hAnsi="宋体"/>
          <w:color w:val="auto"/>
          <w:szCs w:val="21"/>
          <w:highlight w:val="none"/>
        </w:rPr>
        <w:t>交易平台“项目答疑纪要”专区公开发布。答疑纪要一经在</w:t>
      </w:r>
      <w:r>
        <w:rPr>
          <w:rStyle w:val="29"/>
          <w:rFonts w:ascii="宋体" w:hAnsi="宋体"/>
          <w:color w:val="auto"/>
          <w:szCs w:val="21"/>
          <w:highlight w:val="none"/>
          <w:u w:val="single"/>
        </w:rPr>
        <w:t xml:space="preserve">        </w:t>
      </w:r>
      <w:r>
        <w:rPr>
          <w:rStyle w:val="29"/>
          <w:rFonts w:ascii="宋体" w:hAnsi="宋体"/>
          <w:color w:val="auto"/>
          <w:szCs w:val="21"/>
          <w:highlight w:val="none"/>
        </w:rPr>
        <w:t>交易平台发布，视作已发放给所有投标人，以</w:t>
      </w:r>
      <w:r>
        <w:rPr>
          <w:rStyle w:val="29"/>
          <w:rFonts w:ascii="宋体" w:hAnsi="宋体"/>
          <w:color w:val="auto"/>
          <w:szCs w:val="21"/>
          <w:highlight w:val="none"/>
          <w:u w:val="single"/>
        </w:rPr>
        <w:t xml:space="preserve">        </w:t>
      </w:r>
      <w:r>
        <w:rPr>
          <w:rStyle w:val="29"/>
          <w:rFonts w:ascii="宋体" w:hAnsi="宋体"/>
          <w:color w:val="auto"/>
          <w:szCs w:val="21"/>
          <w:highlight w:val="none"/>
        </w:rPr>
        <w:t>交易平台上网发布时间作为送达时间。</w:t>
      </w:r>
    </w:p>
    <w:p w14:paraId="42B4610E">
      <w:pPr>
        <w:pBdr>
          <w:bottom w:val="single" w:color="000000" w:sz="6" w:space="1"/>
        </w:pBdr>
        <w:spacing w:line="360" w:lineRule="auto"/>
        <w:ind w:firstLine="422" w:firstLineChars="200"/>
        <w:rPr>
          <w:rStyle w:val="29"/>
          <w:rFonts w:hint="eastAsia" w:ascii="宋体" w:hAnsi="宋体"/>
          <w:color w:val="auto"/>
          <w:szCs w:val="21"/>
          <w:highlight w:val="none"/>
        </w:rPr>
      </w:pPr>
      <w:r>
        <w:rPr>
          <w:rStyle w:val="29"/>
          <w:rFonts w:ascii="宋体" w:hAnsi="宋体"/>
          <w:b/>
          <w:color w:val="auto"/>
          <w:szCs w:val="21"/>
          <w:highlight w:val="none"/>
        </w:rPr>
        <w:t>现文：</w:t>
      </w:r>
      <w:r>
        <w:rPr>
          <w:rStyle w:val="29"/>
          <w:rFonts w:ascii="宋体" w:hAnsi="宋体"/>
          <w:color w:val="auto"/>
          <w:szCs w:val="21"/>
          <w:highlight w:val="none"/>
        </w:rPr>
        <w:t>9.2招标文件的澄清或修改将在</w:t>
      </w:r>
      <w:r>
        <w:rPr>
          <w:rStyle w:val="29"/>
          <w:rFonts w:hint="eastAsia" w:ascii="宋体" w:hAnsi="宋体"/>
          <w:color w:val="auto"/>
          <w:szCs w:val="21"/>
          <w:highlight w:val="none"/>
          <w:u w:val="single"/>
        </w:rPr>
        <w:t>广州交易集团有限公司（广州公共资源交易中心）</w:t>
      </w:r>
      <w:r>
        <w:rPr>
          <w:rStyle w:val="29"/>
          <w:rFonts w:ascii="宋体" w:hAnsi="宋体"/>
          <w:color w:val="auto"/>
          <w:szCs w:val="21"/>
          <w:highlight w:val="none"/>
        </w:rPr>
        <w:t>交易平台“项目答疑纪要”专区公开发布。答疑纪要一经在</w:t>
      </w:r>
      <w:r>
        <w:rPr>
          <w:rStyle w:val="29"/>
          <w:rFonts w:hint="eastAsia" w:ascii="宋体" w:hAnsi="宋体"/>
          <w:color w:val="auto"/>
          <w:szCs w:val="21"/>
          <w:highlight w:val="none"/>
          <w:u w:val="single"/>
        </w:rPr>
        <w:t>广州交易集团有限公司（广州公共资源交易中心）</w:t>
      </w:r>
      <w:r>
        <w:rPr>
          <w:rStyle w:val="29"/>
          <w:rFonts w:ascii="宋体" w:hAnsi="宋体"/>
          <w:color w:val="auto"/>
          <w:szCs w:val="21"/>
          <w:highlight w:val="none"/>
        </w:rPr>
        <w:t>交易平台发布，视作已发放给所有投标人，以</w:t>
      </w:r>
      <w:r>
        <w:rPr>
          <w:rStyle w:val="29"/>
          <w:rFonts w:hint="eastAsia" w:ascii="宋体" w:hAnsi="宋体"/>
          <w:color w:val="auto"/>
          <w:szCs w:val="21"/>
          <w:highlight w:val="none"/>
          <w:u w:val="single"/>
        </w:rPr>
        <w:t>广州交易集团有限公司（广州公共资源交易中心）</w:t>
      </w:r>
      <w:r>
        <w:rPr>
          <w:rStyle w:val="29"/>
          <w:rFonts w:ascii="宋体" w:hAnsi="宋体"/>
          <w:color w:val="auto"/>
          <w:szCs w:val="21"/>
          <w:highlight w:val="none"/>
        </w:rPr>
        <w:t>交易平台上网发布时间作为送达时间。</w:t>
      </w:r>
    </w:p>
    <w:p w14:paraId="66F4707B">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条款号：9.4          修改类型：修改</w:t>
      </w:r>
    </w:p>
    <w:p w14:paraId="18F38F2A">
      <w:pPr>
        <w:spacing w:line="360" w:lineRule="auto"/>
        <w:ind w:firstLine="422" w:firstLineChars="200"/>
        <w:rPr>
          <w:rStyle w:val="29"/>
          <w:rFonts w:hint="eastAsia" w:ascii="宋体" w:hAnsi="宋体"/>
          <w:color w:val="auto"/>
          <w:szCs w:val="21"/>
          <w:highlight w:val="none"/>
        </w:rPr>
      </w:pPr>
      <w:r>
        <w:rPr>
          <w:rStyle w:val="29"/>
          <w:rFonts w:ascii="宋体" w:hAnsi="宋体"/>
          <w:b/>
          <w:color w:val="auto"/>
          <w:szCs w:val="21"/>
          <w:highlight w:val="none"/>
        </w:rPr>
        <w:t>原文：</w:t>
      </w:r>
      <w:r>
        <w:rPr>
          <w:rStyle w:val="29"/>
          <w:rFonts w:ascii="宋体" w:hAnsi="宋体"/>
          <w:color w:val="auto"/>
          <w:szCs w:val="21"/>
          <w:highlight w:val="none"/>
        </w:rPr>
        <w:t>9.4招标文件的澄清或修改均以书面形式明确的内容为准。当招标文件的澄清、修改、补充等在同一内容的表述不一致时，以最后发出的书面形式的文件为准。</w:t>
      </w:r>
    </w:p>
    <w:p w14:paraId="410F7125">
      <w:pPr>
        <w:pBdr>
          <w:bottom w:val="single" w:color="000000" w:sz="6" w:space="1"/>
        </w:pBdr>
        <w:spacing w:line="360" w:lineRule="auto"/>
        <w:ind w:firstLine="422" w:firstLineChars="200"/>
        <w:rPr>
          <w:rStyle w:val="29"/>
          <w:rFonts w:hint="eastAsia" w:ascii="宋体" w:hAnsi="宋体"/>
          <w:color w:val="auto"/>
          <w:szCs w:val="21"/>
          <w:highlight w:val="none"/>
        </w:rPr>
      </w:pPr>
      <w:r>
        <w:rPr>
          <w:rStyle w:val="29"/>
          <w:rFonts w:ascii="宋体" w:hAnsi="宋体"/>
          <w:b/>
          <w:bCs/>
          <w:color w:val="auto"/>
          <w:szCs w:val="21"/>
          <w:highlight w:val="none"/>
        </w:rPr>
        <w:t>现文：</w:t>
      </w:r>
      <w:r>
        <w:rPr>
          <w:rStyle w:val="29"/>
          <w:rFonts w:ascii="宋体" w:hAnsi="宋体"/>
          <w:color w:val="auto"/>
          <w:szCs w:val="21"/>
          <w:highlight w:val="none"/>
        </w:rPr>
        <w:t>9.4</w:t>
      </w:r>
      <w:r>
        <w:rPr>
          <w:rStyle w:val="29"/>
          <w:rFonts w:ascii="宋体" w:hAnsi="宋体"/>
          <w:color w:val="auto"/>
          <w:szCs w:val="21"/>
          <w:highlight w:val="none"/>
          <w:u w:val="single"/>
        </w:rPr>
        <w:t>招标文件的澄清或修改将在</w:t>
      </w:r>
      <w:r>
        <w:rPr>
          <w:rStyle w:val="29"/>
          <w:rFonts w:hint="eastAsia" w:ascii="宋体" w:hAnsi="宋体"/>
          <w:color w:val="auto"/>
          <w:szCs w:val="21"/>
          <w:highlight w:val="none"/>
          <w:u w:val="single"/>
        </w:rPr>
        <w:t>广州交易集团有限公司（广州公共资源交易中心）</w:t>
      </w:r>
      <w:r>
        <w:rPr>
          <w:rStyle w:val="29"/>
          <w:rFonts w:ascii="宋体" w:hAnsi="宋体"/>
          <w:color w:val="auto"/>
          <w:szCs w:val="21"/>
          <w:highlight w:val="none"/>
          <w:u w:val="single"/>
        </w:rPr>
        <w:t>交易平台“项目答疑纪要”专区公开发布。</w:t>
      </w:r>
      <w:r>
        <w:rPr>
          <w:rStyle w:val="29"/>
          <w:rFonts w:ascii="宋体" w:hAnsi="宋体"/>
          <w:color w:val="auto"/>
          <w:szCs w:val="21"/>
          <w:highlight w:val="none"/>
        </w:rPr>
        <w:t>当招标文件的澄清、修改、补充等在同一内容的表述不一致时，以最后发出的文件为准。</w:t>
      </w:r>
    </w:p>
    <w:p w14:paraId="4F589DB0">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条款号：11.2          修改类型：修改</w:t>
      </w:r>
    </w:p>
    <w:p w14:paraId="26B876F0">
      <w:pPr>
        <w:spacing w:line="360" w:lineRule="auto"/>
        <w:ind w:firstLine="422" w:firstLineChars="200"/>
        <w:rPr>
          <w:rStyle w:val="29"/>
          <w:rFonts w:hint="eastAsia" w:ascii="宋体" w:hAnsi="宋体"/>
          <w:bCs/>
          <w:color w:val="auto"/>
          <w:szCs w:val="21"/>
          <w:highlight w:val="none"/>
        </w:rPr>
      </w:pPr>
      <w:r>
        <w:rPr>
          <w:rStyle w:val="29"/>
          <w:rFonts w:ascii="宋体" w:hAnsi="宋体"/>
          <w:b/>
          <w:color w:val="auto"/>
          <w:szCs w:val="21"/>
          <w:highlight w:val="none"/>
        </w:rPr>
        <w:t>原文：</w:t>
      </w:r>
      <w:r>
        <w:rPr>
          <w:rStyle w:val="29"/>
          <w:rFonts w:ascii="宋体" w:hAnsi="宋体"/>
          <w:bCs/>
          <w:color w:val="auto"/>
          <w:szCs w:val="21"/>
          <w:highlight w:val="none"/>
        </w:rPr>
        <w:t>11.2投标文件技术标部分主要包括下列内容</w:t>
      </w:r>
      <w:r>
        <w:rPr>
          <w:rStyle w:val="29"/>
          <w:rFonts w:hint="eastAsia" w:ascii="宋体" w:hAnsi="宋体"/>
          <w:bCs/>
          <w:color w:val="auto"/>
          <w:szCs w:val="21"/>
          <w:highlight w:val="none"/>
        </w:rPr>
        <w:t>：</w:t>
      </w:r>
    </w:p>
    <w:p w14:paraId="4218AFEC">
      <w:pPr>
        <w:spacing w:line="360" w:lineRule="auto"/>
        <w:ind w:firstLine="420" w:firstLineChars="200"/>
        <w:rPr>
          <w:rStyle w:val="29"/>
          <w:rFonts w:hint="eastAsia" w:ascii="宋体" w:hAnsi="宋体"/>
          <w:bCs/>
          <w:color w:val="auto"/>
          <w:szCs w:val="21"/>
          <w:highlight w:val="none"/>
        </w:rPr>
      </w:pPr>
      <w:r>
        <w:rPr>
          <w:rStyle w:val="29"/>
          <w:rFonts w:ascii="宋体" w:hAnsi="宋体"/>
          <w:bCs/>
          <w:color w:val="auto"/>
          <w:szCs w:val="21"/>
          <w:highlight w:val="none"/>
        </w:rPr>
        <w:t>11.2.1 技术投标文件</w:t>
      </w:r>
      <w:r>
        <w:rPr>
          <w:rStyle w:val="29"/>
          <w:rFonts w:ascii="宋体" w:hAnsi="宋体"/>
          <w:color w:val="auto"/>
          <w:szCs w:val="21"/>
          <w:highlight w:val="none"/>
        </w:rPr>
        <w:t>(按招标文件的要求填写)</w:t>
      </w:r>
      <w:r>
        <w:rPr>
          <w:rStyle w:val="29"/>
          <w:rFonts w:ascii="宋体" w:hAnsi="宋体"/>
          <w:bCs/>
          <w:color w:val="auto"/>
          <w:szCs w:val="21"/>
          <w:highlight w:val="none"/>
        </w:rPr>
        <w:t>；</w:t>
      </w:r>
    </w:p>
    <w:p w14:paraId="0D33FC4D">
      <w:pPr>
        <w:spacing w:line="360" w:lineRule="auto"/>
        <w:ind w:firstLine="420" w:firstLineChars="200"/>
        <w:rPr>
          <w:rStyle w:val="29"/>
          <w:rFonts w:hint="eastAsia" w:ascii="宋体" w:hAnsi="宋体"/>
          <w:bCs/>
          <w:color w:val="auto"/>
          <w:szCs w:val="21"/>
          <w:highlight w:val="none"/>
        </w:rPr>
      </w:pPr>
      <w:r>
        <w:rPr>
          <w:rStyle w:val="29"/>
          <w:rFonts w:ascii="宋体" w:hAnsi="宋体"/>
          <w:bCs/>
          <w:color w:val="auto"/>
          <w:szCs w:val="21"/>
          <w:highlight w:val="none"/>
        </w:rPr>
        <w:t>11.2.2 资格审查文件：</w:t>
      </w:r>
    </w:p>
    <w:p w14:paraId="5AE5F075">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（1）投标人声明；</w:t>
      </w:r>
    </w:p>
    <w:p w14:paraId="013505F5">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（2）法定代表人证明书、法定代表人签字或盖章的本投标文件授权委托证明书；</w:t>
      </w:r>
    </w:p>
    <w:p w14:paraId="1AA6BF48">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（3）企业营业执照扫描件或电子证照；</w:t>
      </w:r>
    </w:p>
    <w:p w14:paraId="752EEE51">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（4）企业资质证书扫描件或电子证照；</w:t>
      </w:r>
    </w:p>
    <w:p w14:paraId="2FF03893">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（5）建筑施工企业安全生产许可证扫描件或电子证照；</w:t>
      </w:r>
    </w:p>
    <w:p w14:paraId="2A5B7949">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（6）项目负责人（按网上投标登记时选择拟投入本项目的项目负责人）；</w:t>
      </w:r>
    </w:p>
    <w:p w14:paraId="5766F3E3">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（7）专职安全员（按网上投标登记时选择拟投入本项目的专职安全员）；</w:t>
      </w:r>
    </w:p>
    <w:p w14:paraId="59FF81D1">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（8）拟委托技术负责人的相关证书、资料（具体要求由招标人明确）；</w:t>
      </w:r>
    </w:p>
    <w:p w14:paraId="659759FE">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 xml:space="preserve">（9）拟委派项目负责人的有效期内的建造师注册证书扫描件或电子证书； </w:t>
      </w:r>
    </w:p>
    <w:p w14:paraId="3BA498F2">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（10）项目负责人在有效期内的安全生产考核合格证书（B类）或建筑施工企业项目负责人安全生产考核合格证书扫描件或电子证书；</w:t>
      </w:r>
    </w:p>
    <w:p w14:paraId="123473A4">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（11）专职安全员须具有在有效期内的安全生产考核合格证书（C类）或建筑施工企业专职安全生产管理人员安全生产考核合格证书扫描件或电子证书；</w:t>
      </w:r>
    </w:p>
    <w:p w14:paraId="7FE5C400">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（12）用于资格审查的业绩（设置业绩要求时选择此项，投标人</w:t>
      </w:r>
      <w:r>
        <w:rPr>
          <w:rFonts w:hint="eastAsia" w:ascii="宋体" w:hAnsi="宋体"/>
          <w:color w:val="auto"/>
          <w:szCs w:val="21"/>
          <w:highlight w:val="none"/>
        </w:rPr>
        <w:t>须提供类似工程业绩的项目名称及项目编号，具体格式由招标人自定</w:t>
      </w:r>
      <w:r>
        <w:rPr>
          <w:rFonts w:hint="eastAsia" w:ascii="宋体" w:hAnsi="宋体"/>
          <w:bCs/>
          <w:color w:val="auto"/>
          <w:szCs w:val="21"/>
          <w:highlight w:val="none"/>
        </w:rPr>
        <w:t>）；</w:t>
      </w:r>
    </w:p>
    <w:p w14:paraId="3C0FAB27">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（13）资格审查前，投标人须在广州市住房和城乡建设局建立企业信用档案，拟担任本工程项目负责人、专职安全员须是本企业信用档案中的在册人员；</w:t>
      </w:r>
    </w:p>
    <w:p w14:paraId="58F8DC01">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（14）列明主办单位的联合体工作协议（采用联合体投标时需递交，投标人拟任本工程项目负责人应为联合体主办方信用档案中的在册人员，</w:t>
      </w:r>
      <w:r>
        <w:rPr>
          <w:rFonts w:hint="eastAsia" w:ascii="宋体" w:hAnsi="宋体"/>
          <w:color w:val="auto"/>
          <w:szCs w:val="21"/>
          <w:highlight w:val="none"/>
        </w:rPr>
        <w:t>联合体工作协议应明确约定各方拟承担的工作和责任</w:t>
      </w:r>
      <w:r>
        <w:rPr>
          <w:rFonts w:hint="eastAsia" w:ascii="宋体" w:hAnsi="宋体"/>
          <w:bCs/>
          <w:color w:val="auto"/>
          <w:szCs w:val="21"/>
          <w:highlight w:val="none"/>
        </w:rPr>
        <w:t xml:space="preserve">）； </w:t>
      </w:r>
    </w:p>
    <w:p w14:paraId="39E4D882">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bCs/>
          <w:color w:val="auto"/>
          <w:szCs w:val="21"/>
          <w:highlight w:val="none"/>
        </w:rPr>
        <w:t>注：1.相关电子证书按规定需打印后手写本人签名的，应按照规定手写本人签名后再扫描提交。</w:t>
      </w:r>
    </w:p>
    <w:p w14:paraId="1D5B55B5">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29"/>
          <w:rFonts w:hint="eastAsia" w:ascii="宋体" w:hAnsi="宋体"/>
          <w:bCs/>
          <w:color w:val="auto"/>
          <w:szCs w:val="21"/>
          <w:highlight w:val="none"/>
        </w:rPr>
      </w:pPr>
      <w:r>
        <w:rPr>
          <w:rFonts w:hint="eastAsia" w:ascii="宋体" w:hAnsi="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41BBD77F">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29"/>
          <w:rFonts w:hint="eastAsia" w:ascii="宋体" w:hAnsi="宋体"/>
          <w:bCs/>
          <w:color w:val="auto"/>
          <w:szCs w:val="21"/>
          <w:highlight w:val="none"/>
        </w:rPr>
      </w:pPr>
      <w:r>
        <w:rPr>
          <w:rStyle w:val="29"/>
          <w:rFonts w:ascii="宋体" w:hAnsi="宋体"/>
          <w:color w:val="auto"/>
          <w:szCs w:val="21"/>
          <w:highlight w:val="none"/>
        </w:rPr>
        <w:t>11.2.3项目管理机构配备。</w:t>
      </w:r>
    </w:p>
    <w:p w14:paraId="692EEE0F">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color w:val="auto"/>
          <w:szCs w:val="21"/>
          <w:highlight w:val="none"/>
        </w:rPr>
        <w:t>（1）投标人应列出该项目工程的施工组织机构构成和画出机构框架图及其负责人；</w:t>
      </w:r>
    </w:p>
    <w:p w14:paraId="502EC1FE">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rPr>
      </w:pPr>
      <w:r>
        <w:rPr>
          <w:rFonts w:hint="eastAsia" w:ascii="宋体" w:hAnsi="宋体"/>
          <w:color w:val="auto"/>
          <w:szCs w:val="21"/>
          <w:highlight w:val="none"/>
        </w:rPr>
        <w:t>（2）投标人应详细列出该施工组织机构中主要成员的名单、简历资料、职务职称和在本项目中拟担任的职务等资料，并附上有关证明材料扫描件；</w:t>
      </w:r>
    </w:p>
    <w:p w14:paraId="5728DA75">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29"/>
          <w:rFonts w:hint="eastAsia" w:ascii="宋体" w:hAnsi="宋体"/>
          <w:bCs/>
          <w:color w:val="auto"/>
          <w:szCs w:val="21"/>
          <w:highlight w:val="none"/>
        </w:rPr>
      </w:pPr>
      <w:r>
        <w:rPr>
          <w:rFonts w:hint="eastAsia" w:ascii="宋体" w:hAnsi="宋体"/>
          <w:color w:val="auto"/>
          <w:szCs w:val="21"/>
          <w:highlight w:val="none"/>
        </w:rPr>
        <w:t>（3）其他辅助说明资料。</w:t>
      </w:r>
    </w:p>
    <w:p w14:paraId="726C6E12">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29"/>
          <w:rFonts w:hint="eastAsia" w:ascii="宋体" w:hAnsi="宋体"/>
          <w:bCs/>
          <w:color w:val="auto"/>
          <w:szCs w:val="21"/>
          <w:highlight w:val="none"/>
        </w:rPr>
      </w:pPr>
      <w:r>
        <w:rPr>
          <w:rStyle w:val="29"/>
          <w:rFonts w:ascii="宋体" w:hAnsi="宋体"/>
          <w:color w:val="auto"/>
          <w:szCs w:val="21"/>
          <w:highlight w:val="none"/>
        </w:rPr>
        <w:t>11.2.4投标人在广州市可使用适合本工程的机械设备（附：机械设备为自有或租赁的说明；及承诺机械设备如属于租赁的，其租赁是不属于重复租赁）。</w:t>
      </w:r>
    </w:p>
    <w:p w14:paraId="4218E335">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29"/>
          <w:rFonts w:hint="eastAsia" w:ascii="宋体" w:hAnsi="宋体"/>
          <w:color w:val="auto"/>
          <w:szCs w:val="21"/>
          <w:highlight w:val="none"/>
        </w:rPr>
      </w:pPr>
      <w:r>
        <w:rPr>
          <w:rStyle w:val="29"/>
          <w:rFonts w:ascii="宋体" w:hAnsi="宋体"/>
          <w:color w:val="auto"/>
          <w:szCs w:val="21"/>
          <w:highlight w:val="none"/>
        </w:rPr>
        <w:t>11.2.5</w:t>
      </w:r>
      <w:r>
        <w:rPr>
          <w:rStyle w:val="29"/>
          <w:rFonts w:hint="eastAsia" w:ascii="宋体" w:hAnsi="宋体"/>
          <w:color w:val="auto"/>
          <w:szCs w:val="21"/>
          <w:highlight w:val="none"/>
        </w:rPr>
        <w:t>施工组织设计或施工方案。</w:t>
      </w:r>
    </w:p>
    <w:p w14:paraId="61902762">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29"/>
          <w:rFonts w:hint="eastAsia" w:ascii="宋体" w:hAnsi="宋体"/>
          <w:color w:val="auto"/>
          <w:szCs w:val="21"/>
          <w:highlight w:val="none"/>
        </w:rPr>
      </w:pPr>
      <w:r>
        <w:rPr>
          <w:rStyle w:val="29"/>
          <w:rFonts w:hint="eastAsia" w:ascii="宋体" w:hAnsi="宋体"/>
          <w:color w:val="auto"/>
          <w:szCs w:val="21"/>
          <w:highlight w:val="none"/>
        </w:rPr>
        <w:t>（1）投标人在编制施工组织设计或施工方案时应按照招标人提出的施工现场建筑垃圾源头减量的具体要求以及建筑垃圾综合利用产品的使用要求提供相应措施。</w:t>
      </w:r>
    </w:p>
    <w:p w14:paraId="09B7B130">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29"/>
          <w:rFonts w:hint="eastAsia" w:ascii="宋体" w:hAnsi="宋体"/>
          <w:bCs/>
          <w:color w:val="auto"/>
          <w:szCs w:val="21"/>
          <w:highlight w:val="none"/>
        </w:rPr>
      </w:pPr>
      <w:r>
        <w:rPr>
          <w:rStyle w:val="29"/>
          <w:rFonts w:hint="eastAsia" w:ascii="宋体" w:hAnsi="宋体"/>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39621BB0">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29"/>
          <w:rFonts w:hint="eastAsia" w:ascii="宋体" w:hAnsi="宋体"/>
          <w:bCs/>
          <w:color w:val="auto"/>
          <w:szCs w:val="21"/>
          <w:highlight w:val="none"/>
        </w:rPr>
      </w:pPr>
      <w:r>
        <w:rPr>
          <w:rStyle w:val="29"/>
          <w:rFonts w:ascii="宋体" w:hAnsi="宋体"/>
          <w:color w:val="auto"/>
          <w:szCs w:val="21"/>
          <w:highlight w:val="none"/>
        </w:rPr>
        <w:t>11.2.6按照</w:t>
      </w:r>
      <w:r>
        <w:rPr>
          <w:rStyle w:val="29"/>
          <w:rFonts w:ascii="宋体" w:hAnsi="宋体"/>
          <w:bCs/>
          <w:color w:val="auto"/>
          <w:szCs w:val="21"/>
          <w:highlight w:val="none"/>
        </w:rPr>
        <w:t>招标文件要求</w:t>
      </w:r>
      <w:r>
        <w:rPr>
          <w:rStyle w:val="29"/>
          <w:rFonts w:ascii="宋体" w:hAnsi="宋体"/>
          <w:color w:val="auto"/>
          <w:szCs w:val="21"/>
          <w:highlight w:val="none"/>
        </w:rPr>
        <w:t>填写的《参与编制技术标投标文件人员名单》。</w:t>
      </w:r>
    </w:p>
    <w:p w14:paraId="6043F779">
      <w:pPr>
        <w:keepNext w:val="0"/>
        <w:keepLines w:val="0"/>
        <w:pageBreakBefore w:val="0"/>
        <w:widowControl w:val="0"/>
        <w:kinsoku/>
        <w:wordWrap/>
        <w:overflowPunct/>
        <w:topLinePunct w:val="0"/>
        <w:autoSpaceDE/>
        <w:autoSpaceDN/>
        <w:bidi w:val="0"/>
        <w:adjustRightInd/>
        <w:snapToGrid/>
        <w:spacing w:line="426" w:lineRule="exact"/>
        <w:ind w:firstLine="422" w:firstLineChars="200"/>
        <w:textAlignment w:val="auto"/>
        <w:rPr>
          <w:rStyle w:val="29"/>
          <w:rFonts w:hint="eastAsia" w:ascii="宋体" w:hAnsi="宋体"/>
          <w:bCs/>
          <w:color w:val="auto"/>
          <w:szCs w:val="21"/>
          <w:highlight w:val="none"/>
        </w:rPr>
      </w:pPr>
      <w:r>
        <w:rPr>
          <w:rStyle w:val="29"/>
          <w:rFonts w:ascii="宋体" w:hAnsi="宋体"/>
          <w:b/>
          <w:color w:val="auto"/>
          <w:szCs w:val="21"/>
          <w:highlight w:val="none"/>
        </w:rPr>
        <w:t>现文：</w:t>
      </w:r>
      <w:r>
        <w:rPr>
          <w:rStyle w:val="29"/>
          <w:rFonts w:ascii="宋体" w:hAnsi="宋体"/>
          <w:bCs/>
          <w:color w:val="auto"/>
          <w:szCs w:val="21"/>
          <w:highlight w:val="none"/>
        </w:rPr>
        <w:t>11.2投标文件技术标部分主要包括下列内容:</w:t>
      </w:r>
    </w:p>
    <w:p w14:paraId="5763024B">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29"/>
          <w:rFonts w:hint="eastAsia" w:ascii="宋体" w:hAnsi="宋体"/>
          <w:bCs/>
          <w:color w:val="auto"/>
          <w:szCs w:val="21"/>
          <w:highlight w:val="none"/>
        </w:rPr>
      </w:pPr>
      <w:r>
        <w:rPr>
          <w:rStyle w:val="29"/>
          <w:rFonts w:ascii="宋体" w:hAnsi="宋体"/>
          <w:bCs/>
          <w:color w:val="auto"/>
          <w:szCs w:val="21"/>
          <w:highlight w:val="none"/>
        </w:rPr>
        <w:t>11.2.1 技术投标文件</w:t>
      </w:r>
      <w:r>
        <w:rPr>
          <w:rStyle w:val="29"/>
          <w:rFonts w:ascii="宋体" w:hAnsi="宋体"/>
          <w:color w:val="auto"/>
          <w:szCs w:val="21"/>
          <w:highlight w:val="none"/>
        </w:rPr>
        <w:t>(按招标文件的要求填写)</w:t>
      </w:r>
      <w:r>
        <w:rPr>
          <w:rStyle w:val="29"/>
          <w:rFonts w:ascii="宋体" w:hAnsi="宋体"/>
          <w:bCs/>
          <w:color w:val="auto"/>
          <w:szCs w:val="21"/>
          <w:highlight w:val="none"/>
        </w:rPr>
        <w:t>；</w:t>
      </w:r>
    </w:p>
    <w:p w14:paraId="5F42007C">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29"/>
          <w:rFonts w:hint="eastAsia" w:ascii="宋体" w:hAnsi="宋体"/>
          <w:bCs/>
          <w:color w:val="auto"/>
          <w:szCs w:val="21"/>
          <w:highlight w:val="none"/>
          <w:u w:val="single"/>
        </w:rPr>
      </w:pPr>
      <w:r>
        <w:rPr>
          <w:rStyle w:val="29"/>
          <w:rFonts w:ascii="宋体" w:hAnsi="宋体"/>
          <w:bCs/>
          <w:color w:val="auto"/>
          <w:szCs w:val="21"/>
          <w:highlight w:val="none"/>
          <w:u w:val="single"/>
        </w:rPr>
        <w:t>（1）广州建设工程施工招标投标书</w:t>
      </w:r>
      <w:r>
        <w:rPr>
          <w:rStyle w:val="29"/>
          <w:rFonts w:hint="eastAsia" w:ascii="宋体" w:hAnsi="宋体"/>
          <w:color w:val="auto"/>
          <w:highlight w:val="none"/>
          <w:u w:val="single"/>
        </w:rPr>
        <w:t>（按招标文件第四章技术标投标文件格式）</w:t>
      </w:r>
      <w:r>
        <w:rPr>
          <w:rStyle w:val="29"/>
          <w:rFonts w:ascii="宋体" w:hAnsi="宋体"/>
          <w:bCs/>
          <w:color w:val="auto"/>
          <w:szCs w:val="21"/>
          <w:highlight w:val="none"/>
          <w:u w:val="single"/>
        </w:rPr>
        <w:t>；</w:t>
      </w:r>
    </w:p>
    <w:p w14:paraId="386DB1AE">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29"/>
          <w:rFonts w:hint="eastAsia" w:ascii="宋体" w:hAnsi="宋体"/>
          <w:bCs/>
          <w:color w:val="auto"/>
          <w:szCs w:val="21"/>
          <w:highlight w:val="none"/>
        </w:rPr>
      </w:pPr>
      <w:r>
        <w:rPr>
          <w:rStyle w:val="29"/>
          <w:rFonts w:ascii="宋体" w:hAnsi="宋体"/>
          <w:bCs/>
          <w:color w:val="auto"/>
          <w:szCs w:val="21"/>
          <w:highlight w:val="none"/>
        </w:rPr>
        <w:t>11.2.2 资格审查文件：</w:t>
      </w:r>
    </w:p>
    <w:p w14:paraId="4BE9AC18">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29"/>
          <w:rFonts w:hint="eastAsia" w:ascii="宋体" w:hAnsi="宋体"/>
          <w:color w:val="auto"/>
          <w:highlight w:val="none"/>
        </w:rPr>
      </w:pPr>
      <w:r>
        <w:rPr>
          <w:rStyle w:val="29"/>
          <w:rFonts w:ascii="宋体" w:hAnsi="宋体"/>
          <w:bCs/>
          <w:color w:val="auto"/>
          <w:szCs w:val="21"/>
          <w:highlight w:val="none"/>
        </w:rPr>
        <w:t>（1）投标人声</w:t>
      </w:r>
      <w:r>
        <w:rPr>
          <w:rStyle w:val="29"/>
          <w:rFonts w:ascii="宋体" w:hAnsi="宋体"/>
          <w:color w:val="auto"/>
          <w:highlight w:val="none"/>
        </w:rPr>
        <w:t>明</w:t>
      </w:r>
      <w:r>
        <w:rPr>
          <w:rStyle w:val="29"/>
          <w:rFonts w:hint="eastAsia" w:ascii="宋体" w:hAnsi="宋体"/>
          <w:color w:val="auto"/>
          <w:highlight w:val="none"/>
          <w:u w:val="single"/>
        </w:rPr>
        <w:t>（按招标公告附件二的格式及内容提交）</w:t>
      </w:r>
      <w:r>
        <w:rPr>
          <w:rStyle w:val="29"/>
          <w:rFonts w:ascii="宋体" w:hAnsi="宋体"/>
          <w:color w:val="auto"/>
          <w:highlight w:val="none"/>
          <w:u w:val="single"/>
        </w:rPr>
        <w:t>；</w:t>
      </w:r>
      <w:r>
        <w:rPr>
          <w:rStyle w:val="29"/>
          <w:rFonts w:ascii="宋体" w:hAnsi="宋体"/>
          <w:color w:val="auto"/>
          <w:highlight w:val="none"/>
        </w:rPr>
        <w:t xml:space="preserve"> </w:t>
      </w:r>
    </w:p>
    <w:p w14:paraId="0311C80C">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29"/>
          <w:rFonts w:hint="eastAsia" w:ascii="宋体" w:hAnsi="宋体"/>
          <w:color w:val="auto"/>
          <w:highlight w:val="none"/>
        </w:rPr>
      </w:pPr>
      <w:r>
        <w:rPr>
          <w:rStyle w:val="29"/>
          <w:rFonts w:ascii="宋体" w:hAnsi="宋体"/>
          <w:color w:val="auto"/>
          <w:highlight w:val="none"/>
        </w:rPr>
        <w:t>（2）法定代表人证明书、法定代表人签字或盖章的本投标文件授权委托证明书；</w:t>
      </w:r>
    </w:p>
    <w:p w14:paraId="16C5EE98">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color w:val="auto"/>
          <w:highlight w:val="none"/>
        </w:rPr>
      </w:pPr>
      <w:r>
        <w:rPr>
          <w:rFonts w:hint="eastAsia" w:ascii="宋体" w:hAnsi="宋体"/>
          <w:color w:val="auto"/>
          <w:highlight w:val="none"/>
        </w:rPr>
        <w:t>（3）企业营业执照扫描件或电子证照；</w:t>
      </w:r>
    </w:p>
    <w:p w14:paraId="0D8B3767">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color w:val="auto"/>
          <w:highlight w:val="none"/>
        </w:rPr>
      </w:pPr>
      <w:r>
        <w:rPr>
          <w:rFonts w:hint="eastAsia" w:ascii="宋体" w:hAnsi="宋体"/>
          <w:color w:val="auto"/>
          <w:highlight w:val="none"/>
        </w:rPr>
        <w:t>（4）企业资质证书扫描件或电子证照；</w:t>
      </w:r>
    </w:p>
    <w:p w14:paraId="7EA82AFD">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color w:val="auto"/>
          <w:highlight w:val="none"/>
        </w:rPr>
      </w:pPr>
      <w:r>
        <w:rPr>
          <w:rFonts w:hint="eastAsia" w:ascii="宋体" w:hAnsi="宋体"/>
          <w:color w:val="auto"/>
          <w:highlight w:val="none"/>
        </w:rPr>
        <w:t>（5）建筑施工企业安全生产许可证扫描件或电子证照；</w:t>
      </w:r>
    </w:p>
    <w:p w14:paraId="09744579">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color w:val="auto"/>
          <w:highlight w:val="none"/>
        </w:rPr>
      </w:pPr>
      <w:r>
        <w:rPr>
          <w:rFonts w:hint="eastAsia" w:ascii="宋体" w:hAnsi="宋体"/>
          <w:color w:val="auto"/>
          <w:highlight w:val="none"/>
        </w:rPr>
        <w:t>（6）项目负责人（按网上投标登记时选择拟投标的项目负责人）；</w:t>
      </w:r>
    </w:p>
    <w:p w14:paraId="119FD255">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color w:val="auto"/>
          <w:highlight w:val="none"/>
        </w:rPr>
      </w:pPr>
      <w:r>
        <w:rPr>
          <w:rFonts w:hint="eastAsia" w:ascii="宋体" w:hAnsi="宋体"/>
          <w:color w:val="auto"/>
          <w:highlight w:val="none"/>
        </w:rPr>
        <w:t>（7）专职安全员（按网上投标登记时选择拟投标的专职安全员）；</w:t>
      </w:r>
    </w:p>
    <w:p w14:paraId="4B690B84">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u w:val="single"/>
        </w:rPr>
        <w:t>拟委派技术负责人的职称证书扫描件；</w:t>
      </w:r>
    </w:p>
    <w:p w14:paraId="561F5A99">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color w:val="auto"/>
          <w:highlight w:val="none"/>
        </w:rPr>
      </w:pPr>
      <w:r>
        <w:rPr>
          <w:rFonts w:hint="eastAsia" w:ascii="宋体" w:hAnsi="宋体"/>
          <w:bCs/>
          <w:color w:val="auto"/>
          <w:szCs w:val="21"/>
          <w:highlight w:val="none"/>
        </w:rPr>
        <w:t>（9）拟委派项目负责人的有效期内的建造师注册证书扫描件或电子证书；</w:t>
      </w:r>
    </w:p>
    <w:p w14:paraId="7A12979E">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highlight w:val="none"/>
        </w:rPr>
      </w:pPr>
      <w:r>
        <w:rPr>
          <w:rFonts w:hint="eastAsia" w:ascii="宋体" w:hAnsi="宋体"/>
          <w:bCs/>
          <w:color w:val="auto"/>
          <w:highlight w:val="none"/>
        </w:rPr>
        <w:t>（10）项目负责人在有效期内的安全生产考核合格证书（B类）或建筑施工企业项目负责人安全生产考核合格证书扫描件或电子证书；</w:t>
      </w:r>
    </w:p>
    <w:p w14:paraId="345EB481">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highlight w:val="none"/>
        </w:rPr>
      </w:pPr>
      <w:r>
        <w:rPr>
          <w:rFonts w:hint="eastAsia" w:ascii="宋体" w:hAnsi="宋体"/>
          <w:bCs/>
          <w:color w:val="auto"/>
          <w:highlight w:val="none"/>
        </w:rPr>
        <w:t>（11）专职安全员须具有在有效期内的安全生产考核合格证书（C类）或建筑施工企业专职安全生产管理人员安全生产考核合格证书（C3类）扫描件或电子证书；</w:t>
      </w:r>
    </w:p>
    <w:p w14:paraId="326EAC02">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color w:val="auto"/>
          <w:highlight w:val="none"/>
        </w:rPr>
      </w:pPr>
      <w:r>
        <w:rPr>
          <w:rFonts w:hint="eastAsia" w:ascii="宋体" w:hAnsi="宋体"/>
          <w:color w:val="auto"/>
          <w:highlight w:val="none"/>
        </w:rPr>
        <w:t>（12）</w:t>
      </w:r>
      <w:r>
        <w:rPr>
          <w:rFonts w:hint="eastAsia" w:ascii="宋体" w:hAnsi="宋体"/>
          <w:bCs/>
          <w:color w:val="auto"/>
          <w:highlight w:val="none"/>
        </w:rPr>
        <w:t>资格审查前，投标人须在广州市住房和城乡建设局建立企业信用档案，拟担任本工程项目负责人、专职安全员须是本企业信用档案中的在册人员</w:t>
      </w:r>
      <w:r>
        <w:rPr>
          <w:rFonts w:hint="eastAsia" w:ascii="宋体" w:hAnsi="宋体"/>
          <w:color w:val="auto"/>
          <w:highlight w:val="none"/>
        </w:rPr>
        <w:t>。</w:t>
      </w:r>
    </w:p>
    <w:p w14:paraId="06D7F057">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color w:val="auto"/>
          <w:highlight w:val="none"/>
          <w:u w:val="single"/>
        </w:rPr>
      </w:pPr>
      <w:r>
        <w:rPr>
          <w:rFonts w:hint="eastAsia" w:ascii="宋体" w:hAnsi="宋体"/>
          <w:color w:val="auto"/>
          <w:highlight w:val="none"/>
        </w:rPr>
        <w:t>（13）</w:t>
      </w:r>
      <w:r>
        <w:rPr>
          <w:rFonts w:hint="eastAsia" w:ascii="宋体" w:hAnsi="宋体"/>
          <w:color w:val="auto"/>
          <w:highlight w:val="none"/>
          <w:u w:val="single"/>
        </w:rPr>
        <w:t>投标人认为应提交的其他资料。</w:t>
      </w:r>
    </w:p>
    <w:p w14:paraId="6E8C8C1E">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color w:val="auto"/>
          <w:highlight w:val="none"/>
        </w:rPr>
      </w:pPr>
      <w:r>
        <w:rPr>
          <w:rFonts w:hint="eastAsia" w:ascii="宋体" w:hAnsi="宋体"/>
          <w:color w:val="auto"/>
          <w:highlight w:val="none"/>
        </w:rPr>
        <w:t>注：1.相关电子证书按规定需打印后手写本人签名的，应按照规定手写本人签名后再扫描提交。</w:t>
      </w:r>
    </w:p>
    <w:p w14:paraId="7C36D636">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bCs/>
          <w:color w:val="auto"/>
          <w:szCs w:val="21"/>
          <w:highlight w:val="none"/>
          <w:u w:val="single"/>
        </w:rPr>
      </w:pPr>
      <w:r>
        <w:rPr>
          <w:rFonts w:hint="eastAsia" w:ascii="宋体" w:hAnsi="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176408D2">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29"/>
          <w:rFonts w:hint="eastAsia" w:ascii="宋体" w:hAnsi="宋体"/>
          <w:color w:val="auto"/>
          <w:szCs w:val="21"/>
          <w:highlight w:val="none"/>
          <w:u w:val="single"/>
        </w:rPr>
      </w:pPr>
      <w:r>
        <w:rPr>
          <w:rStyle w:val="29"/>
          <w:rFonts w:ascii="宋体" w:hAnsi="宋体"/>
          <w:color w:val="auto"/>
          <w:szCs w:val="21"/>
          <w:highlight w:val="none"/>
          <w:u w:val="single"/>
        </w:rPr>
        <w:t>11.2.3</w:t>
      </w:r>
      <w:r>
        <w:rPr>
          <w:rStyle w:val="29"/>
          <w:rFonts w:hint="eastAsia" w:ascii="宋体" w:hAnsi="宋体"/>
          <w:color w:val="auto"/>
          <w:szCs w:val="21"/>
          <w:highlight w:val="none"/>
          <w:u w:val="single"/>
        </w:rPr>
        <w:t>按照招标文件要求填写的《参与编制技术标投标文件人员名单》（格式按招标文件第四章技术标投标文件格式）；</w:t>
      </w:r>
    </w:p>
    <w:p w14:paraId="00F181CB">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29"/>
          <w:rFonts w:hint="eastAsia" w:ascii="宋体" w:hAnsi="宋体"/>
          <w:color w:val="auto"/>
          <w:szCs w:val="21"/>
          <w:highlight w:val="none"/>
          <w:u w:val="single"/>
        </w:rPr>
      </w:pPr>
      <w:r>
        <w:rPr>
          <w:rStyle w:val="29"/>
          <w:rFonts w:hint="eastAsia" w:ascii="宋体" w:hAnsi="宋体"/>
          <w:color w:val="auto"/>
          <w:szCs w:val="21"/>
          <w:highlight w:val="none"/>
          <w:u w:val="single"/>
        </w:rPr>
        <w:t>11.2.</w:t>
      </w:r>
      <w:r>
        <w:rPr>
          <w:rStyle w:val="29"/>
          <w:rFonts w:ascii="宋体" w:hAnsi="宋体"/>
          <w:color w:val="auto"/>
          <w:szCs w:val="21"/>
          <w:highlight w:val="none"/>
          <w:u w:val="single"/>
        </w:rPr>
        <w:t>4</w:t>
      </w:r>
      <w:r>
        <w:rPr>
          <w:rStyle w:val="29"/>
          <w:rFonts w:hint="eastAsia" w:ascii="宋体" w:hAnsi="宋体"/>
          <w:color w:val="auto"/>
          <w:szCs w:val="21"/>
          <w:highlight w:val="none"/>
          <w:u w:val="single"/>
        </w:rPr>
        <w:t>项目管理机构配备。</w:t>
      </w:r>
    </w:p>
    <w:p w14:paraId="141F8EC2">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29"/>
          <w:rFonts w:hint="eastAsia" w:ascii="宋体" w:hAnsi="宋体"/>
          <w:color w:val="auto"/>
          <w:szCs w:val="21"/>
          <w:highlight w:val="none"/>
          <w:u w:val="single"/>
        </w:rPr>
      </w:pPr>
      <w:r>
        <w:rPr>
          <w:rStyle w:val="29"/>
          <w:rFonts w:hint="eastAsia" w:ascii="宋体" w:hAnsi="宋体"/>
          <w:color w:val="auto"/>
          <w:szCs w:val="21"/>
          <w:highlight w:val="none"/>
          <w:u w:val="single"/>
        </w:rPr>
        <w:t>（1）投标人应列出该项目工程的施工组织机构构成和画出机构框架图及其负责人；</w:t>
      </w:r>
    </w:p>
    <w:p w14:paraId="15660CDC">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Style w:val="29"/>
          <w:rFonts w:hint="eastAsia" w:ascii="宋体" w:hAnsi="宋体"/>
          <w:color w:val="auto"/>
          <w:szCs w:val="21"/>
          <w:highlight w:val="none"/>
          <w:u w:val="single"/>
        </w:rPr>
      </w:pPr>
      <w:r>
        <w:rPr>
          <w:rStyle w:val="29"/>
          <w:rFonts w:hint="eastAsia" w:ascii="宋体" w:hAnsi="宋体"/>
          <w:color w:val="auto"/>
          <w:szCs w:val="21"/>
          <w:highlight w:val="none"/>
          <w:u w:val="single"/>
        </w:rPr>
        <w:t>（2）投标人应详细列出该施工组织机构中主要成员的名单、职务职称和在本项目中拟担任的职务等资料，并附上有关证明材料扫描件及其他辅助说明资料；</w:t>
      </w:r>
    </w:p>
    <w:p w14:paraId="52BEF9D9">
      <w:pPr>
        <w:spacing w:line="360" w:lineRule="auto"/>
        <w:ind w:firstLine="420" w:firstLineChars="200"/>
        <w:rPr>
          <w:rFonts w:hint="eastAsia" w:ascii="宋体" w:hAnsi="宋体"/>
          <w:color w:val="auto"/>
          <w:highlight w:val="none"/>
          <w:u w:val="single"/>
        </w:rPr>
      </w:pPr>
      <w:r>
        <w:rPr>
          <w:rStyle w:val="29"/>
          <w:rFonts w:ascii="宋体" w:hAnsi="宋体"/>
          <w:color w:val="auto"/>
          <w:szCs w:val="21"/>
          <w:highlight w:val="none"/>
          <w:u w:val="single"/>
        </w:rPr>
        <w:t>11.2.5</w:t>
      </w:r>
      <w:r>
        <w:rPr>
          <w:rFonts w:hint="eastAsia" w:ascii="宋体" w:hAnsi="宋体"/>
          <w:color w:val="auto"/>
          <w:highlight w:val="none"/>
          <w:u w:val="single"/>
        </w:rPr>
        <w:t>按照招标文件《技术标详细审查评分标准》提供的证明材料（如有）；投标人在编制施工组织设计或施工方案时应按照招标人提出的施工现场建筑垃圾源头减量的具体要求以及建筑垃圾综合利用产品的使用要求提供相应措施。</w:t>
      </w:r>
    </w:p>
    <w:p w14:paraId="02247A28">
      <w:pPr>
        <w:spacing w:line="360" w:lineRule="auto"/>
        <w:ind w:firstLine="420" w:firstLineChars="200"/>
        <w:rPr>
          <w:rFonts w:hint="eastAsia" w:ascii="宋体" w:hAnsi="宋体"/>
          <w:color w:val="auto"/>
          <w:szCs w:val="21"/>
          <w:highlight w:val="none"/>
          <w:u w:val="single"/>
        </w:rPr>
      </w:pPr>
      <w:r>
        <w:rPr>
          <w:rFonts w:hint="eastAsia" w:ascii="宋体" w:hAnsi="宋体"/>
          <w:color w:val="auto"/>
          <w:highlight w:val="none"/>
          <w:u w:val="single"/>
        </w:rPr>
        <w:t>11.2.6《危险性较大的分部分项工程清单及超过一定规模的危险性较大的分部分项工程清单》。</w:t>
      </w:r>
    </w:p>
    <w:p w14:paraId="0EFD7F2B">
      <w:pPr>
        <w:pBdr>
          <w:bottom w:val="single" w:color="000000" w:sz="6" w:space="1"/>
        </w:pBdr>
        <w:spacing w:line="360" w:lineRule="auto"/>
        <w:ind w:firstLine="420" w:firstLineChars="200"/>
        <w:rPr>
          <w:rFonts w:hint="eastAsia" w:ascii="宋体" w:hAnsi="宋体"/>
          <w:color w:val="auto"/>
          <w:highlight w:val="none"/>
        </w:rPr>
      </w:pPr>
      <w:r>
        <w:rPr>
          <w:rStyle w:val="29"/>
          <w:rFonts w:hint="eastAsia" w:ascii="宋体" w:hAnsi="宋体"/>
          <w:color w:val="auto"/>
          <w:szCs w:val="21"/>
          <w:highlight w:val="none"/>
          <w:u w:val="single"/>
        </w:rPr>
        <w:t>11.2.7其他投</w:t>
      </w:r>
      <w:r>
        <w:rPr>
          <w:rFonts w:hint="eastAsia" w:ascii="宋体" w:hAnsi="宋体"/>
          <w:color w:val="auto"/>
          <w:highlight w:val="none"/>
          <w:u w:val="single"/>
        </w:rPr>
        <w:t>标人认为应该提供的资料。</w:t>
      </w:r>
    </w:p>
    <w:p w14:paraId="0982D3CA">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条款号：11.3.2</w:t>
      </w: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修改类型：修改</w:t>
      </w:r>
    </w:p>
    <w:p w14:paraId="3012846F">
      <w:pPr>
        <w:keepNext w:val="0"/>
        <w:keepLines w:val="0"/>
        <w:pageBreakBefore w:val="0"/>
        <w:widowControl w:val="0"/>
        <w:kinsoku/>
        <w:wordWrap/>
        <w:overflowPunct/>
        <w:topLinePunct w:val="0"/>
        <w:autoSpaceDE/>
        <w:autoSpaceDN/>
        <w:bidi w:val="0"/>
        <w:adjustRightInd/>
        <w:snapToGrid/>
        <w:spacing w:line="420" w:lineRule="exact"/>
        <w:ind w:firstLine="422" w:firstLineChars="200"/>
        <w:textAlignment w:val="auto"/>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3D6161E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（1）投标总价封面、扉页；</w:t>
      </w:r>
    </w:p>
    <w:p w14:paraId="1826ADBF">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（2）总说明</w:t>
      </w:r>
    </w:p>
    <w:p w14:paraId="10C1397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（3）工程项目投标报价汇总表；</w:t>
      </w:r>
    </w:p>
    <w:p w14:paraId="58856BD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（4）单项工程投标报价汇总表；</w:t>
      </w:r>
    </w:p>
    <w:p w14:paraId="1FAD5857">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（5）单位工程投标报价汇总表；</w:t>
      </w:r>
    </w:p>
    <w:p w14:paraId="7A97DC9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（6）分部分项工程清单与计价表；</w:t>
      </w:r>
    </w:p>
    <w:p w14:paraId="50E5DA3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（7）单价措施项目清单与计价表；</w:t>
      </w:r>
    </w:p>
    <w:p w14:paraId="537FB04D">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（8）总价措施项目清单与计价表；</w:t>
      </w:r>
    </w:p>
    <w:p w14:paraId="1B42F50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（9）综合单价分析表；</w:t>
      </w:r>
    </w:p>
    <w:p w14:paraId="48263DD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（10）其他项目清单与计价汇总表；</w:t>
      </w:r>
    </w:p>
    <w:p w14:paraId="76E6C4B1">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（11）暂列金额明细表；</w:t>
      </w:r>
    </w:p>
    <w:p w14:paraId="1F11F95B">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（12）材料（工程设备）暂估价明细表；</w:t>
      </w:r>
    </w:p>
    <w:p w14:paraId="4EF5FEDE">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（13）专业工程暂估价明细表；</w:t>
      </w:r>
    </w:p>
    <w:p w14:paraId="432FB92A">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（14）计日工表；</w:t>
      </w:r>
    </w:p>
    <w:p w14:paraId="0EF5960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（15）总承包服务计价表；</w:t>
      </w:r>
    </w:p>
    <w:p w14:paraId="49C4BFF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（16）规费和税金项目计价表；</w:t>
      </w:r>
    </w:p>
    <w:p w14:paraId="5650C218">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（17）人工、主要材料和设备一览表</w:t>
      </w:r>
    </w:p>
    <w:p w14:paraId="56F37300">
      <w:pPr>
        <w:keepNext w:val="0"/>
        <w:keepLines w:val="0"/>
        <w:pageBreakBefore w:val="0"/>
        <w:widowControl w:val="0"/>
        <w:pBdr>
          <w:bottom w:val="single" w:color="000000" w:sz="6" w:space="1"/>
        </w:pBdr>
        <w:kinsoku/>
        <w:wordWrap/>
        <w:overflowPunct/>
        <w:topLinePunct w:val="0"/>
        <w:autoSpaceDE/>
        <w:autoSpaceDN/>
        <w:bidi w:val="0"/>
        <w:adjustRightInd/>
        <w:snapToGrid/>
        <w:spacing w:line="420" w:lineRule="exact"/>
        <w:ind w:firstLine="422" w:firstLineChars="200"/>
        <w:textAlignment w:val="auto"/>
        <w:rPr>
          <w:rFonts w:hint="eastAsia" w:ascii="宋体" w:hAnsi="宋体" w:cs="宋体"/>
          <w:bCs/>
          <w:color w:val="auto"/>
          <w:szCs w:val="21"/>
          <w:highlight w:val="none"/>
        </w:rPr>
      </w:pPr>
      <w:r>
        <w:rPr>
          <w:rFonts w:hint="eastAsia" w:ascii="宋体" w:hAnsi="宋体" w:cs="宋体"/>
          <w:b/>
          <w:color w:val="auto"/>
          <w:szCs w:val="21"/>
          <w:highlight w:val="none"/>
        </w:rPr>
        <w:t>现文：</w:t>
      </w:r>
      <w:bookmarkStart w:id="5" w:name="OLE_LINK1"/>
      <w:r>
        <w:rPr>
          <w:rFonts w:hint="eastAsia" w:ascii="宋体" w:hAnsi="宋体" w:cs="宋体"/>
          <w:bCs/>
          <w:color w:val="auto"/>
          <w:szCs w:val="21"/>
          <w:highlight w:val="none"/>
        </w:rPr>
        <w:t>11.3 经济部分投标文件主要包括下列内容：</w:t>
      </w:r>
    </w:p>
    <w:p w14:paraId="7E987368">
      <w:pPr>
        <w:keepNext w:val="0"/>
        <w:keepLines w:val="0"/>
        <w:pageBreakBefore w:val="0"/>
        <w:widowControl w:val="0"/>
        <w:pBdr>
          <w:bottom w:val="single" w:color="000000" w:sz="6" w:space="1"/>
        </w:pBdr>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11.3.1 工程量清单计价表。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等，结合企业成本、市场价格以及招标文件中载明的风险内容和范围等编制（具体内容详见第七章工程量清单）。投标人按照广州交易集团有限公司（广州公共资源交易中心）交易平台关于全流程电子化项目的相关指引，采用招标人发布的最新版电子招标文件中工程量清单相应的组成及格式等要求，通过广州交易集团有限公司（广州公共资源交易中心）交易平台的投标文件管理软件制作生成的电子投标文件工程量清单的组成及格式，视作符合招标文件要求。</w:t>
      </w:r>
    </w:p>
    <w:bookmarkEnd w:id="5"/>
    <w:p w14:paraId="1405488C">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条款号：11.3.3</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559D608E">
      <w:pPr>
        <w:pBdr>
          <w:bottom w:val="single" w:color="auto" w:sz="6" w:space="1"/>
        </w:pBdr>
        <w:tabs>
          <w:tab w:val="left" w:pos="6329"/>
        </w:tabs>
        <w:spacing w:line="360" w:lineRule="auto"/>
        <w:ind w:firstLine="422" w:firstLineChars="200"/>
        <w:rPr>
          <w:rFonts w:hint="eastAsia" w:ascii="宋体" w:hAnsi="宋体"/>
          <w:bCs/>
          <w:color w:val="auto"/>
          <w:szCs w:val="21"/>
          <w:highlight w:val="none"/>
        </w:rPr>
      </w:pPr>
      <w:r>
        <w:rPr>
          <w:rFonts w:hint="eastAsia" w:ascii="宋体" w:hAnsi="宋体"/>
          <w:b/>
          <w:color w:val="auto"/>
          <w:szCs w:val="21"/>
          <w:highlight w:val="none"/>
        </w:rPr>
        <w:t>原文：</w:t>
      </w:r>
      <w:r>
        <w:rPr>
          <w:rFonts w:hint="eastAsia" w:ascii="宋体" w:hAnsi="宋体"/>
          <w:bCs/>
          <w:color w:val="auto"/>
          <w:szCs w:val="21"/>
          <w:highlight w:val="none"/>
        </w:rPr>
        <w:t>11.3.3按照招标文件要求填写的《参与编制经济标投标文件人员名单》。</w:t>
      </w:r>
    </w:p>
    <w:p w14:paraId="459215A2">
      <w:pPr>
        <w:pBdr>
          <w:bottom w:val="single" w:color="auto" w:sz="6" w:space="1"/>
        </w:pBdr>
        <w:tabs>
          <w:tab w:val="left" w:pos="6329"/>
        </w:tabs>
        <w:spacing w:line="360" w:lineRule="auto"/>
        <w:ind w:firstLine="422" w:firstLineChars="200"/>
        <w:rPr>
          <w:rFonts w:hint="eastAsia" w:ascii="宋体" w:hAnsi="宋体"/>
          <w:bCs/>
          <w:color w:val="auto"/>
          <w:szCs w:val="21"/>
          <w:highlight w:val="none"/>
        </w:rPr>
      </w:pPr>
      <w:r>
        <w:rPr>
          <w:rFonts w:hint="eastAsia" w:ascii="宋体" w:hAnsi="宋体"/>
          <w:b/>
          <w:color w:val="auto"/>
          <w:szCs w:val="21"/>
          <w:highlight w:val="none"/>
        </w:rPr>
        <w:t>现文：</w:t>
      </w:r>
      <w:r>
        <w:rPr>
          <w:rFonts w:hint="eastAsia" w:ascii="宋体" w:hAnsi="宋体"/>
          <w:bCs/>
          <w:color w:val="auto"/>
          <w:szCs w:val="21"/>
          <w:highlight w:val="none"/>
        </w:rPr>
        <w:t>11.3.3按照招标文件要求填写的《参与编制经济标投标文件人员名单》、《对投标文件编制的承诺》（按招标文件第四章经济标投标文件格式）。</w:t>
      </w:r>
    </w:p>
    <w:p w14:paraId="62A66309">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条款号：11.3.5</w:t>
      </w:r>
      <w:r>
        <w:rPr>
          <w:rFonts w:ascii="宋体" w:hAnsi="宋体"/>
          <w:b/>
          <w:color w:val="auto"/>
          <w:szCs w:val="21"/>
          <w:highlight w:val="none"/>
        </w:rPr>
        <w:t xml:space="preserve">          </w:t>
      </w:r>
      <w:r>
        <w:rPr>
          <w:rFonts w:hint="eastAsia" w:ascii="宋体" w:hAnsi="宋体"/>
          <w:b/>
          <w:color w:val="auto"/>
          <w:szCs w:val="21"/>
          <w:highlight w:val="none"/>
        </w:rPr>
        <w:t>修改类型：增加</w:t>
      </w:r>
    </w:p>
    <w:p w14:paraId="037AF260">
      <w:pPr>
        <w:pBdr>
          <w:bottom w:val="single" w:color="auto" w:sz="6" w:space="1"/>
        </w:pBdr>
        <w:tabs>
          <w:tab w:val="left" w:pos="6329"/>
        </w:tabs>
        <w:spacing w:line="360" w:lineRule="auto"/>
        <w:ind w:firstLine="422" w:firstLineChars="200"/>
        <w:rPr>
          <w:rFonts w:hint="eastAsia" w:ascii="宋体" w:hAnsi="宋体"/>
          <w:bCs/>
          <w:color w:val="auto"/>
          <w:szCs w:val="21"/>
          <w:highlight w:val="none"/>
        </w:rPr>
      </w:pPr>
      <w:r>
        <w:rPr>
          <w:rFonts w:hint="eastAsia" w:ascii="宋体" w:hAnsi="宋体"/>
          <w:b/>
          <w:color w:val="auto"/>
          <w:szCs w:val="21"/>
          <w:highlight w:val="none"/>
        </w:rPr>
        <w:t>现文：</w:t>
      </w:r>
      <w:r>
        <w:rPr>
          <w:rFonts w:hint="eastAsia" w:ascii="宋体" w:hAnsi="宋体"/>
          <w:bCs/>
          <w:color w:val="auto"/>
          <w:szCs w:val="21"/>
          <w:highlight w:val="none"/>
        </w:rPr>
        <w:t>11.3.5其他投标人认为应该提供的资料。</w:t>
      </w:r>
    </w:p>
    <w:p w14:paraId="68D319B1">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条款号：1</w:t>
      </w:r>
      <w:r>
        <w:rPr>
          <w:rFonts w:ascii="宋体" w:hAnsi="宋体"/>
          <w:b/>
          <w:color w:val="auto"/>
          <w:szCs w:val="21"/>
          <w:highlight w:val="none"/>
        </w:rPr>
        <w:t xml:space="preserve">2.2          </w:t>
      </w:r>
      <w:r>
        <w:rPr>
          <w:rFonts w:hint="eastAsia" w:ascii="宋体" w:hAnsi="宋体"/>
          <w:b/>
          <w:color w:val="auto"/>
          <w:szCs w:val="21"/>
          <w:highlight w:val="none"/>
        </w:rPr>
        <w:t>修改类型：</w:t>
      </w:r>
      <w:r>
        <w:rPr>
          <w:rStyle w:val="29"/>
          <w:rFonts w:ascii="宋体" w:hAnsi="宋体"/>
          <w:b/>
          <w:color w:val="auto"/>
          <w:szCs w:val="21"/>
          <w:highlight w:val="none"/>
        </w:rPr>
        <w:t>修改</w:t>
      </w:r>
    </w:p>
    <w:p w14:paraId="06459A1E">
      <w:pPr>
        <w:pBdr>
          <w:bottom w:val="single" w:color="auto" w:sz="6" w:space="1"/>
        </w:pBdr>
        <w:tabs>
          <w:tab w:val="left" w:pos="6329"/>
        </w:tabs>
        <w:spacing w:line="360" w:lineRule="auto"/>
        <w:ind w:firstLine="422" w:firstLineChars="200"/>
        <w:rPr>
          <w:rFonts w:hint="eastAsia" w:ascii="宋体" w:hAnsi="宋体"/>
          <w:bCs/>
          <w:color w:val="auto"/>
          <w:szCs w:val="21"/>
          <w:highlight w:val="none"/>
        </w:rPr>
      </w:pPr>
      <w:r>
        <w:rPr>
          <w:rFonts w:hint="eastAsia" w:ascii="宋体" w:hAnsi="宋体"/>
          <w:b/>
          <w:color w:val="auto"/>
          <w:szCs w:val="21"/>
          <w:highlight w:val="none"/>
        </w:rPr>
        <w:t>原文：</w:t>
      </w:r>
      <w:r>
        <w:rPr>
          <w:rFonts w:ascii="宋体" w:hAnsi="宋体"/>
          <w:bCs/>
          <w:color w:val="auto"/>
          <w:szCs w:val="21"/>
          <w:highlight w:val="none"/>
        </w:rPr>
        <w:t xml:space="preserve">12.2 </w:t>
      </w:r>
      <w:r>
        <w:rPr>
          <w:rFonts w:hint="eastAsia" w:ascii="宋体" w:hAnsi="宋体"/>
          <w:color w:val="auto"/>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bCs/>
          <w:color w:val="auto"/>
          <w:szCs w:val="21"/>
          <w:highlight w:val="none"/>
        </w:rPr>
        <w:t>。</w:t>
      </w:r>
    </w:p>
    <w:p w14:paraId="0EA66821">
      <w:pPr>
        <w:pBdr>
          <w:bottom w:val="single" w:color="auto" w:sz="6" w:space="1"/>
        </w:pBdr>
        <w:tabs>
          <w:tab w:val="left" w:pos="6329"/>
        </w:tabs>
        <w:spacing w:line="360" w:lineRule="auto"/>
        <w:ind w:firstLine="420" w:firstLineChars="200"/>
        <w:rPr>
          <w:rFonts w:hint="eastAsia" w:ascii="宋体" w:hAnsi="宋体"/>
          <w:color w:val="auto"/>
          <w:highlight w:val="none"/>
        </w:rPr>
      </w:pPr>
      <w:r>
        <w:rPr>
          <w:rFonts w:hint="eastAsia" w:ascii="宋体" w:hAnsi="宋体"/>
          <w:color w:val="auto"/>
          <w:highlight w:val="none"/>
        </w:rPr>
        <w:t>注释：投标文件电子文档需要投标人单位盖章的材料，投标人加盖电子印章即可，不得将投标人未对电子文档加盖实物印章作为否决投标的情形。</w:t>
      </w:r>
    </w:p>
    <w:p w14:paraId="1FB851AC">
      <w:pPr>
        <w:pBdr>
          <w:bottom w:val="single" w:color="auto" w:sz="6" w:space="1"/>
        </w:pBdr>
        <w:tabs>
          <w:tab w:val="left" w:pos="6329"/>
        </w:tabs>
        <w:spacing w:line="360" w:lineRule="auto"/>
        <w:ind w:firstLine="422" w:firstLineChars="200"/>
        <w:rPr>
          <w:rFonts w:hint="eastAsia" w:ascii="宋体" w:hAnsi="宋体" w:cs="宋体"/>
          <w:color w:val="auto"/>
          <w:szCs w:val="21"/>
          <w:highlight w:val="none"/>
          <w:u w:val="single"/>
        </w:rPr>
      </w:pPr>
      <w:r>
        <w:rPr>
          <w:rFonts w:hint="eastAsia" w:ascii="宋体" w:hAnsi="宋体"/>
          <w:b/>
          <w:color w:val="auto"/>
          <w:szCs w:val="21"/>
          <w:highlight w:val="none"/>
        </w:rPr>
        <w:t>现文：</w:t>
      </w:r>
      <w:r>
        <w:rPr>
          <w:rFonts w:hint="eastAsia" w:ascii="宋体" w:hAnsi="宋体" w:cs="宋体"/>
          <w:color w:val="auto"/>
          <w:szCs w:val="21"/>
          <w:highlight w:val="none"/>
        </w:rPr>
        <w:t>1</w:t>
      </w:r>
      <w:r>
        <w:rPr>
          <w:rFonts w:ascii="宋体" w:hAnsi="宋体" w:cs="宋体"/>
          <w:color w:val="auto"/>
          <w:szCs w:val="21"/>
          <w:highlight w:val="none"/>
        </w:rPr>
        <w:t xml:space="preserve">2.2 </w:t>
      </w:r>
      <w:r>
        <w:rPr>
          <w:rFonts w:hint="eastAsia" w:ascii="宋体" w:hAnsi="宋体" w:cs="宋体"/>
          <w:color w:val="auto"/>
          <w:szCs w:val="21"/>
          <w:highlight w:val="none"/>
        </w:rPr>
        <w:t>投标文件全部采用电子文档，投标文件所附证书证件均为原件</w:t>
      </w:r>
      <w:r>
        <w:rPr>
          <w:rFonts w:hint="eastAsia" w:ascii="宋体" w:hAnsi="宋体" w:cs="宋体"/>
          <w:color w:val="auto"/>
          <w:szCs w:val="21"/>
          <w:highlight w:val="none"/>
          <w:u w:val="single"/>
        </w:rPr>
        <w:t>清晰</w:t>
      </w:r>
      <w:r>
        <w:rPr>
          <w:rFonts w:hint="eastAsia" w:ascii="宋体" w:hAnsi="宋体" w:cs="宋体"/>
          <w:color w:val="auto"/>
          <w:szCs w:val="21"/>
          <w:highlight w:val="none"/>
        </w:rPr>
        <w:t>扫描件，并采用单位数字证书，按招标文件要求在相应位置加盖电子印章。投标文件中需个人签字或盖章的，</w:t>
      </w:r>
      <w:r>
        <w:rPr>
          <w:rFonts w:hint="eastAsia" w:ascii="宋体" w:hAnsi="宋体"/>
          <w:color w:val="auto"/>
          <w:szCs w:val="21"/>
          <w:highlight w:val="none"/>
          <w:u w:val="single"/>
        </w:rPr>
        <w:t>应加盖个人电子印章或在线下完成后扫描上传</w:t>
      </w:r>
      <w:r>
        <w:rPr>
          <w:rFonts w:hint="eastAsia" w:ascii="宋体" w:hAnsi="宋体" w:cs="宋体"/>
          <w:color w:val="auto"/>
          <w:szCs w:val="21"/>
          <w:highlight w:val="none"/>
        </w:rPr>
        <w:t>。按照广州公共资源交易中心交易平台关于全流程电子化项目的相关指南进行操作。详见：</w:t>
      </w:r>
      <w:r>
        <w:rPr>
          <w:rFonts w:hint="eastAsia" w:ascii="宋体" w:hAnsi="宋体" w:cs="宋体"/>
          <w:color w:val="auto"/>
          <w:szCs w:val="21"/>
          <w:highlight w:val="none"/>
          <w:u w:val="single"/>
        </w:rPr>
        <w:t>广州公共资源交易中心网站最新指引。</w:t>
      </w:r>
    </w:p>
    <w:p w14:paraId="283FA8F3">
      <w:pPr>
        <w:pBdr>
          <w:bottom w:val="single" w:color="auto" w:sz="6" w:space="1"/>
        </w:pBdr>
        <w:tabs>
          <w:tab w:val="left" w:pos="6329"/>
        </w:tabs>
        <w:spacing w:line="360" w:lineRule="auto"/>
        <w:ind w:firstLine="420" w:firstLineChars="200"/>
        <w:rPr>
          <w:rFonts w:hint="eastAsia" w:ascii="宋体" w:hAnsi="宋体"/>
          <w:color w:val="auto"/>
          <w:highlight w:val="none"/>
        </w:rPr>
      </w:pPr>
      <w:r>
        <w:rPr>
          <w:rFonts w:hint="eastAsia" w:ascii="宋体" w:hAnsi="宋体"/>
          <w:color w:val="auto"/>
          <w:highlight w:val="none"/>
        </w:rPr>
        <w:t>注释：投标文件电子文档需要投标人单位盖章的材料，投标人加盖电子印章即可，不得将投标人未对电子文档加盖实物印章作为否决投标的情形。</w:t>
      </w:r>
    </w:p>
    <w:p w14:paraId="32BD25A5">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 xml:space="preserve">条款号：12.3          </w:t>
      </w:r>
      <w:r>
        <w:rPr>
          <w:rStyle w:val="29"/>
          <w:rFonts w:hint="eastAsia" w:ascii="宋体" w:hAnsi="宋体"/>
          <w:b/>
          <w:color w:val="auto"/>
          <w:szCs w:val="21"/>
          <w:highlight w:val="none"/>
        </w:rPr>
        <w:t>修</w:t>
      </w:r>
      <w:r>
        <w:rPr>
          <w:rStyle w:val="29"/>
          <w:rFonts w:ascii="宋体" w:hAnsi="宋体"/>
          <w:b/>
          <w:color w:val="auto"/>
          <w:szCs w:val="21"/>
          <w:highlight w:val="none"/>
        </w:rPr>
        <w:t>改类型：修改</w:t>
      </w:r>
    </w:p>
    <w:p w14:paraId="70DC968E">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原文：</w:t>
      </w:r>
      <w:r>
        <w:rPr>
          <w:rStyle w:val="29"/>
          <w:rFonts w:ascii="宋体" w:hAnsi="宋体"/>
          <w:color w:val="auto"/>
          <w:szCs w:val="21"/>
          <w:highlight w:val="none"/>
        </w:rPr>
        <w:t>12.3</w:t>
      </w:r>
      <w:r>
        <w:rPr>
          <w:rStyle w:val="29"/>
          <w:rFonts w:ascii="宋体" w:hAnsi="宋体"/>
          <w:bCs/>
          <w:color w:val="auto"/>
          <w:szCs w:val="21"/>
          <w:highlight w:val="none"/>
        </w:rPr>
        <w:t>投标文件应按</w:t>
      </w:r>
      <w:r>
        <w:rPr>
          <w:rStyle w:val="29"/>
          <w:rFonts w:ascii="宋体" w:hAnsi="宋体"/>
          <w:color w:val="auto"/>
          <w:szCs w:val="21"/>
          <w:highlight w:val="none"/>
        </w:rPr>
        <w:t>照交易平台关于全流程电子化项目的相关指南进行编制，详见：</w:t>
      </w:r>
      <w:r>
        <w:rPr>
          <w:rStyle w:val="29"/>
          <w:rFonts w:ascii="宋体" w:hAnsi="宋体"/>
          <w:color w:val="auto"/>
          <w:szCs w:val="21"/>
          <w:highlight w:val="none"/>
          <w:u w:val="single"/>
        </w:rPr>
        <w:t xml:space="preserve">            </w:t>
      </w:r>
      <w:r>
        <w:rPr>
          <w:rStyle w:val="29"/>
          <w:rFonts w:ascii="宋体" w:hAnsi="宋体"/>
          <w:color w:val="auto"/>
          <w:szCs w:val="21"/>
          <w:highlight w:val="none"/>
        </w:rPr>
        <w:t>。</w:t>
      </w:r>
    </w:p>
    <w:p w14:paraId="1ADFEF45">
      <w:pPr>
        <w:pBdr>
          <w:bottom w:val="single" w:color="000000" w:sz="6" w:space="1"/>
        </w:pBdr>
        <w:spacing w:line="360" w:lineRule="auto"/>
        <w:ind w:firstLine="422" w:firstLineChars="200"/>
        <w:rPr>
          <w:rFonts w:hint="eastAsia" w:ascii="宋体" w:hAnsi="宋体" w:cs="宋体"/>
          <w:color w:val="auto"/>
          <w:highlight w:val="none"/>
        </w:rPr>
      </w:pPr>
      <w:r>
        <w:rPr>
          <w:rStyle w:val="29"/>
          <w:rFonts w:ascii="宋体" w:hAnsi="宋体"/>
          <w:b/>
          <w:color w:val="auto"/>
          <w:szCs w:val="21"/>
          <w:highlight w:val="none"/>
        </w:rPr>
        <w:t>现文：</w:t>
      </w:r>
      <w:r>
        <w:rPr>
          <w:rStyle w:val="29"/>
          <w:rFonts w:ascii="宋体" w:hAnsi="宋体"/>
          <w:color w:val="auto"/>
          <w:szCs w:val="21"/>
          <w:highlight w:val="none"/>
        </w:rPr>
        <w:t xml:space="preserve">12.3 </w:t>
      </w:r>
      <w:r>
        <w:rPr>
          <w:rStyle w:val="29"/>
          <w:rFonts w:ascii="宋体" w:hAnsi="宋体"/>
          <w:bCs/>
          <w:color w:val="auto"/>
          <w:szCs w:val="21"/>
          <w:highlight w:val="none"/>
        </w:rPr>
        <w:t>投标文件应按</w:t>
      </w:r>
      <w:r>
        <w:rPr>
          <w:rStyle w:val="29"/>
          <w:rFonts w:ascii="宋体" w:hAnsi="宋体"/>
          <w:color w:val="auto"/>
          <w:szCs w:val="21"/>
          <w:highlight w:val="none"/>
        </w:rPr>
        <w:t>照交易平台关于全流程电子化项目的相关指南进</w:t>
      </w:r>
      <w:r>
        <w:rPr>
          <w:rFonts w:ascii="宋体" w:hAnsi="宋体" w:cs="宋体"/>
          <w:color w:val="auto"/>
          <w:highlight w:val="none"/>
        </w:rPr>
        <w:t>行编制，详见：</w:t>
      </w:r>
      <w:r>
        <w:rPr>
          <w:rFonts w:hint="eastAsia" w:ascii="宋体" w:hAnsi="宋体" w:cs="宋体"/>
          <w:color w:val="auto"/>
          <w:highlight w:val="none"/>
          <w:u w:val="single"/>
        </w:rPr>
        <w:t>广州公共资源交易中心网站最新指引</w:t>
      </w:r>
      <w:r>
        <w:rPr>
          <w:rFonts w:ascii="宋体" w:hAnsi="宋体" w:cs="宋体"/>
          <w:color w:val="auto"/>
          <w:highlight w:val="none"/>
          <w:u w:val="single"/>
        </w:rPr>
        <w:t>。</w:t>
      </w:r>
    </w:p>
    <w:p w14:paraId="4E912BE8">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条款号：13.1          修改类型：修改</w:t>
      </w:r>
    </w:p>
    <w:p w14:paraId="40807071">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原文：</w:t>
      </w:r>
      <w:r>
        <w:rPr>
          <w:rStyle w:val="29"/>
          <w:rFonts w:ascii="宋体" w:hAnsi="宋体"/>
          <w:color w:val="auto"/>
          <w:szCs w:val="21"/>
          <w:highlight w:val="none"/>
        </w:rPr>
        <w:t>13.1本工程的投标报价采用投标须知前附表第12项所规定的方式。投标报价（含单价及总价）精确到“分”。</w:t>
      </w:r>
    </w:p>
    <w:p w14:paraId="30F71811">
      <w:pPr>
        <w:pBdr>
          <w:bottom w:val="single" w:color="000000" w:sz="6" w:space="1"/>
        </w:pBdr>
        <w:spacing w:line="360" w:lineRule="auto"/>
        <w:ind w:firstLine="422" w:firstLineChars="200"/>
        <w:rPr>
          <w:rStyle w:val="29"/>
          <w:rFonts w:hint="eastAsia" w:ascii="宋体" w:hAnsi="宋体"/>
          <w:color w:val="auto"/>
          <w:szCs w:val="21"/>
          <w:highlight w:val="none"/>
          <w:u w:val="single"/>
        </w:rPr>
      </w:pPr>
      <w:r>
        <w:rPr>
          <w:rStyle w:val="29"/>
          <w:rFonts w:ascii="宋体" w:hAnsi="宋体"/>
          <w:b/>
          <w:color w:val="auto"/>
          <w:szCs w:val="21"/>
          <w:highlight w:val="none"/>
        </w:rPr>
        <w:t>现文：</w:t>
      </w:r>
      <w:r>
        <w:rPr>
          <w:rStyle w:val="29"/>
          <w:rFonts w:ascii="宋体" w:hAnsi="宋体"/>
          <w:color w:val="auto"/>
          <w:szCs w:val="21"/>
          <w:highlight w:val="none"/>
        </w:rPr>
        <w:t>13.1本工程的投标报价采用投标须知前附表第12项所规定的方式。投标报价（含单价及总价）精确到“分”。</w:t>
      </w:r>
      <w:r>
        <w:rPr>
          <w:rStyle w:val="29"/>
          <w:rFonts w:ascii="宋体" w:hAnsi="宋体"/>
          <w:color w:val="auto"/>
          <w:szCs w:val="21"/>
          <w:highlight w:val="none"/>
          <w:u w:val="single"/>
        </w:rPr>
        <w:t>投标文件中的大写金额和小写金额不一致的，以大写金额为准。</w:t>
      </w:r>
    </w:p>
    <w:p w14:paraId="18CEFA0B">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条款号：13.3          修改类型：修改</w:t>
      </w:r>
    </w:p>
    <w:p w14:paraId="2981A135">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原文：</w:t>
      </w:r>
      <w:r>
        <w:rPr>
          <w:rStyle w:val="29"/>
          <w:rFonts w:ascii="宋体" w:hAnsi="宋体"/>
          <w:color w:val="auto"/>
          <w:szCs w:val="21"/>
          <w:highlight w:val="none"/>
        </w:rPr>
        <w:t>13.3</w:t>
      </w:r>
      <w:r>
        <w:rPr>
          <w:rStyle w:val="29"/>
          <w:rFonts w:hint="eastAsia" w:ascii="宋体" w:hAnsi="宋体"/>
          <w:color w:val="auto"/>
          <w:szCs w:val="21"/>
          <w:highlight w:val="none"/>
        </w:rPr>
        <w:t>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1CD49201">
      <w:pPr>
        <w:pBdr>
          <w:bottom w:val="single" w:color="000000" w:sz="6" w:space="1"/>
        </w:pBdr>
        <w:spacing w:line="360" w:lineRule="auto"/>
        <w:ind w:firstLine="422" w:firstLineChars="200"/>
        <w:rPr>
          <w:rStyle w:val="29"/>
          <w:rFonts w:hint="eastAsia" w:ascii="宋体" w:hAnsi="宋体"/>
          <w:color w:val="auto"/>
          <w:szCs w:val="21"/>
          <w:highlight w:val="none"/>
        </w:rPr>
      </w:pPr>
      <w:r>
        <w:rPr>
          <w:rStyle w:val="29"/>
          <w:rFonts w:ascii="宋体" w:hAnsi="宋体"/>
          <w:b/>
          <w:color w:val="auto"/>
          <w:szCs w:val="21"/>
          <w:highlight w:val="none"/>
        </w:rPr>
        <w:t>现文：</w:t>
      </w:r>
      <w:r>
        <w:rPr>
          <w:rStyle w:val="29"/>
          <w:rFonts w:ascii="宋体" w:hAnsi="宋体"/>
          <w:color w:val="auto"/>
          <w:szCs w:val="21"/>
          <w:highlight w:val="none"/>
        </w:rPr>
        <w:t>13.3</w:t>
      </w:r>
      <w:r>
        <w:rPr>
          <w:rFonts w:hint="eastAsia" w:ascii="宋体" w:hAnsi="宋体" w:cs="宋体"/>
          <w:color w:val="auto"/>
          <w:szCs w:val="21"/>
          <w:highlight w:val="none"/>
        </w:rPr>
        <w:t>投标人的投标报价，应是按照投标须知前附表第8项的工期要求，在投标须知前附表第3项的建设地点，完成投标须知前附表第7项的招标范围内已由招标</w:t>
      </w:r>
      <w:r>
        <w:rPr>
          <w:rStyle w:val="29"/>
          <w:rFonts w:hint="eastAsia" w:ascii="宋体" w:hAnsi="宋体"/>
          <w:color w:val="auto"/>
          <w:highlight w:val="none"/>
        </w:rPr>
        <w:t>人</w:t>
      </w:r>
      <w:r>
        <w:rPr>
          <w:rStyle w:val="29"/>
          <w:rFonts w:hint="eastAsia" w:ascii="宋体" w:hAnsi="宋体"/>
          <w:color w:val="auto"/>
          <w:highlight w:val="none"/>
          <w:u w:val="single"/>
        </w:rPr>
        <w:t>提供的招标图纸（包括有关于本项目招标的相关资料）及</w:t>
      </w:r>
      <w:r>
        <w:rPr>
          <w:rStyle w:val="29"/>
          <w:rFonts w:hint="eastAsia" w:ascii="宋体" w:hAnsi="宋体"/>
          <w:color w:val="auto"/>
          <w:highlight w:val="none"/>
        </w:rPr>
        <w:t>制定的工程量清单列明工作的全部费用，包括但不限于完成工作的成本、利润、税金、技术措施费、大型机械进出场费、风险费以及政策性</w:t>
      </w:r>
      <w:r>
        <w:rPr>
          <w:rFonts w:hint="eastAsia" w:ascii="宋体" w:hAnsi="宋体" w:cs="宋体"/>
          <w:color w:val="auto"/>
          <w:szCs w:val="21"/>
          <w:highlight w:val="none"/>
        </w:rPr>
        <w:t>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1D23505">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条款号：13.4          修改类型：修改</w:t>
      </w:r>
    </w:p>
    <w:p w14:paraId="4B801E75">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原文：</w:t>
      </w:r>
      <w:r>
        <w:rPr>
          <w:rStyle w:val="29"/>
          <w:rFonts w:ascii="宋体" w:hAnsi="宋体"/>
          <w:color w:val="auto"/>
          <w:szCs w:val="21"/>
          <w:highlight w:val="none"/>
        </w:rPr>
        <w:t>13.4</w:t>
      </w:r>
      <w:r>
        <w:rPr>
          <w:rStyle w:val="29"/>
          <w:rFonts w:hint="eastAsia" w:ascii="宋体" w:hAnsi="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21EE1966">
      <w:pPr>
        <w:pBdr>
          <w:bottom w:val="single" w:color="000000" w:sz="6" w:space="1"/>
        </w:pBdr>
        <w:spacing w:line="360" w:lineRule="auto"/>
        <w:ind w:firstLine="422" w:firstLineChars="200"/>
        <w:rPr>
          <w:rStyle w:val="29"/>
          <w:rFonts w:hint="eastAsia" w:ascii="宋体" w:hAnsi="宋体"/>
          <w:color w:val="auto"/>
          <w:szCs w:val="21"/>
          <w:highlight w:val="none"/>
          <w:u w:val="single"/>
        </w:rPr>
      </w:pPr>
      <w:r>
        <w:rPr>
          <w:rStyle w:val="29"/>
          <w:rFonts w:ascii="宋体" w:hAnsi="宋体"/>
          <w:b/>
          <w:color w:val="auto"/>
          <w:szCs w:val="21"/>
          <w:highlight w:val="none"/>
        </w:rPr>
        <w:t>现文：</w:t>
      </w:r>
      <w:r>
        <w:rPr>
          <w:rStyle w:val="29"/>
          <w:rFonts w:ascii="宋体" w:hAnsi="宋体"/>
          <w:color w:val="auto"/>
          <w:szCs w:val="21"/>
          <w:highlight w:val="none"/>
        </w:rPr>
        <w:t>13.4</w:t>
      </w:r>
      <w:r>
        <w:rPr>
          <w:rStyle w:val="29"/>
          <w:rFonts w:hint="eastAsia" w:ascii="宋体" w:hAnsi="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w:t>
      </w:r>
      <w:r>
        <w:rPr>
          <w:rFonts w:hint="eastAsia" w:ascii="宋体" w:hAnsi="宋体" w:cs="宋体"/>
          <w:color w:val="auto"/>
          <w:szCs w:val="21"/>
          <w:highlight w:val="none"/>
          <w:u w:val="single"/>
        </w:rPr>
        <w:t>。</w:t>
      </w:r>
      <w:r>
        <w:rPr>
          <w:rStyle w:val="29"/>
          <w:rFonts w:hint="eastAsia" w:ascii="宋体" w:hAnsi="宋体"/>
          <w:color w:val="auto"/>
          <w:szCs w:val="21"/>
          <w:highlight w:val="none"/>
        </w:rPr>
        <w:t>因应计算的实际工程量与招标工程量清单出现偏差或因工程变更等原因导致的工程量偏差，引起相关措施项目相应发生变化时，</w:t>
      </w:r>
      <w:r>
        <w:rPr>
          <w:rStyle w:val="29"/>
          <w:rFonts w:hint="eastAsia" w:ascii="宋体" w:hAnsi="宋体"/>
          <w:bCs/>
          <w:color w:val="auto"/>
          <w:szCs w:val="21"/>
          <w:highlight w:val="none"/>
          <w:u w:val="single"/>
        </w:rPr>
        <w:t>变更结算方式按施工合同条款相关规定执行。</w:t>
      </w:r>
    </w:p>
    <w:p w14:paraId="7D387EC7">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条款号：13.5          修改类型：修改</w:t>
      </w:r>
    </w:p>
    <w:p w14:paraId="7AD3848E">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原文：</w:t>
      </w:r>
      <w:r>
        <w:rPr>
          <w:rStyle w:val="29"/>
          <w:rFonts w:ascii="宋体" w:hAnsi="宋体"/>
          <w:bCs/>
          <w:color w:val="auto"/>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081D0F39">
      <w:pPr>
        <w:spacing w:line="360" w:lineRule="auto"/>
        <w:ind w:firstLine="420" w:firstLineChars="200"/>
        <w:rPr>
          <w:rStyle w:val="29"/>
          <w:rFonts w:hint="eastAsia" w:ascii="宋体" w:hAnsi="宋体"/>
          <w:b/>
          <w:color w:val="auto"/>
          <w:szCs w:val="21"/>
          <w:highlight w:val="none"/>
        </w:rPr>
      </w:pPr>
      <w:r>
        <w:rPr>
          <w:rStyle w:val="29"/>
          <w:rFonts w:ascii="宋体" w:hAnsi="宋体"/>
          <w:bCs/>
          <w:color w:val="auto"/>
          <w:szCs w:val="21"/>
          <w:highlight w:val="none"/>
        </w:rPr>
        <w:t>13.5.1中标的投标文件工程量清单中已有相同项目的适用综合单价，则沿用；</w:t>
      </w:r>
    </w:p>
    <w:p w14:paraId="5C5F6A06">
      <w:pPr>
        <w:spacing w:line="360" w:lineRule="auto"/>
        <w:ind w:firstLine="420" w:firstLineChars="200"/>
        <w:rPr>
          <w:rStyle w:val="29"/>
          <w:rFonts w:hint="eastAsia" w:ascii="宋体" w:hAnsi="宋体"/>
          <w:b/>
          <w:color w:val="auto"/>
          <w:szCs w:val="21"/>
          <w:highlight w:val="none"/>
        </w:rPr>
      </w:pPr>
      <w:r>
        <w:rPr>
          <w:rStyle w:val="29"/>
          <w:rFonts w:ascii="宋体" w:hAnsi="宋体"/>
          <w:bCs/>
          <w:color w:val="auto"/>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r>
        <w:rPr>
          <w:rStyle w:val="29"/>
          <w:rFonts w:hint="eastAsia" w:ascii="宋体" w:hAnsi="宋体"/>
          <w:bCs/>
          <w:color w:val="auto"/>
          <w:szCs w:val="21"/>
          <w:highlight w:val="none"/>
        </w:rPr>
        <w:t>；</w:t>
      </w:r>
    </w:p>
    <w:p w14:paraId="64907213">
      <w:pPr>
        <w:spacing w:line="360" w:lineRule="auto"/>
        <w:ind w:firstLine="420" w:firstLineChars="200"/>
        <w:rPr>
          <w:rStyle w:val="29"/>
          <w:rFonts w:hint="eastAsia" w:ascii="宋体" w:hAnsi="宋体"/>
          <w:bCs/>
          <w:color w:val="auto"/>
          <w:szCs w:val="21"/>
          <w:highlight w:val="none"/>
        </w:rPr>
      </w:pPr>
      <w:r>
        <w:rPr>
          <w:rStyle w:val="29"/>
          <w:rFonts w:ascii="宋体" w:hAnsi="宋体"/>
          <w:bCs/>
          <w:color w:val="auto"/>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r>
        <w:rPr>
          <w:rStyle w:val="29"/>
          <w:rFonts w:hint="eastAsia" w:ascii="宋体" w:hAnsi="宋体"/>
          <w:bCs/>
          <w:color w:val="auto"/>
          <w:szCs w:val="21"/>
          <w:highlight w:val="none"/>
        </w:rPr>
        <w:t>；</w:t>
      </w:r>
    </w:p>
    <w:p w14:paraId="6FC84D3A">
      <w:pPr>
        <w:spacing w:line="360" w:lineRule="auto"/>
        <w:ind w:firstLine="420" w:firstLineChars="200"/>
        <w:rPr>
          <w:rStyle w:val="29"/>
          <w:rFonts w:hint="eastAsia" w:ascii="宋体" w:hAnsi="宋体"/>
          <w:b/>
          <w:color w:val="auto"/>
          <w:szCs w:val="21"/>
          <w:highlight w:val="none"/>
        </w:rPr>
      </w:pPr>
      <w:r>
        <w:rPr>
          <w:rStyle w:val="29"/>
          <w:rFonts w:ascii="宋体" w:hAnsi="宋体"/>
          <w:bCs/>
          <w:color w:val="auto"/>
          <w:szCs w:val="21"/>
          <w:highlight w:val="none"/>
        </w:rPr>
        <w:t>13.5.4 如相关定额没有相应子目的，其计价方式由招标人在本招标文件第三章中另行规定。未规定的，中标后双方协商约定。</w:t>
      </w:r>
    </w:p>
    <w:p w14:paraId="45BB55C0">
      <w:pPr>
        <w:pBdr>
          <w:bottom w:val="single" w:color="000000" w:sz="6" w:space="1"/>
        </w:pBdr>
        <w:spacing w:line="360" w:lineRule="auto"/>
        <w:ind w:firstLine="422" w:firstLineChars="200"/>
        <w:rPr>
          <w:rStyle w:val="29"/>
          <w:rFonts w:hint="eastAsia" w:ascii="宋体" w:hAnsi="宋体"/>
          <w:bCs/>
          <w:color w:val="auto"/>
          <w:szCs w:val="21"/>
          <w:highlight w:val="none"/>
          <w:u w:val="single"/>
        </w:rPr>
      </w:pPr>
      <w:r>
        <w:rPr>
          <w:rStyle w:val="29"/>
          <w:rFonts w:ascii="宋体" w:hAnsi="宋体"/>
          <w:b/>
          <w:color w:val="auto"/>
          <w:szCs w:val="21"/>
          <w:highlight w:val="none"/>
        </w:rPr>
        <w:t>现文：</w:t>
      </w:r>
      <w:r>
        <w:rPr>
          <w:rStyle w:val="29"/>
          <w:rFonts w:hint="eastAsia" w:ascii="宋体" w:hAnsi="宋体"/>
          <w:bCs/>
          <w:color w:val="auto"/>
          <w:szCs w:val="21"/>
          <w:highlight w:val="none"/>
          <w:u w:val="single"/>
        </w:rPr>
        <w:t>13.5 变更结算方式按招标文件及施工合同条款相关规定执行。</w:t>
      </w:r>
    </w:p>
    <w:p w14:paraId="4790DA6E">
      <w:pPr>
        <w:spacing w:line="440" w:lineRule="exact"/>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条款号：15.2</w:t>
      </w:r>
      <w:r>
        <w:rPr>
          <w:rStyle w:val="29"/>
          <w:rFonts w:ascii="宋体" w:hAnsi="宋体"/>
          <w:b/>
          <w:color w:val="auto"/>
          <w:szCs w:val="21"/>
          <w:highlight w:val="none"/>
        </w:rPr>
        <w:t xml:space="preserve">          </w:t>
      </w:r>
      <w:r>
        <w:rPr>
          <w:rFonts w:hint="eastAsia" w:ascii="宋体" w:hAnsi="宋体" w:cs="宋体"/>
          <w:b/>
          <w:color w:val="auto"/>
          <w:szCs w:val="21"/>
          <w:highlight w:val="none"/>
        </w:rPr>
        <w:t>修改类型：修改</w:t>
      </w:r>
    </w:p>
    <w:p w14:paraId="3AF45EF5">
      <w:pPr>
        <w:spacing w:line="440" w:lineRule="exact"/>
        <w:ind w:firstLine="472" w:firstLineChars="224"/>
        <w:rPr>
          <w:rFonts w:hint="eastAsia" w:ascii="宋体" w:hAnsi="宋体" w:cs="宋体"/>
          <w:color w:val="auto"/>
          <w:szCs w:val="21"/>
          <w:highlight w:val="none"/>
        </w:rPr>
      </w:pPr>
      <w:r>
        <w:rPr>
          <w:rFonts w:hint="eastAsia" w:ascii="宋体" w:hAnsi="宋体" w:cs="宋体"/>
          <w:b/>
          <w:color w:val="auto"/>
          <w:szCs w:val="21"/>
          <w:highlight w:val="none"/>
        </w:rPr>
        <w:t>原文：15.2</w:t>
      </w:r>
      <w:r>
        <w:rPr>
          <w:rFonts w:hint="eastAsia" w:ascii="宋体" w:hAnsi="宋体" w:cs="宋体"/>
          <w:bCs/>
          <w:color w:val="auto"/>
          <w:szCs w:val="21"/>
          <w:highlight w:val="none"/>
        </w:rPr>
        <w:t xml:space="preserve">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r>
        <w:rPr>
          <w:rFonts w:hint="eastAsia" w:ascii="宋体" w:hAnsi="宋体" w:cs="宋体"/>
          <w:color w:val="auto"/>
          <w:szCs w:val="21"/>
          <w:highlight w:val="none"/>
        </w:rPr>
        <w:t>。</w:t>
      </w:r>
    </w:p>
    <w:p w14:paraId="11B387FB">
      <w:pPr>
        <w:pBdr>
          <w:bottom w:val="single" w:color="000000" w:sz="6" w:space="1"/>
        </w:pBdr>
        <w:spacing w:line="360" w:lineRule="auto"/>
        <w:ind w:firstLine="422" w:firstLineChars="200"/>
        <w:rPr>
          <w:rStyle w:val="29"/>
          <w:rFonts w:hint="eastAsia" w:ascii="宋体" w:hAnsi="宋体"/>
          <w:bCs/>
          <w:color w:val="auto"/>
          <w:szCs w:val="21"/>
          <w:highlight w:val="none"/>
          <w:u w:val="single"/>
        </w:rPr>
      </w:pPr>
      <w:r>
        <w:rPr>
          <w:rFonts w:hint="eastAsia" w:ascii="宋体" w:hAnsi="宋体" w:cs="宋体"/>
          <w:b/>
          <w:color w:val="auto"/>
          <w:szCs w:val="21"/>
          <w:highlight w:val="none"/>
        </w:rPr>
        <w:t>现文：</w:t>
      </w:r>
      <w:r>
        <w:rPr>
          <w:rFonts w:hint="eastAsia" w:ascii="宋体" w:hAnsi="宋体" w:cs="宋体"/>
          <w:b/>
          <w:bCs/>
          <w:color w:val="auto"/>
          <w:kern w:val="0"/>
          <w:szCs w:val="21"/>
          <w:highlight w:val="none"/>
        </w:rPr>
        <w:t xml:space="preserve">15.2 </w:t>
      </w:r>
      <w:r>
        <w:rPr>
          <w:rFonts w:hint="eastAsia" w:ascii="宋体" w:hAnsi="宋体" w:cs="宋体"/>
          <w:color w:val="auto"/>
          <w:kern w:val="0"/>
          <w:szCs w:val="21"/>
          <w:highlight w:val="none"/>
        </w:rPr>
        <w:t>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r>
        <w:rPr>
          <w:rFonts w:hint="eastAsia" w:ascii="宋体" w:hAnsi="宋体" w:cs="宋体"/>
          <w:color w:val="auto"/>
          <w:szCs w:val="21"/>
          <w:highlight w:val="none"/>
        </w:rPr>
        <w:t>。</w:t>
      </w:r>
    </w:p>
    <w:p w14:paraId="12133858">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条款号：16          修改类型：</w:t>
      </w:r>
      <w:r>
        <w:rPr>
          <w:rStyle w:val="29"/>
          <w:rFonts w:hint="eastAsia" w:ascii="宋体" w:hAnsi="宋体"/>
          <w:b/>
          <w:color w:val="auto"/>
          <w:szCs w:val="21"/>
          <w:highlight w:val="none"/>
        </w:rPr>
        <w:t>删除</w:t>
      </w:r>
    </w:p>
    <w:p w14:paraId="73540976">
      <w:pPr>
        <w:spacing w:line="360" w:lineRule="auto"/>
        <w:ind w:firstLine="422" w:firstLineChars="200"/>
        <w:rPr>
          <w:rFonts w:hint="eastAsia" w:ascii="宋体" w:hAnsi="宋体" w:cs="宋体"/>
          <w:b/>
          <w:bCs/>
          <w:color w:val="auto"/>
          <w:kern w:val="0"/>
          <w:szCs w:val="21"/>
          <w:highlight w:val="none"/>
        </w:rPr>
      </w:pPr>
      <w:r>
        <w:rPr>
          <w:rStyle w:val="29"/>
          <w:rFonts w:ascii="宋体" w:hAnsi="宋体"/>
          <w:b/>
          <w:color w:val="auto"/>
          <w:szCs w:val="21"/>
          <w:highlight w:val="none"/>
        </w:rPr>
        <w:t>原文：</w:t>
      </w:r>
      <w:r>
        <w:rPr>
          <w:rFonts w:hint="eastAsia" w:ascii="宋体" w:hAnsi="宋体" w:cs="宋体"/>
          <w:b/>
          <w:bCs/>
          <w:color w:val="auto"/>
          <w:kern w:val="0"/>
          <w:szCs w:val="21"/>
          <w:highlight w:val="none"/>
        </w:rPr>
        <w:t>16．投标保证金</w:t>
      </w:r>
    </w:p>
    <w:p w14:paraId="5915C8F8">
      <w:pPr>
        <w:spacing w:line="360" w:lineRule="auto"/>
        <w:ind w:firstLine="420" w:firstLineChars="200"/>
        <w:rPr>
          <w:rStyle w:val="29"/>
          <w:rFonts w:hint="eastAsia" w:ascii="宋体" w:hAnsi="宋体"/>
          <w:bCs/>
          <w:color w:val="auto"/>
          <w:szCs w:val="21"/>
          <w:highlight w:val="none"/>
        </w:rPr>
      </w:pPr>
      <w:r>
        <w:rPr>
          <w:rStyle w:val="29"/>
          <w:rFonts w:hint="eastAsia" w:ascii="宋体" w:hAnsi="宋体"/>
          <w:bCs/>
          <w:color w:val="auto"/>
          <w:szCs w:val="21"/>
          <w:highlight w:val="none"/>
        </w:rPr>
        <w:t>16.1投标人应按投标须知前附表第14项所述金额和时间递交投标保证金。招标人应当允许投标人自主选择现金、银行保函、保证保险、专业工程担保公司担保等方式缴纳投标保证金。</w:t>
      </w:r>
    </w:p>
    <w:p w14:paraId="3E527259">
      <w:pPr>
        <w:spacing w:line="360" w:lineRule="auto"/>
        <w:ind w:firstLine="420" w:firstLineChars="200"/>
        <w:rPr>
          <w:rStyle w:val="29"/>
          <w:rFonts w:hint="eastAsia" w:ascii="宋体" w:hAnsi="宋体"/>
          <w:bCs/>
          <w:color w:val="auto"/>
          <w:szCs w:val="21"/>
          <w:highlight w:val="none"/>
        </w:rPr>
      </w:pPr>
      <w:r>
        <w:rPr>
          <w:rStyle w:val="29"/>
          <w:rFonts w:hint="eastAsia" w:ascii="宋体" w:hAnsi="宋体"/>
          <w:bCs/>
          <w:color w:val="auto"/>
          <w:szCs w:val="21"/>
          <w:highlight w:val="none"/>
        </w:rPr>
        <w:t>16.1.1 采用现金或者支票形式提交的，投标保证金须从投标人的银行基本账户转出。</w:t>
      </w:r>
    </w:p>
    <w:p w14:paraId="7C07CDE6">
      <w:pPr>
        <w:spacing w:line="360" w:lineRule="auto"/>
        <w:ind w:firstLine="420" w:firstLineChars="200"/>
        <w:rPr>
          <w:rStyle w:val="29"/>
          <w:rFonts w:hint="eastAsia" w:ascii="宋体" w:hAnsi="宋体"/>
          <w:bCs/>
          <w:color w:val="auto"/>
          <w:szCs w:val="21"/>
          <w:highlight w:val="none"/>
        </w:rPr>
      </w:pPr>
      <w:r>
        <w:rPr>
          <w:rStyle w:val="29"/>
          <w:rFonts w:hint="eastAsia" w:ascii="宋体" w:hAnsi="宋体"/>
          <w:bCs/>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7530E8D2">
      <w:pPr>
        <w:spacing w:line="360" w:lineRule="auto"/>
        <w:ind w:firstLine="420" w:firstLineChars="200"/>
        <w:rPr>
          <w:rStyle w:val="29"/>
          <w:rFonts w:hint="eastAsia" w:ascii="宋体" w:hAnsi="宋体"/>
          <w:bCs/>
          <w:color w:val="auto"/>
          <w:szCs w:val="21"/>
          <w:highlight w:val="none"/>
        </w:rPr>
      </w:pPr>
      <w:r>
        <w:rPr>
          <w:rStyle w:val="29"/>
          <w:rFonts w:hint="eastAsia" w:ascii="宋体" w:hAnsi="宋体"/>
          <w:bCs/>
          <w:color w:val="auto"/>
          <w:szCs w:val="21"/>
          <w:highlight w:val="none"/>
        </w:rPr>
        <w:t>16.1.3 采用电子形式的保函、担保或保证保险提交投标保证金的，应在招标文件中明确电子递交途径。</w:t>
      </w:r>
    </w:p>
    <w:p w14:paraId="2CF8AF8C">
      <w:pPr>
        <w:spacing w:line="360" w:lineRule="auto"/>
        <w:ind w:firstLine="420" w:firstLineChars="200"/>
        <w:rPr>
          <w:rStyle w:val="29"/>
          <w:rFonts w:hint="eastAsia" w:ascii="宋体" w:hAnsi="宋体"/>
          <w:bCs/>
          <w:color w:val="auto"/>
          <w:szCs w:val="21"/>
          <w:highlight w:val="none"/>
        </w:rPr>
      </w:pPr>
      <w:r>
        <w:rPr>
          <w:rStyle w:val="29"/>
          <w:rFonts w:hint="eastAsia" w:ascii="宋体" w:hAnsi="宋体"/>
          <w:bCs/>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24718905">
      <w:pPr>
        <w:spacing w:line="360" w:lineRule="auto"/>
        <w:ind w:firstLine="420" w:firstLineChars="200"/>
        <w:rPr>
          <w:rStyle w:val="29"/>
          <w:rFonts w:hint="eastAsia" w:ascii="宋体" w:hAnsi="宋体"/>
          <w:bCs/>
          <w:color w:val="auto"/>
          <w:szCs w:val="21"/>
          <w:highlight w:val="none"/>
        </w:rPr>
      </w:pPr>
      <w:r>
        <w:rPr>
          <w:rStyle w:val="29"/>
          <w:rFonts w:hint="eastAsia" w:ascii="宋体" w:hAnsi="宋体"/>
          <w:bCs/>
          <w:color w:val="auto"/>
          <w:szCs w:val="21"/>
          <w:highlight w:val="none"/>
        </w:rPr>
        <w:t>16.3投标保证金应依据法律法规的相关规定退还。</w:t>
      </w:r>
    </w:p>
    <w:p w14:paraId="2AC50232">
      <w:pPr>
        <w:spacing w:line="360" w:lineRule="auto"/>
        <w:ind w:firstLine="420" w:firstLineChars="200"/>
        <w:rPr>
          <w:rStyle w:val="29"/>
          <w:rFonts w:hint="eastAsia" w:ascii="宋体" w:hAnsi="宋体"/>
          <w:bCs/>
          <w:color w:val="auto"/>
          <w:szCs w:val="21"/>
          <w:highlight w:val="none"/>
        </w:rPr>
      </w:pPr>
      <w:r>
        <w:rPr>
          <w:rStyle w:val="29"/>
          <w:rFonts w:hint="eastAsia" w:ascii="宋体" w:hAnsi="宋体"/>
          <w:bCs/>
          <w:color w:val="auto"/>
          <w:szCs w:val="21"/>
          <w:highlight w:val="none"/>
        </w:rPr>
        <w:t>16.4如有下列情况之一的，招标人可以不予退还投标保证金（是否退还投标保证金由招标人在招标文件中规定）：</w:t>
      </w:r>
    </w:p>
    <w:p w14:paraId="73BDC508">
      <w:pPr>
        <w:spacing w:line="360" w:lineRule="auto"/>
        <w:ind w:firstLine="420" w:firstLineChars="200"/>
        <w:rPr>
          <w:rStyle w:val="29"/>
          <w:rFonts w:hint="eastAsia" w:ascii="宋体" w:hAnsi="宋体"/>
          <w:bCs/>
          <w:color w:val="auto"/>
          <w:szCs w:val="21"/>
          <w:highlight w:val="none"/>
        </w:rPr>
      </w:pPr>
      <w:r>
        <w:rPr>
          <w:rStyle w:val="29"/>
          <w:rFonts w:hint="eastAsia" w:ascii="宋体" w:hAnsi="宋体"/>
          <w:bCs/>
          <w:color w:val="auto"/>
          <w:szCs w:val="21"/>
          <w:highlight w:val="none"/>
        </w:rPr>
        <w:t>16.4.1因投标人原因造成投标文件未解密的；</w:t>
      </w:r>
    </w:p>
    <w:p w14:paraId="165F0982">
      <w:pPr>
        <w:spacing w:line="360" w:lineRule="auto"/>
        <w:ind w:firstLine="420" w:firstLineChars="200"/>
        <w:rPr>
          <w:rStyle w:val="29"/>
          <w:rFonts w:hint="eastAsia" w:ascii="宋体" w:hAnsi="宋体"/>
          <w:bCs/>
          <w:color w:val="auto"/>
          <w:szCs w:val="21"/>
          <w:highlight w:val="none"/>
        </w:rPr>
      </w:pPr>
      <w:r>
        <w:rPr>
          <w:rStyle w:val="29"/>
          <w:rFonts w:hint="eastAsia" w:ascii="宋体" w:hAnsi="宋体"/>
          <w:bCs/>
          <w:color w:val="auto"/>
          <w:szCs w:val="21"/>
          <w:highlight w:val="none"/>
        </w:rPr>
        <w:t>16.4.2投标人在投标有效期内撤销投标文件；</w:t>
      </w:r>
    </w:p>
    <w:p w14:paraId="5D6904F3">
      <w:pPr>
        <w:spacing w:line="360" w:lineRule="auto"/>
        <w:ind w:firstLine="420" w:firstLineChars="200"/>
        <w:rPr>
          <w:rStyle w:val="29"/>
          <w:rFonts w:hint="eastAsia" w:ascii="宋体" w:hAnsi="宋体"/>
          <w:bCs/>
          <w:color w:val="auto"/>
          <w:szCs w:val="21"/>
          <w:highlight w:val="none"/>
        </w:rPr>
      </w:pPr>
      <w:r>
        <w:rPr>
          <w:rStyle w:val="29"/>
          <w:rFonts w:hint="eastAsia" w:ascii="宋体" w:hAnsi="宋体"/>
          <w:bCs/>
          <w:color w:val="auto"/>
          <w:szCs w:val="21"/>
          <w:highlight w:val="none"/>
        </w:rPr>
        <w:t>16.4.3中标人未能在规定期限内按要求提交履约担保；</w:t>
      </w:r>
    </w:p>
    <w:p w14:paraId="622BA7E2">
      <w:pPr>
        <w:spacing w:line="360" w:lineRule="auto"/>
        <w:ind w:firstLine="420" w:firstLineChars="200"/>
        <w:rPr>
          <w:rStyle w:val="29"/>
          <w:rFonts w:hint="eastAsia" w:ascii="宋体" w:hAnsi="宋体"/>
          <w:bCs/>
          <w:color w:val="auto"/>
          <w:szCs w:val="21"/>
          <w:highlight w:val="none"/>
        </w:rPr>
      </w:pPr>
      <w:r>
        <w:rPr>
          <w:rStyle w:val="29"/>
          <w:rFonts w:hint="eastAsia" w:ascii="宋体" w:hAnsi="宋体"/>
          <w:bCs/>
          <w:color w:val="auto"/>
          <w:szCs w:val="21"/>
          <w:highlight w:val="none"/>
        </w:rPr>
        <w:t>16.4.4中标人未能在规定期限内签署合同协议。</w:t>
      </w:r>
    </w:p>
    <w:p w14:paraId="1D2B5EB2">
      <w:pPr>
        <w:spacing w:line="360" w:lineRule="auto"/>
        <w:ind w:firstLine="420" w:firstLineChars="200"/>
        <w:rPr>
          <w:rStyle w:val="29"/>
          <w:rFonts w:hint="eastAsia" w:ascii="宋体" w:hAnsi="宋体"/>
          <w:bCs/>
          <w:color w:val="auto"/>
          <w:szCs w:val="21"/>
          <w:highlight w:val="none"/>
        </w:rPr>
      </w:pPr>
      <w:r>
        <w:rPr>
          <w:rStyle w:val="29"/>
          <w:rFonts w:hint="eastAsia" w:ascii="宋体" w:hAnsi="宋体"/>
          <w:bCs/>
          <w:color w:val="auto"/>
          <w:szCs w:val="21"/>
          <w:highlight w:val="none"/>
        </w:rPr>
        <w:t>16.5投标人如存在下列情况之一的，将被拒绝在一定时期内参与招标人后续工程投标（拒绝时限需在招标文件中明确）：</w:t>
      </w:r>
    </w:p>
    <w:p w14:paraId="6B658CAB">
      <w:pPr>
        <w:spacing w:line="360" w:lineRule="auto"/>
        <w:ind w:firstLine="420" w:firstLineChars="200"/>
        <w:rPr>
          <w:rStyle w:val="29"/>
          <w:rFonts w:hint="eastAsia" w:ascii="宋体" w:hAnsi="宋体"/>
          <w:bCs/>
          <w:color w:val="auto"/>
          <w:szCs w:val="21"/>
          <w:highlight w:val="none"/>
        </w:rPr>
      </w:pPr>
      <w:r>
        <w:rPr>
          <w:rStyle w:val="29"/>
          <w:rFonts w:hint="eastAsia" w:ascii="宋体" w:hAnsi="宋体"/>
          <w:bCs/>
          <w:color w:val="auto"/>
          <w:szCs w:val="21"/>
          <w:highlight w:val="none"/>
        </w:rPr>
        <w:t>16.5.1投标人存在16.4条款所列情形且投标人提交的保函、担保或保证保险无法兑付的；</w:t>
      </w:r>
    </w:p>
    <w:p w14:paraId="223319B2">
      <w:pPr>
        <w:spacing w:line="360" w:lineRule="auto"/>
        <w:ind w:firstLine="420" w:firstLineChars="200"/>
        <w:rPr>
          <w:rStyle w:val="29"/>
          <w:rFonts w:hint="eastAsia" w:ascii="宋体" w:hAnsi="宋体"/>
          <w:bCs/>
          <w:color w:val="auto"/>
          <w:szCs w:val="21"/>
          <w:highlight w:val="none"/>
        </w:rPr>
      </w:pPr>
      <w:r>
        <w:rPr>
          <w:rStyle w:val="29"/>
          <w:rFonts w:hint="eastAsia" w:ascii="宋体" w:hAnsi="宋体"/>
          <w:bCs/>
          <w:color w:val="auto"/>
          <w:szCs w:val="21"/>
          <w:highlight w:val="none"/>
        </w:rPr>
        <w:t>16.5.2采用非电子形式提交投标保证金的投标人存在16.4条款所列情形，且未按招标人要求补交银行保函、专业工程担保公司担保或保证保险原件的；</w:t>
      </w:r>
    </w:p>
    <w:p w14:paraId="73271F91">
      <w:pPr>
        <w:spacing w:line="360" w:lineRule="auto"/>
        <w:ind w:firstLine="420" w:firstLineChars="200"/>
        <w:rPr>
          <w:rStyle w:val="29"/>
          <w:rFonts w:hint="eastAsia" w:ascii="宋体" w:hAnsi="宋体"/>
          <w:bCs/>
          <w:color w:val="auto"/>
          <w:szCs w:val="21"/>
          <w:highlight w:val="none"/>
        </w:rPr>
      </w:pPr>
      <w:r>
        <w:rPr>
          <w:rStyle w:val="29"/>
          <w:rFonts w:hint="eastAsia" w:ascii="宋体" w:hAnsi="宋体"/>
          <w:bCs/>
          <w:color w:val="auto"/>
          <w:szCs w:val="21"/>
          <w:highlight w:val="none"/>
        </w:rPr>
        <w:t>16.5.3按招标文件要求免于提供投标保证金的投标人存在16.4条款所列情形，且未按招标人要求补交投标保证金的；</w:t>
      </w:r>
    </w:p>
    <w:p w14:paraId="27A1AF52">
      <w:pPr>
        <w:spacing w:line="360" w:lineRule="auto"/>
        <w:ind w:firstLine="420" w:firstLineChars="200"/>
        <w:rPr>
          <w:rStyle w:val="29"/>
          <w:rFonts w:hint="eastAsia" w:ascii="宋体" w:hAnsi="宋体"/>
          <w:bCs/>
          <w:color w:val="auto"/>
          <w:szCs w:val="21"/>
          <w:highlight w:val="none"/>
        </w:rPr>
      </w:pPr>
      <w:r>
        <w:rPr>
          <w:rStyle w:val="29"/>
          <w:rFonts w:hint="eastAsia" w:ascii="宋体" w:hAnsi="宋体"/>
          <w:bCs/>
          <w:color w:val="auto"/>
          <w:szCs w:val="21"/>
          <w:highlight w:val="none"/>
        </w:rPr>
        <w:t>16.5.3按招标文件要求免于提供投标保证金的投标人存在16.4条款所列情形的。</w:t>
      </w:r>
    </w:p>
    <w:p w14:paraId="7ADFF497">
      <w:pPr>
        <w:pBdr>
          <w:bottom w:val="single" w:color="000000" w:sz="6" w:space="1"/>
        </w:pBdr>
        <w:spacing w:line="360" w:lineRule="auto"/>
        <w:ind w:firstLine="420" w:firstLineChars="200"/>
        <w:rPr>
          <w:rFonts w:hint="eastAsia" w:ascii="宋体" w:hAnsi="宋体"/>
          <w:bCs/>
          <w:color w:val="auto"/>
          <w:szCs w:val="21"/>
          <w:highlight w:val="none"/>
        </w:rPr>
      </w:pPr>
      <w:r>
        <w:rPr>
          <w:rFonts w:hint="eastAsia"/>
          <w:color w:val="auto"/>
          <w:highlight w:val="none"/>
        </w:rPr>
        <w:t>注：16.5.3款由招标人二选一，需在招标文件中明确。</w:t>
      </w:r>
    </w:p>
    <w:p w14:paraId="290F849A">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条款号：17.1          修改类型：修改</w:t>
      </w:r>
    </w:p>
    <w:p w14:paraId="37A51C49">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原文：</w:t>
      </w:r>
      <w:r>
        <w:rPr>
          <w:rFonts w:hint="eastAsia" w:ascii="宋体" w:hAnsi="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786B4CB2">
      <w:pPr>
        <w:pBdr>
          <w:bottom w:val="single" w:color="000000" w:sz="6" w:space="1"/>
        </w:pBdr>
        <w:spacing w:line="360" w:lineRule="auto"/>
        <w:ind w:firstLine="422" w:firstLineChars="200"/>
        <w:rPr>
          <w:rStyle w:val="29"/>
          <w:rFonts w:hint="eastAsia" w:ascii="宋体" w:hAnsi="宋体"/>
          <w:color w:val="auto"/>
          <w:szCs w:val="21"/>
          <w:highlight w:val="none"/>
          <w:u w:val="single"/>
        </w:rPr>
      </w:pPr>
      <w:r>
        <w:rPr>
          <w:rStyle w:val="29"/>
          <w:rFonts w:ascii="宋体" w:hAnsi="宋体"/>
          <w:b/>
          <w:color w:val="auto"/>
          <w:szCs w:val="21"/>
          <w:highlight w:val="none"/>
        </w:rPr>
        <w:t>现文：</w:t>
      </w:r>
      <w:r>
        <w:rPr>
          <w:rStyle w:val="29"/>
          <w:rFonts w:ascii="宋体" w:hAnsi="宋体"/>
          <w:color w:val="auto"/>
          <w:szCs w:val="21"/>
          <w:highlight w:val="none"/>
        </w:rPr>
        <w:t>17.1投标人应采用单位数字证书，按招标文件要求在相应位置加盖电子印章。投标文件中需个人签字或盖章的，</w:t>
      </w:r>
      <w:r>
        <w:rPr>
          <w:rStyle w:val="29"/>
          <w:rFonts w:hint="eastAsia" w:ascii="宋体" w:hAnsi="宋体"/>
          <w:color w:val="auto"/>
          <w:szCs w:val="21"/>
          <w:highlight w:val="none"/>
        </w:rPr>
        <w:t>应加盖个人电子印章或在线下完成后扫描上传</w:t>
      </w:r>
      <w:r>
        <w:rPr>
          <w:rStyle w:val="29"/>
          <w:rFonts w:ascii="宋体" w:hAnsi="宋体"/>
          <w:color w:val="auto"/>
          <w:szCs w:val="21"/>
          <w:highlight w:val="none"/>
        </w:rPr>
        <w:t>。按照</w:t>
      </w:r>
      <w:r>
        <w:rPr>
          <w:rStyle w:val="29"/>
          <w:rFonts w:hint="eastAsia" w:ascii="宋体" w:hAnsi="宋体"/>
          <w:color w:val="auto"/>
          <w:highlight w:val="none"/>
          <w:u w:val="single"/>
        </w:rPr>
        <w:t>广州交易集团有限公司（广州公共资源交易中心）</w:t>
      </w:r>
      <w:r>
        <w:rPr>
          <w:rStyle w:val="29"/>
          <w:rFonts w:ascii="宋体" w:hAnsi="宋体"/>
          <w:color w:val="auto"/>
          <w:szCs w:val="21"/>
          <w:highlight w:val="none"/>
        </w:rPr>
        <w:t>交易平台关于全流程电子化项目的相关指南进行操作。详见：</w:t>
      </w:r>
      <w:r>
        <w:rPr>
          <w:rStyle w:val="29"/>
          <w:rFonts w:hint="eastAsia" w:ascii="宋体" w:hAnsi="宋体"/>
          <w:color w:val="auto"/>
          <w:highlight w:val="none"/>
          <w:u w:val="single"/>
        </w:rPr>
        <w:t>广州公共资源交易中心网站最新指引</w:t>
      </w:r>
      <w:r>
        <w:rPr>
          <w:rStyle w:val="29"/>
          <w:rFonts w:ascii="宋体" w:hAnsi="宋体"/>
          <w:color w:val="auto"/>
          <w:szCs w:val="21"/>
          <w:highlight w:val="none"/>
          <w:u w:val="single"/>
        </w:rPr>
        <w:t>。</w:t>
      </w:r>
    </w:p>
    <w:p w14:paraId="50492775">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条款号：18.1          修改类型：修改</w:t>
      </w:r>
    </w:p>
    <w:p w14:paraId="3433EF35">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原文：</w:t>
      </w:r>
      <w:r>
        <w:rPr>
          <w:rStyle w:val="29"/>
          <w:rFonts w:ascii="宋体" w:hAnsi="宋体"/>
          <w:color w:val="auto"/>
          <w:szCs w:val="21"/>
          <w:highlight w:val="none"/>
        </w:rPr>
        <w:t>18.1</w:t>
      </w:r>
      <w:r>
        <w:rPr>
          <w:rStyle w:val="29"/>
          <w:rFonts w:ascii="宋体" w:hAnsi="宋体"/>
          <w:bCs/>
          <w:color w:val="auto"/>
          <w:szCs w:val="21"/>
          <w:highlight w:val="none"/>
        </w:rPr>
        <w:t>递交的电子投标文件（不含备用光盘）必须进行加密。按照交易平台关于</w:t>
      </w:r>
      <w:r>
        <w:rPr>
          <w:rStyle w:val="29"/>
          <w:rFonts w:ascii="宋体" w:hAnsi="宋体"/>
          <w:color w:val="auto"/>
          <w:szCs w:val="21"/>
          <w:highlight w:val="none"/>
        </w:rPr>
        <w:t>全流程电子化项目的相关指南进行操作。详见：</w:t>
      </w:r>
      <w:r>
        <w:rPr>
          <w:rStyle w:val="29"/>
          <w:rFonts w:ascii="宋体" w:hAnsi="宋体"/>
          <w:color w:val="auto"/>
          <w:szCs w:val="21"/>
          <w:highlight w:val="none"/>
          <w:u w:val="single"/>
        </w:rPr>
        <w:t xml:space="preserve">           </w:t>
      </w:r>
      <w:r>
        <w:rPr>
          <w:rStyle w:val="29"/>
          <w:rFonts w:ascii="宋体" w:hAnsi="宋体"/>
          <w:color w:val="auto"/>
          <w:szCs w:val="21"/>
          <w:highlight w:val="none"/>
        </w:rPr>
        <w:t xml:space="preserve"> 。</w:t>
      </w:r>
    </w:p>
    <w:p w14:paraId="34A491DA">
      <w:pPr>
        <w:pBdr>
          <w:bottom w:val="single" w:color="000000" w:sz="6" w:space="1"/>
        </w:pBdr>
        <w:spacing w:line="360" w:lineRule="auto"/>
        <w:ind w:firstLine="422" w:firstLineChars="200"/>
        <w:rPr>
          <w:rStyle w:val="29"/>
          <w:rFonts w:hint="eastAsia" w:ascii="宋体" w:hAnsi="宋体"/>
          <w:color w:val="auto"/>
          <w:szCs w:val="21"/>
          <w:highlight w:val="none"/>
          <w:u w:val="single"/>
        </w:rPr>
      </w:pPr>
      <w:r>
        <w:rPr>
          <w:rStyle w:val="29"/>
          <w:rFonts w:ascii="宋体" w:hAnsi="宋体"/>
          <w:b/>
          <w:color w:val="auto"/>
          <w:szCs w:val="21"/>
          <w:highlight w:val="none"/>
        </w:rPr>
        <w:t>现文：</w:t>
      </w:r>
      <w:r>
        <w:rPr>
          <w:rStyle w:val="29"/>
          <w:rFonts w:ascii="宋体" w:hAnsi="宋体"/>
          <w:color w:val="auto"/>
          <w:szCs w:val="21"/>
          <w:highlight w:val="none"/>
        </w:rPr>
        <w:t>18.1</w:t>
      </w:r>
      <w:r>
        <w:rPr>
          <w:rStyle w:val="29"/>
          <w:rFonts w:ascii="宋体" w:hAnsi="宋体"/>
          <w:bCs/>
          <w:color w:val="auto"/>
          <w:szCs w:val="21"/>
          <w:highlight w:val="none"/>
        </w:rPr>
        <w:t>递交的电子投标文件（不含备用光盘）必须进行加密。按照</w:t>
      </w:r>
      <w:r>
        <w:rPr>
          <w:rStyle w:val="29"/>
          <w:rFonts w:hint="eastAsia" w:ascii="宋体" w:hAnsi="宋体"/>
          <w:color w:val="auto"/>
          <w:highlight w:val="none"/>
          <w:u w:val="single"/>
        </w:rPr>
        <w:t>广州交易集团有限公司（广州公共资源交易中心）</w:t>
      </w:r>
      <w:r>
        <w:rPr>
          <w:rStyle w:val="29"/>
          <w:rFonts w:ascii="宋体" w:hAnsi="宋体"/>
          <w:bCs/>
          <w:color w:val="auto"/>
          <w:szCs w:val="21"/>
          <w:highlight w:val="none"/>
        </w:rPr>
        <w:t>交易平台关于</w:t>
      </w:r>
      <w:r>
        <w:rPr>
          <w:rStyle w:val="29"/>
          <w:rFonts w:ascii="宋体" w:hAnsi="宋体"/>
          <w:color w:val="auto"/>
          <w:szCs w:val="21"/>
          <w:highlight w:val="none"/>
        </w:rPr>
        <w:t>全流程电子化项目的相关指南进行操作。详见：</w:t>
      </w:r>
      <w:r>
        <w:rPr>
          <w:rStyle w:val="29"/>
          <w:rFonts w:hint="eastAsia" w:ascii="宋体" w:hAnsi="宋体"/>
          <w:color w:val="auto"/>
          <w:highlight w:val="none"/>
          <w:u w:val="single"/>
        </w:rPr>
        <w:t>广州公共资源交易中心网站最新指引</w:t>
      </w:r>
      <w:r>
        <w:rPr>
          <w:rStyle w:val="29"/>
          <w:rFonts w:ascii="宋体" w:hAnsi="宋体"/>
          <w:color w:val="auto"/>
          <w:szCs w:val="21"/>
          <w:highlight w:val="none"/>
          <w:u w:val="single"/>
        </w:rPr>
        <w:t>。</w:t>
      </w:r>
    </w:p>
    <w:p w14:paraId="406AA586">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条款号：18.2          修改类型：修改</w:t>
      </w:r>
    </w:p>
    <w:p w14:paraId="523D8ECF">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原文：</w:t>
      </w:r>
      <w:r>
        <w:rPr>
          <w:rStyle w:val="29"/>
          <w:rFonts w:ascii="宋体" w:hAnsi="宋体"/>
          <w:color w:val="auto"/>
          <w:szCs w:val="21"/>
          <w:highlight w:val="none"/>
        </w:rPr>
        <w:t>18.2</w:t>
      </w:r>
      <w:r>
        <w:rPr>
          <w:rStyle w:val="29"/>
          <w:rFonts w:ascii="宋体" w:hAnsi="宋体"/>
          <w:bCs/>
          <w:color w:val="auto"/>
          <w:szCs w:val="21"/>
          <w:highlight w:val="none"/>
        </w:rPr>
        <w:t>未按要求加密的投标文件，</w:t>
      </w:r>
      <w:r>
        <w:rPr>
          <w:rStyle w:val="29"/>
          <w:rFonts w:ascii="宋体" w:hAnsi="宋体"/>
          <w:color w:val="auto"/>
          <w:szCs w:val="21"/>
          <w:highlight w:val="none"/>
          <w:u w:val="single"/>
        </w:rPr>
        <w:t xml:space="preserve">        </w:t>
      </w:r>
      <w:r>
        <w:rPr>
          <w:rStyle w:val="29"/>
          <w:rFonts w:ascii="宋体" w:hAnsi="宋体"/>
          <w:color w:val="auto"/>
          <w:szCs w:val="21"/>
          <w:highlight w:val="none"/>
        </w:rPr>
        <w:t>交易平台</w:t>
      </w:r>
      <w:r>
        <w:rPr>
          <w:rStyle w:val="29"/>
          <w:rFonts w:ascii="宋体" w:hAnsi="宋体"/>
          <w:bCs/>
          <w:color w:val="auto"/>
          <w:szCs w:val="21"/>
          <w:highlight w:val="none"/>
        </w:rPr>
        <w:t>将予以拒收。</w:t>
      </w:r>
    </w:p>
    <w:p w14:paraId="7C6AEF50">
      <w:pPr>
        <w:pBdr>
          <w:bottom w:val="single" w:color="000000" w:sz="6" w:space="1"/>
        </w:pBdr>
        <w:spacing w:line="360" w:lineRule="auto"/>
        <w:ind w:firstLine="422" w:firstLineChars="200"/>
        <w:rPr>
          <w:rStyle w:val="29"/>
          <w:rFonts w:hint="eastAsia" w:ascii="宋体" w:hAnsi="宋体"/>
          <w:color w:val="auto"/>
          <w:szCs w:val="21"/>
          <w:highlight w:val="none"/>
        </w:rPr>
      </w:pPr>
      <w:r>
        <w:rPr>
          <w:rStyle w:val="29"/>
          <w:rFonts w:ascii="宋体" w:hAnsi="宋体"/>
          <w:b/>
          <w:color w:val="auto"/>
          <w:szCs w:val="21"/>
          <w:highlight w:val="none"/>
        </w:rPr>
        <w:t>现文：</w:t>
      </w:r>
      <w:r>
        <w:rPr>
          <w:rStyle w:val="29"/>
          <w:rFonts w:ascii="宋体" w:hAnsi="宋体"/>
          <w:color w:val="auto"/>
          <w:szCs w:val="21"/>
          <w:highlight w:val="none"/>
        </w:rPr>
        <w:t>18.2</w:t>
      </w:r>
      <w:r>
        <w:rPr>
          <w:rStyle w:val="29"/>
          <w:rFonts w:ascii="宋体" w:hAnsi="宋体"/>
          <w:bCs/>
          <w:color w:val="auto"/>
          <w:szCs w:val="21"/>
          <w:highlight w:val="none"/>
        </w:rPr>
        <w:t>未按要求加密的投标文件，</w:t>
      </w:r>
      <w:r>
        <w:rPr>
          <w:rStyle w:val="29"/>
          <w:rFonts w:ascii="宋体" w:hAnsi="宋体"/>
          <w:bCs/>
          <w:color w:val="auto"/>
          <w:szCs w:val="21"/>
          <w:highlight w:val="none"/>
          <w:u w:val="single"/>
        </w:rPr>
        <w:t>广州公共资源交易中心</w:t>
      </w:r>
      <w:r>
        <w:rPr>
          <w:rStyle w:val="29"/>
          <w:rFonts w:ascii="宋体" w:hAnsi="宋体"/>
          <w:bCs/>
          <w:color w:val="auto"/>
          <w:szCs w:val="21"/>
          <w:highlight w:val="none"/>
        </w:rPr>
        <w:t>交易平</w:t>
      </w:r>
      <w:r>
        <w:rPr>
          <w:rStyle w:val="29"/>
          <w:rFonts w:ascii="宋体" w:hAnsi="宋体"/>
          <w:color w:val="auto"/>
          <w:szCs w:val="21"/>
          <w:highlight w:val="none"/>
        </w:rPr>
        <w:t>台</w:t>
      </w:r>
      <w:r>
        <w:rPr>
          <w:rStyle w:val="29"/>
          <w:rFonts w:ascii="宋体" w:hAnsi="宋体"/>
          <w:bCs/>
          <w:color w:val="auto"/>
          <w:szCs w:val="21"/>
          <w:highlight w:val="none"/>
        </w:rPr>
        <w:t>将予以拒收。</w:t>
      </w:r>
    </w:p>
    <w:p w14:paraId="758C1918">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条款号：19.1          修改类型：修改</w:t>
      </w:r>
    </w:p>
    <w:p w14:paraId="52A84AB5">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原文：</w:t>
      </w:r>
      <w:r>
        <w:rPr>
          <w:rStyle w:val="29"/>
          <w:rFonts w:ascii="宋体" w:hAnsi="宋体"/>
          <w:color w:val="auto"/>
          <w:szCs w:val="21"/>
          <w:highlight w:val="none"/>
        </w:rPr>
        <w:t>19.1</w:t>
      </w:r>
      <w:r>
        <w:rPr>
          <w:rStyle w:val="29"/>
          <w:rFonts w:ascii="宋体" w:hAnsi="宋体"/>
          <w:bCs/>
          <w:color w:val="auto"/>
          <w:szCs w:val="21"/>
          <w:highlight w:val="none"/>
        </w:rPr>
        <w:t>投标人通过</w:t>
      </w:r>
      <w:r>
        <w:rPr>
          <w:rStyle w:val="29"/>
          <w:rFonts w:ascii="宋体" w:hAnsi="宋体"/>
          <w:color w:val="auto"/>
          <w:szCs w:val="21"/>
          <w:highlight w:val="none"/>
          <w:u w:val="single"/>
        </w:rPr>
        <w:t xml:space="preserve">        </w:t>
      </w:r>
      <w:r>
        <w:rPr>
          <w:rStyle w:val="29"/>
          <w:rFonts w:ascii="宋体" w:hAnsi="宋体"/>
          <w:color w:val="auto"/>
          <w:szCs w:val="21"/>
          <w:highlight w:val="none"/>
        </w:rPr>
        <w:t>交易平台递交电子投标文件。</w:t>
      </w:r>
    </w:p>
    <w:p w14:paraId="08C9EE1F">
      <w:pPr>
        <w:pBdr>
          <w:bottom w:val="single" w:color="000000" w:sz="6" w:space="1"/>
        </w:pBdr>
        <w:spacing w:line="360" w:lineRule="auto"/>
        <w:ind w:firstLine="422" w:firstLineChars="200"/>
        <w:rPr>
          <w:rStyle w:val="29"/>
          <w:rFonts w:hint="eastAsia" w:ascii="宋体" w:hAnsi="宋体"/>
          <w:color w:val="auto"/>
          <w:szCs w:val="21"/>
          <w:highlight w:val="none"/>
        </w:rPr>
      </w:pPr>
      <w:r>
        <w:rPr>
          <w:rStyle w:val="29"/>
          <w:rFonts w:ascii="宋体" w:hAnsi="宋体"/>
          <w:b/>
          <w:color w:val="auto"/>
          <w:szCs w:val="21"/>
          <w:highlight w:val="none"/>
        </w:rPr>
        <w:t>现文：</w:t>
      </w:r>
      <w:r>
        <w:rPr>
          <w:rStyle w:val="29"/>
          <w:rFonts w:ascii="宋体" w:hAnsi="宋体"/>
          <w:color w:val="auto"/>
          <w:szCs w:val="21"/>
          <w:highlight w:val="none"/>
        </w:rPr>
        <w:t>19.1</w:t>
      </w:r>
      <w:r>
        <w:rPr>
          <w:rStyle w:val="29"/>
          <w:rFonts w:ascii="宋体" w:hAnsi="宋体"/>
          <w:bCs/>
          <w:color w:val="auto"/>
          <w:szCs w:val="21"/>
          <w:highlight w:val="none"/>
        </w:rPr>
        <w:t>投标人通过</w:t>
      </w:r>
      <w:r>
        <w:rPr>
          <w:rStyle w:val="29"/>
          <w:rFonts w:hint="eastAsia" w:ascii="宋体" w:hAnsi="宋体"/>
          <w:color w:val="auto"/>
          <w:highlight w:val="none"/>
          <w:u w:val="single"/>
        </w:rPr>
        <w:t>广州交易集团有限公司（广州公共资源交易中心）</w:t>
      </w:r>
      <w:r>
        <w:rPr>
          <w:rStyle w:val="29"/>
          <w:rFonts w:ascii="宋体" w:hAnsi="宋体"/>
          <w:bCs/>
          <w:color w:val="auto"/>
          <w:szCs w:val="21"/>
          <w:highlight w:val="none"/>
        </w:rPr>
        <w:t>交易平</w:t>
      </w:r>
      <w:r>
        <w:rPr>
          <w:rStyle w:val="29"/>
          <w:rFonts w:ascii="宋体" w:hAnsi="宋体"/>
          <w:color w:val="auto"/>
          <w:szCs w:val="21"/>
          <w:highlight w:val="none"/>
        </w:rPr>
        <w:t>台递交电子投标文件。</w:t>
      </w:r>
    </w:p>
    <w:p w14:paraId="5CC474F0">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条款号：19.2          修改类型：修改</w:t>
      </w:r>
    </w:p>
    <w:p w14:paraId="7ECEBC0D">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原文：</w:t>
      </w:r>
      <w:r>
        <w:rPr>
          <w:rStyle w:val="29"/>
          <w:rFonts w:ascii="宋体" w:hAnsi="宋体"/>
          <w:color w:val="auto"/>
          <w:szCs w:val="21"/>
          <w:highlight w:val="none"/>
        </w:rPr>
        <w:t>19.2</w:t>
      </w:r>
      <w:r>
        <w:rPr>
          <w:rStyle w:val="29"/>
          <w:rFonts w:ascii="宋体" w:hAnsi="宋体"/>
          <w:bCs/>
          <w:color w:val="auto"/>
          <w:szCs w:val="21"/>
          <w:highlight w:val="none"/>
        </w:rPr>
        <w:t>投标人完成电子</w:t>
      </w:r>
      <w:r>
        <w:rPr>
          <w:rStyle w:val="29"/>
          <w:rFonts w:ascii="宋体" w:hAnsi="宋体"/>
          <w:color w:val="auto"/>
          <w:szCs w:val="21"/>
          <w:highlight w:val="none"/>
        </w:rPr>
        <w:t>投标文件</w:t>
      </w:r>
      <w:r>
        <w:rPr>
          <w:rStyle w:val="29"/>
          <w:rFonts w:ascii="宋体" w:hAnsi="宋体"/>
          <w:bCs/>
          <w:color w:val="auto"/>
          <w:szCs w:val="21"/>
          <w:highlight w:val="none"/>
        </w:rPr>
        <w:t>上传后，</w:t>
      </w:r>
      <w:r>
        <w:rPr>
          <w:rStyle w:val="29"/>
          <w:rFonts w:ascii="宋体" w:hAnsi="宋体"/>
          <w:color w:val="auto"/>
          <w:szCs w:val="21"/>
          <w:highlight w:val="none"/>
          <w:u w:val="single"/>
        </w:rPr>
        <w:t xml:space="preserve">        </w:t>
      </w:r>
      <w:r>
        <w:rPr>
          <w:rStyle w:val="29"/>
          <w:rFonts w:ascii="宋体" w:hAnsi="宋体"/>
          <w:color w:val="auto"/>
          <w:szCs w:val="21"/>
          <w:highlight w:val="none"/>
        </w:rPr>
        <w:t>交易平台即时向投标人发出递交回执通知。递交时间以递交回执通知载明的传输完成时间为准。</w:t>
      </w:r>
    </w:p>
    <w:p w14:paraId="5A3820F6">
      <w:pPr>
        <w:pBdr>
          <w:bottom w:val="single" w:color="000000" w:sz="6" w:space="1"/>
        </w:pBdr>
        <w:spacing w:line="360" w:lineRule="auto"/>
        <w:ind w:firstLine="422" w:firstLineChars="200"/>
        <w:rPr>
          <w:rStyle w:val="29"/>
          <w:rFonts w:hint="eastAsia" w:ascii="宋体" w:hAnsi="宋体"/>
          <w:color w:val="auto"/>
          <w:szCs w:val="21"/>
          <w:highlight w:val="none"/>
        </w:rPr>
      </w:pPr>
      <w:r>
        <w:rPr>
          <w:rStyle w:val="29"/>
          <w:rFonts w:ascii="宋体" w:hAnsi="宋体"/>
          <w:b/>
          <w:color w:val="auto"/>
          <w:szCs w:val="21"/>
          <w:highlight w:val="none"/>
        </w:rPr>
        <w:t>现文：</w:t>
      </w:r>
      <w:r>
        <w:rPr>
          <w:rStyle w:val="29"/>
          <w:rFonts w:ascii="宋体" w:hAnsi="宋体"/>
          <w:color w:val="auto"/>
          <w:szCs w:val="21"/>
          <w:highlight w:val="none"/>
        </w:rPr>
        <w:t>19.2</w:t>
      </w:r>
      <w:r>
        <w:rPr>
          <w:rStyle w:val="29"/>
          <w:rFonts w:ascii="宋体" w:hAnsi="宋体"/>
          <w:bCs/>
          <w:color w:val="auto"/>
          <w:szCs w:val="21"/>
          <w:highlight w:val="none"/>
        </w:rPr>
        <w:t>投标人完成电子</w:t>
      </w:r>
      <w:r>
        <w:rPr>
          <w:rStyle w:val="29"/>
          <w:rFonts w:ascii="宋体" w:hAnsi="宋体"/>
          <w:color w:val="auto"/>
          <w:szCs w:val="21"/>
          <w:highlight w:val="none"/>
        </w:rPr>
        <w:t>投标文件</w:t>
      </w:r>
      <w:r>
        <w:rPr>
          <w:rStyle w:val="29"/>
          <w:rFonts w:ascii="宋体" w:hAnsi="宋体"/>
          <w:bCs/>
          <w:color w:val="auto"/>
          <w:szCs w:val="21"/>
          <w:highlight w:val="none"/>
        </w:rPr>
        <w:t>上传后，</w:t>
      </w:r>
      <w:r>
        <w:rPr>
          <w:rStyle w:val="29"/>
          <w:rFonts w:hint="eastAsia" w:ascii="宋体" w:hAnsi="宋体"/>
          <w:color w:val="auto"/>
          <w:highlight w:val="none"/>
          <w:u w:val="single"/>
        </w:rPr>
        <w:t>广州交易集团有限公司（广州公共资源交易中心）</w:t>
      </w:r>
      <w:r>
        <w:rPr>
          <w:rStyle w:val="29"/>
          <w:rFonts w:ascii="宋体" w:hAnsi="宋体"/>
          <w:color w:val="auto"/>
          <w:szCs w:val="21"/>
          <w:highlight w:val="none"/>
        </w:rPr>
        <w:t>交易平台即时向投标人发出递交回执通知。递交时间以递交回执通知载明的传输完成时间为准。</w:t>
      </w:r>
    </w:p>
    <w:p w14:paraId="357A83D3">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条款号：19.3          修改类型：修改</w:t>
      </w:r>
    </w:p>
    <w:p w14:paraId="6527A498">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原文：</w:t>
      </w:r>
      <w:r>
        <w:rPr>
          <w:rStyle w:val="29"/>
          <w:rFonts w:ascii="宋体" w:hAnsi="宋体"/>
          <w:bCs/>
          <w:color w:val="auto"/>
          <w:szCs w:val="21"/>
          <w:highlight w:val="none"/>
        </w:rPr>
        <w:t>逾期送达的电子投标文件，</w:t>
      </w:r>
      <w:r>
        <w:rPr>
          <w:rStyle w:val="29"/>
          <w:rFonts w:ascii="宋体" w:hAnsi="宋体"/>
          <w:color w:val="auto"/>
          <w:szCs w:val="21"/>
          <w:highlight w:val="none"/>
          <w:u w:val="single"/>
        </w:rPr>
        <w:t xml:space="preserve">        </w:t>
      </w:r>
      <w:r>
        <w:rPr>
          <w:rStyle w:val="29"/>
          <w:rFonts w:ascii="宋体" w:hAnsi="宋体"/>
          <w:color w:val="auto"/>
          <w:szCs w:val="21"/>
          <w:highlight w:val="none"/>
        </w:rPr>
        <w:t>交易平台将予以拒收。</w:t>
      </w:r>
    </w:p>
    <w:p w14:paraId="5185C513">
      <w:pPr>
        <w:pBdr>
          <w:bottom w:val="single" w:color="000000" w:sz="6" w:space="1"/>
        </w:pBdr>
        <w:spacing w:line="360" w:lineRule="auto"/>
        <w:ind w:firstLine="422" w:firstLineChars="200"/>
        <w:rPr>
          <w:rStyle w:val="29"/>
          <w:rFonts w:hint="eastAsia" w:ascii="宋体" w:hAnsi="宋体"/>
          <w:color w:val="auto"/>
          <w:szCs w:val="21"/>
          <w:highlight w:val="none"/>
        </w:rPr>
      </w:pPr>
      <w:r>
        <w:rPr>
          <w:rStyle w:val="29"/>
          <w:rFonts w:ascii="宋体" w:hAnsi="宋体"/>
          <w:b/>
          <w:color w:val="auto"/>
          <w:szCs w:val="21"/>
          <w:highlight w:val="none"/>
        </w:rPr>
        <w:t>现文：</w:t>
      </w:r>
      <w:r>
        <w:rPr>
          <w:rStyle w:val="29"/>
          <w:rFonts w:ascii="宋体" w:hAnsi="宋体"/>
          <w:bCs/>
          <w:color w:val="auto"/>
          <w:szCs w:val="21"/>
          <w:highlight w:val="none"/>
        </w:rPr>
        <w:t>逾期送达的电子投标文件，</w:t>
      </w:r>
      <w:r>
        <w:rPr>
          <w:rStyle w:val="29"/>
          <w:rFonts w:hint="eastAsia" w:ascii="宋体" w:hAnsi="宋体"/>
          <w:color w:val="auto"/>
          <w:highlight w:val="none"/>
          <w:u w:val="single"/>
        </w:rPr>
        <w:t>广州交易集团有限公司（广州公共资源交易中心）</w:t>
      </w:r>
      <w:r>
        <w:rPr>
          <w:rStyle w:val="29"/>
          <w:rFonts w:ascii="宋体" w:hAnsi="宋体"/>
          <w:color w:val="auto"/>
          <w:szCs w:val="21"/>
          <w:highlight w:val="none"/>
        </w:rPr>
        <w:t>交易平台将予以拒收。</w:t>
      </w:r>
    </w:p>
    <w:p w14:paraId="578B7BE8">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条款号：19.5          修改类型：修改</w:t>
      </w:r>
    </w:p>
    <w:p w14:paraId="33C4C2DD">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原文：</w:t>
      </w:r>
      <w:r>
        <w:rPr>
          <w:rStyle w:val="29"/>
          <w:rFonts w:ascii="宋体" w:hAnsi="宋体"/>
          <w:color w:val="auto"/>
          <w:szCs w:val="21"/>
          <w:highlight w:val="none"/>
        </w:rPr>
        <w:t>19.5如技术标和经济标先后分别开启，</w:t>
      </w:r>
      <w:r>
        <w:rPr>
          <w:rStyle w:val="29"/>
          <w:rFonts w:ascii="宋体" w:hAnsi="宋体"/>
          <w:color w:val="auto"/>
          <w:szCs w:val="21"/>
          <w:highlight w:val="none"/>
          <w:u w:val="single"/>
        </w:rPr>
        <w:t xml:space="preserve">        </w:t>
      </w:r>
      <w:r>
        <w:rPr>
          <w:rStyle w:val="29"/>
          <w:rFonts w:ascii="宋体" w:hAnsi="宋体"/>
          <w:color w:val="auto"/>
          <w:szCs w:val="21"/>
          <w:highlight w:val="none"/>
        </w:rPr>
        <w:t>交易平台将按招标文件规定的时间分别开启技术标和经济标。</w:t>
      </w:r>
    </w:p>
    <w:p w14:paraId="37EC2B01">
      <w:pPr>
        <w:pBdr>
          <w:bottom w:val="single" w:color="000000" w:sz="6" w:space="1"/>
        </w:pBdr>
        <w:spacing w:line="360" w:lineRule="auto"/>
        <w:ind w:firstLine="422" w:firstLineChars="200"/>
        <w:rPr>
          <w:rStyle w:val="29"/>
          <w:rFonts w:hint="eastAsia" w:ascii="宋体" w:hAnsi="宋体"/>
          <w:color w:val="auto"/>
          <w:szCs w:val="21"/>
          <w:highlight w:val="none"/>
        </w:rPr>
      </w:pPr>
      <w:r>
        <w:rPr>
          <w:rStyle w:val="29"/>
          <w:rFonts w:ascii="宋体" w:hAnsi="宋体"/>
          <w:b/>
          <w:color w:val="auto"/>
          <w:szCs w:val="21"/>
          <w:highlight w:val="none"/>
        </w:rPr>
        <w:t>现文：</w:t>
      </w:r>
      <w:r>
        <w:rPr>
          <w:rStyle w:val="29"/>
          <w:rFonts w:ascii="宋体" w:hAnsi="宋体"/>
          <w:color w:val="auto"/>
          <w:szCs w:val="21"/>
          <w:highlight w:val="none"/>
        </w:rPr>
        <w:t>19.5如技术标和经济标</w:t>
      </w:r>
      <w:r>
        <w:rPr>
          <w:rStyle w:val="29"/>
          <w:rFonts w:hint="eastAsia" w:ascii="宋体" w:hAnsi="宋体"/>
          <w:color w:val="auto"/>
          <w:szCs w:val="21"/>
          <w:highlight w:val="none"/>
        </w:rPr>
        <w:t>同时</w:t>
      </w:r>
      <w:r>
        <w:rPr>
          <w:rStyle w:val="29"/>
          <w:rFonts w:ascii="宋体" w:hAnsi="宋体"/>
          <w:color w:val="auto"/>
          <w:szCs w:val="21"/>
          <w:highlight w:val="none"/>
        </w:rPr>
        <w:t>开启，</w:t>
      </w:r>
      <w:r>
        <w:rPr>
          <w:rStyle w:val="29"/>
          <w:rFonts w:hint="eastAsia" w:ascii="宋体" w:hAnsi="宋体"/>
          <w:color w:val="auto"/>
          <w:highlight w:val="none"/>
          <w:u w:val="single"/>
        </w:rPr>
        <w:t>广州交易集团有限公司（广州公共资源交易中心）</w:t>
      </w:r>
      <w:r>
        <w:rPr>
          <w:rStyle w:val="29"/>
          <w:rFonts w:ascii="宋体" w:hAnsi="宋体"/>
          <w:color w:val="auto"/>
          <w:szCs w:val="21"/>
          <w:highlight w:val="none"/>
        </w:rPr>
        <w:t>交易平台将按招标文件规定的时间</w:t>
      </w:r>
      <w:r>
        <w:rPr>
          <w:rStyle w:val="29"/>
          <w:rFonts w:hint="eastAsia" w:ascii="宋体" w:hAnsi="宋体"/>
          <w:color w:val="auto"/>
          <w:szCs w:val="21"/>
          <w:highlight w:val="none"/>
        </w:rPr>
        <w:t>同时</w:t>
      </w:r>
      <w:r>
        <w:rPr>
          <w:rStyle w:val="29"/>
          <w:rFonts w:ascii="宋体" w:hAnsi="宋体"/>
          <w:color w:val="auto"/>
          <w:szCs w:val="21"/>
          <w:highlight w:val="none"/>
        </w:rPr>
        <w:t>开启技术标和经济标。</w:t>
      </w:r>
    </w:p>
    <w:p w14:paraId="4BE8C570">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条款号：20.3          修改类型：修改</w:t>
      </w:r>
    </w:p>
    <w:p w14:paraId="50B12940">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原文：</w:t>
      </w:r>
      <w:r>
        <w:rPr>
          <w:rStyle w:val="29"/>
          <w:rFonts w:ascii="宋体" w:hAnsi="宋体"/>
          <w:color w:val="auto"/>
          <w:szCs w:val="21"/>
          <w:highlight w:val="none"/>
        </w:rPr>
        <w:t>20.3到投标截止时间止，招标人收到的投标文件少于3家的，招标人将重新组织招标（当N个标段同时招标且不允许兼中时，若有效投标人不足N+2家，则重新组织招标）。</w:t>
      </w:r>
    </w:p>
    <w:p w14:paraId="26CE10E5">
      <w:pPr>
        <w:pBdr>
          <w:bottom w:val="single" w:color="000000" w:sz="6" w:space="1"/>
        </w:pBdr>
        <w:spacing w:line="360" w:lineRule="auto"/>
        <w:ind w:firstLine="422" w:firstLineChars="200"/>
        <w:rPr>
          <w:rStyle w:val="29"/>
          <w:rFonts w:hint="eastAsia" w:ascii="宋体" w:hAnsi="宋体"/>
          <w:color w:val="auto"/>
          <w:szCs w:val="21"/>
          <w:highlight w:val="none"/>
          <w:u w:val="single"/>
        </w:rPr>
      </w:pPr>
      <w:r>
        <w:rPr>
          <w:rStyle w:val="29"/>
          <w:rFonts w:ascii="宋体" w:hAnsi="宋体"/>
          <w:b/>
          <w:color w:val="auto"/>
          <w:szCs w:val="21"/>
          <w:highlight w:val="none"/>
        </w:rPr>
        <w:t>现文：</w:t>
      </w:r>
      <w:r>
        <w:rPr>
          <w:rStyle w:val="29"/>
          <w:rFonts w:ascii="宋体" w:hAnsi="宋体"/>
          <w:color w:val="auto"/>
          <w:szCs w:val="21"/>
          <w:highlight w:val="none"/>
          <w:u w:val="single"/>
        </w:rPr>
        <w:t>20.3到投标截止时间止，招标人收到的投标文件少于3家的，招标人将重新组织招标。</w:t>
      </w:r>
    </w:p>
    <w:p w14:paraId="2B8F76B6">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条款号：21.1          修改类型：修改</w:t>
      </w:r>
    </w:p>
    <w:p w14:paraId="21D9C272">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原文：</w:t>
      </w:r>
      <w:r>
        <w:rPr>
          <w:rStyle w:val="29"/>
          <w:rFonts w:ascii="宋体" w:hAnsi="宋体"/>
          <w:color w:val="auto"/>
          <w:szCs w:val="21"/>
          <w:highlight w:val="none"/>
        </w:rPr>
        <w:t>21.1本须知前附表第17项规定的投标截止时间</w:t>
      </w:r>
      <w:r>
        <w:rPr>
          <w:rStyle w:val="29"/>
          <w:rFonts w:ascii="宋体" w:hAnsi="宋体"/>
          <w:bCs/>
          <w:color w:val="auto"/>
          <w:szCs w:val="21"/>
          <w:highlight w:val="none"/>
        </w:rPr>
        <w:t>后送达的电子投标文件，</w:t>
      </w:r>
      <w:r>
        <w:rPr>
          <w:rStyle w:val="29"/>
          <w:rFonts w:ascii="宋体" w:hAnsi="宋体"/>
          <w:color w:val="auto"/>
          <w:szCs w:val="21"/>
          <w:highlight w:val="none"/>
          <w:u w:val="single"/>
        </w:rPr>
        <w:t xml:space="preserve">       </w:t>
      </w:r>
      <w:r>
        <w:rPr>
          <w:rStyle w:val="29"/>
          <w:rFonts w:ascii="宋体" w:hAnsi="宋体"/>
          <w:color w:val="auto"/>
          <w:szCs w:val="21"/>
          <w:highlight w:val="none"/>
        </w:rPr>
        <w:t>交易平台将予以拒收。</w:t>
      </w:r>
    </w:p>
    <w:p w14:paraId="291C8F97">
      <w:pPr>
        <w:pBdr>
          <w:bottom w:val="single" w:color="000000" w:sz="6" w:space="1"/>
        </w:pBdr>
        <w:spacing w:line="360" w:lineRule="auto"/>
        <w:ind w:firstLine="422" w:firstLineChars="200"/>
        <w:rPr>
          <w:rStyle w:val="29"/>
          <w:rFonts w:hint="eastAsia" w:ascii="宋体" w:hAnsi="宋体"/>
          <w:bCs/>
          <w:color w:val="auto"/>
          <w:szCs w:val="21"/>
          <w:highlight w:val="none"/>
        </w:rPr>
      </w:pPr>
      <w:r>
        <w:rPr>
          <w:rStyle w:val="29"/>
          <w:rFonts w:ascii="宋体" w:hAnsi="宋体"/>
          <w:b/>
          <w:color w:val="auto"/>
          <w:szCs w:val="21"/>
          <w:highlight w:val="none"/>
        </w:rPr>
        <w:t>现文：</w:t>
      </w:r>
      <w:r>
        <w:rPr>
          <w:rStyle w:val="29"/>
          <w:rFonts w:ascii="宋体" w:hAnsi="宋体"/>
          <w:color w:val="auto"/>
          <w:szCs w:val="21"/>
          <w:highlight w:val="none"/>
        </w:rPr>
        <w:t>21.1本须知前附表第17项规定的投标截止时间</w:t>
      </w:r>
      <w:r>
        <w:rPr>
          <w:rStyle w:val="29"/>
          <w:rFonts w:ascii="宋体" w:hAnsi="宋体"/>
          <w:bCs/>
          <w:color w:val="auto"/>
          <w:szCs w:val="21"/>
          <w:highlight w:val="none"/>
        </w:rPr>
        <w:t>后送达的电子投标文件，</w:t>
      </w:r>
      <w:r>
        <w:rPr>
          <w:rStyle w:val="29"/>
          <w:rFonts w:hint="eastAsia" w:ascii="宋体" w:hAnsi="宋体"/>
          <w:color w:val="auto"/>
          <w:highlight w:val="none"/>
          <w:u w:val="single"/>
        </w:rPr>
        <w:t>广州交易集团有限公司（广州公共资源交易中心）</w:t>
      </w:r>
      <w:r>
        <w:rPr>
          <w:rStyle w:val="29"/>
          <w:rFonts w:ascii="宋体" w:hAnsi="宋体"/>
          <w:bCs/>
          <w:color w:val="auto"/>
          <w:szCs w:val="21"/>
          <w:highlight w:val="none"/>
        </w:rPr>
        <w:t>交易平台将予以拒收。</w:t>
      </w:r>
    </w:p>
    <w:p w14:paraId="0DF84B1A">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条款号：27.1          修改类型：修改</w:t>
      </w:r>
    </w:p>
    <w:p w14:paraId="19165B9D">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原文：</w:t>
      </w:r>
      <w:r>
        <w:rPr>
          <w:rStyle w:val="29"/>
          <w:rFonts w:ascii="宋体" w:hAnsi="宋体"/>
          <w:color w:val="auto"/>
          <w:szCs w:val="21"/>
          <w:highlight w:val="none"/>
        </w:rPr>
        <w:t>27.1</w:t>
      </w:r>
      <w:r>
        <w:rPr>
          <w:rStyle w:val="29"/>
          <w:rFonts w:hint="eastAsia" w:ascii="宋体" w:hAnsi="宋体"/>
          <w:color w:val="auto"/>
          <w:szCs w:val="21"/>
          <w:highlight w:val="none"/>
        </w:rPr>
        <w:t>招标人将在</w:t>
      </w:r>
      <w:r>
        <w:rPr>
          <w:rStyle w:val="29"/>
          <w:rFonts w:hint="eastAsia" w:ascii="宋体" w:hAnsi="宋体"/>
          <w:color w:val="auto"/>
          <w:szCs w:val="21"/>
          <w:highlight w:val="none"/>
          <w:u w:val="single"/>
        </w:rPr>
        <w:t xml:space="preserve">    </w:t>
      </w:r>
      <w:r>
        <w:rPr>
          <w:rStyle w:val="29"/>
          <w:rFonts w:hint="eastAsia" w:ascii="宋体" w:hAnsi="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0DE124C4">
      <w:pPr>
        <w:pBdr>
          <w:bottom w:val="single" w:color="000000" w:sz="6" w:space="1"/>
        </w:pBdr>
        <w:spacing w:line="360" w:lineRule="auto"/>
        <w:ind w:firstLine="422" w:firstLineChars="200"/>
        <w:rPr>
          <w:rStyle w:val="29"/>
          <w:rFonts w:hint="eastAsia" w:ascii="宋体" w:hAnsi="宋体"/>
          <w:color w:val="auto"/>
          <w:szCs w:val="21"/>
          <w:highlight w:val="none"/>
          <w:u w:val="single"/>
        </w:rPr>
      </w:pPr>
      <w:r>
        <w:rPr>
          <w:rStyle w:val="29"/>
          <w:rFonts w:ascii="宋体" w:hAnsi="宋体"/>
          <w:b/>
          <w:color w:val="auto"/>
          <w:szCs w:val="21"/>
          <w:highlight w:val="none"/>
        </w:rPr>
        <w:t>现文：</w:t>
      </w:r>
      <w:r>
        <w:rPr>
          <w:rStyle w:val="29"/>
          <w:rFonts w:ascii="宋体" w:hAnsi="宋体"/>
          <w:color w:val="auto"/>
          <w:szCs w:val="21"/>
          <w:highlight w:val="none"/>
        </w:rPr>
        <w:t>27.1招标人将在</w:t>
      </w:r>
      <w:r>
        <w:rPr>
          <w:rStyle w:val="29"/>
          <w:rFonts w:hint="eastAsia" w:ascii="宋体" w:hAnsi="宋体"/>
          <w:color w:val="auto"/>
          <w:highlight w:val="none"/>
          <w:u w:val="single"/>
        </w:rPr>
        <w:t>广州交易集团有限公司（广州公共资源交易中心）</w:t>
      </w:r>
      <w:r>
        <w:rPr>
          <w:rStyle w:val="29"/>
          <w:rFonts w:hint="eastAsia" w:ascii="宋体" w:hAnsi="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7A8EC600">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条款号：27.4          修改类型：修改</w:t>
      </w:r>
    </w:p>
    <w:p w14:paraId="5B45CE79">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原文：</w:t>
      </w:r>
      <w:r>
        <w:rPr>
          <w:rStyle w:val="29"/>
          <w:rFonts w:ascii="宋体" w:hAnsi="宋体"/>
          <w:color w:val="auto"/>
          <w:szCs w:val="21"/>
          <w:highlight w:val="none"/>
        </w:rPr>
        <w:t>27.4</w:t>
      </w:r>
      <w:r>
        <w:rPr>
          <w:rFonts w:hint="eastAsia" w:ascii="宋体" w:hAnsi="宋体"/>
          <w:color w:val="auto"/>
          <w:szCs w:val="21"/>
          <w:highlight w:val="none"/>
        </w:rPr>
        <w:t>在产生中标候选人后，招标人将中标候选人的投标文件商务部分文件的所有内容（包括人员、业绩、奖项等资料）在</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交易平台和广东省招标投标监管网公开。</w:t>
      </w:r>
    </w:p>
    <w:p w14:paraId="0BEB7D87">
      <w:pPr>
        <w:pBdr>
          <w:bottom w:val="single" w:color="000000" w:sz="6" w:space="1"/>
        </w:pBdr>
        <w:spacing w:line="360" w:lineRule="auto"/>
        <w:ind w:firstLine="422" w:firstLineChars="200"/>
        <w:rPr>
          <w:rStyle w:val="29"/>
          <w:rFonts w:hint="eastAsia" w:ascii="宋体" w:hAnsi="宋体"/>
          <w:color w:val="auto"/>
          <w:szCs w:val="21"/>
          <w:highlight w:val="none"/>
        </w:rPr>
      </w:pPr>
      <w:r>
        <w:rPr>
          <w:rStyle w:val="29"/>
          <w:rFonts w:ascii="宋体" w:hAnsi="宋体"/>
          <w:b/>
          <w:color w:val="auto"/>
          <w:szCs w:val="21"/>
          <w:highlight w:val="none"/>
        </w:rPr>
        <w:t>现文：</w:t>
      </w:r>
      <w:r>
        <w:rPr>
          <w:rStyle w:val="29"/>
          <w:rFonts w:ascii="宋体" w:hAnsi="宋体"/>
          <w:color w:val="auto"/>
          <w:szCs w:val="21"/>
          <w:highlight w:val="none"/>
        </w:rPr>
        <w:t>27.4</w:t>
      </w:r>
      <w:r>
        <w:rPr>
          <w:rFonts w:hint="eastAsia" w:ascii="宋体" w:hAnsi="宋体"/>
          <w:color w:val="auto"/>
          <w:szCs w:val="21"/>
          <w:highlight w:val="none"/>
        </w:rPr>
        <w:t>在产生中标候选人后，招标人将中标候选人的投标文件商务部分文件的所有内容（包括人员、业绩、奖项等资料）</w:t>
      </w:r>
      <w:r>
        <w:rPr>
          <w:rFonts w:ascii="宋体" w:hAnsi="宋体"/>
          <w:color w:val="auto"/>
          <w:szCs w:val="21"/>
          <w:highlight w:val="none"/>
        </w:rPr>
        <w:t>在</w:t>
      </w:r>
      <w:r>
        <w:rPr>
          <w:rStyle w:val="29"/>
          <w:rFonts w:hint="eastAsia" w:ascii="宋体" w:hAnsi="宋体"/>
          <w:color w:val="auto"/>
          <w:highlight w:val="none"/>
          <w:u w:val="single"/>
        </w:rPr>
        <w:t>广州交易集团有限公司（广州公共资源交易中心）</w:t>
      </w:r>
      <w:r>
        <w:rPr>
          <w:rFonts w:ascii="宋体" w:hAnsi="宋体"/>
          <w:color w:val="auto"/>
          <w:szCs w:val="21"/>
          <w:highlight w:val="none"/>
        </w:rPr>
        <w:t>交易平台和广东省招标投标监管网公开。</w:t>
      </w:r>
    </w:p>
    <w:p w14:paraId="3C146EB0">
      <w:pPr>
        <w:spacing w:before="156" w:beforeLines="50"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条款号：28.2                               修改类型：修改</w:t>
      </w:r>
    </w:p>
    <w:p w14:paraId="2C284E83">
      <w:pP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 xml:space="preserve"> 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D5CBCF6">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28.2中标通知书发出之日起30日后，中标人未按上款的规定与招标人订立合同，招标人将解除中标通知书，原中标人依法承担相应法律责任。原中标人有异议的，可以向人民法院起诉。</w:t>
      </w:r>
    </w:p>
    <w:p w14:paraId="6E1F11C4">
      <w:pPr>
        <w:spacing w:before="156" w:beforeLines="50"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条款号：29.2                               修改类型：修改</w:t>
      </w:r>
    </w:p>
    <w:p w14:paraId="1149B02B">
      <w:pP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 xml:space="preserve"> 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B9A60A0">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29.2中标通知书发出之日起15日后，中标人未按上款的规定提交履约担保，招标人将解除中标通知书，原中标人依法承担相应法律责任。原中标人有异议的，可以向人民法院起诉。</w:t>
      </w:r>
    </w:p>
    <w:p w14:paraId="36DB6CA5">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条款号：31.1          修改类型：增加</w:t>
      </w:r>
    </w:p>
    <w:p w14:paraId="642EBD1A">
      <w:pPr>
        <w:pBdr>
          <w:bottom w:val="single" w:color="000000" w:sz="6" w:space="1"/>
        </w:pBdr>
        <w:spacing w:line="360" w:lineRule="auto"/>
        <w:ind w:firstLine="422" w:firstLineChars="200"/>
        <w:rPr>
          <w:rFonts w:hint="eastAsia" w:ascii="宋体" w:hAnsi="宋体"/>
          <w:bCs/>
          <w:color w:val="auto"/>
          <w:szCs w:val="21"/>
          <w:highlight w:val="none"/>
          <w:u w:val="single"/>
        </w:rPr>
      </w:pPr>
      <w:r>
        <w:rPr>
          <w:rStyle w:val="29"/>
          <w:rFonts w:ascii="宋体" w:hAnsi="宋体"/>
          <w:b/>
          <w:color w:val="auto"/>
          <w:szCs w:val="21"/>
          <w:highlight w:val="none"/>
        </w:rPr>
        <w:t>现文：</w:t>
      </w:r>
    </w:p>
    <w:p w14:paraId="53791FAE">
      <w:pPr>
        <w:pBdr>
          <w:bottom w:val="single" w:color="000000" w:sz="6" w:space="1"/>
        </w:pBdr>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u w:val="single"/>
        </w:rPr>
        <w:t>1、中标人代缴公共资源交易服务费，其费用包含在中标人投标报价中，交易中心向中标人开具增值税发票。</w:t>
      </w:r>
    </w:p>
    <w:p w14:paraId="157FEF9A">
      <w:pPr>
        <w:pBdr>
          <w:bottom w:val="single" w:color="000000" w:sz="6" w:space="1"/>
        </w:pBdr>
        <w:spacing w:line="360" w:lineRule="auto"/>
        <w:ind w:firstLine="420" w:firstLineChars="200"/>
        <w:rPr>
          <w:rStyle w:val="29"/>
          <w:rFonts w:hint="eastAsia" w:ascii="宋体" w:hAnsi="宋体"/>
          <w:color w:val="auto"/>
          <w:szCs w:val="21"/>
          <w:highlight w:val="none"/>
          <w:u w:val="single"/>
        </w:rPr>
      </w:pPr>
      <w:r>
        <w:rPr>
          <w:rFonts w:hint="eastAsia" w:ascii="宋体" w:hAnsi="宋体"/>
          <w:bCs/>
          <w:color w:val="auto"/>
          <w:szCs w:val="21"/>
          <w:highlight w:val="none"/>
          <w:u w:val="single"/>
        </w:rPr>
        <w:t>2、本项目招标代理服务费由中标人支付，金额以招标人与招标代理机构签订的招标代理合同为准。</w:t>
      </w:r>
    </w:p>
    <w:p w14:paraId="277C5E43">
      <w:pPr>
        <w:spacing w:line="360" w:lineRule="auto"/>
        <w:ind w:firstLine="211" w:firstLineChars="100"/>
        <w:rPr>
          <w:rStyle w:val="29"/>
          <w:rFonts w:hint="eastAsia" w:ascii="宋体" w:hAnsi="宋体"/>
          <w:b/>
          <w:color w:val="auto"/>
          <w:szCs w:val="21"/>
          <w:highlight w:val="none"/>
        </w:rPr>
      </w:pPr>
      <w:r>
        <w:rPr>
          <w:rStyle w:val="29"/>
          <w:rFonts w:ascii="宋体" w:hAnsi="宋体"/>
          <w:b/>
          <w:color w:val="auto"/>
          <w:szCs w:val="21"/>
          <w:highlight w:val="none"/>
        </w:rPr>
        <w:t>注：以上修改，仅限于本范本中有可供选择条款的情形。</w:t>
      </w:r>
    </w:p>
    <w:p w14:paraId="462BC955">
      <w:pPr>
        <w:spacing w:line="360" w:lineRule="auto"/>
        <w:rPr>
          <w:rStyle w:val="29"/>
          <w:rFonts w:hint="eastAsia" w:ascii="宋体" w:hAnsi="宋体"/>
          <w:color w:val="auto"/>
          <w:szCs w:val="21"/>
          <w:highlight w:val="none"/>
        </w:rPr>
      </w:pPr>
      <w:r>
        <w:rPr>
          <w:rStyle w:val="29"/>
          <w:rFonts w:ascii="宋体" w:hAnsi="宋体"/>
          <w:b/>
          <w:color w:val="auto"/>
          <w:szCs w:val="21"/>
          <w:highlight w:val="none"/>
        </w:rPr>
        <w:t>（以下无正文）</w:t>
      </w:r>
    </w:p>
    <w:p w14:paraId="70A5C458">
      <w:pPr>
        <w:spacing w:line="360" w:lineRule="auto"/>
        <w:rPr>
          <w:color w:val="auto"/>
          <w:highlight w:val="none"/>
        </w:rPr>
      </w:pPr>
    </w:p>
    <w:p w14:paraId="7914C46E">
      <w:pPr>
        <w:pStyle w:val="6"/>
        <w:rPr>
          <w:color w:val="auto"/>
          <w:highlight w:val="none"/>
        </w:rPr>
      </w:pPr>
      <w:r>
        <w:rPr>
          <w:color w:val="auto"/>
          <w:highlight w:val="none"/>
        </w:rPr>
        <w:br w:type="page"/>
      </w:r>
      <w:bookmarkStart w:id="6" w:name="_Toc21525492"/>
      <w:bookmarkStart w:id="7" w:name="_Toc2272548"/>
      <w:r>
        <w:rPr>
          <w:rFonts w:hint="eastAsia"/>
          <w:color w:val="auto"/>
          <w:highlight w:val="none"/>
        </w:rPr>
        <w:t>三、投标须知通用条款</w:t>
      </w:r>
      <w:bookmarkEnd w:id="6"/>
      <w:bookmarkEnd w:id="7"/>
    </w:p>
    <w:p w14:paraId="627DFE7C">
      <w:pPr>
        <w:pStyle w:val="7"/>
        <w:spacing w:before="156" w:after="156"/>
        <w:rPr>
          <w:rFonts w:hint="eastAsia"/>
          <w:color w:val="auto"/>
          <w:highlight w:val="none"/>
        </w:rPr>
      </w:pPr>
      <w:bookmarkStart w:id="8" w:name="_Toc2272549"/>
      <w:bookmarkStart w:id="9" w:name="_Toc21525493"/>
      <w:r>
        <w:rPr>
          <w:rFonts w:hint="eastAsia"/>
          <w:color w:val="auto"/>
          <w:highlight w:val="none"/>
        </w:rPr>
        <w:t>（一）总则</w:t>
      </w:r>
      <w:bookmarkEnd w:id="8"/>
      <w:bookmarkEnd w:id="9"/>
    </w:p>
    <w:p w14:paraId="4F0FBBC6">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5883CA55">
      <w:pPr>
        <w:pStyle w:val="4"/>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01BA559F">
      <w:pPr>
        <w:pStyle w:val="4"/>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116467F3">
      <w:pPr>
        <w:pStyle w:val="4"/>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14:paraId="046E3068">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4869CE80">
      <w:pPr>
        <w:pStyle w:val="4"/>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483A062D">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373F0238">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17267585">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6E890E06">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3A793DD1">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14:paraId="19214FE1">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66493856">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25863D4E">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4CFB1184">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2C78B683">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5D4D878B">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14:paraId="3D99C8A6">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64FB6CE6">
      <w:pPr>
        <w:spacing w:line="360" w:lineRule="auto"/>
        <w:ind w:firstLine="480" w:firstLineChars="200"/>
        <w:rPr>
          <w:rFonts w:ascii="宋体"/>
          <w:bCs/>
          <w:color w:val="auto"/>
          <w:sz w:val="24"/>
          <w:highlight w:val="none"/>
          <w:u w:val="singl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15</w:t>
      </w:r>
      <w:r>
        <w:rPr>
          <w:rFonts w:hint="eastAsia" w:ascii="宋体" w:hAnsi="宋体"/>
          <w:bCs/>
          <w:color w:val="auto"/>
          <w:sz w:val="24"/>
          <w:highlight w:val="none"/>
        </w:rPr>
        <w:t>项所述时间和要求对工程现场及周围环境进行踏勘，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一旦中标，这种考察即被认为其结果已在中标文件中得到充分反映。考察现场的费用由投标人自己承担。</w:t>
      </w:r>
    </w:p>
    <w:p w14:paraId="5D026CE3">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62D13BE1">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3AC19096">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52EF5481">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10CC4BCF">
      <w:pPr>
        <w:pStyle w:val="7"/>
        <w:spacing w:before="156" w:after="156"/>
        <w:rPr>
          <w:rFonts w:hint="eastAsia"/>
          <w:color w:val="auto"/>
          <w:highlight w:val="none"/>
        </w:rPr>
      </w:pPr>
      <w:bookmarkStart w:id="10" w:name="_Toc21525494"/>
      <w:bookmarkStart w:id="11" w:name="_Toc2272550"/>
      <w:r>
        <w:rPr>
          <w:rFonts w:hint="eastAsia"/>
          <w:color w:val="auto"/>
          <w:highlight w:val="none"/>
        </w:rPr>
        <w:t>（二）招标文件</w:t>
      </w:r>
      <w:bookmarkEnd w:id="10"/>
      <w:bookmarkEnd w:id="11"/>
    </w:p>
    <w:p w14:paraId="2A66640B">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21F96530">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7.1本招标文件包括下列文件，以及所有按本须知第8条发出的招标答疑会会议纪要和按本须知第9条发出的澄清或修改：</w:t>
      </w:r>
    </w:p>
    <w:p w14:paraId="1B54E03A">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第一章  投标须知</w:t>
      </w:r>
    </w:p>
    <w:p w14:paraId="448FF821">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第二章  开标、评标及定标办法</w:t>
      </w:r>
    </w:p>
    <w:p w14:paraId="3D58F648">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第三章  合同条款</w:t>
      </w:r>
    </w:p>
    <w:p w14:paraId="553955F8">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第四章  投标文件格式</w:t>
      </w:r>
    </w:p>
    <w:p w14:paraId="4871E69B">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第五章  技术条件（工程建设标准）（另册）</w:t>
      </w:r>
    </w:p>
    <w:p w14:paraId="569DE8AA">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第六章  图纸及勘察资料（另册）</w:t>
      </w:r>
    </w:p>
    <w:p w14:paraId="6803181C">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第七章  招标工程量清单（另册）</w:t>
      </w:r>
    </w:p>
    <w:p w14:paraId="64F46A71">
      <w:pPr>
        <w:widowControl/>
        <w:spacing w:line="360" w:lineRule="exact"/>
        <w:ind w:firstLine="480" w:firstLineChars="200"/>
        <w:jc w:val="left"/>
        <w:rPr>
          <w:rFonts w:hint="eastAsia" w:ascii="宋体" w:hAnsi="宋体"/>
          <w:color w:val="auto"/>
          <w:sz w:val="24"/>
          <w:szCs w:val="20"/>
          <w:highlight w:val="none"/>
        </w:rPr>
      </w:pPr>
      <w:r>
        <w:rPr>
          <w:rFonts w:ascii="宋体" w:hAnsi="宋体"/>
          <w:color w:val="auto"/>
          <w:sz w:val="24"/>
          <w:szCs w:val="20"/>
          <w:highlight w:val="none"/>
        </w:rPr>
        <w:t>第八章  最高投标限价</w:t>
      </w:r>
    </w:p>
    <w:p w14:paraId="2FF86C1D">
      <w:pPr>
        <w:pStyle w:val="4"/>
        <w:spacing w:after="0" w:line="360" w:lineRule="auto"/>
        <w:ind w:left="-2" w:firstLine="480" w:firstLineChars="200"/>
        <w:rPr>
          <w:rFonts w:hint="eastAsia" w:ascii="宋体" w:hAnsi="宋体"/>
          <w:color w:val="auto"/>
          <w:sz w:val="24"/>
          <w:highlight w:val="none"/>
        </w:rPr>
      </w:pPr>
      <w:r>
        <w:rPr>
          <w:rFonts w:ascii="宋体" w:hAnsi="宋体"/>
          <w:bCs/>
          <w:color w:val="auto"/>
          <w:sz w:val="24"/>
          <w:highlight w:val="none"/>
        </w:rPr>
        <w:t>注：</w:t>
      </w:r>
      <w:r>
        <w:rPr>
          <w:rFonts w:ascii="宋体" w:hAnsi="宋体"/>
          <w:bCs/>
          <w:color w:val="auto"/>
          <w:sz w:val="24"/>
          <w:highlight w:val="none"/>
        </w:rPr>
        <w:fldChar w:fldCharType="begin"/>
      </w:r>
      <w:r>
        <w:rPr>
          <w:rFonts w:ascii="宋体" w:hAnsi="宋体"/>
          <w:bCs/>
          <w:color w:val="auto"/>
          <w:sz w:val="24"/>
          <w:highlight w:val="none"/>
        </w:rPr>
        <w:instrText xml:space="preserve"> = 1 \* GB3 </w:instrText>
      </w:r>
      <w:r>
        <w:rPr>
          <w:rFonts w:ascii="宋体" w:hAnsi="宋体"/>
          <w:bCs/>
          <w:color w:val="auto"/>
          <w:sz w:val="24"/>
          <w:highlight w:val="none"/>
        </w:rPr>
        <w:fldChar w:fldCharType="separate"/>
      </w:r>
      <w:r>
        <w:rPr>
          <w:rFonts w:ascii="宋体" w:hAnsi="宋体"/>
          <w:bCs/>
          <w:color w:val="auto"/>
          <w:sz w:val="24"/>
          <w:highlight w:val="none"/>
        </w:rPr>
        <w:t>①</w:t>
      </w:r>
      <w:r>
        <w:rPr>
          <w:rFonts w:ascii="宋体" w:hAnsi="宋体"/>
          <w:bCs/>
          <w:color w:val="auto"/>
          <w:sz w:val="24"/>
          <w:highlight w:val="none"/>
        </w:rPr>
        <w:fldChar w:fldCharType="end"/>
      </w:r>
      <w:r>
        <w:rPr>
          <w:rFonts w:ascii="宋体" w:hAnsi="宋体"/>
          <w:bCs/>
          <w:color w:val="auto"/>
          <w:sz w:val="24"/>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ascii="宋体" w:hAnsi="宋体"/>
          <w:bCs/>
          <w:color w:val="auto"/>
          <w:sz w:val="24"/>
          <w:highlight w:val="none"/>
        </w:rPr>
        <w:fldChar w:fldCharType="begin"/>
      </w:r>
      <w:r>
        <w:rPr>
          <w:rFonts w:ascii="宋体" w:hAnsi="宋体"/>
          <w:bCs/>
          <w:color w:val="auto"/>
          <w:sz w:val="24"/>
          <w:highlight w:val="none"/>
        </w:rPr>
        <w:instrText xml:space="preserve"> = 2 \* GB3 </w:instrText>
      </w:r>
      <w:r>
        <w:rPr>
          <w:rFonts w:ascii="宋体" w:hAnsi="宋体"/>
          <w:bCs/>
          <w:color w:val="auto"/>
          <w:sz w:val="24"/>
          <w:highlight w:val="none"/>
        </w:rPr>
        <w:fldChar w:fldCharType="separate"/>
      </w:r>
      <w:r>
        <w:rPr>
          <w:rFonts w:ascii="宋体" w:hAnsi="宋体"/>
          <w:bCs/>
          <w:color w:val="auto"/>
          <w:sz w:val="24"/>
          <w:highlight w:val="none"/>
        </w:rPr>
        <w:t>②</w:t>
      </w:r>
      <w:r>
        <w:rPr>
          <w:rFonts w:ascii="宋体" w:hAnsi="宋体"/>
          <w:bCs/>
          <w:color w:val="auto"/>
          <w:sz w:val="24"/>
          <w:highlight w:val="none"/>
        </w:rPr>
        <w:fldChar w:fldCharType="end"/>
      </w:r>
      <w:r>
        <w:rPr>
          <w:rFonts w:ascii="宋体" w:hAnsi="宋体"/>
          <w:bCs/>
          <w:color w:val="auto"/>
          <w:sz w:val="24"/>
          <w:highlight w:val="none"/>
        </w:rPr>
        <w:t>鼓励招标人对施工组织设计或施工方案实行隐藏投标人信息的暗标评审。</w:t>
      </w:r>
    </w:p>
    <w:p w14:paraId="64F9C6EF">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788B49FE">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1DFF6C2F">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2A70BE92">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ascii="宋体" w:hAnsi="宋体"/>
          <w:color w:val="auto"/>
          <w:sz w:val="24"/>
          <w:highlight w:val="none"/>
        </w:rPr>
        <w:t>16</w:t>
      </w:r>
      <w:r>
        <w:rPr>
          <w:rFonts w:hint="eastAsia" w:ascii="宋体" w:hAnsi="宋体"/>
          <w:color w:val="auto"/>
          <w:sz w:val="24"/>
          <w:highlight w:val="none"/>
        </w:rPr>
        <w:t>项。</w:t>
      </w:r>
    </w:p>
    <w:p w14:paraId="2DBFA68E">
      <w:pPr>
        <w:pStyle w:val="4"/>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14:paraId="5C021677">
      <w:pPr>
        <w:pStyle w:val="4"/>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14:paraId="498CBAAD">
      <w:pPr>
        <w:pStyle w:val="4"/>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14:paraId="18A72B9E">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71EE15BD">
      <w:pPr>
        <w:pStyle w:val="4"/>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招标文件发出后，在提交投标文件截止时间15日前，招标人可对招标文件进行必要的澄清或修改。</w:t>
      </w:r>
    </w:p>
    <w:p w14:paraId="1BB113ED">
      <w:pPr>
        <w:pStyle w:val="4"/>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3A60A094">
      <w:pPr>
        <w:pStyle w:val="4"/>
        <w:spacing w:after="0"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14:paraId="4CB2A9BA">
      <w:pPr>
        <w:pStyle w:val="4"/>
        <w:spacing w:after="0" w:line="360" w:lineRule="auto"/>
        <w:ind w:firstLine="480" w:firstLineChars="200"/>
        <w:rPr>
          <w:rFonts w:ascii="宋体"/>
          <w:color w:val="auto"/>
          <w:sz w:val="24"/>
          <w:highlight w:val="none"/>
        </w:rPr>
      </w:pPr>
      <w:r>
        <w:rPr>
          <w:rFonts w:ascii="宋体" w:hAnsi="宋体"/>
          <w:color w:val="auto"/>
          <w:sz w:val="24"/>
          <w:highlight w:val="none"/>
        </w:rPr>
        <w:t>9.4</w:t>
      </w:r>
      <w:r>
        <w:rPr>
          <w:rFonts w:hint="eastAsia" w:ascii="宋体" w:hAnsi="宋体"/>
          <w:color w:val="auto"/>
          <w:sz w:val="24"/>
          <w:highlight w:val="none"/>
        </w:rPr>
        <w:t>招标文件的澄清或修改均以书面形式明确的内容为准。当招标文件的澄清、修改、补充等在同一内容的表述不一致时，以最后发出的书面形式的文件为准。</w:t>
      </w:r>
    </w:p>
    <w:p w14:paraId="61DA773B">
      <w:pPr>
        <w:pStyle w:val="4"/>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628FC537">
      <w:pPr>
        <w:pStyle w:val="7"/>
        <w:spacing w:before="156" w:after="156"/>
        <w:rPr>
          <w:rFonts w:hint="eastAsia"/>
          <w:color w:val="auto"/>
          <w:highlight w:val="none"/>
        </w:rPr>
      </w:pPr>
      <w:bookmarkStart w:id="12" w:name="_Toc2272551"/>
      <w:bookmarkStart w:id="13" w:name="_Toc21525495"/>
      <w:r>
        <w:rPr>
          <w:rFonts w:hint="eastAsia"/>
          <w:color w:val="auto"/>
          <w:highlight w:val="none"/>
        </w:rPr>
        <w:t>（三）投标文件的编制</w:t>
      </w:r>
      <w:bookmarkEnd w:id="12"/>
      <w:bookmarkEnd w:id="13"/>
    </w:p>
    <w:p w14:paraId="73F580B2">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1BCFF30C">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08FD1A64">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43604A84">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14:paraId="014FE564">
      <w:pPr>
        <w:pStyle w:val="4"/>
        <w:spacing w:after="0" w:line="360" w:lineRule="auto"/>
        <w:ind w:firstLine="480" w:firstLineChars="200"/>
        <w:rPr>
          <w:rFonts w:ascii="宋体"/>
          <w:b/>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投标文件由技术部分（含资格审查文件）和经济部分二部分投标文件组成</w:t>
      </w:r>
      <w:r>
        <w:rPr>
          <w:rFonts w:hint="eastAsia" w:ascii="宋体" w:hAnsi="宋体"/>
          <w:b/>
          <w:color w:val="auto"/>
          <w:sz w:val="24"/>
          <w:highlight w:val="none"/>
        </w:rPr>
        <w:t>。</w:t>
      </w:r>
    </w:p>
    <w:p w14:paraId="648C3FEA">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11.2</w:t>
      </w:r>
      <w:r>
        <w:rPr>
          <w:rFonts w:hint="eastAsia" w:ascii="宋体" w:hAnsi="宋体"/>
          <w:bCs/>
          <w:color w:val="auto"/>
          <w:sz w:val="24"/>
          <w:highlight w:val="none"/>
        </w:rPr>
        <w:t>投标文件技术标部分主要包括下列内容：</w:t>
      </w:r>
    </w:p>
    <w:p w14:paraId="03A54AB5">
      <w:pPr>
        <w:spacing w:line="360" w:lineRule="auto"/>
        <w:ind w:firstLine="480" w:firstLineChars="200"/>
        <w:rPr>
          <w:rFonts w:ascii="宋体"/>
          <w:bCs/>
          <w:color w:val="auto"/>
          <w:sz w:val="24"/>
          <w:highlight w:val="none"/>
        </w:rPr>
      </w:pPr>
      <w:r>
        <w:rPr>
          <w:rFonts w:hint="eastAsia" w:ascii="宋体"/>
          <w:bCs/>
          <w:color w:val="auto"/>
          <w:sz w:val="24"/>
          <w:highlight w:val="none"/>
        </w:rPr>
        <w:t>11.2.1 技术投标文件（</w:t>
      </w:r>
      <w:r>
        <w:rPr>
          <w:rFonts w:hint="eastAsia" w:ascii="宋体" w:hAnsi="宋体"/>
          <w:color w:val="auto"/>
          <w:sz w:val="24"/>
          <w:highlight w:val="none"/>
        </w:rPr>
        <w:t>按招标文件的要求填写）</w:t>
      </w:r>
      <w:r>
        <w:rPr>
          <w:rFonts w:hint="eastAsia" w:ascii="宋体"/>
          <w:bCs/>
          <w:color w:val="auto"/>
          <w:sz w:val="24"/>
          <w:highlight w:val="none"/>
        </w:rPr>
        <w:t>；</w:t>
      </w:r>
    </w:p>
    <w:p w14:paraId="3DFC0A5E">
      <w:pPr>
        <w:spacing w:line="360" w:lineRule="auto"/>
        <w:ind w:firstLine="480" w:firstLineChars="200"/>
        <w:rPr>
          <w:rFonts w:ascii="宋体"/>
          <w:bCs/>
          <w:color w:val="auto"/>
          <w:sz w:val="24"/>
          <w:highlight w:val="none"/>
        </w:rPr>
      </w:pPr>
      <w:r>
        <w:rPr>
          <w:rFonts w:hint="eastAsia" w:ascii="宋体"/>
          <w:bCs/>
          <w:color w:val="auto"/>
          <w:sz w:val="24"/>
          <w:highlight w:val="none"/>
        </w:rPr>
        <w:t>11.2.2 资格审查文件：</w:t>
      </w:r>
    </w:p>
    <w:p w14:paraId="306661EC">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 xml:space="preserve">（1）投标人声明； </w:t>
      </w:r>
    </w:p>
    <w:p w14:paraId="47A0E3DB">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（2）法定代表人证明书、法定代表人签字或盖章的本投标文件授权委托证明书；</w:t>
      </w:r>
    </w:p>
    <w:p w14:paraId="5E7BF8CD">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（3）企业营业执照扫描件或电子证照；</w:t>
      </w:r>
    </w:p>
    <w:p w14:paraId="6178BB1D">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（4）企业资质证书扫描件或电子证照；</w:t>
      </w:r>
    </w:p>
    <w:p w14:paraId="1FDE7495">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（5）建筑施工企业安全生产许可证扫描件或电子证照；</w:t>
      </w:r>
    </w:p>
    <w:p w14:paraId="08965A06">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（6）项目负责人（按网上投标登记时选择拟投入本项目的项目负责人）</w:t>
      </w:r>
    </w:p>
    <w:p w14:paraId="4FB7D60F">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（7）专职安全员（按网上投标登记时选择拟投入本项目的专职安全员）</w:t>
      </w:r>
    </w:p>
    <w:p w14:paraId="5CDEC2A7">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（8）拟委托技术负责人的相关证书、资料（具体要求由招标人明确）</w:t>
      </w:r>
    </w:p>
    <w:p w14:paraId="1C8242A1">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 xml:space="preserve">（9）拟委派项目负责人的有效期内的建造师注册证书扫描件或电子证书；  </w:t>
      </w:r>
    </w:p>
    <w:p w14:paraId="19D223A4">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（10）项目负责人在有效期内的安全生产考核合格证书（B类）或建筑施工企业项目负责人安全生产考核合格证书扫描件或电子证书；</w:t>
      </w:r>
    </w:p>
    <w:p w14:paraId="3A47A64E">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（11）专职安全员须具有在有效期内的安全生产考核合格证书（C类）或建筑施工企业专职安全生产管理人员安全生产考核合格证书扫描件或电子证书；</w:t>
      </w:r>
    </w:p>
    <w:p w14:paraId="1E802611">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（12）用于资格审查的业绩（设置业绩要求时选择此项，投标人须提供类似工程业绩的项目名称及项目编号，具体格式由招标人自定）；</w:t>
      </w:r>
    </w:p>
    <w:p w14:paraId="0089851E">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 xml:space="preserve">（13）资格审查前，投标人须在广州市住房和城乡建设局建立企业信用档案，拟担任本工程项目负责人、专职安全员须是本企业信用档案中的在册人员； </w:t>
      </w:r>
    </w:p>
    <w:p w14:paraId="1754D4BC">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31440CB6">
      <w:pPr>
        <w:widowControl/>
        <w:spacing w:line="36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注：1.相关电子证书按规定需打印后手写本人签名的，应按照规定手写本人签名后再扫描提交。</w:t>
      </w:r>
    </w:p>
    <w:p w14:paraId="28544749">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03099EC2">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14:paraId="3A13A0E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14:paraId="165C3BED">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14:paraId="0D1F5D41">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14:paraId="143DB65B">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投标人在广州市可使用适合本工程的机械设备（附：机械设备为自有或租赁的说明；及承诺机械设备如属于租赁的，其租赁是不属于重复租赁）。</w:t>
      </w:r>
    </w:p>
    <w:p w14:paraId="2DD1412A">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11.2.5</w:t>
      </w:r>
      <w:r>
        <w:rPr>
          <w:rFonts w:hint="eastAsia" w:ascii="宋体" w:hAnsi="宋体"/>
          <w:color w:val="auto"/>
          <w:sz w:val="24"/>
          <w:highlight w:val="none"/>
        </w:rPr>
        <w:t>施工组织设计或施工方案。</w:t>
      </w:r>
    </w:p>
    <w:p w14:paraId="022475B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（1）投标人在编制施工组织设计或施工方案时应按照招标人提出的施工现场建筑垃圾源头减量的具体要求以及建筑垃圾综合利用产品的使用要求提供相应措施。</w:t>
      </w:r>
    </w:p>
    <w:p w14:paraId="2ABE261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5D297138">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6按照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14:paraId="235B967F">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14:paraId="4DE950BD">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经济投标文件（按招标文件的要求填写）。</w:t>
      </w:r>
    </w:p>
    <w:p w14:paraId="237329E5">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r>
        <w:rPr>
          <w:rFonts w:ascii="宋体"/>
          <w:color w:val="auto"/>
          <w:sz w:val="24"/>
          <w:highlight w:val="none"/>
        </w:rPr>
        <w:t xml:space="preserve"> </w:t>
      </w:r>
    </w:p>
    <w:p w14:paraId="57805C0E">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14:paraId="3D83C048">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14:paraId="535515B6">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14:paraId="40F6F342">
      <w:pPr>
        <w:spacing w:line="360" w:lineRule="auto"/>
        <w:ind w:firstLine="566" w:firstLineChars="236"/>
        <w:rPr>
          <w:rFonts w:hint="eastAsia" w:ascii="宋体" w:hAnsi="宋体"/>
          <w:color w:val="auto"/>
          <w:sz w:val="24"/>
          <w:szCs w:val="24"/>
          <w:highlight w:val="none"/>
        </w:rPr>
      </w:pPr>
      <w:r>
        <w:rPr>
          <w:rFonts w:hint="eastAsia" w:ascii="宋体" w:hAnsi="宋体"/>
          <w:color w:val="auto"/>
          <w:sz w:val="24"/>
          <w:szCs w:val="24"/>
          <w:highlight w:val="none"/>
        </w:rPr>
        <w:t>（4）单项工程投标报价汇总表；</w:t>
      </w:r>
    </w:p>
    <w:p w14:paraId="4C7ACB65">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14:paraId="133A37C1">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14:paraId="57F3254C">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14:paraId="51FB6965">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14:paraId="5DF90505">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14:paraId="5FEA5BD6">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（10）其他项目清单与计价汇总表；</w:t>
      </w:r>
    </w:p>
    <w:p w14:paraId="5AAEB9A2">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（11）暂列金额明细表；</w:t>
      </w:r>
    </w:p>
    <w:p w14:paraId="166C7B8B">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（12）材料（工程设备）暂估价明细表；</w:t>
      </w:r>
    </w:p>
    <w:p w14:paraId="59F48552">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（13）专业工程暂估价明细表；</w:t>
      </w:r>
    </w:p>
    <w:p w14:paraId="1B8D8771">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（14）计日工表；</w:t>
      </w:r>
    </w:p>
    <w:p w14:paraId="6506B0EC">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（15）总承包服务计价表；</w:t>
      </w:r>
    </w:p>
    <w:p w14:paraId="21A4222A">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（16）规费和税金项目计价表；</w:t>
      </w:r>
    </w:p>
    <w:p w14:paraId="0AC2E558">
      <w:pPr>
        <w:spacing w:line="360" w:lineRule="auto"/>
        <w:ind w:firstLine="480" w:firstLineChars="200"/>
        <w:rPr>
          <w:rFonts w:ascii="宋体"/>
          <w:color w:val="auto"/>
          <w:sz w:val="24"/>
          <w:highlight w:val="none"/>
        </w:rPr>
      </w:pPr>
      <w:r>
        <w:rPr>
          <w:rFonts w:hint="eastAsia" w:ascii="宋体" w:hAnsi="宋体"/>
          <w:color w:val="auto"/>
          <w:sz w:val="24"/>
          <w:szCs w:val="24"/>
          <w:highlight w:val="none"/>
        </w:rPr>
        <w:t xml:space="preserve"> （17）人工、主要材料和设备一览表</w:t>
      </w:r>
    </w:p>
    <w:p w14:paraId="0BB137C2">
      <w:pPr>
        <w:tabs>
          <w:tab w:val="left" w:pos="1125"/>
        </w:tabs>
        <w:spacing w:line="360" w:lineRule="auto"/>
        <w:ind w:firstLine="480" w:firstLineChars="200"/>
        <w:rPr>
          <w:rFonts w:hint="eastAsia"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14:paraId="74EF07B1">
      <w:pPr>
        <w:tabs>
          <w:tab w:val="left" w:pos="112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14:paraId="040B819D">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2A715786">
      <w:pPr>
        <w:pStyle w:val="4"/>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14:paraId="21E0B682">
      <w:pPr>
        <w:pStyle w:val="4"/>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28007238">
      <w:pPr>
        <w:pStyle w:val="4"/>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注：投标文件电子文档需要投标人单位盖章的材料，投标人加盖电子印章即可，不得将投标人未对电子文档加盖实物印章作为否决投标的情形。</w:t>
      </w:r>
    </w:p>
    <w:p w14:paraId="6B02968B">
      <w:pPr>
        <w:pStyle w:val="4"/>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ascii="宋体" w:hAnsi="宋体"/>
          <w:color w:val="auto"/>
          <w:sz w:val="24"/>
          <w:highlight w:val="none"/>
        </w:rPr>
        <w:t xml:space="preserve">。               </w:t>
      </w:r>
    </w:p>
    <w:p w14:paraId="60592ADB">
      <w:pPr>
        <w:pStyle w:val="4"/>
        <w:spacing w:after="0" w:line="360" w:lineRule="auto"/>
        <w:ind w:firstLine="0"/>
        <w:rPr>
          <w:rFonts w:hint="eastAsia"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4E307B7F">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75EE2A41">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12</w:t>
      </w:r>
      <w:r>
        <w:rPr>
          <w:rFonts w:hint="eastAsia" w:ascii="宋体" w:hAnsi="宋体"/>
          <w:color w:val="auto"/>
          <w:sz w:val="24"/>
          <w:highlight w:val="none"/>
        </w:rPr>
        <w:t>项所规定的方式。投标报价（含单价及总价）精确到“分”。</w:t>
      </w:r>
    </w:p>
    <w:p w14:paraId="397D80C7">
      <w:pPr>
        <w:pStyle w:val="4"/>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1CCDD954">
      <w:pPr>
        <w:pStyle w:val="4"/>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519D770A">
      <w:pPr>
        <w:pStyle w:val="4"/>
        <w:spacing w:after="0"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5DF04D8E">
      <w:pPr>
        <w:pStyle w:val="4"/>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3D310F0D">
      <w:pPr>
        <w:pStyle w:val="4"/>
        <w:spacing w:after="0" w:line="360" w:lineRule="auto"/>
        <w:ind w:firstLine="480" w:firstLineChars="200"/>
        <w:rPr>
          <w:rFonts w:ascii="宋体"/>
          <w:color w:val="auto"/>
          <w:sz w:val="24"/>
          <w:highlight w:val="none"/>
        </w:rPr>
      </w:pPr>
      <w:r>
        <w:rPr>
          <w:rFonts w:ascii="宋体" w:hAnsi="宋体"/>
          <w:color w:val="auto"/>
          <w:sz w:val="24"/>
          <w:highlight w:val="none"/>
        </w:rPr>
        <w:t>13.5.1</w:t>
      </w:r>
      <w:r>
        <w:rPr>
          <w:rFonts w:hint="eastAsia" w:ascii="宋体" w:hAnsi="宋体"/>
          <w:color w:val="auto"/>
          <w:sz w:val="24"/>
          <w:highlight w:val="none"/>
        </w:rPr>
        <w:t>中标的投标文件工程量清单中已有相同项目的适用综合单价，则沿用；</w:t>
      </w:r>
    </w:p>
    <w:p w14:paraId="2FDA5584">
      <w:pPr>
        <w:pStyle w:val="4"/>
        <w:spacing w:after="0" w:line="360" w:lineRule="auto"/>
        <w:ind w:firstLine="480" w:firstLineChars="200"/>
        <w:rPr>
          <w:rFonts w:asci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23B4BD2D">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14:paraId="57D11B8A">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14:paraId="3D26F439">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788E3509">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57E13F14">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71557946">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32F16C46">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399CDCD8">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51E78289">
      <w:pPr>
        <w:pStyle w:val="4"/>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0B7493A4">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309F59EA">
      <w:pPr>
        <w:pStyle w:val="4"/>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3080D158">
      <w:pPr>
        <w:pStyle w:val="4"/>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580B4EEC">
      <w:pPr>
        <w:pStyle w:val="4"/>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43CE6B76">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3B7C1072">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5EBB9DEF">
      <w:pPr>
        <w:pStyle w:val="4"/>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2A9BB497">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14:paraId="34D87720">
      <w:pPr>
        <w:pStyle w:val="4"/>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1625EB1B">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14:paraId="59FC262D">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投标人应按投标须知前附表第</w:t>
      </w:r>
      <w:r>
        <w:rPr>
          <w:rFonts w:ascii="宋体" w:hAnsi="宋体"/>
          <w:color w:val="auto"/>
          <w:sz w:val="24"/>
          <w:highlight w:val="none"/>
        </w:rPr>
        <w:t>14</w:t>
      </w:r>
      <w:r>
        <w:rPr>
          <w:rFonts w:hint="eastAsia" w:ascii="宋体" w:hAnsi="宋体"/>
          <w:color w:val="auto"/>
          <w:sz w:val="24"/>
          <w:highlight w:val="none"/>
        </w:rPr>
        <w:t>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。招标人应当允许投标人自主选择现金、银行保函、保证保险、专业工程担保公司担保等方式缴纳投标保证金。</w:t>
      </w:r>
    </w:p>
    <w:p w14:paraId="4A1DBE1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14:paraId="7EBF3A0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2B1D19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14:paraId="53B598B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6C2039C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16.3投标保证金应依据法律法规的相关规定退还。</w:t>
      </w:r>
    </w:p>
    <w:p w14:paraId="358D704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16.4如有下列情况之一的，招标人可以不予退还投标保证金（是否退还投标保证金由招标人在招标文件中规定）：</w:t>
      </w:r>
    </w:p>
    <w:p w14:paraId="00790D4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16.4.1因投标人原因造成投标文件未解密的；</w:t>
      </w:r>
    </w:p>
    <w:p w14:paraId="520F8CE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16.4.2投标人在投标有效期内撤销投标文件；</w:t>
      </w:r>
    </w:p>
    <w:p w14:paraId="19D9B59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16.4.3中标人未能在规定期限内按要求提交履约担保；</w:t>
      </w:r>
    </w:p>
    <w:p w14:paraId="3C28209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16.4.4中标人未能在规定期限内签署合同协议。</w:t>
      </w:r>
    </w:p>
    <w:p w14:paraId="774CD88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16.5投标人如存在下列情况之一的，将被拒绝在一定时期内参与招标人后续工程投标（拒绝时限需在招标文件中明确）：</w:t>
      </w:r>
    </w:p>
    <w:p w14:paraId="238307A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16.5.1投标人存在16.4条款所列情形且投标人提交的保函、担保或保证保险无法兑付的；</w:t>
      </w:r>
    </w:p>
    <w:p w14:paraId="6609B0A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16.5.2采用非电子形式提交投标保证金的投标人存在16.4条款所列情形，且未按招标人要求补交银行保函、专业工程担保公司担保或保证保险原件的；</w:t>
      </w:r>
    </w:p>
    <w:p w14:paraId="0CFE2A5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16.5.3按招标文件要求免于提供投标保证金的投标人存在16.4条款所列情形，且未按招标人要求补交投标保证金的；</w:t>
      </w:r>
    </w:p>
    <w:p w14:paraId="256BDC6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16.5.3按招标文件要求免于提供投标保证金的投标人存在16.4条款所列情形的。</w:t>
      </w:r>
    </w:p>
    <w:p w14:paraId="1A0650D7">
      <w:pPr>
        <w:spacing w:line="360" w:lineRule="auto"/>
        <w:ind w:firstLine="480" w:firstLineChars="200"/>
        <w:rPr>
          <w:rFonts w:ascii="宋体"/>
          <w:color w:val="auto"/>
          <w:sz w:val="24"/>
          <w:highlight w:val="none"/>
        </w:rPr>
      </w:pPr>
      <w:r>
        <w:rPr>
          <w:rFonts w:hint="eastAsia" w:ascii="宋体" w:hAnsi="宋体"/>
          <w:color w:val="auto"/>
          <w:sz w:val="24"/>
          <w:highlight w:val="none"/>
        </w:rPr>
        <w:t>注：16.5.3款由招标人二选一，需在招标文件中明确。</w:t>
      </w:r>
    </w:p>
    <w:p w14:paraId="59BDFE30">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7F213E05">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6A8E7BD">
      <w:pPr>
        <w:pStyle w:val="7"/>
        <w:spacing w:before="156" w:after="156"/>
        <w:rPr>
          <w:rFonts w:hint="eastAsia"/>
          <w:color w:val="auto"/>
          <w:highlight w:val="none"/>
        </w:rPr>
      </w:pPr>
      <w:bookmarkStart w:id="14" w:name="_Toc2272552"/>
      <w:bookmarkStart w:id="15" w:name="_Toc21525496"/>
      <w:r>
        <w:rPr>
          <w:rFonts w:hint="eastAsia"/>
          <w:color w:val="auto"/>
          <w:highlight w:val="none"/>
        </w:rPr>
        <w:t>（四）投标文件的提交</w:t>
      </w:r>
      <w:bookmarkEnd w:id="14"/>
      <w:bookmarkEnd w:id="15"/>
    </w:p>
    <w:p w14:paraId="42A80BE3">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0A1E0159">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7AB89455">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17AD68F0">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119D7E1F">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30DFB56A">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47BE4E35">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1DECC7A2">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1B8A089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14:paraId="7AF6D0FE">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2164E3CC">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14:paraId="16770564">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41C70949">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14:paraId="735D4F43">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49477913">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05147AF3">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731C304C">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24F593D7">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3EA32AA3">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14:paraId="6242AB29">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14:paraId="586192F0">
      <w:pPr>
        <w:pStyle w:val="7"/>
        <w:spacing w:before="156" w:after="156"/>
        <w:rPr>
          <w:rFonts w:hint="eastAsia"/>
          <w:color w:val="auto"/>
          <w:highlight w:val="none"/>
        </w:rPr>
      </w:pPr>
      <w:bookmarkStart w:id="16" w:name="_Toc2272553"/>
      <w:bookmarkStart w:id="17" w:name="_Toc21525497"/>
      <w:r>
        <w:rPr>
          <w:rFonts w:hint="eastAsia"/>
          <w:color w:val="auto"/>
          <w:highlight w:val="none"/>
        </w:rPr>
        <w:t>（五）开标、评标、定标及合同签定</w:t>
      </w:r>
      <w:bookmarkEnd w:id="16"/>
      <w:bookmarkEnd w:id="17"/>
    </w:p>
    <w:p w14:paraId="71514854">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41E57BBB">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45993BC8">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1F8CD300">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019EAC1E">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41B94FF4">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4ED340DC">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0A98AA78">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4B217D4C">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273AF242">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14:paraId="1E4B27BD">
      <w:pPr>
        <w:spacing w:line="360" w:lineRule="auto"/>
        <w:ind w:firstLine="480" w:firstLineChars="200"/>
        <w:rPr>
          <w:rFonts w:ascii="宋体"/>
          <w:color w:val="auto"/>
          <w:sz w:val="24"/>
          <w:highlight w:val="none"/>
        </w:rPr>
      </w:pPr>
      <w:r>
        <w:rPr>
          <w:rFonts w:hint="eastAsia" w:ascii="宋体" w:hAnsi="宋体"/>
          <w:color w:val="auto"/>
          <w:sz w:val="24"/>
          <w:highlight w:val="none"/>
        </w:rPr>
        <w:t>27.1招标人将在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50029C79">
      <w:pPr>
        <w:spacing w:line="360" w:lineRule="auto"/>
        <w:ind w:firstLine="480" w:firstLineChars="200"/>
        <w:rPr>
          <w:rFonts w:hint="eastAsia"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14:paraId="2D25521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19F8966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27.4在产生中标候选人后，招标人将中标候选人的投标文件商务部分文件的所有内容（包括人员、业绩、奖项等资料）在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p>
    <w:p w14:paraId="33BF58F2">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14:paraId="5E3BF6C3">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0127EC52">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E707905">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42C677B2">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14:paraId="5C005110">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14:paraId="23C9EEA8">
      <w:pPr>
        <w:snapToGrid w:val="0"/>
        <w:spacing w:line="360" w:lineRule="auto"/>
        <w:ind w:firstLine="480" w:firstLineChars="200"/>
        <w:rPr>
          <w:rFonts w:ascii="宋体"/>
          <w:color w:val="auto"/>
          <w:sz w:val="24"/>
          <w:highlight w:val="none"/>
        </w:rPr>
      </w:pPr>
      <w:r>
        <w:rPr>
          <w:rFonts w:ascii="宋体" w:hAnsi="宋体"/>
          <w:color w:val="auto"/>
          <w:sz w:val="24"/>
          <w:highlight w:val="none"/>
        </w:rPr>
        <w:t xml:space="preserve">29.1 </w:t>
      </w:r>
      <w:r>
        <w:rPr>
          <w:rFonts w:hint="eastAsia" w:ascii="宋体" w:hAnsi="宋体"/>
          <w:color w:val="auto"/>
          <w:sz w:val="24"/>
          <w:highlight w:val="none"/>
        </w:rPr>
        <w:t>在收到中标通知书后的</w:t>
      </w:r>
      <w:r>
        <w:rPr>
          <w:rFonts w:ascii="宋体" w:hAnsi="宋体"/>
          <w:color w:val="auto"/>
          <w:sz w:val="24"/>
          <w:highlight w:val="none"/>
        </w:rPr>
        <w:t>15</w:t>
      </w:r>
      <w:r>
        <w:rPr>
          <w:rFonts w:hint="eastAsia" w:ascii="宋体" w:hAnsi="宋体"/>
          <w:color w:val="auto"/>
          <w:sz w:val="24"/>
          <w:highlight w:val="none"/>
        </w:rPr>
        <w:t>日内，中标人应按本须知前附表第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00A27498">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7A78D96">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14:paraId="2DEFE7D0">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14:paraId="5BE13179">
      <w:pPr>
        <w:spacing w:line="360" w:lineRule="auto"/>
        <w:ind w:firstLine="482"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14:paraId="13A715AA">
      <w:pPr>
        <w:pStyle w:val="4"/>
        <w:spacing w:after="0"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14:paraId="7DA75BBE">
      <w:pPr>
        <w:pStyle w:val="4"/>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34A6FD6A">
      <w:pPr>
        <w:pStyle w:val="4"/>
        <w:spacing w:after="0"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1BEA4BB9">
      <w:pPr>
        <w:pStyle w:val="4"/>
        <w:spacing w:after="0"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5264240E">
      <w:pPr>
        <w:pStyle w:val="4"/>
        <w:spacing w:after="0"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1B6E8784">
      <w:pPr>
        <w:pStyle w:val="4"/>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14:paraId="0F172528">
      <w:pPr>
        <w:pStyle w:val="4"/>
        <w:spacing w:after="0" w:line="360" w:lineRule="auto"/>
        <w:ind w:firstLine="480" w:firstLineChars="200"/>
        <w:rPr>
          <w:rFonts w:ascii="宋体"/>
          <w:color w:val="auto"/>
          <w:sz w:val="24"/>
          <w:highlight w:val="none"/>
        </w:rPr>
      </w:pPr>
      <w:r>
        <w:rPr>
          <w:rFonts w:hint="eastAsia" w:ascii="宋体"/>
          <w:color w:val="auto"/>
          <w:sz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14:paraId="5422090B">
      <w:pPr>
        <w:pStyle w:val="2"/>
        <w:rPr>
          <w:color w:val="auto"/>
          <w:highlight w:val="none"/>
        </w:rPr>
      </w:pPr>
      <w:r>
        <w:rPr>
          <w:rFonts w:ascii="宋体"/>
          <w:color w:val="auto"/>
          <w:sz w:val="24"/>
          <w:highlight w:val="none"/>
        </w:rPr>
        <w:br w:type="page"/>
      </w:r>
      <w:bookmarkStart w:id="18" w:name="_Toc21525498"/>
      <w:bookmarkStart w:id="19" w:name="_Toc2272554"/>
      <w:r>
        <w:rPr>
          <w:rFonts w:hint="eastAsia"/>
          <w:color w:val="auto"/>
          <w:highlight w:val="none"/>
        </w:rPr>
        <w:t>第二章</w:t>
      </w:r>
      <w:r>
        <w:rPr>
          <w:color w:val="auto"/>
          <w:highlight w:val="none"/>
        </w:rPr>
        <w:t xml:space="preserve">  </w:t>
      </w:r>
      <w:r>
        <w:rPr>
          <w:rFonts w:hint="eastAsia"/>
          <w:color w:val="auto"/>
          <w:highlight w:val="none"/>
        </w:rPr>
        <w:t>开标、评标及定标办法</w:t>
      </w:r>
      <w:bookmarkEnd w:id="18"/>
      <w:bookmarkEnd w:id="19"/>
    </w:p>
    <w:p w14:paraId="72C30E9A">
      <w:pPr>
        <w:pStyle w:val="6"/>
        <w:rPr>
          <w:color w:val="auto"/>
          <w:highlight w:val="none"/>
        </w:rPr>
      </w:pPr>
      <w:bookmarkStart w:id="20" w:name="_Toc21525499"/>
      <w:bookmarkStart w:id="21" w:name="_Toc2272555"/>
      <w:r>
        <w:rPr>
          <w:rFonts w:hint="eastAsia"/>
          <w:color w:val="auto"/>
          <w:sz w:val="28"/>
          <w:szCs w:val="28"/>
          <w:highlight w:val="none"/>
        </w:rPr>
        <w:t>一、</w:t>
      </w:r>
      <w:r>
        <w:rPr>
          <w:rFonts w:hint="eastAsia"/>
          <w:color w:val="auto"/>
          <w:highlight w:val="none"/>
        </w:rPr>
        <w:t>开标、评标及定标办法修改表</w:t>
      </w:r>
      <w:bookmarkEnd w:id="20"/>
      <w:bookmarkEnd w:id="21"/>
    </w:p>
    <w:p w14:paraId="42C499C2">
      <w:pPr>
        <w:pStyle w:val="4"/>
        <w:spacing w:after="0" w:line="360" w:lineRule="auto"/>
        <w:rPr>
          <w:b/>
          <w:color w:val="auto"/>
          <w:szCs w:val="21"/>
          <w:highlight w:val="none"/>
        </w:rPr>
      </w:pPr>
      <w:r>
        <w:rPr>
          <w:rFonts w:hint="eastAsia"/>
          <w:b/>
          <w:color w:val="auto"/>
          <w:szCs w:val="21"/>
          <w:highlight w:val="none"/>
        </w:rPr>
        <w:t>声明：本</w:t>
      </w:r>
      <w:r>
        <w:rPr>
          <w:rFonts w:hint="eastAsia"/>
          <w:b/>
          <w:color w:val="auto"/>
          <w:highlight w:val="none"/>
        </w:rPr>
        <w:t>开标、评标及定标办法使用GZZB2018-3招标文件范本的开标、评标及定标办法通用条款，与该通用条款不同之处，均在本表中列明，并以现文为准，原</w:t>
      </w:r>
      <w:r>
        <w:rPr>
          <w:rFonts w:hint="eastAsia"/>
          <w:b/>
          <w:color w:val="auto"/>
          <w:szCs w:val="21"/>
          <w:highlight w:val="none"/>
        </w:rPr>
        <w:t>文不再有效。本招标文件中不再转录</w:t>
      </w:r>
      <w:r>
        <w:rPr>
          <w:rFonts w:hint="eastAsia"/>
          <w:b/>
          <w:color w:val="auto"/>
          <w:highlight w:val="none"/>
        </w:rPr>
        <w:t>开标、评标及定标办法</w:t>
      </w:r>
      <w:r>
        <w:rPr>
          <w:rFonts w:hint="eastAsia"/>
          <w:b/>
          <w:color w:val="auto"/>
          <w:szCs w:val="21"/>
          <w:highlight w:val="none"/>
        </w:rPr>
        <w:t>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Style w:val="21"/>
          <w:b/>
          <w:color w:val="auto"/>
          <w:szCs w:val="21"/>
          <w:highlight w:val="none"/>
          <w:u w:val="none"/>
        </w:rPr>
        <w:t>http://zfcj.gz.gov.cn/</w:t>
      </w:r>
      <w:r>
        <w:rPr>
          <w:rStyle w:val="21"/>
          <w:rFonts w:hint="eastAsia"/>
          <w:b/>
          <w:color w:val="auto"/>
          <w:szCs w:val="21"/>
          <w:highlight w:val="none"/>
          <w:u w:val="none"/>
        </w:rPr>
        <w:t>）下载GZZB2018-3</w:t>
      </w:r>
      <w:r>
        <w:rPr>
          <w:rStyle w:val="21"/>
          <w:rFonts w:hint="eastAsia"/>
          <w:b/>
          <w:color w:val="auto"/>
          <w:szCs w:val="21"/>
          <w:highlight w:val="none"/>
          <w:u w:val="none"/>
        </w:rPr>
        <w:fldChar w:fldCharType="end"/>
      </w:r>
      <w:r>
        <w:rPr>
          <w:rFonts w:hint="eastAsia"/>
          <w:b/>
          <w:color w:val="auto"/>
          <w:szCs w:val="21"/>
          <w:highlight w:val="none"/>
        </w:rPr>
        <w:t>范本查阅。</w:t>
      </w:r>
    </w:p>
    <w:p w14:paraId="56E64B5C">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w:t>
      </w:r>
      <w:r>
        <w:rPr>
          <w:rStyle w:val="29"/>
          <w:rFonts w:ascii="宋体" w:hAnsi="宋体"/>
          <w:color w:val="auto"/>
          <w:szCs w:val="21"/>
          <w:highlight w:val="none"/>
        </w:rPr>
        <w:t>36.1</w:t>
      </w:r>
      <w:r>
        <w:rPr>
          <w:rStyle w:val="29"/>
          <w:rFonts w:ascii="宋体" w:hAnsi="宋体"/>
          <w:b/>
          <w:color w:val="auto"/>
          <w:szCs w:val="21"/>
          <w:highlight w:val="none"/>
        </w:rPr>
        <w:t xml:space="preserve">          修改类型：修改</w:t>
      </w:r>
    </w:p>
    <w:p w14:paraId="189BEE28">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原文：</w:t>
      </w:r>
      <w:r>
        <w:rPr>
          <w:rStyle w:val="29"/>
          <w:rFonts w:ascii="宋体" w:hAnsi="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14:paraId="531C0157">
      <w:pPr>
        <w:pBdr>
          <w:bottom w:val="single" w:color="000000" w:sz="6" w:space="1"/>
        </w:pBdr>
        <w:spacing w:line="360" w:lineRule="auto"/>
        <w:ind w:firstLine="422" w:firstLineChars="200"/>
        <w:rPr>
          <w:rStyle w:val="29"/>
          <w:rFonts w:hint="eastAsia" w:ascii="宋体" w:hAnsi="宋体"/>
          <w:color w:val="auto"/>
          <w:szCs w:val="21"/>
          <w:highlight w:val="none"/>
        </w:rPr>
      </w:pPr>
      <w:r>
        <w:rPr>
          <w:rStyle w:val="29"/>
          <w:rFonts w:ascii="宋体" w:hAnsi="宋体"/>
          <w:b/>
          <w:color w:val="auto"/>
          <w:szCs w:val="21"/>
          <w:highlight w:val="none"/>
        </w:rPr>
        <w:t>现文：</w:t>
      </w:r>
      <w:r>
        <w:rPr>
          <w:rStyle w:val="29"/>
          <w:rFonts w:ascii="宋体" w:hAnsi="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r>
        <w:rPr>
          <w:rStyle w:val="29"/>
          <w:rFonts w:ascii="宋体" w:hAnsi="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14:paraId="3F32E638">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w:t>
      </w:r>
      <w:r>
        <w:rPr>
          <w:rStyle w:val="29"/>
          <w:rFonts w:ascii="宋体" w:hAnsi="宋体"/>
          <w:color w:val="auto"/>
          <w:szCs w:val="21"/>
          <w:highlight w:val="none"/>
        </w:rPr>
        <w:t>36.3</w:t>
      </w:r>
      <w:r>
        <w:rPr>
          <w:rStyle w:val="29"/>
          <w:rFonts w:ascii="宋体" w:hAnsi="宋体"/>
          <w:b/>
          <w:color w:val="auto"/>
          <w:szCs w:val="21"/>
          <w:highlight w:val="none"/>
        </w:rPr>
        <w:t xml:space="preserve">          修改类型：删除</w:t>
      </w:r>
    </w:p>
    <w:p w14:paraId="690AAA6A">
      <w:pPr>
        <w:pBdr>
          <w:bottom w:val="single" w:color="000000" w:sz="6" w:space="1"/>
        </w:pBdr>
        <w:spacing w:line="360" w:lineRule="auto"/>
        <w:ind w:firstLine="422" w:firstLineChars="200"/>
        <w:rPr>
          <w:rStyle w:val="29"/>
          <w:rFonts w:hint="eastAsia" w:ascii="宋体" w:hAnsi="宋体"/>
          <w:color w:val="auto"/>
          <w:szCs w:val="21"/>
          <w:highlight w:val="none"/>
        </w:rPr>
      </w:pPr>
      <w:r>
        <w:rPr>
          <w:rStyle w:val="29"/>
          <w:rFonts w:ascii="宋体" w:hAnsi="宋体"/>
          <w:b/>
          <w:color w:val="auto"/>
          <w:szCs w:val="21"/>
          <w:highlight w:val="none"/>
        </w:rPr>
        <w:t>原文：</w:t>
      </w:r>
      <w:r>
        <w:rPr>
          <w:rStyle w:val="29"/>
          <w:rFonts w:ascii="宋体" w:hAnsi="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796C6659">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w:t>
      </w:r>
      <w:r>
        <w:rPr>
          <w:rFonts w:hint="eastAsia" w:ascii="宋体" w:hAnsi="宋体"/>
          <w:color w:val="auto"/>
          <w:szCs w:val="21"/>
          <w:highlight w:val="none"/>
        </w:rPr>
        <w:t>36.4</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1E7EEECF">
      <w:pP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36.4若递交投标文件的投标人不足3家，则重新组织招标。（当N个标段同时招标且不允许兼中时，若有效投标人不足N+2家，则重新组织招标）</w:t>
      </w:r>
    </w:p>
    <w:p w14:paraId="32135F28">
      <w:pPr>
        <w:pBdr>
          <w:bottom w:val="single" w:color="auto" w:sz="6" w:space="1"/>
        </w:pBdr>
        <w:spacing w:line="360" w:lineRule="auto"/>
        <w:ind w:firstLine="422" w:firstLineChars="200"/>
        <w:rPr>
          <w:rFonts w:hint="eastAsia" w:ascii="宋体" w:hAnsi="宋体"/>
          <w:color w:val="auto"/>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u w:val="single"/>
        </w:rPr>
        <w:t>36.4若递交投标文件的投标人不足3家，则重新组织招标。</w:t>
      </w:r>
    </w:p>
    <w:p w14:paraId="79BAAF8B">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条款号：36.5.1          修改类型：修改</w:t>
      </w:r>
    </w:p>
    <w:p w14:paraId="6C91C6FD">
      <w:pPr>
        <w:spacing w:line="360" w:lineRule="auto"/>
        <w:ind w:firstLine="422" w:firstLineChars="200"/>
        <w:rPr>
          <w:rStyle w:val="29"/>
          <w:rFonts w:hint="eastAsia" w:ascii="宋体" w:hAnsi="宋体"/>
          <w:color w:val="auto"/>
          <w:szCs w:val="21"/>
          <w:highlight w:val="none"/>
        </w:rPr>
      </w:pPr>
      <w:r>
        <w:rPr>
          <w:rStyle w:val="29"/>
          <w:rFonts w:ascii="宋体" w:hAnsi="宋体"/>
          <w:b/>
          <w:color w:val="auto"/>
          <w:szCs w:val="21"/>
          <w:highlight w:val="none"/>
        </w:rPr>
        <w:t>原文：</w:t>
      </w:r>
      <w:r>
        <w:rPr>
          <w:rStyle w:val="29"/>
          <w:rFonts w:ascii="宋体" w:hAnsi="宋体"/>
          <w:color w:val="auto"/>
          <w:szCs w:val="21"/>
          <w:highlight w:val="none"/>
        </w:rPr>
        <w:t>36.5.1</w:t>
      </w:r>
      <w:r>
        <w:rPr>
          <w:rFonts w:hint="eastAsia" w:ascii="宋体" w:hAnsi="宋体"/>
          <w:color w:val="auto"/>
          <w:szCs w:val="21"/>
          <w:highlight w:val="none"/>
        </w:rPr>
        <w:t>在投标截止时间后一个小时内，投标人通过</w:t>
      </w:r>
      <w:r>
        <w:rPr>
          <w:rFonts w:ascii="宋体" w:hAnsi="宋体"/>
          <w:color w:val="auto"/>
          <w:szCs w:val="21"/>
          <w:highlight w:val="none"/>
          <w:u w:val="single"/>
        </w:rPr>
        <w:t xml:space="preserve">        </w:t>
      </w:r>
      <w:r>
        <w:rPr>
          <w:rFonts w:hint="eastAsia" w:ascii="宋体" w:hAnsi="宋体"/>
          <w:color w:val="auto"/>
          <w:szCs w:val="21"/>
          <w:highlight w:val="none"/>
        </w:rPr>
        <w:t>交易平台对已递交的电子投标文件进行解密。投标人完成解密后，再由招标人进行解密。解密完成后，公布招标项目名称、投标人名称、投标保证金的递交情况、投标报价、工期及其他内容；</w:t>
      </w:r>
    </w:p>
    <w:p w14:paraId="0C6405F0">
      <w:pPr>
        <w:pBdr>
          <w:bottom w:val="single" w:color="000000" w:sz="6" w:space="1"/>
        </w:pBdr>
        <w:spacing w:line="360" w:lineRule="auto"/>
        <w:ind w:firstLine="422" w:firstLineChars="200"/>
        <w:rPr>
          <w:rStyle w:val="29"/>
          <w:rFonts w:hint="eastAsia" w:ascii="宋体" w:hAnsi="宋体"/>
          <w:color w:val="auto"/>
          <w:szCs w:val="21"/>
          <w:highlight w:val="none"/>
        </w:rPr>
      </w:pPr>
      <w:r>
        <w:rPr>
          <w:rStyle w:val="29"/>
          <w:rFonts w:ascii="宋体" w:hAnsi="宋体"/>
          <w:b/>
          <w:color w:val="auto"/>
          <w:szCs w:val="21"/>
          <w:highlight w:val="none"/>
        </w:rPr>
        <w:t>现文：</w:t>
      </w:r>
      <w:r>
        <w:rPr>
          <w:rStyle w:val="29"/>
          <w:rFonts w:ascii="宋体" w:hAnsi="宋体"/>
          <w:color w:val="auto"/>
          <w:szCs w:val="21"/>
          <w:highlight w:val="none"/>
        </w:rPr>
        <w:t>36.5.1在投标截止时间后</w:t>
      </w:r>
      <w:r>
        <w:rPr>
          <w:rStyle w:val="29"/>
          <w:rFonts w:hint="eastAsia" w:ascii="宋体" w:hAnsi="宋体"/>
          <w:color w:val="auto"/>
          <w:szCs w:val="21"/>
          <w:highlight w:val="none"/>
        </w:rPr>
        <w:t>一个</w:t>
      </w:r>
      <w:r>
        <w:rPr>
          <w:rStyle w:val="29"/>
          <w:rFonts w:ascii="宋体" w:hAnsi="宋体"/>
          <w:color w:val="auto"/>
          <w:szCs w:val="21"/>
          <w:highlight w:val="none"/>
        </w:rPr>
        <w:t>小时内，投标人通过</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rPr>
        <w:t>交易平台对已递交的电子投标文件进行解密。投标人完成解密后，再由招标人进行解密。解密完成后，公布招标项目名称、投标人名称、投标保证金的递交情况、投标报价、工期及其他内容；</w:t>
      </w:r>
    </w:p>
    <w:p w14:paraId="50358E5A">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w:t>
      </w:r>
      <w:r>
        <w:rPr>
          <w:rFonts w:hint="eastAsia" w:ascii="宋体" w:hAnsi="宋体"/>
          <w:color w:val="auto"/>
          <w:szCs w:val="21"/>
          <w:highlight w:val="none"/>
        </w:rPr>
        <w:t>36.5.3</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379E6160">
      <w:pP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36.5.3投标人代表、招标人代表、监标人、记录人等有关人员在开标记录上签字确认；若有关人员不签字的，不影响开标程序；</w:t>
      </w:r>
    </w:p>
    <w:p w14:paraId="39B5E6E2">
      <w:pPr>
        <w:pBdr>
          <w:bottom w:val="single" w:color="auto" w:sz="6" w:space="1"/>
        </w:pBdr>
        <w:spacing w:line="360" w:lineRule="auto"/>
        <w:ind w:firstLine="422" w:firstLineChars="200"/>
        <w:rPr>
          <w:rFonts w:hint="eastAsia" w:ascii="宋体" w:hAnsi="宋体"/>
          <w:color w:val="auto"/>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rPr>
        <w:t>36.5.3投标人代表、招标人代表、监标人、记录人等有关人员在开标记录上签字确认；若有关人员不签字的，不影响开标程序；</w:t>
      </w:r>
      <w:r>
        <w:rPr>
          <w:rFonts w:hint="eastAsia" w:ascii="宋体" w:hAnsi="宋体"/>
          <w:color w:val="auto"/>
          <w:szCs w:val="21"/>
          <w:highlight w:val="none"/>
          <w:u w:val="single"/>
        </w:rPr>
        <w:t>若投标人不参加开标会的，或不签字确认的，视同该投标人认可开标结果。</w:t>
      </w:r>
    </w:p>
    <w:p w14:paraId="76313612">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条款号：37.4             修改类型：修改</w:t>
      </w:r>
    </w:p>
    <w:p w14:paraId="6E1E2EA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37.4 评标结束后，评标委员会递交评标报告并依法推荐中标候选人。</w:t>
      </w:r>
    </w:p>
    <w:p w14:paraId="57492843">
      <w:pPr>
        <w:pBdr>
          <w:bottom w:val="single" w:color="auto" w:sz="6" w:space="1"/>
        </w:pBdr>
        <w:spacing w:line="400" w:lineRule="exact"/>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37.4</w:t>
      </w:r>
      <w:r>
        <w:rPr>
          <w:rFonts w:hint="eastAsia" w:ascii="宋体" w:hAnsi="宋体" w:cs="宋体"/>
          <w:bCs/>
          <w:color w:val="auto"/>
          <w:szCs w:val="21"/>
          <w:highlight w:val="none"/>
          <w:u w:val="single"/>
        </w:rPr>
        <w:t>评标工作开始前，招标人应当向评标委员会提供评标所需的信息，包括招标项目的范围性质、特殊性、需求目标和实施要点，以及招标文件规定的评标方法、评标因素及标准等，不得明示或者暗示其倾向或者排斥特定投标人。</w:t>
      </w:r>
    </w:p>
    <w:p w14:paraId="45789333">
      <w:pPr>
        <w:pBdr>
          <w:bottom w:val="single" w:color="auto" w:sz="6" w:space="1"/>
        </w:pBdr>
        <w:spacing w:line="400" w:lineRule="exact"/>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37.5评标结束后，评标委员会递交评标报告并依法推荐中标候选人。</w:t>
      </w:r>
    </w:p>
    <w:p w14:paraId="4193762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条款号：38.1</w:t>
      </w:r>
      <w:r>
        <w:rPr>
          <w:rFonts w:ascii="宋体" w:hAnsi="宋体" w:cs="宋体"/>
          <w:b/>
          <w:color w:val="auto"/>
          <w:szCs w:val="21"/>
          <w:highlight w:val="none"/>
        </w:rPr>
        <w:t xml:space="preserve">          </w:t>
      </w:r>
      <w:r>
        <w:rPr>
          <w:rFonts w:hint="eastAsia" w:ascii="宋体" w:hAnsi="宋体" w:cs="宋体"/>
          <w:b/>
          <w:color w:val="auto"/>
          <w:szCs w:val="21"/>
          <w:highlight w:val="none"/>
        </w:rPr>
        <w:t>修改类型：修改</w:t>
      </w:r>
    </w:p>
    <w:p w14:paraId="034B94F0">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4A32EC8A">
      <w:pPr>
        <w:pBdr>
          <w:bottom w:val="single" w:color="auto"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38.1为有助于投标文件的审查、评价和比较，评标期间，经评标委员会或评标委员会专业评审组中两人以上（含两人）的成员以书面形式提出动议，评标委员会或评标委员会专业评审组应当书面发出澄清通知，</w:t>
      </w:r>
      <w:r>
        <w:rPr>
          <w:rFonts w:hint="eastAsia" w:ascii="宋体" w:hAnsi="宋体" w:cs="宋体"/>
          <w:color w:val="auto"/>
          <w:szCs w:val="21"/>
          <w:highlight w:val="none"/>
          <w:u w:val="single"/>
        </w:rPr>
        <w:t>要求投标人对投标文件含义不明确、对同类问题表述不一致、有明显文字和计算错误的内容以及细微偏差的内容作出澄清。</w:t>
      </w:r>
    </w:p>
    <w:p w14:paraId="660D1747">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条款号：</w:t>
      </w:r>
      <w:r>
        <w:rPr>
          <w:rFonts w:hint="eastAsia" w:ascii="宋体" w:hAnsi="宋体"/>
          <w:b/>
          <w:color w:val="auto"/>
          <w:szCs w:val="21"/>
          <w:highlight w:val="none"/>
        </w:rPr>
        <w:t>39.3</w:t>
      </w:r>
      <w:r>
        <w:rPr>
          <w:rFonts w:ascii="宋体" w:hAnsi="宋体"/>
          <w:b/>
          <w:color w:val="auto"/>
          <w:szCs w:val="21"/>
          <w:highlight w:val="none"/>
        </w:rPr>
        <w:t xml:space="preserve">          </w:t>
      </w:r>
      <w:r>
        <w:rPr>
          <w:rFonts w:hint="eastAsia" w:ascii="宋体" w:hAnsi="宋体"/>
          <w:b/>
          <w:bCs/>
          <w:color w:val="auto"/>
          <w:szCs w:val="21"/>
          <w:highlight w:val="none"/>
        </w:rPr>
        <w:t>修改类型：修改</w:t>
      </w:r>
    </w:p>
    <w:p w14:paraId="2469C086">
      <w:pPr>
        <w:spacing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原文：</w:t>
      </w:r>
      <w:r>
        <w:rPr>
          <w:rFonts w:hint="eastAsia" w:ascii="宋体" w:hAnsi="宋体"/>
          <w:color w:val="auto"/>
          <w:highlight w:val="none"/>
        </w:rPr>
        <w:t>39.3</w:t>
      </w:r>
      <w:r>
        <w:rPr>
          <w:rFonts w:hint="eastAsia" w:ascii="宋体" w:hAnsi="宋体"/>
          <w:color w:val="auto"/>
          <w:szCs w:val="21"/>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397DD511">
      <w:pPr>
        <w:pBdr>
          <w:bottom w:val="single" w:color="000000" w:sz="6" w:space="1"/>
        </w:pBdr>
        <w:spacing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现文：</w:t>
      </w:r>
      <w:r>
        <w:rPr>
          <w:rFonts w:hint="eastAsia" w:ascii="宋体" w:hAnsi="宋体"/>
          <w:color w:val="auto"/>
          <w:highlight w:val="none"/>
        </w:rPr>
        <w:t>39.3</w:t>
      </w:r>
      <w:r>
        <w:rPr>
          <w:rFonts w:hint="eastAsia" w:ascii="宋体" w:hAnsi="宋体"/>
          <w:color w:val="auto"/>
          <w:szCs w:val="21"/>
          <w:highlight w:val="none"/>
        </w:rPr>
        <w:t>排名第一的中标候选人放弃中标、或因不可抗力不能履行合同，</w:t>
      </w:r>
      <w:r>
        <w:rPr>
          <w:rFonts w:hint="eastAsia" w:ascii="宋体" w:hAnsi="宋体"/>
          <w:color w:val="auto"/>
          <w:szCs w:val="21"/>
          <w:highlight w:val="none"/>
          <w:u w:val="single"/>
        </w:rPr>
        <w:t>或不按照招标文件要求提交履约担保，或经核查发现委派的项目负责人已在其他在建项目中任职的，或者被查实存在影响中标结果的违法行为等情形，不符合中标条件的，</w:t>
      </w:r>
      <w:r>
        <w:rPr>
          <w:rFonts w:hint="eastAsia" w:ascii="宋体" w:hAnsi="宋体"/>
          <w:color w:val="auto"/>
          <w:szCs w:val="21"/>
          <w:highlight w:val="none"/>
        </w:rPr>
        <w:t>招标人可以确定排名第二的中标候选人为中标人。</w:t>
      </w:r>
    </w:p>
    <w:p w14:paraId="2B463148">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w:t>
      </w:r>
      <w:r>
        <w:rPr>
          <w:rStyle w:val="29"/>
          <w:rFonts w:hint="eastAsia" w:ascii="宋体" w:hAnsi="宋体"/>
          <w:b/>
          <w:color w:val="auto"/>
          <w:szCs w:val="21"/>
          <w:highlight w:val="none"/>
        </w:rPr>
        <w:t xml:space="preserve">（二）开标评标办法程序和细则 注 </w:t>
      </w:r>
      <w:r>
        <w:rPr>
          <w:rStyle w:val="29"/>
          <w:rFonts w:ascii="宋体" w:hAnsi="宋体"/>
          <w:b/>
          <w:color w:val="auto"/>
          <w:szCs w:val="21"/>
          <w:highlight w:val="none"/>
        </w:rPr>
        <w:t xml:space="preserve">         </w:t>
      </w:r>
      <w:r>
        <w:rPr>
          <w:rStyle w:val="29"/>
          <w:rFonts w:hint="eastAsia" w:ascii="宋体" w:hAnsi="宋体"/>
          <w:b/>
          <w:color w:val="auto"/>
          <w:szCs w:val="21"/>
          <w:highlight w:val="none"/>
        </w:rPr>
        <w:t>修改类型：删除</w:t>
      </w:r>
    </w:p>
    <w:p w14:paraId="141D57E1">
      <w:pPr>
        <w:pBdr>
          <w:bottom w:val="single" w:color="000000" w:sz="6" w:space="1"/>
        </w:pBd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原文：</w:t>
      </w:r>
      <w:r>
        <w:rPr>
          <w:rStyle w:val="29"/>
          <w:rFonts w:hint="eastAsia" w:ascii="宋体" w:hAnsi="宋体"/>
          <w:bCs/>
          <w:color w:val="auto"/>
          <w:szCs w:val="21"/>
          <w:highlight w:val="none"/>
        </w:rPr>
        <w:t>注：以下八种评标办法所述企业综合诚信评价分数即投标截止当日广州市住房和城乡建设局网站上公布的企业综合诚信评价60日诚信分。</w:t>
      </w:r>
    </w:p>
    <w:p w14:paraId="3568F891">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 （二）开标评标办法程序和细则        修改类型：删除</w:t>
      </w:r>
    </w:p>
    <w:p w14:paraId="3D4973CB">
      <w:pPr>
        <w:pBdr>
          <w:bottom w:val="single" w:color="auto" w:sz="6" w:space="1"/>
        </w:pBdr>
        <w:spacing w:line="360" w:lineRule="auto"/>
        <w:ind w:firstLine="527" w:firstLineChars="250"/>
        <w:rPr>
          <w:rFonts w:hint="eastAsia"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u w:val="single"/>
        </w:rPr>
        <w:t>可选办法一（适合</w:t>
      </w:r>
      <w:r>
        <w:rPr>
          <w:rFonts w:hint="eastAsia" w:ascii="宋体" w:hAnsi="宋体" w:cs="宋体"/>
          <w:color w:val="auto"/>
          <w:kern w:val="0"/>
          <w:szCs w:val="21"/>
          <w:highlight w:val="none"/>
          <w:u w:val="single"/>
        </w:rPr>
        <w:t>综合评分法一</w:t>
      </w:r>
      <w:r>
        <w:rPr>
          <w:rFonts w:hint="eastAsia" w:ascii="宋体" w:hAnsi="宋体" w:cs="宋体"/>
          <w:color w:val="auto"/>
          <w:szCs w:val="21"/>
          <w:highlight w:val="none"/>
          <w:u w:val="single"/>
        </w:rPr>
        <w:t>，技术标与经济标先后分别开启）</w:t>
      </w:r>
    </w:p>
    <w:p w14:paraId="02921734">
      <w:pPr>
        <w:pBdr>
          <w:bottom w:val="single" w:color="auto" w:sz="6" w:space="1"/>
        </w:pBdr>
        <w:spacing w:line="360" w:lineRule="auto"/>
        <w:ind w:firstLine="1155" w:firstLineChars="550"/>
        <w:rPr>
          <w:rFonts w:hint="eastAsia" w:ascii="宋体" w:hAnsi="宋体" w:cs="宋体"/>
          <w:color w:val="auto"/>
          <w:szCs w:val="21"/>
          <w:highlight w:val="none"/>
          <w:u w:val="single"/>
        </w:rPr>
      </w:pPr>
      <w:r>
        <w:rPr>
          <w:rFonts w:hint="eastAsia" w:ascii="宋体" w:hAnsi="宋体" w:cs="宋体"/>
          <w:color w:val="auto"/>
          <w:szCs w:val="21"/>
          <w:highlight w:val="none"/>
          <w:u w:val="single"/>
        </w:rPr>
        <w:t>可选办法二（适合综合评分法一，技术标与经济标同时开启）</w:t>
      </w:r>
    </w:p>
    <w:p w14:paraId="1AB3D0BA">
      <w:pPr>
        <w:pBdr>
          <w:bottom w:val="single" w:color="auto" w:sz="6" w:space="1"/>
        </w:pBdr>
        <w:spacing w:line="360" w:lineRule="auto"/>
        <w:ind w:firstLine="1155" w:firstLineChars="550"/>
        <w:rPr>
          <w:rFonts w:hint="eastAsia" w:ascii="宋体" w:hAnsi="宋体" w:cs="宋体"/>
          <w:color w:val="auto"/>
          <w:szCs w:val="21"/>
          <w:highlight w:val="none"/>
          <w:u w:val="single"/>
        </w:rPr>
      </w:pPr>
      <w:r>
        <w:rPr>
          <w:rFonts w:hint="eastAsia" w:ascii="宋体" w:hAnsi="宋体" w:cs="宋体"/>
          <w:color w:val="auto"/>
          <w:szCs w:val="21"/>
          <w:highlight w:val="none"/>
          <w:u w:val="single"/>
        </w:rPr>
        <w:t>可选办法三（适合综合评分法二，技术标与经济标先后分别开启）</w:t>
      </w:r>
    </w:p>
    <w:p w14:paraId="2A507670">
      <w:pPr>
        <w:pBdr>
          <w:bottom w:val="single" w:color="auto" w:sz="6" w:space="1"/>
        </w:pBdr>
        <w:spacing w:line="360" w:lineRule="auto"/>
        <w:ind w:firstLine="1155" w:firstLineChars="550"/>
        <w:rPr>
          <w:rFonts w:hint="eastAsia" w:ascii="宋体" w:hAnsi="宋体" w:cs="宋体"/>
          <w:color w:val="auto"/>
          <w:szCs w:val="21"/>
          <w:highlight w:val="none"/>
          <w:u w:val="single"/>
        </w:rPr>
      </w:pPr>
      <w:r>
        <w:rPr>
          <w:rFonts w:hint="eastAsia" w:ascii="宋体" w:hAnsi="宋体" w:cs="宋体"/>
          <w:color w:val="auto"/>
          <w:szCs w:val="21"/>
          <w:highlight w:val="none"/>
          <w:u w:val="single"/>
        </w:rPr>
        <w:t>可选办法四（适合综合评分法二，技术标与经济标同时开启）</w:t>
      </w:r>
    </w:p>
    <w:p w14:paraId="21AD4E46">
      <w:pPr>
        <w:pBdr>
          <w:bottom w:val="single" w:color="auto" w:sz="6" w:space="1"/>
        </w:pBdr>
        <w:spacing w:line="360" w:lineRule="auto"/>
        <w:ind w:firstLine="1155" w:firstLineChars="550"/>
        <w:rPr>
          <w:rFonts w:hint="eastAsia" w:ascii="宋体" w:hAnsi="宋体" w:cs="宋体"/>
          <w:color w:val="auto"/>
          <w:szCs w:val="21"/>
          <w:highlight w:val="none"/>
          <w:u w:val="single"/>
        </w:rPr>
      </w:pPr>
      <w:r>
        <w:rPr>
          <w:rFonts w:hint="eastAsia" w:ascii="宋体" w:hAnsi="宋体" w:cs="宋体"/>
          <w:color w:val="auto"/>
          <w:szCs w:val="21"/>
          <w:highlight w:val="none"/>
          <w:u w:val="single"/>
        </w:rPr>
        <w:t>可选办法五（适合综合评分法三，技术标与经济标先后分别开启）</w:t>
      </w:r>
    </w:p>
    <w:p w14:paraId="188F3E70">
      <w:pPr>
        <w:pBdr>
          <w:bottom w:val="single" w:color="auto" w:sz="6" w:space="1"/>
        </w:pBdr>
        <w:spacing w:line="360" w:lineRule="auto"/>
        <w:ind w:firstLine="1155" w:firstLineChars="550"/>
        <w:rPr>
          <w:rFonts w:hint="eastAsia" w:ascii="宋体" w:hAnsi="宋体" w:cs="宋体"/>
          <w:color w:val="auto"/>
          <w:szCs w:val="21"/>
          <w:highlight w:val="none"/>
          <w:u w:val="single"/>
        </w:rPr>
      </w:pPr>
      <w:r>
        <w:rPr>
          <w:rFonts w:hint="eastAsia" w:ascii="宋体" w:hAnsi="宋体" w:cs="宋体"/>
          <w:color w:val="auto"/>
          <w:szCs w:val="21"/>
          <w:highlight w:val="none"/>
          <w:u w:val="single"/>
        </w:rPr>
        <w:t>可选办法六（适合综合评分法三，技术标与经济标同时开启）</w:t>
      </w:r>
    </w:p>
    <w:p w14:paraId="25CB2E71">
      <w:pPr>
        <w:pBdr>
          <w:bottom w:val="single" w:color="auto" w:sz="6" w:space="1"/>
        </w:pBdr>
        <w:spacing w:line="360" w:lineRule="auto"/>
        <w:ind w:firstLine="1155" w:firstLineChars="550"/>
        <w:rPr>
          <w:rFonts w:hint="eastAsia" w:ascii="宋体" w:hAnsi="宋体" w:cs="宋体"/>
          <w:b/>
          <w:color w:val="auto"/>
          <w:szCs w:val="21"/>
          <w:highlight w:val="none"/>
        </w:rPr>
      </w:pPr>
      <w:r>
        <w:rPr>
          <w:rFonts w:hint="eastAsia" w:ascii="宋体" w:hAnsi="宋体" w:cs="宋体"/>
          <w:color w:val="auto"/>
          <w:szCs w:val="21"/>
          <w:highlight w:val="none"/>
          <w:u w:val="single"/>
        </w:rPr>
        <w:t>可选办法八（适合经评审的最低投标价法，技术标与经济标同时开启）</w:t>
      </w:r>
    </w:p>
    <w:p w14:paraId="4E37BA86">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条款号：40          修改类型：修改</w:t>
      </w:r>
    </w:p>
    <w:p w14:paraId="121D6C49">
      <w:pPr>
        <w:spacing w:line="360" w:lineRule="auto"/>
        <w:ind w:firstLine="422" w:firstLineChars="200"/>
        <w:rPr>
          <w:rStyle w:val="29"/>
          <w:rFonts w:hint="eastAsia" w:ascii="宋体" w:hAnsi="宋体"/>
          <w:color w:val="auto"/>
          <w:szCs w:val="21"/>
          <w:highlight w:val="none"/>
        </w:rPr>
      </w:pPr>
      <w:r>
        <w:rPr>
          <w:rStyle w:val="29"/>
          <w:rFonts w:ascii="宋体" w:hAnsi="宋体"/>
          <w:b/>
          <w:color w:val="auto"/>
          <w:szCs w:val="21"/>
          <w:highlight w:val="none"/>
        </w:rPr>
        <w:t>原文：</w:t>
      </w:r>
    </w:p>
    <w:p w14:paraId="4C5782F0">
      <w:pPr>
        <w:spacing w:line="360" w:lineRule="auto"/>
        <w:ind w:firstLine="420" w:firstLineChars="200"/>
        <w:rPr>
          <w:rStyle w:val="29"/>
          <w:rFonts w:hint="eastAsia" w:ascii="宋体" w:hAnsi="宋体"/>
          <w:color w:val="auto"/>
          <w:szCs w:val="21"/>
          <w:highlight w:val="none"/>
        </w:rPr>
      </w:pPr>
      <w:r>
        <w:rPr>
          <w:rStyle w:val="29"/>
          <w:rFonts w:hint="eastAsia" w:ascii="宋体" w:hAnsi="宋体"/>
          <w:color w:val="auto"/>
          <w:szCs w:val="21"/>
          <w:highlight w:val="none"/>
        </w:rPr>
        <w:t>40．开标和评标程序</w:t>
      </w:r>
    </w:p>
    <w:p w14:paraId="0029ED8B">
      <w:pPr>
        <w:spacing w:line="360" w:lineRule="auto"/>
        <w:ind w:firstLine="420" w:firstLineChars="200"/>
        <w:rPr>
          <w:rStyle w:val="29"/>
          <w:rFonts w:hint="eastAsia" w:ascii="宋体" w:hAnsi="宋体"/>
          <w:color w:val="auto"/>
          <w:szCs w:val="21"/>
          <w:highlight w:val="none"/>
        </w:rPr>
      </w:pPr>
      <w:r>
        <w:rPr>
          <w:rStyle w:val="29"/>
          <w:rFonts w:hint="eastAsia" w:ascii="宋体" w:hAnsi="宋体"/>
          <w:color w:val="auto"/>
          <w:szCs w:val="21"/>
          <w:highlight w:val="none"/>
        </w:rPr>
        <w:t>40.1技术标（含资格审查文件）与经济标投标文件同时公开开标；</w:t>
      </w:r>
    </w:p>
    <w:p w14:paraId="0D7527FB">
      <w:pPr>
        <w:spacing w:line="360" w:lineRule="auto"/>
        <w:ind w:firstLine="420" w:firstLineChars="200"/>
        <w:rPr>
          <w:rStyle w:val="29"/>
          <w:rFonts w:hint="eastAsia" w:ascii="宋体" w:hAnsi="宋体"/>
          <w:color w:val="auto"/>
          <w:szCs w:val="21"/>
          <w:highlight w:val="none"/>
        </w:rPr>
      </w:pPr>
      <w:r>
        <w:rPr>
          <w:rStyle w:val="29"/>
          <w:rFonts w:hint="eastAsia" w:ascii="宋体" w:hAnsi="宋体"/>
          <w:color w:val="auto"/>
          <w:szCs w:val="21"/>
          <w:highlight w:val="none"/>
        </w:rPr>
        <w:t>40.2由评标委员会对所有已公开开标的投标人进行资格审查；</w:t>
      </w:r>
    </w:p>
    <w:p w14:paraId="71DC69BC">
      <w:pPr>
        <w:spacing w:line="360" w:lineRule="auto"/>
        <w:ind w:firstLine="420" w:firstLineChars="200"/>
        <w:rPr>
          <w:rStyle w:val="29"/>
          <w:rFonts w:hint="eastAsia" w:ascii="宋体" w:hAnsi="宋体"/>
          <w:color w:val="auto"/>
          <w:szCs w:val="21"/>
          <w:highlight w:val="none"/>
        </w:rPr>
      </w:pPr>
      <w:r>
        <w:rPr>
          <w:rStyle w:val="29"/>
          <w:rFonts w:hint="eastAsia" w:ascii="宋体" w:hAnsi="宋体"/>
          <w:color w:val="auto"/>
          <w:szCs w:val="21"/>
          <w:highlight w:val="none"/>
        </w:rPr>
        <w:t>40.3技术标投标文件有效性审查；</w:t>
      </w:r>
    </w:p>
    <w:p w14:paraId="547713F3">
      <w:pPr>
        <w:spacing w:line="360" w:lineRule="auto"/>
        <w:ind w:firstLine="420" w:firstLineChars="200"/>
        <w:rPr>
          <w:rStyle w:val="29"/>
          <w:rFonts w:hint="eastAsia" w:ascii="宋体" w:hAnsi="宋体"/>
          <w:color w:val="auto"/>
          <w:szCs w:val="21"/>
          <w:highlight w:val="none"/>
        </w:rPr>
      </w:pPr>
      <w:r>
        <w:rPr>
          <w:rStyle w:val="29"/>
          <w:rFonts w:hint="eastAsia" w:ascii="宋体" w:hAnsi="宋体"/>
          <w:color w:val="auto"/>
          <w:szCs w:val="21"/>
          <w:highlight w:val="none"/>
        </w:rPr>
        <w:t>40.4技术标详细审查评分；</w:t>
      </w:r>
    </w:p>
    <w:p w14:paraId="0B5DD564">
      <w:pPr>
        <w:spacing w:line="360" w:lineRule="auto"/>
        <w:ind w:firstLine="420" w:firstLineChars="200"/>
        <w:rPr>
          <w:rStyle w:val="29"/>
          <w:rFonts w:hint="eastAsia" w:ascii="宋体" w:hAnsi="宋体"/>
          <w:color w:val="auto"/>
          <w:szCs w:val="21"/>
          <w:highlight w:val="none"/>
        </w:rPr>
      </w:pPr>
      <w:r>
        <w:rPr>
          <w:rStyle w:val="29"/>
          <w:rFonts w:hint="eastAsia" w:ascii="宋体" w:hAnsi="宋体"/>
          <w:color w:val="auto"/>
          <w:szCs w:val="21"/>
          <w:highlight w:val="none"/>
        </w:rPr>
        <w:t>40.5经济标详细审查评分；</w:t>
      </w:r>
    </w:p>
    <w:p w14:paraId="286522CA">
      <w:pPr>
        <w:spacing w:line="360" w:lineRule="auto"/>
        <w:ind w:firstLine="420" w:firstLineChars="200"/>
        <w:rPr>
          <w:rStyle w:val="29"/>
          <w:rFonts w:hint="eastAsia" w:ascii="宋体" w:hAnsi="宋体"/>
          <w:color w:val="auto"/>
          <w:szCs w:val="21"/>
          <w:highlight w:val="none"/>
        </w:rPr>
      </w:pPr>
      <w:r>
        <w:rPr>
          <w:rStyle w:val="29"/>
          <w:rFonts w:hint="eastAsia" w:ascii="宋体" w:hAnsi="宋体"/>
          <w:color w:val="auto"/>
          <w:szCs w:val="21"/>
          <w:highlight w:val="none"/>
        </w:rPr>
        <w:t>40.6评标委员会按照投标人总得分由高至低排序；</w:t>
      </w:r>
    </w:p>
    <w:p w14:paraId="208E3D0D">
      <w:pPr>
        <w:spacing w:line="360" w:lineRule="auto"/>
        <w:ind w:firstLine="420" w:firstLineChars="200"/>
        <w:rPr>
          <w:rStyle w:val="29"/>
          <w:rFonts w:hint="eastAsia" w:ascii="宋体" w:hAnsi="宋体"/>
          <w:color w:val="auto"/>
          <w:szCs w:val="21"/>
          <w:highlight w:val="none"/>
        </w:rPr>
      </w:pPr>
      <w:r>
        <w:rPr>
          <w:rStyle w:val="29"/>
          <w:rFonts w:hint="eastAsia" w:ascii="宋体" w:hAnsi="宋体"/>
          <w:color w:val="auto"/>
          <w:szCs w:val="21"/>
          <w:highlight w:val="none"/>
        </w:rPr>
        <w:t>40.7经济标投标文件有效性审查；</w:t>
      </w:r>
    </w:p>
    <w:p w14:paraId="07EF91F6">
      <w:pPr>
        <w:spacing w:line="360" w:lineRule="auto"/>
        <w:ind w:firstLine="420" w:firstLineChars="200"/>
        <w:rPr>
          <w:rStyle w:val="29"/>
          <w:rFonts w:hint="eastAsia" w:ascii="宋体" w:hAnsi="宋体"/>
          <w:color w:val="auto"/>
          <w:szCs w:val="21"/>
          <w:highlight w:val="none"/>
        </w:rPr>
      </w:pPr>
      <w:r>
        <w:rPr>
          <w:rStyle w:val="29"/>
          <w:rFonts w:hint="eastAsia" w:ascii="宋体" w:hAnsi="宋体"/>
          <w:color w:val="auto"/>
          <w:szCs w:val="21"/>
          <w:highlight w:val="none"/>
        </w:rPr>
        <w:t>40.8评标委员会按排序向招标人推荐中标候选人名单，并递交资格审查报告及评标报告。</w:t>
      </w:r>
    </w:p>
    <w:p w14:paraId="1FED0329">
      <w:pPr>
        <w:pBdr>
          <w:bottom w:val="single" w:color="000000" w:sz="6" w:space="1"/>
        </w:pBd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现文：</w:t>
      </w:r>
    </w:p>
    <w:p w14:paraId="4E6BA93C">
      <w:pPr>
        <w:pBdr>
          <w:bottom w:val="single" w:color="000000" w:sz="6" w:space="1"/>
        </w:pBd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40．开标和评标程序</w:t>
      </w:r>
    </w:p>
    <w:p w14:paraId="63EDCEC4">
      <w:pPr>
        <w:pBdr>
          <w:bottom w:val="single" w:color="000000" w:sz="6" w:space="1"/>
        </w:pBd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40.1技术标（含资格审查文件）与经济标投标文件同时公开开标；</w:t>
      </w:r>
    </w:p>
    <w:p w14:paraId="4A12D82F">
      <w:pPr>
        <w:pBdr>
          <w:bottom w:val="single" w:color="000000" w:sz="6" w:space="1"/>
        </w:pBd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40.2由评标委员会对所有已公开开标的投标人进行资格审查</w:t>
      </w:r>
      <w:r>
        <w:rPr>
          <w:rFonts w:hint="eastAsia" w:ascii="宋体" w:hAnsi="宋体"/>
          <w:bCs/>
          <w:color w:val="auto"/>
          <w:szCs w:val="21"/>
          <w:highlight w:val="none"/>
          <w:u w:val="single"/>
        </w:rPr>
        <w:t>，</w:t>
      </w:r>
      <w:r>
        <w:rPr>
          <w:rStyle w:val="29"/>
          <w:rFonts w:hint="eastAsia" w:ascii="宋体" w:hAnsi="宋体"/>
          <w:color w:val="auto"/>
          <w:szCs w:val="21"/>
          <w:highlight w:val="none"/>
          <w:u w:val="single"/>
        </w:rPr>
        <w:t>并编写资格审查报告</w:t>
      </w:r>
      <w:r>
        <w:rPr>
          <w:rStyle w:val="29"/>
          <w:rFonts w:ascii="宋体" w:hAnsi="宋体"/>
          <w:color w:val="auto"/>
          <w:szCs w:val="21"/>
          <w:highlight w:val="none"/>
          <w:u w:val="single"/>
        </w:rPr>
        <w:t>；</w:t>
      </w:r>
    </w:p>
    <w:p w14:paraId="6BB4524F">
      <w:pPr>
        <w:pBdr>
          <w:bottom w:val="single" w:color="000000" w:sz="6" w:space="1"/>
        </w:pBd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40.3技术标投标文件有效性审查；</w:t>
      </w:r>
    </w:p>
    <w:p w14:paraId="6FE81F33">
      <w:pPr>
        <w:pBdr>
          <w:bottom w:val="single" w:color="000000" w:sz="6" w:space="1"/>
        </w:pBd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40.4技术标详细审查评分；</w:t>
      </w:r>
    </w:p>
    <w:p w14:paraId="4FBCE773">
      <w:pPr>
        <w:pBdr>
          <w:bottom w:val="single" w:color="000000" w:sz="6" w:space="1"/>
        </w:pBd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 xml:space="preserve">40.5经济标详细审查评分； </w:t>
      </w:r>
    </w:p>
    <w:p w14:paraId="6F421F4B">
      <w:pPr>
        <w:pBdr>
          <w:bottom w:val="single" w:color="000000" w:sz="6" w:space="1"/>
        </w:pBd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40.6评标委员会</w:t>
      </w:r>
      <w:r>
        <w:rPr>
          <w:rFonts w:hint="eastAsia" w:ascii="宋体" w:hAnsi="宋体"/>
          <w:bCs/>
          <w:color w:val="auto"/>
          <w:szCs w:val="21"/>
          <w:highlight w:val="none"/>
          <w:u w:val="single"/>
        </w:rPr>
        <w:t>汇总投标人得分，</w:t>
      </w:r>
      <w:r>
        <w:rPr>
          <w:rFonts w:hint="eastAsia" w:ascii="宋体" w:hAnsi="宋体"/>
          <w:bCs/>
          <w:color w:val="auto"/>
          <w:szCs w:val="21"/>
          <w:highlight w:val="none"/>
        </w:rPr>
        <w:t>并按照投标人总得分由高至低排序；</w:t>
      </w:r>
    </w:p>
    <w:p w14:paraId="59BD5888">
      <w:pPr>
        <w:pBdr>
          <w:bottom w:val="single" w:color="000000" w:sz="6" w:space="1"/>
        </w:pBd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40.7</w:t>
      </w:r>
      <w:r>
        <w:rPr>
          <w:rFonts w:hint="eastAsia" w:ascii="宋体" w:hAnsi="宋体"/>
          <w:bCs/>
          <w:color w:val="auto"/>
          <w:szCs w:val="21"/>
          <w:highlight w:val="none"/>
          <w:u w:val="single"/>
        </w:rPr>
        <w:t>按照投标人总得分由高至低排序，依次进行</w:t>
      </w:r>
      <w:r>
        <w:rPr>
          <w:rFonts w:hint="eastAsia" w:ascii="宋体" w:hAnsi="宋体"/>
          <w:bCs/>
          <w:color w:val="auto"/>
          <w:szCs w:val="21"/>
          <w:highlight w:val="none"/>
        </w:rPr>
        <w:t>经济标投标文件有效性审查；</w:t>
      </w:r>
    </w:p>
    <w:p w14:paraId="573B910F">
      <w:pPr>
        <w:pBdr>
          <w:bottom w:val="single" w:color="000000" w:sz="6" w:space="1"/>
        </w:pBd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40.8评标委员会按</w:t>
      </w:r>
      <w:r>
        <w:rPr>
          <w:rFonts w:hint="eastAsia" w:ascii="宋体" w:hAnsi="宋体"/>
          <w:bCs/>
          <w:color w:val="auto"/>
          <w:szCs w:val="21"/>
          <w:highlight w:val="none"/>
          <w:u w:val="single"/>
        </w:rPr>
        <w:t>总得分</w:t>
      </w:r>
      <w:r>
        <w:rPr>
          <w:rFonts w:hint="eastAsia" w:ascii="宋体" w:hAnsi="宋体"/>
          <w:bCs/>
          <w:color w:val="auto"/>
          <w:szCs w:val="21"/>
          <w:highlight w:val="none"/>
        </w:rPr>
        <w:t>排序，向招标人推荐</w:t>
      </w:r>
      <w:r>
        <w:rPr>
          <w:rFonts w:hint="eastAsia" w:ascii="宋体" w:hAnsi="宋体"/>
          <w:bCs/>
          <w:color w:val="auto"/>
          <w:szCs w:val="21"/>
          <w:highlight w:val="none"/>
          <w:u w:val="single"/>
        </w:rPr>
        <w:t>通过经济标投标文件有效性审查的</w:t>
      </w:r>
      <w:r>
        <w:rPr>
          <w:rFonts w:hint="eastAsia" w:ascii="宋体" w:hAnsi="宋体"/>
          <w:bCs/>
          <w:color w:val="auto"/>
          <w:szCs w:val="21"/>
          <w:highlight w:val="none"/>
        </w:rPr>
        <w:t>中标候选人，并递交资格审查报告及评标报告。</w:t>
      </w:r>
    </w:p>
    <w:p w14:paraId="21821245">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条款号：41.1          修改类型：修改</w:t>
      </w:r>
    </w:p>
    <w:p w14:paraId="70684371">
      <w:pPr>
        <w:spacing w:line="360" w:lineRule="auto"/>
        <w:ind w:firstLine="422" w:firstLineChars="200"/>
        <w:rPr>
          <w:rStyle w:val="29"/>
          <w:rFonts w:hint="eastAsia" w:ascii="宋体" w:hAnsi="宋体"/>
          <w:color w:val="auto"/>
          <w:szCs w:val="21"/>
          <w:highlight w:val="none"/>
        </w:rPr>
      </w:pPr>
      <w:r>
        <w:rPr>
          <w:rStyle w:val="29"/>
          <w:rFonts w:ascii="宋体" w:hAnsi="宋体"/>
          <w:b/>
          <w:color w:val="auto"/>
          <w:szCs w:val="21"/>
          <w:highlight w:val="none"/>
        </w:rPr>
        <w:t>原文：</w:t>
      </w:r>
      <w:r>
        <w:rPr>
          <w:rStyle w:val="29"/>
          <w:rFonts w:ascii="宋体" w:hAnsi="宋体"/>
          <w:color w:val="auto"/>
          <w:szCs w:val="21"/>
          <w:highlight w:val="none"/>
        </w:rPr>
        <w:t>41.1开标由招标人主持；</w:t>
      </w:r>
    </w:p>
    <w:p w14:paraId="4B88C421">
      <w:pPr>
        <w:pBdr>
          <w:bottom w:val="single" w:color="000000" w:sz="6" w:space="1"/>
        </w:pBdr>
        <w:spacing w:line="360" w:lineRule="auto"/>
        <w:ind w:firstLine="422" w:firstLineChars="200"/>
        <w:rPr>
          <w:rStyle w:val="29"/>
          <w:rFonts w:hint="eastAsia" w:ascii="宋体" w:hAnsi="宋体"/>
          <w:color w:val="auto"/>
          <w:szCs w:val="21"/>
          <w:highlight w:val="none"/>
          <w:u w:val="single"/>
        </w:rPr>
      </w:pPr>
      <w:r>
        <w:rPr>
          <w:rStyle w:val="29"/>
          <w:rFonts w:ascii="宋体" w:hAnsi="宋体"/>
          <w:b/>
          <w:color w:val="auto"/>
          <w:szCs w:val="21"/>
          <w:highlight w:val="none"/>
        </w:rPr>
        <w:t>现文：</w:t>
      </w:r>
      <w:r>
        <w:rPr>
          <w:rStyle w:val="29"/>
          <w:rFonts w:ascii="宋体" w:hAnsi="宋体"/>
          <w:color w:val="auto"/>
          <w:szCs w:val="21"/>
          <w:highlight w:val="none"/>
        </w:rPr>
        <w:t>41.1</w:t>
      </w:r>
      <w:r>
        <w:rPr>
          <w:rStyle w:val="29"/>
          <w:rFonts w:ascii="宋体" w:hAnsi="宋体"/>
          <w:color w:val="auto"/>
          <w:szCs w:val="21"/>
          <w:highlight w:val="none"/>
          <w:u w:val="single"/>
        </w:rPr>
        <w:t>开标由招标人或招标代理主持；</w:t>
      </w:r>
    </w:p>
    <w:p w14:paraId="3589C7B4">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条款号：41.2.1          修改类型：修改</w:t>
      </w:r>
    </w:p>
    <w:p w14:paraId="7401F6FB">
      <w:pPr>
        <w:spacing w:line="360" w:lineRule="auto"/>
        <w:ind w:firstLine="422" w:firstLineChars="200"/>
        <w:rPr>
          <w:rStyle w:val="29"/>
          <w:rFonts w:hint="eastAsia" w:ascii="宋体" w:hAnsi="宋体"/>
          <w:b/>
          <w:color w:val="auto"/>
          <w:szCs w:val="21"/>
          <w:highlight w:val="none"/>
        </w:rPr>
      </w:pPr>
      <w:r>
        <w:rPr>
          <w:rStyle w:val="29"/>
          <w:rFonts w:ascii="宋体" w:hAnsi="宋体"/>
          <w:b/>
          <w:color w:val="auto"/>
          <w:szCs w:val="21"/>
          <w:highlight w:val="none"/>
        </w:rPr>
        <w:t>原文：</w:t>
      </w:r>
      <w:r>
        <w:rPr>
          <w:rStyle w:val="29"/>
          <w:rFonts w:ascii="宋体" w:hAnsi="宋体"/>
          <w:color w:val="auto"/>
          <w:szCs w:val="21"/>
          <w:highlight w:val="none"/>
        </w:rPr>
        <w:t>41.2.1投标截止期前，各投标人递交投标文件（包括技术标投标文件、经济标投标文件）至</w:t>
      </w:r>
      <w:r>
        <w:rPr>
          <w:rStyle w:val="29"/>
          <w:rFonts w:ascii="宋体" w:hAnsi="宋体"/>
          <w:color w:val="auto"/>
          <w:szCs w:val="21"/>
          <w:highlight w:val="none"/>
          <w:u w:val="single"/>
        </w:rPr>
        <w:t xml:space="preserve">     </w:t>
      </w:r>
      <w:r>
        <w:rPr>
          <w:rStyle w:val="29"/>
          <w:rFonts w:ascii="宋体" w:hAnsi="宋体"/>
          <w:color w:val="auto"/>
          <w:szCs w:val="21"/>
          <w:highlight w:val="none"/>
        </w:rPr>
        <w:t>交易平台。有关投标文件提交的事项详见第一章投标须知。</w:t>
      </w:r>
    </w:p>
    <w:p w14:paraId="375D27D0">
      <w:pPr>
        <w:pBdr>
          <w:bottom w:val="single" w:color="000000" w:sz="6" w:space="1"/>
        </w:pBdr>
        <w:spacing w:line="360" w:lineRule="auto"/>
        <w:ind w:firstLine="422" w:firstLineChars="200"/>
        <w:rPr>
          <w:rStyle w:val="29"/>
          <w:rFonts w:hint="eastAsia" w:ascii="宋体" w:hAnsi="宋体"/>
          <w:color w:val="auto"/>
          <w:szCs w:val="21"/>
          <w:highlight w:val="none"/>
        </w:rPr>
      </w:pPr>
      <w:r>
        <w:rPr>
          <w:rStyle w:val="29"/>
          <w:rFonts w:ascii="宋体" w:hAnsi="宋体"/>
          <w:b/>
          <w:color w:val="auto"/>
          <w:szCs w:val="21"/>
          <w:highlight w:val="none"/>
        </w:rPr>
        <w:t>现文：</w:t>
      </w:r>
      <w:r>
        <w:rPr>
          <w:rStyle w:val="29"/>
          <w:rFonts w:ascii="宋体" w:hAnsi="宋体"/>
          <w:color w:val="auto"/>
          <w:szCs w:val="21"/>
          <w:highlight w:val="none"/>
        </w:rPr>
        <w:t>41.2.1投标截止期前，各投标人递交投标文件（包括技术标投标文件</w:t>
      </w:r>
      <w:r>
        <w:rPr>
          <w:rStyle w:val="29"/>
          <w:rFonts w:hint="eastAsia" w:ascii="宋体" w:hAnsi="宋体"/>
          <w:color w:val="auto"/>
          <w:szCs w:val="21"/>
          <w:highlight w:val="none"/>
          <w:u w:val="single"/>
        </w:rPr>
        <w:t>（含资格审查文件）</w:t>
      </w:r>
      <w:r>
        <w:rPr>
          <w:rStyle w:val="29"/>
          <w:rFonts w:ascii="宋体" w:hAnsi="宋体"/>
          <w:color w:val="auto"/>
          <w:szCs w:val="21"/>
          <w:highlight w:val="none"/>
          <w:u w:val="single"/>
        </w:rPr>
        <w:t>、</w:t>
      </w:r>
      <w:r>
        <w:rPr>
          <w:rStyle w:val="29"/>
          <w:rFonts w:ascii="宋体" w:hAnsi="宋体"/>
          <w:color w:val="auto"/>
          <w:szCs w:val="21"/>
          <w:highlight w:val="none"/>
        </w:rPr>
        <w:t>经济标投标文件）至</w:t>
      </w:r>
      <w:r>
        <w:rPr>
          <w:rFonts w:hint="eastAsia" w:ascii="宋体" w:hAnsi="宋体"/>
          <w:color w:val="auto"/>
          <w:szCs w:val="21"/>
          <w:highlight w:val="none"/>
          <w:u w:val="single"/>
        </w:rPr>
        <w:t>广州交易集团有限公司（广州公共资源交易中心）</w:t>
      </w:r>
      <w:r>
        <w:rPr>
          <w:rStyle w:val="29"/>
          <w:rFonts w:ascii="宋体" w:hAnsi="宋体"/>
          <w:color w:val="auto"/>
          <w:szCs w:val="21"/>
          <w:highlight w:val="none"/>
        </w:rPr>
        <w:t>交易平台。有关投标文件提交的事项详见第一章投标须知。</w:t>
      </w:r>
    </w:p>
    <w:p w14:paraId="12CCCB19">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条款号：41.2.4.1             修改类型：修改</w:t>
      </w:r>
    </w:p>
    <w:p w14:paraId="03FA2B7C">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color w:val="auto"/>
          <w:szCs w:val="21"/>
          <w:highlight w:val="none"/>
        </w:rPr>
        <w:t>41.2.4.1开标时，公布：a、投标人名称；b、</w:t>
      </w:r>
      <w:r>
        <w:rPr>
          <w:rFonts w:hint="eastAsia" w:ascii="宋体" w:hAnsi="宋体"/>
          <w:color w:val="auto"/>
          <w:szCs w:val="21"/>
          <w:highlight w:val="none"/>
        </w:rPr>
        <w:t>投标文件</w:t>
      </w:r>
      <w:r>
        <w:rPr>
          <w:rFonts w:hint="eastAsia" w:ascii="宋体"/>
          <w:color w:val="auto"/>
          <w:szCs w:val="21"/>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r>
        <w:rPr>
          <w:rFonts w:hint="eastAsia" w:ascii="宋体" w:hAnsi="宋体" w:cs="宋体"/>
          <w:color w:val="auto"/>
          <w:szCs w:val="21"/>
          <w:highlight w:val="none"/>
        </w:rPr>
        <w:t>。</w:t>
      </w:r>
    </w:p>
    <w:p w14:paraId="3DD9CFBC">
      <w:pPr>
        <w:pBdr>
          <w:bottom w:val="single" w:color="auto" w:sz="6" w:space="1"/>
        </w:pBd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color w:val="auto"/>
          <w:szCs w:val="21"/>
          <w:highlight w:val="none"/>
        </w:rPr>
        <w:t>41.2.4.1开标时，公布：a、投标人名称；b、</w:t>
      </w:r>
      <w:r>
        <w:rPr>
          <w:rFonts w:hint="eastAsia" w:ascii="宋体" w:hAnsi="宋体"/>
          <w:color w:val="auto"/>
          <w:szCs w:val="21"/>
          <w:highlight w:val="none"/>
        </w:rPr>
        <w:t>投标文件</w:t>
      </w:r>
      <w:r>
        <w:rPr>
          <w:rFonts w:hint="eastAsia" w:ascii="宋体"/>
          <w:color w:val="auto"/>
          <w:szCs w:val="21"/>
          <w:highlight w:val="none"/>
        </w:rPr>
        <w:t>密封情况；c、投标报价；</w:t>
      </w:r>
      <w:r>
        <w:rPr>
          <w:rFonts w:hint="eastAsia" w:ascii="宋体"/>
          <w:color w:val="auto"/>
          <w:szCs w:val="21"/>
          <w:highlight w:val="none"/>
          <w:u w:val="single"/>
        </w:rPr>
        <w:t>d、</w:t>
      </w:r>
      <w:r>
        <w:rPr>
          <w:rFonts w:hint="eastAsia" w:ascii="宋体"/>
          <w:color w:val="auto"/>
          <w:szCs w:val="21"/>
          <w:highlight w:val="none"/>
        </w:rPr>
        <w:t>项目经理（负责人）名称；</w:t>
      </w:r>
      <w:r>
        <w:rPr>
          <w:rFonts w:hint="eastAsia" w:ascii="宋体"/>
          <w:color w:val="auto"/>
          <w:szCs w:val="21"/>
          <w:highlight w:val="none"/>
          <w:u w:val="single"/>
        </w:rPr>
        <w:t>e、</w:t>
      </w:r>
      <w:r>
        <w:rPr>
          <w:rFonts w:hint="eastAsia" w:ascii="宋体"/>
          <w:color w:val="auto"/>
          <w:szCs w:val="21"/>
          <w:highlight w:val="none"/>
        </w:rPr>
        <w:t>法定代表人证明及授权委托等主要内容及开标记录表中的其他必要内容。投标报价以数字和文字两种方式表述的，应公布文字表述的投标报价</w:t>
      </w:r>
      <w:r>
        <w:rPr>
          <w:rFonts w:hint="eastAsia" w:ascii="宋体" w:hAnsi="宋体" w:cs="宋体"/>
          <w:color w:val="auto"/>
          <w:szCs w:val="21"/>
          <w:highlight w:val="none"/>
        </w:rPr>
        <w:t>。</w:t>
      </w:r>
    </w:p>
    <w:p w14:paraId="108B5A32">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条款号：41.</w:t>
      </w:r>
      <w:r>
        <w:rPr>
          <w:rFonts w:ascii="宋体" w:hAnsi="宋体" w:cs="宋体"/>
          <w:b/>
          <w:color w:val="auto"/>
          <w:szCs w:val="21"/>
          <w:highlight w:val="none"/>
        </w:rPr>
        <w:t xml:space="preserve">3          </w:t>
      </w:r>
      <w:r>
        <w:rPr>
          <w:rFonts w:hint="eastAsia" w:ascii="宋体" w:hAnsi="宋体" w:cs="宋体"/>
          <w:b/>
          <w:color w:val="auto"/>
          <w:szCs w:val="21"/>
          <w:highlight w:val="none"/>
        </w:rPr>
        <w:t>修改类型：修改</w:t>
      </w:r>
    </w:p>
    <w:p w14:paraId="35019B63">
      <w:pPr>
        <w:pBdr>
          <w:bottom w:val="single" w:color="000000"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41.3招标人对开标过程进行记录，并存档备查，投标人在技术标开标记录上签字。</w:t>
      </w:r>
    </w:p>
    <w:p w14:paraId="1501D595">
      <w:pPr>
        <w:pBdr>
          <w:bottom w:val="single" w:color="000000" w:sz="6" w:space="1"/>
        </w:pBdr>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现文：</w:t>
      </w:r>
      <w:r>
        <w:rPr>
          <w:rFonts w:hint="eastAsia" w:ascii="宋体" w:hAnsi="宋体" w:cs="宋体"/>
          <w:color w:val="auto"/>
          <w:szCs w:val="21"/>
          <w:highlight w:val="none"/>
        </w:rPr>
        <w:t>41.</w:t>
      </w:r>
      <w:r>
        <w:rPr>
          <w:rFonts w:ascii="宋体" w:hAnsi="宋体" w:cs="宋体"/>
          <w:color w:val="auto"/>
          <w:szCs w:val="21"/>
          <w:highlight w:val="none"/>
        </w:rPr>
        <w:t>3</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或招标代理机构</w:t>
      </w:r>
      <w:r>
        <w:rPr>
          <w:rFonts w:hint="eastAsia" w:ascii="宋体" w:hAnsi="宋体" w:cs="宋体"/>
          <w:color w:val="auto"/>
          <w:szCs w:val="21"/>
          <w:highlight w:val="none"/>
        </w:rPr>
        <w:t>对开标过程进行记录，并存档备查，</w:t>
      </w:r>
      <w:r>
        <w:rPr>
          <w:rFonts w:hint="eastAsia" w:ascii="宋体" w:hAnsi="宋体" w:cs="宋体"/>
          <w:color w:val="auto"/>
          <w:szCs w:val="21"/>
          <w:highlight w:val="none"/>
          <w:u w:val="single"/>
        </w:rPr>
        <w:t>参加开标会的</w:t>
      </w:r>
      <w:r>
        <w:rPr>
          <w:rFonts w:hint="eastAsia" w:ascii="宋体" w:hAnsi="宋体" w:cs="宋体"/>
          <w:color w:val="auto"/>
          <w:szCs w:val="21"/>
          <w:highlight w:val="none"/>
        </w:rPr>
        <w:t>投标人在技术标开标记录上签字。</w:t>
      </w:r>
    </w:p>
    <w:p w14:paraId="39805D21">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条款号：41.4                      修改类型：修改</w:t>
      </w:r>
    </w:p>
    <w:p w14:paraId="09E32482">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41.4招标人将上述符合要求的投标文件，送至评标委员会进行评审</w:t>
      </w:r>
      <w:r>
        <w:rPr>
          <w:rFonts w:hint="eastAsia" w:ascii="宋体" w:hAnsi="宋体" w:cs="宋体"/>
          <w:color w:val="auto"/>
          <w:szCs w:val="21"/>
          <w:highlight w:val="none"/>
        </w:rPr>
        <w:t>。</w:t>
      </w:r>
    </w:p>
    <w:p w14:paraId="0F507B4F">
      <w:pPr>
        <w:pBdr>
          <w:bottom w:val="single" w:color="auto" w:sz="6" w:space="1"/>
        </w:pBd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41.4</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或招标代理机构</w:t>
      </w:r>
      <w:r>
        <w:rPr>
          <w:rFonts w:hint="eastAsia" w:ascii="宋体" w:hAnsi="宋体" w:cs="宋体"/>
          <w:bCs/>
          <w:color w:val="auto"/>
          <w:szCs w:val="21"/>
          <w:highlight w:val="none"/>
        </w:rPr>
        <w:t>将上述符合要求的投标文件，送至评标委员会进行评审</w:t>
      </w:r>
      <w:r>
        <w:rPr>
          <w:rFonts w:hint="eastAsia" w:ascii="宋体" w:hAnsi="宋体" w:cs="宋体"/>
          <w:color w:val="auto"/>
          <w:szCs w:val="21"/>
          <w:highlight w:val="none"/>
        </w:rPr>
        <w:t>。</w:t>
      </w:r>
    </w:p>
    <w:p w14:paraId="5F275E09">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42.2          </w:t>
      </w:r>
      <w:r>
        <w:rPr>
          <w:rFonts w:hint="eastAsia" w:ascii="宋体" w:hAnsi="宋体" w:cs="宋体"/>
          <w:b/>
          <w:color w:val="auto"/>
          <w:szCs w:val="21"/>
          <w:highlight w:val="none"/>
        </w:rPr>
        <w:t>修改类型：修改</w:t>
      </w:r>
    </w:p>
    <w:p w14:paraId="133B8ECF">
      <w:pP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92B63A6">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方式一：评标委员会为综合评标委员会，负责资格审查及评标工作。</w:t>
      </w:r>
    </w:p>
    <w:p w14:paraId="67FBB863">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方式二：评标委员会由技术评审组和经济评审组组成。其中：资格审查及技术评审由技术评标组负责，经济评审由经济评审组负责。</w:t>
      </w:r>
    </w:p>
    <w:p w14:paraId="0AC7B104">
      <w:pPr>
        <w:pBdr>
          <w:bottom w:val="single" w:color="000000" w:sz="6" w:space="1"/>
        </w:pBdr>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42.</w:t>
      </w:r>
      <w:r>
        <w:rPr>
          <w:rFonts w:ascii="宋体" w:hAnsi="宋体" w:cs="宋体"/>
          <w:color w:val="auto"/>
          <w:szCs w:val="21"/>
          <w:highlight w:val="none"/>
          <w:u w:val="single"/>
        </w:rPr>
        <w:t>2</w:t>
      </w:r>
      <w:r>
        <w:rPr>
          <w:rFonts w:hint="eastAsia" w:ascii="宋体" w:hAnsi="宋体" w:cs="宋体"/>
          <w:color w:val="auto"/>
          <w:szCs w:val="21"/>
          <w:highlight w:val="none"/>
          <w:u w:val="single"/>
        </w:rPr>
        <w:t>评标委员会的组成：方式一：评标委员会为综合评标委员会，负责资格审查及评标工作。</w:t>
      </w:r>
    </w:p>
    <w:p w14:paraId="5BE66E41">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条款号：4</w:t>
      </w:r>
      <w:r>
        <w:rPr>
          <w:rFonts w:ascii="宋体" w:hAnsi="宋体"/>
          <w:b/>
          <w:color w:val="auto"/>
          <w:szCs w:val="21"/>
          <w:highlight w:val="none"/>
        </w:rPr>
        <w:t>3.</w:t>
      </w:r>
      <w:r>
        <w:rPr>
          <w:rFonts w:hint="eastAsia" w:ascii="宋体" w:hAnsi="宋体"/>
          <w:b/>
          <w:color w:val="auto"/>
          <w:szCs w:val="21"/>
          <w:highlight w:val="none"/>
        </w:rPr>
        <w:t>6</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33A9E978">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s="宋体"/>
          <w:bCs/>
          <w:color w:val="auto"/>
          <w:szCs w:val="21"/>
          <w:highlight w:val="none"/>
        </w:rPr>
        <w:t>4</w:t>
      </w:r>
      <w:r>
        <w:rPr>
          <w:rFonts w:ascii="宋体" w:hAnsi="宋体" w:cs="宋体"/>
          <w:bCs/>
          <w:color w:val="auto"/>
          <w:szCs w:val="21"/>
          <w:highlight w:val="none"/>
        </w:rPr>
        <w:t>3.</w:t>
      </w:r>
      <w:r>
        <w:rPr>
          <w:rFonts w:hint="eastAsia" w:ascii="宋体" w:hAnsi="宋体" w:cs="宋体"/>
          <w:bCs/>
          <w:color w:val="auto"/>
          <w:szCs w:val="21"/>
          <w:highlight w:val="none"/>
        </w:rPr>
        <w:t>6资格审查合格的投标人少于3名的（当N个标段同时招标且不允许兼中时，资格审查合格的投标人少于N+2名），则本项目招标失败。</w:t>
      </w:r>
    </w:p>
    <w:p w14:paraId="5B0B7440">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u w:val="single"/>
        </w:rPr>
        <w:t>43.6资格审查合格的投标人少于3名的，则本项目招标失败。</w:t>
      </w:r>
    </w:p>
    <w:p w14:paraId="6F98F746">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 xml:space="preserve">44.1          </w:t>
      </w:r>
      <w:r>
        <w:rPr>
          <w:rFonts w:hint="eastAsia" w:ascii="宋体" w:hAnsi="宋体"/>
          <w:b/>
          <w:color w:val="auto"/>
          <w:szCs w:val="21"/>
          <w:highlight w:val="none"/>
        </w:rPr>
        <w:t>修改类型：修改</w:t>
      </w:r>
    </w:p>
    <w:p w14:paraId="69DC623D">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s="宋体"/>
          <w:bCs/>
          <w:color w:val="auto"/>
          <w:szCs w:val="21"/>
          <w:highlight w:val="none"/>
        </w:rPr>
        <w:t>4</w:t>
      </w:r>
      <w:r>
        <w:rPr>
          <w:rFonts w:ascii="宋体" w:hAnsi="宋体" w:cs="宋体"/>
          <w:bCs/>
          <w:color w:val="auto"/>
          <w:szCs w:val="21"/>
          <w:highlight w:val="none"/>
        </w:rPr>
        <w:t>4.1</w:t>
      </w:r>
      <w:r>
        <w:rPr>
          <w:rFonts w:hint="eastAsia" w:ascii="宋体" w:hAnsi="宋体" w:cs="宋体"/>
          <w:bCs/>
          <w:color w:val="auto"/>
          <w:szCs w:val="21"/>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14:paraId="5FCD8D20">
      <w:pPr>
        <w:pBdr>
          <w:bottom w:val="single" w:color="auto" w:sz="6" w:space="1"/>
        </w:pBdr>
        <w:spacing w:line="360" w:lineRule="auto"/>
        <w:ind w:firstLine="422" w:firstLineChars="200"/>
        <w:rPr>
          <w:rFonts w:hint="eastAsia" w:ascii="宋体" w:hAnsi="宋体"/>
          <w:color w:val="auto"/>
          <w:szCs w:val="21"/>
          <w:highlight w:val="none"/>
          <w:u w:val="single"/>
        </w:rPr>
      </w:pPr>
      <w:r>
        <w:rPr>
          <w:rFonts w:hint="eastAsia" w:ascii="宋体" w:hAnsi="宋体"/>
          <w:b/>
          <w:color w:val="auto"/>
          <w:szCs w:val="21"/>
          <w:highlight w:val="none"/>
        </w:rPr>
        <w:t>现文：</w:t>
      </w:r>
      <w:r>
        <w:rPr>
          <w:rFonts w:hint="eastAsia" w:ascii="宋体" w:hAnsi="宋体" w:cs="宋体"/>
          <w:bCs/>
          <w:color w:val="auto"/>
          <w:szCs w:val="21"/>
          <w:highlight w:val="none"/>
          <w:u w:val="single"/>
        </w:rPr>
        <w:t>4</w:t>
      </w:r>
      <w:r>
        <w:rPr>
          <w:rFonts w:ascii="宋体" w:hAnsi="宋体" w:cs="宋体"/>
          <w:bCs/>
          <w:color w:val="auto"/>
          <w:szCs w:val="21"/>
          <w:highlight w:val="none"/>
          <w:u w:val="single"/>
        </w:rPr>
        <w:t>4.1</w:t>
      </w:r>
      <w:r>
        <w:rPr>
          <w:rFonts w:hint="eastAsia" w:ascii="宋体" w:hAnsi="宋体" w:cs="宋体"/>
          <w:bCs/>
          <w:color w:val="auto"/>
          <w:szCs w:val="21"/>
          <w:highlight w:val="none"/>
          <w:u w:val="singl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则本项目招标失败。评委发现投标文件中含义不明确、对同类问题表述不一致、有明显文字和计算错误的，应当要求投标人作必要的澄清、说明后再判定投标人是否通过有效性审查，不得直接否决投标。</w:t>
      </w:r>
    </w:p>
    <w:p w14:paraId="2C93F62B">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45.1          </w:t>
      </w:r>
      <w:r>
        <w:rPr>
          <w:rFonts w:hint="eastAsia" w:ascii="宋体" w:hAnsi="宋体" w:cs="宋体"/>
          <w:b/>
          <w:color w:val="auto"/>
          <w:szCs w:val="21"/>
          <w:highlight w:val="none"/>
        </w:rPr>
        <w:t>修改类型：修改</w:t>
      </w:r>
    </w:p>
    <w:p w14:paraId="7621851E">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45.1若通过技术标有效性审查的投标人中所有投标报价均大于等于最高投标限价*D%（D的取值范围为[94，100]，由招标人自主确定）的（具体金额为：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元），则本项目招标失败，由招标人依法重新招标。</w:t>
      </w:r>
    </w:p>
    <w:p w14:paraId="264C2211">
      <w:pPr>
        <w:pBdr>
          <w:bottom w:val="single" w:color="auto" w:sz="6" w:space="1"/>
        </w:pBdr>
        <w:spacing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45.1若通过技术标有效性审查的投标人中所有投标报价均大于等于最高投标限价，则本项目招标失败，由招标人依法重新招标。</w:t>
      </w:r>
    </w:p>
    <w:p w14:paraId="352F4B4A">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w:t>
      </w:r>
      <w:r>
        <w:rPr>
          <w:rFonts w:ascii="宋体" w:hAnsi="宋体" w:cs="宋体"/>
          <w:b/>
          <w:color w:val="auto"/>
          <w:szCs w:val="21"/>
          <w:highlight w:val="none"/>
        </w:rPr>
        <w:t xml:space="preserve">5.2          </w:t>
      </w:r>
      <w:r>
        <w:rPr>
          <w:rFonts w:hint="eastAsia" w:ascii="宋体" w:hAnsi="宋体" w:cs="宋体"/>
          <w:b/>
          <w:color w:val="auto"/>
          <w:szCs w:val="21"/>
          <w:highlight w:val="none"/>
        </w:rPr>
        <w:t>修改类型：修改</w:t>
      </w:r>
    </w:p>
    <w:p w14:paraId="65C76835">
      <w:pP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45.2</w:t>
      </w:r>
      <w:r>
        <w:rPr>
          <w:rFonts w:hint="eastAsia" w:ascii="宋体" w:hAnsi="宋体" w:cs="宋体"/>
          <w:color w:val="auto"/>
          <w:szCs w:val="21"/>
          <w:highlight w:val="none"/>
        </w:rPr>
        <w:t>按区间抽取法计算评标参考价：</w:t>
      </w:r>
    </w:p>
    <w:p w14:paraId="77E5098F">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06FD7BFC">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评标参考价=（Q高-Q低）/100*Ｘ+Q低</w:t>
      </w:r>
    </w:p>
    <w:p w14:paraId="67EDFC78">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Q低：为达到或超过技术标及格分数线的投标人最低报价与工程成本警示价两者中的较高值；</w:t>
      </w:r>
    </w:p>
    <w:p w14:paraId="6DBAFE00">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Q高：为（最高投标限价*D%）（D的取值范围为[94,100],由招标人自定）</w:t>
      </w:r>
    </w:p>
    <w:p w14:paraId="18432F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X：为等分点值，从[0,100]整数中随机抽取</w:t>
      </w:r>
    </w:p>
    <w:p w14:paraId="4181FD2A">
      <w:pPr>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kern w:val="0"/>
          <w:szCs w:val="21"/>
          <w:highlight w:val="none"/>
        </w:rPr>
        <w:t>现文：</w:t>
      </w:r>
      <w:r>
        <w:rPr>
          <w:rFonts w:ascii="宋体" w:hAnsi="宋体" w:cs="宋体"/>
          <w:color w:val="auto"/>
          <w:szCs w:val="21"/>
          <w:highlight w:val="none"/>
        </w:rPr>
        <w:t>45.2</w:t>
      </w:r>
      <w:r>
        <w:rPr>
          <w:rFonts w:hint="eastAsia" w:ascii="宋体" w:hAnsi="宋体" w:cs="宋体"/>
          <w:color w:val="auto"/>
          <w:szCs w:val="21"/>
          <w:highlight w:val="none"/>
        </w:rPr>
        <w:t>按区间抽取法计算评标参考价：</w:t>
      </w:r>
    </w:p>
    <w:p w14:paraId="2F7CF8A7">
      <w:pPr>
        <w:spacing w:line="360" w:lineRule="auto"/>
        <w:ind w:firstLine="424" w:firstLineChars="201"/>
        <w:rPr>
          <w:rFonts w:hint="eastAsia" w:ascii="宋体" w:hAnsi="宋体" w:cs="宋体"/>
          <w:color w:val="auto"/>
          <w:szCs w:val="21"/>
          <w:highlight w:val="none"/>
        </w:rPr>
      </w:pPr>
      <w:r>
        <w:rPr>
          <w:rFonts w:hint="eastAsia" w:ascii="宋体" w:hAnsi="宋体" w:cs="宋体"/>
          <w:b/>
          <w:bCs/>
          <w:color w:val="auto"/>
          <w:szCs w:val="21"/>
          <w:highlight w:val="none"/>
        </w:rPr>
        <w:t>设立入围合格分数线为</w:t>
      </w: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rPr>
        <w:t>0分（技术标满分为100分）</w:t>
      </w:r>
      <w:r>
        <w:rPr>
          <w:rFonts w:hint="eastAsia" w:ascii="宋体" w:hAnsi="宋体" w:cs="宋体"/>
          <w:color w:val="auto"/>
          <w:szCs w:val="21"/>
          <w:highlight w:val="none"/>
        </w:rPr>
        <w:t>，达到或超过及格线的投标人的报价方能参与评标参考价的计算。将达到或超过技术标及格分数线的投标报价由低至高进行排列，按以下公式计算评标参考价，计算公式如下：</w:t>
      </w:r>
    </w:p>
    <w:p w14:paraId="7D4EE3BD">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评标参考价=（Q高-Q低）/100*Ｘ+Q低</w:t>
      </w:r>
    </w:p>
    <w:p w14:paraId="6D420F52">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Q低：为达到或超过技术标及格分数线的投标人最低报价与工程成本警示价两者中的较高值；</w:t>
      </w:r>
    </w:p>
    <w:p w14:paraId="3B4AF75F">
      <w:pPr>
        <w:spacing w:line="360" w:lineRule="auto"/>
        <w:ind w:firstLine="422" w:firstLineChars="201"/>
        <w:rPr>
          <w:rFonts w:hint="eastAsia" w:ascii="宋体" w:hAnsi="宋体" w:cs="宋体"/>
          <w:color w:val="auto"/>
          <w:szCs w:val="21"/>
          <w:highlight w:val="none"/>
        </w:rPr>
      </w:pPr>
      <w:r>
        <w:rPr>
          <w:rFonts w:hint="eastAsia" w:ascii="宋体" w:hAnsi="宋体" w:cs="宋体"/>
          <w:color w:val="auto"/>
          <w:szCs w:val="21"/>
          <w:highlight w:val="none"/>
        </w:rPr>
        <w:t>Q高：</w:t>
      </w:r>
      <w:r>
        <w:rPr>
          <w:rFonts w:hint="eastAsia" w:ascii="宋体" w:hAnsi="宋体" w:cs="宋体"/>
          <w:color w:val="auto"/>
          <w:szCs w:val="21"/>
          <w:highlight w:val="none"/>
          <w:u w:val="single"/>
        </w:rPr>
        <w:t>为（最高投标限价）</w:t>
      </w:r>
    </w:p>
    <w:p w14:paraId="560EFB48">
      <w:pPr>
        <w:pBdr>
          <w:bottom w:val="single" w:color="auto" w:sz="6" w:space="1"/>
        </w:pBdr>
        <w:spacing w:line="360" w:lineRule="auto"/>
        <w:ind w:firstLine="420" w:firstLineChars="200"/>
        <w:rPr>
          <w:rFonts w:hint="eastAsia" w:ascii="宋体" w:hAnsi="宋体" w:cs="宋体"/>
          <w:b/>
          <w:bCs/>
          <w:color w:val="auto"/>
          <w:kern w:val="0"/>
          <w:szCs w:val="21"/>
          <w:highlight w:val="none"/>
        </w:rPr>
      </w:pPr>
      <w:r>
        <w:rPr>
          <w:rFonts w:hint="eastAsia" w:ascii="宋体" w:hAnsi="宋体" w:cs="宋体"/>
          <w:color w:val="auto"/>
          <w:szCs w:val="21"/>
          <w:highlight w:val="none"/>
        </w:rPr>
        <w:t>X：为等分点值，从[0,100]整数中随机抽取</w:t>
      </w:r>
    </w:p>
    <w:p w14:paraId="7C4A55F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kern w:val="0"/>
          <w:szCs w:val="21"/>
          <w:highlight w:val="none"/>
        </w:rPr>
        <w:t>45.4</w:t>
      </w:r>
      <w:r>
        <w:rPr>
          <w:rFonts w:ascii="宋体" w:hAnsi="宋体" w:cs="宋体"/>
          <w:b/>
          <w:color w:val="auto"/>
          <w:szCs w:val="21"/>
          <w:highlight w:val="none"/>
        </w:rPr>
        <w:t xml:space="preserve">          </w:t>
      </w:r>
      <w:r>
        <w:rPr>
          <w:rFonts w:hint="eastAsia" w:ascii="宋体" w:hAnsi="宋体" w:cs="宋体"/>
          <w:b/>
          <w:color w:val="auto"/>
          <w:szCs w:val="21"/>
          <w:highlight w:val="none"/>
        </w:rPr>
        <w:t>修改类型：修改</w:t>
      </w:r>
    </w:p>
    <w:p w14:paraId="2E6BF378">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kern w:val="0"/>
          <w:szCs w:val="21"/>
          <w:highlight w:val="none"/>
        </w:rPr>
        <w:t>45.4计算通过技术标有效性审查的投标人总得分。投标人总得分=（技术得分×技术得分权重＋经济得分×经济得分权重）×（1-诚信综合评价分数权重）＋诚信综合评价排名得分×诚信综合评价分数权重）。技术、经济得分权重按投标须知前附表的规定执行。总得分四舍五入保留两位小数。</w:t>
      </w:r>
    </w:p>
    <w:p w14:paraId="4E3A0E3E">
      <w:pPr>
        <w:pBdr>
          <w:bottom w:val="single" w:color="auto" w:sz="6" w:space="1"/>
        </w:pBdr>
        <w:spacing w:line="360" w:lineRule="auto"/>
        <w:ind w:firstLine="422" w:firstLineChars="200"/>
        <w:rPr>
          <w:rFonts w:hint="eastAsia" w:ascii="宋体" w:hAnsi="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w:t>
      </w:r>
      <w:r>
        <w:rPr>
          <w:rFonts w:hint="eastAsia" w:ascii="宋体" w:hAnsi="宋体" w:cs="宋体"/>
          <w:b/>
          <w:bCs/>
          <w:color w:val="auto"/>
          <w:kern w:val="0"/>
          <w:szCs w:val="21"/>
          <w:highlight w:val="none"/>
        </w:rPr>
        <w:t>45.4计算通过技术标有效性审查的投标人总得分。</w:t>
      </w:r>
      <w:r>
        <w:rPr>
          <w:rFonts w:hint="eastAsia" w:ascii="宋体" w:hAnsi="宋体" w:cs="宋体"/>
          <w:b/>
          <w:bCs/>
          <w:color w:val="auto"/>
          <w:kern w:val="0"/>
          <w:szCs w:val="21"/>
          <w:highlight w:val="none"/>
          <w:u w:val="single"/>
        </w:rPr>
        <w:t>投标人总得分（1</w:t>
      </w:r>
      <w:r>
        <w:rPr>
          <w:rFonts w:ascii="宋体" w:hAnsi="宋体" w:cs="宋体"/>
          <w:b/>
          <w:bCs/>
          <w:color w:val="auto"/>
          <w:kern w:val="0"/>
          <w:szCs w:val="21"/>
          <w:highlight w:val="none"/>
          <w:u w:val="single"/>
        </w:rPr>
        <w:t>00</w:t>
      </w:r>
      <w:r>
        <w:rPr>
          <w:rFonts w:hint="eastAsia" w:ascii="宋体" w:hAnsi="宋体" w:cs="宋体"/>
          <w:b/>
          <w:bCs/>
          <w:color w:val="auto"/>
          <w:kern w:val="0"/>
          <w:szCs w:val="21"/>
          <w:highlight w:val="none"/>
          <w:u w:val="single"/>
        </w:rPr>
        <w:t>分）=技术得分（1</w:t>
      </w:r>
      <w:r>
        <w:rPr>
          <w:rFonts w:ascii="宋体" w:hAnsi="宋体" w:cs="宋体"/>
          <w:b/>
          <w:bCs/>
          <w:color w:val="auto"/>
          <w:kern w:val="0"/>
          <w:szCs w:val="21"/>
          <w:highlight w:val="none"/>
          <w:u w:val="single"/>
        </w:rPr>
        <w:t>00</w:t>
      </w:r>
      <w:r>
        <w:rPr>
          <w:rFonts w:hint="eastAsia" w:ascii="宋体" w:hAnsi="宋体" w:cs="宋体"/>
          <w:b/>
          <w:bCs/>
          <w:color w:val="auto"/>
          <w:kern w:val="0"/>
          <w:szCs w:val="21"/>
          <w:highlight w:val="none"/>
          <w:u w:val="single"/>
        </w:rPr>
        <w:t>分）×技术得分权重（</w:t>
      </w:r>
      <w:r>
        <w:rPr>
          <w:rFonts w:hint="eastAsia" w:ascii="宋体" w:hAnsi="宋体" w:cs="宋体"/>
          <w:b/>
          <w:bCs/>
          <w:color w:val="auto"/>
          <w:kern w:val="0"/>
          <w:szCs w:val="21"/>
          <w:highlight w:val="none"/>
          <w:u w:val="single"/>
          <w:lang w:val="en-US" w:eastAsia="zh-CN"/>
        </w:rPr>
        <w:t>4</w:t>
      </w:r>
      <w:r>
        <w:rPr>
          <w:rFonts w:hint="eastAsia" w:ascii="宋体" w:hAnsi="宋体" w:cs="宋体"/>
          <w:b/>
          <w:bCs/>
          <w:color w:val="auto"/>
          <w:kern w:val="0"/>
          <w:szCs w:val="21"/>
          <w:highlight w:val="none"/>
          <w:u w:val="single"/>
        </w:rPr>
        <w:t>0%）＋经济得分（1</w:t>
      </w:r>
      <w:r>
        <w:rPr>
          <w:rFonts w:ascii="宋体" w:hAnsi="宋体" w:cs="宋体"/>
          <w:b/>
          <w:bCs/>
          <w:color w:val="auto"/>
          <w:kern w:val="0"/>
          <w:szCs w:val="21"/>
          <w:highlight w:val="none"/>
          <w:u w:val="single"/>
        </w:rPr>
        <w:t>00</w:t>
      </w:r>
      <w:r>
        <w:rPr>
          <w:rFonts w:hint="eastAsia" w:ascii="宋体" w:hAnsi="宋体" w:cs="宋体"/>
          <w:b/>
          <w:bCs/>
          <w:color w:val="auto"/>
          <w:kern w:val="0"/>
          <w:szCs w:val="21"/>
          <w:highlight w:val="none"/>
          <w:u w:val="single"/>
        </w:rPr>
        <w:t>分）×经济得分权重（</w:t>
      </w:r>
      <w:r>
        <w:rPr>
          <w:rFonts w:hint="eastAsia" w:ascii="宋体" w:hAnsi="宋体" w:cs="宋体"/>
          <w:b/>
          <w:bCs/>
          <w:color w:val="auto"/>
          <w:kern w:val="0"/>
          <w:szCs w:val="21"/>
          <w:highlight w:val="none"/>
          <w:u w:val="single"/>
          <w:lang w:val="en-US" w:eastAsia="zh-CN"/>
        </w:rPr>
        <w:t>6</w:t>
      </w:r>
      <w:r>
        <w:rPr>
          <w:rFonts w:hint="eastAsia" w:ascii="宋体" w:hAnsi="宋体" w:cs="宋体"/>
          <w:b/>
          <w:bCs/>
          <w:color w:val="auto"/>
          <w:kern w:val="0"/>
          <w:szCs w:val="21"/>
          <w:highlight w:val="none"/>
          <w:u w:val="single"/>
        </w:rPr>
        <w:t>0%）</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技术、经济得分权重按投标须知前附表的规定执行。总得分四舍五入保留两位小数。</w:t>
      </w:r>
    </w:p>
    <w:p w14:paraId="71128E0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kern w:val="0"/>
          <w:szCs w:val="21"/>
          <w:highlight w:val="none"/>
        </w:rPr>
        <w:t>45.5</w:t>
      </w:r>
      <w:r>
        <w:rPr>
          <w:rFonts w:ascii="宋体" w:hAnsi="宋体" w:cs="宋体"/>
          <w:b/>
          <w:color w:val="auto"/>
          <w:szCs w:val="21"/>
          <w:highlight w:val="none"/>
        </w:rPr>
        <w:t xml:space="preserve">          </w:t>
      </w:r>
      <w:r>
        <w:rPr>
          <w:rFonts w:hint="eastAsia" w:ascii="宋体" w:hAnsi="宋体" w:cs="宋体"/>
          <w:b/>
          <w:color w:val="auto"/>
          <w:szCs w:val="21"/>
          <w:highlight w:val="none"/>
        </w:rPr>
        <w:t>修改类型：增加</w:t>
      </w:r>
    </w:p>
    <w:p w14:paraId="4A1AB807">
      <w:pPr>
        <w:pBdr>
          <w:bottom w:val="single" w:color="auto" w:sz="6" w:space="1"/>
        </w:pBdr>
        <w:spacing w:line="360" w:lineRule="auto"/>
        <w:ind w:firstLine="422" w:firstLineChars="200"/>
        <w:rPr>
          <w:rFonts w:hint="eastAsia" w:ascii="宋体" w:hAnsi="宋体" w:cs="宋体"/>
          <w:color w:val="auto"/>
          <w:kern w:val="0"/>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w:t>
      </w:r>
      <w:r>
        <w:rPr>
          <w:rFonts w:ascii="宋体" w:hAnsi="宋体" w:cs="宋体"/>
          <w:color w:val="auto"/>
          <w:szCs w:val="21"/>
          <w:highlight w:val="none"/>
        </w:rPr>
        <w:t>5.5</w:t>
      </w:r>
      <w:r>
        <w:rPr>
          <w:rFonts w:hint="eastAsia" w:ascii="宋体" w:hAnsi="宋体" w:cs="宋体"/>
          <w:color w:val="auto"/>
          <w:kern w:val="0"/>
          <w:szCs w:val="21"/>
          <w:highlight w:val="none"/>
          <w:u w:val="single"/>
        </w:rPr>
        <w:t>总得分相同的投标文件，以技术分高的排前；如仍存在相同情况，则对具有相同情况的投标人，由评标委员会采用投票方式，确定投标人的排序。投票方式确定排序的具体操作步骤为：由评标委员会对出现该情况的投标人进行编号，然后通过投票方式依次确定投标人的排序。</w:t>
      </w:r>
    </w:p>
    <w:p w14:paraId="45ABAD0B">
      <w:pPr>
        <w:spacing w:line="48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条款号：46.2.8</w:t>
      </w: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修改类型：修改</w:t>
      </w:r>
    </w:p>
    <w:p w14:paraId="30E1FC87">
      <w:pPr>
        <w:pBdr>
          <w:bottom w:val="single" w:color="auto" w:sz="6" w:space="1"/>
        </w:pBd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14:paraId="1AA2A8EC">
      <w:pPr>
        <w:pBdr>
          <w:bottom w:val="single" w:color="auto" w:sz="6" w:space="1"/>
        </w:pBdr>
        <w:spacing w:line="360" w:lineRule="auto"/>
        <w:ind w:firstLine="527" w:firstLineChars="25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46.2.8按上述修正错误的原则及方法调整或修正投标文件的投标报价，调整后的投标报价对投标人起约束作用。如果投标人不接受修正后的报价，则取消其投标资格</w:t>
      </w:r>
      <w:r>
        <w:rPr>
          <w:rFonts w:hint="eastAsia" w:ascii="宋体" w:hAnsi="宋体" w:cs="宋体"/>
          <w:color w:val="auto"/>
          <w:szCs w:val="21"/>
          <w:highlight w:val="none"/>
        </w:rPr>
        <w:t>。</w:t>
      </w:r>
    </w:p>
    <w:p w14:paraId="3BB7A245">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kern w:val="0"/>
          <w:szCs w:val="21"/>
          <w:highlight w:val="none"/>
        </w:rPr>
        <w:t>48</w:t>
      </w:r>
      <w:r>
        <w:rPr>
          <w:rFonts w:ascii="宋体" w:hAnsi="宋体" w:cs="宋体"/>
          <w:b/>
          <w:color w:val="auto"/>
          <w:szCs w:val="21"/>
          <w:highlight w:val="none"/>
        </w:rPr>
        <w:t xml:space="preserve">          </w:t>
      </w:r>
      <w:r>
        <w:rPr>
          <w:rFonts w:hint="eastAsia" w:ascii="宋体" w:hAnsi="宋体" w:cs="宋体"/>
          <w:b/>
          <w:color w:val="auto"/>
          <w:szCs w:val="21"/>
          <w:highlight w:val="none"/>
        </w:rPr>
        <w:t>修改类型：修改</w:t>
      </w:r>
    </w:p>
    <w:p w14:paraId="08C05FA6">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kern w:val="0"/>
          <w:szCs w:val="21"/>
          <w:highlight w:val="none"/>
        </w:rPr>
        <w:t>48</w:t>
      </w:r>
      <w:r>
        <w:rPr>
          <w:rFonts w:hint="eastAsia" w:ascii="宋体" w:hAnsi="宋体" w:cs="宋体"/>
          <w:color w:val="auto"/>
          <w:kern w:val="0"/>
          <w:szCs w:val="21"/>
          <w:highlight w:val="none"/>
        </w:rPr>
        <w:t>评标委员会应在通过投标文件经济标有效性审查的投标人中，按步骤45.4确定的投标人第二阶段排序，推荐前3名依次为第一中标候选人至第三中标候选人，并编制评标报告。</w:t>
      </w:r>
    </w:p>
    <w:p w14:paraId="4CBFC4E9">
      <w:pPr>
        <w:pBdr>
          <w:bottom w:val="single" w:color="auto" w:sz="6" w:space="1"/>
        </w:pBdr>
        <w:spacing w:line="360" w:lineRule="auto"/>
        <w:ind w:firstLine="422" w:firstLineChars="200"/>
        <w:rPr>
          <w:rFonts w:hint="eastAsia" w:ascii="宋体" w:hAnsi="宋体" w:cs="宋体"/>
          <w:color w:val="auto"/>
          <w:kern w:val="0"/>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w:t>
      </w:r>
      <w:r>
        <w:rPr>
          <w:rFonts w:ascii="宋体" w:hAnsi="宋体" w:cs="宋体"/>
          <w:color w:val="auto"/>
          <w:kern w:val="0"/>
          <w:szCs w:val="21"/>
          <w:highlight w:val="none"/>
        </w:rPr>
        <w:t>48</w:t>
      </w:r>
      <w:r>
        <w:rPr>
          <w:rFonts w:hint="eastAsia" w:ascii="宋体" w:hAnsi="宋体" w:cs="宋体"/>
          <w:color w:val="auto"/>
          <w:kern w:val="0"/>
          <w:szCs w:val="21"/>
          <w:highlight w:val="none"/>
        </w:rPr>
        <w:t>评标委员会应在通过投标文件经济标有效性审查的投标人中，</w:t>
      </w:r>
      <w:r>
        <w:rPr>
          <w:rFonts w:hint="eastAsia" w:ascii="宋体" w:hAnsi="宋体" w:cs="宋体"/>
          <w:color w:val="auto"/>
          <w:kern w:val="0"/>
          <w:szCs w:val="21"/>
          <w:highlight w:val="none"/>
          <w:u w:val="single"/>
        </w:rPr>
        <w:t>按步骤45.4、45.5确定的投标人总得分排序</w:t>
      </w:r>
      <w:r>
        <w:rPr>
          <w:rFonts w:hint="eastAsia" w:ascii="宋体" w:hAnsi="宋体" w:cs="宋体"/>
          <w:color w:val="auto"/>
          <w:kern w:val="0"/>
          <w:szCs w:val="21"/>
          <w:highlight w:val="none"/>
        </w:rPr>
        <w:t>，推荐前3名依次为第一中标候选人至第三中标候选人，并编制评标报告。</w:t>
      </w:r>
    </w:p>
    <w:p w14:paraId="6885F71C">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条款号：附表一</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6C3B100B">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原范本</w:t>
      </w:r>
      <w:r>
        <w:rPr>
          <w:rFonts w:ascii="宋体" w:hAnsi="宋体"/>
          <w:color w:val="auto"/>
          <w:szCs w:val="21"/>
          <w:highlight w:val="none"/>
        </w:rPr>
        <w:t>GZZB2018-3</w:t>
      </w:r>
      <w:r>
        <w:rPr>
          <w:rFonts w:hint="eastAsia" w:ascii="宋体" w:hAnsi="宋体"/>
          <w:color w:val="auto"/>
          <w:szCs w:val="21"/>
          <w:highlight w:val="none"/>
        </w:rPr>
        <w:t>《资格审查表》</w:t>
      </w:r>
    </w:p>
    <w:p w14:paraId="68CBFB77">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本招标文件《资格审查表》</w:t>
      </w:r>
    </w:p>
    <w:p w14:paraId="31EE74FD">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条款号：附表二</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1180C3C1">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原范本</w:t>
      </w:r>
      <w:r>
        <w:rPr>
          <w:rFonts w:ascii="宋体" w:hAnsi="宋体"/>
          <w:color w:val="auto"/>
          <w:szCs w:val="21"/>
          <w:highlight w:val="none"/>
        </w:rPr>
        <w:t>GZZB2018-3</w:t>
      </w:r>
      <w:r>
        <w:rPr>
          <w:rFonts w:hint="eastAsia" w:ascii="宋体" w:hAnsi="宋体"/>
          <w:color w:val="auto"/>
          <w:szCs w:val="21"/>
          <w:highlight w:val="none"/>
        </w:rPr>
        <w:t>《技术标有效性审查表》</w:t>
      </w:r>
    </w:p>
    <w:p w14:paraId="39952089">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本招标文件《技术标有效性审查表》</w:t>
      </w:r>
    </w:p>
    <w:p w14:paraId="75D5F970">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条款号：附表三</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0D1AC5DE">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原范本</w:t>
      </w:r>
      <w:r>
        <w:rPr>
          <w:rFonts w:ascii="宋体" w:hAnsi="宋体"/>
          <w:color w:val="auto"/>
          <w:szCs w:val="21"/>
          <w:highlight w:val="none"/>
        </w:rPr>
        <w:t>GZZB2018-3</w:t>
      </w:r>
      <w:r>
        <w:rPr>
          <w:rFonts w:hint="eastAsia" w:ascii="宋体" w:hAnsi="宋体"/>
          <w:color w:val="auto"/>
          <w:szCs w:val="21"/>
          <w:highlight w:val="none"/>
        </w:rPr>
        <w:t>《经济标有效性审查表》</w:t>
      </w:r>
    </w:p>
    <w:p w14:paraId="2CE3C913">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本招标文件《经济标有效性审查表》</w:t>
      </w:r>
    </w:p>
    <w:p w14:paraId="3A738B5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条款号：附表四          修改类型：修改</w:t>
      </w:r>
    </w:p>
    <w:p w14:paraId="38C5AB87">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原范本</w:t>
      </w:r>
      <w:r>
        <w:rPr>
          <w:rFonts w:ascii="宋体" w:hAnsi="宋体"/>
          <w:color w:val="auto"/>
          <w:szCs w:val="21"/>
          <w:highlight w:val="none"/>
        </w:rPr>
        <w:t>GZZB2018-3</w:t>
      </w:r>
      <w:r>
        <w:rPr>
          <w:rFonts w:hint="eastAsia" w:ascii="宋体" w:hAnsi="宋体"/>
          <w:color w:val="auto"/>
          <w:szCs w:val="21"/>
          <w:highlight w:val="none"/>
        </w:rPr>
        <w:t>《技术标详细审查评分表》</w:t>
      </w:r>
    </w:p>
    <w:p w14:paraId="36CD8A6B">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本招标文件《技术标详细审查评分表》</w:t>
      </w:r>
    </w:p>
    <w:p w14:paraId="09C44F2B">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条款号：附表五（适用于加权平均法）</w:t>
      </w:r>
      <w:r>
        <w:rPr>
          <w:rFonts w:ascii="宋体" w:hAnsi="宋体"/>
          <w:b/>
          <w:color w:val="auto"/>
          <w:szCs w:val="21"/>
          <w:highlight w:val="none"/>
        </w:rPr>
        <w:t xml:space="preserve">          </w:t>
      </w:r>
      <w:r>
        <w:rPr>
          <w:rFonts w:hint="eastAsia" w:ascii="宋体" w:hAnsi="宋体"/>
          <w:b/>
          <w:color w:val="auto"/>
          <w:szCs w:val="21"/>
          <w:highlight w:val="none"/>
        </w:rPr>
        <w:t>修改类型：删除</w:t>
      </w:r>
    </w:p>
    <w:p w14:paraId="3BBA9E84">
      <w:pPr>
        <w:pBdr>
          <w:bottom w:val="single" w:color="auto" w:sz="6" w:space="1"/>
        </w:pBd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原范本</w:t>
      </w:r>
      <w:r>
        <w:rPr>
          <w:rFonts w:ascii="宋体" w:hAnsi="宋体"/>
          <w:color w:val="auto"/>
          <w:szCs w:val="21"/>
          <w:highlight w:val="none"/>
        </w:rPr>
        <w:t>GZZB2018-3</w:t>
      </w:r>
      <w:r>
        <w:rPr>
          <w:rFonts w:hint="eastAsia" w:ascii="宋体" w:hAnsi="宋体"/>
          <w:color w:val="auto"/>
          <w:szCs w:val="21"/>
          <w:highlight w:val="none"/>
        </w:rPr>
        <w:t>《经济标评分表》</w:t>
      </w:r>
    </w:p>
    <w:p w14:paraId="551993EF">
      <w:pPr>
        <w:pStyle w:val="8"/>
        <w:rPr>
          <w:color w:val="auto"/>
          <w:highlight w:val="none"/>
        </w:rPr>
      </w:pPr>
    </w:p>
    <w:p w14:paraId="008BB6A0">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14:paraId="1B5E4D8F">
      <w:pPr>
        <w:spacing w:line="360" w:lineRule="auto"/>
        <w:rPr>
          <w:color w:val="auto"/>
          <w:highlight w:val="none"/>
        </w:rPr>
      </w:pPr>
      <w:r>
        <w:rPr>
          <w:rFonts w:hint="eastAsia"/>
          <w:b/>
          <w:color w:val="auto"/>
          <w:szCs w:val="21"/>
          <w:highlight w:val="none"/>
        </w:rPr>
        <w:t>（以下无正文）</w:t>
      </w:r>
    </w:p>
    <w:p w14:paraId="029603A5">
      <w:pPr>
        <w:pStyle w:val="8"/>
        <w:spacing w:line="360" w:lineRule="auto"/>
        <w:rPr>
          <w:color w:val="auto"/>
          <w:highlight w:val="none"/>
        </w:rPr>
      </w:pPr>
      <w:r>
        <w:rPr>
          <w:color w:val="auto"/>
          <w:highlight w:val="none"/>
        </w:rPr>
        <w:br w:type="page"/>
      </w:r>
    </w:p>
    <w:p w14:paraId="32EE7117">
      <w:pPr>
        <w:pStyle w:val="6"/>
        <w:ind w:firstLine="525"/>
        <w:rPr>
          <w:color w:val="auto"/>
          <w:highlight w:val="none"/>
        </w:rPr>
      </w:pPr>
      <w:bookmarkStart w:id="22" w:name="_Toc21525500"/>
      <w:bookmarkStart w:id="23" w:name="_Toc2272556"/>
      <w:r>
        <w:rPr>
          <w:rFonts w:hint="eastAsia"/>
          <w:color w:val="auto"/>
          <w:highlight w:val="none"/>
        </w:rPr>
        <w:t>二、开标、评标及定标办法</w:t>
      </w:r>
      <w:r>
        <w:rPr>
          <w:rFonts w:hint="eastAsia"/>
          <w:color w:val="auto"/>
          <w:szCs w:val="30"/>
          <w:highlight w:val="none"/>
        </w:rPr>
        <w:t>通用条款</w:t>
      </w:r>
      <w:bookmarkEnd w:id="22"/>
      <w:bookmarkEnd w:id="23"/>
    </w:p>
    <w:p w14:paraId="2BDCF9BE">
      <w:pPr>
        <w:pStyle w:val="7"/>
        <w:spacing w:before="156" w:after="156"/>
        <w:ind w:firstLine="540" w:firstLineChars="200"/>
        <w:rPr>
          <w:rFonts w:hint="eastAsia"/>
          <w:color w:val="auto"/>
          <w:highlight w:val="none"/>
        </w:rPr>
      </w:pPr>
      <w:bookmarkStart w:id="24" w:name="_Toc2272557"/>
      <w:bookmarkStart w:id="25" w:name="_Toc21525501"/>
      <w:r>
        <w:rPr>
          <w:rFonts w:hint="eastAsia"/>
          <w:color w:val="auto"/>
          <w:highlight w:val="none"/>
        </w:rPr>
        <w:t>（一）总则</w:t>
      </w:r>
      <w:bookmarkEnd w:id="24"/>
      <w:bookmarkEnd w:id="25"/>
    </w:p>
    <w:p w14:paraId="73826890">
      <w:pPr>
        <w:spacing w:line="360" w:lineRule="auto"/>
        <w:ind w:firstLine="480" w:firstLineChars="200"/>
        <w:rPr>
          <w:rFonts w:hint="eastAsia" w:ascii="宋体" w:hAnsi="宋体"/>
          <w:b/>
          <w:color w:val="auto"/>
          <w:sz w:val="24"/>
          <w:szCs w:val="24"/>
          <w:highlight w:val="none"/>
        </w:rPr>
      </w:pPr>
      <w:r>
        <w:rPr>
          <w:rFonts w:ascii="宋体" w:hAnsi="宋体"/>
          <w:color w:val="auto"/>
          <w:sz w:val="24"/>
          <w:szCs w:val="24"/>
          <w:highlight w:val="none"/>
        </w:rPr>
        <w:t xml:space="preserve">35 </w:t>
      </w:r>
      <w:r>
        <w:rPr>
          <w:rFonts w:hint="eastAsia" w:ascii="宋体" w:hAnsi="宋体"/>
          <w:color w:val="auto"/>
          <w:sz w:val="24"/>
          <w:szCs w:val="24"/>
          <w:highlight w:val="none"/>
        </w:rPr>
        <w:t>开标、评标及定标所依据的规则</w:t>
      </w:r>
    </w:p>
    <w:p w14:paraId="4877A9B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35.1</w:t>
      </w:r>
      <w:r>
        <w:rPr>
          <w:rFonts w:hint="eastAsia" w:ascii="宋体" w:hAnsi="宋体"/>
          <w:color w:val="auto"/>
          <w:sz w:val="24"/>
          <w:szCs w:val="24"/>
          <w:highlight w:val="none"/>
        </w:rPr>
        <w:t>《中华人民共和国招标投标法》；</w:t>
      </w:r>
    </w:p>
    <w:p w14:paraId="62C132C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35.2</w:t>
      </w:r>
      <w:r>
        <w:rPr>
          <w:rFonts w:hint="eastAsia" w:ascii="宋体" w:hAnsi="宋体"/>
          <w:color w:val="auto"/>
          <w:sz w:val="24"/>
          <w:szCs w:val="24"/>
          <w:highlight w:val="none"/>
        </w:rPr>
        <w:t>《中华人民共和国招标投标法实施条例》；</w:t>
      </w:r>
    </w:p>
    <w:p w14:paraId="57EB83C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14:paraId="6223565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14:paraId="11C8E90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35.5</w:t>
      </w:r>
      <w:r>
        <w:rPr>
          <w:rFonts w:hint="eastAsia" w:ascii="宋体" w:hAnsi="宋体"/>
          <w:color w:val="auto"/>
          <w:sz w:val="24"/>
          <w:szCs w:val="24"/>
          <w:highlight w:val="none"/>
        </w:rPr>
        <w:t>《广东省实施〈中华人民共和国招标投标法〉办法》；</w:t>
      </w:r>
    </w:p>
    <w:p w14:paraId="339FE70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35.6</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14:paraId="3B64C71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35.7</w:t>
      </w:r>
      <w:r>
        <w:rPr>
          <w:rFonts w:hint="eastAsia" w:ascii="宋体" w:hAnsi="宋体"/>
          <w:color w:val="auto"/>
          <w:sz w:val="24"/>
          <w:szCs w:val="24"/>
          <w:highlight w:val="none"/>
        </w:rPr>
        <w:t>《财政部</w:t>
      </w:r>
      <w:r>
        <w:rPr>
          <w:rFonts w:ascii="宋体" w:hAnsi="宋体"/>
          <w:color w:val="auto"/>
          <w:sz w:val="24"/>
          <w:szCs w:val="24"/>
          <w:highlight w:val="none"/>
        </w:rPr>
        <w:t> </w:t>
      </w:r>
      <w:r>
        <w:rPr>
          <w:rFonts w:hint="eastAsia" w:ascii="宋体" w:hAnsi="宋体"/>
          <w:color w:val="auto"/>
          <w:sz w:val="24"/>
          <w:szCs w:val="24"/>
          <w:highlight w:val="none"/>
        </w:rPr>
        <w:t>工业和信息化部关于印发〈政府采购促进中小企业发展管理办法〉的通知》（财库〔</w:t>
      </w:r>
      <w:r>
        <w:rPr>
          <w:rFonts w:ascii="宋体" w:hAnsi="宋体"/>
          <w:color w:val="auto"/>
          <w:sz w:val="24"/>
          <w:szCs w:val="24"/>
          <w:highlight w:val="none"/>
        </w:rPr>
        <w:t>2020</w:t>
      </w:r>
      <w:r>
        <w:rPr>
          <w:rFonts w:hint="eastAsia" w:ascii="宋体" w:hAnsi="宋体"/>
          <w:color w:val="auto"/>
          <w:sz w:val="24"/>
          <w:szCs w:val="24"/>
          <w:highlight w:val="none"/>
        </w:rPr>
        <w:t>〕</w:t>
      </w:r>
      <w:r>
        <w:rPr>
          <w:rFonts w:ascii="宋体" w:hAnsi="宋体"/>
          <w:color w:val="auto"/>
          <w:sz w:val="24"/>
          <w:szCs w:val="24"/>
          <w:highlight w:val="none"/>
        </w:rPr>
        <w:t>46</w:t>
      </w:r>
      <w:r>
        <w:rPr>
          <w:rFonts w:hint="eastAsia" w:ascii="宋体" w:hAnsi="宋体"/>
          <w:color w:val="auto"/>
          <w:sz w:val="24"/>
          <w:szCs w:val="24"/>
          <w:highlight w:val="none"/>
        </w:rPr>
        <w:t>号）；</w:t>
      </w:r>
    </w:p>
    <w:p w14:paraId="3BCF391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8《广东省加强建设工程招标投标监督管理的若干规定》（粤发[2004]4号）；</w:t>
      </w:r>
    </w:p>
    <w:p w14:paraId="22EAED3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35.9</w:t>
      </w:r>
      <w:r>
        <w:rPr>
          <w:rFonts w:hint="eastAsia" w:ascii="宋体" w:hAnsi="宋体"/>
          <w:color w:val="auto"/>
          <w:sz w:val="24"/>
          <w:szCs w:val="24"/>
          <w:highlight w:val="none"/>
        </w:rPr>
        <w:t>《广东省政府采购促进中小企业发展实施细则（试行）》</w:t>
      </w:r>
    </w:p>
    <w:p w14:paraId="65C6471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10《广州市工程建设项目招标投标管理办法》（穗建规字〔2023〕12号）；</w:t>
      </w:r>
    </w:p>
    <w:p w14:paraId="0D9458B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31122B7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35.12本项目招标文件。</w:t>
      </w:r>
    </w:p>
    <w:p w14:paraId="5CA2E2B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14:paraId="3C2E2D3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14:paraId="2CA0E40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2701FA9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7CF914C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14:paraId="2DF4A49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36.5按下列程序进行开标：</w:t>
      </w:r>
    </w:p>
    <w:p w14:paraId="2303623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36.5.1在投标截止时间后一个小时内，投标人通过交易平台对已递交的电子投标文件进行解密。投标人完成解密后，再由招标人进行解密。解密完成后，公布招标项目名称、投标人名称、投标保证金的递交情况、投标报价、工期及其他内容；</w:t>
      </w:r>
    </w:p>
    <w:p w14:paraId="59F7359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36.5.2备用光盘的读取按投标须知前附表第36项的规定执行；</w:t>
      </w:r>
    </w:p>
    <w:p w14:paraId="54A801C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14:paraId="10F737E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36.5.4开标结束。</w:t>
      </w:r>
    </w:p>
    <w:p w14:paraId="6EAB268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0E6089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14:paraId="64189D7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0A24AA8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14:paraId="5353D38E">
      <w:pPr>
        <w:spacing w:line="360" w:lineRule="auto"/>
        <w:ind w:firstLine="480" w:firstLineChars="200"/>
        <w:rPr>
          <w:rFonts w:hint="eastAsia" w:ascii="宋体" w:hAnsi="宋体"/>
          <w:bCs/>
          <w:color w:val="auto"/>
          <w:sz w:val="24"/>
          <w:szCs w:val="24"/>
          <w:highlight w:val="none"/>
        </w:rPr>
      </w:pPr>
      <w:r>
        <w:rPr>
          <w:rFonts w:ascii="宋体" w:hAnsi="宋体"/>
          <w:bCs/>
          <w:color w:val="auto"/>
          <w:sz w:val="24"/>
          <w:szCs w:val="24"/>
          <w:highlight w:val="none"/>
        </w:rPr>
        <w:t>37.2评标委员会</w:t>
      </w:r>
      <w:r>
        <w:rPr>
          <w:rFonts w:hint="eastAsia" w:ascii="宋体" w:hAnsi="宋体"/>
          <w:bCs/>
          <w:color w:val="auto"/>
          <w:sz w:val="24"/>
          <w:szCs w:val="24"/>
          <w:highlight w:val="none"/>
        </w:rPr>
        <w:t>在开始评标前，应了解评标专家</w:t>
      </w:r>
      <w:r>
        <w:rPr>
          <w:rFonts w:ascii="宋体" w:hAnsi="宋体"/>
          <w:bCs/>
          <w:color w:val="auto"/>
          <w:sz w:val="24"/>
          <w:szCs w:val="24"/>
          <w:highlight w:val="none"/>
        </w:rPr>
        <w:t>的职责及守则</w:t>
      </w:r>
      <w:r>
        <w:rPr>
          <w:rFonts w:hint="eastAsia" w:ascii="宋体" w:hAnsi="宋体"/>
          <w:bCs/>
          <w:color w:val="auto"/>
          <w:sz w:val="24"/>
          <w:szCs w:val="24"/>
          <w:highlight w:val="none"/>
        </w:rPr>
        <w:t>，认真阅读附件</w:t>
      </w:r>
      <w:r>
        <w:rPr>
          <w:rFonts w:ascii="宋体" w:hAnsi="宋体"/>
          <w:bCs/>
          <w:color w:val="auto"/>
          <w:sz w:val="24"/>
          <w:szCs w:val="24"/>
          <w:highlight w:val="none"/>
        </w:rPr>
        <w:t>1《</w:t>
      </w:r>
      <w:r>
        <w:rPr>
          <w:rFonts w:hint="eastAsia" w:ascii="宋体" w:hAnsi="宋体"/>
          <w:bCs/>
          <w:color w:val="auto"/>
          <w:sz w:val="24"/>
          <w:szCs w:val="24"/>
          <w:highlight w:val="none"/>
        </w:rPr>
        <w:t>评标委员会成员声明》的内容并签名，签字后方可进行评标。</w:t>
      </w:r>
    </w:p>
    <w:p w14:paraId="556784B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37.3评标委员会的职责及守则：</w:t>
      </w:r>
    </w:p>
    <w:p w14:paraId="78D842D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079CEA7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0FE54613">
      <w:pPr>
        <w:spacing w:line="360" w:lineRule="auto"/>
        <w:ind w:firstLine="480" w:firstLineChars="200"/>
        <w:rPr>
          <w:rFonts w:hint="eastAsia"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rPr>
        <w:t>3</w:t>
      </w:r>
      <w:r>
        <w:rPr>
          <w:rFonts w:ascii="宋体" w:hAnsi="宋体"/>
          <w:bCs/>
          <w:color w:val="auto"/>
          <w:sz w:val="24"/>
          <w:szCs w:val="24"/>
          <w:highlight w:val="none"/>
        </w:rPr>
        <w:t>.3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6C9DC78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421642A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02A4DC8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1105136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626F456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32956D0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24B13FC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37.3.4.6 必须严谨、不得随意马虎。</w:t>
      </w:r>
    </w:p>
    <w:p w14:paraId="3FB9B321">
      <w:pPr>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9FA436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37.5评标结束后，评标委员会递交评标报告并依法推荐中标候选人。</w:t>
      </w:r>
      <w:r>
        <w:rPr>
          <w:rFonts w:ascii="宋体" w:hAnsi="宋体"/>
          <w:color w:val="auto"/>
          <w:sz w:val="24"/>
          <w:szCs w:val="24"/>
          <w:highlight w:val="none"/>
        </w:rPr>
        <w:t xml:space="preserve"> </w:t>
      </w:r>
    </w:p>
    <w:p w14:paraId="26B7135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14:paraId="14C5621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0BE9731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2FB94BE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4F6BF70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097BEA2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2186750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16458E2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0309D65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14:paraId="63C40D6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28FFF7F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1BE69EE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26037EDA">
      <w:pPr>
        <w:pStyle w:val="7"/>
        <w:spacing w:before="156" w:after="156"/>
        <w:ind w:firstLine="540" w:firstLineChars="200"/>
        <w:rPr>
          <w:rFonts w:hint="eastAsia"/>
          <w:color w:val="auto"/>
          <w:highlight w:val="none"/>
        </w:rPr>
      </w:pPr>
      <w:bookmarkStart w:id="26" w:name="_Toc2272558"/>
      <w:bookmarkStart w:id="27" w:name="_Toc21525502"/>
      <w:r>
        <w:rPr>
          <w:rFonts w:hint="eastAsia"/>
          <w:color w:val="auto"/>
          <w:highlight w:val="none"/>
        </w:rPr>
        <w:t>（二）开标评标办法程序和细则</w:t>
      </w:r>
      <w:bookmarkEnd w:id="26"/>
      <w:bookmarkEnd w:id="27"/>
    </w:p>
    <w:p w14:paraId="303248C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注：以下八种评标办法所述企业综合诚信评价分数即投标截止当日广州市工程招标行业协会网站上公布的企业综合诚信评价</w:t>
      </w:r>
      <w:r>
        <w:rPr>
          <w:rFonts w:ascii="宋体" w:hAnsi="宋体"/>
          <w:color w:val="auto"/>
          <w:sz w:val="24"/>
          <w:szCs w:val="24"/>
          <w:highlight w:val="none"/>
        </w:rPr>
        <w:t>60</w:t>
      </w:r>
      <w:r>
        <w:rPr>
          <w:rFonts w:hint="eastAsia" w:ascii="宋体" w:hAnsi="宋体"/>
          <w:color w:val="auto"/>
          <w:sz w:val="24"/>
          <w:szCs w:val="24"/>
          <w:highlight w:val="none"/>
        </w:rPr>
        <w:t>日诚信分。</w:t>
      </w:r>
    </w:p>
    <w:p w14:paraId="4D1E2D8D">
      <w:pPr>
        <w:spacing w:line="360" w:lineRule="auto"/>
        <w:ind w:firstLine="480" w:firstLineChars="200"/>
        <w:rPr>
          <w:rFonts w:hint="eastAsia" w:ascii="宋体" w:hAnsi="宋体"/>
          <w:color w:val="auto"/>
          <w:sz w:val="24"/>
          <w:szCs w:val="24"/>
          <w:highlight w:val="none"/>
        </w:rPr>
      </w:pPr>
    </w:p>
    <w:p w14:paraId="64771211">
      <w:pPr>
        <w:pStyle w:val="7"/>
        <w:spacing w:before="156" w:after="156"/>
        <w:ind w:firstLine="540" w:firstLineChars="200"/>
        <w:rPr>
          <w:rFonts w:hint="eastAsia"/>
          <w:color w:val="auto"/>
          <w:highlight w:val="none"/>
        </w:rPr>
      </w:pPr>
      <w:bookmarkStart w:id="28" w:name="_Toc2272559"/>
      <w:bookmarkStart w:id="29" w:name="_Toc21525503"/>
      <w:r>
        <w:rPr>
          <w:rFonts w:hint="eastAsia"/>
          <w:color w:val="auto"/>
          <w:highlight w:val="none"/>
        </w:rPr>
        <w:t>可选办法一（适合综合评分法一，技术标与经济标先后分别开启）</w:t>
      </w:r>
      <w:bookmarkEnd w:id="28"/>
      <w:bookmarkEnd w:id="29"/>
    </w:p>
    <w:p w14:paraId="60AE6A5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．开标和评标程序：</w:t>
      </w:r>
    </w:p>
    <w:p w14:paraId="4794848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40.1</w:t>
      </w:r>
      <w:r>
        <w:rPr>
          <w:rFonts w:hint="eastAsia" w:ascii="宋体" w:hAnsi="宋体"/>
          <w:color w:val="auto"/>
          <w:sz w:val="24"/>
          <w:szCs w:val="24"/>
          <w:highlight w:val="none"/>
        </w:rPr>
        <w:t>投标人递交技术标、经济标投标文件；</w:t>
      </w:r>
    </w:p>
    <w:p w14:paraId="062AFA2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40.2</w:t>
      </w:r>
      <w:r>
        <w:rPr>
          <w:rFonts w:hint="eastAsia" w:ascii="宋体" w:hAnsi="宋体"/>
          <w:color w:val="auto"/>
          <w:sz w:val="24"/>
          <w:szCs w:val="24"/>
          <w:highlight w:val="none"/>
        </w:rPr>
        <w:t>技术标投标文件公开开标；</w:t>
      </w:r>
    </w:p>
    <w:p w14:paraId="3DB1D04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14:paraId="32C18D3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40.4</w:t>
      </w:r>
      <w:r>
        <w:rPr>
          <w:rFonts w:hint="eastAsia" w:ascii="宋体" w:hAnsi="宋体"/>
          <w:color w:val="auto"/>
          <w:sz w:val="24"/>
          <w:szCs w:val="24"/>
          <w:highlight w:val="none"/>
        </w:rPr>
        <w:t>技术标投标文件有效性审查；</w:t>
      </w:r>
    </w:p>
    <w:p w14:paraId="4DD83BF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40.5</w:t>
      </w:r>
      <w:r>
        <w:rPr>
          <w:rFonts w:hint="eastAsia" w:ascii="宋体" w:hAnsi="宋体"/>
          <w:color w:val="auto"/>
          <w:sz w:val="24"/>
          <w:szCs w:val="24"/>
          <w:highlight w:val="none"/>
        </w:rPr>
        <w:t>技术标详细审查评分；</w:t>
      </w:r>
    </w:p>
    <w:p w14:paraId="0B35CCD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40.6</w:t>
      </w:r>
      <w:r>
        <w:rPr>
          <w:rFonts w:hint="eastAsia" w:ascii="宋体" w:hAnsi="宋体"/>
          <w:color w:val="auto"/>
          <w:sz w:val="24"/>
          <w:szCs w:val="24"/>
          <w:highlight w:val="none"/>
        </w:rPr>
        <w:t>计算第一阶段得分，并按照总分从高到低排列先后次序，编写第一阶段评审报告；</w:t>
      </w:r>
      <w:r>
        <w:rPr>
          <w:rFonts w:ascii="宋体" w:hAnsi="宋体"/>
          <w:color w:val="auto"/>
          <w:sz w:val="24"/>
          <w:szCs w:val="24"/>
          <w:highlight w:val="none"/>
        </w:rPr>
        <w:t xml:space="preserve"> </w:t>
      </w:r>
    </w:p>
    <w:p w14:paraId="1B4CD98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7对通过技术标有效性审查的经济标投标文件公开开标；</w:t>
      </w:r>
    </w:p>
    <w:p w14:paraId="334375B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8按投标须知前附表第25项规定，确定进入第二阶段评审的投标人；</w:t>
      </w:r>
    </w:p>
    <w:p w14:paraId="542B1BF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9将进入第二阶段评审的投标人进行排序；</w:t>
      </w:r>
    </w:p>
    <w:p w14:paraId="7AFA7D7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10按排序对经济标投标文件进行有效性审查（含投标报价算术校核），直至评出所有中标候选人；</w:t>
      </w:r>
    </w:p>
    <w:p w14:paraId="71A5FEF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11评标委员会编写评标报告，向招标人推荐中标候选人名单。</w:t>
      </w:r>
    </w:p>
    <w:p w14:paraId="6646854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41. </w:t>
      </w:r>
      <w:r>
        <w:rPr>
          <w:rFonts w:hint="eastAsia" w:ascii="宋体" w:hAnsi="宋体"/>
          <w:color w:val="auto"/>
          <w:sz w:val="24"/>
          <w:szCs w:val="24"/>
          <w:highlight w:val="none"/>
        </w:rPr>
        <w:t>开标细则</w:t>
      </w:r>
    </w:p>
    <w:p w14:paraId="0C81F0B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41.1</w:t>
      </w:r>
      <w:r>
        <w:rPr>
          <w:rFonts w:hint="eastAsia" w:ascii="宋体" w:hAnsi="宋体"/>
          <w:color w:val="auto"/>
          <w:sz w:val="24"/>
          <w:szCs w:val="24"/>
          <w:highlight w:val="none"/>
        </w:rPr>
        <w:t>开标由招标人主持；</w:t>
      </w:r>
    </w:p>
    <w:p w14:paraId="52C505C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2细则</w:t>
      </w:r>
    </w:p>
    <w:p w14:paraId="3F04F3F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.1</w:t>
      </w:r>
      <w:r>
        <w:rPr>
          <w:rFonts w:hint="eastAsia" w:ascii="宋体" w:hAnsi="宋体"/>
          <w:color w:val="auto"/>
          <w:sz w:val="24"/>
          <w:szCs w:val="24"/>
          <w:highlight w:val="none"/>
        </w:rPr>
        <w:t>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交易平台。有关投标文件提交的事项详见第一章投标须知。</w:t>
      </w:r>
      <w:r>
        <w:rPr>
          <w:rFonts w:ascii="宋体" w:hAnsi="宋体"/>
          <w:color w:val="auto"/>
          <w:sz w:val="24"/>
          <w:szCs w:val="24"/>
          <w:highlight w:val="none"/>
        </w:rPr>
        <w:t xml:space="preserve"> </w:t>
      </w:r>
    </w:p>
    <w:p w14:paraId="693DBE0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.2</w:t>
      </w:r>
      <w:r>
        <w:rPr>
          <w:rFonts w:hint="eastAsia" w:ascii="宋体" w:hAnsi="宋体"/>
          <w:color w:val="auto"/>
          <w:sz w:val="24"/>
          <w:szCs w:val="24"/>
          <w:highlight w:val="none"/>
        </w:rPr>
        <w:t>先开技术标；</w:t>
      </w:r>
    </w:p>
    <w:p w14:paraId="01C96D3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.3</w:t>
      </w:r>
      <w:r>
        <w:rPr>
          <w:rFonts w:hint="eastAsia" w:ascii="宋体" w:hAnsi="宋体"/>
          <w:color w:val="auto"/>
          <w:sz w:val="24"/>
          <w:szCs w:val="24"/>
          <w:highlight w:val="none"/>
        </w:rPr>
        <w:t>对通过技术标有效性审查的投标人开启其经济标投标文件；</w:t>
      </w:r>
    </w:p>
    <w:p w14:paraId="1A73C01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41.2.4 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2D575FB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41.3按36.5.1的规定完成解密后，公布下列内容，并予以记录，记录提交评标委员会评审：</w:t>
      </w:r>
      <w:r>
        <w:rPr>
          <w:rFonts w:ascii="宋体" w:hAnsi="宋体"/>
          <w:color w:val="auto"/>
          <w:sz w:val="24"/>
          <w:szCs w:val="24"/>
          <w:highlight w:val="none"/>
        </w:rPr>
        <w:t xml:space="preserve"> </w:t>
      </w:r>
    </w:p>
    <w:p w14:paraId="0C37D0B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3</w:t>
      </w:r>
      <w:r>
        <w:rPr>
          <w:rFonts w:ascii="宋体" w:hAnsi="宋体"/>
          <w:color w:val="auto"/>
          <w:sz w:val="24"/>
          <w:szCs w:val="24"/>
          <w:highlight w:val="none"/>
        </w:rPr>
        <w:t xml:space="preserve">.1 </w:t>
      </w:r>
      <w:r>
        <w:rPr>
          <w:rFonts w:hint="eastAsia" w:ascii="宋体" w:hAnsi="宋体"/>
          <w:color w:val="auto"/>
          <w:sz w:val="24"/>
          <w:szCs w:val="24"/>
          <w:highlight w:val="none"/>
        </w:rPr>
        <w:t>技术标开标时，公布：</w:t>
      </w:r>
      <w:r>
        <w:rPr>
          <w:rFonts w:ascii="宋体" w:hAnsi="宋体"/>
          <w:color w:val="auto"/>
          <w:sz w:val="24"/>
          <w:szCs w:val="24"/>
          <w:highlight w:val="none"/>
        </w:rPr>
        <w:t>a</w:t>
      </w:r>
      <w:r>
        <w:rPr>
          <w:rFonts w:hint="eastAsia" w:ascii="宋体" w:hAnsi="宋体"/>
          <w:color w:val="auto"/>
          <w:sz w:val="24"/>
          <w:szCs w:val="24"/>
          <w:highlight w:val="none"/>
        </w:rPr>
        <w:t>、投标人名称；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szCs w:val="24"/>
          <w:highlight w:val="none"/>
        </w:rPr>
        <w:t>密封情况；</w:t>
      </w:r>
      <w:r>
        <w:rPr>
          <w:rFonts w:ascii="宋体" w:hAnsi="宋体"/>
          <w:color w:val="auto"/>
          <w:sz w:val="24"/>
          <w:szCs w:val="24"/>
          <w:highlight w:val="none"/>
        </w:rPr>
        <w:t>c</w:t>
      </w:r>
      <w:r>
        <w:rPr>
          <w:rFonts w:hint="eastAsia" w:ascii="宋体" w:hAnsi="宋体"/>
          <w:color w:val="auto"/>
          <w:sz w:val="24"/>
          <w:szCs w:val="24"/>
          <w:highlight w:val="none"/>
        </w:rPr>
        <w:t>、法定代表人证明及授权委托；</w:t>
      </w:r>
      <w:r>
        <w:rPr>
          <w:rFonts w:ascii="宋体" w:hAnsi="宋体"/>
          <w:color w:val="auto"/>
          <w:sz w:val="24"/>
          <w:szCs w:val="24"/>
          <w:highlight w:val="none"/>
        </w:rPr>
        <w:t>d</w:t>
      </w:r>
      <w:r>
        <w:rPr>
          <w:rFonts w:hint="eastAsia" w:ascii="宋体" w:hAnsi="宋体"/>
          <w:color w:val="auto"/>
          <w:sz w:val="24"/>
          <w:szCs w:val="24"/>
          <w:highlight w:val="none"/>
        </w:rPr>
        <w:t>、投标保证金；</w:t>
      </w:r>
      <w:r>
        <w:rPr>
          <w:rFonts w:ascii="宋体" w:hAnsi="宋体"/>
          <w:color w:val="auto"/>
          <w:sz w:val="24"/>
          <w:szCs w:val="24"/>
          <w:highlight w:val="none"/>
        </w:rPr>
        <w:t>e</w:t>
      </w:r>
      <w:r>
        <w:rPr>
          <w:rFonts w:hint="eastAsia" w:ascii="宋体" w:hAnsi="宋体"/>
          <w:color w:val="auto"/>
          <w:sz w:val="24"/>
          <w:szCs w:val="24"/>
          <w:highlight w:val="none"/>
        </w:rPr>
        <w:t>、项目经理（负责人）名称等主要内容以及开标记录表中的其他必要内容；</w:t>
      </w:r>
    </w:p>
    <w:p w14:paraId="7F34924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3</w:t>
      </w:r>
      <w:r>
        <w:rPr>
          <w:rFonts w:ascii="宋体" w:hAnsi="宋体"/>
          <w:color w:val="auto"/>
          <w:sz w:val="24"/>
          <w:szCs w:val="24"/>
          <w:highlight w:val="none"/>
        </w:rPr>
        <w:t xml:space="preserve">.2 </w:t>
      </w:r>
      <w:r>
        <w:rPr>
          <w:rFonts w:hint="eastAsia" w:ascii="宋体" w:hAnsi="宋体"/>
          <w:color w:val="auto"/>
          <w:sz w:val="24"/>
          <w:szCs w:val="24"/>
          <w:highlight w:val="none"/>
        </w:rPr>
        <w:t>经济标开标前，首先公布技术标通过有效性审查的投标人，招标人依次开启通过技术标有效性审查的投标人的经济标。开标时，公布：</w:t>
      </w:r>
      <w:r>
        <w:rPr>
          <w:rFonts w:ascii="宋体" w:hAnsi="宋体"/>
          <w:color w:val="auto"/>
          <w:sz w:val="24"/>
          <w:szCs w:val="24"/>
          <w:highlight w:val="none"/>
        </w:rPr>
        <w:t>a</w:t>
      </w:r>
      <w:r>
        <w:rPr>
          <w:rFonts w:hint="eastAsia" w:ascii="宋体" w:hAnsi="宋体"/>
          <w:color w:val="auto"/>
          <w:sz w:val="24"/>
          <w:szCs w:val="24"/>
          <w:highlight w:val="none"/>
        </w:rPr>
        <w:t>、投标人名称；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szCs w:val="24"/>
          <w:highlight w:val="none"/>
        </w:rPr>
        <w:t>密封情况；</w:t>
      </w:r>
      <w:r>
        <w:rPr>
          <w:rFonts w:ascii="宋体" w:hAnsi="宋体"/>
          <w:color w:val="auto"/>
          <w:sz w:val="24"/>
          <w:szCs w:val="24"/>
          <w:highlight w:val="none"/>
        </w:rPr>
        <w:t>c</w:t>
      </w:r>
      <w:r>
        <w:rPr>
          <w:rFonts w:hint="eastAsia" w:ascii="宋体" w:hAnsi="宋体"/>
          <w:color w:val="auto"/>
          <w:sz w:val="24"/>
          <w:szCs w:val="24"/>
          <w:highlight w:val="none"/>
        </w:rPr>
        <w:t>、投标报价等主要内容以及开标记录表中的其他必要内容。投标报价以数字和文字两种方式表述的，应公布文字表述的投标报价。</w:t>
      </w:r>
    </w:p>
    <w:p w14:paraId="7301311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4招标人对开标过程进行记录，并存档备查，投标人在开标记录上签字。</w:t>
      </w:r>
    </w:p>
    <w:p w14:paraId="58DF7A2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5</w:t>
      </w:r>
      <w:r>
        <w:rPr>
          <w:rFonts w:ascii="宋体" w:hAnsi="宋体"/>
          <w:color w:val="auto"/>
          <w:sz w:val="24"/>
          <w:szCs w:val="24"/>
          <w:highlight w:val="none"/>
        </w:rPr>
        <w:t xml:space="preserve"> </w:t>
      </w:r>
      <w:r>
        <w:rPr>
          <w:rFonts w:hint="eastAsia" w:ascii="宋体" w:hAnsi="宋体"/>
          <w:color w:val="auto"/>
          <w:sz w:val="24"/>
          <w:szCs w:val="24"/>
          <w:highlight w:val="none"/>
        </w:rPr>
        <w:t>招标人将上述符合要求的投标文件，送至评标委员会进行评审。</w:t>
      </w:r>
    </w:p>
    <w:p w14:paraId="19243AB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42. </w:t>
      </w:r>
      <w:r>
        <w:rPr>
          <w:rFonts w:hint="eastAsia" w:ascii="宋体" w:hAnsi="宋体"/>
          <w:color w:val="auto"/>
          <w:sz w:val="24"/>
          <w:szCs w:val="24"/>
          <w:highlight w:val="none"/>
        </w:rPr>
        <w:t>评标细则</w:t>
      </w:r>
    </w:p>
    <w:p w14:paraId="09ACF54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42.1</w:t>
      </w:r>
      <w:r>
        <w:rPr>
          <w:rFonts w:hint="eastAsia" w:ascii="宋体" w:hAnsi="宋体"/>
          <w:color w:val="auto"/>
          <w:sz w:val="24"/>
          <w:szCs w:val="24"/>
          <w:highlight w:val="none"/>
        </w:rPr>
        <w:t>评标委员会的组成：方式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0F4E90B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方式一：评标委员会为综合评标委员会，负责评标工作。</w:t>
      </w:r>
    </w:p>
    <w:p w14:paraId="0ED1890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方式二：评标委员会由技术评审组和经济评审组组成。其中：资格审查、技术评审由技术评标组负责，经济评审由经济评审组负责。</w:t>
      </w:r>
    </w:p>
    <w:p w14:paraId="0737EB4A">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14:paraId="7FA4BC01">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2D9C05CB">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14:paraId="5BB81467">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14:paraId="73ADCB24">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3F52F120">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14:paraId="5E37EB63">
      <w:pPr>
        <w:spacing w:line="360" w:lineRule="auto"/>
        <w:ind w:firstLine="480" w:firstLineChars="200"/>
        <w:rPr>
          <w:rFonts w:hint="eastAsia" w:ascii="宋体" w:hAnsi="宋体"/>
          <w:color w:val="auto"/>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p>
    <w:p w14:paraId="23221A3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 第一阶段评审</w:t>
      </w:r>
    </w:p>
    <w:p w14:paraId="01FEA8E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7632C81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42.3.2通过技术标有效性审查的投标人均进入第二阶段，评标委员会编写第一阶段评审报告。（适用于通过技术标有效性审查的投标人家数小于等于前附表第25项的规定进入第二阶段评审家数的）</w:t>
      </w:r>
    </w:p>
    <w:p w14:paraId="18C8A89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3技术标详细审查评分：评标委员会按照本办法附表四《技术标详细审查评分表》对通过技术标有效性审查的投标文件技术标进行详细审查，评出技术分。（适用于通过技术标有效性审查的投标人家数大于前附表第25项的规定进入第二阶段评审家数的）</w:t>
      </w:r>
    </w:p>
    <w:p w14:paraId="79A71C5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42.3.4评标委员会按照“第一阶段得分=技术分（满分为100分）×技术分权重+综合诚信评价分数×综合诚信评价得分权重”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14:paraId="3C687EF4">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42.3.5招标人应在《投标须知前附表》中明确选择使用施工企业总排名或相应的施工专业承包排名计分。</w:t>
      </w:r>
    </w:p>
    <w:p w14:paraId="2AE341D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w:t>
      </w:r>
      <w:r>
        <w:rPr>
          <w:rFonts w:hint="eastAsia" w:ascii="宋体" w:hAnsi="宋体"/>
          <w:color w:val="auto"/>
          <w:sz w:val="24"/>
          <w:szCs w:val="24"/>
          <w:highlight w:val="none"/>
        </w:rPr>
        <w:t xml:space="preserve"> 第二阶段评审</w:t>
      </w:r>
    </w:p>
    <w:p w14:paraId="05E8726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42.4.1</w:t>
      </w:r>
      <w:r>
        <w:rPr>
          <w:rFonts w:hint="eastAsia" w:ascii="宋体" w:hAnsi="宋体"/>
          <w:color w:val="auto"/>
          <w:sz w:val="24"/>
          <w:szCs w:val="24"/>
          <w:highlight w:val="none"/>
        </w:rPr>
        <w:t>开启经济标后，按照投标须知前附表第25项规定，确定进入第二阶段评审的投标人，若在进入第二阶段的最后名次发生并列的，则所有并列的投标人均进入第二阶段。</w:t>
      </w:r>
    </w:p>
    <w:p w14:paraId="23D08B6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42.4.2将第二阶段投标人按投标须知前附表第30项规定的方法进行排序。</w:t>
      </w:r>
    </w:p>
    <w:p w14:paraId="7A1F63D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42.4.3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03E4ECF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4.4经济标的算术校核。评标委员会对进行经济标有效性审查的投标文件投标报价按照就低不就高的原则进行算术校核，具体标准如下：</w:t>
      </w:r>
    </w:p>
    <w:p w14:paraId="30C03A5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4.4.1如果数字表示的金额和用文字表示的金额不一致时，应以文字表示的金额为准；</w:t>
      </w:r>
    </w:p>
    <w:p w14:paraId="2C3897B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4.4.2经算术复核的投标人报价与其投标报价不一致时，按就低不就高原则确定其最终报价；</w:t>
      </w:r>
    </w:p>
    <w:p w14:paraId="027F4C5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0B38C86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1DFF4A9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26CCEEB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7049E53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4464A6E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以上修正不影响按步骤42.3.3确定的投标人第二阶段排序。</w:t>
      </w:r>
    </w:p>
    <w:p w14:paraId="3385104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家投标人通过经济标有效性审查，经济标有效性审查结束。</w:t>
      </w:r>
    </w:p>
    <w:p w14:paraId="64A4DFD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6评标委员会应在通过投标文件经济标有效性审查的投标人中，按步骤42.4确定的投标人第二阶段排序，推荐前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14:paraId="7687C7F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7若通过经济标有效性审查的投标人不足三家，应当依法重新招标。（当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14:paraId="7884C378">
      <w:pPr>
        <w:pStyle w:val="4"/>
        <w:spacing w:line="360" w:lineRule="auto"/>
        <w:ind w:firstLine="480" w:firstLineChars="200"/>
        <w:rPr>
          <w:rFonts w:hint="eastAsia" w:ascii="宋体" w:hAnsi="宋体"/>
          <w:color w:val="auto"/>
          <w:sz w:val="24"/>
          <w:szCs w:val="24"/>
          <w:highlight w:val="none"/>
        </w:rPr>
      </w:pPr>
    </w:p>
    <w:p w14:paraId="18D21936">
      <w:pPr>
        <w:pStyle w:val="7"/>
        <w:spacing w:before="156" w:after="156"/>
        <w:ind w:firstLine="540" w:firstLineChars="200"/>
        <w:rPr>
          <w:rFonts w:hint="eastAsia"/>
          <w:color w:val="auto"/>
          <w:highlight w:val="none"/>
        </w:rPr>
      </w:pPr>
      <w:bookmarkStart w:id="30" w:name="_Toc21525504"/>
      <w:bookmarkStart w:id="31" w:name="_Toc2272560"/>
      <w:r>
        <w:rPr>
          <w:rFonts w:hint="eastAsia"/>
          <w:color w:val="auto"/>
          <w:highlight w:val="none"/>
        </w:rPr>
        <w:t>可选办法二（适合综合评分法一，技术标与经济标同时开启）</w:t>
      </w:r>
      <w:bookmarkEnd w:id="30"/>
      <w:bookmarkEnd w:id="31"/>
    </w:p>
    <w:p w14:paraId="01A48F46">
      <w:pPr>
        <w:pStyle w:val="4"/>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．开标和评标程序：</w:t>
      </w:r>
    </w:p>
    <w:p w14:paraId="50140AD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40.1</w:t>
      </w:r>
      <w:r>
        <w:rPr>
          <w:rFonts w:hint="eastAsia" w:ascii="宋体" w:hAnsi="宋体"/>
          <w:color w:val="auto"/>
          <w:sz w:val="24"/>
          <w:szCs w:val="24"/>
          <w:highlight w:val="none"/>
        </w:rPr>
        <w:t>投标人递交技术标、经济标投标文件；</w:t>
      </w:r>
    </w:p>
    <w:p w14:paraId="798B007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40.2</w:t>
      </w:r>
      <w:r>
        <w:rPr>
          <w:rFonts w:hint="eastAsia" w:ascii="宋体" w:hAnsi="宋体"/>
          <w:color w:val="auto"/>
          <w:sz w:val="24"/>
          <w:szCs w:val="24"/>
          <w:highlight w:val="none"/>
        </w:rPr>
        <w:t>技术标与经济标投标文件同时公开开标；</w:t>
      </w:r>
    </w:p>
    <w:p w14:paraId="721336E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14:paraId="2E91F87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40.4</w:t>
      </w:r>
      <w:r>
        <w:rPr>
          <w:rFonts w:hint="eastAsia" w:ascii="宋体" w:hAnsi="宋体"/>
          <w:color w:val="auto"/>
          <w:sz w:val="24"/>
          <w:szCs w:val="24"/>
          <w:highlight w:val="none"/>
        </w:rPr>
        <w:t>技术标投标文件有效性审查；</w:t>
      </w:r>
    </w:p>
    <w:p w14:paraId="3C4B7C5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40.5</w:t>
      </w:r>
      <w:r>
        <w:rPr>
          <w:rFonts w:hint="eastAsia" w:ascii="宋体" w:hAnsi="宋体"/>
          <w:color w:val="auto"/>
          <w:sz w:val="24"/>
          <w:szCs w:val="24"/>
          <w:highlight w:val="none"/>
        </w:rPr>
        <w:t>技术标详细审查评分；</w:t>
      </w:r>
    </w:p>
    <w:p w14:paraId="3D505E0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40.6</w:t>
      </w:r>
      <w:r>
        <w:rPr>
          <w:rFonts w:hint="eastAsia" w:ascii="宋体" w:hAnsi="宋体"/>
          <w:color w:val="auto"/>
          <w:sz w:val="24"/>
          <w:szCs w:val="24"/>
          <w:highlight w:val="none"/>
        </w:rPr>
        <w:t>计算第一阶段得分，并按照总分从高到低排列先后次序，编写第一阶段评审报告；</w:t>
      </w:r>
      <w:r>
        <w:rPr>
          <w:rFonts w:ascii="宋体" w:hAnsi="宋体"/>
          <w:color w:val="auto"/>
          <w:sz w:val="24"/>
          <w:szCs w:val="24"/>
          <w:highlight w:val="none"/>
        </w:rPr>
        <w:t xml:space="preserve"> </w:t>
      </w:r>
    </w:p>
    <w:p w14:paraId="6415899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7按投标须知前附表第25项规定，确定进入第二阶段评审的投标人；</w:t>
      </w:r>
    </w:p>
    <w:p w14:paraId="47F8FE2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8将进入第二阶段评审的投标人进行排序；</w:t>
      </w:r>
    </w:p>
    <w:p w14:paraId="48C3E39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9按排序对经济标投标文件进行有效性审查（含投标报价算术校核），直至评出所有中标候选人；</w:t>
      </w:r>
    </w:p>
    <w:p w14:paraId="3F4BC9E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10评标委员会编写评标报告，向招标人推荐中标候选人名单。</w:t>
      </w:r>
    </w:p>
    <w:p w14:paraId="7600EAE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41. </w:t>
      </w:r>
      <w:r>
        <w:rPr>
          <w:rFonts w:hint="eastAsia" w:ascii="宋体" w:hAnsi="宋体"/>
          <w:color w:val="auto"/>
          <w:sz w:val="24"/>
          <w:szCs w:val="24"/>
          <w:highlight w:val="none"/>
        </w:rPr>
        <w:t>开标细则</w:t>
      </w:r>
    </w:p>
    <w:p w14:paraId="7716340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41.1</w:t>
      </w:r>
      <w:r>
        <w:rPr>
          <w:rFonts w:hint="eastAsia" w:ascii="宋体" w:hAnsi="宋体"/>
          <w:color w:val="auto"/>
          <w:sz w:val="24"/>
          <w:szCs w:val="24"/>
          <w:highlight w:val="none"/>
        </w:rPr>
        <w:t>开标由招标人主持；</w:t>
      </w:r>
    </w:p>
    <w:p w14:paraId="656E9EF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2细则</w:t>
      </w:r>
    </w:p>
    <w:p w14:paraId="1834274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.1</w:t>
      </w:r>
      <w:r>
        <w:rPr>
          <w:rFonts w:hint="eastAsia" w:ascii="宋体" w:hAnsi="宋体"/>
          <w:color w:val="auto"/>
          <w:sz w:val="24"/>
          <w:szCs w:val="24"/>
          <w:highlight w:val="none"/>
        </w:rPr>
        <w:t>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交易平台。有关投标文件提交的事项详见第一章投标须知。</w:t>
      </w:r>
      <w:r>
        <w:rPr>
          <w:rFonts w:ascii="宋体" w:hAnsi="宋体"/>
          <w:color w:val="auto"/>
          <w:sz w:val="24"/>
          <w:szCs w:val="24"/>
          <w:highlight w:val="none"/>
        </w:rPr>
        <w:t xml:space="preserve"> </w:t>
      </w:r>
    </w:p>
    <w:p w14:paraId="5325431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.2</w:t>
      </w:r>
      <w:r>
        <w:rPr>
          <w:rFonts w:hint="eastAsia" w:ascii="宋体" w:hAnsi="宋体"/>
          <w:color w:val="auto"/>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4BD554B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41.3按36.5.1的规定完成解密后，公布下列内容，并予以记录，记录提交评标委员会评审：</w:t>
      </w:r>
      <w:r>
        <w:rPr>
          <w:rFonts w:ascii="宋体" w:hAnsi="宋体"/>
          <w:color w:val="auto"/>
          <w:sz w:val="24"/>
          <w:szCs w:val="24"/>
          <w:highlight w:val="none"/>
        </w:rPr>
        <w:t xml:space="preserve"> </w:t>
      </w:r>
    </w:p>
    <w:p w14:paraId="434B010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开标时，公布：</w:t>
      </w:r>
      <w:r>
        <w:rPr>
          <w:rFonts w:ascii="宋体" w:hAnsi="宋体"/>
          <w:color w:val="auto"/>
          <w:sz w:val="24"/>
          <w:szCs w:val="24"/>
          <w:highlight w:val="none"/>
        </w:rPr>
        <w:t>a</w:t>
      </w:r>
      <w:r>
        <w:rPr>
          <w:rFonts w:hint="eastAsia" w:ascii="宋体" w:hAnsi="宋体"/>
          <w:color w:val="auto"/>
          <w:sz w:val="24"/>
          <w:szCs w:val="24"/>
          <w:highlight w:val="none"/>
        </w:rPr>
        <w:t>、投标人名称；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szCs w:val="24"/>
          <w:highlight w:val="none"/>
        </w:rPr>
        <w:t>密封情况；</w:t>
      </w:r>
      <w:r>
        <w:rPr>
          <w:rFonts w:ascii="宋体" w:hAnsi="宋体"/>
          <w:color w:val="auto"/>
          <w:sz w:val="24"/>
          <w:szCs w:val="24"/>
          <w:highlight w:val="none"/>
        </w:rPr>
        <w:t>c</w:t>
      </w:r>
      <w:r>
        <w:rPr>
          <w:rFonts w:hint="eastAsia" w:ascii="宋体" w:hAnsi="宋体"/>
          <w:color w:val="auto"/>
          <w:sz w:val="24"/>
          <w:szCs w:val="24"/>
          <w:highlight w:val="none"/>
        </w:rPr>
        <w:t>、投标报价；</w:t>
      </w:r>
      <w:r>
        <w:rPr>
          <w:rFonts w:ascii="宋体" w:hAnsi="宋体"/>
          <w:color w:val="auto"/>
          <w:sz w:val="24"/>
          <w:szCs w:val="24"/>
          <w:highlight w:val="none"/>
        </w:rPr>
        <w:t>d</w:t>
      </w:r>
      <w:r>
        <w:rPr>
          <w:rFonts w:hint="eastAsia" w:ascii="宋体" w:hAnsi="宋体"/>
          <w:color w:val="auto"/>
          <w:sz w:val="24"/>
          <w:szCs w:val="24"/>
          <w:highlight w:val="none"/>
        </w:rPr>
        <w:t>、投标保证金；</w:t>
      </w:r>
      <w:r>
        <w:rPr>
          <w:rFonts w:ascii="宋体" w:hAnsi="宋体"/>
          <w:color w:val="auto"/>
          <w:sz w:val="24"/>
          <w:szCs w:val="24"/>
          <w:highlight w:val="none"/>
        </w:rPr>
        <w:t>e</w:t>
      </w:r>
      <w:r>
        <w:rPr>
          <w:rFonts w:hint="eastAsia" w:ascii="宋体" w:hAnsi="宋体"/>
          <w:color w:val="auto"/>
          <w:sz w:val="24"/>
          <w:szCs w:val="24"/>
          <w:highlight w:val="none"/>
        </w:rPr>
        <w:t>、项目经理（负责人）名称；</w:t>
      </w:r>
      <w:r>
        <w:rPr>
          <w:rFonts w:ascii="宋体" w:hAnsi="宋体"/>
          <w:color w:val="auto"/>
          <w:sz w:val="24"/>
          <w:szCs w:val="24"/>
          <w:highlight w:val="none"/>
        </w:rPr>
        <w:t>f</w:t>
      </w:r>
      <w:r>
        <w:rPr>
          <w:rFonts w:hint="eastAsia" w:ascii="宋体" w:hAnsi="宋体"/>
          <w:color w:val="auto"/>
          <w:sz w:val="24"/>
          <w:szCs w:val="24"/>
          <w:highlight w:val="none"/>
        </w:rPr>
        <w:t>、法定代表人证明及授权委托等主要内容及开标记录表中的其他必要内容。投标报价以数字和文字两种方式表述的，应公布文字表述的投标报价。</w:t>
      </w:r>
    </w:p>
    <w:p w14:paraId="0FFDA1E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4招标人对开标过程进行记录，并存档备查，投标人在开标记录上签字。</w:t>
      </w:r>
    </w:p>
    <w:p w14:paraId="7F70D84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5</w:t>
      </w:r>
      <w:r>
        <w:rPr>
          <w:rFonts w:ascii="宋体" w:hAnsi="宋体"/>
          <w:color w:val="auto"/>
          <w:sz w:val="24"/>
          <w:szCs w:val="24"/>
          <w:highlight w:val="none"/>
        </w:rPr>
        <w:t xml:space="preserve"> </w:t>
      </w:r>
      <w:r>
        <w:rPr>
          <w:rFonts w:hint="eastAsia" w:ascii="宋体" w:hAnsi="宋体"/>
          <w:color w:val="auto"/>
          <w:sz w:val="24"/>
          <w:szCs w:val="24"/>
          <w:highlight w:val="none"/>
        </w:rPr>
        <w:t>招标人将上述符合要求的投标文件，送至评标委员会进行评审。</w:t>
      </w:r>
    </w:p>
    <w:p w14:paraId="2E29D7E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42. </w:t>
      </w:r>
      <w:r>
        <w:rPr>
          <w:rFonts w:hint="eastAsia" w:ascii="宋体" w:hAnsi="宋体"/>
          <w:color w:val="auto"/>
          <w:sz w:val="24"/>
          <w:szCs w:val="24"/>
          <w:highlight w:val="none"/>
        </w:rPr>
        <w:t>评标细则</w:t>
      </w:r>
    </w:p>
    <w:p w14:paraId="0C31606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42.1评标委员会的组成：方式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79B0C73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方式一：评标委员会为综合评标委员会，负责评标工作。</w:t>
      </w:r>
    </w:p>
    <w:p w14:paraId="00A20779">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olor w:val="auto"/>
          <w:sz w:val="24"/>
          <w:szCs w:val="24"/>
          <w:highlight w:val="none"/>
        </w:rPr>
        <w:t>方式二：评标委员会由技术评审组和经济评审组组成。其中：资格审查、技术评审由技术评标组负责，经济评审由经济评审组负责。</w:t>
      </w:r>
      <w:r>
        <w:rPr>
          <w:rFonts w:hint="eastAsia" w:ascii="宋体" w:hAnsi="宋体" w:cs="宋体"/>
          <w:color w:val="auto"/>
          <w:kern w:val="0"/>
          <w:sz w:val="24"/>
          <w:szCs w:val="24"/>
          <w:highlight w:val="none"/>
        </w:rPr>
        <w:t xml:space="preserve"> </w:t>
      </w:r>
    </w:p>
    <w:p w14:paraId="48A72F38">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14:paraId="411BC8C1">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4BA2E36B">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14:paraId="419AD32F">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14:paraId="364BCE2B">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5190C2FD">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14:paraId="7DC73D47">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p>
    <w:p w14:paraId="70EDF3E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 第一阶段评审</w:t>
      </w:r>
    </w:p>
    <w:p w14:paraId="55FA3C3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72F8C90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42.3.2通过技术标有效性审查的投标人均进入第二阶段，评标委员会编写第一阶段评审报告。（适用于通过技术标有效性审查的投标人家数小于等于前附表第25项的规定进入第二阶段评审家数的）</w:t>
      </w:r>
    </w:p>
    <w:p w14:paraId="6424438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3.3技术标详细审查评分：评标委员会按照本办法附表四《技术标详细审查评分表》对通过技术标有效性审查的投标文件技术标进行详细审查，评出技术分。（适用于通过技术标有效性审查的投标人家数大于前附表第25项的规定进入第二阶段评审家数的）</w:t>
      </w:r>
    </w:p>
    <w:p w14:paraId="409A8F7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42.3.4评标委员会按照“第一阶段得分=技术分（满分为100分）×技术分权重+综合诚信评价分数×综合诚信评价得分权重”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14:paraId="775EEDC6">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42.3.5招标人应在《投标须知前附表》中明确选择使用施工企业总排名或相应的施工专业承包排名计分。</w:t>
      </w:r>
    </w:p>
    <w:p w14:paraId="6FA79ED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w:t>
      </w:r>
      <w:r>
        <w:rPr>
          <w:rFonts w:hint="eastAsia" w:ascii="宋体" w:hAnsi="宋体"/>
          <w:color w:val="auto"/>
          <w:sz w:val="24"/>
          <w:szCs w:val="24"/>
          <w:highlight w:val="none"/>
        </w:rPr>
        <w:t xml:space="preserve"> 第二阶段评审</w:t>
      </w:r>
    </w:p>
    <w:p w14:paraId="5B56174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42.4.1</w:t>
      </w:r>
      <w:r>
        <w:rPr>
          <w:rFonts w:hint="eastAsia" w:ascii="宋体" w:hAnsi="宋体"/>
          <w:color w:val="auto"/>
          <w:sz w:val="24"/>
          <w:szCs w:val="24"/>
          <w:highlight w:val="none"/>
        </w:rPr>
        <w:t>按照投标须知前附表第25项规定，确定进入第二阶段评审的投标人，若在进入第二阶段的最后名次发生并列的，则所有并列的投标人均进入第二阶段。</w:t>
      </w:r>
    </w:p>
    <w:p w14:paraId="15A2AAC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42.4.2并将第二阶段投标人按投标须知前附表第</w:t>
      </w:r>
      <w:r>
        <w:rPr>
          <w:rFonts w:ascii="宋体" w:hAnsi="宋体"/>
          <w:color w:val="auto"/>
          <w:sz w:val="24"/>
          <w:szCs w:val="24"/>
          <w:highlight w:val="none"/>
        </w:rPr>
        <w:t>3</w:t>
      </w:r>
      <w:r>
        <w:rPr>
          <w:rFonts w:hint="eastAsia" w:ascii="宋体" w:hAnsi="宋体"/>
          <w:color w:val="auto"/>
          <w:sz w:val="24"/>
          <w:szCs w:val="24"/>
          <w:highlight w:val="none"/>
        </w:rPr>
        <w:t>0项规定的方法进行排序。</w:t>
      </w:r>
    </w:p>
    <w:p w14:paraId="7055108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42.4.3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180B999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4.4经济标的算术校核。评标委员会对进行经济标有效性审查的投标文件投标报价按照就低不就高的原则进行算术校核，具体标准如下：</w:t>
      </w:r>
    </w:p>
    <w:p w14:paraId="1F4525C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4.4.1如果数字表示的金额和用文字表示的金额不一致时，应以文字表示的金额为准；</w:t>
      </w:r>
    </w:p>
    <w:p w14:paraId="28A3900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4.4.2经算术复核的投标人报价与其投标报价不一致时，按就低不就高原则确定其最终报价；</w:t>
      </w:r>
    </w:p>
    <w:p w14:paraId="2CD0C00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64504DA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78B9A3A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61E63B1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164614C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128B2FB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以上修正不影响按步骤42.3.3确定的投标人第二阶段排序。</w:t>
      </w:r>
    </w:p>
    <w:p w14:paraId="37EE5D7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50F24B8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6评标委员会应在通过投标文件经济标有效性审查的投标人中，按步骤42.4确定的投标人第二阶段排序，推荐前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14:paraId="3A3DD836">
      <w:pPr>
        <w:pStyle w:val="4"/>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7若通过经济标有效性审查的投标人不足三家，应当依法重新招标。（当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14:paraId="754518AF">
      <w:pPr>
        <w:pStyle w:val="7"/>
        <w:ind w:firstLine="540" w:firstLineChars="200"/>
        <w:rPr>
          <w:rFonts w:hint="eastAsia"/>
          <w:color w:val="auto"/>
          <w:highlight w:val="none"/>
        </w:rPr>
      </w:pPr>
      <w:bookmarkStart w:id="32" w:name="_Toc21525505"/>
      <w:r>
        <w:rPr>
          <w:rFonts w:hint="eastAsia"/>
          <w:color w:val="auto"/>
          <w:highlight w:val="none"/>
        </w:rPr>
        <w:t>可选办法三（适合综合评分法二，技术标与经济标先后分别开启）</w:t>
      </w:r>
      <w:bookmarkEnd w:id="32"/>
    </w:p>
    <w:p w14:paraId="2AB2204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．开标和评标程序：</w:t>
      </w:r>
    </w:p>
    <w:p w14:paraId="7AB5948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40.1</w:t>
      </w:r>
      <w:r>
        <w:rPr>
          <w:rFonts w:hint="eastAsia" w:ascii="宋体" w:hAnsi="宋体"/>
          <w:color w:val="auto"/>
          <w:sz w:val="24"/>
          <w:szCs w:val="24"/>
          <w:highlight w:val="none"/>
        </w:rPr>
        <w:t>投标人递交技术标、经济标投标文件；</w:t>
      </w:r>
    </w:p>
    <w:p w14:paraId="31800F2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40.2</w:t>
      </w:r>
      <w:r>
        <w:rPr>
          <w:rFonts w:hint="eastAsia" w:ascii="宋体" w:hAnsi="宋体"/>
          <w:color w:val="auto"/>
          <w:sz w:val="24"/>
          <w:szCs w:val="24"/>
          <w:highlight w:val="none"/>
        </w:rPr>
        <w:t>技术标投标文件公开开标；</w:t>
      </w:r>
    </w:p>
    <w:p w14:paraId="4395ED0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14:paraId="4D6628C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40.4</w:t>
      </w:r>
      <w:r>
        <w:rPr>
          <w:rFonts w:hint="eastAsia" w:ascii="宋体" w:hAnsi="宋体"/>
          <w:color w:val="auto"/>
          <w:sz w:val="24"/>
          <w:szCs w:val="24"/>
          <w:highlight w:val="none"/>
        </w:rPr>
        <w:t>技术标投标文件有效性审查；</w:t>
      </w:r>
    </w:p>
    <w:p w14:paraId="7490494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40.5</w:t>
      </w:r>
      <w:r>
        <w:rPr>
          <w:rFonts w:hint="eastAsia" w:ascii="宋体" w:hAnsi="宋体"/>
          <w:color w:val="auto"/>
          <w:sz w:val="24"/>
          <w:szCs w:val="24"/>
          <w:highlight w:val="none"/>
        </w:rPr>
        <w:t>技术标详细审查评分；</w:t>
      </w:r>
    </w:p>
    <w:p w14:paraId="2C31931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40.6</w:t>
      </w:r>
      <w:r>
        <w:rPr>
          <w:rFonts w:hint="eastAsia" w:ascii="宋体" w:hAnsi="宋体"/>
          <w:color w:val="auto"/>
          <w:sz w:val="24"/>
          <w:szCs w:val="24"/>
          <w:highlight w:val="none"/>
        </w:rPr>
        <w:t>计算第一阶段得分，并按照总分从高到低排列先后次序，编写第一阶段评审报告；</w:t>
      </w:r>
      <w:r>
        <w:rPr>
          <w:rFonts w:ascii="宋体" w:hAnsi="宋体"/>
          <w:color w:val="auto"/>
          <w:sz w:val="24"/>
          <w:szCs w:val="24"/>
          <w:highlight w:val="none"/>
        </w:rPr>
        <w:t xml:space="preserve"> </w:t>
      </w:r>
    </w:p>
    <w:p w14:paraId="70AED68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7对通过技术标有效性审查的经济标投标文件公开开标；</w:t>
      </w:r>
    </w:p>
    <w:p w14:paraId="1318C47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8按投标须知前附表第25项规定，确定进入第二阶段评审的投标人；</w:t>
      </w:r>
    </w:p>
    <w:p w14:paraId="2EE2E38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9将进入第二阶段评审的投标人进行排序；</w:t>
      </w:r>
    </w:p>
    <w:p w14:paraId="3C7F6CD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10按排序对经济标投标文件进行有效性审查（含投标报价算术校核），直至评出所有中标候选人；</w:t>
      </w:r>
    </w:p>
    <w:p w14:paraId="4905447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11评标委员会编写评标报告，向招标人推荐中标候选人名单。</w:t>
      </w:r>
    </w:p>
    <w:p w14:paraId="6D400B6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41. </w:t>
      </w:r>
      <w:r>
        <w:rPr>
          <w:rFonts w:hint="eastAsia" w:ascii="宋体" w:hAnsi="宋体"/>
          <w:color w:val="auto"/>
          <w:sz w:val="24"/>
          <w:szCs w:val="24"/>
          <w:highlight w:val="none"/>
        </w:rPr>
        <w:t>开标细则</w:t>
      </w:r>
    </w:p>
    <w:p w14:paraId="32E835E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41.1</w:t>
      </w:r>
      <w:r>
        <w:rPr>
          <w:rFonts w:hint="eastAsia" w:ascii="宋体" w:hAnsi="宋体"/>
          <w:color w:val="auto"/>
          <w:sz w:val="24"/>
          <w:szCs w:val="24"/>
          <w:highlight w:val="none"/>
        </w:rPr>
        <w:t>开标由招标人主持；</w:t>
      </w:r>
    </w:p>
    <w:p w14:paraId="3A9ACD9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2细则</w:t>
      </w:r>
    </w:p>
    <w:p w14:paraId="048A0C3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.1</w:t>
      </w:r>
      <w:r>
        <w:rPr>
          <w:rFonts w:hint="eastAsia" w:ascii="宋体" w:hAnsi="宋体"/>
          <w:color w:val="auto"/>
          <w:sz w:val="24"/>
          <w:szCs w:val="24"/>
          <w:highlight w:val="none"/>
        </w:rPr>
        <w:t>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交易平台。有关投标文件提交的事项详见第一章投标须知。</w:t>
      </w:r>
      <w:r>
        <w:rPr>
          <w:rFonts w:ascii="宋体" w:hAnsi="宋体"/>
          <w:color w:val="auto"/>
          <w:sz w:val="24"/>
          <w:szCs w:val="24"/>
          <w:highlight w:val="none"/>
        </w:rPr>
        <w:t xml:space="preserve"> </w:t>
      </w:r>
    </w:p>
    <w:p w14:paraId="00AA140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.2</w:t>
      </w:r>
      <w:r>
        <w:rPr>
          <w:rFonts w:hint="eastAsia" w:ascii="宋体" w:hAnsi="宋体"/>
          <w:color w:val="auto"/>
          <w:sz w:val="24"/>
          <w:szCs w:val="24"/>
          <w:highlight w:val="none"/>
        </w:rPr>
        <w:t>先开技术标；</w:t>
      </w:r>
    </w:p>
    <w:p w14:paraId="10AFEA0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.3</w:t>
      </w:r>
      <w:r>
        <w:rPr>
          <w:rFonts w:hint="eastAsia" w:ascii="宋体" w:hAnsi="宋体"/>
          <w:color w:val="auto"/>
          <w:sz w:val="24"/>
          <w:szCs w:val="24"/>
          <w:highlight w:val="none"/>
        </w:rPr>
        <w:t>对通过技术标有效性审查的投标人开启其经济标投标文件；</w:t>
      </w:r>
    </w:p>
    <w:p w14:paraId="5B45B48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41.2.4 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510F4C2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41.3按36.5.1的规定完成解密后，公布下列内容，并予以记录，记录提交评标委员会评审：</w:t>
      </w:r>
      <w:r>
        <w:rPr>
          <w:rFonts w:ascii="宋体" w:hAnsi="宋体"/>
          <w:color w:val="auto"/>
          <w:sz w:val="24"/>
          <w:szCs w:val="24"/>
          <w:highlight w:val="none"/>
        </w:rPr>
        <w:t xml:space="preserve"> </w:t>
      </w:r>
    </w:p>
    <w:p w14:paraId="22DE15A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3</w:t>
      </w:r>
      <w:r>
        <w:rPr>
          <w:rFonts w:ascii="宋体" w:hAnsi="宋体"/>
          <w:color w:val="auto"/>
          <w:sz w:val="24"/>
          <w:szCs w:val="24"/>
          <w:highlight w:val="none"/>
        </w:rPr>
        <w:t xml:space="preserve">.1 </w:t>
      </w:r>
      <w:r>
        <w:rPr>
          <w:rFonts w:hint="eastAsia" w:ascii="宋体" w:hAnsi="宋体"/>
          <w:color w:val="auto"/>
          <w:sz w:val="24"/>
          <w:szCs w:val="24"/>
          <w:highlight w:val="none"/>
        </w:rPr>
        <w:t>技术标开标时，公布：</w:t>
      </w:r>
      <w:r>
        <w:rPr>
          <w:rFonts w:ascii="宋体" w:hAnsi="宋体"/>
          <w:color w:val="auto"/>
          <w:sz w:val="24"/>
          <w:szCs w:val="24"/>
          <w:highlight w:val="none"/>
        </w:rPr>
        <w:t>a</w:t>
      </w:r>
      <w:r>
        <w:rPr>
          <w:rFonts w:hint="eastAsia" w:ascii="宋体" w:hAnsi="宋体"/>
          <w:color w:val="auto"/>
          <w:sz w:val="24"/>
          <w:szCs w:val="24"/>
          <w:highlight w:val="none"/>
        </w:rPr>
        <w:t>、投标人名称；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szCs w:val="24"/>
          <w:highlight w:val="none"/>
        </w:rPr>
        <w:t>密封情况；</w:t>
      </w:r>
      <w:r>
        <w:rPr>
          <w:rFonts w:ascii="宋体" w:hAnsi="宋体"/>
          <w:color w:val="auto"/>
          <w:sz w:val="24"/>
          <w:szCs w:val="24"/>
          <w:highlight w:val="none"/>
        </w:rPr>
        <w:t>c</w:t>
      </w:r>
      <w:r>
        <w:rPr>
          <w:rFonts w:hint="eastAsia" w:ascii="宋体" w:hAnsi="宋体"/>
          <w:color w:val="auto"/>
          <w:sz w:val="24"/>
          <w:szCs w:val="24"/>
          <w:highlight w:val="none"/>
        </w:rPr>
        <w:t>、法定代表人证明及授权委托；</w:t>
      </w:r>
      <w:r>
        <w:rPr>
          <w:rFonts w:ascii="宋体" w:hAnsi="宋体"/>
          <w:color w:val="auto"/>
          <w:sz w:val="24"/>
          <w:szCs w:val="24"/>
          <w:highlight w:val="none"/>
        </w:rPr>
        <w:t>d</w:t>
      </w:r>
      <w:r>
        <w:rPr>
          <w:rFonts w:hint="eastAsia" w:ascii="宋体" w:hAnsi="宋体"/>
          <w:color w:val="auto"/>
          <w:sz w:val="24"/>
          <w:szCs w:val="24"/>
          <w:highlight w:val="none"/>
        </w:rPr>
        <w:t>、投标保证金；</w:t>
      </w:r>
      <w:r>
        <w:rPr>
          <w:rFonts w:ascii="宋体" w:hAnsi="宋体"/>
          <w:color w:val="auto"/>
          <w:sz w:val="24"/>
          <w:szCs w:val="24"/>
          <w:highlight w:val="none"/>
        </w:rPr>
        <w:t>e</w:t>
      </w:r>
      <w:r>
        <w:rPr>
          <w:rFonts w:hint="eastAsia" w:ascii="宋体" w:hAnsi="宋体"/>
          <w:color w:val="auto"/>
          <w:sz w:val="24"/>
          <w:szCs w:val="24"/>
          <w:highlight w:val="none"/>
        </w:rPr>
        <w:t>、项目经理（负责人）名称等主要内容以及开标记录表中的其他必要内容。</w:t>
      </w:r>
    </w:p>
    <w:p w14:paraId="417F082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3</w:t>
      </w:r>
      <w:r>
        <w:rPr>
          <w:rFonts w:ascii="宋体" w:hAnsi="宋体"/>
          <w:color w:val="auto"/>
          <w:sz w:val="24"/>
          <w:szCs w:val="24"/>
          <w:highlight w:val="none"/>
        </w:rPr>
        <w:t xml:space="preserve">.2 </w:t>
      </w:r>
      <w:r>
        <w:rPr>
          <w:rFonts w:hint="eastAsia" w:ascii="宋体" w:hAnsi="宋体"/>
          <w:color w:val="auto"/>
          <w:sz w:val="24"/>
          <w:szCs w:val="24"/>
          <w:highlight w:val="none"/>
        </w:rPr>
        <w:t>经济标开标前，首先公布技术标通过有效性审查的投标人，招标人依次开启通过技术标有效性审查的投标人的经济标。开标时，公布：</w:t>
      </w:r>
      <w:r>
        <w:rPr>
          <w:rFonts w:ascii="宋体" w:hAnsi="宋体"/>
          <w:color w:val="auto"/>
          <w:sz w:val="24"/>
          <w:szCs w:val="24"/>
          <w:highlight w:val="none"/>
        </w:rPr>
        <w:t>a</w:t>
      </w:r>
      <w:r>
        <w:rPr>
          <w:rFonts w:hint="eastAsia" w:ascii="宋体" w:hAnsi="宋体"/>
          <w:color w:val="auto"/>
          <w:sz w:val="24"/>
          <w:szCs w:val="24"/>
          <w:highlight w:val="none"/>
        </w:rPr>
        <w:t>、投标人名称；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szCs w:val="24"/>
          <w:highlight w:val="none"/>
        </w:rPr>
        <w:t>密封情况；</w:t>
      </w:r>
      <w:r>
        <w:rPr>
          <w:rFonts w:ascii="宋体" w:hAnsi="宋体"/>
          <w:color w:val="auto"/>
          <w:sz w:val="24"/>
          <w:szCs w:val="24"/>
          <w:highlight w:val="none"/>
        </w:rPr>
        <w:t>c</w:t>
      </w:r>
      <w:r>
        <w:rPr>
          <w:rFonts w:hint="eastAsia" w:ascii="宋体" w:hAnsi="宋体"/>
          <w:color w:val="auto"/>
          <w:sz w:val="24"/>
          <w:szCs w:val="24"/>
          <w:highlight w:val="none"/>
        </w:rPr>
        <w:t>、投标报价等主要内容以及开标记录表中的其他必要内容。投标报价以数字和文字两种方式表述的，应公布文字表述的投标报价。</w:t>
      </w:r>
    </w:p>
    <w:p w14:paraId="5BC5E92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4招标人对开标过程进行记录，并存档备查，投标人在开标记录上签字。</w:t>
      </w:r>
    </w:p>
    <w:p w14:paraId="3909F94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5</w:t>
      </w:r>
      <w:r>
        <w:rPr>
          <w:rFonts w:ascii="宋体" w:hAnsi="宋体"/>
          <w:color w:val="auto"/>
          <w:sz w:val="24"/>
          <w:szCs w:val="24"/>
          <w:highlight w:val="none"/>
        </w:rPr>
        <w:t xml:space="preserve"> </w:t>
      </w:r>
      <w:r>
        <w:rPr>
          <w:rFonts w:hint="eastAsia" w:ascii="宋体" w:hAnsi="宋体"/>
          <w:color w:val="auto"/>
          <w:sz w:val="24"/>
          <w:szCs w:val="24"/>
          <w:highlight w:val="none"/>
        </w:rPr>
        <w:t>招标人将上述符合要求的投标文件，送至评标委员会进行评审。</w:t>
      </w:r>
    </w:p>
    <w:p w14:paraId="7F16352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42. </w:t>
      </w:r>
      <w:r>
        <w:rPr>
          <w:rFonts w:hint="eastAsia" w:ascii="宋体" w:hAnsi="宋体"/>
          <w:color w:val="auto"/>
          <w:sz w:val="24"/>
          <w:szCs w:val="24"/>
          <w:highlight w:val="none"/>
        </w:rPr>
        <w:t>评标细则</w:t>
      </w:r>
    </w:p>
    <w:p w14:paraId="433336F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42.1评标委员会的组成：方式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3B10184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方式一：评标委员会为综合评标委员会，负责评标工作。</w:t>
      </w:r>
    </w:p>
    <w:p w14:paraId="7407574B">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olor w:val="auto"/>
          <w:sz w:val="24"/>
          <w:szCs w:val="24"/>
          <w:highlight w:val="none"/>
        </w:rPr>
        <w:t>方式二：评标委员会由技术评审组和经济评审组组成。其中：资格审查、技术评审由技术评标组负责，经济评审由经济评审组负责。</w:t>
      </w:r>
      <w:r>
        <w:rPr>
          <w:rFonts w:hint="eastAsia" w:ascii="宋体" w:hAnsi="宋体" w:cs="宋体"/>
          <w:color w:val="auto"/>
          <w:kern w:val="0"/>
          <w:sz w:val="24"/>
          <w:szCs w:val="24"/>
          <w:highlight w:val="none"/>
        </w:rPr>
        <w:t xml:space="preserve"> </w:t>
      </w:r>
    </w:p>
    <w:p w14:paraId="6D8208CE">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14:paraId="1F8F0EFE">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11034D5F">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14:paraId="315B5B00">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14:paraId="0385F7C0">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6E301708">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14:paraId="748CA796">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p>
    <w:p w14:paraId="543137C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 第一阶段评审</w:t>
      </w:r>
    </w:p>
    <w:p w14:paraId="6F45C87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6C15329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42.3.2通过技术标有效性审查的投标人均进入第二阶段，评标委员会编写第一阶段评审报告。（适用于通过技术标有效性审查的投标人家数小于等于前附表第25项的规定进入第二阶段评审家数的）</w:t>
      </w:r>
    </w:p>
    <w:p w14:paraId="49E6020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42.3.3技术标详细审查评分：评标委员会按照本办法附表四《技术标详细审查评分表》对通过技术标有效性审查的投标文件技术标进行详细审查，评出技术分。（适用于通过技术标有效性审查的投标人家数大于前附表第25项的规定进入第二阶段评审家数的）</w:t>
      </w:r>
    </w:p>
    <w:p w14:paraId="3E0943F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42.3.4评标委员会按照“第一阶段得分=技术分（满分为100分）×技术分权重+综合诚信评价分数×综合诚信评价得分权重”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14:paraId="4D483FF4">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42.3.5招标人应在《投标须知前附表》中明确选择使用施工企业总排名或相应的施工专业承包排名计分。</w:t>
      </w:r>
    </w:p>
    <w:p w14:paraId="491E5F6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w:t>
      </w:r>
      <w:r>
        <w:rPr>
          <w:rFonts w:hint="eastAsia" w:ascii="宋体" w:hAnsi="宋体"/>
          <w:color w:val="auto"/>
          <w:sz w:val="24"/>
          <w:szCs w:val="24"/>
          <w:highlight w:val="none"/>
        </w:rPr>
        <w:t xml:space="preserve"> 第二阶段评审</w:t>
      </w:r>
    </w:p>
    <w:p w14:paraId="2BFF022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42.4.1</w:t>
      </w:r>
      <w:r>
        <w:rPr>
          <w:rFonts w:hint="eastAsia" w:ascii="宋体" w:hAnsi="宋体"/>
          <w:color w:val="auto"/>
          <w:sz w:val="24"/>
          <w:szCs w:val="24"/>
          <w:highlight w:val="none"/>
        </w:rPr>
        <w:t>开启经济标后，按照投标须知前附表第25项规定，确定进入第二阶段评审的投标人。若在进入第二阶段的最后名次发生并列的，则所有并列的投标人均进入第二阶段。</w:t>
      </w:r>
    </w:p>
    <w:p w14:paraId="297CBBA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42.4.2投标文件经济标的评分</w:t>
      </w:r>
    </w:p>
    <w:p w14:paraId="27DEF065">
      <w:pPr>
        <w:widowControl/>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42.4.2.1计算评标参考价</w:t>
      </w:r>
    </w:p>
    <w:p w14:paraId="1A026891">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14:paraId="19B964A1">
      <w:pPr>
        <w:widowControl/>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6392E5CA">
      <w:pPr>
        <w:widowControl/>
        <w:snapToGrid w:val="0"/>
        <w:spacing w:line="360" w:lineRule="auto"/>
        <w:ind w:firstLine="480" w:firstLineChars="200"/>
        <w:rPr>
          <w:rFonts w:hint="eastAsia"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6666EDAA">
      <w:pPr>
        <w:widowControl/>
        <w:snapToGrid w:val="0"/>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25F8DA7E">
      <w:pPr>
        <w:spacing w:line="360" w:lineRule="auto"/>
        <w:ind w:firstLine="480" w:firstLineChars="200"/>
        <w:rPr>
          <w:rFonts w:hint="eastAsia"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 xml:space="preserve">：为最高投标限价    </w:t>
      </w:r>
    </w:p>
    <w:p w14:paraId="2E38404D">
      <w:pPr>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35F73FDC">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42.4.2.2</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788C9F7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42.4.2.3评标委员会按照各投标人的经济分从高到低排列先后次序。经济分相同的投标文件，按投标须知前附表第31项的规定确定排序。</w:t>
      </w:r>
    </w:p>
    <w:p w14:paraId="000D21D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42.4.3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4E0BCB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4.4经济标的算术校核。评标委员会对进行经济标有效性审查的投标文件投标报价按照就低不就高的原则进行算术校核，具体标准如下：</w:t>
      </w:r>
    </w:p>
    <w:p w14:paraId="16AF3DF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4.4.1如果数字表示的金额和用文字表示的金额不一致时，应以文字表示的金额为准；</w:t>
      </w:r>
    </w:p>
    <w:p w14:paraId="28890A1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4.4.2经算术复核的投标人报价与其投标报价不一致时，按就低不就高原则确定其最终报价；</w:t>
      </w:r>
    </w:p>
    <w:p w14:paraId="30B1081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673E3AF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3E28E9A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684ADAD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5CB5899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6CE1FD9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203991A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5243903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6评标委员会应在通过投标文件经济标有效性审查的投标人中，按步骤42.4确定的投标人第二阶段排序，推荐前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14:paraId="750B5E0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7若通过经济标有效性审查的投标人不足三家，应当依法重新招标。（当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14:paraId="29A3C537">
      <w:pPr>
        <w:pStyle w:val="8"/>
        <w:spacing w:line="360" w:lineRule="auto"/>
        <w:ind w:firstLine="480" w:firstLineChars="200"/>
        <w:rPr>
          <w:rFonts w:hint="eastAsia" w:ascii="宋体" w:hAnsi="宋体"/>
          <w:color w:val="auto"/>
          <w:sz w:val="24"/>
          <w:szCs w:val="24"/>
          <w:highlight w:val="none"/>
        </w:rPr>
      </w:pPr>
    </w:p>
    <w:p w14:paraId="261595DA">
      <w:pPr>
        <w:pStyle w:val="7"/>
        <w:spacing w:before="156" w:after="156"/>
        <w:ind w:firstLine="540" w:firstLineChars="200"/>
        <w:rPr>
          <w:rFonts w:hint="eastAsia"/>
          <w:color w:val="auto"/>
          <w:highlight w:val="none"/>
        </w:rPr>
      </w:pPr>
      <w:bookmarkStart w:id="33" w:name="_Toc2272561"/>
      <w:bookmarkStart w:id="34" w:name="_Toc21525506"/>
      <w:r>
        <w:rPr>
          <w:rFonts w:hint="eastAsia"/>
          <w:color w:val="auto"/>
          <w:highlight w:val="none"/>
        </w:rPr>
        <w:t>可选办法四（适合综合评分法二，技术标与经济标同时开启）</w:t>
      </w:r>
      <w:bookmarkEnd w:id="33"/>
      <w:bookmarkEnd w:id="34"/>
    </w:p>
    <w:p w14:paraId="3FF7062D">
      <w:pPr>
        <w:pStyle w:val="4"/>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40．开标和评标程序：</w:t>
      </w:r>
    </w:p>
    <w:p w14:paraId="28CDA9C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40.1投标人递交技术标、经济标投标文件；</w:t>
      </w:r>
    </w:p>
    <w:p w14:paraId="67129BC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40.2技术标与经济标投标文件同时公开开标；</w:t>
      </w:r>
    </w:p>
    <w:p w14:paraId="5F2C3FA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14:paraId="02CA051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40.4技术标投标文件有效性审查；</w:t>
      </w:r>
    </w:p>
    <w:p w14:paraId="126AD9E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40.5技术标详细审查评分；</w:t>
      </w:r>
    </w:p>
    <w:p w14:paraId="698E3C1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40.6计算第一阶段得分，并按照总分从高到低排列先后次序，编写第一阶段评审报告； </w:t>
      </w:r>
    </w:p>
    <w:p w14:paraId="1900E29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40.7按投标须知前附表第25项规定，确定进入第二阶段评审的投标人；</w:t>
      </w:r>
    </w:p>
    <w:p w14:paraId="354E109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40.8将进入第二阶段评审的投标人进行排序；</w:t>
      </w:r>
    </w:p>
    <w:p w14:paraId="25592AD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40.9按排序对经济标投标文件进行有效性审查（含投标报价算术校核），直至评出所有中标候选人；</w:t>
      </w:r>
    </w:p>
    <w:p w14:paraId="285FD1D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40.10评标委员会编写评标报告，向招标人推荐中标候选人名单。</w:t>
      </w:r>
    </w:p>
    <w:p w14:paraId="6A74324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 开标细则</w:t>
      </w:r>
    </w:p>
    <w:p w14:paraId="7A187EE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41.1开标由招标人主持；</w:t>
      </w:r>
    </w:p>
    <w:p w14:paraId="61DAD07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41.2细则</w:t>
      </w:r>
    </w:p>
    <w:p w14:paraId="4CA77C6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41.2.1投标截止期前，各投标人递交投标文件（包括技术标投标文件、经济标投标文件）至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 xml:space="preserve">交易平台。有关投标文件提交的事项详见第一章投标须知。 </w:t>
      </w:r>
    </w:p>
    <w:p w14:paraId="6ACCB6B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BA5D93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41.3按36.5.1的规定完成解密后，公布下列内容，并予以记录，记录提交评标委员会评审： </w:t>
      </w:r>
    </w:p>
    <w:p w14:paraId="69DBE08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41.3.1开标时，公布：a、投标人名称；b、</w:t>
      </w:r>
      <w:r>
        <w:rPr>
          <w:rFonts w:hint="eastAsia" w:ascii="宋体" w:hAnsi="宋体"/>
          <w:color w:val="auto"/>
          <w:sz w:val="24"/>
          <w:highlight w:val="none"/>
        </w:rPr>
        <w:t>投标文件</w:t>
      </w:r>
      <w:r>
        <w:rPr>
          <w:rFonts w:hint="eastAsia" w:ascii="宋体" w:hAns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14:paraId="761D470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41.4招标人对开标过程进行记录，并存档备查，投标人在开标记录上签字。</w:t>
      </w:r>
    </w:p>
    <w:p w14:paraId="6699139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41.5 招标人将上述符合要求的投标文件，送至评标委员会进行评审。</w:t>
      </w:r>
    </w:p>
    <w:p w14:paraId="777E054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42. </w:t>
      </w:r>
      <w:r>
        <w:rPr>
          <w:rFonts w:hint="eastAsia" w:ascii="宋体" w:hAnsi="宋体"/>
          <w:color w:val="auto"/>
          <w:sz w:val="24"/>
          <w:szCs w:val="24"/>
          <w:highlight w:val="none"/>
        </w:rPr>
        <w:t>评标细则</w:t>
      </w:r>
    </w:p>
    <w:p w14:paraId="1CD9EC9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42.1评标委员会的组成：方式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6C5C665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方式一：评标委员会为综合评标委员会，负责评标工作。</w:t>
      </w:r>
    </w:p>
    <w:p w14:paraId="27D85418">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olor w:val="auto"/>
          <w:sz w:val="24"/>
          <w:szCs w:val="24"/>
          <w:highlight w:val="none"/>
        </w:rPr>
        <w:t>方式二：评标委员会由技术评审组和经济评审组组成。其中：资格审查、技术评审由技术评标组负责，经济评审由经济评审组负责。</w:t>
      </w:r>
      <w:r>
        <w:rPr>
          <w:rFonts w:hint="eastAsia" w:ascii="宋体" w:hAnsi="宋体" w:cs="宋体"/>
          <w:color w:val="auto"/>
          <w:kern w:val="0"/>
          <w:sz w:val="24"/>
          <w:szCs w:val="24"/>
          <w:highlight w:val="none"/>
        </w:rPr>
        <w:t xml:space="preserve"> </w:t>
      </w:r>
    </w:p>
    <w:p w14:paraId="64307D2B">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14:paraId="61243BBE">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6806AA8E">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14:paraId="4A6FEBFE">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14:paraId="568176B0">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3DD5A056">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14:paraId="5B27B0DB">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p>
    <w:p w14:paraId="7CA5F31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 第一阶段评审</w:t>
      </w:r>
    </w:p>
    <w:p w14:paraId="45D6B04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45F39F6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42.3.2通过技术标有效性审查的投标人均进入第二阶段，评标委员会编写第一阶段评审报告。（适用于通过技术标有效性审查的投标人家数小于等于前附表第25项的规定进入第二阶段评审家数的）</w:t>
      </w:r>
    </w:p>
    <w:p w14:paraId="6228814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42.3.3技术标详细审查评分：评标委员会按照本办法附表四《技术标详细审查评分表》对通过技术标有效性审查的投标文件技术标进行详细审查，评出技术分。（适用于通过技术标有效性审查的投标人家数大于前附表第25项的规定进入第二阶段评审家数的）</w:t>
      </w:r>
    </w:p>
    <w:p w14:paraId="336FA3B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42.3.4评标委员会按照“第一阶段得分=技术分（满分为100分）×技术分权重+综合诚信评价分数×综合诚信评价得分权重”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14:paraId="0E88691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42.3.5招标人应在《投标须知前附表》中明确选择使用施工企业总排名或相应的施工专业承包排名计分。</w:t>
      </w:r>
    </w:p>
    <w:p w14:paraId="2305E22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w:t>
      </w:r>
      <w:r>
        <w:rPr>
          <w:rFonts w:hint="eastAsia" w:ascii="宋体" w:hAnsi="宋体"/>
          <w:color w:val="auto"/>
          <w:sz w:val="24"/>
          <w:szCs w:val="24"/>
          <w:highlight w:val="none"/>
        </w:rPr>
        <w:t xml:space="preserve"> 第二阶段评审</w:t>
      </w:r>
    </w:p>
    <w:p w14:paraId="0570478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42.4.1</w:t>
      </w:r>
      <w:r>
        <w:rPr>
          <w:rFonts w:hint="eastAsia" w:ascii="宋体" w:hAnsi="宋体"/>
          <w:color w:val="auto"/>
          <w:sz w:val="24"/>
          <w:szCs w:val="24"/>
          <w:highlight w:val="none"/>
        </w:rPr>
        <w:t>按照投标须知前附表第25项规定，确定进入第二阶段评审的投标人。若在进入第二阶段的最后名次发生并列的，则所有并列的投标人均进入第二阶段。</w:t>
      </w:r>
    </w:p>
    <w:p w14:paraId="5190D01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42.4.2投标文件经济标的评分</w:t>
      </w:r>
    </w:p>
    <w:p w14:paraId="557DE4DB">
      <w:pPr>
        <w:widowControl/>
        <w:spacing w:line="360" w:lineRule="auto"/>
        <w:ind w:firstLine="482" w:firstLineChars="200"/>
        <w:rPr>
          <w:rFonts w:hint="eastAsia" w:ascii="宋体" w:hAnsi="宋体" w:cs="仿宋"/>
          <w:b/>
          <w:bCs/>
          <w:color w:val="auto"/>
          <w:kern w:val="0"/>
          <w:sz w:val="24"/>
          <w:szCs w:val="24"/>
          <w:highlight w:val="none"/>
        </w:rPr>
      </w:pPr>
      <w:r>
        <w:rPr>
          <w:rFonts w:hint="eastAsia" w:ascii="宋体" w:hAnsi="宋体" w:cs="仿宋"/>
          <w:b/>
          <w:bCs/>
          <w:color w:val="auto"/>
          <w:kern w:val="0"/>
          <w:sz w:val="24"/>
          <w:szCs w:val="24"/>
          <w:highlight w:val="none"/>
        </w:rPr>
        <w:t>42.4.2.1计算评标参考价</w:t>
      </w:r>
    </w:p>
    <w:p w14:paraId="1CF4462B">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14:paraId="21B70B39">
      <w:pPr>
        <w:widowControl/>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39E041F">
      <w:pPr>
        <w:widowControl/>
        <w:snapToGrid w:val="0"/>
        <w:spacing w:line="360" w:lineRule="auto"/>
        <w:ind w:firstLine="480" w:firstLineChars="200"/>
        <w:rPr>
          <w:rFonts w:hint="eastAsia"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1C1E5EB5">
      <w:pPr>
        <w:widowControl/>
        <w:snapToGrid w:val="0"/>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1511C20B">
      <w:pPr>
        <w:spacing w:line="360" w:lineRule="auto"/>
        <w:ind w:firstLine="480" w:firstLineChars="200"/>
        <w:rPr>
          <w:rFonts w:hint="eastAsia"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：最高投标限价</w:t>
      </w:r>
    </w:p>
    <w:p w14:paraId="64BFD640">
      <w:pPr>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2D7BF1CA">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42.4.2.2</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2808D27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42.4.2.3评标委员会按照各投标人的经济分从高到低排列先后次序。经济分相同的投标文件，按投标须知前附表第31项的规定确定排序。</w:t>
      </w:r>
    </w:p>
    <w:p w14:paraId="3512D05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42.4.3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31E1B9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4.4经济标的算术校核。评标委员会对进行经济标有效性审查的投标文件投标报价按照就低不就高的原则进行算术校核，具体标准如下：</w:t>
      </w:r>
    </w:p>
    <w:p w14:paraId="7A5C6A5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4.4.1如果数字表示的金额和用文字表示的金额不一致时，应以文字表示的金额为准；</w:t>
      </w:r>
    </w:p>
    <w:p w14:paraId="29A3221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4.4.2经算术复核的投标人报价与其投标报价不一致时，按就低不就高原则确定其最终报价；</w:t>
      </w:r>
    </w:p>
    <w:p w14:paraId="0A910B6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534AEFD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53028E4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0489AC5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6E2E002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6742F91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119688F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7AE19CF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6评标委员会应在通过投标文件经济标有效性审查的投标人中，按步骤42.4确定的投标人第二阶段排序，推荐前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14:paraId="4F1B93C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7若通过经济标有效性审查的投标人不足三家，应当依法重新招标。（当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14:paraId="54F273C5">
      <w:pPr>
        <w:spacing w:line="360" w:lineRule="auto"/>
        <w:ind w:firstLine="480" w:firstLineChars="200"/>
        <w:rPr>
          <w:rFonts w:hint="eastAsia" w:ascii="宋体" w:hAnsi="宋体"/>
          <w:color w:val="auto"/>
          <w:sz w:val="24"/>
          <w:szCs w:val="24"/>
          <w:highlight w:val="none"/>
        </w:rPr>
      </w:pPr>
    </w:p>
    <w:p w14:paraId="2AAF4BD9">
      <w:pPr>
        <w:pStyle w:val="7"/>
        <w:spacing w:before="156" w:after="156"/>
        <w:ind w:firstLine="540" w:firstLineChars="200"/>
        <w:rPr>
          <w:rFonts w:hint="eastAsia"/>
          <w:color w:val="auto"/>
          <w:highlight w:val="none"/>
        </w:rPr>
      </w:pPr>
      <w:bookmarkStart w:id="35" w:name="_Toc21525507"/>
      <w:bookmarkStart w:id="36" w:name="_Toc2272562"/>
      <w:r>
        <w:rPr>
          <w:rFonts w:hint="eastAsia"/>
          <w:color w:val="auto"/>
          <w:highlight w:val="none"/>
        </w:rPr>
        <w:t>可选办法五（适合综合评分法三，技术标与经济标先后分别开启）</w:t>
      </w:r>
      <w:bookmarkEnd w:id="35"/>
      <w:bookmarkEnd w:id="36"/>
    </w:p>
    <w:p w14:paraId="5FFD3A7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．开标和评标程序：</w:t>
      </w:r>
    </w:p>
    <w:p w14:paraId="2E18D29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40.1</w:t>
      </w:r>
      <w:r>
        <w:rPr>
          <w:rFonts w:hint="eastAsia" w:ascii="宋体" w:hAnsi="宋体"/>
          <w:color w:val="auto"/>
          <w:sz w:val="24"/>
          <w:szCs w:val="24"/>
          <w:highlight w:val="none"/>
        </w:rPr>
        <w:t>投标人递交技术标、经济标投标文件；</w:t>
      </w:r>
    </w:p>
    <w:p w14:paraId="171FD91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40.2</w:t>
      </w:r>
      <w:r>
        <w:rPr>
          <w:rFonts w:hint="eastAsia" w:ascii="宋体" w:hAnsi="宋体"/>
          <w:color w:val="auto"/>
          <w:sz w:val="24"/>
          <w:szCs w:val="24"/>
          <w:highlight w:val="none"/>
        </w:rPr>
        <w:t>技术标投标文件公开开标；</w:t>
      </w:r>
    </w:p>
    <w:p w14:paraId="0D1CA80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14:paraId="69B7F13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40.4</w:t>
      </w:r>
      <w:r>
        <w:rPr>
          <w:rFonts w:hint="eastAsia" w:ascii="宋体" w:hAnsi="宋体"/>
          <w:color w:val="auto"/>
          <w:sz w:val="24"/>
          <w:szCs w:val="24"/>
          <w:highlight w:val="none"/>
        </w:rPr>
        <w:t>技术标投标文件有效性审查；</w:t>
      </w:r>
    </w:p>
    <w:p w14:paraId="6EA24A1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40.5</w:t>
      </w:r>
      <w:r>
        <w:rPr>
          <w:rFonts w:hint="eastAsia" w:ascii="宋体" w:hAnsi="宋体"/>
          <w:color w:val="auto"/>
          <w:sz w:val="24"/>
          <w:szCs w:val="24"/>
          <w:highlight w:val="none"/>
        </w:rPr>
        <w:t>技术标详细审查评分；</w:t>
      </w:r>
    </w:p>
    <w:p w14:paraId="613B526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40.6</w:t>
      </w:r>
      <w:r>
        <w:rPr>
          <w:rFonts w:hint="eastAsia" w:ascii="宋体" w:hAnsi="宋体"/>
          <w:color w:val="auto"/>
          <w:sz w:val="24"/>
          <w:szCs w:val="24"/>
          <w:highlight w:val="none"/>
        </w:rPr>
        <w:t>计算第一阶段得分，并按照总分从高到低排列先后次序，编写第一阶段评审报告；</w:t>
      </w:r>
      <w:r>
        <w:rPr>
          <w:rFonts w:ascii="宋体" w:hAnsi="宋体"/>
          <w:color w:val="auto"/>
          <w:sz w:val="24"/>
          <w:szCs w:val="24"/>
          <w:highlight w:val="none"/>
        </w:rPr>
        <w:t xml:space="preserve"> </w:t>
      </w:r>
    </w:p>
    <w:p w14:paraId="0CE9753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7对通过技术标有效性审查的经济标投标文件公开开标；</w:t>
      </w:r>
    </w:p>
    <w:p w14:paraId="233AB44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8按投标须知前附表第25项规定，确定进入第二阶段评审的投标人；</w:t>
      </w:r>
    </w:p>
    <w:p w14:paraId="390E35D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9将进入第二阶段评审的投标人进行排序；</w:t>
      </w:r>
    </w:p>
    <w:p w14:paraId="41EF73C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10按排序对经济标投标文件进行有效性审查（含投标报价算术校核），直至评出所有中标候选人；</w:t>
      </w:r>
    </w:p>
    <w:p w14:paraId="44B2290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11评标委员会编写评标报告，向招标人推荐中标候选人名单。</w:t>
      </w:r>
    </w:p>
    <w:p w14:paraId="27DC4BB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41. </w:t>
      </w:r>
      <w:r>
        <w:rPr>
          <w:rFonts w:hint="eastAsia" w:ascii="宋体" w:hAnsi="宋体"/>
          <w:color w:val="auto"/>
          <w:sz w:val="24"/>
          <w:szCs w:val="24"/>
          <w:highlight w:val="none"/>
        </w:rPr>
        <w:t>开标细则</w:t>
      </w:r>
    </w:p>
    <w:p w14:paraId="39EAD6A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41.1</w:t>
      </w:r>
      <w:r>
        <w:rPr>
          <w:rFonts w:hint="eastAsia" w:ascii="宋体" w:hAnsi="宋体"/>
          <w:color w:val="auto"/>
          <w:sz w:val="24"/>
          <w:szCs w:val="24"/>
          <w:highlight w:val="none"/>
        </w:rPr>
        <w:t>开标由招标人主持；</w:t>
      </w:r>
    </w:p>
    <w:p w14:paraId="484677C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2细则</w:t>
      </w:r>
    </w:p>
    <w:p w14:paraId="3B22B85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.1</w:t>
      </w:r>
      <w:r>
        <w:rPr>
          <w:rFonts w:hint="eastAsia" w:ascii="宋体" w:hAnsi="宋体"/>
          <w:color w:val="auto"/>
          <w:sz w:val="24"/>
          <w:szCs w:val="24"/>
          <w:highlight w:val="none"/>
        </w:rPr>
        <w:t>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交易平台。有关投标文件提交的事项详见第一章投标须知。</w:t>
      </w:r>
      <w:r>
        <w:rPr>
          <w:rFonts w:ascii="宋体" w:hAnsi="宋体"/>
          <w:color w:val="auto"/>
          <w:sz w:val="24"/>
          <w:szCs w:val="24"/>
          <w:highlight w:val="none"/>
        </w:rPr>
        <w:t xml:space="preserve"> </w:t>
      </w:r>
    </w:p>
    <w:p w14:paraId="598435B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.2</w:t>
      </w:r>
      <w:r>
        <w:rPr>
          <w:rFonts w:hint="eastAsia" w:ascii="宋体" w:hAnsi="宋体"/>
          <w:color w:val="auto"/>
          <w:sz w:val="24"/>
          <w:szCs w:val="24"/>
          <w:highlight w:val="none"/>
        </w:rPr>
        <w:t>先开技术标；</w:t>
      </w:r>
    </w:p>
    <w:p w14:paraId="795DC12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2</w:t>
      </w:r>
      <w:r>
        <w:rPr>
          <w:rFonts w:ascii="宋体" w:hAnsi="宋体"/>
          <w:color w:val="auto"/>
          <w:sz w:val="24"/>
          <w:szCs w:val="24"/>
          <w:highlight w:val="none"/>
        </w:rPr>
        <w:t>.3</w:t>
      </w:r>
      <w:r>
        <w:rPr>
          <w:rFonts w:hint="eastAsia" w:ascii="宋体" w:hAnsi="宋体"/>
          <w:color w:val="auto"/>
          <w:sz w:val="24"/>
          <w:szCs w:val="24"/>
          <w:highlight w:val="none"/>
        </w:rPr>
        <w:t>对通过技术标有效性审查的投标人开启其经济标投标文件；</w:t>
      </w:r>
    </w:p>
    <w:p w14:paraId="7404008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41.2.4 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6D64838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41.3按36.5.1的规定完成解密后，公布下列内容，并予以记录，记录提交评标委员会评审：</w:t>
      </w:r>
      <w:r>
        <w:rPr>
          <w:rFonts w:ascii="宋体" w:hAnsi="宋体"/>
          <w:color w:val="auto"/>
          <w:sz w:val="24"/>
          <w:szCs w:val="24"/>
          <w:highlight w:val="none"/>
        </w:rPr>
        <w:t xml:space="preserve"> </w:t>
      </w:r>
    </w:p>
    <w:p w14:paraId="328E58B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3</w:t>
      </w:r>
      <w:r>
        <w:rPr>
          <w:rFonts w:ascii="宋体" w:hAnsi="宋体"/>
          <w:color w:val="auto"/>
          <w:sz w:val="24"/>
          <w:szCs w:val="24"/>
          <w:highlight w:val="none"/>
        </w:rPr>
        <w:t xml:space="preserve">.1 </w:t>
      </w:r>
      <w:r>
        <w:rPr>
          <w:rFonts w:hint="eastAsia" w:ascii="宋体" w:hAnsi="宋体"/>
          <w:color w:val="auto"/>
          <w:sz w:val="24"/>
          <w:szCs w:val="24"/>
          <w:highlight w:val="none"/>
        </w:rPr>
        <w:t>技术标开标时，公布：</w:t>
      </w:r>
      <w:r>
        <w:rPr>
          <w:rFonts w:ascii="宋体" w:hAnsi="宋体"/>
          <w:color w:val="auto"/>
          <w:sz w:val="24"/>
          <w:szCs w:val="24"/>
          <w:highlight w:val="none"/>
        </w:rPr>
        <w:t>a</w:t>
      </w:r>
      <w:r>
        <w:rPr>
          <w:rFonts w:hint="eastAsia" w:ascii="宋体" w:hAnsi="宋体"/>
          <w:color w:val="auto"/>
          <w:sz w:val="24"/>
          <w:szCs w:val="24"/>
          <w:highlight w:val="none"/>
        </w:rPr>
        <w:t>、投标人名称；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szCs w:val="24"/>
          <w:highlight w:val="none"/>
        </w:rPr>
        <w:t>密封情况；</w:t>
      </w:r>
      <w:r>
        <w:rPr>
          <w:rFonts w:ascii="宋体" w:hAnsi="宋体"/>
          <w:color w:val="auto"/>
          <w:sz w:val="24"/>
          <w:szCs w:val="24"/>
          <w:highlight w:val="none"/>
        </w:rPr>
        <w:t>c</w:t>
      </w:r>
      <w:r>
        <w:rPr>
          <w:rFonts w:hint="eastAsia" w:ascii="宋体" w:hAnsi="宋体"/>
          <w:color w:val="auto"/>
          <w:sz w:val="24"/>
          <w:szCs w:val="24"/>
          <w:highlight w:val="none"/>
        </w:rPr>
        <w:t>、法定代表人证明及授权委托；</w:t>
      </w:r>
      <w:r>
        <w:rPr>
          <w:rFonts w:ascii="宋体" w:hAnsi="宋体"/>
          <w:color w:val="auto"/>
          <w:sz w:val="24"/>
          <w:szCs w:val="24"/>
          <w:highlight w:val="none"/>
        </w:rPr>
        <w:t>d</w:t>
      </w:r>
      <w:r>
        <w:rPr>
          <w:rFonts w:hint="eastAsia" w:ascii="宋体" w:hAnsi="宋体"/>
          <w:color w:val="auto"/>
          <w:sz w:val="24"/>
          <w:szCs w:val="24"/>
          <w:highlight w:val="none"/>
        </w:rPr>
        <w:t>、投标保证金；</w:t>
      </w:r>
      <w:r>
        <w:rPr>
          <w:rFonts w:ascii="宋体" w:hAnsi="宋体"/>
          <w:color w:val="auto"/>
          <w:sz w:val="24"/>
          <w:szCs w:val="24"/>
          <w:highlight w:val="none"/>
        </w:rPr>
        <w:t>e</w:t>
      </w:r>
      <w:r>
        <w:rPr>
          <w:rFonts w:hint="eastAsia" w:ascii="宋体" w:hAnsi="宋体"/>
          <w:color w:val="auto"/>
          <w:sz w:val="24"/>
          <w:szCs w:val="24"/>
          <w:highlight w:val="none"/>
        </w:rPr>
        <w:t>、项目经理（负责人）名称等主要内容以及开标记录表中的其他必要内容。</w:t>
      </w:r>
    </w:p>
    <w:p w14:paraId="185EA6B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3</w:t>
      </w:r>
      <w:r>
        <w:rPr>
          <w:rFonts w:ascii="宋体" w:hAnsi="宋体"/>
          <w:color w:val="auto"/>
          <w:sz w:val="24"/>
          <w:szCs w:val="24"/>
          <w:highlight w:val="none"/>
        </w:rPr>
        <w:t xml:space="preserve">.2 </w:t>
      </w:r>
      <w:r>
        <w:rPr>
          <w:rFonts w:hint="eastAsia" w:ascii="宋体" w:hAnsi="宋体"/>
          <w:color w:val="auto"/>
          <w:sz w:val="24"/>
          <w:szCs w:val="24"/>
          <w:highlight w:val="none"/>
        </w:rPr>
        <w:t>经济标开标前，首先公布技术标通过有效性审查的投标人，招标人依次开启通过技术标有效性审查的投标人的经济标。开标时，公布：</w:t>
      </w:r>
      <w:r>
        <w:rPr>
          <w:rFonts w:ascii="宋体" w:hAnsi="宋体"/>
          <w:color w:val="auto"/>
          <w:sz w:val="24"/>
          <w:szCs w:val="24"/>
          <w:highlight w:val="none"/>
        </w:rPr>
        <w:t>a</w:t>
      </w:r>
      <w:r>
        <w:rPr>
          <w:rFonts w:hint="eastAsia" w:ascii="宋体" w:hAnsi="宋体"/>
          <w:color w:val="auto"/>
          <w:sz w:val="24"/>
          <w:szCs w:val="24"/>
          <w:highlight w:val="none"/>
        </w:rPr>
        <w:t>、投标人名称；</w:t>
      </w:r>
      <w:r>
        <w:rPr>
          <w:rFonts w:ascii="宋体" w:hAnsi="宋体"/>
          <w:color w:val="auto"/>
          <w:sz w:val="24"/>
          <w:szCs w:val="24"/>
          <w:highlight w:val="none"/>
        </w:rPr>
        <w:t>b</w:t>
      </w:r>
      <w:r>
        <w:rPr>
          <w:rFonts w:hint="eastAsia" w:ascii="宋体" w:hAnsi="宋体"/>
          <w:color w:val="auto"/>
          <w:sz w:val="24"/>
          <w:szCs w:val="24"/>
          <w:highlight w:val="none"/>
        </w:rPr>
        <w:t>、</w:t>
      </w:r>
      <w:r>
        <w:rPr>
          <w:rFonts w:hint="eastAsia" w:ascii="宋体" w:hAnsi="宋体"/>
          <w:color w:val="auto"/>
          <w:sz w:val="24"/>
          <w:highlight w:val="none"/>
        </w:rPr>
        <w:t>投标文件</w:t>
      </w:r>
      <w:r>
        <w:rPr>
          <w:rFonts w:hint="eastAsia" w:ascii="宋体" w:hAnsi="宋体"/>
          <w:color w:val="auto"/>
          <w:sz w:val="24"/>
          <w:szCs w:val="24"/>
          <w:highlight w:val="none"/>
        </w:rPr>
        <w:t>密封情况；</w:t>
      </w:r>
      <w:r>
        <w:rPr>
          <w:rFonts w:ascii="宋体" w:hAnsi="宋体"/>
          <w:color w:val="auto"/>
          <w:sz w:val="24"/>
          <w:szCs w:val="24"/>
          <w:highlight w:val="none"/>
        </w:rPr>
        <w:t>c</w:t>
      </w:r>
      <w:r>
        <w:rPr>
          <w:rFonts w:hint="eastAsia" w:ascii="宋体" w:hAnsi="宋体"/>
          <w:color w:val="auto"/>
          <w:sz w:val="24"/>
          <w:szCs w:val="24"/>
          <w:highlight w:val="none"/>
        </w:rPr>
        <w:t>、投标报价等主要内容以及开标记录表中的其他必要内容。投标报价以数字和文字两种方式表述的，应公布文字表述的投标报价。</w:t>
      </w:r>
    </w:p>
    <w:p w14:paraId="3248EBB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4招标人对开标过程进行记录，并存档备查，投标人在开标记录上签字。</w:t>
      </w:r>
    </w:p>
    <w:p w14:paraId="6303691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41.</w:t>
      </w:r>
      <w:r>
        <w:rPr>
          <w:rFonts w:hint="eastAsia" w:ascii="宋体" w:hAnsi="宋体"/>
          <w:color w:val="auto"/>
          <w:sz w:val="24"/>
          <w:szCs w:val="24"/>
          <w:highlight w:val="none"/>
        </w:rPr>
        <w:t>5</w:t>
      </w:r>
      <w:r>
        <w:rPr>
          <w:rFonts w:ascii="宋体" w:hAnsi="宋体"/>
          <w:color w:val="auto"/>
          <w:sz w:val="24"/>
          <w:szCs w:val="24"/>
          <w:highlight w:val="none"/>
        </w:rPr>
        <w:t xml:space="preserve"> </w:t>
      </w:r>
      <w:r>
        <w:rPr>
          <w:rFonts w:hint="eastAsia" w:ascii="宋体" w:hAnsi="宋体"/>
          <w:color w:val="auto"/>
          <w:sz w:val="24"/>
          <w:szCs w:val="24"/>
          <w:highlight w:val="none"/>
        </w:rPr>
        <w:t>招标人将上述符合要求的投标文件，送至评标委员会进行评审。</w:t>
      </w:r>
    </w:p>
    <w:p w14:paraId="6FB6F99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42. </w:t>
      </w:r>
      <w:r>
        <w:rPr>
          <w:rFonts w:hint="eastAsia" w:ascii="宋体" w:hAnsi="宋体"/>
          <w:color w:val="auto"/>
          <w:sz w:val="24"/>
          <w:szCs w:val="24"/>
          <w:highlight w:val="none"/>
        </w:rPr>
        <w:t>评标细则</w:t>
      </w:r>
    </w:p>
    <w:p w14:paraId="2C1C3FD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42.1评标委员会的组成：方式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6ED9694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方式一：评标委员会为综合评标委员会，负责评标工作。</w:t>
      </w:r>
    </w:p>
    <w:p w14:paraId="2ECE947C">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olor w:val="auto"/>
          <w:sz w:val="24"/>
          <w:szCs w:val="24"/>
          <w:highlight w:val="none"/>
        </w:rPr>
        <w:t>方式二：评标委员会由技术评审组和经济评审组组成。其中：资格审查、技术评审由技术评标组负责，经济评审由经济评审组负责。</w:t>
      </w:r>
      <w:r>
        <w:rPr>
          <w:rFonts w:hint="eastAsia" w:ascii="宋体" w:hAnsi="宋体" w:cs="宋体"/>
          <w:color w:val="auto"/>
          <w:kern w:val="0"/>
          <w:sz w:val="24"/>
          <w:szCs w:val="24"/>
          <w:highlight w:val="none"/>
        </w:rPr>
        <w:t xml:space="preserve"> </w:t>
      </w:r>
    </w:p>
    <w:p w14:paraId="446309F5">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14:paraId="4A3263C2">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668E4E6E">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14:paraId="487EFA98">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14:paraId="1419E0C0">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3F18057A">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14:paraId="4A4E4A78">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p>
    <w:p w14:paraId="3FCD5A3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 第一阶段评审</w:t>
      </w:r>
    </w:p>
    <w:p w14:paraId="174FE1F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393B45D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42.3.2</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详细审查评分：评标委员会按照本办法附表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详细审查评分表》对通过技术标有效性审查的投标文件进行详细审查，评出       得分。</w:t>
      </w:r>
    </w:p>
    <w:p w14:paraId="04E9746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42.3.3评标委员会按照“第一阶段得分=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w:t>
      </w:r>
    </w:p>
    <w:p w14:paraId="3473505D">
      <w:pPr>
        <w:widowControl/>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42.3.4招标人应在《投标须知前附表》中明确选择使用施工企业总排名或相应的施工专业承包排名计分。</w:t>
      </w:r>
    </w:p>
    <w:p w14:paraId="4EEE55A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w:t>
      </w:r>
      <w:r>
        <w:rPr>
          <w:rFonts w:hint="eastAsia" w:ascii="宋体" w:hAnsi="宋体"/>
          <w:color w:val="auto"/>
          <w:sz w:val="24"/>
          <w:szCs w:val="24"/>
          <w:highlight w:val="none"/>
        </w:rPr>
        <w:t xml:space="preserve"> 第二阶段评审</w:t>
      </w:r>
    </w:p>
    <w:p w14:paraId="7D316CE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42.4.1</w:t>
      </w:r>
      <w:r>
        <w:rPr>
          <w:rFonts w:hint="eastAsia" w:ascii="宋体" w:hAnsi="宋体"/>
          <w:color w:val="auto"/>
          <w:sz w:val="24"/>
          <w:szCs w:val="24"/>
          <w:highlight w:val="none"/>
        </w:rPr>
        <w:t>开启经济标后，按照投标须知前附表第25项规定，确定进入第二阶段评审的投标人。若在进入第二阶段的最后名次发生并列的，则所有并列的投标人均进入第二阶段。</w:t>
      </w:r>
    </w:p>
    <w:p w14:paraId="08889CC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42.4.2投标文件经济标的评分</w:t>
      </w:r>
    </w:p>
    <w:p w14:paraId="01021E8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42.4.2.1计算评标参考价</w:t>
      </w:r>
    </w:p>
    <w:p w14:paraId="1318A678">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14:paraId="6FD1E641">
      <w:pPr>
        <w:widowControl/>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51F12570">
      <w:pPr>
        <w:widowControl/>
        <w:snapToGrid w:val="0"/>
        <w:spacing w:line="360" w:lineRule="auto"/>
        <w:ind w:firstLine="480" w:firstLineChars="200"/>
        <w:rPr>
          <w:rFonts w:hint="eastAsia"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26A8D42A">
      <w:pPr>
        <w:widowControl/>
        <w:snapToGrid w:val="0"/>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51DE45F1">
      <w:pPr>
        <w:spacing w:line="360" w:lineRule="auto"/>
        <w:ind w:firstLine="480" w:firstLineChars="200"/>
        <w:rPr>
          <w:rFonts w:hint="eastAsia"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：为最高投标限价</w:t>
      </w:r>
    </w:p>
    <w:p w14:paraId="4558F252">
      <w:pPr>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717A0853">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42.4.2.2</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461087C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42.4.2.3评标委员会按投标须知前附表第32项的规定确定排序。</w:t>
      </w:r>
    </w:p>
    <w:p w14:paraId="0A48902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42.4.3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6B98A2F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4.4经济标的算术校核。评标委员会对进行经济标有效性审查的投标文件投标报价按照就低不就高的原则进行算术校核，具体标准如下：</w:t>
      </w:r>
    </w:p>
    <w:p w14:paraId="61411C8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4.4.1如果数字表示的金额和用文字表示的金额不一致时，应以文字表示的金额为准；</w:t>
      </w:r>
    </w:p>
    <w:p w14:paraId="6AAFF36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4.4.2经算术复核的投标人报价与其投标报价不一致时，按就低不就高原则确定其最终报价；</w:t>
      </w:r>
    </w:p>
    <w:p w14:paraId="6C5BA64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76B7A06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484C28C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68BB99A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04B0A7C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609E376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280868A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24D635F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6评标委员会应在通过投标文件经济标有效性审查的投标人中，按步骤42.4确定的投标人第二阶段排序，推荐前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14:paraId="6124812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7若通过经济标有效性审查的投标人不足三家，应当依法重新招标。（当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14:paraId="45DB19D0">
      <w:pPr>
        <w:pStyle w:val="8"/>
        <w:spacing w:line="360" w:lineRule="auto"/>
        <w:ind w:firstLine="480" w:firstLineChars="200"/>
        <w:rPr>
          <w:rFonts w:hint="eastAsia" w:ascii="宋体" w:hAnsi="宋体"/>
          <w:color w:val="auto"/>
          <w:sz w:val="24"/>
          <w:szCs w:val="24"/>
          <w:highlight w:val="none"/>
        </w:rPr>
      </w:pPr>
    </w:p>
    <w:p w14:paraId="1C3EB691">
      <w:pPr>
        <w:pStyle w:val="7"/>
        <w:spacing w:before="156" w:after="156"/>
        <w:ind w:firstLine="540" w:firstLineChars="200"/>
        <w:rPr>
          <w:rFonts w:hint="eastAsia"/>
          <w:color w:val="auto"/>
          <w:highlight w:val="none"/>
        </w:rPr>
      </w:pPr>
      <w:bookmarkStart w:id="37" w:name="_Toc2272563"/>
      <w:bookmarkStart w:id="38" w:name="_Toc21525508"/>
      <w:r>
        <w:rPr>
          <w:rFonts w:hint="eastAsia"/>
          <w:color w:val="auto"/>
          <w:highlight w:val="none"/>
        </w:rPr>
        <w:t>可选办法六（适合综合评分法三，技术标与经济标同时开启）</w:t>
      </w:r>
      <w:bookmarkEnd w:id="37"/>
      <w:bookmarkEnd w:id="38"/>
    </w:p>
    <w:p w14:paraId="25C25A7D">
      <w:pPr>
        <w:pStyle w:val="4"/>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40．开标和评标程序：</w:t>
      </w:r>
    </w:p>
    <w:p w14:paraId="079F37D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40.1投标人递交技术标、经济标投标文件；</w:t>
      </w:r>
    </w:p>
    <w:p w14:paraId="61A9188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40.2技术标与经济标投标文件同时公开开标；</w:t>
      </w:r>
    </w:p>
    <w:p w14:paraId="752B7C4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14:paraId="4D98E61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40.4技术标投标文件有效性审查；</w:t>
      </w:r>
    </w:p>
    <w:p w14:paraId="7EE2EAE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40.5技术标详细审查评分；</w:t>
      </w:r>
    </w:p>
    <w:p w14:paraId="271ED57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40.6计算第一阶段得分，并按照总分从高到低排列先后次序，编写第一阶段评审报告； </w:t>
      </w:r>
    </w:p>
    <w:p w14:paraId="339269E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40.7按投标须知前附表第25项规定，确定进入第二阶段评审的投标人；</w:t>
      </w:r>
    </w:p>
    <w:p w14:paraId="3579E6B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40.8将进入第二阶段评审的投标人进行排序；</w:t>
      </w:r>
    </w:p>
    <w:p w14:paraId="4E6FE37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40.9按排序对经济标投标文件进行有效性审查（含投标报价算术校核），直至评出所有中标候选人；</w:t>
      </w:r>
    </w:p>
    <w:p w14:paraId="091960E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40.10评标委员会编写评标报告，向招标人推荐中标候选人名单。</w:t>
      </w:r>
    </w:p>
    <w:p w14:paraId="00EF3F6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 开标细则</w:t>
      </w:r>
    </w:p>
    <w:p w14:paraId="1D35E8B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41.1开标由招标人主持；</w:t>
      </w:r>
    </w:p>
    <w:p w14:paraId="548FAE8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41.2细则</w:t>
      </w:r>
    </w:p>
    <w:p w14:paraId="7126C3E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41.2.1投标截止期前，各投标人递交投标文件（包括技术标投标文件、经济标投标文件）至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 xml:space="preserve">交易平台。有关投标文件提交的事项详见第一章投标须知。 </w:t>
      </w:r>
    </w:p>
    <w:p w14:paraId="4164BAB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63B76A5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41.3按36.5.1的规定完成解密后，公布下列内容，并予以记录，记录提交评标委员会评审： </w:t>
      </w:r>
    </w:p>
    <w:p w14:paraId="6535846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41.3.1开标时，公布：a、投标人名称；b、</w:t>
      </w:r>
      <w:r>
        <w:rPr>
          <w:rFonts w:hint="eastAsia" w:ascii="宋体" w:hAnsi="宋体"/>
          <w:color w:val="auto"/>
          <w:sz w:val="24"/>
          <w:highlight w:val="none"/>
        </w:rPr>
        <w:t>投标文件</w:t>
      </w:r>
      <w:r>
        <w:rPr>
          <w:rFonts w:hint="eastAsia" w:ascii="宋体" w:hAns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14:paraId="0A53EF4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41.4招标人对开标过程进行记录，并存档备查，投标人在开标记录上签字。</w:t>
      </w:r>
    </w:p>
    <w:p w14:paraId="788DBD2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41.5 招标人将上述符合要求的投标文件，送至评标委员会进行评审。</w:t>
      </w:r>
    </w:p>
    <w:p w14:paraId="793AE57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42. </w:t>
      </w:r>
      <w:r>
        <w:rPr>
          <w:rFonts w:hint="eastAsia" w:ascii="宋体" w:hAnsi="宋体"/>
          <w:color w:val="auto"/>
          <w:sz w:val="24"/>
          <w:szCs w:val="24"/>
          <w:highlight w:val="none"/>
        </w:rPr>
        <w:t>评标细则</w:t>
      </w:r>
    </w:p>
    <w:p w14:paraId="1DE2A52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42.1评标委员会的组成：方式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352DF04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方式一：评标委员会为综合评标委员会，负责评标工作。</w:t>
      </w:r>
    </w:p>
    <w:p w14:paraId="5B66BDD8">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olor w:val="auto"/>
          <w:sz w:val="24"/>
          <w:szCs w:val="24"/>
          <w:highlight w:val="none"/>
        </w:rPr>
        <w:t>方式二：评标委员会由技术评审组和经济评审组组成。其中：资格审查、技术评审由技术评标组负责，经济评审由经济评审组负责。</w:t>
      </w:r>
      <w:r>
        <w:rPr>
          <w:rFonts w:hint="eastAsia" w:ascii="宋体" w:hAnsi="宋体" w:cs="宋体"/>
          <w:color w:val="auto"/>
          <w:kern w:val="0"/>
          <w:sz w:val="24"/>
          <w:szCs w:val="24"/>
          <w:highlight w:val="none"/>
        </w:rPr>
        <w:t xml:space="preserve"> </w:t>
      </w:r>
    </w:p>
    <w:p w14:paraId="7EFD6D75">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14:paraId="39D413B2">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45CF02FC">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14:paraId="361615D5">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14:paraId="4C3F3260">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744938F8">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14:paraId="23469CEB">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p>
    <w:p w14:paraId="0A8AE1D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 第一阶段评审</w:t>
      </w:r>
    </w:p>
    <w:p w14:paraId="026D262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4451675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42.3.2</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详细审查评分：评标委员会按照本办法附表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详细审查评分表》对通过技术标有效性审查的投标文件进行详细审查，评出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得分。</w:t>
      </w:r>
    </w:p>
    <w:p w14:paraId="2AA5852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42.3.4评标委员会按照“第一阶段得分=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14:paraId="4A2BFC2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42.3.5招标人应在《投标须知前附表》中明确选择使用施工企业总排名或相应的施工专业承包排名计分。</w:t>
      </w:r>
    </w:p>
    <w:p w14:paraId="58D7903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w:t>
      </w:r>
      <w:r>
        <w:rPr>
          <w:rFonts w:hint="eastAsia" w:ascii="宋体" w:hAnsi="宋体"/>
          <w:color w:val="auto"/>
          <w:sz w:val="24"/>
          <w:szCs w:val="24"/>
          <w:highlight w:val="none"/>
        </w:rPr>
        <w:t xml:space="preserve"> 第二阶段评审</w:t>
      </w:r>
    </w:p>
    <w:p w14:paraId="66D80D7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42.4.1</w:t>
      </w:r>
      <w:r>
        <w:rPr>
          <w:rFonts w:hint="eastAsia" w:ascii="宋体" w:hAnsi="宋体"/>
          <w:color w:val="auto"/>
          <w:sz w:val="24"/>
          <w:szCs w:val="24"/>
          <w:highlight w:val="none"/>
        </w:rPr>
        <w:t>按照投标须知前附表第25项规定，确定进入第二阶段评审的投标人。若在进入第二阶段的最后名次发生并列的，则所有并列的投标人均进入第二阶段。</w:t>
      </w:r>
    </w:p>
    <w:p w14:paraId="639B7CE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42.4.2投标文件经济标的评分</w:t>
      </w:r>
    </w:p>
    <w:p w14:paraId="1ACDDA4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42.4.2.1计算评标参考价</w:t>
      </w:r>
    </w:p>
    <w:p w14:paraId="7C6A6E64">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14:paraId="095DC964">
      <w:pPr>
        <w:widowControl/>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60E20174">
      <w:pPr>
        <w:widowControl/>
        <w:snapToGrid w:val="0"/>
        <w:spacing w:line="360" w:lineRule="auto"/>
        <w:ind w:firstLine="480" w:firstLineChars="200"/>
        <w:rPr>
          <w:rFonts w:hint="eastAsia"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571FB4F9">
      <w:pPr>
        <w:widowControl/>
        <w:snapToGrid w:val="0"/>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58499A03">
      <w:pPr>
        <w:spacing w:line="360" w:lineRule="auto"/>
        <w:ind w:firstLine="480" w:firstLineChars="200"/>
        <w:rPr>
          <w:rFonts w:hint="eastAsia"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：最高投标限价</w:t>
      </w:r>
    </w:p>
    <w:p w14:paraId="4E770364">
      <w:pPr>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6681D1FB">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42.4.2.2</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7FE6586E">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42.4.2.3评标委员会按投标须知前附表第32项的规定确定排序。</w:t>
      </w:r>
    </w:p>
    <w:p w14:paraId="35AB538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42.4.3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1E24332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4.4经济标的算术校核。评标委员会对进行经济标有效性审查的投标文件投标报价按照就低不就高的原则进行算术校核，具体标准如下：</w:t>
      </w:r>
    </w:p>
    <w:p w14:paraId="3249870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4.4.1如果数字表示的金额和用文字表示的金额不一致时，应以文字表示的金额为准；</w:t>
      </w:r>
    </w:p>
    <w:p w14:paraId="7A3E913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4.4.2经算术复核的投标人报价与其投标报价不一致时，按就低不就高原则确定其最终报价；</w:t>
      </w:r>
    </w:p>
    <w:p w14:paraId="78F9FD9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320D8B5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2537F6D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7E5553A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38EAFA7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3291BC3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4.4.</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7793B58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733B06F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6评标委员会应在通过投标文件经济标有效性审查的投标人中，按步骤42.4确定的投标人第二阶段排序，推荐前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14:paraId="3AED19A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7若通过经济标有效性审查的投标人不足三家，应当依法重新招标。（当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14:paraId="7B87E7B3">
      <w:pPr>
        <w:spacing w:line="360" w:lineRule="auto"/>
        <w:ind w:firstLine="480" w:firstLineChars="200"/>
        <w:rPr>
          <w:rFonts w:hint="eastAsia" w:ascii="宋体" w:hAnsi="宋体"/>
          <w:color w:val="auto"/>
          <w:sz w:val="24"/>
          <w:szCs w:val="24"/>
          <w:highlight w:val="none"/>
        </w:rPr>
      </w:pPr>
    </w:p>
    <w:p w14:paraId="353F1C23">
      <w:pPr>
        <w:pStyle w:val="7"/>
        <w:spacing w:before="156" w:after="156"/>
        <w:ind w:firstLine="540" w:firstLineChars="200"/>
        <w:rPr>
          <w:rFonts w:hint="eastAsia"/>
          <w:color w:val="auto"/>
          <w:highlight w:val="none"/>
        </w:rPr>
      </w:pPr>
      <w:bookmarkStart w:id="39" w:name="_Toc21525509"/>
      <w:bookmarkStart w:id="40" w:name="_Toc2272564"/>
      <w:r>
        <w:rPr>
          <w:rFonts w:hint="eastAsia"/>
          <w:color w:val="auto"/>
          <w:highlight w:val="none"/>
        </w:rPr>
        <w:t>可选办法七（适合综合评分法四，技术标与经济标同时开启）</w:t>
      </w:r>
      <w:bookmarkEnd w:id="39"/>
      <w:bookmarkEnd w:id="40"/>
    </w:p>
    <w:p w14:paraId="5575E3F7">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14:paraId="13C1CFAC">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14:paraId="31DB7FEE">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14:paraId="08A4455F">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14:paraId="22AA3D2D">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14:paraId="4B70153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r>
        <w:rPr>
          <w:rFonts w:ascii="宋体"/>
          <w:color w:val="auto"/>
          <w:sz w:val="24"/>
          <w:szCs w:val="24"/>
          <w:highlight w:val="none"/>
        </w:rPr>
        <w:t xml:space="preserve"> </w:t>
      </w:r>
    </w:p>
    <w:p w14:paraId="5783B4D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40.6评标委员会按照投标人总得分由高至低排序；</w:t>
      </w:r>
    </w:p>
    <w:p w14:paraId="354BEFD6">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40.7经济标投标文件有效性审查；</w:t>
      </w:r>
    </w:p>
    <w:p w14:paraId="27A83DC5">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40.8评标委员会按排序向招标人推荐中标候选人名单，并递交资格审查报告及评标报告。</w:t>
      </w:r>
    </w:p>
    <w:p w14:paraId="16B01BAC">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14:paraId="2FF231A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41.1开标由招标人主持；</w:t>
      </w:r>
    </w:p>
    <w:p w14:paraId="779558E8">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14:paraId="4C0D77F7">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41.2.1投标截止期前，各投标人递交投标文件（包括技术标投标文件、经济标投标文件）至</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交易平台。有关投标文件提交的事项详见第一章投标须知。 </w:t>
      </w:r>
    </w:p>
    <w:p w14:paraId="3B07730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41.2.2开标前，首先由招标人随机抽取确定该工程计算评标参考价的等分点值X。</w:t>
      </w:r>
    </w:p>
    <w:p w14:paraId="5164B0A0">
      <w:pPr>
        <w:spacing w:line="360" w:lineRule="auto"/>
        <w:ind w:firstLine="480" w:firstLineChars="200"/>
        <w:rPr>
          <w:rFonts w:hint="eastAsia" w:ascii="宋体" w:hAnsi="宋体"/>
          <w:color w:val="auto"/>
          <w:sz w:val="24"/>
          <w:szCs w:val="24"/>
          <w:highlight w:val="none"/>
        </w:rPr>
      </w:pPr>
      <w:r>
        <w:rPr>
          <w:rFonts w:hint="eastAsia" w:ascii="宋体"/>
          <w:color w:val="auto"/>
          <w:sz w:val="24"/>
          <w:szCs w:val="24"/>
          <w:highlight w:val="none"/>
        </w:rPr>
        <w:t>41.2.3</w:t>
      </w:r>
      <w:r>
        <w:rPr>
          <w:rFonts w:hint="eastAsia" w:ascii="宋体" w:hAnsi="宋体"/>
          <w:color w:val="auto"/>
          <w:sz w:val="24"/>
          <w:szCs w:val="24"/>
          <w:highlight w:val="non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027A6F65">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41.2.4按36.5.1的规定完成解密后，公布下列内容，并予以记录，记录提交评标委员会评审： </w:t>
      </w:r>
    </w:p>
    <w:p w14:paraId="0B1EFC75">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14:paraId="5F1E3B0D">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41.3招标人对开标过程进行记录，并存档备查，投标人在技术标开标记录上签字。</w:t>
      </w:r>
    </w:p>
    <w:p w14:paraId="2A28FC9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14:paraId="23A41EC0">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14:paraId="27E6A6DC">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14:paraId="1F3389B5">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552297AB">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14:paraId="3A9610E4">
      <w:pPr>
        <w:pStyle w:val="4"/>
        <w:tabs>
          <w:tab w:val="left" w:pos="7380"/>
        </w:tabs>
        <w:snapToGrid w:val="0"/>
        <w:spacing w:after="0" w:line="360" w:lineRule="auto"/>
        <w:rPr>
          <w:rFonts w:ascii="宋体"/>
          <w:color w:val="auto"/>
          <w:sz w:val="24"/>
          <w:szCs w:val="24"/>
          <w:highlight w:val="none"/>
        </w:rPr>
      </w:pPr>
      <w:r>
        <w:rPr>
          <w:rFonts w:hint="eastAsia" w:ascii="宋体"/>
          <w:color w:val="auto"/>
          <w:sz w:val="24"/>
          <w:szCs w:val="24"/>
          <w:highlight w:val="none"/>
        </w:rPr>
        <w:t>方式二：评标委员会由技术评审组和经济评审组组成。其中：资格审查及技术评审由技术评标组负责，经济评审由经济评审组负责。</w:t>
      </w:r>
    </w:p>
    <w:p w14:paraId="3479A123">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14:paraId="2F3D974D">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282916F3">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14:paraId="5042AD7D">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14:paraId="3FFFD3B3">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72FD851A">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14:paraId="32F24081">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p>
    <w:p w14:paraId="5F8B8635">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14:paraId="4C58ABE8">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w:t>
      </w:r>
      <w:r>
        <w:rPr>
          <w:rFonts w:hint="eastAsia" w:ascii="宋体" w:hAnsi="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2704277C">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44703EAD">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45．经济标评审和得分汇总</w:t>
      </w:r>
    </w:p>
    <w:p w14:paraId="3D23C63A">
      <w:pPr>
        <w:pStyle w:val="4"/>
        <w:tabs>
          <w:tab w:val="left" w:pos="7380"/>
        </w:tabs>
        <w:snapToGrid w:val="0"/>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45.1若通过技术标有效性审查的投标人中所有投标报价均大于等于最高投标限价，则本项目招标失败，由招标人依法重新招标。</w:t>
      </w:r>
    </w:p>
    <w:p w14:paraId="5EED6B17">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 xml:space="preserve"> 45.2计算评标参考价：</w:t>
      </w:r>
    </w:p>
    <w:p w14:paraId="12E0DFB5">
      <w:pPr>
        <w:widowControl/>
        <w:spacing w:line="360" w:lineRule="auto"/>
        <w:ind w:firstLine="482" w:firstLineChars="200"/>
        <w:rPr>
          <w:rFonts w:hint="eastAsia" w:ascii="宋体" w:hAnsi="宋体"/>
          <w:b/>
          <w:bCs/>
          <w:color w:val="auto"/>
          <w:kern w:val="0"/>
          <w:sz w:val="24"/>
          <w:szCs w:val="24"/>
          <w:highlight w:val="none"/>
        </w:rPr>
      </w:pPr>
      <w:r>
        <w:rPr>
          <w:rFonts w:hint="eastAsia" w:ascii="宋体" w:hAnsi="宋体" w:cs="仿宋"/>
          <w:b/>
          <w:bCs/>
          <w:color w:val="auto"/>
          <w:kern w:val="0"/>
          <w:sz w:val="24"/>
          <w:szCs w:val="24"/>
          <w:highlight w:val="none"/>
        </w:rPr>
        <w:t>区间抽取法：</w:t>
      </w:r>
    </w:p>
    <w:p w14:paraId="242DC9EA">
      <w:pPr>
        <w:widowControl/>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65F4E706">
      <w:pPr>
        <w:widowControl/>
        <w:snapToGrid w:val="0"/>
        <w:spacing w:line="360" w:lineRule="auto"/>
        <w:ind w:firstLine="480" w:firstLineChars="200"/>
        <w:rPr>
          <w:rFonts w:hint="eastAsia"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10AC372F">
      <w:pPr>
        <w:widowControl/>
        <w:snapToGrid w:val="0"/>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0D36E8AD">
      <w:pPr>
        <w:spacing w:line="360" w:lineRule="auto"/>
        <w:ind w:firstLine="480" w:firstLineChars="200"/>
        <w:rPr>
          <w:rFonts w:hint="eastAsia"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：最高投标限价</w:t>
      </w:r>
    </w:p>
    <w:p w14:paraId="1C774BF4">
      <w:pPr>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1E9F184D">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1689542A">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45.4</w:t>
      </w:r>
      <w:r>
        <w:rPr>
          <w:rFonts w:hint="eastAsia" w:ascii="宋体"/>
          <w:color w:val="auto"/>
          <w:sz w:val="24"/>
          <w:szCs w:val="24"/>
          <w:highlight w:val="none"/>
        </w:rPr>
        <w:t>计算通过技术标有效性审查的投标人总得分。投标人总得分=（技术得分×技术得分权重</w:t>
      </w:r>
      <w:r>
        <w:rPr>
          <w:rFonts w:hint="eastAsia" w:ascii="宋体" w:cs="宋体"/>
          <w:color w:val="auto"/>
          <w:sz w:val="24"/>
          <w:szCs w:val="24"/>
          <w:highlight w:val="none"/>
        </w:rPr>
        <w:t>＋</w:t>
      </w:r>
      <w:r>
        <w:rPr>
          <w:rFonts w:hint="eastAsia" w:ascii="宋体"/>
          <w:color w:val="auto"/>
          <w:sz w:val="24"/>
          <w:szCs w:val="24"/>
          <w:highlight w:val="none"/>
        </w:rPr>
        <w:t>经济得分×经济得分权重）×（1-综合诚信评价分数权重）</w:t>
      </w:r>
      <w:r>
        <w:rPr>
          <w:rFonts w:hint="eastAsia" w:ascii="宋体" w:cs="宋体"/>
          <w:color w:val="auto"/>
          <w:sz w:val="24"/>
          <w:szCs w:val="24"/>
          <w:highlight w:val="none"/>
        </w:rPr>
        <w:t>＋</w:t>
      </w:r>
      <w:r>
        <w:rPr>
          <w:rFonts w:hint="eastAsia" w:ascii="宋体"/>
          <w:color w:val="auto"/>
          <w:sz w:val="24"/>
          <w:szCs w:val="24"/>
          <w:highlight w:val="none"/>
        </w:rPr>
        <w:t>综合诚信评价排名得分×综合诚信评价分数权重）。技术、经济得分权重按投标须知前附表的规定执行。总得分四舍五入保留两位小数。</w:t>
      </w:r>
    </w:p>
    <w:p w14:paraId="0D27E05D">
      <w:pPr>
        <w:pStyle w:val="4"/>
        <w:tabs>
          <w:tab w:val="left" w:pos="7380"/>
        </w:tabs>
        <w:snapToGrid w:val="0"/>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46.经济标的有效性审查</w:t>
      </w:r>
    </w:p>
    <w:p w14:paraId="197F351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61CBE71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14:paraId="3F04E00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14:paraId="4B5667C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14:paraId="13E52F5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29A8E80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40BF513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731DE8C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16FB6C8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2B69A41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319C868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42AF18A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8.评标委员会应在通过投标文件经济标有效性审查的投标人中，按步骤45.4确定的投标人第二阶段排序，推荐前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14:paraId="431A6B7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14:paraId="070A2A6E">
      <w:pPr>
        <w:pStyle w:val="7"/>
        <w:spacing w:before="156" w:after="156"/>
        <w:ind w:firstLine="540" w:firstLineChars="200"/>
        <w:rPr>
          <w:rFonts w:hint="eastAsia"/>
          <w:color w:val="auto"/>
          <w:highlight w:val="none"/>
        </w:rPr>
      </w:pPr>
      <w:bookmarkStart w:id="41" w:name="_Toc2272565"/>
      <w:bookmarkStart w:id="42" w:name="_Toc21525510"/>
      <w:r>
        <w:rPr>
          <w:rFonts w:hint="eastAsia"/>
          <w:color w:val="auto"/>
          <w:highlight w:val="none"/>
        </w:rPr>
        <w:t>可选办法八（适合经评审的最低投标价法，技术标与经济标同时开启）</w:t>
      </w:r>
      <w:bookmarkEnd w:id="41"/>
      <w:bookmarkEnd w:id="42"/>
    </w:p>
    <w:p w14:paraId="19926A1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40. </w:t>
      </w:r>
      <w:r>
        <w:rPr>
          <w:rFonts w:hint="eastAsia" w:ascii="宋体" w:hAnsi="宋体"/>
          <w:color w:val="auto"/>
          <w:sz w:val="24"/>
          <w:szCs w:val="24"/>
          <w:highlight w:val="none"/>
        </w:rPr>
        <w:t>开标和评标程序</w:t>
      </w:r>
    </w:p>
    <w:p w14:paraId="00D3DC2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40.1</w:t>
      </w:r>
      <w:r>
        <w:rPr>
          <w:rFonts w:hint="eastAsia" w:ascii="宋体" w:hAnsi="宋体"/>
          <w:color w:val="auto"/>
          <w:sz w:val="24"/>
          <w:szCs w:val="24"/>
          <w:highlight w:val="none"/>
        </w:rPr>
        <w:t>投标人递交技术标、经济标投标文件；</w:t>
      </w:r>
    </w:p>
    <w:p w14:paraId="52255E5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40.2</w:t>
      </w:r>
      <w:r>
        <w:rPr>
          <w:rFonts w:hint="eastAsia" w:ascii="宋体" w:hAnsi="宋体"/>
          <w:color w:val="auto"/>
          <w:sz w:val="24"/>
          <w:szCs w:val="24"/>
          <w:highlight w:val="none"/>
        </w:rPr>
        <w:t>技术标与经济标投标文件同时公开开标；</w:t>
      </w:r>
    </w:p>
    <w:p w14:paraId="73F6674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40.3由评标委员会对所有已公开开标的投标人进行资格审查；</w:t>
      </w:r>
    </w:p>
    <w:p w14:paraId="3518FA2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40.4</w:t>
      </w:r>
      <w:r>
        <w:rPr>
          <w:rFonts w:hint="eastAsia" w:ascii="宋体" w:hAnsi="宋体"/>
          <w:color w:val="auto"/>
          <w:sz w:val="24"/>
          <w:szCs w:val="24"/>
          <w:highlight w:val="none"/>
        </w:rPr>
        <w:t>技术标投标文件有效性审查；</w:t>
      </w:r>
    </w:p>
    <w:p w14:paraId="269022E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40.5</w:t>
      </w:r>
      <w:r>
        <w:rPr>
          <w:rFonts w:hint="eastAsia" w:ascii="宋体" w:hAnsi="宋体"/>
          <w:color w:val="auto"/>
          <w:sz w:val="24"/>
          <w:szCs w:val="24"/>
          <w:highlight w:val="none"/>
        </w:rPr>
        <w:t>对经济标投标报价进行算术校核；</w:t>
      </w:r>
    </w:p>
    <w:p w14:paraId="12EB31F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6计算投标人总得分，并按总得分从高到低，确定经济标评审排序；</w:t>
      </w:r>
    </w:p>
    <w:p w14:paraId="135632D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7按排序对经济标投标文件进行有效性审查，直至评出所有中标候选人；</w:t>
      </w:r>
    </w:p>
    <w:p w14:paraId="138ABE2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8评标委员会编写经济标评审报告，向招标人推荐中标候选人。</w:t>
      </w:r>
    </w:p>
    <w:p w14:paraId="47451C0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 开标细则</w:t>
      </w:r>
    </w:p>
    <w:p w14:paraId="4FCAE58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41.1开标由招标人主持；</w:t>
      </w:r>
    </w:p>
    <w:p w14:paraId="6EDBB7E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41.2细则</w:t>
      </w:r>
    </w:p>
    <w:p w14:paraId="04C9154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41.2.1投标截止期前，各投标人递交投标文件（包括技术标投标文件、经济标投标文件）至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 xml:space="preserve">交易平台。有关投标文件提交的事项详见第一章投标须知。 </w:t>
      </w:r>
    </w:p>
    <w:p w14:paraId="6E6F5EA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58D90F4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41.3按36.5.1的规定完成解密后，公布下列内容，并予以记录，记录提交评标委员会评审： </w:t>
      </w:r>
    </w:p>
    <w:p w14:paraId="0C4195A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41.3.1开标时，公布：a、投标人名称；b、</w:t>
      </w:r>
      <w:r>
        <w:rPr>
          <w:rFonts w:hint="eastAsia" w:ascii="宋体" w:hAnsi="宋体"/>
          <w:color w:val="auto"/>
          <w:sz w:val="24"/>
          <w:highlight w:val="none"/>
        </w:rPr>
        <w:t>投标文件</w:t>
      </w:r>
      <w:r>
        <w:rPr>
          <w:rFonts w:hint="eastAsia" w:ascii="宋体" w:hAns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14:paraId="7E11BC3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41.4招标人对开标过程进行记录，并存档备查，投标人在开标记录上签字。</w:t>
      </w:r>
    </w:p>
    <w:p w14:paraId="427ECEA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41.5 招标人将上述符合要求的投标文件，送至评标委员会进行评审。</w:t>
      </w:r>
    </w:p>
    <w:p w14:paraId="7715B7E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评标细则</w:t>
      </w:r>
    </w:p>
    <w:p w14:paraId="3A5EF79C">
      <w:pPr>
        <w:widowControl/>
        <w:spacing w:line="360" w:lineRule="auto"/>
        <w:ind w:firstLine="480" w:firstLineChars="200"/>
        <w:jc w:val="left"/>
        <w:rPr>
          <w:rFonts w:hint="eastAsia" w:ascii="宋体" w:hAnsi="宋体"/>
          <w:color w:val="auto"/>
          <w:sz w:val="24"/>
          <w:szCs w:val="24"/>
          <w:highlight w:val="none"/>
        </w:rPr>
      </w:pPr>
      <w:r>
        <w:rPr>
          <w:rFonts w:ascii="宋体" w:hAnsi="宋体"/>
          <w:color w:val="auto"/>
          <w:sz w:val="24"/>
          <w:szCs w:val="24"/>
          <w:highlight w:val="none"/>
        </w:rPr>
        <w:t>42.1</w:t>
      </w:r>
      <w:r>
        <w:rPr>
          <w:rFonts w:hint="eastAsia" w:ascii="宋体" w:hAnsi="宋体"/>
          <w:color w:val="auto"/>
          <w:sz w:val="24"/>
          <w:szCs w:val="24"/>
          <w:highlight w:val="none"/>
        </w:rPr>
        <w:t>评标委员会的组成：评标委员会为综合评标委员会，负责评标工作。</w:t>
      </w:r>
    </w:p>
    <w:p w14:paraId="5E525B39">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14:paraId="70E5AE39">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0C4E2622">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14:paraId="59D2EAF6">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14:paraId="729B8A54">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4BA9041F">
      <w:pPr>
        <w:pStyle w:val="4"/>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14:paraId="5306295C">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color w:val="auto"/>
          <w:sz w:val="24"/>
          <w:szCs w:val="24"/>
          <w:highlight w:val="none"/>
        </w:rPr>
        <w:t>42.2.6资格审查合格的投标人少于3名的（当N个标段同时招标且不允许兼中时，资格审查合格的投标人少于N+2名），则本项目招标失败。</w:t>
      </w:r>
      <w:r>
        <w:rPr>
          <w:rFonts w:hint="eastAsia" w:ascii="宋体" w:hAnsi="宋体" w:cs="宋体"/>
          <w:color w:val="auto"/>
          <w:kern w:val="0"/>
          <w:sz w:val="24"/>
          <w:szCs w:val="24"/>
          <w:highlight w:val="none"/>
        </w:rPr>
        <w:t xml:space="preserve"> </w:t>
      </w:r>
    </w:p>
    <w:p w14:paraId="60270E1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5AEAFC5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4投标文件算术校核：</w:t>
      </w:r>
    </w:p>
    <w:p w14:paraId="7283D44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评标委员会将对通过技术标有效性审查的投标文件投标报价按照就低不就高的原则进行算术校核，具体标准如下：</w:t>
      </w:r>
    </w:p>
    <w:p w14:paraId="24DA59D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.1</w:t>
      </w:r>
      <w:r>
        <w:rPr>
          <w:rFonts w:hint="eastAsia" w:ascii="宋体" w:hAnsi="宋体"/>
          <w:color w:val="auto"/>
          <w:sz w:val="24"/>
          <w:szCs w:val="24"/>
          <w:highlight w:val="none"/>
        </w:rPr>
        <w:t>如果数字表示的金额和用文字表示的金额不一致时，应以文字表示的金额为准；</w:t>
      </w:r>
    </w:p>
    <w:p w14:paraId="66F744E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.2</w:t>
      </w:r>
      <w:r>
        <w:rPr>
          <w:rFonts w:hint="eastAsia" w:ascii="宋体" w:hAnsi="宋体"/>
          <w:color w:val="auto"/>
          <w:sz w:val="24"/>
          <w:szCs w:val="24"/>
          <w:highlight w:val="none"/>
        </w:rPr>
        <w:t>经算术复核的中标候选人报价与其投标报价不一致时，按就低不就高原则确定其最终报价；</w:t>
      </w:r>
    </w:p>
    <w:p w14:paraId="6F63C09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.3</w:t>
      </w:r>
      <w:r>
        <w:rPr>
          <w:rFonts w:hint="eastAsia" w:ascii="宋体" w:hAnsi="宋体"/>
          <w:color w:val="auto"/>
          <w:sz w:val="24"/>
          <w:szCs w:val="24"/>
          <w:highlight w:val="none"/>
        </w:rPr>
        <w:t>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20E5F0D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468AF6F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100F6574">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 xml:space="preserve">.6 </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350F641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58D8EAE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7AEEA42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5确定投标文件的评审次序</w:t>
      </w:r>
    </w:p>
    <w:p w14:paraId="1069AB3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w:t>
      </w:r>
      <w:r>
        <w:rPr>
          <w:rFonts w:ascii="宋体" w:hAnsi="宋体"/>
          <w:color w:val="auto"/>
          <w:sz w:val="24"/>
          <w:szCs w:val="24"/>
          <w:highlight w:val="none"/>
        </w:rPr>
        <w:t>.1</w:t>
      </w:r>
      <w:r>
        <w:rPr>
          <w:rFonts w:hint="eastAsia" w:ascii="宋体" w:hAnsi="宋体"/>
          <w:color w:val="auto"/>
          <w:sz w:val="24"/>
          <w:szCs w:val="24"/>
          <w:highlight w:val="none"/>
        </w:rPr>
        <w:t>确定评标方式</w:t>
      </w:r>
    </w:p>
    <w:p w14:paraId="3D964A0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采用经评审的最低投标价法的，招标人应当提出必要的评标价格调整方法，不得以投标报价作为单一决定因素。鼓励招标人实施技术、质量、服务、信用、品牌和价格等多种因素的评标评审。</w:t>
      </w:r>
    </w:p>
    <w:p w14:paraId="29F8A89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42.6 投标文件的有效性审查</w:t>
      </w:r>
    </w:p>
    <w:p w14:paraId="07D28A0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w:t>
      </w:r>
      <w:r>
        <w:rPr>
          <w:rFonts w:ascii="宋体" w:hAnsi="宋体"/>
          <w:color w:val="auto"/>
          <w:sz w:val="24"/>
          <w:szCs w:val="24"/>
          <w:highlight w:val="none"/>
        </w:rPr>
        <w:t>发现投标</w:t>
      </w:r>
      <w:r>
        <w:rPr>
          <w:rFonts w:hint="eastAsia" w:ascii="宋体" w:hAnsi="宋体"/>
          <w:color w:val="auto"/>
          <w:sz w:val="24"/>
          <w:szCs w:val="24"/>
          <w:highlight w:val="none"/>
        </w:rPr>
        <w:t>文件</w:t>
      </w:r>
      <w:r>
        <w:rPr>
          <w:rFonts w:ascii="宋体" w:hAnsi="宋体"/>
          <w:color w:val="auto"/>
          <w:sz w:val="24"/>
          <w:szCs w:val="24"/>
          <w:highlight w:val="none"/>
        </w:rPr>
        <w:t>中</w:t>
      </w:r>
      <w:r>
        <w:rPr>
          <w:rFonts w:hint="eastAsia" w:ascii="宋体" w:hAnsi="宋体"/>
          <w:color w:val="auto"/>
          <w:sz w:val="24"/>
          <w:szCs w:val="24"/>
          <w:highlight w:val="none"/>
        </w:rPr>
        <w:t>含义不明确</w:t>
      </w:r>
      <w:r>
        <w:rPr>
          <w:rFonts w:ascii="宋体" w:hAnsi="宋体"/>
          <w:color w:val="auto"/>
          <w:sz w:val="24"/>
          <w:szCs w:val="24"/>
          <w:highlight w:val="none"/>
        </w:rPr>
        <w:t>、对同类问题表述不一致、有明显</w:t>
      </w:r>
      <w:r>
        <w:rPr>
          <w:rFonts w:hint="eastAsia" w:ascii="宋体" w:hAnsi="宋体"/>
          <w:color w:val="auto"/>
          <w:sz w:val="24"/>
          <w:szCs w:val="24"/>
          <w:highlight w:val="none"/>
        </w:rPr>
        <w:t>文字</w:t>
      </w:r>
      <w:r>
        <w:rPr>
          <w:rFonts w:ascii="宋体" w:hAnsi="宋体"/>
          <w:color w:val="auto"/>
          <w:sz w:val="24"/>
          <w:szCs w:val="24"/>
          <w:highlight w:val="none"/>
        </w:rPr>
        <w:t>和计算错误</w:t>
      </w:r>
      <w:r>
        <w:rPr>
          <w:rFonts w:hint="eastAsia" w:ascii="宋体" w:hAnsi="宋体"/>
          <w:color w:val="auto"/>
          <w:sz w:val="24"/>
          <w:szCs w:val="24"/>
          <w:highlight w:val="none"/>
        </w:rPr>
        <w:t>、</w:t>
      </w:r>
      <w:r>
        <w:rPr>
          <w:rFonts w:ascii="宋体" w:hAnsi="宋体"/>
          <w:color w:val="auto"/>
          <w:sz w:val="24"/>
          <w:szCs w:val="24"/>
          <w:highlight w:val="none"/>
        </w:rPr>
        <w:t>投标报价可能低于成本影响履约的，应当</w:t>
      </w:r>
      <w:r>
        <w:rPr>
          <w:rFonts w:hint="eastAsia" w:ascii="宋体" w:hAnsi="宋体"/>
          <w:color w:val="auto"/>
          <w:sz w:val="24"/>
          <w:szCs w:val="24"/>
          <w:highlight w:val="none"/>
        </w:rPr>
        <w:t>要求</w:t>
      </w:r>
      <w:r>
        <w:rPr>
          <w:rFonts w:ascii="宋体" w:hAnsi="宋体"/>
          <w:color w:val="auto"/>
          <w:sz w:val="24"/>
          <w:szCs w:val="24"/>
          <w:highlight w:val="none"/>
        </w:rPr>
        <w:t>投标人作必要的澄清、说明</w:t>
      </w:r>
      <w:r>
        <w:rPr>
          <w:rFonts w:hint="eastAsia" w:ascii="宋体" w:hAnsi="宋体"/>
          <w:color w:val="auto"/>
          <w:sz w:val="24"/>
          <w:szCs w:val="24"/>
          <w:highlight w:val="none"/>
        </w:rPr>
        <w:t>后再判定投标人是否通过有效性审查</w:t>
      </w:r>
      <w:r>
        <w:rPr>
          <w:rFonts w:ascii="宋体" w:hAnsi="宋体"/>
          <w:color w:val="auto"/>
          <w:sz w:val="24"/>
          <w:szCs w:val="24"/>
          <w:highlight w:val="none"/>
        </w:rPr>
        <w:t>，不得直接否决投标</w:t>
      </w:r>
      <w:r>
        <w:rPr>
          <w:rFonts w:hint="eastAsia" w:ascii="宋体" w:hAnsi="宋体"/>
          <w:color w:val="auto"/>
          <w:sz w:val="24"/>
          <w:szCs w:val="24"/>
          <w:highlight w:val="none"/>
        </w:rPr>
        <w:t>。</w:t>
      </w:r>
    </w:p>
    <w:p w14:paraId="678C08F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7评标结束后，评标委员会应当在通过投标文件有效性审查的投标人中，按照原投标文件的评审次序，推荐前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名依次为第一中标候选人至第三中标候选人，并编写评标报告。</w:t>
      </w:r>
    </w:p>
    <w:p w14:paraId="71FE5D1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8若有效投标人不足三家，应当依法重新招标。（当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14:paraId="01B53177">
      <w:pPr>
        <w:rPr>
          <w:rFonts w:hint="eastAsia" w:ascii="宋体" w:hAnsi="宋体"/>
          <w:color w:val="auto"/>
          <w:sz w:val="24"/>
          <w:szCs w:val="24"/>
          <w:highlight w:val="none"/>
        </w:rPr>
      </w:pPr>
      <w:r>
        <w:rPr>
          <w:rFonts w:ascii="宋体" w:hAnsi="宋体"/>
          <w:color w:val="auto"/>
          <w:sz w:val="24"/>
          <w:szCs w:val="24"/>
          <w:highlight w:val="none"/>
        </w:rPr>
        <w:br w:type="page"/>
      </w:r>
    </w:p>
    <w:p w14:paraId="5EEC4181">
      <w:pPr>
        <w:rPr>
          <w:rFonts w:hint="eastAsia" w:ascii="宋体" w:hAnsi="宋体" w:cs="宋体"/>
          <w:b/>
          <w:color w:val="auto"/>
          <w:sz w:val="28"/>
          <w:szCs w:val="28"/>
          <w:highlight w:val="none"/>
        </w:rPr>
      </w:pPr>
      <w:r>
        <w:rPr>
          <w:rFonts w:hint="eastAsia" w:ascii="宋体" w:hAnsi="宋体" w:cs="宋体"/>
          <w:b/>
          <w:color w:val="auto"/>
          <w:sz w:val="28"/>
          <w:szCs w:val="28"/>
          <w:highlight w:val="none"/>
        </w:rPr>
        <w:t>附件</w:t>
      </w:r>
      <w:r>
        <w:rPr>
          <w:rFonts w:ascii="宋体" w:hAnsi="宋体" w:cs="宋体"/>
          <w:b/>
          <w:color w:val="auto"/>
          <w:sz w:val="28"/>
          <w:szCs w:val="28"/>
          <w:highlight w:val="none"/>
        </w:rPr>
        <w:t>1</w:t>
      </w:r>
    </w:p>
    <w:p w14:paraId="2A732003">
      <w:pPr>
        <w:ind w:firstLine="723" w:firstLineChars="20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评标委员会成员声明</w:t>
      </w:r>
    </w:p>
    <w:p w14:paraId="6F499D76">
      <w:pPr>
        <w:spacing w:line="360" w:lineRule="auto"/>
        <w:rPr>
          <w:rFonts w:hint="eastAsia" w:ascii="宋体" w:hAnsi="宋体" w:cs="宋体"/>
          <w:color w:val="auto"/>
          <w:sz w:val="24"/>
          <w:szCs w:val="24"/>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本项目招标人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C2C909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本人就参与</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项目的评标工作，作出郑重声明：</w:t>
      </w:r>
    </w:p>
    <w:p w14:paraId="6193ACB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13349DC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4C54CEC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31637CE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04DC42C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750CD7A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如果本人违反上述声明内容，造成的后果由本人自行承担。</w:t>
      </w:r>
    </w:p>
    <w:p w14:paraId="370C76C7">
      <w:pPr>
        <w:spacing w:line="360" w:lineRule="auto"/>
        <w:ind w:firstLine="480" w:firstLineChars="200"/>
        <w:rPr>
          <w:rFonts w:hint="eastAsia" w:ascii="宋体" w:hAnsi="宋体" w:cs="宋体"/>
          <w:color w:val="auto"/>
          <w:sz w:val="24"/>
          <w:szCs w:val="24"/>
          <w:highlight w:val="none"/>
        </w:rPr>
      </w:pPr>
    </w:p>
    <w:p w14:paraId="0867634F">
      <w:pPr>
        <w:spacing w:line="360" w:lineRule="auto"/>
        <w:rPr>
          <w:rFonts w:hint="eastAsia" w:ascii="宋体" w:hAnsi="宋体" w:cs="宋体"/>
          <w:b/>
          <w:color w:val="auto"/>
          <w:sz w:val="24"/>
          <w:szCs w:val="24"/>
          <w:highlight w:val="none"/>
          <w:u w:val="single"/>
        </w:rPr>
      </w:pPr>
      <w:r>
        <w:rPr>
          <w:rFonts w:ascii="宋体" w:hAnsi="宋体" w:cs="宋体"/>
          <w:color w:val="auto"/>
          <w:sz w:val="24"/>
          <w:szCs w:val="24"/>
          <w:highlight w:val="none"/>
        </w:rPr>
        <w:t xml:space="preserve">                             </w:t>
      </w:r>
      <w:r>
        <w:rPr>
          <w:rFonts w:hint="eastAsia" w:ascii="宋体" w:hAnsi="宋体" w:cs="宋体"/>
          <w:b/>
          <w:color w:val="auto"/>
          <w:sz w:val="24"/>
          <w:szCs w:val="24"/>
          <w:highlight w:val="none"/>
        </w:rPr>
        <w:t>声明人：</w:t>
      </w:r>
      <w:r>
        <w:rPr>
          <w:rFonts w:hint="eastAsia" w:ascii="宋体" w:hAnsi="宋体" w:cs="宋体"/>
          <w:b/>
          <w:color w:val="auto"/>
          <w:sz w:val="24"/>
          <w:szCs w:val="24"/>
          <w:highlight w:val="none"/>
          <w:u w:val="single"/>
        </w:rPr>
        <w:t>（签名）</w:t>
      </w:r>
      <w:r>
        <w:rPr>
          <w:rFonts w:ascii="宋体" w:hAnsi="宋体" w:cs="宋体"/>
          <w:b/>
          <w:color w:val="auto"/>
          <w:sz w:val="24"/>
          <w:szCs w:val="24"/>
          <w:highlight w:val="none"/>
          <w:u w:val="single"/>
        </w:rPr>
        <w:t xml:space="preserve">  </w:t>
      </w:r>
    </w:p>
    <w:p w14:paraId="6F2FDA24">
      <w:pPr>
        <w:widowControl/>
        <w:jc w:val="left"/>
        <w:rPr>
          <w:rFonts w:ascii="仿宋_GB2312" w:eastAsia="仿宋_GB2312"/>
          <w:color w:val="auto"/>
          <w:sz w:val="32"/>
          <w:szCs w:val="32"/>
          <w:highlight w:val="none"/>
        </w:rPr>
      </w:pPr>
      <w:r>
        <w:rPr>
          <w:rFonts w:ascii="仿宋_GB2312" w:eastAsia="仿宋_GB2312"/>
          <w:color w:val="auto"/>
          <w:sz w:val="32"/>
          <w:szCs w:val="32"/>
          <w:highlight w:val="none"/>
        </w:rPr>
        <w:br w:type="page"/>
      </w:r>
    </w:p>
    <w:p w14:paraId="2459F5B0">
      <w:pPr>
        <w:widowControl/>
        <w:snapToGrid w:val="0"/>
        <w:spacing w:line="360" w:lineRule="auto"/>
        <w:ind w:right="102"/>
        <w:jc w:val="left"/>
        <w:rPr>
          <w:rFonts w:ascii="宋体"/>
          <w:color w:val="auto"/>
          <w:szCs w:val="21"/>
          <w:highlight w:val="none"/>
        </w:rPr>
      </w:pPr>
      <w:r>
        <w:rPr>
          <w:rFonts w:hint="eastAsia" w:ascii="宋体" w:hAnsi="宋体"/>
          <w:color w:val="auto"/>
          <w:szCs w:val="21"/>
          <w:highlight w:val="none"/>
        </w:rPr>
        <w:t>附表一：</w:t>
      </w:r>
    </w:p>
    <w:p w14:paraId="1E6E0EA3">
      <w:pPr>
        <w:jc w:val="center"/>
        <w:outlineLvl w:val="3"/>
        <w:rPr>
          <w:b/>
          <w:color w:val="auto"/>
          <w:sz w:val="32"/>
          <w:szCs w:val="32"/>
          <w:highlight w:val="none"/>
        </w:rPr>
      </w:pPr>
      <w:r>
        <w:rPr>
          <w:rFonts w:hint="eastAsia"/>
          <w:b/>
          <w:color w:val="auto"/>
          <w:sz w:val="32"/>
          <w:szCs w:val="32"/>
          <w:highlight w:val="none"/>
        </w:rPr>
        <w:t>资格审查表</w:t>
      </w:r>
    </w:p>
    <w:p w14:paraId="78997864">
      <w:pPr>
        <w:spacing w:line="480" w:lineRule="auto"/>
        <w:rPr>
          <w:color w:val="auto"/>
          <w:sz w:val="24"/>
          <w:szCs w:val="24"/>
          <w:highlight w:val="none"/>
        </w:rPr>
      </w:pPr>
      <w:r>
        <w:rPr>
          <w:rFonts w:hint="eastAsia"/>
          <w:color w:val="auto"/>
          <w:sz w:val="24"/>
          <w:szCs w:val="24"/>
          <w:highlight w:val="none"/>
        </w:rPr>
        <w:t>工程名称：</w:t>
      </w:r>
    </w:p>
    <w:p w14:paraId="5EDD3B9C">
      <w:pPr>
        <w:spacing w:line="480" w:lineRule="auto"/>
        <w:rPr>
          <w:color w:val="auto"/>
          <w:sz w:val="24"/>
          <w:szCs w:val="24"/>
          <w:highlight w:val="none"/>
        </w:rPr>
      </w:pPr>
      <w:r>
        <w:rPr>
          <w:rFonts w:hint="eastAsia"/>
          <w:color w:val="auto"/>
          <w:sz w:val="24"/>
          <w:szCs w:val="24"/>
          <w:highlight w:val="none"/>
        </w:rPr>
        <w:t>投标人名称：</w:t>
      </w:r>
    </w:p>
    <w:tbl>
      <w:tblPr>
        <w:tblStyle w:val="18"/>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720"/>
      </w:tblGrid>
      <w:tr w14:paraId="7BD37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dxa"/>
            <w:tcBorders>
              <w:top w:val="single" w:color="auto" w:sz="4" w:space="0"/>
              <w:left w:val="single" w:color="auto" w:sz="4" w:space="0"/>
              <w:bottom w:val="single" w:color="auto" w:sz="4" w:space="0"/>
              <w:right w:val="single" w:color="auto" w:sz="4" w:space="0"/>
            </w:tcBorders>
            <w:vAlign w:val="center"/>
          </w:tcPr>
          <w:p w14:paraId="18E74B38">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3780" w:type="dxa"/>
            <w:tcBorders>
              <w:top w:val="single" w:color="auto" w:sz="4" w:space="0"/>
              <w:left w:val="single" w:color="auto" w:sz="4" w:space="0"/>
              <w:bottom w:val="single" w:color="auto" w:sz="4" w:space="0"/>
              <w:right w:val="single" w:color="auto" w:sz="4" w:space="0"/>
            </w:tcBorders>
            <w:vAlign w:val="center"/>
          </w:tcPr>
          <w:p w14:paraId="1CCF9D08">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14:paraId="302CD309">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7D3E5F3C">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审查结果</w:t>
            </w:r>
          </w:p>
        </w:tc>
      </w:tr>
      <w:tr w14:paraId="77BF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94F10F6">
            <w:pPr>
              <w:spacing w:before="120" w:after="60"/>
              <w:jc w:val="center"/>
              <w:rPr>
                <w:rFonts w:hint="eastAsia" w:ascii="宋体" w:hAnsi="宋体"/>
                <w:color w:val="auto"/>
                <w:szCs w:val="21"/>
                <w:highlight w:val="none"/>
              </w:rPr>
            </w:pPr>
            <w:r>
              <w:rPr>
                <w:rFonts w:ascii="宋体" w:hAnsi="宋体"/>
                <w:color w:val="auto"/>
                <w:szCs w:val="21"/>
                <w:highlight w:val="none"/>
              </w:rPr>
              <w:t>1</w:t>
            </w:r>
          </w:p>
        </w:tc>
        <w:tc>
          <w:tcPr>
            <w:tcW w:w="3780" w:type="dxa"/>
            <w:tcBorders>
              <w:top w:val="single" w:color="auto" w:sz="4" w:space="0"/>
              <w:left w:val="single" w:color="auto" w:sz="4" w:space="0"/>
              <w:bottom w:val="single" w:color="auto" w:sz="4" w:space="0"/>
              <w:right w:val="single" w:color="auto" w:sz="4" w:space="0"/>
            </w:tcBorders>
            <w:vAlign w:val="center"/>
          </w:tcPr>
          <w:p w14:paraId="257E3FDB">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14:paraId="443FA36D">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14:paraId="39D83AC6">
            <w:pPr>
              <w:spacing w:before="120" w:after="60"/>
              <w:jc w:val="center"/>
              <w:rPr>
                <w:rFonts w:hint="eastAsia" w:ascii="宋体" w:hAnsi="宋体"/>
                <w:color w:val="auto"/>
                <w:szCs w:val="21"/>
                <w:highlight w:val="none"/>
              </w:rPr>
            </w:pPr>
          </w:p>
        </w:tc>
      </w:tr>
      <w:tr w14:paraId="141D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79D8C15">
            <w:pPr>
              <w:spacing w:before="120" w:after="60"/>
              <w:jc w:val="center"/>
              <w:rPr>
                <w:rFonts w:hint="eastAsia" w:ascii="宋体" w:hAnsi="宋体"/>
                <w:color w:val="auto"/>
                <w:szCs w:val="21"/>
                <w:highlight w:val="none"/>
              </w:rPr>
            </w:pPr>
            <w:r>
              <w:rPr>
                <w:rFonts w:ascii="宋体" w:hAnsi="宋体"/>
                <w:color w:val="auto"/>
                <w:szCs w:val="21"/>
                <w:highlight w:val="none"/>
              </w:rPr>
              <w:t>2</w:t>
            </w:r>
          </w:p>
        </w:tc>
        <w:tc>
          <w:tcPr>
            <w:tcW w:w="3780" w:type="dxa"/>
            <w:tcBorders>
              <w:top w:val="single" w:color="auto" w:sz="4" w:space="0"/>
              <w:left w:val="single" w:color="auto" w:sz="4" w:space="0"/>
              <w:bottom w:val="single" w:color="auto" w:sz="4" w:space="0"/>
              <w:right w:val="single" w:color="auto" w:sz="4" w:space="0"/>
            </w:tcBorders>
            <w:vAlign w:val="center"/>
          </w:tcPr>
          <w:p w14:paraId="33213C9C">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14:paraId="0533CA47">
            <w:pPr>
              <w:spacing w:before="120" w:after="60"/>
              <w:jc w:val="center"/>
              <w:rPr>
                <w:rFonts w:hint="eastAsia" w:ascii="宋体" w:hAnsi="宋体"/>
                <w:color w:val="auto"/>
                <w:szCs w:val="21"/>
                <w:highlight w:val="none"/>
              </w:rPr>
            </w:pPr>
            <w:r>
              <w:rPr>
                <w:rFonts w:hint="eastAsia" w:ascii="宋体" w:hAnsi="宋体"/>
                <w:color w:val="auto"/>
                <w:szCs w:val="21"/>
                <w:highlight w:val="none"/>
              </w:rPr>
              <w:t>营业执照扫描件或电子证照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0441CF36">
            <w:pPr>
              <w:spacing w:before="120" w:after="60"/>
              <w:jc w:val="center"/>
              <w:rPr>
                <w:rFonts w:hint="eastAsia" w:ascii="宋体" w:hAnsi="宋体"/>
                <w:color w:val="auto"/>
                <w:szCs w:val="21"/>
                <w:highlight w:val="none"/>
              </w:rPr>
            </w:pPr>
          </w:p>
        </w:tc>
      </w:tr>
      <w:tr w14:paraId="35D5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dxa"/>
            <w:tcBorders>
              <w:top w:val="single" w:color="auto" w:sz="4" w:space="0"/>
              <w:left w:val="single" w:color="auto" w:sz="4" w:space="0"/>
              <w:bottom w:val="single" w:color="auto" w:sz="4" w:space="0"/>
              <w:right w:val="single" w:color="auto" w:sz="4" w:space="0"/>
            </w:tcBorders>
            <w:vAlign w:val="center"/>
          </w:tcPr>
          <w:p w14:paraId="7598296C">
            <w:pPr>
              <w:spacing w:before="120" w:after="60"/>
              <w:jc w:val="center"/>
              <w:rPr>
                <w:rFonts w:hint="eastAsia" w:ascii="宋体" w:hAnsi="宋体"/>
                <w:color w:val="auto"/>
                <w:szCs w:val="21"/>
                <w:highlight w:val="none"/>
              </w:rPr>
            </w:pPr>
            <w:r>
              <w:rPr>
                <w:rFonts w:ascii="宋体" w:hAnsi="宋体"/>
                <w:color w:val="auto"/>
                <w:szCs w:val="21"/>
                <w:highlight w:val="none"/>
              </w:rPr>
              <w:t>3</w:t>
            </w:r>
          </w:p>
        </w:tc>
        <w:tc>
          <w:tcPr>
            <w:tcW w:w="3780" w:type="dxa"/>
            <w:tcBorders>
              <w:top w:val="single" w:color="auto" w:sz="4" w:space="0"/>
              <w:left w:val="single" w:color="auto" w:sz="4" w:space="0"/>
              <w:bottom w:val="single" w:color="auto" w:sz="4" w:space="0"/>
              <w:right w:val="single" w:color="auto" w:sz="4" w:space="0"/>
            </w:tcBorders>
            <w:vAlign w:val="center"/>
          </w:tcPr>
          <w:p w14:paraId="7226A8CE">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投标人均持有建设行政主管部门颁发的有效期内的企业资质证书及安全生产许可证；投标人资质符合公告要求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6B89B901">
            <w:pPr>
              <w:spacing w:before="120" w:after="60"/>
              <w:jc w:val="center"/>
              <w:rPr>
                <w:rFonts w:hint="eastAsia" w:ascii="宋体" w:hAnsi="宋体"/>
                <w:color w:val="auto"/>
                <w:szCs w:val="21"/>
                <w:highlight w:val="none"/>
              </w:rPr>
            </w:pPr>
            <w:r>
              <w:rPr>
                <w:rFonts w:hint="eastAsia" w:ascii="宋体" w:hAnsi="宋体"/>
                <w:color w:val="auto"/>
                <w:szCs w:val="21"/>
                <w:highlight w:val="none"/>
              </w:rPr>
              <w:t>资质证书扫描件或电子证照、安全生产许可证扫描件或电子证照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77D746E9">
            <w:pPr>
              <w:spacing w:before="120" w:after="60"/>
              <w:jc w:val="center"/>
              <w:rPr>
                <w:rFonts w:hint="eastAsia" w:ascii="宋体" w:hAnsi="宋体"/>
                <w:color w:val="auto"/>
                <w:szCs w:val="21"/>
                <w:highlight w:val="none"/>
              </w:rPr>
            </w:pPr>
          </w:p>
        </w:tc>
      </w:tr>
      <w:tr w14:paraId="53C2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A28E30F">
            <w:pPr>
              <w:spacing w:before="120" w:after="60"/>
              <w:jc w:val="center"/>
              <w:rPr>
                <w:rFonts w:hint="eastAsia" w:ascii="宋体" w:hAnsi="宋体"/>
                <w:color w:val="auto"/>
                <w:szCs w:val="21"/>
                <w:highlight w:val="none"/>
              </w:rPr>
            </w:pPr>
            <w:r>
              <w:rPr>
                <w:rFonts w:ascii="宋体" w:hAnsi="宋体"/>
                <w:color w:val="auto"/>
                <w:szCs w:val="21"/>
                <w:highlight w:val="none"/>
              </w:rPr>
              <w:t>4</w:t>
            </w:r>
          </w:p>
        </w:tc>
        <w:tc>
          <w:tcPr>
            <w:tcW w:w="3780" w:type="dxa"/>
            <w:tcBorders>
              <w:top w:val="single" w:color="auto" w:sz="4" w:space="0"/>
              <w:left w:val="single" w:color="auto" w:sz="4" w:space="0"/>
              <w:bottom w:val="single" w:color="auto" w:sz="4" w:space="0"/>
              <w:right w:val="single" w:color="auto" w:sz="4" w:space="0"/>
            </w:tcBorders>
            <w:vAlign w:val="center"/>
          </w:tcPr>
          <w:p w14:paraId="669D6B03">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028726B6">
            <w:pPr>
              <w:spacing w:before="120" w:after="60"/>
              <w:jc w:val="center"/>
              <w:rPr>
                <w:rFonts w:hint="eastAsia" w:ascii="宋体" w:hAnsi="宋体"/>
                <w:color w:val="auto"/>
                <w:szCs w:val="21"/>
                <w:highlight w:val="none"/>
              </w:rPr>
            </w:pPr>
            <w:r>
              <w:rPr>
                <w:rFonts w:hint="eastAsia" w:ascii="宋体" w:hAnsi="宋体"/>
                <w:color w:val="auto"/>
                <w:szCs w:val="21"/>
                <w:highlight w:val="none"/>
              </w:rPr>
              <w:t>有效期内的建造师注册证书扫描件或电子证书（注：打印建造师电子证书后，在个人签名处手写本人签名再扫描提交。）</w:t>
            </w:r>
          </w:p>
        </w:tc>
        <w:tc>
          <w:tcPr>
            <w:tcW w:w="720" w:type="dxa"/>
            <w:tcBorders>
              <w:top w:val="single" w:color="auto" w:sz="4" w:space="0"/>
              <w:left w:val="single" w:color="auto" w:sz="4" w:space="0"/>
              <w:bottom w:val="single" w:color="auto" w:sz="4" w:space="0"/>
              <w:right w:val="single" w:color="auto" w:sz="4" w:space="0"/>
            </w:tcBorders>
            <w:vAlign w:val="center"/>
          </w:tcPr>
          <w:p w14:paraId="588CC000">
            <w:pPr>
              <w:spacing w:before="120" w:after="60"/>
              <w:jc w:val="center"/>
              <w:rPr>
                <w:rFonts w:hint="eastAsia" w:ascii="宋体" w:hAnsi="宋体"/>
                <w:color w:val="auto"/>
                <w:szCs w:val="21"/>
                <w:highlight w:val="none"/>
              </w:rPr>
            </w:pPr>
          </w:p>
        </w:tc>
      </w:tr>
      <w:tr w14:paraId="4E6F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dxa"/>
            <w:tcBorders>
              <w:top w:val="single" w:color="auto" w:sz="4" w:space="0"/>
              <w:left w:val="single" w:color="auto" w:sz="4" w:space="0"/>
              <w:bottom w:val="single" w:color="auto" w:sz="4" w:space="0"/>
              <w:right w:val="single" w:color="auto" w:sz="4" w:space="0"/>
            </w:tcBorders>
            <w:vAlign w:val="center"/>
          </w:tcPr>
          <w:p w14:paraId="0355CB40">
            <w:pPr>
              <w:spacing w:before="120" w:after="60"/>
              <w:jc w:val="center"/>
              <w:rPr>
                <w:rFonts w:hint="eastAsia" w:ascii="宋体" w:hAnsi="宋体"/>
                <w:color w:val="auto"/>
                <w:szCs w:val="21"/>
                <w:highlight w:val="none"/>
              </w:rPr>
            </w:pPr>
            <w:r>
              <w:rPr>
                <w:rFonts w:ascii="宋体" w:hAnsi="宋体"/>
                <w:color w:val="auto"/>
                <w:szCs w:val="21"/>
                <w:highlight w:val="none"/>
              </w:rPr>
              <w:t>5</w:t>
            </w:r>
          </w:p>
        </w:tc>
        <w:tc>
          <w:tcPr>
            <w:tcW w:w="3780" w:type="dxa"/>
            <w:tcBorders>
              <w:top w:val="single" w:color="auto" w:sz="4" w:space="0"/>
              <w:left w:val="single" w:color="auto" w:sz="4" w:space="0"/>
              <w:bottom w:val="single" w:color="auto" w:sz="4" w:space="0"/>
              <w:right w:val="single" w:color="auto" w:sz="4" w:space="0"/>
            </w:tcBorders>
            <w:vAlign w:val="center"/>
          </w:tcPr>
          <w:p w14:paraId="3D018A18">
            <w:pPr>
              <w:spacing w:before="120" w:after="60"/>
              <w:jc w:val="center"/>
              <w:rPr>
                <w:rFonts w:hint="eastAsia" w:ascii="宋体" w:hAnsi="宋体"/>
                <w:color w:val="auto"/>
                <w:szCs w:val="21"/>
                <w:highlight w:val="none"/>
              </w:rPr>
            </w:pPr>
            <w:r>
              <w:rPr>
                <w:rFonts w:hint="eastAsia" w:ascii="宋体" w:hAnsi="宋体"/>
                <w:color w:val="auto"/>
                <w:szCs w:val="21"/>
                <w:highlight w:val="none"/>
              </w:rPr>
              <w:t>持有项目负责人安全生产考核合格证（B类）或建筑施工企业项目负责人安全生产考核合格证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14:paraId="7AD95DC0">
            <w:pPr>
              <w:spacing w:before="120" w:after="60"/>
              <w:jc w:val="center"/>
              <w:rPr>
                <w:rFonts w:hint="eastAsia" w:ascii="宋体" w:hAnsi="宋体"/>
                <w:color w:val="auto"/>
                <w:szCs w:val="21"/>
                <w:highlight w:val="none"/>
              </w:rPr>
            </w:pPr>
            <w:r>
              <w:rPr>
                <w:rFonts w:hint="eastAsia" w:ascii="宋体" w:hAnsi="宋体"/>
                <w:color w:val="auto"/>
                <w:szCs w:val="21"/>
                <w:highlight w:val="none"/>
              </w:rPr>
              <w:t>项目负责人安全生产考核合格证（B类）或建筑施工企业项目负责人安全生产考核合格证证书扫描件或电子证书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1CB27665">
            <w:pPr>
              <w:spacing w:before="120" w:after="60"/>
              <w:jc w:val="center"/>
              <w:rPr>
                <w:rFonts w:hint="eastAsia" w:ascii="宋体" w:hAnsi="宋体"/>
                <w:color w:val="auto"/>
                <w:szCs w:val="21"/>
                <w:highlight w:val="none"/>
              </w:rPr>
            </w:pPr>
          </w:p>
        </w:tc>
      </w:tr>
      <w:tr w14:paraId="2422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CFCB36D">
            <w:pPr>
              <w:spacing w:before="120" w:after="60"/>
              <w:jc w:val="center"/>
              <w:rPr>
                <w:rFonts w:hint="eastAsia" w:ascii="宋体" w:hAnsi="宋体"/>
                <w:color w:val="auto"/>
                <w:szCs w:val="21"/>
                <w:highlight w:val="none"/>
              </w:rPr>
            </w:pPr>
            <w:r>
              <w:rPr>
                <w:rFonts w:hint="eastAsia" w:ascii="宋体" w:hAnsi="宋体"/>
                <w:color w:val="auto"/>
                <w:szCs w:val="21"/>
                <w:highlight w:val="none"/>
              </w:rPr>
              <w:t>6</w:t>
            </w:r>
          </w:p>
        </w:tc>
        <w:tc>
          <w:tcPr>
            <w:tcW w:w="3780" w:type="dxa"/>
            <w:tcBorders>
              <w:top w:val="single" w:color="auto" w:sz="4" w:space="0"/>
              <w:left w:val="single" w:color="auto" w:sz="4" w:space="0"/>
              <w:bottom w:val="single" w:color="auto" w:sz="4" w:space="0"/>
              <w:right w:val="single" w:color="auto" w:sz="4" w:space="0"/>
            </w:tcBorders>
            <w:vAlign w:val="center"/>
          </w:tcPr>
          <w:p w14:paraId="67128765">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4CC28E24">
            <w:pPr>
              <w:spacing w:before="120" w:after="60"/>
              <w:jc w:val="center"/>
              <w:rPr>
                <w:rFonts w:hint="eastAsia" w:ascii="宋体" w:hAnsi="宋体"/>
                <w:color w:val="auto"/>
                <w:szCs w:val="21"/>
                <w:highlight w:val="none"/>
              </w:rPr>
            </w:pPr>
            <w:r>
              <w:rPr>
                <w:rFonts w:hint="eastAsia" w:ascii="宋体" w:hAnsi="宋体"/>
                <w:color w:val="auto"/>
                <w:szCs w:val="21"/>
                <w:highlight w:val="none"/>
              </w:rPr>
              <w:t>拟委托技术负责人的相关证书、资料（具体要求由招标人明确）</w:t>
            </w:r>
          </w:p>
        </w:tc>
        <w:tc>
          <w:tcPr>
            <w:tcW w:w="720" w:type="dxa"/>
            <w:tcBorders>
              <w:top w:val="single" w:color="auto" w:sz="4" w:space="0"/>
              <w:left w:val="single" w:color="auto" w:sz="4" w:space="0"/>
              <w:bottom w:val="single" w:color="auto" w:sz="4" w:space="0"/>
              <w:right w:val="single" w:color="auto" w:sz="4" w:space="0"/>
            </w:tcBorders>
            <w:vAlign w:val="center"/>
          </w:tcPr>
          <w:p w14:paraId="3A2A34BF">
            <w:pPr>
              <w:spacing w:before="120" w:after="60"/>
              <w:jc w:val="center"/>
              <w:rPr>
                <w:rFonts w:hint="eastAsia" w:ascii="宋体" w:hAnsi="宋体"/>
                <w:color w:val="auto"/>
                <w:szCs w:val="21"/>
                <w:highlight w:val="none"/>
              </w:rPr>
            </w:pPr>
          </w:p>
        </w:tc>
      </w:tr>
      <w:tr w14:paraId="39B51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6412CAF">
            <w:pPr>
              <w:spacing w:before="120" w:after="60"/>
              <w:jc w:val="center"/>
              <w:rPr>
                <w:rFonts w:hint="eastAsia" w:ascii="宋体" w:hAnsi="宋体"/>
                <w:color w:val="auto"/>
                <w:szCs w:val="21"/>
                <w:highlight w:val="none"/>
              </w:rPr>
            </w:pPr>
            <w:r>
              <w:rPr>
                <w:rFonts w:hint="eastAsia" w:ascii="宋体" w:hAnsi="宋体"/>
                <w:color w:val="auto"/>
                <w:szCs w:val="21"/>
                <w:highlight w:val="none"/>
              </w:rPr>
              <w:t>7</w:t>
            </w:r>
          </w:p>
        </w:tc>
        <w:tc>
          <w:tcPr>
            <w:tcW w:w="3780" w:type="dxa"/>
            <w:tcBorders>
              <w:top w:val="single" w:color="auto" w:sz="4" w:space="0"/>
              <w:left w:val="single" w:color="auto" w:sz="4" w:space="0"/>
              <w:bottom w:val="single" w:color="auto" w:sz="4" w:space="0"/>
              <w:right w:val="single" w:color="auto" w:sz="4" w:space="0"/>
            </w:tcBorders>
            <w:vAlign w:val="center"/>
          </w:tcPr>
          <w:p w14:paraId="1F845358">
            <w:pPr>
              <w:spacing w:before="120" w:after="60"/>
              <w:jc w:val="center"/>
              <w:rPr>
                <w:rFonts w:hint="eastAsia" w:ascii="宋体" w:hAnsi="宋体"/>
                <w:color w:val="auto"/>
                <w:szCs w:val="21"/>
                <w:highlight w:val="none"/>
              </w:rPr>
            </w:pPr>
            <w:r>
              <w:rPr>
                <w:rFonts w:hint="eastAsia" w:ascii="宋体" w:hAnsi="宋体"/>
                <w:color w:val="auto"/>
                <w:szCs w:val="21"/>
                <w:highlight w:val="none"/>
              </w:rPr>
              <w:t>专职安全员须具有安全生产考核合格证（</w:t>
            </w:r>
            <w:r>
              <w:rPr>
                <w:rFonts w:ascii="宋体" w:hAnsi="宋体"/>
                <w:color w:val="auto"/>
                <w:szCs w:val="21"/>
                <w:highlight w:val="none"/>
              </w:rPr>
              <w:t>C</w:t>
            </w:r>
            <w:r>
              <w:rPr>
                <w:rFonts w:hint="eastAsia" w:ascii="宋体" w:hAnsi="宋体"/>
                <w:color w:val="auto"/>
                <w:szCs w:val="21"/>
                <w:highlight w:val="none"/>
              </w:rPr>
              <w:t>证）或建筑施工企业专职安全生产管理人员安全生产考核合格证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14:paraId="770589AE">
            <w:pPr>
              <w:spacing w:before="120" w:after="60"/>
              <w:jc w:val="center"/>
              <w:rPr>
                <w:rFonts w:hint="eastAsia" w:ascii="宋体" w:hAnsi="宋体"/>
                <w:color w:val="auto"/>
                <w:szCs w:val="21"/>
                <w:highlight w:val="none"/>
              </w:rPr>
            </w:pPr>
            <w:r>
              <w:rPr>
                <w:rFonts w:hint="eastAsia" w:ascii="宋体" w:hAnsi="宋体"/>
                <w:color w:val="auto"/>
                <w:szCs w:val="21"/>
                <w:highlight w:val="none"/>
              </w:rPr>
              <w:t>专职安全员的安全生产考核合格证（C类）或建筑施工企业专职安全生产管理人员安全生产考核合格证证书扫描件或电子证书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63F82190">
            <w:pPr>
              <w:spacing w:before="120" w:after="60"/>
              <w:jc w:val="center"/>
              <w:rPr>
                <w:rFonts w:hint="eastAsia" w:ascii="宋体" w:hAnsi="宋体"/>
                <w:color w:val="auto"/>
                <w:szCs w:val="21"/>
                <w:highlight w:val="none"/>
              </w:rPr>
            </w:pPr>
          </w:p>
        </w:tc>
      </w:tr>
      <w:tr w14:paraId="2ABC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35129D8">
            <w:pPr>
              <w:spacing w:before="120" w:after="60"/>
              <w:jc w:val="center"/>
              <w:rPr>
                <w:rFonts w:hint="eastAsia" w:ascii="宋体" w:hAnsi="宋体"/>
                <w:color w:val="auto"/>
                <w:szCs w:val="21"/>
                <w:highlight w:val="none"/>
              </w:rPr>
            </w:pPr>
            <w:r>
              <w:rPr>
                <w:rFonts w:hint="eastAsia" w:ascii="宋体" w:hAnsi="宋体"/>
                <w:color w:val="auto"/>
                <w:szCs w:val="21"/>
                <w:highlight w:val="none"/>
              </w:rPr>
              <w:t>8</w:t>
            </w:r>
          </w:p>
        </w:tc>
        <w:tc>
          <w:tcPr>
            <w:tcW w:w="3780" w:type="dxa"/>
            <w:tcBorders>
              <w:top w:val="single" w:color="auto" w:sz="4" w:space="0"/>
              <w:left w:val="single" w:color="auto" w:sz="4" w:space="0"/>
              <w:bottom w:val="single" w:color="auto" w:sz="4" w:space="0"/>
              <w:right w:val="single" w:color="auto" w:sz="4" w:space="0"/>
            </w:tcBorders>
            <w:vAlign w:val="center"/>
          </w:tcPr>
          <w:p w14:paraId="5AEEDB68">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投标人完成过的类似工程业绩符合公告要求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15833774">
            <w:pPr>
              <w:spacing w:before="120" w:after="6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按招标公告要求提供</w:t>
            </w:r>
          </w:p>
        </w:tc>
        <w:tc>
          <w:tcPr>
            <w:tcW w:w="720" w:type="dxa"/>
            <w:tcBorders>
              <w:top w:val="single" w:color="auto" w:sz="4" w:space="0"/>
              <w:left w:val="single" w:color="auto" w:sz="4" w:space="0"/>
              <w:bottom w:val="single" w:color="auto" w:sz="4" w:space="0"/>
              <w:right w:val="single" w:color="auto" w:sz="4" w:space="0"/>
            </w:tcBorders>
            <w:vAlign w:val="center"/>
          </w:tcPr>
          <w:p w14:paraId="22FFB281">
            <w:pPr>
              <w:spacing w:before="120" w:after="60"/>
              <w:jc w:val="center"/>
              <w:rPr>
                <w:rFonts w:hint="eastAsia" w:ascii="宋体" w:hAnsi="宋体"/>
                <w:color w:val="auto"/>
                <w:szCs w:val="21"/>
                <w:highlight w:val="none"/>
              </w:rPr>
            </w:pPr>
          </w:p>
        </w:tc>
      </w:tr>
      <w:tr w14:paraId="67A6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45AF657">
            <w:pPr>
              <w:spacing w:before="120" w:after="60"/>
              <w:jc w:val="center"/>
              <w:rPr>
                <w:rFonts w:hint="eastAsia" w:ascii="宋体" w:hAnsi="宋体"/>
                <w:color w:val="auto"/>
                <w:szCs w:val="21"/>
                <w:highlight w:val="none"/>
              </w:rPr>
            </w:pPr>
            <w:r>
              <w:rPr>
                <w:rFonts w:hint="eastAsia" w:ascii="宋体" w:hAnsi="宋体"/>
                <w:color w:val="auto"/>
                <w:szCs w:val="21"/>
                <w:highlight w:val="none"/>
              </w:rPr>
              <w:t>9</w:t>
            </w:r>
          </w:p>
        </w:tc>
        <w:tc>
          <w:tcPr>
            <w:tcW w:w="3780" w:type="dxa"/>
            <w:tcBorders>
              <w:top w:val="single" w:color="auto" w:sz="4" w:space="0"/>
              <w:left w:val="single" w:color="auto" w:sz="4" w:space="0"/>
              <w:bottom w:val="single" w:color="auto" w:sz="4" w:space="0"/>
              <w:right w:val="single" w:color="auto" w:sz="4" w:space="0"/>
            </w:tcBorders>
            <w:vAlign w:val="center"/>
          </w:tcPr>
          <w:p w14:paraId="271BC41C">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7E05B08B">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773E27CB">
            <w:pPr>
              <w:spacing w:before="120" w:after="60"/>
              <w:jc w:val="center"/>
              <w:rPr>
                <w:rFonts w:hint="eastAsia" w:ascii="宋体" w:hAnsi="宋体"/>
                <w:color w:val="auto"/>
                <w:szCs w:val="21"/>
                <w:highlight w:val="none"/>
              </w:rPr>
            </w:pPr>
          </w:p>
        </w:tc>
      </w:tr>
      <w:tr w14:paraId="798E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7F17C36">
            <w:pPr>
              <w:spacing w:before="120" w:after="60"/>
              <w:jc w:val="center"/>
              <w:rPr>
                <w:rFonts w:hint="eastAsia" w:ascii="宋体" w:hAnsi="宋体"/>
                <w:color w:val="auto"/>
                <w:szCs w:val="21"/>
                <w:highlight w:val="none"/>
              </w:rPr>
            </w:pPr>
            <w:r>
              <w:rPr>
                <w:rFonts w:hint="eastAsia" w:ascii="宋体" w:hAnsi="宋体"/>
                <w:color w:val="auto"/>
                <w:szCs w:val="21"/>
                <w:highlight w:val="none"/>
              </w:rPr>
              <w:t>10</w:t>
            </w:r>
          </w:p>
        </w:tc>
        <w:tc>
          <w:tcPr>
            <w:tcW w:w="3780" w:type="dxa"/>
            <w:tcBorders>
              <w:top w:val="single" w:color="auto" w:sz="4" w:space="0"/>
              <w:left w:val="single" w:color="auto" w:sz="4" w:space="0"/>
              <w:bottom w:val="single" w:color="auto" w:sz="4" w:space="0"/>
              <w:right w:val="single" w:color="auto" w:sz="4" w:space="0"/>
            </w:tcBorders>
            <w:vAlign w:val="center"/>
          </w:tcPr>
          <w:p w14:paraId="08D27493">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14:paraId="4F626473">
            <w:pPr>
              <w:spacing w:before="120" w:after="60"/>
              <w:jc w:val="center"/>
              <w:rPr>
                <w:rFonts w:hint="eastAsia" w:ascii="宋体" w:hAnsi="宋体"/>
                <w:color w:val="auto"/>
                <w:szCs w:val="21"/>
                <w:highlight w:val="none"/>
              </w:rPr>
            </w:pPr>
            <w:r>
              <w:rPr>
                <w:rFonts w:hint="eastAsia" w:ascii="宋体" w:hAnsi="宋体"/>
                <w:color w:val="auto"/>
                <w:szCs w:val="21"/>
                <w:highlight w:val="none"/>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653CC959">
            <w:pPr>
              <w:spacing w:before="120" w:after="60"/>
              <w:jc w:val="center"/>
              <w:rPr>
                <w:rFonts w:hint="eastAsia" w:ascii="宋体" w:hAnsi="宋体"/>
                <w:color w:val="auto"/>
                <w:szCs w:val="21"/>
                <w:highlight w:val="none"/>
              </w:rPr>
            </w:pPr>
          </w:p>
        </w:tc>
      </w:tr>
      <w:tr w14:paraId="0156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0F8DDC2">
            <w:pPr>
              <w:spacing w:before="120" w:after="60"/>
              <w:jc w:val="center"/>
              <w:rPr>
                <w:rFonts w:hint="eastAsia" w:ascii="宋体" w:hAnsi="宋体"/>
                <w:color w:val="auto"/>
                <w:szCs w:val="21"/>
                <w:highlight w:val="none"/>
              </w:rPr>
            </w:pPr>
            <w:r>
              <w:rPr>
                <w:rFonts w:hint="eastAsia" w:ascii="宋体" w:hAnsi="宋体"/>
                <w:color w:val="auto"/>
                <w:szCs w:val="21"/>
                <w:highlight w:val="none"/>
              </w:rPr>
              <w:t>11</w:t>
            </w:r>
          </w:p>
        </w:tc>
        <w:tc>
          <w:tcPr>
            <w:tcW w:w="3780" w:type="dxa"/>
            <w:tcBorders>
              <w:top w:val="single" w:color="auto" w:sz="4" w:space="0"/>
              <w:left w:val="single" w:color="auto" w:sz="4" w:space="0"/>
              <w:bottom w:val="single" w:color="auto" w:sz="4" w:space="0"/>
              <w:right w:val="single" w:color="auto" w:sz="4" w:space="0"/>
            </w:tcBorders>
            <w:vAlign w:val="center"/>
          </w:tcPr>
          <w:p w14:paraId="1154A270">
            <w:pPr>
              <w:spacing w:before="120" w:after="60"/>
              <w:jc w:val="center"/>
              <w:rPr>
                <w:rFonts w:hint="eastAsia" w:ascii="宋体" w:hAnsi="宋体"/>
                <w:color w:val="auto"/>
                <w:szCs w:val="21"/>
                <w:highlight w:val="none"/>
              </w:rPr>
            </w:pPr>
            <w:r>
              <w:rPr>
                <w:rFonts w:hint="eastAsia" w:ascii="宋体" w:hAnsi="宋体"/>
                <w:color w:val="auto"/>
                <w:szCs w:val="21"/>
                <w:highlight w:val="none"/>
              </w:rPr>
              <w:t>提供联合体工作协议。投标人拟任本工程项目负责人应为主办方正式员工。联合体工作协议应明确约定各方拟承担的工作和责任（如有）</w:t>
            </w:r>
          </w:p>
        </w:tc>
        <w:tc>
          <w:tcPr>
            <w:tcW w:w="3420" w:type="dxa"/>
            <w:tcBorders>
              <w:top w:val="single" w:color="auto" w:sz="4" w:space="0"/>
              <w:left w:val="single" w:color="auto" w:sz="4" w:space="0"/>
              <w:bottom w:val="single" w:color="auto" w:sz="4" w:space="0"/>
              <w:right w:val="single" w:color="auto" w:sz="4" w:space="0"/>
            </w:tcBorders>
            <w:vAlign w:val="center"/>
          </w:tcPr>
          <w:p w14:paraId="09F1A6FA">
            <w:pPr>
              <w:spacing w:before="120" w:after="60"/>
              <w:jc w:val="center"/>
              <w:rPr>
                <w:rFonts w:hint="eastAsia" w:ascii="宋体" w:hAnsi="宋体"/>
                <w:color w:val="auto"/>
                <w:szCs w:val="21"/>
                <w:highlight w:val="none"/>
              </w:rPr>
            </w:pPr>
            <w:r>
              <w:rPr>
                <w:rFonts w:hint="eastAsia" w:ascii="宋体" w:hAnsi="宋体"/>
                <w:color w:val="auto"/>
                <w:szCs w:val="21"/>
                <w:highlight w:val="none"/>
              </w:rPr>
              <w:t>联合体工作协议；项目负责人为主办方正式员工在信用管理平台内信息</w:t>
            </w:r>
          </w:p>
        </w:tc>
        <w:tc>
          <w:tcPr>
            <w:tcW w:w="720" w:type="dxa"/>
            <w:tcBorders>
              <w:top w:val="single" w:color="auto" w:sz="4" w:space="0"/>
              <w:left w:val="single" w:color="auto" w:sz="4" w:space="0"/>
              <w:bottom w:val="single" w:color="auto" w:sz="4" w:space="0"/>
              <w:right w:val="single" w:color="auto" w:sz="4" w:space="0"/>
            </w:tcBorders>
            <w:vAlign w:val="center"/>
          </w:tcPr>
          <w:p w14:paraId="33DD6F65">
            <w:pPr>
              <w:spacing w:before="120" w:after="60"/>
              <w:jc w:val="center"/>
              <w:rPr>
                <w:rFonts w:hint="eastAsia" w:ascii="宋体" w:hAnsi="宋体"/>
                <w:color w:val="auto"/>
                <w:szCs w:val="21"/>
                <w:highlight w:val="none"/>
              </w:rPr>
            </w:pPr>
          </w:p>
        </w:tc>
      </w:tr>
      <w:tr w14:paraId="09DA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BC15917">
            <w:pPr>
              <w:spacing w:before="120" w:after="60"/>
              <w:jc w:val="center"/>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2</w:t>
            </w:r>
          </w:p>
        </w:tc>
        <w:tc>
          <w:tcPr>
            <w:tcW w:w="3780" w:type="dxa"/>
            <w:tcBorders>
              <w:top w:val="single" w:color="auto" w:sz="4" w:space="0"/>
              <w:left w:val="single" w:color="auto" w:sz="4" w:space="0"/>
              <w:bottom w:val="single" w:color="auto" w:sz="4" w:space="0"/>
              <w:right w:val="single" w:color="auto" w:sz="4" w:space="0"/>
            </w:tcBorders>
            <w:vAlign w:val="center"/>
          </w:tcPr>
          <w:p w14:paraId="74C0276A">
            <w:pPr>
              <w:spacing w:before="120" w:after="60"/>
              <w:jc w:val="center"/>
              <w:rPr>
                <w:rFonts w:hint="eastAsia" w:ascii="宋体" w:hAnsi="宋体"/>
                <w:color w:val="auto"/>
                <w:szCs w:val="21"/>
                <w:highlight w:val="none"/>
              </w:rPr>
            </w:pPr>
            <w:r>
              <w:rPr>
                <w:rFonts w:hint="eastAsia" w:ascii="宋体" w:hAnsi="宋体"/>
                <w:color w:val="auto"/>
                <w:szCs w:val="21"/>
                <w:highlight w:val="none"/>
              </w:rPr>
              <w:t>资格审查前，投标人须</w:t>
            </w:r>
            <w:r>
              <w:rPr>
                <w:rFonts w:ascii="宋体" w:hAnsi="宋体"/>
                <w:color w:val="auto"/>
                <w:szCs w:val="21"/>
                <w:highlight w:val="none"/>
              </w:rPr>
              <w:t>在</w:t>
            </w:r>
            <w:r>
              <w:rPr>
                <w:rFonts w:hint="eastAsia" w:ascii="宋体" w:hAnsi="宋体"/>
                <w:color w:val="auto"/>
                <w:szCs w:val="21"/>
                <w:highlight w:val="none"/>
              </w:rPr>
              <w:t>广州市住房和城乡建设局建立企业信用档案及拟担任本工程项目负责人、专职安全员须是本企业中的在册人员</w:t>
            </w:r>
          </w:p>
        </w:tc>
        <w:tc>
          <w:tcPr>
            <w:tcW w:w="3420" w:type="dxa"/>
            <w:tcBorders>
              <w:top w:val="single" w:color="auto" w:sz="4" w:space="0"/>
              <w:left w:val="single" w:color="auto" w:sz="4" w:space="0"/>
              <w:bottom w:val="single" w:color="auto" w:sz="4" w:space="0"/>
              <w:right w:val="single" w:color="auto" w:sz="4" w:space="0"/>
            </w:tcBorders>
            <w:vAlign w:val="center"/>
          </w:tcPr>
          <w:p w14:paraId="2C97E7BD">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14:paraId="4EBD60F9">
            <w:pPr>
              <w:spacing w:before="120" w:after="60"/>
              <w:jc w:val="center"/>
              <w:rPr>
                <w:rFonts w:hint="eastAsia" w:ascii="宋体" w:hAnsi="宋体"/>
                <w:color w:val="auto"/>
                <w:szCs w:val="21"/>
                <w:highlight w:val="none"/>
              </w:rPr>
            </w:pPr>
          </w:p>
        </w:tc>
      </w:tr>
      <w:tr w14:paraId="417B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23D435A">
            <w:pPr>
              <w:spacing w:before="120" w:after="60"/>
              <w:jc w:val="center"/>
              <w:rPr>
                <w:rFonts w:hint="eastAsia" w:ascii="宋体" w:hAnsi="宋体"/>
                <w:strike/>
                <w:dstrike w:val="0"/>
                <w:color w:val="auto"/>
                <w:szCs w:val="21"/>
                <w:highlight w:val="none"/>
              </w:rPr>
            </w:pPr>
            <w:r>
              <w:rPr>
                <w:rFonts w:hint="eastAsia" w:ascii="宋体" w:hAnsi="宋体"/>
                <w:strike/>
                <w:dstrike w:val="0"/>
                <w:color w:val="auto"/>
                <w:szCs w:val="21"/>
                <w:highlight w:val="none"/>
              </w:rPr>
              <w:t>13</w:t>
            </w:r>
          </w:p>
        </w:tc>
        <w:tc>
          <w:tcPr>
            <w:tcW w:w="3780" w:type="dxa"/>
            <w:tcBorders>
              <w:top w:val="single" w:color="auto" w:sz="4" w:space="0"/>
              <w:left w:val="single" w:color="auto" w:sz="4" w:space="0"/>
              <w:bottom w:val="single" w:color="auto" w:sz="4" w:space="0"/>
              <w:right w:val="single" w:color="auto" w:sz="4" w:space="0"/>
            </w:tcBorders>
            <w:vAlign w:val="center"/>
          </w:tcPr>
          <w:p w14:paraId="7800920C">
            <w:pPr>
              <w:spacing w:before="120" w:after="60"/>
              <w:jc w:val="center"/>
              <w:rPr>
                <w:rFonts w:hint="eastAsia" w:ascii="宋体" w:hAnsi="宋体"/>
                <w:strike/>
                <w:dstrike w:val="0"/>
                <w:color w:val="auto"/>
                <w:szCs w:val="21"/>
                <w:highlight w:val="none"/>
              </w:rPr>
            </w:pPr>
            <w:r>
              <w:rPr>
                <w:rFonts w:hint="eastAsia" w:ascii="宋体" w:hAnsi="宋体"/>
                <w:strike/>
                <w:dstrike w:val="0"/>
                <w:color w:val="auto"/>
                <w:szCs w:val="21"/>
                <w:highlight w:val="none"/>
              </w:rPr>
              <w:t>未在以往工程中因不充分履约行为被本项目招标人书面拒绝投标的（如有）</w:t>
            </w:r>
          </w:p>
        </w:tc>
        <w:tc>
          <w:tcPr>
            <w:tcW w:w="3420" w:type="dxa"/>
            <w:tcBorders>
              <w:top w:val="single" w:color="auto" w:sz="4" w:space="0"/>
              <w:left w:val="single" w:color="auto" w:sz="4" w:space="0"/>
              <w:bottom w:val="single" w:color="auto" w:sz="4" w:space="0"/>
              <w:right w:val="single" w:color="auto" w:sz="4" w:space="0"/>
            </w:tcBorders>
            <w:vAlign w:val="center"/>
          </w:tcPr>
          <w:p w14:paraId="482F3035">
            <w:pPr>
              <w:spacing w:before="120" w:after="60"/>
              <w:jc w:val="center"/>
              <w:rPr>
                <w:rFonts w:hint="eastAsia" w:ascii="宋体" w:hAnsi="宋体"/>
                <w:strike/>
                <w:dstrike w:val="0"/>
                <w:color w:val="auto"/>
                <w:szCs w:val="21"/>
                <w:highlight w:val="none"/>
              </w:rPr>
            </w:pPr>
            <w:r>
              <w:rPr>
                <w:rFonts w:hint="eastAsia" w:ascii="宋体" w:hAnsi="宋体"/>
                <w:strike/>
                <w:dstrike w:val="0"/>
                <w:color w:val="auto"/>
                <w:szCs w:val="21"/>
                <w:highlight w:val="none"/>
              </w:rPr>
              <w:t>未在以往工程中因不充分履约行为被本项目招标人书面拒绝投标的（如有，提供具体名单；如无，则删除）。</w:t>
            </w:r>
          </w:p>
        </w:tc>
        <w:tc>
          <w:tcPr>
            <w:tcW w:w="720" w:type="dxa"/>
            <w:tcBorders>
              <w:top w:val="single" w:color="auto" w:sz="4" w:space="0"/>
              <w:left w:val="single" w:color="auto" w:sz="4" w:space="0"/>
              <w:bottom w:val="single" w:color="auto" w:sz="4" w:space="0"/>
              <w:right w:val="single" w:color="auto" w:sz="4" w:space="0"/>
            </w:tcBorders>
            <w:vAlign w:val="center"/>
          </w:tcPr>
          <w:p w14:paraId="27B3011C">
            <w:pPr>
              <w:spacing w:before="120" w:after="60"/>
              <w:jc w:val="center"/>
              <w:rPr>
                <w:rFonts w:hint="eastAsia" w:ascii="宋体" w:hAnsi="宋体"/>
                <w:strike/>
                <w:dstrike w:val="0"/>
                <w:color w:val="auto"/>
                <w:szCs w:val="21"/>
                <w:highlight w:val="none"/>
              </w:rPr>
            </w:pPr>
          </w:p>
        </w:tc>
      </w:tr>
      <w:tr w14:paraId="5872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A89AC73">
            <w:pPr>
              <w:spacing w:before="120" w:after="60"/>
              <w:jc w:val="center"/>
              <w:rPr>
                <w:rFonts w:hint="eastAsia" w:ascii="宋体" w:hAnsi="宋体"/>
                <w:color w:val="auto"/>
                <w:szCs w:val="21"/>
                <w:highlight w:val="none"/>
              </w:rPr>
            </w:pPr>
            <w:r>
              <w:rPr>
                <w:rFonts w:hint="eastAsia" w:ascii="宋体" w:hAnsi="宋体"/>
                <w:color w:val="auto"/>
                <w:szCs w:val="21"/>
                <w:highlight w:val="none"/>
              </w:rPr>
              <w:t>14</w:t>
            </w:r>
          </w:p>
        </w:tc>
        <w:tc>
          <w:tcPr>
            <w:tcW w:w="3780" w:type="dxa"/>
            <w:tcBorders>
              <w:top w:val="single" w:color="auto" w:sz="4" w:space="0"/>
              <w:left w:val="single" w:color="auto" w:sz="4" w:space="0"/>
              <w:bottom w:val="single" w:color="auto" w:sz="4" w:space="0"/>
              <w:right w:val="single" w:color="auto" w:sz="4" w:space="0"/>
            </w:tcBorders>
            <w:vAlign w:val="center"/>
          </w:tcPr>
          <w:p w14:paraId="4EADE6A5">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14:paraId="6D0E5F68">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2536F1E5">
            <w:pPr>
              <w:spacing w:before="120" w:after="60"/>
              <w:jc w:val="center"/>
              <w:rPr>
                <w:rFonts w:hint="eastAsia" w:ascii="宋体" w:hAnsi="宋体"/>
                <w:color w:val="auto"/>
                <w:szCs w:val="21"/>
                <w:highlight w:val="none"/>
              </w:rPr>
            </w:pPr>
          </w:p>
        </w:tc>
      </w:tr>
      <w:tr w14:paraId="0F726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8" w:type="dxa"/>
            <w:tcBorders>
              <w:top w:val="single" w:color="auto" w:sz="4" w:space="0"/>
              <w:left w:val="single" w:color="auto" w:sz="4" w:space="0"/>
              <w:bottom w:val="single" w:color="auto" w:sz="4" w:space="0"/>
              <w:right w:val="single" w:color="auto" w:sz="4" w:space="0"/>
            </w:tcBorders>
            <w:vAlign w:val="center"/>
          </w:tcPr>
          <w:p w14:paraId="03BD13A8">
            <w:pPr>
              <w:spacing w:before="120" w:after="60"/>
              <w:jc w:val="center"/>
              <w:rPr>
                <w:rFonts w:hint="eastAsia" w:ascii="宋体" w:hAnsi="宋体"/>
                <w:color w:val="auto"/>
                <w:szCs w:val="21"/>
                <w:highlight w:val="none"/>
              </w:rPr>
            </w:pPr>
            <w:r>
              <w:rPr>
                <w:rFonts w:hint="eastAsia" w:ascii="宋体" w:hAnsi="宋体"/>
                <w:color w:val="auto"/>
                <w:szCs w:val="21"/>
                <w:highlight w:val="none"/>
              </w:rPr>
              <w:t>15</w:t>
            </w:r>
          </w:p>
        </w:tc>
        <w:tc>
          <w:tcPr>
            <w:tcW w:w="3780" w:type="dxa"/>
            <w:tcBorders>
              <w:top w:val="single" w:color="auto" w:sz="4" w:space="0"/>
              <w:left w:val="single" w:color="auto" w:sz="4" w:space="0"/>
              <w:bottom w:val="single" w:color="auto" w:sz="4" w:space="0"/>
              <w:right w:val="single" w:color="auto" w:sz="4" w:space="0"/>
            </w:tcBorders>
            <w:vAlign w:val="center"/>
          </w:tcPr>
          <w:p w14:paraId="2988EC38">
            <w:pPr>
              <w:spacing w:before="120" w:after="60"/>
              <w:jc w:val="center"/>
              <w:rPr>
                <w:rFonts w:hint="eastAsia" w:ascii="宋体" w:hAnsi="宋体"/>
                <w:color w:val="auto"/>
                <w:szCs w:val="21"/>
                <w:highlight w:val="none"/>
              </w:rPr>
            </w:pPr>
            <w:r>
              <w:rPr>
                <w:rFonts w:hint="eastAsia" w:ascii="宋体" w:hAnsi="宋体"/>
                <w:color w:val="auto"/>
                <w:szCs w:val="21"/>
                <w:highlight w:val="none"/>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14:paraId="569C6620">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1CAE0E0C">
            <w:pPr>
              <w:spacing w:before="120" w:after="60"/>
              <w:jc w:val="center"/>
              <w:rPr>
                <w:rFonts w:hint="eastAsia" w:ascii="宋体" w:hAnsi="宋体"/>
                <w:color w:val="auto"/>
                <w:szCs w:val="21"/>
                <w:highlight w:val="none"/>
              </w:rPr>
            </w:pPr>
          </w:p>
        </w:tc>
      </w:tr>
    </w:tbl>
    <w:p w14:paraId="5D3115B6">
      <w:pPr>
        <w:spacing w:line="480" w:lineRule="auto"/>
        <w:ind w:firstLine="470" w:firstLineChars="224"/>
        <w:rPr>
          <w:rFonts w:hint="eastAsia" w:ascii="宋体" w:hAnsi="宋体"/>
          <w:color w:val="auto"/>
          <w:szCs w:val="21"/>
          <w:highlight w:val="none"/>
        </w:rPr>
      </w:pPr>
      <w:r>
        <w:rPr>
          <w:rFonts w:hint="eastAsia" w:ascii="宋体" w:hAnsi="宋体"/>
          <w:color w:val="auto"/>
          <w:szCs w:val="21"/>
          <w:highlight w:val="none"/>
        </w:rPr>
        <w:t>备注：</w:t>
      </w:r>
    </w:p>
    <w:p w14:paraId="024D5DCB">
      <w:pPr>
        <w:spacing w:line="360" w:lineRule="auto"/>
        <w:ind w:firstLine="470" w:firstLineChars="224"/>
        <w:rPr>
          <w:rFonts w:hint="eastAsia" w:ascii="宋体" w:hAnsi="宋体"/>
          <w:color w:val="auto"/>
          <w:szCs w:val="21"/>
          <w:highlight w:val="none"/>
        </w:rPr>
      </w:pPr>
      <w:r>
        <w:rPr>
          <w:rFonts w:hint="eastAsia" w:ascii="宋体" w:hAnsi="宋体"/>
          <w:color w:val="auto"/>
          <w:szCs w:val="21"/>
          <w:highlight w:val="none"/>
        </w:rPr>
        <w:t xml:space="preserve">1、每一项目符合的打“○”，不符合的打“×”； </w:t>
      </w:r>
    </w:p>
    <w:p w14:paraId="539D762F">
      <w:pPr>
        <w:spacing w:line="360" w:lineRule="auto"/>
        <w:ind w:firstLine="470" w:firstLineChars="224"/>
        <w:rPr>
          <w:rFonts w:hint="eastAsia" w:ascii="宋体" w:hAnsi="宋体"/>
          <w:color w:val="auto"/>
          <w:szCs w:val="21"/>
          <w:highlight w:val="none"/>
        </w:rPr>
      </w:pPr>
      <w:r>
        <w:rPr>
          <w:rFonts w:hint="eastAsia" w:ascii="宋体" w:hAnsi="宋体"/>
          <w:color w:val="auto"/>
          <w:szCs w:val="21"/>
          <w:highlight w:val="none"/>
        </w:rPr>
        <w:t>2、若评委意见不一致时，则按少数服从多数的原则，作出评审结论。汇总后，出现一个“×”的结论为“不通过”。</w:t>
      </w:r>
    </w:p>
    <w:p w14:paraId="35A5CB75">
      <w:pPr>
        <w:spacing w:line="360" w:lineRule="auto"/>
        <w:ind w:firstLine="470" w:firstLineChars="224"/>
        <w:rPr>
          <w:rFonts w:hint="eastAsia" w:ascii="宋体" w:hAnsi="宋体"/>
          <w:color w:val="auto"/>
          <w:szCs w:val="21"/>
          <w:highlight w:val="none"/>
        </w:rPr>
      </w:pPr>
      <w:r>
        <w:rPr>
          <w:rFonts w:hint="eastAsia" w:ascii="宋体" w:hAnsi="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49061DDA">
      <w:pPr>
        <w:rPr>
          <w:color w:val="auto"/>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134" w:right="1418" w:bottom="1247" w:left="1418" w:header="851" w:footer="907" w:gutter="0"/>
          <w:cols w:space="425" w:num="1"/>
          <w:titlePg/>
          <w:docGrid w:type="lines" w:linePitch="312" w:charSpace="0"/>
        </w:sectPr>
      </w:pPr>
    </w:p>
    <w:p w14:paraId="0F8AA030">
      <w:pPr>
        <w:rPr>
          <w:color w:val="auto"/>
          <w:szCs w:val="21"/>
          <w:highlight w:val="none"/>
        </w:rPr>
      </w:pPr>
      <w:r>
        <w:rPr>
          <w:rFonts w:hint="eastAsia"/>
          <w:color w:val="auto"/>
          <w:szCs w:val="21"/>
          <w:highlight w:val="none"/>
        </w:rPr>
        <w:t>附表二</w:t>
      </w:r>
    </w:p>
    <w:p w14:paraId="10BE3773">
      <w:pPr>
        <w:jc w:val="center"/>
        <w:outlineLvl w:val="3"/>
        <w:rPr>
          <w:b/>
          <w:color w:val="auto"/>
          <w:sz w:val="36"/>
          <w:szCs w:val="36"/>
          <w:highlight w:val="none"/>
        </w:rPr>
      </w:pPr>
      <w:r>
        <w:rPr>
          <w:rFonts w:hint="eastAsia"/>
          <w:b/>
          <w:color w:val="auto"/>
          <w:sz w:val="36"/>
          <w:szCs w:val="36"/>
          <w:highlight w:val="none"/>
        </w:rPr>
        <w:t>技术标有效性审查表</w:t>
      </w:r>
    </w:p>
    <w:p w14:paraId="5B16FB0A">
      <w:pPr>
        <w:rPr>
          <w:color w:val="auto"/>
          <w:szCs w:val="21"/>
          <w:highlight w:val="none"/>
        </w:rPr>
      </w:pPr>
      <w:r>
        <w:rPr>
          <w:rFonts w:hint="eastAsia"/>
          <w:color w:val="auto"/>
          <w:szCs w:val="21"/>
          <w:highlight w:val="none"/>
        </w:rPr>
        <w:t>工程名称：</w:t>
      </w:r>
    </w:p>
    <w:tbl>
      <w:tblPr>
        <w:tblStyle w:val="18"/>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299"/>
        <w:gridCol w:w="1602"/>
        <w:gridCol w:w="1603"/>
        <w:gridCol w:w="1603"/>
        <w:gridCol w:w="1603"/>
        <w:gridCol w:w="1603"/>
        <w:gridCol w:w="1603"/>
      </w:tblGrid>
      <w:tr w14:paraId="4E8F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440899EC">
            <w:pPr>
              <w:adjustRightInd w:val="0"/>
              <w:rPr>
                <w:rFonts w:hint="eastAsia" w:ascii="宋体" w:hAnsi="宋体"/>
                <w:color w:val="auto"/>
                <w:szCs w:val="21"/>
                <w:highlight w:val="none"/>
              </w:rPr>
            </w:pPr>
            <w:r>
              <w:rPr>
                <w:rFonts w:hint="eastAsia" w:ascii="宋体" w:hAnsi="宋体"/>
                <w:color w:val="auto"/>
                <w:szCs w:val="21"/>
                <w:highlight w:val="none"/>
              </w:rPr>
              <w:t>序号</w:t>
            </w:r>
          </w:p>
        </w:tc>
        <w:tc>
          <w:tcPr>
            <w:tcW w:w="4299" w:type="dxa"/>
            <w:tcBorders>
              <w:top w:val="single" w:color="auto" w:sz="4" w:space="0"/>
              <w:left w:val="single" w:color="auto" w:sz="4" w:space="0"/>
              <w:bottom w:val="single" w:color="auto" w:sz="4" w:space="0"/>
              <w:right w:val="single" w:color="auto" w:sz="4" w:space="0"/>
              <w:tl2br w:val="single" w:color="auto" w:sz="4" w:space="0"/>
            </w:tcBorders>
          </w:tcPr>
          <w:p w14:paraId="79390A50">
            <w:pPr>
              <w:adjustRightInd w:val="0"/>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14:paraId="7A9D7EDB">
            <w:pPr>
              <w:adjustRightInd w:val="0"/>
              <w:rPr>
                <w:rFonts w:hint="eastAsia" w:ascii="宋体" w:hAnsi="宋体"/>
                <w:color w:val="auto"/>
                <w:szCs w:val="21"/>
                <w:highlight w:val="none"/>
              </w:rPr>
            </w:pPr>
          </w:p>
          <w:p w14:paraId="6ADAF7FA">
            <w:pPr>
              <w:adjustRightInd w:val="0"/>
              <w:rPr>
                <w:rFonts w:hint="eastAsia" w:ascii="宋体" w:hAnsi="宋体"/>
                <w:color w:val="auto"/>
                <w:szCs w:val="21"/>
                <w:highlight w:val="none"/>
              </w:rPr>
            </w:pPr>
            <w:r>
              <w:rPr>
                <w:rFonts w:hint="eastAsia" w:ascii="宋体" w:hAnsi="宋体"/>
                <w:color w:val="auto"/>
                <w:szCs w:val="21"/>
                <w:highlight w:val="none"/>
              </w:rPr>
              <w:t>评审内容</w:t>
            </w:r>
          </w:p>
        </w:tc>
        <w:tc>
          <w:tcPr>
            <w:tcW w:w="1602" w:type="dxa"/>
            <w:tcBorders>
              <w:top w:val="single" w:color="auto" w:sz="4" w:space="0"/>
              <w:left w:val="single" w:color="auto" w:sz="4" w:space="0"/>
              <w:bottom w:val="single" w:color="auto" w:sz="4" w:space="0"/>
              <w:right w:val="single" w:color="auto" w:sz="4" w:space="0"/>
            </w:tcBorders>
          </w:tcPr>
          <w:p w14:paraId="1712B4AA">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C22390A">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BB83C1B">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B65B4CC">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B622AE4">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FDEC9B5">
            <w:pPr>
              <w:adjustRightInd w:val="0"/>
              <w:rPr>
                <w:rFonts w:hint="eastAsia" w:ascii="宋体" w:hAnsi="宋体"/>
                <w:color w:val="auto"/>
                <w:szCs w:val="21"/>
                <w:highlight w:val="none"/>
              </w:rPr>
            </w:pPr>
          </w:p>
        </w:tc>
      </w:tr>
      <w:tr w14:paraId="60D5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2D52B462">
            <w:pPr>
              <w:adjustRightInd w:val="0"/>
              <w:rPr>
                <w:rFonts w:hint="eastAsia" w:ascii="宋体" w:hAnsi="宋体"/>
                <w:color w:val="auto"/>
                <w:szCs w:val="21"/>
                <w:highlight w:val="none"/>
              </w:rPr>
            </w:pPr>
            <w:r>
              <w:rPr>
                <w:rFonts w:hint="eastAsia" w:ascii="宋体" w:hAnsi="宋体"/>
                <w:color w:val="auto"/>
                <w:szCs w:val="21"/>
                <w:highlight w:val="none"/>
              </w:rPr>
              <w:t>1</w:t>
            </w:r>
          </w:p>
        </w:tc>
        <w:tc>
          <w:tcPr>
            <w:tcW w:w="4299" w:type="dxa"/>
            <w:tcBorders>
              <w:top w:val="single" w:color="auto" w:sz="4" w:space="0"/>
              <w:left w:val="single" w:color="auto" w:sz="4" w:space="0"/>
              <w:bottom w:val="single" w:color="auto" w:sz="4" w:space="0"/>
              <w:right w:val="single" w:color="auto" w:sz="4" w:space="0"/>
            </w:tcBorders>
            <w:vAlign w:val="center"/>
          </w:tcPr>
          <w:p w14:paraId="651E300A">
            <w:pPr>
              <w:adjustRightInd w:val="0"/>
              <w:rPr>
                <w:rFonts w:hint="eastAsia" w:ascii="宋体" w:hAnsi="宋体"/>
                <w:color w:val="auto"/>
                <w:szCs w:val="21"/>
                <w:highlight w:val="none"/>
              </w:rPr>
            </w:pPr>
            <w:r>
              <w:rPr>
                <w:rFonts w:hint="eastAsia" w:ascii="宋体" w:hAnsi="宋体"/>
                <w:color w:val="auto"/>
                <w:szCs w:val="21"/>
                <w:highlight w:val="none"/>
              </w:rPr>
              <w:t>不能满足完成投标项目工期的；</w:t>
            </w:r>
          </w:p>
        </w:tc>
        <w:tc>
          <w:tcPr>
            <w:tcW w:w="1602" w:type="dxa"/>
            <w:tcBorders>
              <w:top w:val="single" w:color="auto" w:sz="4" w:space="0"/>
              <w:left w:val="single" w:color="auto" w:sz="4" w:space="0"/>
              <w:bottom w:val="single" w:color="auto" w:sz="4" w:space="0"/>
              <w:right w:val="single" w:color="auto" w:sz="4" w:space="0"/>
            </w:tcBorders>
          </w:tcPr>
          <w:p w14:paraId="320C2C8E">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FCB3AA9">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78883C8">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AF0CB36">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6816136">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838E055">
            <w:pPr>
              <w:adjustRightInd w:val="0"/>
              <w:rPr>
                <w:rFonts w:hint="eastAsia" w:ascii="宋体" w:hAnsi="宋体"/>
                <w:color w:val="auto"/>
                <w:szCs w:val="21"/>
                <w:highlight w:val="none"/>
              </w:rPr>
            </w:pPr>
          </w:p>
        </w:tc>
      </w:tr>
      <w:tr w14:paraId="659D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D084C93">
            <w:pPr>
              <w:adjustRightInd w:val="0"/>
              <w:rPr>
                <w:rFonts w:hint="eastAsia" w:ascii="宋体" w:hAnsi="宋体"/>
                <w:color w:val="auto"/>
                <w:szCs w:val="21"/>
                <w:highlight w:val="none"/>
              </w:rPr>
            </w:pPr>
            <w:r>
              <w:rPr>
                <w:rFonts w:hint="eastAsia" w:ascii="宋体" w:hAnsi="宋体"/>
                <w:color w:val="auto"/>
                <w:szCs w:val="21"/>
                <w:highlight w:val="none"/>
              </w:rPr>
              <w:t>2</w:t>
            </w:r>
          </w:p>
        </w:tc>
        <w:tc>
          <w:tcPr>
            <w:tcW w:w="4299" w:type="dxa"/>
            <w:tcBorders>
              <w:top w:val="single" w:color="auto" w:sz="4" w:space="0"/>
              <w:left w:val="single" w:color="auto" w:sz="4" w:space="0"/>
              <w:bottom w:val="single" w:color="auto" w:sz="4" w:space="0"/>
              <w:right w:val="single" w:color="auto" w:sz="4" w:space="0"/>
            </w:tcBorders>
            <w:vAlign w:val="center"/>
          </w:tcPr>
          <w:p w14:paraId="5B09DADB">
            <w:pPr>
              <w:adjustRightInd w:val="0"/>
              <w:rPr>
                <w:rFonts w:hint="eastAsia" w:ascii="宋体" w:hAnsi="宋体"/>
                <w:color w:val="auto"/>
                <w:szCs w:val="21"/>
                <w:highlight w:val="none"/>
              </w:rPr>
            </w:pPr>
            <w:r>
              <w:rPr>
                <w:rFonts w:hint="eastAsia" w:ascii="宋体" w:hAnsi="宋体"/>
                <w:color w:val="auto"/>
                <w:szCs w:val="21"/>
                <w:highlight w:val="none"/>
              </w:rPr>
              <w:t>不符合招标文件及有关技术规格、质量要求、检验标准和方法的；</w:t>
            </w:r>
          </w:p>
        </w:tc>
        <w:tc>
          <w:tcPr>
            <w:tcW w:w="1602" w:type="dxa"/>
            <w:tcBorders>
              <w:top w:val="single" w:color="auto" w:sz="4" w:space="0"/>
              <w:left w:val="single" w:color="auto" w:sz="4" w:space="0"/>
              <w:bottom w:val="single" w:color="auto" w:sz="4" w:space="0"/>
              <w:right w:val="single" w:color="auto" w:sz="4" w:space="0"/>
            </w:tcBorders>
          </w:tcPr>
          <w:p w14:paraId="514F106E">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49A2184">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D285E79">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6E7C618">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4E5955A">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EB33756">
            <w:pPr>
              <w:adjustRightInd w:val="0"/>
              <w:rPr>
                <w:rFonts w:hint="eastAsia" w:ascii="宋体" w:hAnsi="宋体"/>
                <w:color w:val="auto"/>
                <w:szCs w:val="21"/>
                <w:highlight w:val="none"/>
              </w:rPr>
            </w:pPr>
          </w:p>
        </w:tc>
      </w:tr>
      <w:tr w14:paraId="2E94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7420E1A3">
            <w:pPr>
              <w:adjustRightInd w:val="0"/>
              <w:rPr>
                <w:rFonts w:hint="eastAsia" w:ascii="宋体" w:hAnsi="宋体"/>
                <w:strike/>
                <w:dstrike w:val="0"/>
                <w:color w:val="auto"/>
                <w:szCs w:val="21"/>
                <w:highlight w:val="none"/>
              </w:rPr>
            </w:pPr>
            <w:r>
              <w:rPr>
                <w:rFonts w:hint="eastAsia" w:ascii="宋体" w:hAnsi="宋体"/>
                <w:strike/>
                <w:dstrike w:val="0"/>
                <w:color w:val="auto"/>
                <w:szCs w:val="21"/>
                <w:highlight w:val="none"/>
              </w:rPr>
              <w:t>3</w:t>
            </w:r>
          </w:p>
        </w:tc>
        <w:tc>
          <w:tcPr>
            <w:tcW w:w="4299" w:type="dxa"/>
            <w:tcBorders>
              <w:top w:val="single" w:color="auto" w:sz="4" w:space="0"/>
              <w:left w:val="single" w:color="auto" w:sz="4" w:space="0"/>
              <w:bottom w:val="single" w:color="auto" w:sz="4" w:space="0"/>
              <w:right w:val="single" w:color="auto" w:sz="4" w:space="0"/>
            </w:tcBorders>
            <w:vAlign w:val="center"/>
          </w:tcPr>
          <w:p w14:paraId="0B29E168">
            <w:pPr>
              <w:adjustRightInd w:val="0"/>
              <w:rPr>
                <w:rFonts w:hint="eastAsia" w:ascii="宋体" w:hAnsi="宋体"/>
                <w:strike/>
                <w:dstrike w:val="0"/>
                <w:color w:val="auto"/>
                <w:szCs w:val="21"/>
                <w:highlight w:val="none"/>
              </w:rPr>
            </w:pPr>
            <w:r>
              <w:rPr>
                <w:rFonts w:hint="eastAsia" w:ascii="宋体" w:hAnsi="宋体"/>
                <w:strike/>
                <w:dstrike w:val="0"/>
                <w:color w:val="auto"/>
                <w:szCs w:val="21"/>
                <w:highlight w:val="none"/>
              </w:rPr>
              <w:t>在技术投标文件中涉及本工程项目投标报价的；（本条适用于技术标和经济标分别开启的招标项目）</w:t>
            </w:r>
          </w:p>
        </w:tc>
        <w:tc>
          <w:tcPr>
            <w:tcW w:w="1602" w:type="dxa"/>
            <w:tcBorders>
              <w:top w:val="single" w:color="auto" w:sz="4" w:space="0"/>
              <w:left w:val="single" w:color="auto" w:sz="4" w:space="0"/>
              <w:bottom w:val="single" w:color="auto" w:sz="4" w:space="0"/>
              <w:right w:val="single" w:color="auto" w:sz="4" w:space="0"/>
            </w:tcBorders>
          </w:tcPr>
          <w:p w14:paraId="07135FAF">
            <w:pPr>
              <w:adjustRightInd w:val="0"/>
              <w:rPr>
                <w:rFonts w:hint="eastAsia" w:ascii="宋体" w:hAnsi="宋体"/>
                <w:strike/>
                <w:dstrike w:val="0"/>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5A99D4A">
            <w:pPr>
              <w:adjustRightInd w:val="0"/>
              <w:rPr>
                <w:rFonts w:hint="eastAsia" w:ascii="宋体" w:hAnsi="宋体"/>
                <w:strike/>
                <w:dstrike w:val="0"/>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65E453C">
            <w:pPr>
              <w:adjustRightInd w:val="0"/>
              <w:rPr>
                <w:rFonts w:hint="eastAsia" w:ascii="宋体" w:hAnsi="宋体"/>
                <w:strike/>
                <w:dstrike w:val="0"/>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7C04FAE">
            <w:pPr>
              <w:adjustRightInd w:val="0"/>
              <w:rPr>
                <w:rFonts w:hint="eastAsia" w:ascii="宋体" w:hAnsi="宋体"/>
                <w:strike/>
                <w:dstrike w:val="0"/>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8E928D2">
            <w:pPr>
              <w:adjustRightInd w:val="0"/>
              <w:rPr>
                <w:rFonts w:hint="eastAsia" w:ascii="宋体" w:hAnsi="宋体"/>
                <w:strike/>
                <w:dstrike w:val="0"/>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E5C886B">
            <w:pPr>
              <w:adjustRightInd w:val="0"/>
              <w:rPr>
                <w:rFonts w:hint="eastAsia" w:ascii="宋体" w:hAnsi="宋体"/>
                <w:strike/>
                <w:dstrike w:val="0"/>
                <w:color w:val="auto"/>
                <w:szCs w:val="21"/>
                <w:highlight w:val="none"/>
              </w:rPr>
            </w:pPr>
          </w:p>
        </w:tc>
      </w:tr>
      <w:tr w14:paraId="7B6B4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9B88C48">
            <w:pPr>
              <w:adjustRightInd w:val="0"/>
              <w:rPr>
                <w:rFonts w:hint="eastAsia" w:ascii="宋体" w:hAnsi="宋体"/>
                <w:color w:val="auto"/>
                <w:szCs w:val="21"/>
                <w:highlight w:val="none"/>
              </w:rPr>
            </w:pPr>
            <w:r>
              <w:rPr>
                <w:rFonts w:hint="eastAsia" w:ascii="宋体" w:hAnsi="宋体"/>
                <w:color w:val="auto"/>
                <w:szCs w:val="21"/>
                <w:highlight w:val="none"/>
              </w:rPr>
              <w:t>4</w:t>
            </w:r>
          </w:p>
        </w:tc>
        <w:tc>
          <w:tcPr>
            <w:tcW w:w="4299" w:type="dxa"/>
            <w:tcBorders>
              <w:top w:val="single" w:color="auto" w:sz="4" w:space="0"/>
              <w:left w:val="single" w:color="auto" w:sz="4" w:space="0"/>
              <w:bottom w:val="single" w:color="auto" w:sz="4" w:space="0"/>
              <w:right w:val="single" w:color="auto" w:sz="4" w:space="0"/>
            </w:tcBorders>
            <w:vAlign w:val="center"/>
          </w:tcPr>
          <w:p w14:paraId="5EB0F998">
            <w:pPr>
              <w:adjustRightInd w:val="0"/>
              <w:rPr>
                <w:rFonts w:hint="eastAsia" w:ascii="宋体" w:hAnsi="宋体"/>
                <w:color w:val="auto"/>
                <w:szCs w:val="21"/>
                <w:highlight w:val="none"/>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1602" w:type="dxa"/>
            <w:tcBorders>
              <w:top w:val="single" w:color="auto" w:sz="4" w:space="0"/>
              <w:left w:val="single" w:color="auto" w:sz="4" w:space="0"/>
              <w:bottom w:val="single" w:color="auto" w:sz="4" w:space="0"/>
              <w:right w:val="single" w:color="auto" w:sz="4" w:space="0"/>
            </w:tcBorders>
          </w:tcPr>
          <w:p w14:paraId="5815900C">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CDA696D">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10A4EB3">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0808BEC">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2D9EEFC">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E679BA8">
            <w:pPr>
              <w:adjustRightInd w:val="0"/>
              <w:rPr>
                <w:rFonts w:hint="eastAsia" w:ascii="宋体" w:hAnsi="宋体"/>
                <w:color w:val="auto"/>
                <w:szCs w:val="21"/>
                <w:highlight w:val="none"/>
              </w:rPr>
            </w:pPr>
          </w:p>
        </w:tc>
      </w:tr>
      <w:tr w14:paraId="037E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4841EDDD">
            <w:pPr>
              <w:adjustRightInd w:val="0"/>
              <w:rPr>
                <w:rFonts w:hint="eastAsia" w:ascii="宋体" w:hAnsi="宋体"/>
                <w:color w:val="auto"/>
                <w:szCs w:val="21"/>
                <w:highlight w:val="none"/>
              </w:rPr>
            </w:pPr>
            <w:r>
              <w:rPr>
                <w:rFonts w:ascii="宋体" w:hAnsi="宋体"/>
                <w:color w:val="auto"/>
                <w:szCs w:val="21"/>
                <w:highlight w:val="none"/>
              </w:rPr>
              <w:t>5</w:t>
            </w:r>
          </w:p>
        </w:tc>
        <w:tc>
          <w:tcPr>
            <w:tcW w:w="4299" w:type="dxa"/>
            <w:tcBorders>
              <w:top w:val="single" w:color="auto" w:sz="4" w:space="0"/>
              <w:left w:val="single" w:color="auto" w:sz="4" w:space="0"/>
              <w:bottom w:val="single" w:color="auto" w:sz="4" w:space="0"/>
              <w:right w:val="single" w:color="auto" w:sz="4" w:space="0"/>
            </w:tcBorders>
            <w:vAlign w:val="center"/>
          </w:tcPr>
          <w:p w14:paraId="222E35A3">
            <w:pPr>
              <w:adjustRightInd w:val="0"/>
              <w:rPr>
                <w:rFonts w:hint="eastAsia" w:ascii="宋体" w:hAnsi="宋体"/>
                <w:color w:val="auto"/>
                <w:szCs w:val="21"/>
                <w:highlight w:val="none"/>
              </w:rPr>
            </w:pPr>
            <w:r>
              <w:rPr>
                <w:rFonts w:hint="eastAsia" w:ascii="宋体" w:hAnsi="宋体"/>
                <w:color w:val="auto"/>
                <w:szCs w:val="21"/>
                <w:highlight w:val="none"/>
              </w:rPr>
              <w:t>投标文件未按规定的格式填写，或主要内容不全，或关键字迹模糊、无法辨认的；</w:t>
            </w:r>
          </w:p>
        </w:tc>
        <w:tc>
          <w:tcPr>
            <w:tcW w:w="1602" w:type="dxa"/>
            <w:tcBorders>
              <w:top w:val="single" w:color="auto" w:sz="4" w:space="0"/>
              <w:left w:val="single" w:color="auto" w:sz="4" w:space="0"/>
              <w:bottom w:val="single" w:color="auto" w:sz="4" w:space="0"/>
              <w:right w:val="single" w:color="auto" w:sz="4" w:space="0"/>
            </w:tcBorders>
          </w:tcPr>
          <w:p w14:paraId="1D44D1B9">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EC22516">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697CCB6">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71522E8">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C1323C6">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1724033">
            <w:pPr>
              <w:adjustRightInd w:val="0"/>
              <w:rPr>
                <w:rFonts w:hint="eastAsia" w:ascii="宋体" w:hAnsi="宋体"/>
                <w:color w:val="auto"/>
                <w:szCs w:val="21"/>
                <w:highlight w:val="none"/>
              </w:rPr>
            </w:pPr>
          </w:p>
        </w:tc>
      </w:tr>
      <w:tr w14:paraId="184E4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28D32438">
            <w:pPr>
              <w:adjustRightInd w:val="0"/>
              <w:rPr>
                <w:rFonts w:hint="eastAsia" w:ascii="宋体" w:hAnsi="宋体"/>
                <w:color w:val="auto"/>
                <w:szCs w:val="21"/>
                <w:highlight w:val="none"/>
              </w:rPr>
            </w:pPr>
            <w:r>
              <w:rPr>
                <w:rFonts w:ascii="宋体" w:hAnsi="宋体"/>
                <w:color w:val="auto"/>
                <w:szCs w:val="21"/>
                <w:highlight w:val="none"/>
              </w:rPr>
              <w:t>6</w:t>
            </w:r>
          </w:p>
        </w:tc>
        <w:tc>
          <w:tcPr>
            <w:tcW w:w="4299" w:type="dxa"/>
            <w:tcBorders>
              <w:top w:val="single" w:color="auto" w:sz="4" w:space="0"/>
              <w:left w:val="single" w:color="auto" w:sz="4" w:space="0"/>
              <w:bottom w:val="single" w:color="auto" w:sz="4" w:space="0"/>
              <w:right w:val="single" w:color="auto" w:sz="4" w:space="0"/>
            </w:tcBorders>
            <w:vAlign w:val="center"/>
          </w:tcPr>
          <w:p w14:paraId="1A8C20D2">
            <w:pPr>
              <w:adjustRightInd w:val="0"/>
              <w:rPr>
                <w:rFonts w:hint="eastAsia"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602" w:type="dxa"/>
            <w:tcBorders>
              <w:top w:val="single" w:color="auto" w:sz="4" w:space="0"/>
              <w:left w:val="single" w:color="auto" w:sz="4" w:space="0"/>
              <w:bottom w:val="single" w:color="auto" w:sz="4" w:space="0"/>
              <w:right w:val="single" w:color="auto" w:sz="4" w:space="0"/>
            </w:tcBorders>
          </w:tcPr>
          <w:p w14:paraId="02B9F9B4">
            <w:pPr>
              <w:adjustRightInd w:val="0"/>
              <w:rPr>
                <w:rFonts w:hint="eastAsia"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0DBF3383">
            <w:pPr>
              <w:adjustRightInd w:val="0"/>
              <w:rPr>
                <w:rFonts w:hint="eastAsia"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3D63D4A1">
            <w:pPr>
              <w:adjustRightInd w:val="0"/>
              <w:rPr>
                <w:rFonts w:hint="eastAsia"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0CE22D07">
            <w:pPr>
              <w:adjustRightInd w:val="0"/>
              <w:rPr>
                <w:rFonts w:hint="eastAsia"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630EDA77">
            <w:pPr>
              <w:adjustRightInd w:val="0"/>
              <w:rPr>
                <w:rFonts w:hint="eastAsia"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1206E338">
            <w:pPr>
              <w:adjustRightInd w:val="0"/>
              <w:rPr>
                <w:rFonts w:hint="eastAsia" w:ascii="宋体" w:hAnsi="宋体"/>
                <w:color w:val="auto"/>
                <w:szCs w:val="21"/>
                <w:highlight w:val="none"/>
                <w:shd w:val="pct10" w:color="auto" w:fill="FFFFFF"/>
              </w:rPr>
            </w:pPr>
          </w:p>
        </w:tc>
      </w:tr>
      <w:tr w14:paraId="66F9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30269EF8">
            <w:pPr>
              <w:adjustRightInd w:val="0"/>
              <w:rPr>
                <w:rFonts w:hint="eastAsia" w:ascii="宋体" w:hAnsi="宋体"/>
                <w:color w:val="auto"/>
                <w:szCs w:val="21"/>
                <w:highlight w:val="none"/>
              </w:rPr>
            </w:pPr>
            <w:r>
              <w:rPr>
                <w:rFonts w:ascii="宋体" w:hAnsi="宋体"/>
                <w:color w:val="auto"/>
                <w:szCs w:val="21"/>
                <w:highlight w:val="none"/>
              </w:rPr>
              <w:t>7</w:t>
            </w:r>
          </w:p>
        </w:tc>
        <w:tc>
          <w:tcPr>
            <w:tcW w:w="4299" w:type="dxa"/>
            <w:tcBorders>
              <w:top w:val="single" w:color="auto" w:sz="4" w:space="0"/>
              <w:left w:val="single" w:color="auto" w:sz="4" w:space="0"/>
              <w:bottom w:val="single" w:color="auto" w:sz="4" w:space="0"/>
              <w:right w:val="single" w:color="auto" w:sz="4" w:space="0"/>
            </w:tcBorders>
            <w:vAlign w:val="center"/>
          </w:tcPr>
          <w:p w14:paraId="530AEFCB">
            <w:pPr>
              <w:adjustRightInd w:val="0"/>
              <w:rPr>
                <w:rFonts w:hint="eastAsia"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602" w:type="dxa"/>
            <w:tcBorders>
              <w:top w:val="single" w:color="auto" w:sz="4" w:space="0"/>
              <w:left w:val="single" w:color="auto" w:sz="4" w:space="0"/>
              <w:bottom w:val="single" w:color="auto" w:sz="4" w:space="0"/>
              <w:right w:val="single" w:color="auto" w:sz="4" w:space="0"/>
            </w:tcBorders>
          </w:tcPr>
          <w:p w14:paraId="5859013F">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92A5856">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E3FED79">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FCE24FF">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E960024">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15D7629">
            <w:pPr>
              <w:adjustRightInd w:val="0"/>
              <w:rPr>
                <w:rFonts w:hint="eastAsia" w:ascii="宋体" w:hAnsi="宋体"/>
                <w:color w:val="auto"/>
                <w:szCs w:val="21"/>
                <w:highlight w:val="none"/>
              </w:rPr>
            </w:pPr>
          </w:p>
        </w:tc>
      </w:tr>
      <w:tr w14:paraId="3C87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276251EF">
            <w:pPr>
              <w:adjustRightInd w:val="0"/>
              <w:rPr>
                <w:rFonts w:hint="eastAsia" w:ascii="宋体" w:hAnsi="宋体"/>
                <w:strike/>
                <w:dstrike w:val="0"/>
                <w:color w:val="auto"/>
                <w:szCs w:val="21"/>
                <w:highlight w:val="none"/>
              </w:rPr>
            </w:pPr>
            <w:r>
              <w:rPr>
                <w:rFonts w:ascii="宋体" w:hAnsi="宋体"/>
                <w:strike/>
                <w:dstrike w:val="0"/>
                <w:color w:val="auto"/>
                <w:szCs w:val="21"/>
                <w:highlight w:val="none"/>
              </w:rPr>
              <w:t>8</w:t>
            </w:r>
          </w:p>
        </w:tc>
        <w:tc>
          <w:tcPr>
            <w:tcW w:w="4299" w:type="dxa"/>
            <w:tcBorders>
              <w:top w:val="single" w:color="auto" w:sz="4" w:space="0"/>
              <w:left w:val="single" w:color="auto" w:sz="4" w:space="0"/>
              <w:bottom w:val="single" w:color="auto" w:sz="4" w:space="0"/>
              <w:right w:val="single" w:color="auto" w:sz="4" w:space="0"/>
            </w:tcBorders>
            <w:vAlign w:val="center"/>
          </w:tcPr>
          <w:p w14:paraId="1CF2EE48">
            <w:pPr>
              <w:adjustRightInd w:val="0"/>
              <w:rPr>
                <w:rFonts w:hint="eastAsia" w:ascii="宋体" w:hAnsi="宋体"/>
                <w:strike/>
                <w:dstrike w:val="0"/>
                <w:color w:val="auto"/>
                <w:szCs w:val="21"/>
                <w:highlight w:val="none"/>
              </w:rPr>
            </w:pPr>
            <w:r>
              <w:rPr>
                <w:rFonts w:hint="eastAsia" w:ascii="宋体" w:hAnsi="宋体"/>
                <w:strike/>
                <w:dstrike w:val="0"/>
                <w:color w:val="auto"/>
                <w:szCs w:val="21"/>
                <w:highlight w:val="none"/>
              </w:rPr>
              <w:t>投标人未按要求提交投标保证金的</w:t>
            </w:r>
          </w:p>
        </w:tc>
        <w:tc>
          <w:tcPr>
            <w:tcW w:w="1602" w:type="dxa"/>
            <w:tcBorders>
              <w:top w:val="single" w:color="auto" w:sz="4" w:space="0"/>
              <w:left w:val="single" w:color="auto" w:sz="4" w:space="0"/>
              <w:bottom w:val="single" w:color="auto" w:sz="4" w:space="0"/>
              <w:right w:val="single" w:color="auto" w:sz="4" w:space="0"/>
            </w:tcBorders>
          </w:tcPr>
          <w:p w14:paraId="474921F9">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30A1623">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A513F60">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D423DCA">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7F76DAA">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D988054">
            <w:pPr>
              <w:adjustRightInd w:val="0"/>
              <w:rPr>
                <w:rFonts w:hint="eastAsia" w:ascii="宋体" w:hAnsi="宋体"/>
                <w:color w:val="auto"/>
                <w:szCs w:val="21"/>
                <w:highlight w:val="none"/>
              </w:rPr>
            </w:pPr>
          </w:p>
        </w:tc>
      </w:tr>
      <w:tr w14:paraId="6D9E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DADBCDB">
            <w:pPr>
              <w:adjustRightInd w:val="0"/>
              <w:rPr>
                <w:rFonts w:hint="eastAsia" w:ascii="宋体" w:hAnsi="宋体"/>
                <w:color w:val="auto"/>
                <w:szCs w:val="21"/>
                <w:highlight w:val="none"/>
              </w:rPr>
            </w:pPr>
            <w:r>
              <w:rPr>
                <w:rFonts w:ascii="宋体" w:hAnsi="宋体"/>
                <w:color w:val="auto"/>
                <w:szCs w:val="21"/>
                <w:highlight w:val="none"/>
              </w:rPr>
              <w:t>9</w:t>
            </w:r>
          </w:p>
        </w:tc>
        <w:tc>
          <w:tcPr>
            <w:tcW w:w="4299" w:type="dxa"/>
            <w:tcBorders>
              <w:top w:val="single" w:color="auto" w:sz="4" w:space="0"/>
              <w:left w:val="single" w:color="auto" w:sz="4" w:space="0"/>
              <w:bottom w:val="single" w:color="auto" w:sz="4" w:space="0"/>
              <w:right w:val="single" w:color="auto" w:sz="4" w:space="0"/>
            </w:tcBorders>
            <w:vAlign w:val="center"/>
          </w:tcPr>
          <w:p w14:paraId="64A0F750">
            <w:pPr>
              <w:adjustRightInd w:val="0"/>
              <w:rPr>
                <w:rFonts w:hint="eastAsia" w:ascii="宋体" w:hAnsi="宋体"/>
                <w:color w:val="auto"/>
                <w:szCs w:val="21"/>
                <w:highlight w:val="none"/>
              </w:rPr>
            </w:pPr>
            <w:r>
              <w:rPr>
                <w:rFonts w:hint="eastAsia" w:ascii="宋体" w:hAnsi="宋体"/>
                <w:color w:val="auto"/>
                <w:szCs w:val="21"/>
                <w:highlight w:val="none"/>
              </w:rPr>
              <w:t>投标人与本项目其他投标人加密打包投标文件电脑机器特征码一致的（以交易平台评标系统的检索信息为准）</w:t>
            </w:r>
          </w:p>
        </w:tc>
        <w:tc>
          <w:tcPr>
            <w:tcW w:w="1602" w:type="dxa"/>
            <w:tcBorders>
              <w:top w:val="single" w:color="auto" w:sz="4" w:space="0"/>
              <w:left w:val="single" w:color="auto" w:sz="4" w:space="0"/>
              <w:bottom w:val="single" w:color="auto" w:sz="4" w:space="0"/>
              <w:right w:val="single" w:color="auto" w:sz="4" w:space="0"/>
            </w:tcBorders>
          </w:tcPr>
          <w:p w14:paraId="64B51744">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5631F5D">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E2E11CC">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0D089EF">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374D76D">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7DB7BB0F">
            <w:pPr>
              <w:adjustRightInd w:val="0"/>
              <w:rPr>
                <w:rFonts w:hint="eastAsia" w:ascii="宋体" w:hAnsi="宋体"/>
                <w:color w:val="auto"/>
                <w:szCs w:val="21"/>
                <w:highlight w:val="none"/>
              </w:rPr>
            </w:pPr>
          </w:p>
        </w:tc>
      </w:tr>
    </w:tbl>
    <w:p w14:paraId="308404E1">
      <w:pPr>
        <w:rPr>
          <w:rFonts w:hint="eastAsia" w:ascii="宋体" w:hAnsi="宋体"/>
          <w:color w:val="auto"/>
          <w:szCs w:val="21"/>
          <w:highlight w:val="none"/>
        </w:rPr>
      </w:pPr>
      <w:r>
        <w:rPr>
          <w:rFonts w:hint="eastAsia" w:ascii="宋体" w:hAnsi="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14:paraId="0D0D7DFA">
      <w:pPr>
        <w:rPr>
          <w:rFonts w:hint="eastAsia" w:ascii="宋体" w:hAnsi="宋体"/>
          <w:color w:val="auto"/>
          <w:szCs w:val="21"/>
          <w:highlight w:val="none"/>
        </w:rPr>
      </w:pPr>
      <w:r>
        <w:rPr>
          <w:rFonts w:hint="eastAsia" w:ascii="宋体" w:hAnsi="宋体"/>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3B1C39FC">
      <w:pPr>
        <w:rPr>
          <w:rFonts w:hint="eastAsia"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14:paraId="7FFEE600">
      <w:pPr>
        <w:rPr>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r>
        <w:rPr>
          <w:color w:val="auto"/>
          <w:highlight w:val="none"/>
        </w:rPr>
        <w:br w:type="page"/>
      </w:r>
      <w:r>
        <w:rPr>
          <w:rFonts w:hint="eastAsia"/>
          <w:color w:val="auto"/>
          <w:szCs w:val="21"/>
          <w:highlight w:val="none"/>
        </w:rPr>
        <w:t>附表三</w:t>
      </w:r>
    </w:p>
    <w:p w14:paraId="4DCCD79F">
      <w:pPr>
        <w:jc w:val="center"/>
        <w:outlineLvl w:val="3"/>
        <w:rPr>
          <w:b/>
          <w:color w:val="auto"/>
          <w:sz w:val="36"/>
          <w:szCs w:val="36"/>
          <w:highlight w:val="none"/>
        </w:rPr>
      </w:pPr>
      <w:r>
        <w:rPr>
          <w:rFonts w:hint="eastAsia"/>
          <w:b/>
          <w:color w:val="auto"/>
          <w:sz w:val="36"/>
          <w:szCs w:val="36"/>
          <w:highlight w:val="none"/>
        </w:rPr>
        <w:t>经济标有效性审查表</w:t>
      </w:r>
    </w:p>
    <w:p w14:paraId="0DB319B6">
      <w:pPr>
        <w:rPr>
          <w:color w:val="auto"/>
          <w:szCs w:val="21"/>
          <w:highlight w:val="none"/>
        </w:rPr>
      </w:pPr>
      <w:r>
        <w:rPr>
          <w:rFonts w:hint="eastAsia"/>
          <w:color w:val="auto"/>
          <w:szCs w:val="21"/>
          <w:highlight w:val="none"/>
        </w:rPr>
        <w:t>工程名称：</w:t>
      </w:r>
    </w:p>
    <w:tbl>
      <w:tblPr>
        <w:tblStyle w:val="18"/>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7F47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786CCAC5">
            <w:pPr>
              <w:rPr>
                <w:rFonts w:hint="eastAsia" w:ascii="宋体" w:hAnsi="宋体"/>
                <w:color w:val="auto"/>
                <w:szCs w:val="21"/>
                <w:highlight w:val="none"/>
              </w:rPr>
            </w:pPr>
            <w:r>
              <w:rPr>
                <w:rFonts w:hint="eastAsia" w:ascii="宋体" w:hAnsi="宋体"/>
                <w:color w:val="auto"/>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02349C09">
            <w:pPr>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14:paraId="113E8A8F">
            <w:pPr>
              <w:rPr>
                <w:rFonts w:hint="eastAsia" w:ascii="宋体" w:hAnsi="宋体"/>
                <w:color w:val="auto"/>
                <w:szCs w:val="21"/>
                <w:highlight w:val="none"/>
              </w:rPr>
            </w:pPr>
          </w:p>
          <w:p w14:paraId="462041F9">
            <w:pPr>
              <w:rPr>
                <w:rFonts w:hint="eastAsia" w:ascii="宋体" w:hAnsi="宋体"/>
                <w:color w:val="auto"/>
                <w:szCs w:val="21"/>
                <w:highlight w:val="none"/>
              </w:rPr>
            </w:pPr>
            <w:r>
              <w:rPr>
                <w:rFonts w:hint="eastAsia" w:ascii="宋体" w:hAnsi="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14:paraId="5EE98D93">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F0A3634">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84C439D">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6E4E7A3A">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AAD5EE9">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561DB28">
            <w:pPr>
              <w:rPr>
                <w:rFonts w:hint="eastAsia" w:ascii="宋体" w:hAnsi="宋体"/>
                <w:color w:val="auto"/>
                <w:szCs w:val="21"/>
                <w:highlight w:val="none"/>
              </w:rPr>
            </w:pPr>
          </w:p>
        </w:tc>
      </w:tr>
      <w:tr w14:paraId="5F69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D68E97C">
            <w:pPr>
              <w:rPr>
                <w:rFonts w:hint="eastAsia" w:ascii="宋体" w:hAnsi="宋体"/>
                <w:color w:val="auto"/>
                <w:szCs w:val="21"/>
                <w:highlight w:val="none"/>
              </w:rPr>
            </w:pPr>
            <w:r>
              <w:rPr>
                <w:rFonts w:ascii="宋体" w:hAnsi="宋体"/>
                <w:color w:val="auto"/>
                <w:szCs w:val="21"/>
                <w:highlight w:val="none"/>
              </w:rPr>
              <w:t>1</w:t>
            </w:r>
          </w:p>
        </w:tc>
        <w:tc>
          <w:tcPr>
            <w:tcW w:w="6102" w:type="dxa"/>
            <w:tcBorders>
              <w:top w:val="single" w:color="auto" w:sz="4" w:space="0"/>
              <w:left w:val="single" w:color="auto" w:sz="4" w:space="0"/>
              <w:bottom w:val="single" w:color="auto" w:sz="4" w:space="0"/>
              <w:right w:val="single" w:color="auto" w:sz="4" w:space="0"/>
            </w:tcBorders>
            <w:vAlign w:val="center"/>
          </w:tcPr>
          <w:p w14:paraId="4456904D">
            <w:pPr>
              <w:rPr>
                <w:rFonts w:hint="eastAsia"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39D98434">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C8A05E3">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60CE2B8">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27060832">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6D4BE9E">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1FD02F3">
            <w:pPr>
              <w:rPr>
                <w:rFonts w:hint="eastAsia" w:ascii="宋体" w:hAnsi="宋体"/>
                <w:color w:val="auto"/>
                <w:szCs w:val="21"/>
                <w:highlight w:val="none"/>
              </w:rPr>
            </w:pPr>
          </w:p>
        </w:tc>
      </w:tr>
      <w:tr w14:paraId="64E7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58022B6">
            <w:pPr>
              <w:rPr>
                <w:rFonts w:hint="eastAsia" w:ascii="宋体" w:hAnsi="宋体"/>
                <w:color w:val="auto"/>
                <w:szCs w:val="21"/>
                <w:highlight w:val="none"/>
              </w:rPr>
            </w:pPr>
            <w:r>
              <w:rPr>
                <w:rFonts w:ascii="宋体" w:hAnsi="宋体"/>
                <w:color w:val="auto"/>
                <w:szCs w:val="21"/>
                <w:highlight w:val="none"/>
              </w:rPr>
              <w:t>2</w:t>
            </w:r>
          </w:p>
        </w:tc>
        <w:tc>
          <w:tcPr>
            <w:tcW w:w="6102" w:type="dxa"/>
            <w:tcBorders>
              <w:top w:val="single" w:color="auto" w:sz="4" w:space="0"/>
              <w:left w:val="single" w:color="auto" w:sz="4" w:space="0"/>
              <w:bottom w:val="single" w:color="auto" w:sz="4" w:space="0"/>
              <w:right w:val="single" w:color="auto" w:sz="4" w:space="0"/>
            </w:tcBorders>
            <w:vAlign w:val="center"/>
          </w:tcPr>
          <w:p w14:paraId="662DA518">
            <w:pPr>
              <w:rPr>
                <w:rFonts w:hint="eastAsia" w:ascii="宋体" w:hAnsi="宋体"/>
                <w:color w:val="auto"/>
                <w:szCs w:val="21"/>
                <w:highlight w:val="none"/>
              </w:rPr>
            </w:pPr>
            <w:r>
              <w:rPr>
                <w:rFonts w:hint="eastAsia" w:ascii="宋体" w:hAnsi="宋体"/>
                <w:color w:val="auto"/>
                <w:szCs w:val="21"/>
                <w:highlight w:val="none"/>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14:paraId="3B6EE376">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7BE4969">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53020C0">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7C5614AB">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85437B3">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57074B9">
            <w:pPr>
              <w:rPr>
                <w:rFonts w:hint="eastAsia" w:ascii="宋体" w:hAnsi="宋体"/>
                <w:color w:val="auto"/>
                <w:szCs w:val="21"/>
                <w:highlight w:val="none"/>
              </w:rPr>
            </w:pPr>
          </w:p>
        </w:tc>
      </w:tr>
      <w:tr w14:paraId="5A64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CCA8E09">
            <w:pPr>
              <w:rPr>
                <w:rFonts w:hint="eastAsia" w:ascii="宋体" w:hAnsi="宋体"/>
                <w:color w:val="auto"/>
                <w:szCs w:val="21"/>
                <w:highlight w:val="none"/>
              </w:rPr>
            </w:pPr>
            <w:r>
              <w:rPr>
                <w:rFonts w:ascii="宋体" w:hAnsi="宋体"/>
                <w:color w:val="auto"/>
                <w:szCs w:val="21"/>
                <w:highlight w:val="none"/>
              </w:rPr>
              <w:t>3</w:t>
            </w:r>
          </w:p>
        </w:tc>
        <w:tc>
          <w:tcPr>
            <w:tcW w:w="6102" w:type="dxa"/>
            <w:tcBorders>
              <w:top w:val="single" w:color="auto" w:sz="4" w:space="0"/>
              <w:left w:val="single" w:color="auto" w:sz="4" w:space="0"/>
              <w:bottom w:val="single" w:color="auto" w:sz="4" w:space="0"/>
              <w:right w:val="single" w:color="auto" w:sz="4" w:space="0"/>
            </w:tcBorders>
            <w:vAlign w:val="center"/>
          </w:tcPr>
          <w:p w14:paraId="763E2B60">
            <w:pPr>
              <w:autoSpaceDE w:val="0"/>
              <w:autoSpaceDN w:val="0"/>
              <w:adjustRightInd w:val="0"/>
              <w:ind w:left="-2" w:leftChars="-1"/>
              <w:jc w:val="left"/>
              <w:rPr>
                <w:rFonts w:hint="eastAsia" w:ascii="宋体" w:hAnsi="宋体"/>
                <w:color w:val="auto"/>
                <w:szCs w:val="21"/>
                <w:highlight w:val="none"/>
              </w:rPr>
            </w:pPr>
            <w:r>
              <w:rPr>
                <w:rFonts w:hint="eastAsia" w:ascii="宋体" w:hAnsi="宋体"/>
                <w:color w:val="auto"/>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tcPr>
          <w:p w14:paraId="372CCC92">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7B1A262">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96AA446">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7F40DF33">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991D01F">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0EA490F">
            <w:pPr>
              <w:rPr>
                <w:rFonts w:hint="eastAsia" w:ascii="宋体" w:hAnsi="宋体"/>
                <w:color w:val="auto"/>
                <w:szCs w:val="21"/>
                <w:highlight w:val="none"/>
              </w:rPr>
            </w:pPr>
          </w:p>
        </w:tc>
      </w:tr>
      <w:tr w14:paraId="6595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B1ECA74">
            <w:pPr>
              <w:rPr>
                <w:rFonts w:hint="eastAsia" w:ascii="宋体" w:hAnsi="宋体"/>
                <w:color w:val="auto"/>
                <w:szCs w:val="21"/>
                <w:highlight w:val="none"/>
              </w:rPr>
            </w:pPr>
            <w:r>
              <w:rPr>
                <w:rFonts w:hint="eastAsia" w:ascii="宋体" w:hAnsi="宋体"/>
                <w:color w:val="auto"/>
                <w:szCs w:val="21"/>
                <w:highlight w:val="none"/>
              </w:rPr>
              <w:t>4</w:t>
            </w:r>
          </w:p>
        </w:tc>
        <w:tc>
          <w:tcPr>
            <w:tcW w:w="6102" w:type="dxa"/>
            <w:tcBorders>
              <w:top w:val="single" w:color="auto" w:sz="4" w:space="0"/>
              <w:left w:val="single" w:color="auto" w:sz="4" w:space="0"/>
              <w:bottom w:val="single" w:color="auto" w:sz="4" w:space="0"/>
              <w:right w:val="single" w:color="auto" w:sz="4" w:space="0"/>
            </w:tcBorders>
            <w:vAlign w:val="center"/>
          </w:tcPr>
          <w:p w14:paraId="7C89FAD9">
            <w:pPr>
              <w:rPr>
                <w:rFonts w:hint="eastAsia" w:ascii="宋体" w:hAnsi="宋体"/>
                <w:color w:val="auto"/>
                <w:szCs w:val="21"/>
                <w:highlight w:val="none"/>
              </w:rPr>
            </w:pPr>
            <w:r>
              <w:rPr>
                <w:rFonts w:hint="eastAsia" w:ascii="宋体" w:hAnsi="宋体"/>
                <w:color w:val="auto"/>
                <w:szCs w:val="21"/>
                <w:highlight w:val="none"/>
              </w:rPr>
              <w:t>投标文件未按规定的格式填写，或主要内容不全，或关键字迹模糊、无法辨认的；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00C73C8D">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75134B9">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79DF28D">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50C12B61">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F31ABD3">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F3FC1F0">
            <w:pPr>
              <w:rPr>
                <w:rFonts w:hint="eastAsia" w:ascii="宋体" w:hAnsi="宋体"/>
                <w:color w:val="auto"/>
                <w:szCs w:val="21"/>
                <w:highlight w:val="none"/>
              </w:rPr>
            </w:pPr>
          </w:p>
        </w:tc>
      </w:tr>
      <w:tr w14:paraId="305F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3CF99FF">
            <w:pPr>
              <w:rPr>
                <w:rFonts w:hint="eastAsia" w:ascii="宋体" w:hAnsi="宋体"/>
                <w:color w:val="auto"/>
                <w:szCs w:val="21"/>
                <w:highlight w:val="none"/>
              </w:rPr>
            </w:pPr>
            <w:r>
              <w:rPr>
                <w:rFonts w:hint="eastAsia" w:ascii="宋体" w:hAnsi="宋体"/>
                <w:color w:val="auto"/>
                <w:szCs w:val="21"/>
                <w:highlight w:val="none"/>
              </w:rPr>
              <w:t>5</w:t>
            </w:r>
          </w:p>
        </w:tc>
        <w:tc>
          <w:tcPr>
            <w:tcW w:w="6102" w:type="dxa"/>
            <w:tcBorders>
              <w:top w:val="single" w:color="auto" w:sz="4" w:space="0"/>
              <w:left w:val="single" w:color="auto" w:sz="4" w:space="0"/>
              <w:bottom w:val="single" w:color="auto" w:sz="4" w:space="0"/>
              <w:right w:val="single" w:color="auto" w:sz="4" w:space="0"/>
            </w:tcBorders>
            <w:vAlign w:val="center"/>
          </w:tcPr>
          <w:p w14:paraId="092CF57D">
            <w:pPr>
              <w:rPr>
                <w:rFonts w:hint="eastAsia"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4A2FD47F">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FE7C6DB">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6AA95BA">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1B86226B">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9038DB2">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87F3F16">
            <w:pPr>
              <w:rPr>
                <w:rFonts w:hint="eastAsia" w:ascii="宋体" w:hAnsi="宋体"/>
                <w:color w:val="auto"/>
                <w:szCs w:val="21"/>
                <w:highlight w:val="none"/>
              </w:rPr>
            </w:pPr>
          </w:p>
        </w:tc>
      </w:tr>
      <w:tr w14:paraId="18C1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20E5FDB">
            <w:pPr>
              <w:rPr>
                <w:rFonts w:hint="eastAsia" w:ascii="宋体" w:hAnsi="宋体"/>
                <w:color w:val="auto"/>
                <w:szCs w:val="21"/>
                <w:highlight w:val="none"/>
              </w:rPr>
            </w:pPr>
            <w:r>
              <w:rPr>
                <w:rFonts w:hint="eastAsia" w:ascii="宋体" w:hAnsi="宋体"/>
                <w:color w:val="auto"/>
                <w:szCs w:val="21"/>
                <w:highlight w:val="none"/>
              </w:rPr>
              <w:t>6</w:t>
            </w:r>
          </w:p>
        </w:tc>
        <w:tc>
          <w:tcPr>
            <w:tcW w:w="6102" w:type="dxa"/>
            <w:tcBorders>
              <w:top w:val="single" w:color="auto" w:sz="4" w:space="0"/>
              <w:left w:val="single" w:color="auto" w:sz="4" w:space="0"/>
              <w:bottom w:val="single" w:color="auto" w:sz="4" w:space="0"/>
              <w:right w:val="single" w:color="auto" w:sz="4" w:space="0"/>
            </w:tcBorders>
            <w:vAlign w:val="center"/>
          </w:tcPr>
          <w:p w14:paraId="226DFF47">
            <w:pPr>
              <w:rPr>
                <w:rFonts w:hint="eastAsia"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14:paraId="62296ACE">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8CCB21C">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6CDAE79">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7D82FF0F">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B0C7DCE">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26D5AAB">
            <w:pPr>
              <w:rPr>
                <w:rFonts w:hint="eastAsia" w:ascii="宋体" w:hAnsi="宋体"/>
                <w:color w:val="auto"/>
                <w:szCs w:val="21"/>
                <w:highlight w:val="none"/>
              </w:rPr>
            </w:pPr>
          </w:p>
        </w:tc>
      </w:tr>
      <w:tr w14:paraId="08D1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C045070">
            <w:pPr>
              <w:rPr>
                <w:rFonts w:hint="eastAsia" w:ascii="宋体" w:hAnsi="宋体"/>
                <w:color w:val="auto"/>
                <w:szCs w:val="21"/>
                <w:highlight w:val="none"/>
              </w:rPr>
            </w:pPr>
            <w:r>
              <w:rPr>
                <w:rFonts w:hint="eastAsia" w:ascii="宋体" w:hAnsi="宋体"/>
                <w:color w:val="auto"/>
                <w:szCs w:val="21"/>
                <w:highlight w:val="none"/>
              </w:rPr>
              <w:t>7</w:t>
            </w:r>
          </w:p>
        </w:tc>
        <w:tc>
          <w:tcPr>
            <w:tcW w:w="6102" w:type="dxa"/>
            <w:tcBorders>
              <w:top w:val="single" w:color="auto" w:sz="4" w:space="0"/>
              <w:left w:val="single" w:color="auto" w:sz="4" w:space="0"/>
              <w:bottom w:val="single" w:color="auto" w:sz="4" w:space="0"/>
              <w:right w:val="single" w:color="auto" w:sz="4" w:space="0"/>
            </w:tcBorders>
            <w:vAlign w:val="center"/>
          </w:tcPr>
          <w:p w14:paraId="1CA4EB35">
            <w:pPr>
              <w:rPr>
                <w:rFonts w:hint="eastAsia" w:ascii="宋体" w:hAnsi="宋体"/>
                <w:color w:val="auto"/>
                <w:szCs w:val="21"/>
                <w:highlight w:val="none"/>
              </w:rPr>
            </w:pPr>
            <w:r>
              <w:rPr>
                <w:rFonts w:hint="eastAsia" w:ascii="宋体" w:hAnsi="宋体"/>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7859BCBB">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DD3719F">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07927F0">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A0394E8">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FFE8CBC">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52715AF">
            <w:pPr>
              <w:rPr>
                <w:rFonts w:hint="eastAsia" w:ascii="宋体" w:hAnsi="宋体"/>
                <w:color w:val="auto"/>
                <w:szCs w:val="21"/>
                <w:highlight w:val="none"/>
              </w:rPr>
            </w:pPr>
          </w:p>
        </w:tc>
      </w:tr>
      <w:tr w14:paraId="48BA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6B0E70A">
            <w:pPr>
              <w:rPr>
                <w:rFonts w:hint="eastAsia" w:ascii="宋体" w:hAnsi="宋体"/>
                <w:color w:val="auto"/>
                <w:szCs w:val="21"/>
                <w:highlight w:val="none"/>
              </w:rPr>
            </w:pPr>
            <w:r>
              <w:rPr>
                <w:rFonts w:hint="eastAsia" w:ascii="宋体" w:hAnsi="宋体"/>
                <w:color w:val="auto"/>
                <w:szCs w:val="21"/>
                <w:highlight w:val="none"/>
              </w:rPr>
              <w:t>8</w:t>
            </w:r>
          </w:p>
        </w:tc>
        <w:tc>
          <w:tcPr>
            <w:tcW w:w="6102" w:type="dxa"/>
            <w:tcBorders>
              <w:top w:val="single" w:color="auto" w:sz="4" w:space="0"/>
              <w:left w:val="single" w:color="auto" w:sz="4" w:space="0"/>
              <w:bottom w:val="single" w:color="auto" w:sz="4" w:space="0"/>
              <w:right w:val="single" w:color="auto" w:sz="4" w:space="0"/>
            </w:tcBorders>
            <w:vAlign w:val="center"/>
          </w:tcPr>
          <w:p w14:paraId="12E72735">
            <w:pPr>
              <w:rPr>
                <w:rFonts w:hint="eastAsia" w:ascii="宋体" w:hAnsi="宋体"/>
                <w:color w:val="auto"/>
                <w:szCs w:val="21"/>
                <w:highlight w:val="none"/>
              </w:rPr>
            </w:pPr>
            <w:r>
              <w:rPr>
                <w:rFonts w:hint="eastAsia" w:ascii="宋体" w:hAnsi="宋体"/>
                <w:color w:val="auto"/>
                <w:szCs w:val="21"/>
                <w:highlight w:val="none"/>
              </w:rPr>
              <w:t>投标人与本项目其他投标人的投标文件工程量清单编制机器硬件信息一致的（以交易平台评标系统的检索信息为准）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67F123A2">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0B303E9">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5D1B6FE">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0F8D98EC">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2B59FC0">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21AD940">
            <w:pPr>
              <w:rPr>
                <w:rFonts w:hint="eastAsia" w:ascii="宋体" w:hAnsi="宋体"/>
                <w:color w:val="auto"/>
                <w:szCs w:val="21"/>
                <w:highlight w:val="none"/>
              </w:rPr>
            </w:pPr>
          </w:p>
        </w:tc>
      </w:tr>
    </w:tbl>
    <w:p w14:paraId="35603462">
      <w:pPr>
        <w:ind w:firstLine="458"/>
        <w:rPr>
          <w:rFonts w:hint="eastAsia" w:ascii="宋体" w:hAnsi="宋体"/>
          <w:color w:val="auto"/>
          <w:szCs w:val="21"/>
          <w:highlight w:val="none"/>
        </w:rPr>
      </w:pPr>
      <w:r>
        <w:rPr>
          <w:rFonts w:hint="eastAsia" w:ascii="宋体" w:hAnsi="宋体"/>
          <w:color w:val="auto"/>
          <w:szCs w:val="21"/>
          <w:highlight w:val="none"/>
        </w:rPr>
        <w:t>注：1.本表使用GZZB2018-3招标文件范本，与范本内容不同之处均以下划线标明。</w:t>
      </w:r>
    </w:p>
    <w:p w14:paraId="1065EF9F">
      <w:pPr>
        <w:ind w:firstLine="458"/>
        <w:rPr>
          <w:rFonts w:hint="eastAsia"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14:paraId="3A593E40">
      <w:pPr>
        <w:ind w:firstLine="458"/>
        <w:rPr>
          <w:rFonts w:hint="eastAsia"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14:paraId="7D300E66">
      <w:pPr>
        <w:ind w:firstLine="458"/>
        <w:rPr>
          <w:rFonts w:hint="eastAsia"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1FB9C1DB">
      <w:pPr>
        <w:pStyle w:val="4"/>
        <w:ind w:firstLine="458"/>
        <w:rPr>
          <w:rFonts w:hint="eastAsia" w:ascii="宋体" w:hAnsi="宋体"/>
          <w:color w:val="auto"/>
          <w:szCs w:val="21"/>
          <w:highlight w:val="none"/>
        </w:rPr>
        <w:sectPr>
          <w:endnotePr>
            <w:numFmt w:val="decimal"/>
          </w:endnotePr>
          <w:pgSz w:w="16838" w:h="11906" w:orient="landscape"/>
          <w:pgMar w:top="1418" w:right="1247" w:bottom="1418" w:left="1134" w:header="851" w:footer="907" w:gutter="0"/>
          <w:cols w:space="425" w:num="1"/>
          <w:titlePg/>
          <w:docGrid w:type="lines" w:linePitch="312" w:charSpace="0"/>
        </w:sectPr>
      </w:pPr>
      <w:r>
        <w:rPr>
          <w:rFonts w:hint="eastAsia" w:ascii="宋体" w:hAnsi="宋体"/>
          <w:color w:val="auto"/>
          <w:szCs w:val="21"/>
          <w:highlight w:val="none"/>
        </w:rPr>
        <w:t>评委签名：</w:t>
      </w:r>
    </w:p>
    <w:p w14:paraId="236568FF">
      <w:pPr>
        <w:rPr>
          <w:color w:val="auto"/>
          <w:szCs w:val="21"/>
          <w:highlight w:val="none"/>
        </w:rPr>
      </w:pPr>
      <w:r>
        <w:rPr>
          <w:rFonts w:hint="eastAsia"/>
          <w:color w:val="auto"/>
          <w:szCs w:val="21"/>
          <w:highlight w:val="none"/>
        </w:rPr>
        <w:t>附表四</w:t>
      </w:r>
    </w:p>
    <w:p w14:paraId="3011DC74">
      <w:pPr>
        <w:jc w:val="center"/>
        <w:outlineLvl w:val="3"/>
        <w:rPr>
          <w:b/>
          <w:color w:val="auto"/>
          <w:sz w:val="36"/>
          <w:szCs w:val="36"/>
          <w:highlight w:val="none"/>
        </w:rPr>
      </w:pPr>
      <w:r>
        <w:rPr>
          <w:rFonts w:hint="eastAsia"/>
          <w:b/>
          <w:color w:val="auto"/>
          <w:sz w:val="36"/>
          <w:szCs w:val="36"/>
          <w:highlight w:val="none"/>
        </w:rPr>
        <w:t>技术标详细审查评分表</w:t>
      </w:r>
    </w:p>
    <w:tbl>
      <w:tblPr>
        <w:tblStyle w:val="18"/>
        <w:tblW w:w="4948" w:type="pct"/>
        <w:tblInd w:w="0" w:type="dxa"/>
        <w:tblLayout w:type="autofit"/>
        <w:tblCellMar>
          <w:top w:w="0" w:type="dxa"/>
          <w:left w:w="108" w:type="dxa"/>
          <w:bottom w:w="0" w:type="dxa"/>
          <w:right w:w="108" w:type="dxa"/>
        </w:tblCellMar>
      </w:tblPr>
      <w:tblGrid>
        <w:gridCol w:w="746"/>
        <w:gridCol w:w="1301"/>
        <w:gridCol w:w="1798"/>
        <w:gridCol w:w="860"/>
        <w:gridCol w:w="9815"/>
      </w:tblGrid>
      <w:tr w14:paraId="118818E2">
        <w:tblPrEx>
          <w:tblCellMar>
            <w:top w:w="0" w:type="dxa"/>
            <w:left w:w="108" w:type="dxa"/>
            <w:bottom w:w="0" w:type="dxa"/>
            <w:right w:w="108" w:type="dxa"/>
          </w:tblCellMar>
        </w:tblPrEx>
        <w:trPr>
          <w:trHeight w:val="23" w:hRule="atLeast"/>
          <w:tblHeader/>
        </w:trPr>
        <w:tc>
          <w:tcPr>
            <w:tcW w:w="257" w:type="pct"/>
            <w:tcBorders>
              <w:top w:val="single" w:color="000000" w:sz="4" w:space="0"/>
              <w:left w:val="single" w:color="000000" w:sz="4" w:space="0"/>
              <w:bottom w:val="single" w:color="000000" w:sz="4" w:space="0"/>
              <w:right w:val="single" w:color="000000" w:sz="4" w:space="0"/>
            </w:tcBorders>
            <w:vAlign w:val="center"/>
          </w:tcPr>
          <w:p w14:paraId="00D5640E">
            <w:pPr>
              <w:widowControl/>
              <w:jc w:val="left"/>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序号</w:t>
            </w:r>
          </w:p>
        </w:tc>
        <w:tc>
          <w:tcPr>
            <w:tcW w:w="448" w:type="pct"/>
            <w:tcBorders>
              <w:top w:val="single" w:color="000000" w:sz="4" w:space="0"/>
              <w:left w:val="single" w:color="000000" w:sz="4" w:space="0"/>
              <w:bottom w:val="single" w:color="000000" w:sz="4" w:space="0"/>
              <w:right w:val="single" w:color="000000" w:sz="4" w:space="0"/>
            </w:tcBorders>
            <w:vAlign w:val="center"/>
          </w:tcPr>
          <w:p w14:paraId="16EEE3A2">
            <w:pPr>
              <w:widowControl/>
              <w:jc w:val="left"/>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评分项目</w:t>
            </w:r>
          </w:p>
        </w:tc>
        <w:tc>
          <w:tcPr>
            <w:tcW w:w="619" w:type="pct"/>
            <w:tcBorders>
              <w:top w:val="single" w:color="000000" w:sz="4" w:space="0"/>
              <w:left w:val="single" w:color="000000" w:sz="4" w:space="0"/>
              <w:bottom w:val="single" w:color="000000" w:sz="4" w:space="0"/>
              <w:right w:val="single" w:color="000000" w:sz="4" w:space="0"/>
            </w:tcBorders>
            <w:vAlign w:val="center"/>
          </w:tcPr>
          <w:p w14:paraId="79383A55">
            <w:pPr>
              <w:widowControl/>
              <w:jc w:val="left"/>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评分内容</w:t>
            </w:r>
          </w:p>
        </w:tc>
        <w:tc>
          <w:tcPr>
            <w:tcW w:w="296" w:type="pct"/>
            <w:tcBorders>
              <w:top w:val="single" w:color="000000" w:sz="4" w:space="0"/>
              <w:left w:val="single" w:color="000000" w:sz="4" w:space="0"/>
              <w:bottom w:val="single" w:color="000000" w:sz="4" w:space="0"/>
              <w:right w:val="single" w:color="000000" w:sz="4" w:space="0"/>
            </w:tcBorders>
            <w:vAlign w:val="center"/>
          </w:tcPr>
          <w:p w14:paraId="128DE6F1">
            <w:pPr>
              <w:widowControl/>
              <w:jc w:val="left"/>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分值</w:t>
            </w:r>
          </w:p>
        </w:tc>
        <w:tc>
          <w:tcPr>
            <w:tcW w:w="3379" w:type="pct"/>
            <w:tcBorders>
              <w:top w:val="single" w:color="000000" w:sz="4" w:space="0"/>
              <w:left w:val="single" w:color="000000" w:sz="4" w:space="0"/>
              <w:bottom w:val="single" w:color="000000" w:sz="4" w:space="0"/>
              <w:right w:val="single" w:color="000000" w:sz="4" w:space="0"/>
            </w:tcBorders>
            <w:vAlign w:val="center"/>
          </w:tcPr>
          <w:p w14:paraId="760715A6">
            <w:pPr>
              <w:widowControl/>
              <w:jc w:val="left"/>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评审标准</w:t>
            </w:r>
          </w:p>
        </w:tc>
      </w:tr>
      <w:tr w14:paraId="3BA60932">
        <w:tblPrEx>
          <w:tblCellMar>
            <w:top w:w="0" w:type="dxa"/>
            <w:left w:w="108" w:type="dxa"/>
            <w:bottom w:w="0" w:type="dxa"/>
            <w:right w:w="108" w:type="dxa"/>
          </w:tblCellMar>
        </w:tblPrEx>
        <w:trPr>
          <w:trHeight w:val="23" w:hRule="atLeast"/>
        </w:trPr>
        <w:tc>
          <w:tcPr>
            <w:tcW w:w="257" w:type="pct"/>
            <w:vMerge w:val="restart"/>
            <w:tcBorders>
              <w:top w:val="single" w:color="000000" w:sz="4" w:space="0"/>
              <w:left w:val="single" w:color="000000" w:sz="4" w:space="0"/>
              <w:bottom w:val="single" w:color="000000" w:sz="4" w:space="0"/>
              <w:right w:val="single" w:color="000000" w:sz="4" w:space="0"/>
            </w:tcBorders>
            <w:vAlign w:val="center"/>
          </w:tcPr>
          <w:p w14:paraId="079C67CB">
            <w:pPr>
              <w:widowControl/>
              <w:jc w:val="left"/>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一</w:t>
            </w:r>
          </w:p>
        </w:tc>
        <w:tc>
          <w:tcPr>
            <w:tcW w:w="448" w:type="pct"/>
            <w:vMerge w:val="restart"/>
            <w:tcBorders>
              <w:top w:val="single" w:color="000000" w:sz="4" w:space="0"/>
              <w:left w:val="single" w:color="000000" w:sz="4" w:space="0"/>
              <w:bottom w:val="single" w:color="000000" w:sz="4" w:space="0"/>
              <w:right w:val="single" w:color="000000" w:sz="4" w:space="0"/>
            </w:tcBorders>
            <w:vAlign w:val="center"/>
          </w:tcPr>
          <w:p w14:paraId="1A5F2183">
            <w:pPr>
              <w:widowControl/>
              <w:jc w:val="left"/>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施工组织设计（</w:t>
            </w:r>
            <w:r>
              <w:rPr>
                <w:rFonts w:hint="eastAsia" w:ascii="宋体" w:hAnsi="宋体" w:eastAsia="宋体" w:cs="宋体"/>
                <w:b/>
                <w:bCs/>
                <w:color w:val="auto"/>
                <w:kern w:val="0"/>
                <w:szCs w:val="21"/>
                <w:highlight w:val="none"/>
                <w:lang w:val="en-US" w:eastAsia="zh-CN" w:bidi="ar"/>
              </w:rPr>
              <w:t>25</w:t>
            </w:r>
            <w:r>
              <w:rPr>
                <w:rFonts w:hint="eastAsia" w:ascii="宋体" w:hAnsi="宋体" w:eastAsia="宋体" w:cs="宋体"/>
                <w:b/>
                <w:bCs/>
                <w:color w:val="auto"/>
                <w:kern w:val="0"/>
                <w:szCs w:val="21"/>
                <w:highlight w:val="none"/>
                <w:lang w:bidi="ar"/>
              </w:rPr>
              <w:t>分）</w:t>
            </w:r>
          </w:p>
        </w:tc>
        <w:tc>
          <w:tcPr>
            <w:tcW w:w="619" w:type="pct"/>
            <w:tcBorders>
              <w:top w:val="single" w:color="000000" w:sz="4" w:space="0"/>
              <w:left w:val="single" w:color="000000" w:sz="4" w:space="0"/>
              <w:bottom w:val="single" w:color="000000" w:sz="4" w:space="0"/>
              <w:right w:val="single" w:color="000000" w:sz="4" w:space="0"/>
            </w:tcBorders>
            <w:vAlign w:val="center"/>
          </w:tcPr>
          <w:p w14:paraId="25D0E0E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施工组织方案与技术措施</w:t>
            </w:r>
          </w:p>
        </w:tc>
        <w:tc>
          <w:tcPr>
            <w:tcW w:w="296" w:type="pct"/>
            <w:tcBorders>
              <w:top w:val="single" w:color="000000" w:sz="4" w:space="0"/>
              <w:left w:val="single" w:color="000000" w:sz="4" w:space="0"/>
              <w:bottom w:val="single" w:color="000000" w:sz="4" w:space="0"/>
              <w:right w:val="single" w:color="000000" w:sz="4" w:space="0"/>
            </w:tcBorders>
            <w:vAlign w:val="center"/>
          </w:tcPr>
          <w:p w14:paraId="26DAB972">
            <w:pPr>
              <w:widowControl/>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3379" w:type="pct"/>
            <w:tcBorders>
              <w:top w:val="single" w:color="000000" w:sz="4" w:space="0"/>
              <w:left w:val="single" w:color="000000" w:sz="4" w:space="0"/>
              <w:bottom w:val="single" w:color="000000" w:sz="4" w:space="0"/>
              <w:right w:val="single" w:color="000000" w:sz="4" w:space="0"/>
            </w:tcBorders>
            <w:vAlign w:val="center"/>
          </w:tcPr>
          <w:p w14:paraId="1809829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【优】</w:t>
            </w:r>
            <w:r>
              <w:rPr>
                <w:rFonts w:hint="eastAsia" w:ascii="宋体" w:hAnsi="宋体" w:eastAsia="宋体" w:cs="宋体"/>
                <w:color w:val="auto"/>
                <w:kern w:val="0"/>
                <w:szCs w:val="21"/>
                <w:highlight w:val="none"/>
                <w:lang w:val="en-US" w:eastAsia="zh-CN" w:bidi="ar"/>
              </w:rPr>
              <w:t>根据项目实际情况，所制定的施</w:t>
            </w:r>
            <w:r>
              <w:rPr>
                <w:rFonts w:hint="eastAsia" w:ascii="宋体" w:hAnsi="宋体" w:eastAsia="宋体" w:cs="宋体"/>
                <w:color w:val="auto"/>
                <w:kern w:val="0"/>
                <w:szCs w:val="21"/>
                <w:highlight w:val="none"/>
                <w:lang w:bidi="ar"/>
              </w:rPr>
              <w:t>工部署、施工组织方案及施工方法，施工部署、组织方案、施工方法等</w:t>
            </w:r>
            <w:r>
              <w:rPr>
                <w:rFonts w:hint="eastAsia" w:ascii="宋体" w:hAnsi="宋体" w:eastAsia="宋体" w:cs="宋体"/>
                <w:color w:val="auto"/>
                <w:kern w:val="0"/>
                <w:szCs w:val="21"/>
                <w:highlight w:val="none"/>
                <w:lang w:eastAsia="zh-CN" w:bidi="ar"/>
              </w:rPr>
              <w:t>，逻辑性强、可行、合理</w:t>
            </w:r>
            <w:r>
              <w:rPr>
                <w:rFonts w:hint="eastAsia" w:ascii="宋体" w:hAnsi="宋体" w:eastAsia="宋体" w:cs="宋体"/>
                <w:color w:val="auto"/>
                <w:kern w:val="0"/>
                <w:szCs w:val="21"/>
                <w:highlight w:val="none"/>
                <w:lang w:bidi="ar"/>
              </w:rPr>
              <w:t>，得（</w:t>
            </w:r>
            <w:r>
              <w:rPr>
                <w:rFonts w:hint="eastAsia" w:ascii="宋体" w:hAnsi="宋体" w:eastAsia="宋体" w:cs="宋体"/>
                <w:color w:val="auto"/>
                <w:kern w:val="0"/>
                <w:szCs w:val="21"/>
                <w:highlight w:val="none"/>
                <w:lang w:val="en-US" w:eastAsia="zh-CN" w:bidi="ar"/>
              </w:rPr>
              <w:t>2.5</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【良】</w:t>
            </w:r>
            <w:r>
              <w:rPr>
                <w:rFonts w:hint="eastAsia" w:ascii="宋体" w:hAnsi="宋体" w:eastAsia="宋体" w:cs="宋体"/>
                <w:color w:val="auto"/>
                <w:kern w:val="0"/>
                <w:szCs w:val="21"/>
                <w:highlight w:val="none"/>
                <w:lang w:val="en-US" w:eastAsia="zh-CN" w:bidi="ar"/>
              </w:rPr>
              <w:t>根据项目实际情况，所制定的</w:t>
            </w:r>
            <w:r>
              <w:rPr>
                <w:rFonts w:hint="eastAsia" w:ascii="宋体" w:hAnsi="宋体" w:eastAsia="宋体" w:cs="宋体"/>
                <w:color w:val="auto"/>
                <w:kern w:val="0"/>
                <w:szCs w:val="21"/>
                <w:highlight w:val="none"/>
                <w:lang w:bidi="ar"/>
              </w:rPr>
              <w:t>施工部署、施工组织方案及施工方法，施工部署、组织方案、施工方法等</w:t>
            </w:r>
            <w:r>
              <w:rPr>
                <w:rFonts w:hint="eastAsia" w:ascii="宋体" w:hAnsi="宋体" w:eastAsia="宋体" w:cs="宋体"/>
                <w:color w:val="auto"/>
                <w:kern w:val="0"/>
                <w:szCs w:val="21"/>
                <w:highlight w:val="none"/>
                <w:lang w:eastAsia="zh-CN" w:bidi="ar"/>
              </w:rPr>
              <w:t>，逻辑性较强、较可行、较合理</w:t>
            </w:r>
            <w:r>
              <w:rPr>
                <w:rFonts w:hint="eastAsia" w:ascii="宋体" w:hAnsi="宋体" w:eastAsia="宋体" w:cs="宋体"/>
                <w:color w:val="auto"/>
                <w:kern w:val="0"/>
                <w:szCs w:val="21"/>
                <w:highlight w:val="none"/>
                <w:lang w:bidi="ar"/>
              </w:rPr>
              <w:t>，得(</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【中】</w:t>
            </w:r>
            <w:r>
              <w:rPr>
                <w:rFonts w:hint="eastAsia" w:ascii="宋体" w:hAnsi="宋体" w:eastAsia="宋体" w:cs="宋体"/>
                <w:color w:val="auto"/>
                <w:kern w:val="0"/>
                <w:szCs w:val="21"/>
                <w:highlight w:val="none"/>
                <w:lang w:val="en-US" w:eastAsia="zh-CN" w:bidi="ar"/>
              </w:rPr>
              <w:t>根据项目实际情况，所制定的</w:t>
            </w:r>
            <w:r>
              <w:rPr>
                <w:rFonts w:hint="eastAsia" w:ascii="宋体" w:hAnsi="宋体" w:eastAsia="宋体" w:cs="宋体"/>
                <w:color w:val="auto"/>
                <w:kern w:val="0"/>
                <w:szCs w:val="21"/>
                <w:highlight w:val="none"/>
                <w:lang w:bidi="ar"/>
              </w:rPr>
              <w:t>施工部署、施工组织方案及施工方法，施工部署、组织方案、施工方法等</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逻辑性一般、基本可行、基本合理，得(0,</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【差】无提供相应评审内容或差的不得分。</w:t>
            </w:r>
          </w:p>
        </w:tc>
      </w:tr>
      <w:tr w14:paraId="2807C4FD">
        <w:tblPrEx>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B0B1F6C">
            <w:pPr>
              <w:widowControl/>
              <w:jc w:val="left"/>
              <w:rPr>
                <w:rFonts w:hint="eastAsia" w:ascii="宋体" w:hAnsi="宋体" w:eastAsia="宋体" w:cs="宋体"/>
                <w:b/>
                <w:bCs/>
                <w:color w:val="auto"/>
                <w:kern w:val="0"/>
                <w:szCs w:val="21"/>
                <w:highlight w:val="none"/>
                <w:lang w:bidi="ar"/>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635BC3E">
            <w:pPr>
              <w:widowControl/>
              <w:jc w:val="left"/>
              <w:rPr>
                <w:rFonts w:hint="eastAsia" w:ascii="宋体" w:hAnsi="宋体" w:eastAsia="宋体" w:cs="宋体"/>
                <w:b/>
                <w:bCs/>
                <w:color w:val="auto"/>
                <w:szCs w:val="21"/>
                <w:highlight w:val="none"/>
              </w:rPr>
            </w:pPr>
          </w:p>
        </w:tc>
        <w:tc>
          <w:tcPr>
            <w:tcW w:w="619" w:type="pct"/>
            <w:tcBorders>
              <w:top w:val="single" w:color="000000" w:sz="4" w:space="0"/>
              <w:left w:val="single" w:color="000000" w:sz="4" w:space="0"/>
              <w:bottom w:val="single" w:color="000000" w:sz="4" w:space="0"/>
              <w:right w:val="single" w:color="000000" w:sz="4" w:space="0"/>
            </w:tcBorders>
            <w:vAlign w:val="center"/>
          </w:tcPr>
          <w:p w14:paraId="3DC14F89">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进度</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质量管理保证措施</w:t>
            </w:r>
          </w:p>
        </w:tc>
        <w:tc>
          <w:tcPr>
            <w:tcW w:w="296" w:type="pct"/>
            <w:tcBorders>
              <w:top w:val="single" w:color="000000" w:sz="4" w:space="0"/>
              <w:left w:val="single" w:color="000000" w:sz="4" w:space="0"/>
              <w:bottom w:val="single" w:color="000000" w:sz="4" w:space="0"/>
              <w:right w:val="single" w:color="000000" w:sz="4" w:space="0"/>
            </w:tcBorders>
            <w:vAlign w:val="center"/>
          </w:tcPr>
          <w:p w14:paraId="611A060D">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val="en-US" w:eastAsia="zh-CN" w:bidi="ar"/>
              </w:rPr>
              <w:t>4</w:t>
            </w:r>
          </w:p>
        </w:tc>
        <w:tc>
          <w:tcPr>
            <w:tcW w:w="3379" w:type="pct"/>
            <w:tcBorders>
              <w:top w:val="single" w:color="000000" w:sz="4" w:space="0"/>
              <w:left w:val="single" w:color="000000" w:sz="4" w:space="0"/>
              <w:bottom w:val="single" w:color="000000" w:sz="4" w:space="0"/>
              <w:right w:val="single" w:color="000000" w:sz="4" w:space="0"/>
            </w:tcBorders>
            <w:vAlign w:val="center"/>
          </w:tcPr>
          <w:p w14:paraId="46661ADC">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【优】</w:t>
            </w:r>
            <w:r>
              <w:rPr>
                <w:rFonts w:hint="eastAsia" w:ascii="宋体" w:hAnsi="宋体" w:eastAsia="宋体" w:cs="宋体"/>
                <w:color w:val="auto"/>
                <w:kern w:val="0"/>
                <w:szCs w:val="21"/>
                <w:highlight w:val="none"/>
                <w:lang w:val="en-US" w:eastAsia="zh-CN" w:bidi="ar"/>
              </w:rPr>
              <w:t>根据项目实际情况，所制定的</w:t>
            </w:r>
            <w:r>
              <w:rPr>
                <w:rFonts w:hint="eastAsia" w:ascii="宋体" w:hAnsi="宋体" w:eastAsia="宋体" w:cs="宋体"/>
                <w:color w:val="auto"/>
                <w:kern w:val="0"/>
                <w:szCs w:val="21"/>
                <w:highlight w:val="none"/>
                <w:lang w:bidi="ar"/>
              </w:rPr>
              <w:t>施工质量目标，材料选用及进场质量验收措施完善、可行</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合理</w:t>
            </w:r>
            <w:r>
              <w:rPr>
                <w:rFonts w:hint="eastAsia" w:ascii="宋体" w:hAnsi="宋体" w:eastAsia="宋体" w:cs="宋体"/>
                <w:color w:val="auto"/>
                <w:kern w:val="0"/>
                <w:szCs w:val="21"/>
                <w:highlight w:val="none"/>
                <w:lang w:bidi="ar"/>
              </w:rPr>
              <w:t>，各施工工艺质量保证措施及施工组织管理质量保证措施完善、可行</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合理</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施工进度计划</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施工进度保证措施完善、可行</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合理</w:t>
            </w:r>
            <w:r>
              <w:rPr>
                <w:rFonts w:hint="eastAsia" w:ascii="宋体" w:hAnsi="宋体" w:eastAsia="宋体" w:cs="宋体"/>
                <w:color w:val="auto"/>
                <w:kern w:val="0"/>
                <w:szCs w:val="21"/>
                <w:highlight w:val="none"/>
                <w:lang w:bidi="ar"/>
              </w:rPr>
              <w:t>，得（</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【良】</w:t>
            </w:r>
            <w:r>
              <w:rPr>
                <w:rFonts w:hint="eastAsia" w:ascii="宋体" w:hAnsi="宋体" w:eastAsia="宋体" w:cs="宋体"/>
                <w:color w:val="auto"/>
                <w:kern w:val="0"/>
                <w:szCs w:val="21"/>
                <w:highlight w:val="none"/>
                <w:lang w:val="en-US" w:eastAsia="zh-CN" w:bidi="ar"/>
              </w:rPr>
              <w:t>根据项目实际情况，所制定的</w:t>
            </w:r>
            <w:r>
              <w:rPr>
                <w:rFonts w:hint="eastAsia" w:ascii="宋体" w:hAnsi="宋体" w:eastAsia="宋体" w:cs="宋体"/>
                <w:color w:val="auto"/>
                <w:kern w:val="0"/>
                <w:szCs w:val="21"/>
                <w:highlight w:val="none"/>
                <w:lang w:bidi="ar"/>
              </w:rPr>
              <w:t>施工质量目标，材料选用及进场质量验收措施</w:t>
            </w:r>
            <w:r>
              <w:rPr>
                <w:rFonts w:hint="eastAsia" w:ascii="宋体" w:hAnsi="宋体" w:eastAsia="宋体" w:cs="宋体"/>
                <w:color w:val="auto"/>
                <w:kern w:val="0"/>
                <w:szCs w:val="21"/>
                <w:highlight w:val="none"/>
                <w:lang w:val="en-US" w:eastAsia="zh-CN" w:bidi="ar"/>
              </w:rPr>
              <w:t>较</w:t>
            </w:r>
            <w:r>
              <w:rPr>
                <w:rFonts w:hint="eastAsia" w:ascii="宋体" w:hAnsi="宋体" w:eastAsia="宋体" w:cs="宋体"/>
                <w:color w:val="auto"/>
                <w:kern w:val="0"/>
                <w:szCs w:val="21"/>
                <w:highlight w:val="none"/>
                <w:lang w:bidi="ar"/>
              </w:rPr>
              <w:t>完善、</w:t>
            </w:r>
            <w:r>
              <w:rPr>
                <w:rFonts w:hint="eastAsia" w:ascii="宋体" w:hAnsi="宋体" w:eastAsia="宋体" w:cs="宋体"/>
                <w:color w:val="auto"/>
                <w:kern w:val="0"/>
                <w:szCs w:val="21"/>
                <w:highlight w:val="none"/>
                <w:lang w:val="en-US" w:eastAsia="zh-CN" w:bidi="ar"/>
              </w:rPr>
              <w:t>较</w:t>
            </w:r>
            <w:r>
              <w:rPr>
                <w:rFonts w:hint="eastAsia" w:ascii="宋体" w:hAnsi="宋体" w:eastAsia="宋体" w:cs="宋体"/>
                <w:color w:val="auto"/>
                <w:kern w:val="0"/>
                <w:szCs w:val="21"/>
                <w:highlight w:val="none"/>
                <w:lang w:bidi="ar"/>
              </w:rPr>
              <w:t>可行</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较合理</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各施工工艺质量保证措施及施工组织管理质量保证措施</w:t>
            </w:r>
            <w:r>
              <w:rPr>
                <w:rFonts w:hint="eastAsia" w:ascii="宋体" w:hAnsi="宋体" w:eastAsia="宋体" w:cs="宋体"/>
                <w:color w:val="auto"/>
                <w:kern w:val="0"/>
                <w:szCs w:val="21"/>
                <w:highlight w:val="none"/>
                <w:lang w:val="en-US" w:eastAsia="zh-CN" w:bidi="ar"/>
              </w:rPr>
              <w:t>较</w:t>
            </w:r>
            <w:r>
              <w:rPr>
                <w:rFonts w:hint="eastAsia" w:ascii="宋体" w:hAnsi="宋体" w:eastAsia="宋体" w:cs="宋体"/>
                <w:color w:val="auto"/>
                <w:kern w:val="0"/>
                <w:szCs w:val="21"/>
                <w:highlight w:val="none"/>
                <w:lang w:bidi="ar"/>
              </w:rPr>
              <w:t>完善、</w:t>
            </w:r>
            <w:r>
              <w:rPr>
                <w:rFonts w:hint="eastAsia" w:ascii="宋体" w:hAnsi="宋体" w:eastAsia="宋体" w:cs="宋体"/>
                <w:color w:val="auto"/>
                <w:kern w:val="0"/>
                <w:szCs w:val="21"/>
                <w:highlight w:val="none"/>
                <w:lang w:val="en-US" w:eastAsia="zh-CN" w:bidi="ar"/>
              </w:rPr>
              <w:t>较</w:t>
            </w:r>
            <w:r>
              <w:rPr>
                <w:rFonts w:hint="eastAsia" w:ascii="宋体" w:hAnsi="宋体" w:eastAsia="宋体" w:cs="宋体"/>
                <w:color w:val="auto"/>
                <w:kern w:val="0"/>
                <w:szCs w:val="21"/>
                <w:highlight w:val="none"/>
                <w:lang w:bidi="ar"/>
              </w:rPr>
              <w:t>可行</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较合理</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施工进度计划</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施工进度保证措施</w:t>
            </w:r>
            <w:r>
              <w:rPr>
                <w:rFonts w:hint="eastAsia" w:ascii="宋体" w:hAnsi="宋体" w:eastAsia="宋体" w:cs="宋体"/>
                <w:color w:val="auto"/>
                <w:kern w:val="0"/>
                <w:szCs w:val="21"/>
                <w:highlight w:val="none"/>
                <w:lang w:val="en-US" w:eastAsia="zh-CN" w:bidi="ar"/>
              </w:rPr>
              <w:t>较</w:t>
            </w:r>
            <w:r>
              <w:rPr>
                <w:rFonts w:hint="eastAsia" w:ascii="宋体" w:hAnsi="宋体" w:eastAsia="宋体" w:cs="宋体"/>
                <w:color w:val="auto"/>
                <w:kern w:val="0"/>
                <w:szCs w:val="21"/>
                <w:highlight w:val="none"/>
                <w:lang w:bidi="ar"/>
              </w:rPr>
              <w:t>完善、</w:t>
            </w:r>
            <w:r>
              <w:rPr>
                <w:rFonts w:hint="eastAsia" w:ascii="宋体" w:hAnsi="宋体" w:eastAsia="宋体" w:cs="宋体"/>
                <w:color w:val="auto"/>
                <w:kern w:val="0"/>
                <w:szCs w:val="21"/>
                <w:highlight w:val="none"/>
                <w:lang w:val="en-US" w:eastAsia="zh-CN" w:bidi="ar"/>
              </w:rPr>
              <w:t>较</w:t>
            </w:r>
            <w:r>
              <w:rPr>
                <w:rFonts w:hint="eastAsia" w:ascii="宋体" w:hAnsi="宋体" w:eastAsia="宋体" w:cs="宋体"/>
                <w:color w:val="auto"/>
                <w:kern w:val="0"/>
                <w:szCs w:val="21"/>
                <w:highlight w:val="none"/>
                <w:lang w:bidi="ar"/>
              </w:rPr>
              <w:t>可行</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较合理</w:t>
            </w:r>
            <w:r>
              <w:rPr>
                <w:rFonts w:hint="eastAsia" w:ascii="宋体" w:hAnsi="宋体" w:eastAsia="宋体" w:cs="宋体"/>
                <w:color w:val="auto"/>
                <w:kern w:val="0"/>
                <w:szCs w:val="21"/>
                <w:highlight w:val="none"/>
                <w:lang w:bidi="ar"/>
              </w:rPr>
              <w:t>，得(</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【中】</w:t>
            </w:r>
            <w:r>
              <w:rPr>
                <w:rFonts w:hint="eastAsia" w:ascii="宋体" w:hAnsi="宋体" w:eastAsia="宋体" w:cs="宋体"/>
                <w:color w:val="auto"/>
                <w:kern w:val="0"/>
                <w:szCs w:val="21"/>
                <w:highlight w:val="none"/>
                <w:lang w:val="en-US" w:eastAsia="zh-CN" w:bidi="ar"/>
              </w:rPr>
              <w:t>根据项目实际情况，所制定的</w:t>
            </w:r>
            <w:r>
              <w:rPr>
                <w:rFonts w:hint="eastAsia" w:ascii="宋体" w:hAnsi="宋体" w:eastAsia="宋体" w:cs="宋体"/>
                <w:color w:val="auto"/>
                <w:kern w:val="0"/>
                <w:szCs w:val="21"/>
                <w:highlight w:val="none"/>
                <w:lang w:bidi="ar"/>
              </w:rPr>
              <w:t>施工质量目标，材料选用及进场质量验收措施</w:t>
            </w:r>
            <w:r>
              <w:rPr>
                <w:rFonts w:hint="eastAsia" w:ascii="宋体" w:hAnsi="宋体" w:eastAsia="宋体" w:cs="宋体"/>
                <w:color w:val="auto"/>
                <w:kern w:val="0"/>
                <w:szCs w:val="21"/>
                <w:highlight w:val="none"/>
                <w:lang w:val="en-US" w:eastAsia="zh-CN" w:bidi="ar"/>
              </w:rPr>
              <w:t>一般，基本可行</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各施工工艺质量保证措施及施工组织管理质量保证措施</w:t>
            </w:r>
            <w:r>
              <w:rPr>
                <w:rFonts w:hint="eastAsia" w:ascii="宋体" w:hAnsi="宋体" w:eastAsia="宋体" w:cs="宋体"/>
                <w:color w:val="auto"/>
                <w:kern w:val="0"/>
                <w:szCs w:val="21"/>
                <w:highlight w:val="none"/>
                <w:lang w:val="en-US" w:eastAsia="zh-CN" w:bidi="ar"/>
              </w:rPr>
              <w:t>一般，基本可行</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施工进度计划</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施工进度保证措施</w:t>
            </w:r>
            <w:r>
              <w:rPr>
                <w:rFonts w:hint="eastAsia" w:ascii="宋体" w:hAnsi="宋体" w:eastAsia="宋体" w:cs="宋体"/>
                <w:color w:val="auto"/>
                <w:kern w:val="0"/>
                <w:szCs w:val="21"/>
                <w:highlight w:val="none"/>
                <w:lang w:val="en-US" w:eastAsia="zh-CN" w:bidi="ar"/>
              </w:rPr>
              <w:t>一般，基本可行</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得(0,</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【差】无提供相应评审内容或差的不得分。</w:t>
            </w:r>
          </w:p>
        </w:tc>
      </w:tr>
      <w:tr w14:paraId="50D0933E">
        <w:tblPrEx>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122060A">
            <w:pPr>
              <w:widowControl/>
              <w:jc w:val="left"/>
              <w:rPr>
                <w:rFonts w:hint="eastAsia" w:ascii="宋体" w:hAnsi="宋体" w:eastAsia="宋体" w:cs="宋体"/>
                <w:b/>
                <w:bCs/>
                <w:color w:val="auto"/>
                <w:kern w:val="0"/>
                <w:szCs w:val="21"/>
                <w:highlight w:val="none"/>
                <w:lang w:bidi="ar"/>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655913C">
            <w:pPr>
              <w:widowControl/>
              <w:jc w:val="left"/>
              <w:rPr>
                <w:rFonts w:hint="eastAsia" w:ascii="宋体" w:hAnsi="宋体" w:eastAsia="宋体" w:cs="宋体"/>
                <w:b/>
                <w:bCs/>
                <w:color w:val="auto"/>
                <w:szCs w:val="21"/>
                <w:highlight w:val="none"/>
              </w:rPr>
            </w:pPr>
          </w:p>
        </w:tc>
        <w:tc>
          <w:tcPr>
            <w:tcW w:w="619" w:type="pct"/>
            <w:tcBorders>
              <w:top w:val="single" w:color="000000" w:sz="4" w:space="0"/>
              <w:left w:val="single" w:color="000000" w:sz="4" w:space="0"/>
              <w:bottom w:val="single" w:color="000000" w:sz="4" w:space="0"/>
              <w:right w:val="single" w:color="000000" w:sz="4" w:space="0"/>
            </w:tcBorders>
            <w:vAlign w:val="center"/>
          </w:tcPr>
          <w:p w14:paraId="5F7C5EB3">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安全文明施工措施</w:t>
            </w:r>
          </w:p>
        </w:tc>
        <w:tc>
          <w:tcPr>
            <w:tcW w:w="296" w:type="pct"/>
            <w:tcBorders>
              <w:top w:val="single" w:color="000000" w:sz="4" w:space="0"/>
              <w:left w:val="single" w:color="000000" w:sz="4" w:space="0"/>
              <w:bottom w:val="single" w:color="000000" w:sz="4" w:space="0"/>
              <w:right w:val="single" w:color="000000" w:sz="4" w:space="0"/>
            </w:tcBorders>
            <w:vAlign w:val="center"/>
          </w:tcPr>
          <w:p w14:paraId="2303DDB9">
            <w:pPr>
              <w:widowControl/>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3379" w:type="pct"/>
            <w:tcBorders>
              <w:top w:val="single" w:color="000000" w:sz="4" w:space="0"/>
              <w:left w:val="single" w:color="000000" w:sz="4" w:space="0"/>
              <w:bottom w:val="single" w:color="000000" w:sz="4" w:space="0"/>
              <w:right w:val="single" w:color="000000" w:sz="4" w:space="0"/>
            </w:tcBorders>
            <w:vAlign w:val="center"/>
          </w:tcPr>
          <w:p w14:paraId="74E7794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【优】</w:t>
            </w:r>
            <w:r>
              <w:rPr>
                <w:rFonts w:hint="eastAsia" w:ascii="宋体" w:hAnsi="宋体" w:eastAsia="宋体" w:cs="宋体"/>
                <w:color w:val="auto"/>
                <w:kern w:val="0"/>
                <w:szCs w:val="21"/>
                <w:highlight w:val="none"/>
                <w:lang w:val="en-US" w:eastAsia="zh-CN" w:bidi="ar"/>
              </w:rPr>
              <w:t>根据项目实际情况，所制定的</w:t>
            </w:r>
            <w:r>
              <w:rPr>
                <w:rFonts w:hint="eastAsia" w:ascii="宋体" w:hAnsi="宋体" w:eastAsia="宋体" w:cs="宋体"/>
                <w:color w:val="auto"/>
                <w:kern w:val="0"/>
                <w:szCs w:val="21"/>
                <w:highlight w:val="none"/>
                <w:lang w:bidi="ar"/>
              </w:rPr>
              <w:t>安全文明施工目标</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安全文明施工保证体系，安全文明施工保证措施及施工安全保障方案完善、可行</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合理</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得</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【良】</w:t>
            </w:r>
            <w:r>
              <w:rPr>
                <w:rFonts w:hint="eastAsia" w:ascii="宋体" w:hAnsi="宋体" w:eastAsia="宋体" w:cs="宋体"/>
                <w:color w:val="auto"/>
                <w:kern w:val="0"/>
                <w:szCs w:val="21"/>
                <w:highlight w:val="none"/>
                <w:lang w:val="en-US" w:eastAsia="zh-CN" w:bidi="ar"/>
              </w:rPr>
              <w:t>根据项目实际情况，所制定的</w:t>
            </w:r>
            <w:r>
              <w:rPr>
                <w:rFonts w:hint="eastAsia" w:ascii="宋体" w:hAnsi="宋体" w:eastAsia="宋体" w:cs="宋体"/>
                <w:color w:val="auto"/>
                <w:kern w:val="0"/>
                <w:szCs w:val="21"/>
                <w:highlight w:val="none"/>
                <w:lang w:bidi="ar"/>
              </w:rPr>
              <w:t>安全文明施工目标</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安全文明施工保证体系，安全文明施工保证措施及施工安全保障方案</w:t>
            </w:r>
            <w:r>
              <w:rPr>
                <w:rFonts w:hint="eastAsia" w:ascii="宋体" w:hAnsi="宋体" w:eastAsia="宋体" w:cs="宋体"/>
                <w:color w:val="auto"/>
                <w:kern w:val="0"/>
                <w:szCs w:val="21"/>
                <w:highlight w:val="none"/>
                <w:lang w:val="en-US" w:eastAsia="zh-CN" w:bidi="ar"/>
              </w:rPr>
              <w:t>较</w:t>
            </w:r>
            <w:r>
              <w:rPr>
                <w:rFonts w:hint="eastAsia" w:ascii="宋体" w:hAnsi="宋体" w:eastAsia="宋体" w:cs="宋体"/>
                <w:color w:val="auto"/>
                <w:kern w:val="0"/>
                <w:szCs w:val="21"/>
                <w:highlight w:val="none"/>
                <w:lang w:bidi="ar"/>
              </w:rPr>
              <w:t>完善、</w:t>
            </w:r>
            <w:r>
              <w:rPr>
                <w:rFonts w:hint="eastAsia" w:ascii="宋体" w:hAnsi="宋体" w:eastAsia="宋体" w:cs="宋体"/>
                <w:color w:val="auto"/>
                <w:kern w:val="0"/>
                <w:szCs w:val="21"/>
                <w:highlight w:val="none"/>
                <w:lang w:val="en-US" w:eastAsia="zh-CN" w:bidi="ar"/>
              </w:rPr>
              <w:t>较</w:t>
            </w:r>
            <w:r>
              <w:rPr>
                <w:rFonts w:hint="eastAsia" w:ascii="宋体" w:hAnsi="宋体" w:eastAsia="宋体" w:cs="宋体"/>
                <w:color w:val="auto"/>
                <w:kern w:val="0"/>
                <w:szCs w:val="21"/>
                <w:highlight w:val="none"/>
                <w:lang w:bidi="ar"/>
              </w:rPr>
              <w:t>可行</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较合理</w:t>
            </w:r>
            <w:r>
              <w:rPr>
                <w:rFonts w:hint="eastAsia" w:ascii="宋体" w:hAnsi="宋体" w:eastAsia="宋体" w:cs="宋体"/>
                <w:color w:val="auto"/>
                <w:kern w:val="0"/>
                <w:szCs w:val="21"/>
                <w:highlight w:val="none"/>
                <w:lang w:bidi="ar"/>
              </w:rPr>
              <w:t>，得(</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【中】</w:t>
            </w:r>
            <w:r>
              <w:rPr>
                <w:rFonts w:hint="eastAsia" w:ascii="宋体" w:hAnsi="宋体" w:eastAsia="宋体" w:cs="宋体"/>
                <w:color w:val="auto"/>
                <w:kern w:val="0"/>
                <w:szCs w:val="21"/>
                <w:highlight w:val="none"/>
                <w:lang w:val="en-US" w:eastAsia="zh-CN" w:bidi="ar"/>
              </w:rPr>
              <w:t>根据项目实际情况，所制定的</w:t>
            </w:r>
            <w:r>
              <w:rPr>
                <w:rFonts w:hint="eastAsia" w:ascii="宋体" w:hAnsi="宋体" w:eastAsia="宋体" w:cs="宋体"/>
                <w:color w:val="auto"/>
                <w:kern w:val="0"/>
                <w:szCs w:val="21"/>
                <w:highlight w:val="none"/>
                <w:lang w:bidi="ar"/>
              </w:rPr>
              <w:t>安全文明施工目标</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安全文明施工保证体系，安全文明施工保证措施及施工安全保障方案</w:t>
            </w:r>
            <w:r>
              <w:rPr>
                <w:rFonts w:hint="eastAsia" w:ascii="宋体" w:hAnsi="宋体" w:eastAsia="宋体" w:cs="宋体"/>
                <w:color w:val="auto"/>
                <w:kern w:val="0"/>
                <w:szCs w:val="21"/>
                <w:highlight w:val="none"/>
                <w:lang w:val="en-US" w:eastAsia="zh-CN" w:bidi="ar"/>
              </w:rPr>
              <w:t>一般</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基本</w:t>
            </w:r>
            <w:r>
              <w:rPr>
                <w:rFonts w:hint="eastAsia" w:ascii="宋体" w:hAnsi="宋体" w:eastAsia="宋体" w:cs="宋体"/>
                <w:color w:val="auto"/>
                <w:kern w:val="0"/>
                <w:szCs w:val="21"/>
                <w:highlight w:val="none"/>
                <w:lang w:bidi="ar"/>
              </w:rPr>
              <w:t>可行，得(0,</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【差】无提供相应评审内容或差的不得分。</w:t>
            </w:r>
          </w:p>
        </w:tc>
      </w:tr>
      <w:tr w14:paraId="2C79E90A">
        <w:tblPrEx>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973BE2B">
            <w:pPr>
              <w:rPr>
                <w:rFonts w:hint="eastAsia" w:ascii="宋体" w:hAnsi="宋体" w:eastAsia="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CA0A704">
            <w:pPr>
              <w:rPr>
                <w:rFonts w:hint="eastAsia" w:ascii="宋体" w:hAnsi="宋体" w:eastAsia="宋体" w:cs="宋体"/>
                <w:color w:val="auto"/>
                <w:highlight w:val="none"/>
              </w:rPr>
            </w:pPr>
          </w:p>
        </w:tc>
        <w:tc>
          <w:tcPr>
            <w:tcW w:w="619" w:type="pct"/>
            <w:tcBorders>
              <w:top w:val="single" w:color="000000" w:sz="4" w:space="0"/>
              <w:left w:val="single" w:color="000000" w:sz="4" w:space="0"/>
              <w:bottom w:val="single" w:color="000000" w:sz="4" w:space="0"/>
              <w:right w:val="single" w:color="000000" w:sz="4" w:space="0"/>
            </w:tcBorders>
            <w:vAlign w:val="center"/>
          </w:tcPr>
          <w:p w14:paraId="1F2FCE9A">
            <w:pPr>
              <w:rPr>
                <w:rFonts w:hint="eastAsia" w:ascii="宋体" w:hAnsi="宋体" w:eastAsia="宋体" w:cs="宋体"/>
                <w:color w:val="auto"/>
                <w:highlight w:val="none"/>
              </w:rPr>
            </w:pPr>
          </w:p>
        </w:tc>
        <w:tc>
          <w:tcPr>
            <w:tcW w:w="296" w:type="pct"/>
            <w:tcBorders>
              <w:top w:val="single" w:color="000000" w:sz="4" w:space="0"/>
              <w:left w:val="single" w:color="000000" w:sz="4" w:space="0"/>
              <w:bottom w:val="single" w:color="000000" w:sz="4" w:space="0"/>
              <w:right w:val="single" w:color="000000" w:sz="4" w:space="0"/>
            </w:tcBorders>
            <w:vAlign w:val="center"/>
          </w:tcPr>
          <w:p w14:paraId="67234409">
            <w:pPr>
              <w:rPr>
                <w:rFonts w:hint="eastAsia" w:ascii="宋体" w:hAnsi="宋体" w:eastAsia="宋体" w:cs="宋体"/>
                <w:color w:val="auto"/>
                <w:highlight w:val="none"/>
              </w:rPr>
            </w:pPr>
          </w:p>
        </w:tc>
        <w:tc>
          <w:tcPr>
            <w:tcW w:w="3379" w:type="pct"/>
            <w:tcBorders>
              <w:top w:val="single" w:color="000000" w:sz="4" w:space="0"/>
              <w:left w:val="single" w:color="000000" w:sz="4" w:space="0"/>
              <w:bottom w:val="single" w:color="000000" w:sz="4" w:space="0"/>
              <w:right w:val="single" w:color="000000" w:sz="4" w:space="0"/>
            </w:tcBorders>
            <w:vAlign w:val="center"/>
          </w:tcPr>
          <w:p w14:paraId="15C0E278">
            <w:pPr>
              <w:rPr>
                <w:rFonts w:hint="eastAsia" w:ascii="宋体" w:hAnsi="宋体" w:eastAsia="宋体" w:cs="宋体"/>
                <w:color w:val="auto"/>
                <w:highlight w:val="none"/>
              </w:rPr>
            </w:pPr>
          </w:p>
        </w:tc>
      </w:tr>
      <w:tr w14:paraId="4E820426">
        <w:tblPrEx>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804BDCC">
            <w:pPr>
              <w:widowControl/>
              <w:jc w:val="left"/>
              <w:rPr>
                <w:rFonts w:hint="eastAsia" w:ascii="宋体" w:hAnsi="宋体" w:eastAsia="宋体" w:cs="宋体"/>
                <w:b/>
                <w:bCs/>
                <w:color w:val="auto"/>
                <w:kern w:val="0"/>
                <w:szCs w:val="21"/>
                <w:highlight w:val="none"/>
                <w:lang w:bidi="ar"/>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78CE661">
            <w:pPr>
              <w:widowControl/>
              <w:jc w:val="left"/>
              <w:rPr>
                <w:rFonts w:hint="eastAsia" w:ascii="宋体" w:hAnsi="宋体" w:eastAsia="宋体" w:cs="宋体"/>
                <w:b/>
                <w:bCs/>
                <w:color w:val="auto"/>
                <w:szCs w:val="21"/>
                <w:highlight w:val="none"/>
              </w:rPr>
            </w:pPr>
          </w:p>
        </w:tc>
        <w:tc>
          <w:tcPr>
            <w:tcW w:w="619" w:type="pct"/>
            <w:tcBorders>
              <w:top w:val="single" w:color="000000" w:sz="4" w:space="0"/>
              <w:left w:val="single" w:color="000000" w:sz="4" w:space="0"/>
              <w:bottom w:val="single" w:color="000000" w:sz="4" w:space="0"/>
              <w:right w:val="single" w:color="000000" w:sz="4" w:space="0"/>
            </w:tcBorders>
            <w:vAlign w:val="center"/>
          </w:tcPr>
          <w:p w14:paraId="4614A7F3">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TW"/>
              </w:rPr>
              <w:t>深化设计保证措施</w:t>
            </w:r>
          </w:p>
        </w:tc>
        <w:tc>
          <w:tcPr>
            <w:tcW w:w="296" w:type="pct"/>
            <w:tcBorders>
              <w:top w:val="single" w:color="000000" w:sz="4" w:space="0"/>
              <w:left w:val="single" w:color="000000" w:sz="4" w:space="0"/>
              <w:bottom w:val="single" w:color="000000" w:sz="4" w:space="0"/>
              <w:right w:val="single" w:color="000000" w:sz="4" w:space="0"/>
            </w:tcBorders>
            <w:vAlign w:val="center"/>
          </w:tcPr>
          <w:p w14:paraId="665A374A">
            <w:pPr>
              <w:snapToGrid w:val="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4</w:t>
            </w:r>
          </w:p>
        </w:tc>
        <w:tc>
          <w:tcPr>
            <w:tcW w:w="3379" w:type="pct"/>
            <w:tcBorders>
              <w:top w:val="single" w:color="000000" w:sz="4" w:space="0"/>
              <w:left w:val="single" w:color="000000" w:sz="4" w:space="0"/>
              <w:bottom w:val="single" w:color="000000" w:sz="4" w:space="0"/>
              <w:right w:val="single" w:color="000000" w:sz="4" w:space="0"/>
            </w:tcBorders>
            <w:vAlign w:val="center"/>
          </w:tcPr>
          <w:p w14:paraId="3B05D344">
            <w:pP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w:t>
            </w:r>
            <w:r>
              <w:rPr>
                <w:rFonts w:hint="eastAsia" w:ascii="宋体" w:hAnsi="宋体" w:eastAsia="宋体" w:cs="宋体"/>
                <w:color w:val="auto"/>
                <w:szCs w:val="21"/>
                <w:highlight w:val="none"/>
                <w:lang w:bidi="ar"/>
              </w:rPr>
              <w:t>优</w:t>
            </w:r>
            <w:r>
              <w:rPr>
                <w:rFonts w:hint="eastAsia" w:ascii="宋体" w:hAnsi="宋体" w:eastAsia="宋体" w:cs="宋体"/>
                <w:color w:val="auto"/>
                <w:highlight w:val="none"/>
              </w:rPr>
              <w:t>】</w:t>
            </w:r>
            <w:r>
              <w:rPr>
                <w:rFonts w:hint="eastAsia" w:ascii="宋体" w:hAnsi="宋体" w:eastAsia="宋体" w:cs="宋体"/>
                <w:color w:val="auto"/>
                <w:kern w:val="0"/>
                <w:szCs w:val="21"/>
                <w:highlight w:val="none"/>
                <w:lang w:val="en-US" w:eastAsia="zh-CN" w:bidi="ar"/>
              </w:rPr>
              <w:t>根据项目实际情况，所制定的</w:t>
            </w:r>
            <w:r>
              <w:rPr>
                <w:rFonts w:hint="eastAsia" w:ascii="宋体" w:hAnsi="宋体" w:eastAsia="宋体" w:cs="宋体"/>
                <w:color w:val="auto"/>
                <w:highlight w:val="none"/>
              </w:rPr>
              <w:t>危险废物环境风险防控技术中心实验室装饰与安装工程深化设计、智能化深化设计、BIM应用保证措施，</w:t>
            </w:r>
            <w:r>
              <w:rPr>
                <w:rFonts w:hint="eastAsia" w:ascii="宋体" w:hAnsi="宋体" w:eastAsia="宋体" w:cs="宋体"/>
                <w:color w:val="auto"/>
                <w:szCs w:val="21"/>
                <w:highlight w:val="none"/>
              </w:rPr>
              <w:t>全面具体可靠、针对性强，</w:t>
            </w:r>
            <w:r>
              <w:rPr>
                <w:rFonts w:hint="eastAsia" w:ascii="宋体" w:hAnsi="宋体" w:eastAsia="宋体" w:cs="宋体"/>
                <w:color w:val="auto"/>
                <w:highlight w:val="none"/>
              </w:rPr>
              <w:t>保证体系完善</w:t>
            </w:r>
            <w:r>
              <w:rPr>
                <w:rFonts w:hint="eastAsia" w:ascii="宋体" w:hAnsi="宋体" w:eastAsia="宋体" w:cs="宋体"/>
                <w:color w:val="auto"/>
                <w:highlight w:val="none"/>
                <w:lang w:eastAsia="zh-CN"/>
              </w:rPr>
              <w:t>，</w:t>
            </w:r>
            <w:r>
              <w:rPr>
                <w:rFonts w:hint="eastAsia" w:ascii="宋体" w:hAnsi="宋体" w:eastAsia="宋体" w:cs="宋体"/>
                <w:color w:val="auto"/>
                <w:kern w:val="0"/>
                <w:szCs w:val="21"/>
                <w:highlight w:val="none"/>
                <w:lang w:val="en-US" w:eastAsia="zh-CN" w:bidi="ar"/>
              </w:rPr>
              <w:t>得</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szCs w:val="21"/>
                <w:highlight w:val="none"/>
                <w:lang w:bidi="ar"/>
              </w:rPr>
              <w:t>【良】</w:t>
            </w:r>
            <w:r>
              <w:rPr>
                <w:rFonts w:hint="eastAsia" w:ascii="宋体" w:hAnsi="宋体" w:eastAsia="宋体" w:cs="宋体"/>
                <w:color w:val="auto"/>
                <w:kern w:val="0"/>
                <w:szCs w:val="21"/>
                <w:highlight w:val="none"/>
                <w:lang w:val="en-US" w:eastAsia="zh-CN" w:bidi="ar"/>
              </w:rPr>
              <w:t>根据项目实际情况，所制定的</w:t>
            </w:r>
            <w:r>
              <w:rPr>
                <w:rFonts w:hint="eastAsia" w:ascii="宋体" w:hAnsi="宋体" w:eastAsia="宋体" w:cs="宋体"/>
                <w:color w:val="auto"/>
                <w:highlight w:val="none"/>
              </w:rPr>
              <w:t>危险废物环境风险防控技术中心实验室装饰与安装工程深化设计、智能化深化设计、BIM应用保证措施较</w:t>
            </w:r>
            <w:r>
              <w:rPr>
                <w:rFonts w:hint="eastAsia" w:ascii="宋体" w:hAnsi="宋体" w:eastAsia="宋体" w:cs="宋体"/>
                <w:color w:val="auto"/>
                <w:szCs w:val="21"/>
                <w:highlight w:val="none"/>
                <w:lang w:val="en-US" w:eastAsia="zh-CN"/>
              </w:rPr>
              <w:t>为</w:t>
            </w:r>
            <w:r>
              <w:rPr>
                <w:rFonts w:hint="eastAsia" w:ascii="宋体" w:hAnsi="宋体" w:eastAsia="宋体" w:cs="宋体"/>
                <w:color w:val="auto"/>
                <w:szCs w:val="21"/>
                <w:highlight w:val="none"/>
              </w:rPr>
              <w:t>可靠、针对性良</w:t>
            </w:r>
            <w:r>
              <w:rPr>
                <w:rFonts w:hint="eastAsia" w:ascii="宋体" w:hAnsi="宋体" w:eastAsia="宋体" w:cs="宋体"/>
                <w:color w:val="auto"/>
                <w:highlight w:val="none"/>
              </w:rPr>
              <w:t>好</w:t>
            </w:r>
            <w:r>
              <w:rPr>
                <w:rFonts w:hint="eastAsia" w:ascii="宋体" w:hAnsi="宋体" w:eastAsia="宋体" w:cs="宋体"/>
                <w:color w:val="auto"/>
                <w:szCs w:val="21"/>
                <w:highlight w:val="none"/>
              </w:rPr>
              <w:t>，</w:t>
            </w:r>
            <w:r>
              <w:rPr>
                <w:rFonts w:hint="eastAsia" w:ascii="宋体" w:hAnsi="宋体" w:eastAsia="宋体" w:cs="宋体"/>
                <w:color w:val="auto"/>
                <w:highlight w:val="none"/>
              </w:rPr>
              <w:t>保证体系良好</w:t>
            </w:r>
            <w:r>
              <w:rPr>
                <w:rFonts w:hint="eastAsia" w:ascii="宋体" w:hAnsi="宋体" w:eastAsia="宋体" w:cs="宋体"/>
                <w:color w:val="auto"/>
                <w:highlight w:val="none"/>
                <w:lang w:eastAsia="zh-CN"/>
              </w:rPr>
              <w:t>，</w:t>
            </w:r>
            <w:r>
              <w:rPr>
                <w:rFonts w:hint="eastAsia" w:ascii="宋体" w:hAnsi="宋体" w:eastAsia="宋体" w:cs="宋体"/>
                <w:color w:val="auto"/>
                <w:kern w:val="0"/>
                <w:szCs w:val="21"/>
                <w:highlight w:val="none"/>
                <w:lang w:bidi="ar"/>
              </w:rPr>
              <w:t>得(</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分。</w:t>
            </w:r>
          </w:p>
          <w:p w14:paraId="68CF55C9">
            <w:pP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【中】</w:t>
            </w:r>
            <w:r>
              <w:rPr>
                <w:rFonts w:hint="eastAsia" w:ascii="宋体" w:hAnsi="宋体" w:eastAsia="宋体" w:cs="宋体"/>
                <w:color w:val="auto"/>
                <w:kern w:val="0"/>
                <w:szCs w:val="21"/>
                <w:highlight w:val="none"/>
                <w:lang w:val="en-US" w:eastAsia="zh-CN" w:bidi="ar"/>
              </w:rPr>
              <w:t>根据项目实际情况，所制定的</w:t>
            </w:r>
            <w:r>
              <w:rPr>
                <w:rFonts w:hint="eastAsia" w:ascii="宋体" w:hAnsi="宋体" w:eastAsia="宋体" w:cs="宋体"/>
                <w:color w:val="auto"/>
                <w:highlight w:val="none"/>
              </w:rPr>
              <w:t>危险废物环境风险防控技术中心实验室装饰与安装工程深化设计、智能化深化设计、BIM应用保证措施较</w:t>
            </w:r>
            <w:r>
              <w:rPr>
                <w:rFonts w:hint="eastAsia" w:ascii="宋体" w:hAnsi="宋体" w:eastAsia="宋体" w:cs="宋体"/>
                <w:color w:val="auto"/>
                <w:szCs w:val="21"/>
                <w:highlight w:val="none"/>
              </w:rPr>
              <w:t>具体可靠、针对性一般，</w:t>
            </w:r>
            <w:r>
              <w:rPr>
                <w:rFonts w:hint="eastAsia" w:ascii="宋体" w:hAnsi="宋体" w:eastAsia="宋体" w:cs="宋体"/>
                <w:color w:val="auto"/>
                <w:highlight w:val="none"/>
              </w:rPr>
              <w:t>保证体系较完善</w:t>
            </w:r>
            <w:r>
              <w:rPr>
                <w:rFonts w:hint="eastAsia" w:ascii="宋体" w:hAnsi="宋体" w:eastAsia="宋体" w:cs="宋体"/>
                <w:color w:val="auto"/>
                <w:highlight w:val="none"/>
                <w:lang w:eastAsia="zh-CN"/>
              </w:rPr>
              <w:t>，</w:t>
            </w:r>
            <w:r>
              <w:rPr>
                <w:rFonts w:hint="eastAsia" w:ascii="宋体" w:hAnsi="宋体" w:eastAsia="宋体" w:cs="宋体"/>
                <w:color w:val="auto"/>
                <w:kern w:val="0"/>
                <w:szCs w:val="21"/>
                <w:highlight w:val="none"/>
                <w:lang w:bidi="ar"/>
              </w:rPr>
              <w:t>得(0,</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分。</w:t>
            </w:r>
          </w:p>
          <w:p w14:paraId="161B673E">
            <w:pPr>
              <w:rPr>
                <w:rFonts w:hint="eastAsia" w:ascii="宋体" w:hAnsi="宋体" w:eastAsia="宋体" w:cs="宋体"/>
                <w:color w:val="auto"/>
                <w:szCs w:val="21"/>
                <w:highlight w:val="none"/>
                <w:lang w:val="zh-TW" w:eastAsia="zh-TW"/>
              </w:rPr>
            </w:pPr>
            <w:r>
              <w:rPr>
                <w:rFonts w:hint="eastAsia" w:ascii="宋体" w:hAnsi="宋体" w:eastAsia="宋体" w:cs="宋体"/>
                <w:color w:val="auto"/>
                <w:szCs w:val="21"/>
                <w:highlight w:val="none"/>
                <w:lang w:bidi="ar"/>
              </w:rPr>
              <w:t>【差】</w:t>
            </w:r>
            <w:r>
              <w:rPr>
                <w:rFonts w:hint="eastAsia" w:ascii="宋体" w:hAnsi="宋体" w:eastAsia="宋体" w:cs="宋体"/>
                <w:color w:val="auto"/>
                <w:kern w:val="0"/>
                <w:szCs w:val="21"/>
                <w:highlight w:val="none"/>
                <w:lang w:bidi="ar"/>
              </w:rPr>
              <w:t>无提供相应评审内容或差的不得分。</w:t>
            </w:r>
          </w:p>
        </w:tc>
      </w:tr>
      <w:tr w14:paraId="23A3E604">
        <w:tblPrEx>
          <w:tblCellMar>
            <w:top w:w="0" w:type="dxa"/>
            <w:left w:w="108" w:type="dxa"/>
            <w:bottom w:w="0" w:type="dxa"/>
            <w:right w:w="108" w:type="dxa"/>
          </w:tblCellMar>
        </w:tblPrEx>
        <w:trPr>
          <w:trHeight w:val="35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F86364">
            <w:pPr>
              <w:widowControl/>
              <w:jc w:val="left"/>
              <w:rPr>
                <w:rFonts w:hint="eastAsia" w:ascii="宋体" w:hAnsi="宋体" w:eastAsia="宋体" w:cs="宋体"/>
                <w:b/>
                <w:bCs/>
                <w:color w:val="auto"/>
                <w:kern w:val="0"/>
                <w:szCs w:val="21"/>
                <w:highlight w:val="none"/>
                <w:lang w:bidi="ar"/>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67B81FD">
            <w:pPr>
              <w:widowControl/>
              <w:jc w:val="left"/>
              <w:rPr>
                <w:rFonts w:hint="eastAsia" w:ascii="宋体" w:hAnsi="宋体" w:eastAsia="宋体" w:cs="宋体"/>
                <w:b/>
                <w:bCs/>
                <w:color w:val="auto"/>
                <w:szCs w:val="21"/>
                <w:highlight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1B9FB">
            <w:pPr>
              <w:snapToGrid w:val="0"/>
              <w:jc w:val="center"/>
              <w:rPr>
                <w:rFonts w:hint="eastAsia" w:ascii="宋体" w:hAnsi="宋体" w:eastAsia="宋体" w:cs="宋体"/>
                <w:color w:val="auto"/>
                <w:szCs w:val="21"/>
                <w:highlight w:val="none"/>
                <w:lang w:val="zh-TW"/>
              </w:rPr>
            </w:pPr>
            <w:r>
              <w:rPr>
                <w:rFonts w:hint="eastAsia" w:ascii="宋体" w:hAnsi="宋体" w:eastAsia="宋体" w:cs="宋体"/>
                <w:color w:val="auto"/>
                <w:kern w:val="0"/>
                <w:szCs w:val="21"/>
                <w:highlight w:val="none"/>
                <w:lang w:bidi="ar"/>
              </w:rPr>
              <w:t>项目实验室区域关键施工工艺措施</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69428">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3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963D0">
            <w:pPr>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【优】</w:t>
            </w:r>
            <w:r>
              <w:rPr>
                <w:rFonts w:hint="eastAsia" w:ascii="宋体" w:hAnsi="宋体" w:eastAsia="宋体" w:cs="宋体"/>
                <w:color w:val="auto"/>
                <w:kern w:val="0"/>
                <w:szCs w:val="21"/>
                <w:highlight w:val="none"/>
                <w:lang w:val="en-US" w:eastAsia="zh-CN" w:bidi="ar"/>
              </w:rPr>
              <w:t>根据项目实际情况，所制定的</w:t>
            </w:r>
            <w:r>
              <w:rPr>
                <w:rFonts w:hint="eastAsia" w:ascii="宋体" w:hAnsi="宋体" w:eastAsia="宋体" w:cs="宋体"/>
                <w:color w:val="auto"/>
                <w:highlight w:val="none"/>
              </w:rPr>
              <w:t>危险废物特性识别与评价实验室、危险废物风险评估与损害鉴定实验室、危险废物与化学品应急技术实验室、危险废物减污降碳协同技术处理工艺实验室、危险废物环境风险防控政策模拟实验室、危险废物智慧监管技术应用实验室等区域施工工艺和施工重难点进行全面准确阐述并有全面准确质量保障措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科学，合理、可行</w:t>
            </w:r>
            <w:r>
              <w:rPr>
                <w:rFonts w:hint="eastAsia" w:ascii="宋体" w:hAnsi="宋体" w:eastAsia="宋体" w:cs="宋体"/>
                <w:color w:val="auto"/>
                <w:highlight w:val="none"/>
              </w:rPr>
              <w:t>，得</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【良】</w:t>
            </w:r>
            <w:r>
              <w:rPr>
                <w:rFonts w:hint="eastAsia" w:ascii="宋体" w:hAnsi="宋体" w:eastAsia="宋体" w:cs="宋体"/>
                <w:color w:val="auto"/>
                <w:kern w:val="0"/>
                <w:szCs w:val="21"/>
                <w:highlight w:val="none"/>
                <w:lang w:val="en-US" w:eastAsia="zh-CN" w:bidi="ar"/>
              </w:rPr>
              <w:t>根据项目实际情况，所制定的</w:t>
            </w:r>
            <w:r>
              <w:rPr>
                <w:rFonts w:hint="eastAsia" w:ascii="宋体" w:hAnsi="宋体" w:eastAsia="宋体" w:cs="宋体"/>
                <w:color w:val="auto"/>
                <w:highlight w:val="none"/>
              </w:rPr>
              <w:t>危险废物特性识别与评价实验室、危险废物风险评估与损害鉴定实验室、危险废物与化学品应急技术实验室、危险废物减污降碳协同技术处理工艺实验室、危险废物环境风险防控政策模拟实验室、危险废物智慧监管技术应用实验室等区域施工工艺和施工重难点进行阐述并有</w:t>
            </w:r>
            <w:r>
              <w:rPr>
                <w:rFonts w:hint="eastAsia" w:ascii="宋体" w:hAnsi="宋体" w:eastAsia="宋体" w:cs="宋体"/>
                <w:color w:val="auto"/>
                <w:highlight w:val="none"/>
                <w:lang w:val="en-US" w:eastAsia="zh-CN"/>
              </w:rPr>
              <w:t>对应的</w:t>
            </w:r>
            <w:r>
              <w:rPr>
                <w:rFonts w:hint="eastAsia" w:ascii="宋体" w:hAnsi="宋体" w:eastAsia="宋体" w:cs="宋体"/>
                <w:color w:val="auto"/>
                <w:highlight w:val="none"/>
              </w:rPr>
              <w:t>质量保障措施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较为科学，较为合理、较为可行</w:t>
            </w:r>
            <w:r>
              <w:rPr>
                <w:rFonts w:hint="eastAsia" w:ascii="宋体" w:hAnsi="宋体" w:eastAsia="宋体" w:cs="宋体"/>
                <w:color w:val="auto"/>
                <w:kern w:val="0"/>
                <w:szCs w:val="21"/>
                <w:highlight w:val="none"/>
                <w:lang w:bidi="ar"/>
              </w:rPr>
              <w:t>，</w:t>
            </w:r>
            <w:r>
              <w:rPr>
                <w:rFonts w:hint="eastAsia" w:ascii="宋体" w:hAnsi="宋体" w:eastAsia="宋体" w:cs="宋体"/>
                <w:color w:val="auto"/>
                <w:highlight w:val="none"/>
              </w:rPr>
              <w:t>得</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lang w:val="zh-CN"/>
              </w:rPr>
              <w:t>分</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【中】</w:t>
            </w:r>
            <w:r>
              <w:rPr>
                <w:rFonts w:hint="eastAsia" w:ascii="宋体" w:hAnsi="宋体" w:eastAsia="宋体" w:cs="宋体"/>
                <w:color w:val="auto"/>
                <w:kern w:val="0"/>
                <w:szCs w:val="21"/>
                <w:highlight w:val="none"/>
                <w:lang w:val="en-US" w:eastAsia="zh-CN" w:bidi="ar"/>
              </w:rPr>
              <w:t>根据项目实际情况，所制定的</w:t>
            </w:r>
            <w:r>
              <w:rPr>
                <w:rFonts w:hint="eastAsia" w:ascii="宋体" w:hAnsi="宋体" w:eastAsia="宋体" w:cs="宋体"/>
                <w:color w:val="auto"/>
                <w:highlight w:val="none"/>
              </w:rPr>
              <w:t>危险废物特性识别与评价实验室、危险废物风险评估与损害鉴定实验室、危险废物与化学品应急技术实验室、危险废物减污降碳协同技术处理工艺实验室、危险废物环境风险防控政策模拟实验室、危险废物智慧监管技术应用实验室等区域施工工艺和施工重难点进行阐述</w:t>
            </w:r>
            <w:r>
              <w:rPr>
                <w:rFonts w:hint="eastAsia" w:ascii="宋体" w:hAnsi="宋体" w:eastAsia="宋体" w:cs="宋体"/>
                <w:color w:val="auto"/>
                <w:highlight w:val="none"/>
                <w:lang w:val="en-US" w:eastAsia="zh-CN"/>
              </w:rPr>
              <w:t>但不全面，对应的</w:t>
            </w:r>
            <w:r>
              <w:rPr>
                <w:rFonts w:hint="eastAsia" w:ascii="宋体" w:hAnsi="宋体" w:eastAsia="宋体" w:cs="宋体"/>
                <w:color w:val="auto"/>
                <w:highlight w:val="none"/>
              </w:rPr>
              <w:t>质量保障措施</w:t>
            </w:r>
            <w:r>
              <w:rPr>
                <w:rFonts w:hint="eastAsia" w:ascii="宋体" w:hAnsi="宋体" w:eastAsia="宋体" w:cs="宋体"/>
                <w:color w:val="auto"/>
                <w:highlight w:val="none"/>
                <w:lang w:val="en-US" w:eastAsia="zh-CN"/>
              </w:rPr>
              <w:t>基本可行</w:t>
            </w:r>
            <w:r>
              <w:rPr>
                <w:rFonts w:hint="eastAsia" w:ascii="宋体" w:hAnsi="宋体" w:eastAsia="宋体" w:cs="宋体"/>
                <w:color w:val="auto"/>
                <w:kern w:val="0"/>
                <w:szCs w:val="21"/>
                <w:highlight w:val="none"/>
                <w:lang w:bidi="ar"/>
              </w:rPr>
              <w:t>，</w:t>
            </w:r>
            <w:r>
              <w:rPr>
                <w:rFonts w:hint="eastAsia" w:ascii="宋体" w:hAnsi="宋体" w:eastAsia="宋体" w:cs="宋体"/>
                <w:color w:val="auto"/>
                <w:highlight w:val="none"/>
              </w:rPr>
              <w:t>得</w:t>
            </w:r>
            <w:r>
              <w:rPr>
                <w:rFonts w:hint="eastAsia" w:ascii="宋体" w:hAnsi="宋体" w:eastAsia="宋体" w:cs="宋体"/>
                <w:color w:val="auto"/>
                <w:kern w:val="0"/>
                <w:szCs w:val="21"/>
                <w:highlight w:val="none"/>
                <w:lang w:bidi="ar"/>
              </w:rPr>
              <w:t>（0,</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lang w:val="zh-CN"/>
              </w:rPr>
              <w:t>分</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【差】无提供相应评审内容或差的不得分。</w:t>
            </w:r>
          </w:p>
        </w:tc>
      </w:tr>
      <w:tr w14:paraId="4358011E">
        <w:tblPrEx>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432F156">
            <w:pPr>
              <w:widowControl/>
              <w:jc w:val="left"/>
              <w:rPr>
                <w:rFonts w:hint="eastAsia" w:ascii="宋体" w:hAnsi="宋体" w:eastAsia="宋体" w:cs="宋体"/>
                <w:b/>
                <w:bCs/>
                <w:color w:val="auto"/>
                <w:kern w:val="0"/>
                <w:szCs w:val="21"/>
                <w:highlight w:val="none"/>
                <w:lang w:bidi="ar"/>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1FD4593">
            <w:pPr>
              <w:widowControl/>
              <w:jc w:val="left"/>
              <w:rPr>
                <w:rFonts w:hint="eastAsia" w:ascii="宋体" w:hAnsi="宋体" w:eastAsia="宋体" w:cs="宋体"/>
                <w:b/>
                <w:bCs/>
                <w:color w:val="auto"/>
                <w:szCs w:val="21"/>
                <w:highlight w:val="none"/>
              </w:rPr>
            </w:pPr>
          </w:p>
        </w:tc>
        <w:tc>
          <w:tcPr>
            <w:tcW w:w="619" w:type="pct"/>
            <w:tcBorders>
              <w:top w:val="single" w:color="000000" w:sz="4" w:space="0"/>
              <w:left w:val="single" w:color="000000" w:sz="4" w:space="0"/>
              <w:bottom w:val="single" w:color="000000" w:sz="4" w:space="0"/>
              <w:right w:val="single" w:color="000000" w:sz="4" w:space="0"/>
            </w:tcBorders>
            <w:vAlign w:val="center"/>
          </w:tcPr>
          <w:p w14:paraId="386FB247">
            <w:pPr>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项目仪器平台关键施工工艺措施</w:t>
            </w:r>
          </w:p>
        </w:tc>
        <w:tc>
          <w:tcPr>
            <w:tcW w:w="296" w:type="pct"/>
            <w:tcBorders>
              <w:top w:val="single" w:color="000000" w:sz="4" w:space="0"/>
              <w:left w:val="single" w:color="000000" w:sz="4" w:space="0"/>
              <w:bottom w:val="single" w:color="000000" w:sz="4" w:space="0"/>
              <w:right w:val="single" w:color="000000" w:sz="4" w:space="0"/>
            </w:tcBorders>
            <w:vAlign w:val="center"/>
          </w:tcPr>
          <w:p w14:paraId="0D03ECCF">
            <w:pPr>
              <w:snapToGrid w:val="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3379" w:type="pct"/>
            <w:tcBorders>
              <w:top w:val="single" w:color="000000" w:sz="4" w:space="0"/>
              <w:left w:val="single" w:color="000000" w:sz="4" w:space="0"/>
              <w:bottom w:val="single" w:color="000000" w:sz="4" w:space="0"/>
              <w:right w:val="single" w:color="000000" w:sz="4" w:space="0"/>
            </w:tcBorders>
            <w:vAlign w:val="center"/>
          </w:tcPr>
          <w:p w14:paraId="03362FDF">
            <w:pPr>
              <w:rPr>
                <w:rFonts w:hint="eastAsia" w:ascii="宋体" w:hAnsi="宋体" w:eastAsia="宋体" w:cs="宋体"/>
                <w:color w:val="auto"/>
                <w:kern w:val="0"/>
                <w:szCs w:val="21"/>
                <w:highlight w:val="none"/>
                <w:lang w:bidi="ar"/>
              </w:rPr>
            </w:pPr>
            <w:r>
              <w:rPr>
                <w:rFonts w:hint="eastAsia" w:ascii="宋体" w:hAnsi="宋体" w:eastAsia="宋体" w:cs="宋体"/>
                <w:color w:val="auto"/>
                <w:highlight w:val="none"/>
              </w:rPr>
              <w:t>【</w:t>
            </w:r>
            <w:r>
              <w:rPr>
                <w:rFonts w:hint="eastAsia" w:ascii="宋体" w:hAnsi="宋体" w:eastAsia="宋体" w:cs="宋体"/>
                <w:color w:val="auto"/>
                <w:szCs w:val="21"/>
                <w:highlight w:val="none"/>
                <w:lang w:bidi="ar"/>
              </w:rPr>
              <w:t>优</w:t>
            </w:r>
            <w:r>
              <w:rPr>
                <w:rFonts w:hint="eastAsia" w:ascii="宋体" w:hAnsi="宋体" w:eastAsia="宋体" w:cs="宋体"/>
                <w:color w:val="auto"/>
                <w:highlight w:val="none"/>
              </w:rPr>
              <w:t>】</w:t>
            </w:r>
            <w:r>
              <w:rPr>
                <w:rFonts w:hint="eastAsia" w:ascii="宋体" w:hAnsi="宋体" w:eastAsia="宋体" w:cs="宋体"/>
                <w:color w:val="auto"/>
                <w:kern w:val="0"/>
                <w:szCs w:val="21"/>
                <w:highlight w:val="none"/>
                <w:lang w:val="en-US" w:eastAsia="zh-CN" w:bidi="ar"/>
              </w:rPr>
              <w:t>根据项目实际情况，所制定的</w:t>
            </w:r>
            <w:r>
              <w:rPr>
                <w:rFonts w:hint="eastAsia" w:ascii="宋体" w:hAnsi="宋体" w:eastAsia="宋体" w:cs="宋体"/>
                <w:color w:val="auto"/>
                <w:highlight w:val="none"/>
              </w:rPr>
              <w:t>公共仪器平台及大型仪器平台实施</w:t>
            </w:r>
            <w:r>
              <w:rPr>
                <w:rFonts w:hint="eastAsia" w:ascii="宋体" w:hAnsi="宋体" w:eastAsia="宋体" w:cs="宋体"/>
                <w:color w:val="auto"/>
                <w:szCs w:val="21"/>
                <w:highlight w:val="none"/>
              </w:rPr>
              <w:t>重点难点分析、应对措施、与本项目特点结合全面具体，针对性强</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得</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szCs w:val="21"/>
                <w:highlight w:val="none"/>
                <w:lang w:bidi="ar"/>
              </w:rPr>
              <w:t>【良】</w:t>
            </w:r>
            <w:r>
              <w:rPr>
                <w:rFonts w:hint="eastAsia" w:ascii="宋体" w:hAnsi="宋体" w:eastAsia="宋体" w:cs="宋体"/>
                <w:color w:val="auto"/>
                <w:kern w:val="0"/>
                <w:szCs w:val="21"/>
                <w:highlight w:val="none"/>
                <w:lang w:val="en-US" w:eastAsia="zh-CN" w:bidi="ar"/>
              </w:rPr>
              <w:t>根据项目实际情况，所制定的</w:t>
            </w:r>
            <w:r>
              <w:rPr>
                <w:rFonts w:hint="eastAsia" w:ascii="宋体" w:hAnsi="宋体" w:eastAsia="宋体" w:cs="宋体"/>
                <w:color w:val="auto"/>
                <w:highlight w:val="none"/>
              </w:rPr>
              <w:t>公共仪器平台及大型仪器平台实施</w:t>
            </w:r>
            <w:r>
              <w:rPr>
                <w:rFonts w:hint="eastAsia" w:ascii="宋体" w:hAnsi="宋体" w:eastAsia="宋体" w:cs="宋体"/>
                <w:color w:val="auto"/>
                <w:szCs w:val="21"/>
                <w:highlight w:val="none"/>
              </w:rPr>
              <w:t>重点难点分析、应对措施、与本项目特点结合较具体，针对性良好</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得</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lang w:val="zh-CN"/>
              </w:rPr>
              <w:t>分</w:t>
            </w:r>
            <w:r>
              <w:rPr>
                <w:rFonts w:hint="eastAsia" w:ascii="宋体" w:hAnsi="宋体" w:eastAsia="宋体" w:cs="宋体"/>
                <w:color w:val="auto"/>
                <w:kern w:val="0"/>
                <w:szCs w:val="21"/>
                <w:highlight w:val="none"/>
                <w:lang w:bidi="ar"/>
              </w:rPr>
              <w:t>。</w:t>
            </w:r>
          </w:p>
          <w:p w14:paraId="793EF57D">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【中】</w:t>
            </w:r>
            <w:r>
              <w:rPr>
                <w:rFonts w:hint="eastAsia" w:ascii="宋体" w:hAnsi="宋体" w:eastAsia="宋体" w:cs="宋体"/>
                <w:color w:val="auto"/>
                <w:kern w:val="0"/>
                <w:szCs w:val="21"/>
                <w:highlight w:val="none"/>
                <w:lang w:val="en-US" w:eastAsia="zh-CN" w:bidi="ar"/>
              </w:rPr>
              <w:t>根据项目实际情况，所制定的</w:t>
            </w:r>
            <w:r>
              <w:rPr>
                <w:rFonts w:hint="eastAsia" w:ascii="宋体" w:hAnsi="宋体" w:eastAsia="宋体" w:cs="宋体"/>
                <w:color w:val="auto"/>
                <w:highlight w:val="none"/>
              </w:rPr>
              <w:t>公共仪器平台及大型仪器平台实施</w:t>
            </w:r>
            <w:r>
              <w:rPr>
                <w:rFonts w:hint="eastAsia" w:ascii="宋体" w:hAnsi="宋体" w:eastAsia="宋体" w:cs="宋体"/>
                <w:color w:val="auto"/>
                <w:szCs w:val="21"/>
                <w:highlight w:val="none"/>
              </w:rPr>
              <w:t>重点难点分析、应对措施、与本项目特点结合较具体，针对性一般</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得</w:t>
            </w:r>
            <w:r>
              <w:rPr>
                <w:rFonts w:hint="eastAsia" w:ascii="宋体" w:hAnsi="宋体" w:eastAsia="宋体" w:cs="宋体"/>
                <w:color w:val="auto"/>
                <w:kern w:val="0"/>
                <w:szCs w:val="21"/>
                <w:highlight w:val="none"/>
                <w:lang w:bidi="ar"/>
              </w:rPr>
              <w:t>（0,</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lang w:val="zh-CN"/>
              </w:rPr>
              <w:t>分</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【差】无提供相应评审内容或差的不得分。</w:t>
            </w:r>
          </w:p>
        </w:tc>
      </w:tr>
      <w:tr w14:paraId="2162D592">
        <w:tblPrEx>
          <w:tblCellMar>
            <w:top w:w="0" w:type="dxa"/>
            <w:left w:w="108" w:type="dxa"/>
            <w:bottom w:w="0" w:type="dxa"/>
            <w:right w:w="108" w:type="dxa"/>
          </w:tblCellMar>
        </w:tblPrEx>
        <w:trPr>
          <w:trHeight w:val="23" w:hRule="atLeast"/>
        </w:trPr>
        <w:tc>
          <w:tcPr>
            <w:tcW w:w="257" w:type="pct"/>
            <w:vMerge w:val="restart"/>
            <w:tcBorders>
              <w:top w:val="single" w:color="000000" w:sz="4" w:space="0"/>
              <w:left w:val="single" w:color="000000" w:sz="4" w:space="0"/>
              <w:right w:val="single" w:color="000000" w:sz="4" w:space="0"/>
            </w:tcBorders>
            <w:vAlign w:val="center"/>
          </w:tcPr>
          <w:p w14:paraId="4E7A0290">
            <w:pPr>
              <w:widowControl/>
              <w:jc w:val="left"/>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二</w:t>
            </w:r>
          </w:p>
        </w:tc>
        <w:tc>
          <w:tcPr>
            <w:tcW w:w="448" w:type="pct"/>
            <w:vMerge w:val="restart"/>
            <w:tcBorders>
              <w:top w:val="single" w:color="000000" w:sz="4" w:space="0"/>
              <w:left w:val="single" w:color="000000" w:sz="4" w:space="0"/>
              <w:right w:val="single" w:color="000000" w:sz="4" w:space="0"/>
            </w:tcBorders>
            <w:vAlign w:val="center"/>
          </w:tcPr>
          <w:p w14:paraId="580DFCCF">
            <w:pPr>
              <w:widowControl/>
              <w:jc w:val="left"/>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项目管理机构能力（</w:t>
            </w:r>
            <w:r>
              <w:rPr>
                <w:rFonts w:hint="eastAsia" w:ascii="宋体" w:hAnsi="宋体" w:eastAsia="宋体" w:cs="宋体"/>
                <w:b/>
                <w:bCs/>
                <w:color w:val="auto"/>
                <w:kern w:val="0"/>
                <w:szCs w:val="21"/>
                <w:highlight w:val="none"/>
                <w:lang w:val="en-US" w:eastAsia="zh-CN" w:bidi="ar"/>
              </w:rPr>
              <w:t>48</w:t>
            </w:r>
            <w:r>
              <w:rPr>
                <w:rFonts w:hint="eastAsia" w:ascii="宋体" w:hAnsi="宋体" w:eastAsia="宋体" w:cs="宋体"/>
                <w:b/>
                <w:bCs/>
                <w:color w:val="auto"/>
                <w:kern w:val="0"/>
                <w:szCs w:val="21"/>
                <w:highlight w:val="none"/>
                <w:lang w:bidi="ar"/>
              </w:rPr>
              <w:t>分）</w:t>
            </w:r>
          </w:p>
        </w:tc>
        <w:tc>
          <w:tcPr>
            <w:tcW w:w="619" w:type="pct"/>
            <w:tcBorders>
              <w:top w:val="single" w:color="000000" w:sz="4" w:space="0"/>
              <w:left w:val="single" w:color="000000" w:sz="4" w:space="0"/>
              <w:bottom w:val="single" w:color="000000" w:sz="4" w:space="0"/>
              <w:right w:val="single" w:color="000000" w:sz="4" w:space="0"/>
            </w:tcBorders>
            <w:vAlign w:val="center"/>
          </w:tcPr>
          <w:p w14:paraId="392AD0D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项目负责人</w:t>
            </w:r>
          </w:p>
        </w:tc>
        <w:tc>
          <w:tcPr>
            <w:tcW w:w="296" w:type="pct"/>
            <w:tcBorders>
              <w:top w:val="single" w:color="000000" w:sz="4" w:space="0"/>
              <w:left w:val="single" w:color="000000" w:sz="4" w:space="0"/>
              <w:bottom w:val="single" w:color="000000" w:sz="4" w:space="0"/>
              <w:right w:val="single" w:color="000000" w:sz="4" w:space="0"/>
            </w:tcBorders>
            <w:vAlign w:val="center"/>
          </w:tcPr>
          <w:p w14:paraId="34C9E024">
            <w:pPr>
              <w:widowControl/>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3379" w:type="pct"/>
            <w:tcBorders>
              <w:top w:val="single" w:color="000000" w:sz="4" w:space="0"/>
              <w:left w:val="single" w:color="000000" w:sz="4" w:space="0"/>
              <w:bottom w:val="single" w:color="000000" w:sz="4" w:space="0"/>
              <w:right w:val="single" w:color="000000" w:sz="4" w:space="0"/>
            </w:tcBorders>
            <w:vAlign w:val="center"/>
          </w:tcPr>
          <w:p w14:paraId="01A939FA">
            <w:pPr>
              <w:widowControl/>
              <w:tabs>
                <w:tab w:val="left" w:pos="312"/>
              </w:tabs>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1、项目负责人（如为联合体投标，则由联合体牵头单位</w:t>
            </w:r>
            <w:r>
              <w:rPr>
                <w:rFonts w:hint="eastAsia" w:ascii="宋体" w:hAnsi="宋体" w:eastAsia="宋体" w:cs="宋体"/>
                <w:color w:val="auto"/>
                <w:kern w:val="0"/>
                <w:szCs w:val="21"/>
                <w:highlight w:val="none"/>
                <w:lang w:val="en-US" w:eastAsia="zh-CN" w:bidi="ar"/>
              </w:rPr>
              <w:t>拟派</w:t>
            </w:r>
            <w:r>
              <w:rPr>
                <w:rFonts w:hint="eastAsia" w:ascii="宋体" w:hAnsi="宋体" w:eastAsia="宋体" w:cs="宋体"/>
                <w:color w:val="auto"/>
                <w:kern w:val="0"/>
                <w:szCs w:val="21"/>
                <w:highlight w:val="none"/>
                <w:lang w:bidi="ar"/>
              </w:rPr>
              <w:t>）业绩：</w:t>
            </w:r>
          </w:p>
          <w:p w14:paraId="00D1651B">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（1）项目负责人自2020年1月1日至投标截止时间止，作为项目负责人完成过质量合格的单项合同金额大于或等于</w:t>
            </w:r>
            <w:r>
              <w:rPr>
                <w:rFonts w:hint="eastAsia" w:ascii="宋体" w:hAnsi="宋体" w:cs="宋体"/>
                <w:color w:val="auto"/>
                <w:kern w:val="0"/>
                <w:szCs w:val="21"/>
                <w:highlight w:val="none"/>
                <w:lang w:eastAsia="zh-CN" w:bidi="ar"/>
              </w:rPr>
              <w:t>3600万元</w:t>
            </w:r>
            <w:r>
              <w:rPr>
                <w:rFonts w:hint="eastAsia" w:ascii="宋体" w:hAnsi="宋体" w:eastAsia="宋体" w:cs="宋体"/>
                <w:color w:val="auto"/>
                <w:kern w:val="0"/>
                <w:szCs w:val="21"/>
                <w:highlight w:val="none"/>
                <w:lang w:bidi="ar"/>
              </w:rPr>
              <w:t>的类似建筑机电安装工程</w:t>
            </w:r>
            <w:r>
              <w:rPr>
                <w:rFonts w:hint="eastAsia" w:ascii="宋体" w:hAnsi="宋体" w:eastAsia="宋体" w:cs="宋体"/>
                <w:color w:val="auto"/>
                <w:szCs w:val="21"/>
                <w:highlight w:val="none"/>
              </w:rPr>
              <w:t>施工</w:t>
            </w:r>
            <w:r>
              <w:rPr>
                <w:rFonts w:hint="eastAsia" w:ascii="宋体" w:hAnsi="宋体" w:eastAsia="宋体" w:cs="宋体"/>
                <w:color w:val="auto"/>
                <w:kern w:val="0"/>
                <w:szCs w:val="21"/>
                <w:highlight w:val="none"/>
                <w:lang w:bidi="ar"/>
              </w:rPr>
              <w:t>业绩，得</w:t>
            </w:r>
            <w:r>
              <w:rPr>
                <w:rFonts w:hint="eastAsia" w:ascii="宋体" w:hAnsi="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分；</w:t>
            </w:r>
          </w:p>
          <w:p w14:paraId="321F3D02">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（2）项目负责人自2020年1月1日至投标截止时间止，作为项目负责人完成过质量合格的单项合同金额大于或等于</w:t>
            </w:r>
            <w:r>
              <w:rPr>
                <w:rFonts w:hint="eastAsia" w:ascii="宋体" w:hAnsi="宋体" w:cs="宋体"/>
                <w:color w:val="auto"/>
                <w:kern w:val="0"/>
                <w:szCs w:val="21"/>
                <w:highlight w:val="none"/>
                <w:lang w:val="en-US" w:eastAsia="zh-CN" w:bidi="ar"/>
              </w:rPr>
              <w:t>1800</w:t>
            </w:r>
            <w:r>
              <w:rPr>
                <w:rFonts w:hint="eastAsia" w:ascii="宋体" w:hAnsi="宋体" w:eastAsia="宋体" w:cs="宋体"/>
                <w:color w:val="auto"/>
                <w:kern w:val="0"/>
                <w:szCs w:val="21"/>
                <w:highlight w:val="none"/>
                <w:lang w:bidi="ar"/>
              </w:rPr>
              <w:t>万元的类似建筑机电安装工程</w:t>
            </w:r>
            <w:r>
              <w:rPr>
                <w:rFonts w:hint="eastAsia" w:ascii="宋体" w:hAnsi="宋体" w:eastAsia="宋体" w:cs="宋体"/>
                <w:color w:val="auto"/>
                <w:szCs w:val="21"/>
                <w:highlight w:val="none"/>
              </w:rPr>
              <w:t>施工</w:t>
            </w:r>
            <w:r>
              <w:rPr>
                <w:rFonts w:hint="eastAsia" w:ascii="宋体" w:hAnsi="宋体" w:eastAsia="宋体" w:cs="宋体"/>
                <w:color w:val="auto"/>
                <w:kern w:val="0"/>
                <w:szCs w:val="21"/>
                <w:highlight w:val="none"/>
                <w:lang w:bidi="ar"/>
              </w:rPr>
              <w:t>业绩，得</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分；</w:t>
            </w:r>
          </w:p>
          <w:p w14:paraId="0C7EE608">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（3）项目负责人自2020年1月1日至投标截止时间止，作为项目负责人完成过质量合格的单项合同金额大于或等于</w:t>
            </w:r>
            <w:r>
              <w:rPr>
                <w:rFonts w:hint="eastAsia" w:ascii="宋体" w:hAnsi="宋体" w:cs="宋体"/>
                <w:color w:val="auto"/>
                <w:kern w:val="0"/>
                <w:szCs w:val="21"/>
                <w:highlight w:val="none"/>
                <w:lang w:val="en-US" w:eastAsia="zh-CN" w:bidi="ar"/>
              </w:rPr>
              <w:t>9</w:t>
            </w:r>
            <w:r>
              <w:rPr>
                <w:rFonts w:hint="eastAsia" w:ascii="宋体" w:hAnsi="宋体" w:eastAsia="宋体" w:cs="宋体"/>
                <w:color w:val="auto"/>
                <w:kern w:val="0"/>
                <w:szCs w:val="21"/>
                <w:highlight w:val="none"/>
                <w:lang w:bidi="ar"/>
              </w:rPr>
              <w:t>00万元的类似建筑机电安装工程</w:t>
            </w:r>
            <w:r>
              <w:rPr>
                <w:rFonts w:hint="eastAsia" w:ascii="宋体" w:hAnsi="宋体" w:eastAsia="宋体" w:cs="宋体"/>
                <w:color w:val="auto"/>
                <w:szCs w:val="21"/>
                <w:highlight w:val="none"/>
              </w:rPr>
              <w:t>施工</w:t>
            </w:r>
            <w:r>
              <w:rPr>
                <w:rFonts w:hint="eastAsia" w:ascii="宋体" w:hAnsi="宋体" w:eastAsia="宋体" w:cs="宋体"/>
                <w:color w:val="auto"/>
                <w:kern w:val="0"/>
                <w:szCs w:val="21"/>
                <w:highlight w:val="none"/>
                <w:lang w:bidi="ar"/>
              </w:rPr>
              <w:t>业绩，得1分。</w:t>
            </w:r>
          </w:p>
          <w:p w14:paraId="4C53CDAC">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注：本分项不累计得分，最高得</w:t>
            </w:r>
            <w:r>
              <w:rPr>
                <w:rFonts w:hint="eastAsia" w:ascii="宋体" w:hAnsi="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分。</w:t>
            </w:r>
          </w:p>
          <w:p w14:paraId="3F7F483F">
            <w:pPr>
              <w:widowControl/>
              <w:numPr>
                <w:ilvl w:val="0"/>
                <w:numId w:val="1"/>
              </w:numPr>
              <w:tabs>
                <w:tab w:val="left" w:pos="312"/>
              </w:tabs>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rPr>
              <w:t>具有10年或以上施工管理工作经验的，得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kern w:val="0"/>
                <w:szCs w:val="21"/>
                <w:highlight w:val="none"/>
                <w:lang w:bidi="ar"/>
              </w:rPr>
              <w:t>。施工管理工作经验</w:t>
            </w:r>
            <w:r>
              <w:rPr>
                <w:rFonts w:hint="eastAsia" w:ascii="宋体" w:hAnsi="宋体" w:eastAsia="宋体" w:cs="宋体"/>
                <w:color w:val="auto"/>
                <w:highlight w:val="none"/>
                <w:lang w:val="en-US" w:eastAsia="zh-CN"/>
              </w:rPr>
              <w:t>10年以下的，得0.2分。</w:t>
            </w:r>
          </w:p>
          <w:p w14:paraId="157F9A5B">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注：不满足前述要求不得分。本项最高得</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分。</w:t>
            </w:r>
          </w:p>
        </w:tc>
      </w:tr>
      <w:tr w14:paraId="30B87D80">
        <w:tblPrEx>
          <w:tblCellMar>
            <w:top w:w="0" w:type="dxa"/>
            <w:left w:w="108" w:type="dxa"/>
            <w:bottom w:w="0" w:type="dxa"/>
            <w:right w:w="108" w:type="dxa"/>
          </w:tblCellMar>
        </w:tblPrEx>
        <w:trPr>
          <w:trHeight w:val="23" w:hRule="atLeast"/>
        </w:trPr>
        <w:tc>
          <w:tcPr>
            <w:tcW w:w="257" w:type="pct"/>
            <w:vMerge w:val="continue"/>
            <w:tcBorders>
              <w:left w:val="single" w:color="000000" w:sz="4" w:space="0"/>
              <w:right w:val="single" w:color="000000" w:sz="4" w:space="0"/>
            </w:tcBorders>
            <w:vAlign w:val="center"/>
          </w:tcPr>
          <w:p w14:paraId="7FF8BD27">
            <w:pPr>
              <w:widowControl/>
              <w:jc w:val="left"/>
              <w:textAlignment w:val="center"/>
              <w:rPr>
                <w:rFonts w:hint="eastAsia" w:ascii="宋体" w:hAnsi="宋体" w:eastAsia="宋体" w:cs="宋体"/>
                <w:b/>
                <w:bCs/>
                <w:color w:val="auto"/>
                <w:kern w:val="0"/>
                <w:szCs w:val="21"/>
                <w:highlight w:val="none"/>
                <w:lang w:bidi="ar"/>
              </w:rPr>
            </w:pPr>
          </w:p>
        </w:tc>
        <w:tc>
          <w:tcPr>
            <w:tcW w:w="448" w:type="pct"/>
            <w:vMerge w:val="continue"/>
            <w:tcBorders>
              <w:left w:val="single" w:color="000000" w:sz="4" w:space="0"/>
              <w:right w:val="single" w:color="000000" w:sz="4" w:space="0"/>
            </w:tcBorders>
            <w:vAlign w:val="center"/>
          </w:tcPr>
          <w:p w14:paraId="7A1710EE">
            <w:pPr>
              <w:widowControl/>
              <w:jc w:val="left"/>
              <w:textAlignment w:val="center"/>
              <w:rPr>
                <w:rFonts w:hint="eastAsia" w:ascii="宋体" w:hAnsi="宋体" w:eastAsia="宋体" w:cs="宋体"/>
                <w:b/>
                <w:bCs/>
                <w:color w:val="auto"/>
                <w:kern w:val="0"/>
                <w:szCs w:val="21"/>
                <w:highlight w:val="none"/>
                <w:lang w:bidi="ar"/>
              </w:rPr>
            </w:pPr>
          </w:p>
        </w:tc>
        <w:tc>
          <w:tcPr>
            <w:tcW w:w="619" w:type="pct"/>
            <w:tcBorders>
              <w:top w:val="single" w:color="000000" w:sz="4" w:space="0"/>
              <w:left w:val="single" w:color="000000" w:sz="4" w:space="0"/>
              <w:bottom w:val="single" w:color="000000" w:sz="4" w:space="0"/>
              <w:right w:val="single" w:color="000000" w:sz="4" w:space="0"/>
            </w:tcBorders>
            <w:vAlign w:val="center"/>
          </w:tcPr>
          <w:p w14:paraId="0509768D">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项目技术负责人</w:t>
            </w:r>
          </w:p>
        </w:tc>
        <w:tc>
          <w:tcPr>
            <w:tcW w:w="296" w:type="pct"/>
            <w:tcBorders>
              <w:top w:val="single" w:color="000000" w:sz="4" w:space="0"/>
              <w:left w:val="single" w:color="000000" w:sz="4" w:space="0"/>
              <w:bottom w:val="single" w:color="000000" w:sz="4" w:space="0"/>
              <w:right w:val="single" w:color="000000" w:sz="4" w:space="0"/>
            </w:tcBorders>
            <w:vAlign w:val="center"/>
          </w:tcPr>
          <w:p w14:paraId="3CDC5E71">
            <w:pPr>
              <w:widowControl/>
              <w:jc w:val="center"/>
              <w:textAlignment w:val="center"/>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val="en-US" w:eastAsia="zh-CN" w:bidi="ar"/>
              </w:rPr>
              <w:t>5</w:t>
            </w:r>
          </w:p>
        </w:tc>
        <w:tc>
          <w:tcPr>
            <w:tcW w:w="3379" w:type="pct"/>
            <w:tcBorders>
              <w:top w:val="single" w:color="000000" w:sz="4" w:space="0"/>
              <w:left w:val="single" w:color="000000" w:sz="4" w:space="0"/>
              <w:bottom w:val="single" w:color="000000" w:sz="4" w:space="0"/>
              <w:right w:val="single" w:color="000000" w:sz="4" w:space="0"/>
            </w:tcBorders>
            <w:vAlign w:val="center"/>
          </w:tcPr>
          <w:p w14:paraId="31EEC916">
            <w:pPr>
              <w:widowControl/>
              <w:tabs>
                <w:tab w:val="left" w:pos="312"/>
              </w:tabs>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1、技术负责人（如为联合体投标，则由联合体牵头单位</w:t>
            </w:r>
            <w:r>
              <w:rPr>
                <w:rFonts w:hint="eastAsia" w:ascii="宋体" w:hAnsi="宋体" w:eastAsia="宋体" w:cs="宋体"/>
                <w:color w:val="auto"/>
                <w:kern w:val="0"/>
                <w:szCs w:val="21"/>
                <w:highlight w:val="none"/>
                <w:lang w:val="en-US" w:eastAsia="zh-CN" w:bidi="ar"/>
              </w:rPr>
              <w:t>拟派</w:t>
            </w:r>
            <w:r>
              <w:rPr>
                <w:rFonts w:hint="eastAsia" w:ascii="宋体" w:hAnsi="宋体" w:eastAsia="宋体" w:cs="宋体"/>
                <w:color w:val="auto"/>
                <w:kern w:val="0"/>
                <w:szCs w:val="21"/>
                <w:highlight w:val="none"/>
                <w:lang w:bidi="ar"/>
              </w:rPr>
              <w:t>）业绩：</w:t>
            </w:r>
          </w:p>
          <w:p w14:paraId="0A7D6C52">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（1）技术负责人自2020年1月1日至投标截止时间止，作为项目负责人</w:t>
            </w:r>
            <w:r>
              <w:rPr>
                <w:rFonts w:hint="eastAsia" w:ascii="宋体" w:hAnsi="宋体" w:eastAsia="宋体" w:cs="宋体"/>
                <w:color w:val="auto"/>
                <w:kern w:val="0"/>
                <w:szCs w:val="21"/>
                <w:highlight w:val="none"/>
                <w:lang w:val="en-US" w:eastAsia="zh-CN" w:bidi="ar"/>
              </w:rPr>
              <w:t>或</w:t>
            </w:r>
            <w:r>
              <w:rPr>
                <w:rFonts w:hint="eastAsia" w:ascii="宋体" w:hAnsi="宋体" w:eastAsia="宋体" w:cs="宋体"/>
                <w:color w:val="auto"/>
                <w:kern w:val="0"/>
                <w:szCs w:val="21"/>
                <w:highlight w:val="none"/>
                <w:lang w:bidi="ar"/>
              </w:rPr>
              <w:t>技术负责人完成过质量合格的单项合同金额大于或等于</w:t>
            </w:r>
            <w:r>
              <w:rPr>
                <w:rFonts w:hint="eastAsia" w:ascii="宋体" w:hAnsi="宋体" w:cs="宋体"/>
                <w:color w:val="auto"/>
                <w:kern w:val="0"/>
                <w:szCs w:val="21"/>
                <w:highlight w:val="none"/>
                <w:lang w:eastAsia="zh-CN" w:bidi="ar"/>
              </w:rPr>
              <w:t>3600万元</w:t>
            </w:r>
            <w:r>
              <w:rPr>
                <w:rFonts w:hint="eastAsia" w:ascii="宋体" w:hAnsi="宋体" w:eastAsia="宋体" w:cs="宋体"/>
                <w:color w:val="auto"/>
                <w:kern w:val="0"/>
                <w:szCs w:val="21"/>
                <w:highlight w:val="none"/>
                <w:lang w:bidi="ar"/>
              </w:rPr>
              <w:t>的类似建筑机电安装工程</w:t>
            </w:r>
            <w:r>
              <w:rPr>
                <w:rFonts w:hint="eastAsia" w:ascii="宋体" w:hAnsi="宋体" w:eastAsia="宋体" w:cs="宋体"/>
                <w:color w:val="auto"/>
                <w:szCs w:val="21"/>
                <w:highlight w:val="none"/>
              </w:rPr>
              <w:t>施工</w:t>
            </w:r>
            <w:r>
              <w:rPr>
                <w:rFonts w:hint="eastAsia" w:ascii="宋体" w:hAnsi="宋体" w:eastAsia="宋体" w:cs="宋体"/>
                <w:color w:val="auto"/>
                <w:kern w:val="0"/>
                <w:szCs w:val="21"/>
                <w:highlight w:val="none"/>
                <w:lang w:bidi="ar"/>
              </w:rPr>
              <w:t>业绩，得</w:t>
            </w:r>
            <w:r>
              <w:rPr>
                <w:rFonts w:hint="eastAsia" w:ascii="宋体" w:hAnsi="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分；</w:t>
            </w:r>
          </w:p>
          <w:p w14:paraId="3683C813">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（2）技术负责人自2020年1月1日至投标截止时间止，作为项目负责人</w:t>
            </w:r>
            <w:r>
              <w:rPr>
                <w:rFonts w:hint="eastAsia" w:ascii="宋体" w:hAnsi="宋体" w:eastAsia="宋体" w:cs="宋体"/>
                <w:color w:val="auto"/>
                <w:kern w:val="0"/>
                <w:szCs w:val="21"/>
                <w:highlight w:val="none"/>
                <w:lang w:val="en-US" w:eastAsia="zh-CN" w:bidi="ar"/>
              </w:rPr>
              <w:t>或</w:t>
            </w:r>
            <w:r>
              <w:rPr>
                <w:rFonts w:hint="eastAsia" w:ascii="宋体" w:hAnsi="宋体" w:eastAsia="宋体" w:cs="宋体"/>
                <w:color w:val="auto"/>
                <w:kern w:val="0"/>
                <w:szCs w:val="21"/>
                <w:highlight w:val="none"/>
                <w:lang w:bidi="ar"/>
              </w:rPr>
              <w:t>技术负责人完成过质量合格的单项合同金额大于或等于</w:t>
            </w:r>
            <w:r>
              <w:rPr>
                <w:rFonts w:hint="eastAsia" w:ascii="宋体" w:hAnsi="宋体" w:cs="宋体"/>
                <w:color w:val="auto"/>
                <w:kern w:val="0"/>
                <w:szCs w:val="21"/>
                <w:highlight w:val="none"/>
                <w:lang w:val="en-US" w:eastAsia="zh-CN" w:bidi="ar"/>
              </w:rPr>
              <w:t>1800</w:t>
            </w:r>
            <w:r>
              <w:rPr>
                <w:rFonts w:hint="eastAsia" w:ascii="宋体" w:hAnsi="宋体" w:eastAsia="宋体" w:cs="宋体"/>
                <w:color w:val="auto"/>
                <w:kern w:val="0"/>
                <w:szCs w:val="21"/>
                <w:highlight w:val="none"/>
                <w:lang w:bidi="ar"/>
              </w:rPr>
              <w:t>万元的类似建筑机电安装工程</w:t>
            </w:r>
            <w:r>
              <w:rPr>
                <w:rFonts w:hint="eastAsia" w:ascii="宋体" w:hAnsi="宋体" w:eastAsia="宋体" w:cs="宋体"/>
                <w:color w:val="auto"/>
                <w:szCs w:val="21"/>
                <w:highlight w:val="none"/>
              </w:rPr>
              <w:t>施工</w:t>
            </w:r>
            <w:r>
              <w:rPr>
                <w:rFonts w:hint="eastAsia" w:ascii="宋体" w:hAnsi="宋体" w:eastAsia="宋体" w:cs="宋体"/>
                <w:color w:val="auto"/>
                <w:kern w:val="0"/>
                <w:szCs w:val="21"/>
                <w:highlight w:val="none"/>
                <w:lang w:bidi="ar"/>
              </w:rPr>
              <w:t>业绩，得</w:t>
            </w:r>
            <w:r>
              <w:rPr>
                <w:rFonts w:hint="eastAsia" w:ascii="宋体" w:hAnsi="宋体" w:eastAsia="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分；</w:t>
            </w:r>
          </w:p>
          <w:p w14:paraId="3C865AAB">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（3）技术负责人自2020年1月1日至投标截止时间止，作为项目负责人</w:t>
            </w:r>
            <w:r>
              <w:rPr>
                <w:rFonts w:hint="eastAsia" w:ascii="宋体" w:hAnsi="宋体" w:eastAsia="宋体" w:cs="宋体"/>
                <w:color w:val="auto"/>
                <w:kern w:val="0"/>
                <w:szCs w:val="21"/>
                <w:highlight w:val="none"/>
                <w:lang w:val="en-US" w:eastAsia="zh-CN" w:bidi="ar"/>
              </w:rPr>
              <w:t>或</w:t>
            </w:r>
            <w:r>
              <w:rPr>
                <w:rFonts w:hint="eastAsia" w:ascii="宋体" w:hAnsi="宋体" w:eastAsia="宋体" w:cs="宋体"/>
                <w:color w:val="auto"/>
                <w:kern w:val="0"/>
                <w:szCs w:val="21"/>
                <w:highlight w:val="none"/>
                <w:lang w:bidi="ar"/>
              </w:rPr>
              <w:t>技术负责人完成过质量合格的单项合同金额大于或等于</w:t>
            </w:r>
            <w:r>
              <w:rPr>
                <w:rFonts w:hint="eastAsia" w:ascii="宋体" w:hAnsi="宋体" w:cs="宋体"/>
                <w:color w:val="auto"/>
                <w:kern w:val="0"/>
                <w:szCs w:val="21"/>
                <w:highlight w:val="none"/>
                <w:lang w:val="en-US" w:eastAsia="zh-CN" w:bidi="ar"/>
              </w:rPr>
              <w:t>900</w:t>
            </w:r>
            <w:r>
              <w:rPr>
                <w:rFonts w:hint="eastAsia" w:ascii="宋体" w:hAnsi="宋体" w:eastAsia="宋体" w:cs="宋体"/>
                <w:color w:val="auto"/>
                <w:kern w:val="0"/>
                <w:szCs w:val="21"/>
                <w:highlight w:val="none"/>
                <w:lang w:bidi="ar"/>
              </w:rPr>
              <w:t>万元的类似建筑机电安装工程</w:t>
            </w:r>
            <w:r>
              <w:rPr>
                <w:rFonts w:hint="eastAsia" w:ascii="宋体" w:hAnsi="宋体" w:eastAsia="宋体" w:cs="宋体"/>
                <w:color w:val="auto"/>
                <w:szCs w:val="21"/>
                <w:highlight w:val="none"/>
              </w:rPr>
              <w:t>施工</w:t>
            </w:r>
            <w:r>
              <w:rPr>
                <w:rFonts w:hint="eastAsia" w:ascii="宋体" w:hAnsi="宋体" w:eastAsia="宋体" w:cs="宋体"/>
                <w:color w:val="auto"/>
                <w:kern w:val="0"/>
                <w:szCs w:val="21"/>
                <w:highlight w:val="none"/>
                <w:lang w:bidi="ar"/>
              </w:rPr>
              <w:t>业绩，得1分。</w:t>
            </w:r>
          </w:p>
          <w:p w14:paraId="24F7E33F">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注：本分项不累计得分，最高得</w:t>
            </w:r>
            <w:r>
              <w:rPr>
                <w:rFonts w:hint="eastAsia" w:ascii="宋体" w:hAnsi="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分。</w:t>
            </w:r>
          </w:p>
          <w:p w14:paraId="25BF9D1F">
            <w:pPr>
              <w:widowControl/>
              <w:tabs>
                <w:tab w:val="left" w:pos="312"/>
              </w:tabs>
              <w:jc w:val="left"/>
              <w:textAlignment w:val="center"/>
              <w:rPr>
                <w:rFonts w:hint="eastAsia" w:ascii="宋体" w:hAnsi="宋体" w:eastAsia="宋体" w:cs="宋体"/>
                <w:color w:val="auto"/>
                <w:kern w:val="0"/>
                <w:szCs w:val="21"/>
                <w:highlight w:val="none"/>
                <w:lang w:bidi="ar"/>
              </w:rPr>
            </w:pPr>
            <w:r>
              <w:rPr>
                <w:rFonts w:hint="eastAsia" w:ascii="宋体" w:hAnsi="宋体" w:cs="宋体"/>
                <w:color w:val="auto"/>
                <w:kern w:val="0"/>
                <w:szCs w:val="21"/>
                <w:highlight w:val="none"/>
                <w:lang w:val="en-US" w:eastAsia="zh-CN" w:bidi="ar"/>
              </w:rPr>
              <w:t>2</w:t>
            </w:r>
            <w:r>
              <w:rPr>
                <w:rFonts w:hint="eastAsia" w:ascii="宋体" w:hAnsi="宋体" w:eastAsia="宋体" w:cs="宋体"/>
                <w:color w:val="auto"/>
                <w:kern w:val="0"/>
                <w:szCs w:val="21"/>
                <w:highlight w:val="none"/>
                <w:lang w:bidi="ar"/>
              </w:rPr>
              <w:t>、具有10年或以上施工管理工作经验的，得</w:t>
            </w:r>
            <w:r>
              <w:rPr>
                <w:rFonts w:hint="eastAsia" w:ascii="宋体" w:hAnsi="宋体" w:eastAsia="宋体" w:cs="宋体"/>
                <w:color w:val="auto"/>
                <w:kern w:val="0"/>
                <w:szCs w:val="21"/>
                <w:highlight w:val="none"/>
                <w:lang w:val="en-US" w:eastAsia="zh-CN" w:bidi="ar"/>
              </w:rPr>
              <w:t>1</w:t>
            </w:r>
            <w:r>
              <w:rPr>
                <w:rFonts w:hint="eastAsia" w:ascii="宋体" w:hAnsi="宋体" w:eastAsia="宋体" w:cs="宋体"/>
                <w:color w:val="auto"/>
                <w:kern w:val="0"/>
                <w:szCs w:val="21"/>
                <w:highlight w:val="none"/>
                <w:lang w:bidi="ar"/>
              </w:rPr>
              <w:t>分。施工管理工作经验</w:t>
            </w:r>
            <w:r>
              <w:rPr>
                <w:rFonts w:hint="eastAsia" w:ascii="宋体" w:hAnsi="宋体" w:eastAsia="宋体" w:cs="宋体"/>
                <w:color w:val="auto"/>
                <w:highlight w:val="none"/>
                <w:lang w:val="en-US" w:eastAsia="zh-CN"/>
              </w:rPr>
              <w:t>10年以下的，得0.2分。</w:t>
            </w:r>
          </w:p>
          <w:p w14:paraId="49212FCF">
            <w:pPr>
              <w:widowControl/>
              <w:tabs>
                <w:tab w:val="left" w:pos="312"/>
              </w:tabs>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注：不满足前述要求不得分。本项最高得</w:t>
            </w:r>
            <w:r>
              <w:rPr>
                <w:rFonts w:hint="eastAsia" w:ascii="宋体" w:hAnsi="宋体" w:eastAsia="宋体" w:cs="宋体"/>
                <w:color w:val="auto"/>
                <w:kern w:val="0"/>
                <w:szCs w:val="21"/>
                <w:highlight w:val="none"/>
                <w:lang w:val="en-US" w:eastAsia="zh-CN" w:bidi="ar"/>
              </w:rPr>
              <w:t>5</w:t>
            </w:r>
            <w:r>
              <w:rPr>
                <w:rFonts w:hint="eastAsia" w:ascii="宋体" w:hAnsi="宋体" w:eastAsia="宋体" w:cs="宋体"/>
                <w:color w:val="auto"/>
                <w:kern w:val="0"/>
                <w:szCs w:val="21"/>
                <w:highlight w:val="none"/>
                <w:lang w:bidi="ar"/>
              </w:rPr>
              <w:t>分。</w:t>
            </w:r>
          </w:p>
        </w:tc>
      </w:tr>
      <w:tr w14:paraId="7A7EC530">
        <w:tblPrEx>
          <w:tblCellMar>
            <w:top w:w="0" w:type="dxa"/>
            <w:left w:w="108" w:type="dxa"/>
            <w:bottom w:w="0" w:type="dxa"/>
            <w:right w:w="108" w:type="dxa"/>
          </w:tblCellMar>
        </w:tblPrEx>
        <w:trPr>
          <w:trHeight w:val="23" w:hRule="atLeast"/>
        </w:trPr>
        <w:tc>
          <w:tcPr>
            <w:tcW w:w="257" w:type="pct"/>
            <w:vMerge w:val="continue"/>
            <w:tcBorders>
              <w:left w:val="single" w:color="000000" w:sz="4" w:space="0"/>
              <w:right w:val="single" w:color="000000" w:sz="4" w:space="0"/>
            </w:tcBorders>
            <w:vAlign w:val="center"/>
          </w:tcPr>
          <w:p w14:paraId="04A9DBFF">
            <w:pPr>
              <w:widowControl/>
              <w:jc w:val="left"/>
              <w:rPr>
                <w:rFonts w:hint="eastAsia" w:ascii="宋体" w:hAnsi="宋体" w:eastAsia="宋体" w:cs="宋体"/>
                <w:b/>
                <w:bCs/>
                <w:color w:val="auto"/>
                <w:kern w:val="0"/>
                <w:szCs w:val="21"/>
                <w:highlight w:val="none"/>
                <w:lang w:bidi="ar"/>
              </w:rPr>
            </w:pPr>
          </w:p>
        </w:tc>
        <w:tc>
          <w:tcPr>
            <w:tcW w:w="448" w:type="pct"/>
            <w:vMerge w:val="continue"/>
            <w:tcBorders>
              <w:left w:val="single" w:color="000000" w:sz="4" w:space="0"/>
              <w:right w:val="single" w:color="000000" w:sz="4" w:space="0"/>
            </w:tcBorders>
            <w:vAlign w:val="center"/>
          </w:tcPr>
          <w:p w14:paraId="49EAF6EB">
            <w:pPr>
              <w:widowControl/>
              <w:jc w:val="left"/>
              <w:rPr>
                <w:rFonts w:hint="eastAsia" w:ascii="宋体" w:hAnsi="宋体" w:eastAsia="宋体" w:cs="宋体"/>
                <w:b/>
                <w:bCs/>
                <w:color w:val="auto"/>
                <w:szCs w:val="21"/>
                <w:highlight w:val="none"/>
              </w:rPr>
            </w:pPr>
          </w:p>
        </w:tc>
        <w:tc>
          <w:tcPr>
            <w:tcW w:w="619" w:type="pct"/>
            <w:tcBorders>
              <w:top w:val="single" w:color="000000" w:sz="4" w:space="0"/>
              <w:left w:val="single" w:color="000000" w:sz="4" w:space="0"/>
              <w:bottom w:val="single" w:color="000000" w:sz="4" w:space="0"/>
              <w:right w:val="single" w:color="000000" w:sz="4" w:space="0"/>
            </w:tcBorders>
            <w:vAlign w:val="center"/>
          </w:tcPr>
          <w:p w14:paraId="1EAFC95E">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项目管理机构</w:t>
            </w:r>
          </w:p>
        </w:tc>
        <w:tc>
          <w:tcPr>
            <w:tcW w:w="296" w:type="pct"/>
            <w:tcBorders>
              <w:top w:val="single" w:color="000000" w:sz="4" w:space="0"/>
              <w:left w:val="single" w:color="000000" w:sz="4" w:space="0"/>
              <w:bottom w:val="single" w:color="000000" w:sz="4" w:space="0"/>
              <w:right w:val="single" w:color="000000" w:sz="4" w:space="0"/>
            </w:tcBorders>
            <w:vAlign w:val="center"/>
          </w:tcPr>
          <w:p w14:paraId="44558AB9">
            <w:pPr>
              <w:widowControl/>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val="en-US" w:eastAsia="zh-CN" w:bidi="ar"/>
              </w:rPr>
              <w:t>8</w:t>
            </w:r>
          </w:p>
        </w:tc>
        <w:tc>
          <w:tcPr>
            <w:tcW w:w="3379" w:type="pct"/>
            <w:tcBorders>
              <w:top w:val="single" w:color="000000" w:sz="4" w:space="0"/>
              <w:left w:val="single" w:color="000000" w:sz="4" w:space="0"/>
              <w:bottom w:val="single" w:color="000000" w:sz="4" w:space="0"/>
              <w:right w:val="single" w:color="000000" w:sz="4" w:space="0"/>
            </w:tcBorders>
            <w:vAlign w:val="center"/>
          </w:tcPr>
          <w:p w14:paraId="1759AF2B">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1、投标人项目管理机构人员配备满足《施工项目管理团队人员信息表》的得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分，不满足《施工项目管理团队人员信息表》的得0分。</w:t>
            </w:r>
          </w:p>
          <w:p w14:paraId="492C6115">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、拟派造价负责人具有有效期内的一级注册造价工程师证书，得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2A9B2FE6">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、拟派安全负责人具有有效期内的注册安全工程师（建筑施工安全专业）注册证书，得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1C97E45A">
            <w:pPr>
              <w:pStyle w:val="8"/>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拟派</w:t>
            </w:r>
            <w:r>
              <w:rPr>
                <w:rFonts w:hint="eastAsia" w:ascii="宋体" w:hAnsi="宋体" w:eastAsia="宋体" w:cs="宋体"/>
                <w:b w:val="0"/>
                <w:bCs w:val="0"/>
                <w:color w:val="auto"/>
                <w:sz w:val="21"/>
                <w:szCs w:val="21"/>
                <w:highlight w:val="none"/>
              </w:rPr>
              <w:t>装修专业负责人</w:t>
            </w:r>
            <w:r>
              <w:rPr>
                <w:rFonts w:hint="eastAsia" w:ascii="宋体" w:hAnsi="宋体" w:eastAsia="宋体" w:cs="宋体"/>
                <w:color w:val="auto"/>
                <w:szCs w:val="21"/>
                <w:highlight w:val="none"/>
              </w:rPr>
              <w:t>具有</w:t>
            </w:r>
            <w:r>
              <w:rPr>
                <w:rFonts w:hint="eastAsia" w:ascii="宋体" w:hAnsi="宋体" w:eastAsia="宋体" w:cs="宋体"/>
                <w:color w:val="auto"/>
                <w:sz w:val="21"/>
                <w:szCs w:val="21"/>
                <w:highlight w:val="none"/>
              </w:rPr>
              <w:t>取得建筑工程类或建筑装饰施工类中级工程师（或以上）职称证书</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1AEB2CA8">
            <w:pPr>
              <w:pStyle w:val="8"/>
              <w:ind w:left="0" w:leftChars="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拟派</w:t>
            </w:r>
            <w:r>
              <w:rPr>
                <w:rFonts w:hint="eastAsia" w:ascii="宋体" w:hAnsi="宋体" w:eastAsia="宋体" w:cs="宋体"/>
                <w:color w:val="auto"/>
                <w:szCs w:val="21"/>
                <w:highlight w:val="none"/>
                <w:lang w:val="en-US" w:eastAsia="zh-CN"/>
              </w:rPr>
              <w:t>给排水</w:t>
            </w:r>
            <w:r>
              <w:rPr>
                <w:rFonts w:hint="eastAsia" w:ascii="宋体" w:hAnsi="宋体" w:eastAsia="宋体" w:cs="宋体"/>
                <w:b w:val="0"/>
                <w:bCs w:val="0"/>
                <w:color w:val="auto"/>
                <w:sz w:val="21"/>
                <w:szCs w:val="21"/>
                <w:highlight w:val="none"/>
              </w:rPr>
              <w:t>专业负责人</w:t>
            </w:r>
            <w:r>
              <w:rPr>
                <w:rFonts w:hint="eastAsia" w:ascii="宋体" w:hAnsi="宋体" w:eastAsia="宋体" w:cs="宋体"/>
                <w:color w:val="auto"/>
                <w:szCs w:val="21"/>
                <w:highlight w:val="none"/>
              </w:rPr>
              <w:t>具有</w:t>
            </w:r>
            <w:r>
              <w:rPr>
                <w:rFonts w:hint="eastAsia" w:ascii="宋体" w:hAnsi="宋体" w:eastAsia="宋体" w:cs="宋体"/>
                <w:color w:val="auto"/>
                <w:sz w:val="21"/>
                <w:szCs w:val="21"/>
                <w:highlight w:val="none"/>
              </w:rPr>
              <w:t>取得建筑工程类或建筑给水排水类中级工程师（或以上）职称证书</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2E647D84">
            <w:pPr>
              <w:pStyle w:val="8"/>
              <w:ind w:left="0" w:lef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拟派</w:t>
            </w:r>
            <w:r>
              <w:rPr>
                <w:rFonts w:hint="eastAsia" w:ascii="宋体" w:hAnsi="宋体" w:eastAsia="宋体" w:cs="宋体"/>
                <w:b w:val="0"/>
                <w:bCs w:val="0"/>
                <w:color w:val="auto"/>
                <w:sz w:val="21"/>
                <w:szCs w:val="21"/>
                <w:highlight w:val="none"/>
                <w:lang w:val="en-US" w:eastAsia="zh-CN"/>
              </w:rPr>
              <w:t>暖通</w:t>
            </w:r>
            <w:r>
              <w:rPr>
                <w:rFonts w:hint="eastAsia" w:ascii="宋体" w:hAnsi="宋体" w:eastAsia="宋体" w:cs="宋体"/>
                <w:b w:val="0"/>
                <w:bCs w:val="0"/>
                <w:color w:val="auto"/>
                <w:sz w:val="21"/>
                <w:szCs w:val="21"/>
                <w:highlight w:val="none"/>
              </w:rPr>
              <w:t>专业负责人</w:t>
            </w:r>
            <w:r>
              <w:rPr>
                <w:rFonts w:hint="eastAsia" w:ascii="宋体" w:hAnsi="宋体" w:eastAsia="宋体" w:cs="宋体"/>
                <w:color w:val="auto"/>
                <w:szCs w:val="21"/>
                <w:highlight w:val="none"/>
              </w:rPr>
              <w:t>具有</w:t>
            </w:r>
            <w:r>
              <w:rPr>
                <w:rFonts w:hint="eastAsia" w:ascii="宋体" w:hAnsi="宋体" w:eastAsia="宋体" w:cs="宋体"/>
                <w:color w:val="auto"/>
                <w:sz w:val="21"/>
                <w:szCs w:val="21"/>
                <w:highlight w:val="none"/>
              </w:rPr>
              <w:t>具有暖通类中级工程师(或以上)职称证书</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4AF635B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注：不满足前述要求不得分。本项最高得</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w:t>
            </w:r>
          </w:p>
        </w:tc>
      </w:tr>
      <w:tr w14:paraId="721386E4">
        <w:tblPrEx>
          <w:tblCellMar>
            <w:top w:w="0" w:type="dxa"/>
            <w:left w:w="108" w:type="dxa"/>
            <w:bottom w:w="0" w:type="dxa"/>
            <w:right w:w="108" w:type="dxa"/>
          </w:tblCellMar>
        </w:tblPrEx>
        <w:trPr>
          <w:trHeight w:val="23" w:hRule="atLeast"/>
        </w:trPr>
        <w:tc>
          <w:tcPr>
            <w:tcW w:w="257" w:type="pct"/>
            <w:vMerge w:val="continue"/>
            <w:tcBorders>
              <w:left w:val="single" w:color="000000" w:sz="4" w:space="0"/>
              <w:bottom w:val="single" w:color="000000" w:sz="4" w:space="0"/>
              <w:right w:val="single" w:color="000000" w:sz="4" w:space="0"/>
            </w:tcBorders>
            <w:vAlign w:val="center"/>
          </w:tcPr>
          <w:p w14:paraId="3A6EB9D5">
            <w:pPr>
              <w:widowControl/>
              <w:jc w:val="left"/>
              <w:rPr>
                <w:rFonts w:hint="eastAsia" w:ascii="宋体" w:hAnsi="宋体" w:eastAsia="宋体" w:cs="宋体"/>
                <w:b/>
                <w:bCs/>
                <w:color w:val="auto"/>
                <w:kern w:val="0"/>
                <w:szCs w:val="21"/>
                <w:highlight w:val="none"/>
                <w:lang w:bidi="ar"/>
              </w:rPr>
            </w:pPr>
          </w:p>
        </w:tc>
        <w:tc>
          <w:tcPr>
            <w:tcW w:w="448" w:type="pct"/>
            <w:vMerge w:val="continue"/>
            <w:tcBorders>
              <w:left w:val="single" w:color="000000" w:sz="4" w:space="0"/>
              <w:bottom w:val="single" w:color="000000" w:sz="4" w:space="0"/>
              <w:right w:val="single" w:color="000000" w:sz="4" w:space="0"/>
            </w:tcBorders>
            <w:vAlign w:val="center"/>
          </w:tcPr>
          <w:p w14:paraId="351EF3FB">
            <w:pPr>
              <w:widowControl/>
              <w:jc w:val="left"/>
              <w:rPr>
                <w:rFonts w:hint="eastAsia" w:ascii="宋体" w:hAnsi="宋体" w:eastAsia="宋体" w:cs="宋体"/>
                <w:b/>
                <w:bCs/>
                <w:color w:val="auto"/>
                <w:szCs w:val="21"/>
                <w:highlight w:val="none"/>
              </w:rPr>
            </w:pPr>
          </w:p>
        </w:tc>
        <w:tc>
          <w:tcPr>
            <w:tcW w:w="619" w:type="pct"/>
            <w:tcBorders>
              <w:top w:val="single" w:color="000000" w:sz="4" w:space="0"/>
              <w:left w:val="single" w:color="000000" w:sz="4" w:space="0"/>
              <w:bottom w:val="single" w:color="000000" w:sz="4" w:space="0"/>
              <w:right w:val="single" w:color="000000" w:sz="4" w:space="0"/>
            </w:tcBorders>
            <w:vAlign w:val="center"/>
          </w:tcPr>
          <w:p w14:paraId="3DEC35EC">
            <w:pPr>
              <w:widowControl/>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rPr>
              <w:t>拟派项目负责人或技术负责人答辩</w:t>
            </w:r>
          </w:p>
        </w:tc>
        <w:tc>
          <w:tcPr>
            <w:tcW w:w="296" w:type="pct"/>
            <w:tcBorders>
              <w:top w:val="single" w:color="000000" w:sz="4" w:space="0"/>
              <w:left w:val="single" w:color="000000" w:sz="4" w:space="0"/>
              <w:bottom w:val="single" w:color="000000" w:sz="4" w:space="0"/>
              <w:right w:val="single" w:color="000000" w:sz="4" w:space="0"/>
            </w:tcBorders>
            <w:vAlign w:val="center"/>
          </w:tcPr>
          <w:p w14:paraId="3D946A3F">
            <w:pPr>
              <w:widowControl/>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szCs w:val="21"/>
                <w:highlight w:val="none"/>
              </w:rPr>
              <w:t>30</w:t>
            </w:r>
          </w:p>
        </w:tc>
        <w:tc>
          <w:tcPr>
            <w:tcW w:w="3379" w:type="pct"/>
            <w:tcBorders>
              <w:top w:val="single" w:color="000000" w:sz="4" w:space="0"/>
              <w:left w:val="single" w:color="000000" w:sz="4" w:space="0"/>
              <w:bottom w:val="single" w:color="000000" w:sz="4" w:space="0"/>
              <w:right w:val="single" w:color="000000" w:sz="4" w:space="0"/>
            </w:tcBorders>
            <w:vAlign w:val="center"/>
          </w:tcPr>
          <w:p w14:paraId="53DD8AB2">
            <w:pPr>
              <w:pStyle w:val="8"/>
              <w:spacing w:line="320" w:lineRule="exact"/>
              <w:ind w:firstLine="0"/>
              <w:rPr>
                <w:rFonts w:hint="eastAsia" w:ascii="宋体" w:hAnsi="宋体" w:eastAsia="宋体" w:cs="宋体"/>
                <w:color w:val="auto"/>
                <w:highlight w:val="none"/>
              </w:rPr>
            </w:pPr>
            <w:r>
              <w:rPr>
                <w:rFonts w:hint="eastAsia" w:ascii="宋体" w:hAnsi="宋体" w:eastAsia="宋体" w:cs="宋体"/>
                <w:color w:val="auto"/>
                <w:highlight w:val="none"/>
              </w:rPr>
              <w:t>拟派项目负责人或技术负责人答辩（项目负责人和技术负责人可同时参加，每个投标人答辩时间不超过20分钟）。</w:t>
            </w:r>
          </w:p>
          <w:p w14:paraId="4D73AED8">
            <w:pPr>
              <w:pStyle w:val="8"/>
              <w:spacing w:line="320" w:lineRule="exact"/>
              <w:ind w:firstLine="0"/>
              <w:rPr>
                <w:rFonts w:hint="eastAsia" w:ascii="宋体" w:hAnsi="宋体" w:eastAsia="宋体" w:cs="宋体"/>
                <w:color w:val="auto"/>
                <w:highlight w:val="none"/>
              </w:rPr>
            </w:pPr>
            <w:r>
              <w:rPr>
                <w:rFonts w:hint="eastAsia" w:ascii="宋体" w:hAnsi="宋体" w:eastAsia="宋体" w:cs="宋体"/>
                <w:color w:val="auto"/>
                <w:highlight w:val="none"/>
              </w:rPr>
              <w:t>1.结合本工程实际情况，从工程施工安全、</w:t>
            </w:r>
            <w:r>
              <w:rPr>
                <w:rFonts w:hint="eastAsia" w:ascii="宋体" w:hAnsi="宋体" w:eastAsia="宋体" w:cs="宋体"/>
                <w:color w:val="auto"/>
                <w:kern w:val="0"/>
                <w:szCs w:val="21"/>
                <w:highlight w:val="none"/>
                <w:lang w:bidi="ar"/>
              </w:rPr>
              <w:t>实验室区域关键施工工艺措施</w:t>
            </w:r>
            <w:r>
              <w:rPr>
                <w:rFonts w:hint="eastAsia" w:ascii="宋体" w:hAnsi="宋体" w:eastAsia="宋体" w:cs="宋体"/>
                <w:color w:val="auto"/>
                <w:highlight w:val="none"/>
              </w:rPr>
              <w:t>、</w:t>
            </w:r>
            <w:r>
              <w:rPr>
                <w:rFonts w:hint="eastAsia" w:ascii="宋体" w:hAnsi="宋体" w:eastAsia="宋体" w:cs="宋体"/>
                <w:color w:val="auto"/>
                <w:szCs w:val="21"/>
                <w:highlight w:val="none"/>
              </w:rPr>
              <w:t>仪器平台关键施工工艺措施</w:t>
            </w:r>
            <w:r>
              <w:rPr>
                <w:rFonts w:hint="eastAsia" w:ascii="宋体" w:hAnsi="宋体" w:eastAsia="宋体" w:cs="宋体"/>
                <w:color w:val="auto"/>
                <w:highlight w:val="none"/>
              </w:rPr>
              <w:t>及针对本项目向招标单位提供合理化建议等方面，表述本项目方案及措施：</w:t>
            </w:r>
          </w:p>
          <w:p w14:paraId="432C3F4F">
            <w:pPr>
              <w:pStyle w:val="8"/>
              <w:spacing w:line="320" w:lineRule="exact"/>
              <w:ind w:firstLine="0"/>
              <w:rPr>
                <w:rFonts w:hint="eastAsia" w:ascii="宋体" w:hAnsi="宋体" w:eastAsia="宋体" w:cs="宋体"/>
                <w:color w:val="auto"/>
                <w:highlight w:val="none"/>
              </w:rPr>
            </w:pPr>
            <w:r>
              <w:rPr>
                <w:rFonts w:hint="eastAsia" w:ascii="宋体" w:hAnsi="宋体" w:eastAsia="宋体" w:cs="宋体"/>
                <w:color w:val="auto"/>
                <w:highlight w:val="none"/>
              </w:rPr>
              <w:t>（1）对本项目的工程施工安全措施详尽有效、</w:t>
            </w:r>
            <w:r>
              <w:rPr>
                <w:rFonts w:hint="eastAsia" w:ascii="宋体" w:hAnsi="宋体" w:eastAsia="宋体" w:cs="宋体"/>
                <w:color w:val="auto"/>
                <w:kern w:val="0"/>
                <w:szCs w:val="21"/>
                <w:highlight w:val="none"/>
                <w:lang w:bidi="ar"/>
              </w:rPr>
              <w:t>实验室区域关键施工工艺措施</w:t>
            </w:r>
            <w:r>
              <w:rPr>
                <w:rFonts w:hint="eastAsia" w:ascii="宋体" w:hAnsi="宋体" w:eastAsia="宋体" w:cs="宋体"/>
                <w:color w:val="auto"/>
                <w:highlight w:val="none"/>
              </w:rPr>
              <w:t>、</w:t>
            </w:r>
            <w:r>
              <w:rPr>
                <w:rFonts w:hint="eastAsia" w:ascii="宋体" w:hAnsi="宋体" w:eastAsia="宋体" w:cs="宋体"/>
                <w:color w:val="auto"/>
                <w:szCs w:val="21"/>
                <w:highlight w:val="none"/>
              </w:rPr>
              <w:t>仪器平台关键施工工艺措施</w:t>
            </w:r>
            <w:r>
              <w:rPr>
                <w:rFonts w:hint="eastAsia" w:ascii="宋体" w:hAnsi="宋体" w:eastAsia="宋体" w:cs="宋体"/>
                <w:color w:val="auto"/>
                <w:highlight w:val="none"/>
              </w:rPr>
              <w:t>考虑周全完整可行、针对本项目的合理化建议表达清楚科学有效，综合各方面整体情况能完全满足或优于，得11-15分；</w:t>
            </w:r>
          </w:p>
          <w:p w14:paraId="55D7B7A7">
            <w:pPr>
              <w:pStyle w:val="8"/>
              <w:spacing w:line="320" w:lineRule="exact"/>
              <w:ind w:firstLine="0"/>
              <w:rPr>
                <w:rFonts w:hint="eastAsia" w:ascii="宋体" w:hAnsi="宋体" w:eastAsia="宋体" w:cs="宋体"/>
                <w:color w:val="auto"/>
                <w:highlight w:val="none"/>
              </w:rPr>
            </w:pPr>
            <w:r>
              <w:rPr>
                <w:rFonts w:hint="eastAsia" w:ascii="宋体" w:hAnsi="宋体" w:eastAsia="宋体" w:cs="宋体"/>
                <w:color w:val="auto"/>
                <w:highlight w:val="none"/>
              </w:rPr>
              <w:t>（2）对本项目的工程施工安全措施满足项目要求、</w:t>
            </w:r>
            <w:r>
              <w:rPr>
                <w:rFonts w:hint="eastAsia" w:ascii="宋体" w:hAnsi="宋体" w:eastAsia="宋体" w:cs="宋体"/>
                <w:color w:val="auto"/>
                <w:kern w:val="0"/>
                <w:szCs w:val="21"/>
                <w:highlight w:val="none"/>
                <w:lang w:bidi="ar"/>
              </w:rPr>
              <w:t>实验室区域关键施工工艺措施</w:t>
            </w:r>
            <w:r>
              <w:rPr>
                <w:rFonts w:hint="eastAsia" w:ascii="宋体" w:hAnsi="宋体" w:eastAsia="宋体" w:cs="宋体"/>
                <w:color w:val="auto"/>
                <w:highlight w:val="none"/>
              </w:rPr>
              <w:t>、</w:t>
            </w:r>
            <w:r>
              <w:rPr>
                <w:rFonts w:hint="eastAsia" w:ascii="宋体" w:hAnsi="宋体" w:eastAsia="宋体" w:cs="宋体"/>
                <w:color w:val="auto"/>
                <w:szCs w:val="21"/>
                <w:highlight w:val="none"/>
              </w:rPr>
              <w:t>仪器平台关键施工工艺措施</w:t>
            </w:r>
            <w:r>
              <w:rPr>
                <w:rFonts w:hint="eastAsia" w:ascii="宋体" w:hAnsi="宋体" w:eastAsia="宋体" w:cs="宋体"/>
                <w:color w:val="auto"/>
                <w:highlight w:val="none"/>
              </w:rPr>
              <w:t>考虑符合项目要求、针对本项目的合理化建议符合项目要求，综合各方面整体情况一般，得6-10分；</w:t>
            </w:r>
          </w:p>
          <w:p w14:paraId="6485351B">
            <w:pPr>
              <w:pStyle w:val="8"/>
              <w:spacing w:line="320" w:lineRule="exact"/>
              <w:ind w:firstLine="0"/>
              <w:rPr>
                <w:rFonts w:hint="eastAsia" w:ascii="宋体" w:hAnsi="宋体" w:eastAsia="宋体" w:cs="宋体"/>
                <w:color w:val="auto"/>
                <w:highlight w:val="none"/>
              </w:rPr>
            </w:pPr>
            <w:r>
              <w:rPr>
                <w:rFonts w:hint="eastAsia" w:ascii="宋体" w:hAnsi="宋体" w:eastAsia="宋体" w:cs="宋体"/>
                <w:color w:val="auto"/>
                <w:highlight w:val="none"/>
              </w:rPr>
              <w:t>（3）对本项目的工程施工安全措施基本符合项目要求、</w:t>
            </w:r>
            <w:r>
              <w:rPr>
                <w:rFonts w:hint="eastAsia" w:ascii="宋体" w:hAnsi="宋体" w:eastAsia="宋体" w:cs="宋体"/>
                <w:color w:val="auto"/>
                <w:kern w:val="0"/>
                <w:szCs w:val="21"/>
                <w:highlight w:val="none"/>
                <w:lang w:bidi="ar"/>
              </w:rPr>
              <w:t>实验室区域关键施工工艺措施</w:t>
            </w:r>
            <w:r>
              <w:rPr>
                <w:rFonts w:hint="eastAsia" w:ascii="宋体" w:hAnsi="宋体" w:eastAsia="宋体" w:cs="宋体"/>
                <w:color w:val="auto"/>
                <w:highlight w:val="none"/>
              </w:rPr>
              <w:t>、</w:t>
            </w:r>
            <w:r>
              <w:rPr>
                <w:rFonts w:hint="eastAsia" w:ascii="宋体" w:hAnsi="宋体" w:eastAsia="宋体" w:cs="宋体"/>
                <w:color w:val="auto"/>
                <w:szCs w:val="21"/>
                <w:highlight w:val="none"/>
              </w:rPr>
              <w:t>仪器平台关键施工工艺措施</w:t>
            </w:r>
            <w:r>
              <w:rPr>
                <w:rFonts w:hint="eastAsia" w:ascii="宋体" w:hAnsi="宋体" w:eastAsia="宋体" w:cs="宋体"/>
                <w:color w:val="auto"/>
                <w:highlight w:val="none"/>
              </w:rPr>
              <w:t>基本符合项目要求、针对本项目的合理化建议基本符合项目要求，综合各方面整体情况较差，得0-5分；</w:t>
            </w:r>
          </w:p>
          <w:p w14:paraId="0A59C4CB">
            <w:pPr>
              <w:pStyle w:val="8"/>
              <w:spacing w:line="320" w:lineRule="exact"/>
              <w:ind w:firstLine="0"/>
              <w:rPr>
                <w:rFonts w:hint="eastAsia" w:ascii="宋体" w:hAnsi="宋体" w:eastAsia="宋体" w:cs="宋体"/>
                <w:color w:val="auto"/>
                <w:highlight w:val="none"/>
              </w:rPr>
            </w:pPr>
            <w:r>
              <w:rPr>
                <w:rFonts w:hint="eastAsia" w:ascii="宋体" w:hAnsi="宋体" w:eastAsia="宋体" w:cs="宋体"/>
                <w:color w:val="auto"/>
                <w:highlight w:val="none"/>
              </w:rPr>
              <w:t>（4）本项最高得15分。</w:t>
            </w:r>
          </w:p>
          <w:p w14:paraId="75E69511">
            <w:pPr>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2.根据评标委员会的提问进行答复：</w:t>
            </w:r>
          </w:p>
          <w:p w14:paraId="4613829B">
            <w:pPr>
              <w:pStyle w:val="11"/>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（1）对评标委员会的提问有清晰的理解和认知，答辩流畅、思路清晰，答复能全面概括包含的内容、有效、全面、完整、可行，整体情况最优，得11-15分；</w:t>
            </w:r>
          </w:p>
          <w:p w14:paraId="5690E45F">
            <w:pPr>
              <w:pStyle w:val="11"/>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（2）对评标委员会的提问能理解，答辩较流畅、思路较清晰，答复基本能包含问题的内容，基本满足答辩要求，整体情况一般，得6-10分；</w:t>
            </w:r>
          </w:p>
          <w:p w14:paraId="638FD30D">
            <w:pPr>
              <w:pStyle w:val="11"/>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（3）对评标委员会的提问理解程度较差，不能有效回复问题的内容，答复的内容完整程度差或不完整，整体情况较差，得0-5分；</w:t>
            </w:r>
          </w:p>
          <w:p w14:paraId="4FF0C511">
            <w:pPr>
              <w:pStyle w:val="11"/>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（4）本项最高得15分。</w:t>
            </w:r>
          </w:p>
          <w:p w14:paraId="3331797F">
            <w:pPr>
              <w:pStyle w:val="8"/>
              <w:spacing w:line="320" w:lineRule="exact"/>
              <w:ind w:firstLine="0"/>
              <w:rPr>
                <w:rFonts w:hint="eastAsia" w:ascii="宋体" w:hAnsi="宋体" w:eastAsia="宋体" w:cs="宋体"/>
                <w:color w:val="auto"/>
                <w:highlight w:val="none"/>
              </w:rPr>
            </w:pPr>
            <w:r>
              <w:rPr>
                <w:rFonts w:hint="eastAsia" w:ascii="宋体" w:hAnsi="宋体" w:eastAsia="宋体" w:cs="宋体"/>
                <w:color w:val="auto"/>
                <w:highlight w:val="none"/>
              </w:rPr>
              <w:t>备注：（1）投标单位的项目负责人或技术负责人须携带本人身份证原件参加答辩，并在评标当天到达广州公共资源交易中心（广州市天河区天润路333号）签到等候，签到时间为评标开始后1小时内，具体时间以招标人（招标代理）通知为准。由参与答辩的人员出示身份证原件，核对确认身份后签到，答辩的顺序按签到的先后顺序进行。</w:t>
            </w:r>
          </w:p>
          <w:p w14:paraId="6F947D57">
            <w:pPr>
              <w:pStyle w:val="8"/>
              <w:spacing w:line="320" w:lineRule="exact"/>
              <w:ind w:firstLine="0"/>
              <w:rPr>
                <w:rFonts w:hint="eastAsia" w:ascii="宋体" w:hAnsi="宋体" w:eastAsia="宋体" w:cs="宋体"/>
                <w:color w:val="auto"/>
                <w:highlight w:val="none"/>
              </w:rPr>
            </w:pPr>
            <w:r>
              <w:rPr>
                <w:rFonts w:hint="eastAsia" w:ascii="宋体" w:hAnsi="宋体" w:eastAsia="宋体" w:cs="宋体"/>
                <w:color w:val="auto"/>
                <w:highlight w:val="none"/>
              </w:rPr>
              <w:t>（2）评标委员会在完成资格审查及技术标有效性审查后可开始答辩，具体答辩开始时间以评标委员会通知为准。未通过资格审查及技术标有效性审查的投标单位无需再参与答辩。</w:t>
            </w:r>
          </w:p>
          <w:p w14:paraId="4888F472">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highlight w:val="none"/>
              </w:rPr>
              <w:t>（3）投标单位项目负责人及技术负责人均没有参加现场答辩的，得0分。</w:t>
            </w:r>
          </w:p>
        </w:tc>
      </w:tr>
      <w:tr w14:paraId="7F875A60">
        <w:tblPrEx>
          <w:tblCellMar>
            <w:top w:w="0" w:type="dxa"/>
            <w:left w:w="108" w:type="dxa"/>
            <w:bottom w:w="0" w:type="dxa"/>
            <w:right w:w="108" w:type="dxa"/>
          </w:tblCellMar>
        </w:tblPrEx>
        <w:trPr>
          <w:trHeight w:val="23" w:hRule="atLeast"/>
        </w:trPr>
        <w:tc>
          <w:tcPr>
            <w:tcW w:w="257" w:type="pct"/>
            <w:vMerge w:val="restart"/>
            <w:tcBorders>
              <w:top w:val="single" w:color="000000" w:sz="4" w:space="0"/>
              <w:left w:val="single" w:color="000000" w:sz="4" w:space="0"/>
              <w:bottom w:val="single" w:color="000000" w:sz="4" w:space="0"/>
              <w:right w:val="single" w:color="000000" w:sz="4" w:space="0"/>
            </w:tcBorders>
            <w:vAlign w:val="center"/>
          </w:tcPr>
          <w:p w14:paraId="725D0A3B">
            <w:pPr>
              <w:widowControl/>
              <w:jc w:val="left"/>
              <w:textAlignment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三</w:t>
            </w:r>
          </w:p>
        </w:tc>
        <w:tc>
          <w:tcPr>
            <w:tcW w:w="448" w:type="pct"/>
            <w:vMerge w:val="restart"/>
            <w:tcBorders>
              <w:top w:val="single" w:color="000000" w:sz="4" w:space="0"/>
              <w:left w:val="single" w:color="000000" w:sz="4" w:space="0"/>
              <w:bottom w:val="single" w:color="000000" w:sz="4" w:space="0"/>
              <w:right w:val="single" w:color="000000" w:sz="4" w:space="0"/>
            </w:tcBorders>
            <w:vAlign w:val="center"/>
          </w:tcPr>
          <w:p w14:paraId="180A62EE">
            <w:pPr>
              <w:widowControl/>
              <w:jc w:val="left"/>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企业资信（</w:t>
            </w:r>
            <w:r>
              <w:rPr>
                <w:rFonts w:hint="eastAsia" w:ascii="宋体" w:hAnsi="宋体" w:eastAsia="宋体" w:cs="宋体"/>
                <w:b/>
                <w:bCs/>
                <w:color w:val="auto"/>
                <w:kern w:val="0"/>
                <w:szCs w:val="21"/>
                <w:highlight w:val="none"/>
                <w:lang w:val="en-US" w:eastAsia="zh-CN" w:bidi="ar"/>
              </w:rPr>
              <w:t>27</w:t>
            </w:r>
            <w:r>
              <w:rPr>
                <w:rFonts w:hint="eastAsia" w:ascii="宋体" w:hAnsi="宋体" w:eastAsia="宋体" w:cs="宋体"/>
                <w:b/>
                <w:bCs/>
                <w:color w:val="auto"/>
                <w:kern w:val="0"/>
                <w:szCs w:val="21"/>
                <w:highlight w:val="none"/>
                <w:lang w:bidi="ar"/>
              </w:rPr>
              <w:t>分）</w:t>
            </w:r>
          </w:p>
        </w:tc>
        <w:tc>
          <w:tcPr>
            <w:tcW w:w="619" w:type="pct"/>
            <w:tcBorders>
              <w:top w:val="single" w:color="000000" w:sz="4" w:space="0"/>
              <w:left w:val="single" w:color="000000" w:sz="4" w:space="0"/>
              <w:bottom w:val="single" w:color="000000" w:sz="4" w:space="0"/>
              <w:right w:val="single" w:color="000000" w:sz="4" w:space="0"/>
            </w:tcBorders>
            <w:vAlign w:val="center"/>
          </w:tcPr>
          <w:p w14:paraId="61C8DE76">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企业业绩</w:t>
            </w:r>
          </w:p>
        </w:tc>
        <w:tc>
          <w:tcPr>
            <w:tcW w:w="296" w:type="pct"/>
            <w:tcBorders>
              <w:top w:val="single" w:color="000000" w:sz="4" w:space="0"/>
              <w:left w:val="single" w:color="000000" w:sz="4" w:space="0"/>
              <w:bottom w:val="single" w:color="000000" w:sz="4" w:space="0"/>
              <w:right w:val="single" w:color="000000" w:sz="4" w:space="0"/>
            </w:tcBorders>
            <w:vAlign w:val="center"/>
          </w:tcPr>
          <w:p w14:paraId="7FFB0415">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3379" w:type="pct"/>
            <w:tcBorders>
              <w:top w:val="single" w:color="000000" w:sz="4" w:space="0"/>
              <w:left w:val="single" w:color="000000" w:sz="4" w:space="0"/>
              <w:bottom w:val="single" w:color="000000" w:sz="4" w:space="0"/>
              <w:right w:val="single" w:color="000000" w:sz="4" w:space="0"/>
            </w:tcBorders>
            <w:vAlign w:val="center"/>
          </w:tcPr>
          <w:p w14:paraId="3BF77CFD">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如为联合体投标，则由联合体牵头单位提供）</w:t>
            </w:r>
            <w:r>
              <w:rPr>
                <w:rFonts w:hint="eastAsia" w:ascii="宋体" w:hAnsi="宋体" w:eastAsia="宋体" w:cs="宋体"/>
                <w:color w:val="auto"/>
                <w:kern w:val="0"/>
                <w:szCs w:val="21"/>
                <w:highlight w:val="none"/>
                <w:lang w:bidi="ar"/>
              </w:rPr>
              <w:t>自2020年1月1日至投标截止时间止，完成过质量合格的单项合同金额大于或等于</w:t>
            </w:r>
            <w:r>
              <w:rPr>
                <w:rFonts w:hint="eastAsia" w:ascii="宋体" w:hAnsi="宋体" w:cs="宋体"/>
                <w:color w:val="auto"/>
                <w:kern w:val="0"/>
                <w:szCs w:val="21"/>
                <w:highlight w:val="none"/>
                <w:lang w:eastAsia="zh-CN" w:bidi="ar"/>
              </w:rPr>
              <w:t>3600万元</w:t>
            </w:r>
            <w:r>
              <w:rPr>
                <w:rFonts w:hint="eastAsia" w:ascii="宋体" w:hAnsi="宋体" w:eastAsia="宋体" w:cs="宋体"/>
                <w:color w:val="auto"/>
                <w:kern w:val="0"/>
                <w:szCs w:val="21"/>
                <w:highlight w:val="none"/>
                <w:lang w:bidi="ar"/>
              </w:rPr>
              <w:t>的类似建筑机电安装工程</w:t>
            </w:r>
            <w:r>
              <w:rPr>
                <w:rFonts w:hint="eastAsia" w:ascii="宋体" w:hAnsi="宋体" w:eastAsia="宋体" w:cs="宋体"/>
                <w:color w:val="auto"/>
                <w:szCs w:val="21"/>
                <w:highlight w:val="none"/>
              </w:rPr>
              <w:t>施工</w:t>
            </w:r>
            <w:r>
              <w:rPr>
                <w:rFonts w:hint="eastAsia" w:ascii="宋体" w:hAnsi="宋体" w:eastAsia="宋体" w:cs="宋体"/>
                <w:color w:val="auto"/>
                <w:kern w:val="0"/>
                <w:szCs w:val="21"/>
                <w:highlight w:val="none"/>
                <w:lang w:bidi="ar"/>
              </w:rPr>
              <w:t>业绩的，每项得1分，不符合或不提供不得分，本项最高得8分。</w:t>
            </w:r>
          </w:p>
        </w:tc>
      </w:tr>
      <w:tr w14:paraId="25BA8972">
        <w:tblPrEx>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5417A6">
            <w:pPr>
              <w:widowControl/>
              <w:jc w:val="left"/>
              <w:rPr>
                <w:rFonts w:hint="eastAsia" w:ascii="宋体" w:hAnsi="宋体" w:eastAsia="宋体" w:cs="宋体"/>
                <w:b/>
                <w:bCs/>
                <w:color w:val="auto"/>
                <w:kern w:val="0"/>
                <w:szCs w:val="21"/>
                <w:highlight w:val="none"/>
                <w:lang w:bidi="ar"/>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DF4942F">
            <w:pPr>
              <w:widowControl/>
              <w:jc w:val="left"/>
              <w:rPr>
                <w:rFonts w:hint="eastAsia" w:ascii="宋体" w:hAnsi="宋体" w:eastAsia="宋体" w:cs="宋体"/>
                <w:b/>
                <w:bCs/>
                <w:color w:val="auto"/>
                <w:szCs w:val="21"/>
                <w:highlight w:val="none"/>
              </w:rPr>
            </w:pPr>
          </w:p>
        </w:tc>
        <w:tc>
          <w:tcPr>
            <w:tcW w:w="619" w:type="pct"/>
            <w:tcBorders>
              <w:top w:val="single" w:color="000000" w:sz="4" w:space="0"/>
              <w:left w:val="single" w:color="000000" w:sz="4" w:space="0"/>
              <w:bottom w:val="single" w:color="000000" w:sz="4" w:space="0"/>
              <w:right w:val="single" w:color="000000" w:sz="4" w:space="0"/>
            </w:tcBorders>
            <w:vAlign w:val="center"/>
          </w:tcPr>
          <w:p w14:paraId="4CED9708">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工程获奖</w:t>
            </w:r>
          </w:p>
        </w:tc>
        <w:tc>
          <w:tcPr>
            <w:tcW w:w="296" w:type="pct"/>
            <w:tcBorders>
              <w:top w:val="single" w:color="000000" w:sz="4" w:space="0"/>
              <w:left w:val="single" w:color="000000" w:sz="4" w:space="0"/>
              <w:bottom w:val="single" w:color="000000" w:sz="4" w:space="0"/>
              <w:right w:val="single" w:color="000000" w:sz="4" w:space="0"/>
            </w:tcBorders>
            <w:vAlign w:val="center"/>
          </w:tcPr>
          <w:p w14:paraId="4732D38F">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3379" w:type="pct"/>
            <w:tcBorders>
              <w:top w:val="single" w:color="000000" w:sz="4" w:space="0"/>
              <w:left w:val="single" w:color="000000" w:sz="4" w:space="0"/>
              <w:bottom w:val="single" w:color="000000" w:sz="4" w:space="0"/>
              <w:right w:val="single" w:color="000000" w:sz="4" w:space="0"/>
            </w:tcBorders>
            <w:vAlign w:val="center"/>
          </w:tcPr>
          <w:p w14:paraId="42C87EE7">
            <w:pPr>
              <w:autoSpaceDN w:val="0"/>
              <w:jc w:val="left"/>
              <w:rPr>
                <w:rFonts w:hint="eastAsia" w:ascii="宋体" w:hAnsi="宋体" w:eastAsia="宋体" w:cs="宋体"/>
                <w:color w:val="auto"/>
                <w:szCs w:val="21"/>
                <w:highlight w:val="none"/>
                <w:lang w:val="zh-TW" w:eastAsia="zh-TW"/>
              </w:rPr>
            </w:pPr>
            <w:r>
              <w:rPr>
                <w:rFonts w:hint="eastAsia" w:ascii="宋体" w:hAnsi="宋体" w:eastAsia="宋体" w:cs="宋体"/>
                <w:color w:val="auto"/>
                <w:szCs w:val="21"/>
                <w:highlight w:val="none"/>
                <w:lang w:val="zh-TW"/>
              </w:rPr>
              <w:t>投标人</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如为联合体投标，则由联合体牵头单位提供）</w:t>
            </w:r>
            <w:r>
              <w:rPr>
                <w:rFonts w:hint="eastAsia" w:ascii="宋体" w:hAnsi="宋体" w:eastAsia="宋体" w:cs="宋体"/>
                <w:color w:val="auto"/>
                <w:szCs w:val="21"/>
                <w:highlight w:val="none"/>
                <w:lang w:val="zh-TW"/>
              </w:rPr>
              <w:t>自</w:t>
            </w:r>
            <w:r>
              <w:rPr>
                <w:rFonts w:hint="eastAsia" w:ascii="宋体" w:hAnsi="宋体" w:eastAsia="宋体" w:cs="宋体"/>
                <w:color w:val="auto"/>
                <w:szCs w:val="21"/>
                <w:highlight w:val="none"/>
                <w:lang w:val="zh-TW" w:eastAsia="zh-TW"/>
              </w:rPr>
              <w:t>20</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TW"/>
              </w:rPr>
              <w:t>年</w:t>
            </w:r>
            <w:r>
              <w:rPr>
                <w:rFonts w:hint="eastAsia" w:ascii="宋体" w:hAnsi="宋体" w:eastAsia="宋体" w:cs="宋体"/>
                <w:color w:val="auto"/>
                <w:szCs w:val="21"/>
                <w:highlight w:val="none"/>
                <w:lang w:val="zh-TW" w:eastAsia="zh-TW"/>
              </w:rPr>
              <w:t>1</w:t>
            </w:r>
            <w:r>
              <w:rPr>
                <w:rFonts w:hint="eastAsia" w:ascii="宋体" w:hAnsi="宋体" w:eastAsia="宋体" w:cs="宋体"/>
                <w:color w:val="auto"/>
                <w:szCs w:val="21"/>
                <w:highlight w:val="none"/>
                <w:lang w:val="zh-TW"/>
              </w:rPr>
              <w:t>月</w:t>
            </w:r>
            <w:r>
              <w:rPr>
                <w:rFonts w:hint="eastAsia" w:ascii="宋体" w:hAnsi="宋体" w:eastAsia="宋体" w:cs="宋体"/>
                <w:color w:val="auto"/>
                <w:szCs w:val="21"/>
                <w:highlight w:val="none"/>
                <w:lang w:val="zh-TW" w:eastAsia="zh-TW"/>
              </w:rPr>
              <w:t>1</w:t>
            </w:r>
            <w:r>
              <w:rPr>
                <w:rFonts w:hint="eastAsia" w:ascii="宋体" w:hAnsi="宋体" w:eastAsia="宋体" w:cs="宋体"/>
                <w:color w:val="auto"/>
                <w:szCs w:val="21"/>
                <w:highlight w:val="none"/>
                <w:lang w:val="zh-TW"/>
              </w:rPr>
              <w:t>日至投标截止时间止，承建或参建的工程施工项目：</w:t>
            </w:r>
          </w:p>
          <w:p w14:paraId="0E8C2238">
            <w:pPr>
              <w:autoSpaceDN w:val="0"/>
              <w:jc w:val="left"/>
              <w:rPr>
                <w:rFonts w:hint="eastAsia" w:ascii="宋体" w:hAnsi="宋体" w:eastAsia="宋体" w:cs="宋体"/>
                <w:color w:val="auto"/>
                <w:szCs w:val="21"/>
                <w:highlight w:val="none"/>
                <w:lang w:val="zh-TW" w:eastAsia="zh-TW"/>
              </w:rPr>
            </w:pPr>
            <w:r>
              <w:rPr>
                <w:rFonts w:hint="eastAsia" w:ascii="宋体" w:hAnsi="宋体" w:eastAsia="宋体" w:cs="宋体"/>
                <w:color w:val="auto"/>
                <w:szCs w:val="21"/>
                <w:highlight w:val="none"/>
                <w:lang w:val="zh-TW" w:eastAsia="zh-TW"/>
              </w:rPr>
              <w:t>1</w:t>
            </w:r>
            <w:r>
              <w:rPr>
                <w:rFonts w:hint="eastAsia" w:ascii="宋体" w:hAnsi="宋体" w:eastAsia="宋体" w:cs="宋体"/>
                <w:color w:val="auto"/>
                <w:szCs w:val="21"/>
                <w:highlight w:val="none"/>
                <w:lang w:val="zh-TW"/>
              </w:rPr>
              <w:t>、获得过国家级工程质量奖，每项得</w:t>
            </w:r>
            <w:r>
              <w:rPr>
                <w:rFonts w:hint="eastAsia" w:ascii="宋体" w:hAnsi="宋体" w:eastAsia="宋体" w:cs="宋体"/>
                <w:color w:val="auto"/>
                <w:szCs w:val="21"/>
                <w:highlight w:val="none"/>
                <w:lang w:val="en-US" w:eastAsia="zh-CN"/>
              </w:rPr>
              <w:t>2.5</w:t>
            </w:r>
            <w:r>
              <w:rPr>
                <w:rFonts w:hint="eastAsia" w:ascii="宋体" w:hAnsi="宋体" w:eastAsia="宋体" w:cs="宋体"/>
                <w:color w:val="auto"/>
                <w:szCs w:val="21"/>
                <w:highlight w:val="none"/>
                <w:lang w:val="zh-TW"/>
              </w:rPr>
              <w:t>分</w:t>
            </w:r>
            <w:r>
              <w:rPr>
                <w:rFonts w:hint="eastAsia" w:ascii="宋体" w:hAnsi="宋体" w:eastAsia="宋体" w:cs="宋体"/>
                <w:color w:val="auto"/>
                <w:szCs w:val="21"/>
                <w:highlight w:val="none"/>
                <w:lang w:val="zh-TW" w:eastAsia="zh-CN"/>
              </w:rPr>
              <w:t>。</w:t>
            </w:r>
          </w:p>
          <w:p w14:paraId="7538E81D">
            <w:pPr>
              <w:autoSpaceDN w:val="0"/>
              <w:jc w:val="left"/>
              <w:rPr>
                <w:rFonts w:hint="eastAsia" w:ascii="宋体" w:hAnsi="宋体" w:eastAsia="宋体" w:cs="宋体"/>
                <w:color w:val="auto"/>
                <w:szCs w:val="21"/>
                <w:highlight w:val="none"/>
                <w:lang w:val="zh-TW" w:eastAsia="zh-TW"/>
              </w:rPr>
            </w:pPr>
            <w:r>
              <w:rPr>
                <w:rFonts w:hint="eastAsia" w:ascii="宋体" w:hAnsi="宋体" w:eastAsia="宋体" w:cs="宋体"/>
                <w:color w:val="auto"/>
                <w:szCs w:val="21"/>
                <w:highlight w:val="none"/>
                <w:lang w:val="zh-TW" w:eastAsia="zh-TW"/>
              </w:rPr>
              <w:t>2</w:t>
            </w:r>
            <w:r>
              <w:rPr>
                <w:rFonts w:hint="eastAsia" w:ascii="宋体" w:hAnsi="宋体" w:eastAsia="宋体" w:cs="宋体"/>
                <w:color w:val="auto"/>
                <w:szCs w:val="21"/>
                <w:highlight w:val="none"/>
                <w:lang w:val="zh-TW"/>
              </w:rPr>
              <w:t>、获得过省级（含副省级、直辖市）工程质量奖，每项得</w:t>
            </w:r>
            <w:r>
              <w:rPr>
                <w:rFonts w:hint="eastAsia" w:ascii="宋体" w:hAnsi="宋体" w:eastAsia="宋体" w:cs="宋体"/>
                <w:color w:val="auto"/>
                <w:szCs w:val="21"/>
                <w:highlight w:val="none"/>
                <w:lang w:val="en-US" w:eastAsia="zh-CN"/>
              </w:rPr>
              <w:t>2分</w:t>
            </w:r>
            <w:r>
              <w:rPr>
                <w:rFonts w:hint="eastAsia" w:ascii="宋体" w:hAnsi="宋体" w:eastAsia="宋体" w:cs="宋体"/>
                <w:color w:val="auto"/>
                <w:szCs w:val="21"/>
                <w:highlight w:val="none"/>
                <w:lang w:val="zh-TW"/>
              </w:rPr>
              <w:t>。</w:t>
            </w:r>
          </w:p>
          <w:p w14:paraId="5B4EA1FF">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lang w:val="zh-TW"/>
              </w:rPr>
              <w:t>不符合上述条件的不得分，本项最高得10分。</w:t>
            </w:r>
          </w:p>
        </w:tc>
      </w:tr>
      <w:tr w14:paraId="3D9927C5">
        <w:tblPrEx>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13C5EA3">
            <w:pPr>
              <w:widowControl/>
              <w:jc w:val="left"/>
              <w:rPr>
                <w:rFonts w:hint="eastAsia" w:ascii="宋体" w:hAnsi="宋体" w:eastAsia="宋体" w:cs="宋体"/>
                <w:b/>
                <w:bCs/>
                <w:color w:val="auto"/>
                <w:kern w:val="0"/>
                <w:szCs w:val="21"/>
                <w:highlight w:val="none"/>
                <w:lang w:bidi="ar"/>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575D7BC">
            <w:pPr>
              <w:widowControl/>
              <w:jc w:val="left"/>
              <w:rPr>
                <w:rFonts w:hint="eastAsia" w:ascii="宋体" w:hAnsi="宋体" w:eastAsia="宋体" w:cs="宋体"/>
                <w:b/>
                <w:bCs/>
                <w:color w:val="auto"/>
                <w:szCs w:val="21"/>
                <w:highlight w:val="none"/>
              </w:rPr>
            </w:pPr>
          </w:p>
        </w:tc>
        <w:tc>
          <w:tcPr>
            <w:tcW w:w="619" w:type="pct"/>
            <w:tcBorders>
              <w:top w:val="single" w:color="000000" w:sz="4" w:space="0"/>
              <w:left w:val="single" w:color="000000" w:sz="4" w:space="0"/>
              <w:bottom w:val="single" w:color="000000" w:sz="4" w:space="0"/>
              <w:right w:val="single" w:color="000000" w:sz="4" w:space="0"/>
            </w:tcBorders>
            <w:vAlign w:val="center"/>
          </w:tcPr>
          <w:p w14:paraId="5FE5DCC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工程研发能力</w:t>
            </w:r>
          </w:p>
        </w:tc>
        <w:tc>
          <w:tcPr>
            <w:tcW w:w="296" w:type="pct"/>
            <w:tcBorders>
              <w:top w:val="single" w:color="000000" w:sz="4" w:space="0"/>
              <w:left w:val="single" w:color="000000" w:sz="4" w:space="0"/>
              <w:bottom w:val="single" w:color="000000" w:sz="4" w:space="0"/>
              <w:right w:val="single" w:color="000000" w:sz="4" w:space="0"/>
            </w:tcBorders>
            <w:vAlign w:val="center"/>
          </w:tcPr>
          <w:p w14:paraId="760AD662">
            <w:pPr>
              <w:widowControl/>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3379" w:type="pct"/>
            <w:tcBorders>
              <w:top w:val="single" w:color="000000" w:sz="4" w:space="0"/>
              <w:left w:val="single" w:color="000000" w:sz="4" w:space="0"/>
              <w:bottom w:val="single" w:color="000000" w:sz="4" w:space="0"/>
              <w:right w:val="single" w:color="000000" w:sz="4" w:space="0"/>
            </w:tcBorders>
            <w:vAlign w:val="center"/>
          </w:tcPr>
          <w:p w14:paraId="07C4FB1A">
            <w:pPr>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rPr>
              <w:t>1、投标人</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如为联合体投标，则由联合体牵头单位提供）</w:t>
            </w:r>
            <w:r>
              <w:rPr>
                <w:rFonts w:hint="eastAsia" w:ascii="宋体" w:hAnsi="宋体" w:eastAsia="宋体" w:cs="宋体"/>
                <w:bCs/>
                <w:color w:val="auto"/>
                <w:szCs w:val="21"/>
                <w:highlight w:val="none"/>
              </w:rPr>
              <w:t>参与编制的目前正在使用的房屋建筑工程类标准</w:t>
            </w:r>
            <w:r>
              <w:rPr>
                <w:rFonts w:hint="eastAsia" w:ascii="宋体" w:hAnsi="宋体" w:eastAsia="宋体" w:cs="宋体"/>
                <w:bCs/>
                <w:color w:val="auto"/>
                <w:szCs w:val="21"/>
                <w:highlight w:val="none"/>
                <w:lang w:val="zh-CN"/>
              </w:rPr>
              <w:t xml:space="preserve">： </w:t>
            </w:r>
          </w:p>
          <w:p w14:paraId="2AAEEA09">
            <w:pPr>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（1）建筑工程类国家标准(或行业标准)的，每项1分，最多得4分；</w:t>
            </w:r>
          </w:p>
          <w:p w14:paraId="66835D3F">
            <w:pPr>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（2）建筑工程类省级地方标准的，每项0.5分，最多得</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lang w:val="zh-CN"/>
              </w:rPr>
              <w:t>分；</w:t>
            </w:r>
          </w:p>
          <w:p w14:paraId="00C1B5F0">
            <w:pPr>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本分项最高得4分。</w:t>
            </w:r>
          </w:p>
          <w:p w14:paraId="1A5A8E84">
            <w:pPr>
              <w:jc w:val="left"/>
              <w:rPr>
                <w:rFonts w:hint="eastAsia" w:ascii="宋体" w:hAnsi="宋体" w:eastAsia="宋体" w:cs="宋体"/>
                <w:color w:val="auto"/>
                <w:szCs w:val="21"/>
                <w:highlight w:val="none"/>
                <w:shd w:val="clear" w:color="auto" w:fill="FFFFFF"/>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zh-CN"/>
              </w:rPr>
              <w:t>、</w:t>
            </w:r>
            <w:r>
              <w:rPr>
                <w:rFonts w:hint="eastAsia" w:ascii="宋体" w:hAnsi="宋体" w:eastAsia="宋体" w:cs="宋体"/>
                <w:color w:val="auto"/>
                <w:szCs w:val="21"/>
                <w:highlight w:val="none"/>
                <w:shd w:val="clear" w:color="auto" w:fill="FFFFFF"/>
              </w:rPr>
              <w:t>投标人</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如为联合体投标，则由联合体牵头单位提供）</w:t>
            </w:r>
            <w:r>
              <w:rPr>
                <w:rFonts w:hint="eastAsia" w:ascii="宋体" w:hAnsi="宋体" w:eastAsia="宋体" w:cs="宋体"/>
                <w:color w:val="auto"/>
                <w:szCs w:val="21"/>
                <w:highlight w:val="none"/>
                <w:shd w:val="clear" w:color="auto" w:fill="FFFFFF"/>
              </w:rPr>
              <w:t>获得发明或实用新型专利，且在有效期内的：</w:t>
            </w:r>
          </w:p>
          <w:p w14:paraId="452659A6">
            <w:pPr>
              <w:widowControl/>
              <w:shd w:val="clear" w:color="auto" w:fill="FFFFFF"/>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（1）获得过10项（不含）以上的，得2分；</w:t>
            </w:r>
          </w:p>
          <w:p w14:paraId="754EA8CD">
            <w:pPr>
              <w:widowControl/>
              <w:shd w:val="clear" w:color="auto" w:fill="FFFFFF"/>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（2）获得过5项（不含）-10项（含）的，得1.5分；</w:t>
            </w:r>
          </w:p>
          <w:p w14:paraId="0BD87B8D">
            <w:pPr>
              <w:widowControl/>
              <w:shd w:val="clear" w:color="auto" w:fill="FFFFFF"/>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（3）获得过1项（含）-5项（含）的，得0.5分。</w:t>
            </w:r>
          </w:p>
          <w:p w14:paraId="11B3819C">
            <w:pPr>
              <w:jc w:val="left"/>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本分项最高得2分。</w:t>
            </w:r>
          </w:p>
          <w:p w14:paraId="5BDB6B0F">
            <w:pPr>
              <w:jc w:val="left"/>
              <w:rPr>
                <w:rFonts w:hint="eastAsia" w:ascii="宋体" w:hAnsi="宋体" w:eastAsia="宋体" w:cs="宋体"/>
                <w:bCs/>
                <w:color w:val="auto"/>
                <w:szCs w:val="21"/>
                <w:highlight w:val="none"/>
                <w:lang w:val="zh-CN"/>
              </w:rPr>
            </w:pPr>
            <w:r>
              <w:rPr>
                <w:rFonts w:hint="eastAsia" w:ascii="宋体" w:hAnsi="宋体" w:eastAsia="宋体" w:cs="宋体"/>
                <w:color w:val="auto"/>
                <w:szCs w:val="20"/>
                <w:highlight w:val="none"/>
                <w:lang w:val="en-US" w:eastAsia="zh-CN"/>
              </w:rPr>
              <w:t>3、</w:t>
            </w:r>
            <w:r>
              <w:rPr>
                <w:rFonts w:hint="eastAsia" w:ascii="宋体" w:hAnsi="宋体" w:eastAsia="宋体" w:cs="宋体"/>
                <w:color w:val="auto"/>
                <w:szCs w:val="20"/>
                <w:highlight w:val="none"/>
              </w:rPr>
              <w:t>投标人</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如为联合体投标，则由联合体牵头单位提供）</w:t>
            </w:r>
            <w:r>
              <w:rPr>
                <w:rFonts w:hint="eastAsia" w:ascii="宋体" w:hAnsi="宋体" w:eastAsia="宋体" w:cs="宋体"/>
                <w:color w:val="auto"/>
                <w:szCs w:val="20"/>
                <w:highlight w:val="none"/>
              </w:rPr>
              <w:t>自2020年1月1日至投标截止时间，在所承接项目中获得</w:t>
            </w:r>
            <w:r>
              <w:rPr>
                <w:rFonts w:hint="eastAsia" w:ascii="宋体" w:hAnsi="宋体" w:eastAsia="宋体" w:cs="宋体"/>
                <w:color w:val="auto"/>
                <w:szCs w:val="20"/>
                <w:highlight w:val="none"/>
                <w:lang w:val="en-US" w:eastAsia="zh-CN"/>
              </w:rPr>
              <w:t>过</w:t>
            </w:r>
            <w:r>
              <w:rPr>
                <w:rFonts w:hint="eastAsia" w:ascii="宋体" w:hAnsi="宋体" w:eastAsia="宋体" w:cs="宋体"/>
                <w:color w:val="auto"/>
                <w:szCs w:val="20"/>
                <w:highlight w:val="none"/>
              </w:rPr>
              <w:t>技术创新QC成果（</w:t>
            </w:r>
            <w:r>
              <w:rPr>
                <w:rFonts w:hint="eastAsia" w:ascii="宋体" w:hAnsi="宋体" w:eastAsia="宋体" w:cs="宋体"/>
                <w:color w:val="auto"/>
                <w:szCs w:val="20"/>
                <w:highlight w:val="none"/>
                <w:lang w:val="en-US" w:eastAsia="zh-CN"/>
              </w:rPr>
              <w:t>省级或</w:t>
            </w:r>
            <w:r>
              <w:rPr>
                <w:rFonts w:hint="eastAsia" w:ascii="宋体" w:hAnsi="宋体" w:eastAsia="宋体" w:cs="宋体"/>
                <w:color w:val="auto"/>
                <w:szCs w:val="20"/>
                <w:highlight w:val="none"/>
              </w:rPr>
              <w:t>以上）的，每个得1分，不符合上述条件的不得分，本小项最高得3分。</w:t>
            </w:r>
          </w:p>
          <w:p w14:paraId="39D0AB43">
            <w:pPr>
              <w:jc w:val="left"/>
              <w:rPr>
                <w:rFonts w:hint="eastAsia" w:ascii="宋体" w:hAnsi="宋体" w:eastAsia="宋体" w:cs="宋体"/>
                <w:color w:val="auto"/>
                <w:highlight w:val="none"/>
              </w:rPr>
            </w:pPr>
            <w:r>
              <w:rPr>
                <w:rFonts w:hint="eastAsia" w:ascii="宋体" w:hAnsi="宋体" w:eastAsia="宋体" w:cs="宋体"/>
                <w:color w:val="auto"/>
                <w:szCs w:val="21"/>
                <w:highlight w:val="none"/>
              </w:rPr>
              <w:t>注：不满足前述要求不得分。本项最高得9分。</w:t>
            </w:r>
          </w:p>
        </w:tc>
      </w:tr>
      <w:tr w14:paraId="44B77B0C">
        <w:tblPrEx>
          <w:tblCellMar>
            <w:top w:w="0" w:type="dxa"/>
            <w:left w:w="108" w:type="dxa"/>
            <w:bottom w:w="0" w:type="dxa"/>
            <w:right w:w="108" w:type="dxa"/>
          </w:tblCellMar>
        </w:tblPrEx>
        <w:trPr>
          <w:trHeight w:val="23" w:hRule="atLeast"/>
        </w:trPr>
        <w:tc>
          <w:tcPr>
            <w:tcW w:w="257" w:type="pct"/>
            <w:tcBorders>
              <w:top w:val="single" w:color="000000" w:sz="4" w:space="0"/>
              <w:left w:val="single" w:color="000000" w:sz="4" w:space="0"/>
              <w:bottom w:val="single" w:color="000000" w:sz="4" w:space="0"/>
              <w:right w:val="single" w:color="000000" w:sz="4" w:space="0"/>
            </w:tcBorders>
            <w:vAlign w:val="center"/>
          </w:tcPr>
          <w:p w14:paraId="0280C50E">
            <w:pPr>
              <w:widowControl/>
              <w:jc w:val="left"/>
              <w:textAlignment w:val="center"/>
              <w:rPr>
                <w:rFonts w:hint="eastAsia" w:ascii="宋体" w:hAnsi="宋体" w:eastAsia="宋体" w:cs="宋体"/>
                <w:color w:val="auto"/>
                <w:kern w:val="0"/>
                <w:szCs w:val="21"/>
                <w:highlight w:val="none"/>
                <w:lang w:bidi="ar"/>
              </w:rPr>
            </w:pPr>
          </w:p>
        </w:tc>
        <w:tc>
          <w:tcPr>
            <w:tcW w:w="1067" w:type="pct"/>
            <w:gridSpan w:val="2"/>
            <w:tcBorders>
              <w:top w:val="single" w:color="000000" w:sz="4" w:space="0"/>
              <w:left w:val="single" w:color="000000" w:sz="4" w:space="0"/>
              <w:bottom w:val="single" w:color="000000" w:sz="4" w:space="0"/>
              <w:right w:val="single" w:color="000000" w:sz="4" w:space="0"/>
            </w:tcBorders>
            <w:vAlign w:val="center"/>
          </w:tcPr>
          <w:p w14:paraId="63BCB9A4">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合计</w:t>
            </w:r>
          </w:p>
        </w:tc>
        <w:tc>
          <w:tcPr>
            <w:tcW w:w="296" w:type="pct"/>
            <w:tcBorders>
              <w:top w:val="single" w:color="000000" w:sz="4" w:space="0"/>
              <w:left w:val="single" w:color="000000" w:sz="4" w:space="0"/>
              <w:bottom w:val="single" w:color="000000" w:sz="4" w:space="0"/>
              <w:right w:val="single" w:color="000000" w:sz="4" w:space="0"/>
            </w:tcBorders>
            <w:vAlign w:val="center"/>
          </w:tcPr>
          <w:p w14:paraId="0640A459">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100</w:t>
            </w:r>
          </w:p>
        </w:tc>
        <w:tc>
          <w:tcPr>
            <w:tcW w:w="3379" w:type="pct"/>
            <w:tcBorders>
              <w:top w:val="single" w:color="000000" w:sz="4" w:space="0"/>
              <w:left w:val="single" w:color="000000" w:sz="4" w:space="0"/>
              <w:bottom w:val="single" w:color="000000" w:sz="4" w:space="0"/>
              <w:right w:val="single" w:color="000000" w:sz="4" w:space="0"/>
            </w:tcBorders>
            <w:vAlign w:val="center"/>
          </w:tcPr>
          <w:p w14:paraId="74438EF8">
            <w:pPr>
              <w:jc w:val="left"/>
              <w:rPr>
                <w:rFonts w:hint="eastAsia" w:ascii="宋体" w:hAnsi="宋体" w:eastAsia="宋体" w:cs="宋体"/>
                <w:color w:val="auto"/>
                <w:szCs w:val="21"/>
                <w:highlight w:val="none"/>
              </w:rPr>
            </w:pPr>
          </w:p>
        </w:tc>
      </w:tr>
    </w:tbl>
    <w:p w14:paraId="5B009D4B">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193A7B53">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备注：</w:t>
      </w:r>
    </w:p>
    <w:p w14:paraId="515C7EDD">
      <w:pPr>
        <w:pStyle w:val="8"/>
        <w:rPr>
          <w:rFonts w:hint="eastAsia" w:ascii="宋体" w:hAnsi="宋体" w:cs="宋体"/>
          <w:color w:val="auto"/>
          <w:szCs w:val="21"/>
          <w:highlight w:val="none"/>
        </w:rPr>
      </w:pPr>
      <w:r>
        <w:rPr>
          <w:rFonts w:hint="eastAsia" w:ascii="宋体" w:hAnsi="宋体" w:cs="宋体"/>
          <w:color w:val="auto"/>
          <w:szCs w:val="21"/>
          <w:highlight w:val="none"/>
        </w:rPr>
        <w:t>1、【企业业绩】：业绩取自广州市住建行业信用管理平台的，投标人须提供类似工程业绩的项目名称及业绩在广州市住建行业信用管理平台中项目编号及业绩在广州市住建行业信用管理平台的网页信息截图（网页信息截图须能清晰显示带有“住建行业信用管理平台”名称，并至少包含“项目基本信息”等信息）以供核对（业绩相关附件的上传件取广州市住建行业信用管理平台，投标阶段可不重复提交）。不提供项目名称、项目编号及网页信息截图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14:paraId="1DA54B33">
      <w:pPr>
        <w:pStyle w:val="8"/>
        <w:rPr>
          <w:rFonts w:hint="eastAsia" w:ascii="宋体" w:hAnsi="宋体" w:cs="宋体"/>
          <w:b/>
          <w:bCs/>
          <w:color w:val="auto"/>
          <w:szCs w:val="21"/>
          <w:highlight w:val="none"/>
        </w:rPr>
      </w:pPr>
      <w:r>
        <w:rPr>
          <w:rFonts w:hint="eastAsia" w:ascii="宋体" w:hAnsi="宋体" w:cs="宋体"/>
          <w:b/>
          <w:bCs/>
          <w:color w:val="auto"/>
          <w:szCs w:val="21"/>
          <w:highlight w:val="none"/>
        </w:rPr>
        <w:t>业绩不取自广州市住建行业信用管理平台的，投标人须提供类似工程业绩的中标通知书（或免招标证明）、施工合同、竣工验收文件的扫描件。</w:t>
      </w:r>
    </w:p>
    <w:p w14:paraId="2CC3751D">
      <w:pPr>
        <w:pStyle w:val="8"/>
        <w:rPr>
          <w:rFonts w:hint="eastAsia" w:ascii="宋体" w:hAnsi="宋体" w:cs="宋体"/>
          <w:color w:val="auto"/>
          <w:szCs w:val="21"/>
          <w:highlight w:val="none"/>
        </w:rPr>
      </w:pPr>
      <w:r>
        <w:rPr>
          <w:rFonts w:hint="eastAsia" w:ascii="宋体" w:hAnsi="宋体" w:cs="宋体"/>
          <w:color w:val="auto"/>
          <w:szCs w:val="21"/>
          <w:highlight w:val="none"/>
        </w:rPr>
        <w:t>（1）金额以中标通知书为准，中标通知书上没有金额或免招标的，以施工合同（不含补充合同）为准。</w:t>
      </w:r>
    </w:p>
    <w:p w14:paraId="3BC7965A">
      <w:pPr>
        <w:pStyle w:val="8"/>
        <w:rPr>
          <w:rFonts w:hint="eastAsia" w:ascii="宋体" w:hAnsi="宋体" w:cs="宋体"/>
          <w:color w:val="auto"/>
          <w:szCs w:val="21"/>
          <w:highlight w:val="none"/>
        </w:rPr>
      </w:pPr>
      <w:r>
        <w:rPr>
          <w:rFonts w:hint="eastAsia" w:ascii="宋体" w:hAnsi="宋体" w:cs="宋体"/>
          <w:color w:val="auto"/>
          <w:szCs w:val="21"/>
          <w:highlight w:val="none"/>
        </w:rPr>
        <w:t>（2）技术指标</w:t>
      </w:r>
      <w:r>
        <w:rPr>
          <w:rFonts w:hint="eastAsia" w:ascii="宋体" w:hAnsi="宋体" w:cs="宋体"/>
          <w:b/>
          <w:bCs/>
          <w:color w:val="auto"/>
          <w:szCs w:val="21"/>
          <w:highlight w:val="none"/>
        </w:rPr>
        <w:t>（类似工程是指业绩金额大于或等于</w:t>
      </w:r>
      <w:r>
        <w:rPr>
          <w:rFonts w:hint="eastAsia" w:ascii="宋体" w:hAnsi="宋体" w:cs="宋体"/>
          <w:b/>
          <w:bCs/>
          <w:color w:val="auto"/>
          <w:szCs w:val="21"/>
          <w:highlight w:val="none"/>
          <w:lang w:eastAsia="zh-CN"/>
        </w:rPr>
        <w:t>3600万元</w:t>
      </w:r>
      <w:r>
        <w:rPr>
          <w:rFonts w:hint="eastAsia" w:ascii="宋体" w:hAnsi="宋体" w:cs="宋体"/>
          <w:b/>
          <w:bCs/>
          <w:color w:val="auto"/>
          <w:szCs w:val="21"/>
          <w:highlight w:val="none"/>
        </w:rPr>
        <w:t>的建筑机电安装工程施工业绩）。</w:t>
      </w:r>
      <w:r>
        <w:rPr>
          <w:rFonts w:hint="eastAsia" w:ascii="宋体" w:hAnsi="宋体" w:cs="宋体"/>
          <w:color w:val="auto"/>
          <w:szCs w:val="21"/>
          <w:highlight w:val="none"/>
        </w:rPr>
        <w:t>业绩取自广州市住建行业信用管理平台的，技术指标需在广州市住建行业信用管理平台内业绩上传件中反映；业绩不取自广州市住建行业信用管理平台的，技术指标需在业绩证明材料中反映。</w:t>
      </w:r>
    </w:p>
    <w:p w14:paraId="16EAEC8C">
      <w:pPr>
        <w:pStyle w:val="8"/>
        <w:rPr>
          <w:rFonts w:hint="eastAsia" w:ascii="宋体" w:hAnsi="宋体" w:cs="宋体"/>
          <w:color w:val="auto"/>
          <w:szCs w:val="21"/>
          <w:highlight w:val="none"/>
        </w:rPr>
      </w:pPr>
      <w:r>
        <w:rPr>
          <w:rFonts w:hint="eastAsia" w:ascii="宋体" w:hAnsi="宋体" w:cs="宋体"/>
          <w:color w:val="auto"/>
          <w:szCs w:val="21"/>
          <w:highlight w:val="none"/>
        </w:rPr>
        <w:t>（3）完成时间以竣工验收文件为准。验收文件至少具有建设单位、设计、施工和监理单位盖章。</w:t>
      </w:r>
    </w:p>
    <w:p w14:paraId="7A12EA9B">
      <w:pPr>
        <w:pStyle w:val="8"/>
        <w:rPr>
          <w:rFonts w:hint="eastAsia" w:ascii="宋体" w:hAnsi="宋体" w:cs="宋体"/>
          <w:color w:val="auto"/>
          <w:szCs w:val="21"/>
          <w:highlight w:val="none"/>
        </w:rPr>
      </w:pPr>
      <w:r>
        <w:rPr>
          <w:rFonts w:hint="eastAsia" w:ascii="宋体" w:hAnsi="宋体" w:cs="宋体"/>
          <w:color w:val="auto"/>
          <w:szCs w:val="21"/>
          <w:highlight w:val="none"/>
        </w:rPr>
        <w:t>（4）业绩取自广州市住建行业信用管理平台的，平台内业绩上传件不符合上述要求的或登记的工程资质内容与施工合同等业绩证明资料不相符的，该项业绩不予认定；业绩不取自广州市住建行业信用管理平台的，业绩证明材料不符合上述要求的或工程资质内容与施工合同等业绩证明资料不相符的，该项业绩不予认定。</w:t>
      </w:r>
    </w:p>
    <w:p w14:paraId="510C8F35">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2、【工程获奖】：</w:t>
      </w:r>
    </w:p>
    <w:p w14:paraId="2754BBF3">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（1）工程奖项可取自广州市住建行业信用管理平台或提供获奖证书扫描件。</w:t>
      </w:r>
    </w:p>
    <w:p w14:paraId="0EEFAD7C">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①国家级工程质量奖包括：鲁班奖、国家优质工程金质奖、国家优质工程奖（原国家优质工程银质奖）、中国土木工程詹天佑奖、国家建筑工程装饰奖；</w:t>
      </w:r>
    </w:p>
    <w:p w14:paraId="3222D4CF">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省或市级奖项包括：由省、市级建设行政主管部门或行业协会（行业协会须在民政部门取得成立登记批准）颁发的质量类工程奖项，其它如安全文明、绿色施工、技术创新、QC成果、钢结构、科技进步及技术应用类奖项不参与计分。</w:t>
      </w:r>
    </w:p>
    <w:p w14:paraId="5213984B">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只计算房建工程项目质量奖项，其他非房建工程项目，如路桥、铁路、水利、电力、化工、冶金、市政等获奖不参与计分。同一项目获得多个奖项的，该项目获奖只按其中一个奖项所在最高级别计算一次分数，不得重复计算。</w:t>
      </w:r>
    </w:p>
    <w:p w14:paraId="4071240E">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④时间以获奖证书颁发时间为准。</w:t>
      </w:r>
    </w:p>
    <w:p w14:paraId="7F36782A">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工程奖项信息取自广州市住建行业信用管理平台的（须提供广州市住建行业信用管理平台的网页信息截图，网页信息截图须能清晰显示带有“住建行业信用管理平台”名称，并至少包含“项目基本信息”、“奖项信息”等信息的页面），评标委员会对获奖的评审以投标截止时间在广州市住建行业信用管理平台的获奖证书上传件为依据。投标人须为该获奖项目的施工总承包单位或建筑装饰装修专业承包单位或建筑机电安装专业承包单位，须提供相关证明材料（如施工合同、业主证明、评审申请材料、批复文件、竣工验收文件等）体现其为施工总承包单位或建筑装饰装修专业承包单位或建筑机电安装专业承包单位身份，否则不予计分。</w:t>
      </w:r>
    </w:p>
    <w:p w14:paraId="535630F7">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工程奖项不取自广州市住建行业信用管理平台的，须提供获奖证书原件扫描件，并同时提供获奖业绩的中标通知书(或免招标证明文件)、施工合同(不含补充合同)、竣工验收文件(验收文件至少具有建设单位、设计、施工和监理单位盖章)并加盖投标人企业电子印章。投标人须为该获奖项目的施工总承包单位，须提供相关证明材料（如施工合同、业主证明、评审申请材料、批复文件、竣工验收文件等）体现其为施工总承包单位身份，不符合上述条件或上述资料相关信息不一致或提供的资料不齐全的获奖业绩不予评审。评标委员会对获奖的评审以投标人提供的完整的证明资料为依据。</w:t>
      </w:r>
    </w:p>
    <w:p w14:paraId="738BC074">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3、【工程研发能力】：</w:t>
      </w:r>
    </w:p>
    <w:p w14:paraId="36A1F6F3">
      <w:pPr>
        <w:widowControl/>
        <w:ind w:firstLine="420" w:firstLineChars="200"/>
        <w:jc w:val="left"/>
        <w:rPr>
          <w:rFonts w:hint="eastAsia" w:ascii="宋体" w:hAnsi="宋体" w:cs="宋体"/>
          <w:color w:val="auto"/>
          <w:szCs w:val="21"/>
          <w:highlight w:val="none"/>
          <w:shd w:val="clear" w:color="auto" w:fill="FFFFFF"/>
        </w:rPr>
      </w:pPr>
      <w:r>
        <w:rPr>
          <w:rFonts w:hint="eastAsia" w:ascii="宋体" w:hAnsi="宋体" w:cs="宋体"/>
          <w:bCs/>
          <w:color w:val="auto"/>
          <w:szCs w:val="21"/>
          <w:highlight w:val="none"/>
        </w:rPr>
        <w:t>（1）国家或行业标准应为房屋建筑工程类施工标准或房屋建筑工程类技术标准。</w:t>
      </w:r>
      <w:r>
        <w:rPr>
          <w:rFonts w:hint="eastAsia" w:ascii="宋体" w:hAnsi="宋体" w:cs="宋体"/>
          <w:color w:val="auto"/>
          <w:szCs w:val="21"/>
          <w:highlight w:val="none"/>
        </w:rPr>
        <w:t>时间以标准实施日期为准。须提供相关标准发布网站查询的该标准发布公告截图或打印页、标准封面及体现投标人作为参与编制单位等内容的关键页扫描件，否则不得分</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省级地方标准须提供</w:t>
      </w:r>
      <w:r>
        <w:rPr>
          <w:rFonts w:hint="eastAsia" w:ascii="宋体" w:hAnsi="宋体" w:cs="宋体"/>
          <w:color w:val="auto"/>
          <w:szCs w:val="21"/>
          <w:highlight w:val="none"/>
          <w:lang w:val="zh-TW"/>
        </w:rPr>
        <w:t>省级住</w:t>
      </w:r>
      <w:r>
        <w:rPr>
          <w:rFonts w:hint="eastAsia" w:ascii="宋体" w:hAnsi="宋体" w:cs="宋体"/>
          <w:color w:val="auto"/>
          <w:szCs w:val="21"/>
          <w:highlight w:val="none"/>
        </w:rPr>
        <w:t>建部门</w:t>
      </w:r>
      <w:r>
        <w:rPr>
          <w:rFonts w:hint="eastAsia" w:ascii="宋体" w:hAnsi="宋体" w:cs="宋体"/>
          <w:bCs/>
          <w:color w:val="auto"/>
          <w:szCs w:val="21"/>
          <w:highlight w:val="none"/>
        </w:rPr>
        <w:t>查询该标准发布公告的截图或打印页</w:t>
      </w:r>
      <w:r>
        <w:rPr>
          <w:rFonts w:hint="eastAsia" w:ascii="宋体" w:hAnsi="宋体" w:cs="宋体"/>
          <w:color w:val="auto"/>
          <w:szCs w:val="21"/>
          <w:highlight w:val="none"/>
          <w:lang w:val="zh-TW"/>
        </w:rPr>
        <w:t>，</w:t>
      </w:r>
      <w:r>
        <w:rPr>
          <w:rFonts w:hint="eastAsia" w:ascii="宋体" w:hAnsi="宋体" w:cs="宋体"/>
          <w:color w:val="auto"/>
          <w:szCs w:val="21"/>
          <w:highlight w:val="none"/>
        </w:rPr>
        <w:t>需提供标准封面及体现投标人作为参与编制单位等内容的关键页扫描件，否则不得分。投标人参与编制多个级别标准的，本项只按标准的发布单位最高级别计算一次分数，不得重复计算。</w:t>
      </w:r>
    </w:p>
    <w:p w14:paraId="714E82DD">
      <w:pPr>
        <w:ind w:firstLine="420" w:firstLineChars="200"/>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2）国家知识产权局颁发的发明专利或实用新型专利奖须提供国家知识产权局颁发的发明专利或实用新型专利证书加盖投标人电子印章，同时须提供国家知识产权局网站（https://www.cnipa.gov.cn/col/col1510/index.html网站中“中国及多国专利审查信息查询”-“中国专利审查信息查询”）的公示信息截图以供核对，无提供网页截图不得分。</w:t>
      </w:r>
    </w:p>
    <w:p w14:paraId="2EA78C5B">
      <w:pPr>
        <w:ind w:firstLine="420" w:firstLineChars="200"/>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（3）技术创新QC成果（</w:t>
      </w:r>
      <w:r>
        <w:rPr>
          <w:rFonts w:hint="eastAsia" w:ascii="宋体" w:hAnsi="宋体" w:cs="宋体"/>
          <w:color w:val="auto"/>
          <w:szCs w:val="21"/>
          <w:highlight w:val="none"/>
          <w:shd w:val="clear" w:color="auto" w:fill="FFFFFF"/>
          <w:lang w:val="en-US" w:eastAsia="zh-CN"/>
        </w:rPr>
        <w:t>省级或</w:t>
      </w:r>
      <w:r>
        <w:rPr>
          <w:rFonts w:hint="eastAsia" w:ascii="宋体" w:hAnsi="宋体" w:cs="宋体"/>
          <w:color w:val="auto"/>
          <w:szCs w:val="21"/>
          <w:highlight w:val="none"/>
          <w:shd w:val="clear" w:color="auto" w:fill="FFFFFF"/>
        </w:rPr>
        <w:t>以上）取自广州市住建行业信用管理平台或提供获奖证书扫描件。</w:t>
      </w:r>
    </w:p>
    <w:p w14:paraId="1AEA6C2A">
      <w:pPr>
        <w:ind w:firstLine="420" w:firstLineChars="200"/>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①取自广州市住建行业信用管理平台的：投标人须提供广州市住建行业信用管理平台信息截图并加盖投标人企业电子印章，网页信息截图须能清晰显示带有“住建行业信用管理平台”名称，并至少包含“项目基本信息”“奖项信息”等信息；</w:t>
      </w:r>
    </w:p>
    <w:p w14:paraId="06315407">
      <w:pPr>
        <w:ind w:firstLine="420" w:firstLineChars="200"/>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②不取自广州市住建行业信用管理平台的：投标人须提供获奖证书扫描件和该获奖项目对应的施工合同关键页（施工合同须体现房建内容）等扫描件，获奖证书与施工合同显示的“工程名称”须为同一项目，如获奖证书未体现工程名称的，须另提供建设单位出具的证明材料。</w:t>
      </w:r>
    </w:p>
    <w:p w14:paraId="6FCF5D18">
      <w:pPr>
        <w:ind w:firstLine="420" w:firstLineChars="200"/>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③技术创新QC成果只计算房建类的项目，其他非房建项目，如：路桥、铁路、水利、电力、化工、冶金、市政等项目不参与计分。</w:t>
      </w:r>
    </w:p>
    <w:p w14:paraId="00357C6B">
      <w:pPr>
        <w:ind w:firstLine="420" w:firstLineChars="200"/>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④时间以获奖证书的发证时间为准，同一项目获得多个证书的，只计算一次，不重复计算，不符合上述条件或未提供上述资料的不得分。</w:t>
      </w:r>
    </w:p>
    <w:p w14:paraId="37CC8E63">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、【项目组织管理机构】：</w:t>
      </w:r>
    </w:p>
    <w:p w14:paraId="5467877A">
      <w:pPr>
        <w:pStyle w:val="8"/>
        <w:rPr>
          <w:rFonts w:hint="eastAsia" w:ascii="宋体" w:hAnsi="宋体" w:cs="宋体"/>
          <w:color w:val="auto"/>
          <w:szCs w:val="21"/>
          <w:highlight w:val="none"/>
        </w:rPr>
      </w:pPr>
      <w:r>
        <w:rPr>
          <w:rFonts w:hint="eastAsia" w:ascii="宋体" w:hAnsi="宋体" w:cs="宋体"/>
          <w:color w:val="auto"/>
          <w:szCs w:val="21"/>
          <w:highlight w:val="none"/>
        </w:rPr>
        <w:t>（1）业绩取自广州市住建行业信用管理平台的，投标人须提供类似工程业绩的项目名称及业绩在广州市住建行业信用管理平台中项目编号及业绩在广州市住建行业信用管理平台的网页信息截图（网页信息截图须能清晰显示带有“住建行业信用管理平台”名称，并至少包含“项目基本信息”等信息）以供核对（业绩相关附件的上传件取广州市住建行业信用管理平台，投标阶段可不重复提交）。不提供项目名称、项目编号及网页信息截图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14:paraId="27A6002F">
      <w:pPr>
        <w:pStyle w:val="8"/>
        <w:rPr>
          <w:rFonts w:hint="eastAsia" w:ascii="宋体" w:hAnsi="宋体" w:cs="宋体"/>
          <w:b/>
          <w:bCs/>
          <w:color w:val="auto"/>
          <w:szCs w:val="21"/>
          <w:highlight w:val="none"/>
        </w:rPr>
      </w:pPr>
      <w:r>
        <w:rPr>
          <w:rFonts w:hint="eastAsia" w:ascii="宋体" w:hAnsi="宋体" w:cs="宋体"/>
          <w:b/>
          <w:bCs/>
          <w:color w:val="auto"/>
          <w:szCs w:val="21"/>
          <w:highlight w:val="none"/>
        </w:rPr>
        <w:t>业绩不取自广州市住建行业信用管理平台的，投标人须提供类似工程业绩的中标通知书（或免招标证明）、施工合同、竣工验收文件的扫描件。</w:t>
      </w:r>
    </w:p>
    <w:p w14:paraId="47367F5D">
      <w:pPr>
        <w:pStyle w:val="8"/>
        <w:rPr>
          <w:rFonts w:hint="eastAsia" w:ascii="宋体" w:hAnsi="宋体" w:cs="宋体"/>
          <w:color w:val="auto"/>
          <w:szCs w:val="21"/>
          <w:highlight w:val="none"/>
        </w:rPr>
      </w:pPr>
      <w:r>
        <w:rPr>
          <w:rFonts w:hint="eastAsia" w:ascii="宋体" w:hAnsi="宋体" w:cs="宋体"/>
          <w:color w:val="auto"/>
          <w:szCs w:val="21"/>
          <w:highlight w:val="none"/>
        </w:rPr>
        <w:t>（1）金额以中标通知书为准，中标通知书上没有金额或免招标的，以施工合同（不含补充合同）为准。</w:t>
      </w:r>
    </w:p>
    <w:p w14:paraId="141E7BD5">
      <w:pPr>
        <w:pStyle w:val="8"/>
        <w:rPr>
          <w:rFonts w:hint="eastAsia" w:ascii="宋体" w:hAnsi="宋体" w:cs="宋体"/>
          <w:color w:val="auto"/>
          <w:szCs w:val="21"/>
          <w:highlight w:val="none"/>
        </w:rPr>
      </w:pPr>
      <w:r>
        <w:rPr>
          <w:rFonts w:hint="eastAsia" w:ascii="宋体" w:hAnsi="宋体" w:cs="宋体"/>
          <w:color w:val="auto"/>
          <w:szCs w:val="21"/>
          <w:highlight w:val="none"/>
        </w:rPr>
        <w:t>（2）技术指标（</w:t>
      </w:r>
      <w:r>
        <w:rPr>
          <w:rFonts w:hint="eastAsia" w:ascii="宋体" w:hAnsi="宋体" w:cs="宋体"/>
          <w:b/>
          <w:bCs/>
          <w:color w:val="auto"/>
          <w:szCs w:val="21"/>
          <w:highlight w:val="none"/>
        </w:rPr>
        <w:t>类似工程是指</w:t>
      </w:r>
      <w:r>
        <w:rPr>
          <w:rFonts w:hint="eastAsia" w:ascii="宋体" w:hAnsi="宋体" w:cs="宋体"/>
          <w:b/>
          <w:bCs/>
          <w:color w:val="auto"/>
          <w:szCs w:val="21"/>
          <w:highlight w:val="none"/>
          <w:lang w:val="en-US" w:eastAsia="zh-CN"/>
        </w:rPr>
        <w:t>与评审标准相对应</w:t>
      </w:r>
      <w:r>
        <w:rPr>
          <w:rFonts w:hint="eastAsia" w:ascii="宋体" w:hAnsi="宋体" w:cs="宋体"/>
          <w:b/>
          <w:bCs/>
          <w:color w:val="auto"/>
          <w:szCs w:val="21"/>
          <w:highlight w:val="none"/>
        </w:rPr>
        <w:t>的业绩</w:t>
      </w:r>
      <w:r>
        <w:rPr>
          <w:rFonts w:hint="eastAsia" w:ascii="宋体" w:hAnsi="宋体" w:cs="宋体"/>
          <w:b/>
          <w:bCs/>
          <w:color w:val="auto"/>
          <w:szCs w:val="21"/>
          <w:highlight w:val="none"/>
          <w:lang w:val="en-US" w:eastAsia="zh-CN"/>
        </w:rPr>
        <w:t>金额的</w:t>
      </w:r>
      <w:r>
        <w:rPr>
          <w:rFonts w:hint="eastAsia" w:ascii="宋体" w:hAnsi="宋体" w:cs="宋体"/>
          <w:b/>
          <w:bCs/>
          <w:color w:val="auto"/>
          <w:szCs w:val="21"/>
          <w:highlight w:val="none"/>
        </w:rPr>
        <w:t>建筑机电安装工程施工业绩</w:t>
      </w:r>
      <w:r>
        <w:rPr>
          <w:rFonts w:hint="eastAsia" w:ascii="宋体" w:hAnsi="宋体" w:cs="宋体"/>
          <w:color w:val="auto"/>
          <w:szCs w:val="21"/>
          <w:highlight w:val="none"/>
        </w:rPr>
        <w:t>）。业绩取自广州市住建行业信用管理平台的，技术指标需在广州市住建行业信用管理平台内业绩上传件中反映；业绩不取自广州市住建行业信用管理平台的，技术指标需在业绩证明材料中反映。</w:t>
      </w:r>
    </w:p>
    <w:p w14:paraId="39DC5278">
      <w:pPr>
        <w:pStyle w:val="8"/>
        <w:rPr>
          <w:rFonts w:hint="eastAsia" w:ascii="宋体" w:hAnsi="宋体" w:cs="宋体"/>
          <w:color w:val="auto"/>
          <w:szCs w:val="21"/>
          <w:highlight w:val="none"/>
        </w:rPr>
      </w:pPr>
      <w:r>
        <w:rPr>
          <w:rFonts w:hint="eastAsia" w:ascii="宋体" w:hAnsi="宋体" w:cs="宋体"/>
          <w:color w:val="auto"/>
          <w:szCs w:val="21"/>
          <w:highlight w:val="none"/>
        </w:rPr>
        <w:t>（3）完成时间以竣工验收文件为准。验收文件至少具有建设单位、设计、施工和监理单位盖章。</w:t>
      </w:r>
    </w:p>
    <w:p w14:paraId="19EECD53">
      <w:pPr>
        <w:pStyle w:val="8"/>
        <w:rPr>
          <w:rFonts w:hint="eastAsia" w:ascii="宋体" w:hAnsi="宋体" w:cs="宋体"/>
          <w:color w:val="auto"/>
          <w:szCs w:val="21"/>
          <w:highlight w:val="none"/>
        </w:rPr>
      </w:pPr>
      <w:r>
        <w:rPr>
          <w:rFonts w:hint="eastAsia" w:ascii="宋体" w:hAnsi="宋体" w:cs="宋体"/>
          <w:color w:val="auto"/>
          <w:szCs w:val="21"/>
          <w:highlight w:val="none"/>
        </w:rPr>
        <w:t>（4）业绩取自广州市住建行业信用管理平台的，平台内业绩上传件不符合上述要求的或登记的工程资质内容与施工合同等业绩证明资料不相符的，该项业绩不予认定；业绩不取自广州市住建行业信用管理平台的，业绩证明材料不符合上述要求的或工程资质内容与施工合同等业绩证明资料不相符的，该项业绩不予认定。。</w:t>
      </w:r>
    </w:p>
    <w:p w14:paraId="03F617D6">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④项目负责人或项目技术负责人业绩的竣工验收文件须体现其为项目负责人或项目技术负责人及有该人员的姓名，若竣工验收文件无对应职位及该人员姓名的，则投标人需提供体现该人员以对应职位参与过该项目的其他经建设单位盖章确认的证明材料扫描件并加盖投标人电子印章。没有明确担任岗位或没有提供证明为项目负责人或担任岗位不清晰的均不得分。</w:t>
      </w:r>
    </w:p>
    <w:p w14:paraId="1BB5425E">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拟派人员必须是投标人自身人员（不含子母公司人员），上述人员不得相互兼任。投标人须提供人员相应注册证书、职称证书、毕业证书扫描件，时间以证书发证时间为准。工作经验年限以大学专科（或以上）毕业证的颁发日期开始计算至投标截止时间止。投标人应同时提供上述人员近一个月（2025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月）在投标人单位（不含投标人的子公司）参保的社保缴纳记录证明文件。不符合条件或无提交相关资料的不计分。</w:t>
      </w:r>
    </w:p>
    <w:p w14:paraId="7FB7F536">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（3）安全负责人：须提供注册安全工程师（建筑施工安全）注册证书及中华人民共和国应急管理部（https://zwfw.mem.gov.cn/zwthlw/pages/hlwmh/yyfw/zcaqgcscx/index.html）网页截图并加盖投标人电子印章。</w:t>
      </w:r>
    </w:p>
    <w:p w14:paraId="55DCB483">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造价负责人：取得造价工程师注册证书的年限以有效期内的注册造价工程师注册证上显示的初始注册日期计算。按照《造价工程师职业资格制度规定》的规定，根据原人事部、原建设部发布的《造价工程师执业资格制度暂行规定》（人发〔1996〕77号）取得的造价工程师执业资格，并经注册且在有限期内的，等同于一级注册造价工程师。投标人须提供注册造价工程师注册证书、一级造价工程师注册信息查询（https://cceamember.jianshe99.com/evalution/engineerSelect.do）网页截图并加盖投标人电子印章，执业状态栏显示“正常”的才计分，不提供或提供不完整不得分。有效期以一级造价工程师注册信息查询（https://cceamember.jianshe99.com/evalution/engineerSelect.do）网页截图为准。</w:t>
      </w:r>
    </w:p>
    <w:p w14:paraId="099F5B57">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6、不符合上述评审条件或未按上述要求提供资料的不得分，</w:t>
      </w:r>
      <w:r>
        <w:rPr>
          <w:rFonts w:hint="eastAsia" w:ascii="宋体" w:hAnsi="宋体" w:cs="宋体"/>
          <w:b/>
          <w:bCs/>
          <w:color w:val="auto"/>
          <w:szCs w:val="21"/>
          <w:highlight w:val="none"/>
          <w:u w:val="single"/>
        </w:rPr>
        <w:t>上述资料均需加盖投标人电子印章。</w:t>
      </w:r>
    </w:p>
    <w:p w14:paraId="2B58F3ED">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7、所有评委的分数算术平均值为投标人的最终得分。分数出现小数点，保留小数点后二位小数，第三位小数四舍五入。</w:t>
      </w:r>
    </w:p>
    <w:p w14:paraId="11742439">
      <w:pPr>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8、《施工项目管理团队人员信息表》</w:t>
      </w:r>
    </w:p>
    <w:p w14:paraId="1BAA45D3">
      <w:pPr>
        <w:rPr>
          <w:rFonts w:hint="eastAsia" w:ascii="宋体" w:hAnsi="宋体" w:cs="宋体"/>
          <w:b/>
          <w:color w:val="auto"/>
          <w:kern w:val="44"/>
          <w:sz w:val="28"/>
          <w:szCs w:val="28"/>
          <w:highlight w:val="none"/>
          <w:lang w:bidi="ar"/>
        </w:rPr>
      </w:pPr>
      <w:r>
        <w:rPr>
          <w:rFonts w:hint="eastAsia" w:ascii="宋体" w:hAnsi="宋体" w:cs="宋体"/>
          <w:b/>
          <w:color w:val="auto"/>
          <w:kern w:val="44"/>
          <w:sz w:val="28"/>
          <w:szCs w:val="28"/>
          <w:highlight w:val="none"/>
          <w:lang w:bidi="ar"/>
        </w:rPr>
        <w:br w:type="page"/>
      </w:r>
    </w:p>
    <w:p w14:paraId="4BC2F150">
      <w:pPr>
        <w:jc w:val="center"/>
        <w:rPr>
          <w:rFonts w:ascii="Arial" w:hAnsi="Arial"/>
          <w:b/>
          <w:color w:val="auto"/>
          <w:kern w:val="44"/>
          <w:sz w:val="28"/>
          <w:szCs w:val="28"/>
          <w:highlight w:val="none"/>
        </w:rPr>
      </w:pPr>
      <w:r>
        <w:rPr>
          <w:rFonts w:hint="eastAsia" w:ascii="宋体" w:hAnsi="宋体" w:cs="宋体"/>
          <w:b/>
          <w:color w:val="auto"/>
          <w:kern w:val="44"/>
          <w:sz w:val="28"/>
          <w:szCs w:val="28"/>
          <w:highlight w:val="none"/>
          <w:lang w:bidi="ar"/>
        </w:rPr>
        <w:t>施工项目管理团队人员信息表</w:t>
      </w:r>
    </w:p>
    <w:p w14:paraId="6A132F3B">
      <w:pPr>
        <w:rPr>
          <w:rFonts w:hint="eastAsia" w:ascii="宋体" w:hAnsi="宋体"/>
          <w:color w:val="auto"/>
          <w:szCs w:val="21"/>
          <w:highlight w:val="none"/>
        </w:rPr>
      </w:pPr>
    </w:p>
    <w:tbl>
      <w:tblPr>
        <w:tblStyle w:val="18"/>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130"/>
        <w:gridCol w:w="1021"/>
        <w:gridCol w:w="7212"/>
        <w:gridCol w:w="3573"/>
      </w:tblGrid>
      <w:tr w14:paraId="0838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42" w:type="pct"/>
            <w:vAlign w:val="center"/>
          </w:tcPr>
          <w:p w14:paraId="75BC4182">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727" w:type="pct"/>
            <w:vAlign w:val="center"/>
          </w:tcPr>
          <w:p w14:paraId="30190DF5">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岗位</w:t>
            </w:r>
          </w:p>
        </w:tc>
        <w:tc>
          <w:tcPr>
            <w:tcW w:w="348" w:type="pct"/>
            <w:vAlign w:val="center"/>
          </w:tcPr>
          <w:p w14:paraId="75D1970D">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人数要求</w:t>
            </w:r>
          </w:p>
        </w:tc>
        <w:tc>
          <w:tcPr>
            <w:tcW w:w="2462" w:type="pct"/>
            <w:vAlign w:val="center"/>
          </w:tcPr>
          <w:p w14:paraId="3A9E2B4E">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基本要求</w:t>
            </w:r>
          </w:p>
        </w:tc>
        <w:tc>
          <w:tcPr>
            <w:tcW w:w="1219" w:type="pct"/>
            <w:vAlign w:val="center"/>
          </w:tcPr>
          <w:p w14:paraId="4B65E7A5">
            <w:pPr>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提供资料</w:t>
            </w:r>
          </w:p>
        </w:tc>
      </w:tr>
      <w:tr w14:paraId="2128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6" w:type="dxa"/>
            <w:noWrap/>
            <w:vAlign w:val="center"/>
          </w:tcPr>
          <w:p w14:paraId="01F0B434">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1</w:t>
            </w:r>
          </w:p>
        </w:tc>
        <w:tc>
          <w:tcPr>
            <w:tcW w:w="727" w:type="pct"/>
            <w:noWrap/>
            <w:vAlign w:val="center"/>
          </w:tcPr>
          <w:p w14:paraId="3290CE87">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项目负责人</w:t>
            </w:r>
          </w:p>
        </w:tc>
        <w:tc>
          <w:tcPr>
            <w:tcW w:w="348" w:type="pct"/>
            <w:noWrap/>
            <w:vAlign w:val="center"/>
          </w:tcPr>
          <w:p w14:paraId="2359175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1人</w:t>
            </w:r>
          </w:p>
        </w:tc>
        <w:tc>
          <w:tcPr>
            <w:tcW w:w="2462" w:type="pct"/>
            <w:noWrap/>
            <w:vAlign w:val="center"/>
          </w:tcPr>
          <w:p w14:paraId="73343C0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按招标公告要求</w:t>
            </w:r>
          </w:p>
        </w:tc>
        <w:tc>
          <w:tcPr>
            <w:tcW w:w="1219" w:type="pct"/>
            <w:noWrap/>
            <w:vAlign w:val="center"/>
          </w:tcPr>
          <w:p w14:paraId="423B90D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按招标公告要求提供资料</w:t>
            </w:r>
          </w:p>
        </w:tc>
      </w:tr>
      <w:tr w14:paraId="0849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6" w:type="dxa"/>
            <w:noWrap/>
            <w:vAlign w:val="center"/>
          </w:tcPr>
          <w:p w14:paraId="38C840A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727" w:type="pct"/>
            <w:noWrap/>
            <w:vAlign w:val="center"/>
          </w:tcPr>
          <w:p w14:paraId="02FF7311">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技术负责人　</w:t>
            </w:r>
          </w:p>
        </w:tc>
        <w:tc>
          <w:tcPr>
            <w:tcW w:w="348" w:type="pct"/>
            <w:noWrap/>
            <w:vAlign w:val="center"/>
          </w:tcPr>
          <w:p w14:paraId="009C111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1人</w:t>
            </w:r>
          </w:p>
        </w:tc>
        <w:tc>
          <w:tcPr>
            <w:tcW w:w="2462" w:type="pct"/>
            <w:noWrap/>
            <w:vAlign w:val="center"/>
          </w:tcPr>
          <w:p w14:paraId="04F27E8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按招标公告要求</w:t>
            </w:r>
          </w:p>
        </w:tc>
        <w:tc>
          <w:tcPr>
            <w:tcW w:w="1219" w:type="pct"/>
            <w:noWrap/>
            <w:vAlign w:val="center"/>
          </w:tcPr>
          <w:p w14:paraId="2D9040DE">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按招标公告要求提供资料</w:t>
            </w:r>
          </w:p>
        </w:tc>
      </w:tr>
      <w:tr w14:paraId="0000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6" w:type="dxa"/>
            <w:noWrap/>
            <w:vAlign w:val="center"/>
          </w:tcPr>
          <w:p w14:paraId="4B9A930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727" w:type="pct"/>
            <w:noWrap/>
            <w:vAlign w:val="center"/>
          </w:tcPr>
          <w:p w14:paraId="3F27CFD9">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质量负责人</w:t>
            </w:r>
          </w:p>
        </w:tc>
        <w:tc>
          <w:tcPr>
            <w:tcW w:w="348" w:type="pct"/>
            <w:noWrap/>
            <w:vAlign w:val="center"/>
          </w:tcPr>
          <w:p w14:paraId="46224C3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1人</w:t>
            </w:r>
          </w:p>
        </w:tc>
        <w:tc>
          <w:tcPr>
            <w:tcW w:w="2462" w:type="pct"/>
            <w:noWrap/>
            <w:vAlign w:val="center"/>
          </w:tcPr>
          <w:p w14:paraId="2FB6E34D">
            <w:pPr>
              <w:widowControl/>
              <w:jc w:val="center"/>
              <w:rPr>
                <w:rFonts w:hint="eastAsia" w:ascii="宋体" w:hAnsi="宋体" w:cs="宋体"/>
                <w:color w:val="auto"/>
                <w:kern w:val="0"/>
                <w:szCs w:val="21"/>
                <w:highlight w:val="none"/>
              </w:rPr>
            </w:pPr>
            <w:r>
              <w:rPr>
                <w:rFonts w:hint="eastAsia" w:ascii="宋体" w:hAnsi="宋体" w:cs="宋体"/>
                <w:color w:val="auto"/>
                <w:szCs w:val="21"/>
                <w:highlight w:val="none"/>
              </w:rPr>
              <w:t>具有建筑工程类高级或以上技术职称且具有10年或以上施工管理工作经验</w:t>
            </w:r>
          </w:p>
        </w:tc>
        <w:tc>
          <w:tcPr>
            <w:tcW w:w="1219" w:type="pct"/>
            <w:vMerge w:val="restart"/>
            <w:noWrap/>
            <w:vAlign w:val="center"/>
          </w:tcPr>
          <w:p w14:paraId="6F4DE205">
            <w:pPr>
              <w:widowControl/>
              <w:jc w:val="center"/>
              <w:rPr>
                <w:rFonts w:hint="eastAsia" w:ascii="宋体" w:hAnsi="宋体" w:cs="宋体"/>
                <w:color w:val="auto"/>
                <w:kern w:val="0"/>
                <w:szCs w:val="21"/>
                <w:highlight w:val="none"/>
              </w:rPr>
            </w:pPr>
            <w:r>
              <w:rPr>
                <w:rFonts w:hint="eastAsia" w:ascii="宋体" w:hAnsi="宋体" w:cs="宋体"/>
                <w:color w:val="auto"/>
                <w:szCs w:val="21"/>
                <w:highlight w:val="none"/>
              </w:rPr>
              <w:t>投标人须提供人员相应注册证书、职称证书、毕业证书扫描件，时间以证书发证时间为准。工作经验年限以大学专科（或以上）毕业证的颁发日期开始计算至投标截止时间止。投标人应同时提供上述人员近一个月（2025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月）在投标人单位（不含投标人的子公司）参保的社保缴纳记录证明文件。</w:t>
            </w:r>
          </w:p>
        </w:tc>
      </w:tr>
      <w:tr w14:paraId="1BAAB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6" w:type="dxa"/>
            <w:noWrap/>
            <w:vAlign w:val="center"/>
          </w:tcPr>
          <w:p w14:paraId="1E1155E4">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727" w:type="pct"/>
            <w:noWrap/>
            <w:vAlign w:val="center"/>
          </w:tcPr>
          <w:p w14:paraId="7C2E8C58">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安全负责人</w:t>
            </w:r>
          </w:p>
        </w:tc>
        <w:tc>
          <w:tcPr>
            <w:tcW w:w="348" w:type="pct"/>
            <w:noWrap/>
            <w:vAlign w:val="center"/>
          </w:tcPr>
          <w:p w14:paraId="59E6506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1人</w:t>
            </w:r>
          </w:p>
        </w:tc>
        <w:tc>
          <w:tcPr>
            <w:tcW w:w="2462" w:type="pct"/>
            <w:noWrap/>
            <w:vAlign w:val="center"/>
          </w:tcPr>
          <w:p w14:paraId="1C8912F6">
            <w:pPr>
              <w:widowControl/>
              <w:jc w:val="center"/>
              <w:rPr>
                <w:rFonts w:hint="eastAsia" w:ascii="宋体" w:hAnsi="宋体" w:cs="宋体"/>
                <w:color w:val="auto"/>
                <w:kern w:val="0"/>
                <w:szCs w:val="21"/>
                <w:highlight w:val="none"/>
              </w:rPr>
            </w:pPr>
            <w:r>
              <w:rPr>
                <w:rFonts w:hint="eastAsia" w:ascii="宋体" w:hAnsi="宋体" w:cs="宋体"/>
                <w:color w:val="auto"/>
                <w:szCs w:val="21"/>
                <w:highlight w:val="none"/>
              </w:rPr>
              <w:t>具有建筑工程类（安全工程或安全管理）高级或以上技术职称和10年或以上施工管理工作经验</w:t>
            </w:r>
          </w:p>
        </w:tc>
        <w:tc>
          <w:tcPr>
            <w:tcW w:w="1219" w:type="pct"/>
            <w:vMerge w:val="continue"/>
            <w:noWrap/>
            <w:vAlign w:val="center"/>
          </w:tcPr>
          <w:p w14:paraId="2F5FFD53">
            <w:pPr>
              <w:widowControl/>
              <w:jc w:val="center"/>
              <w:rPr>
                <w:rFonts w:hint="eastAsia" w:ascii="宋体" w:hAnsi="宋体" w:cs="宋体"/>
                <w:color w:val="auto"/>
                <w:kern w:val="0"/>
                <w:szCs w:val="21"/>
                <w:highlight w:val="none"/>
              </w:rPr>
            </w:pPr>
          </w:p>
        </w:tc>
      </w:tr>
      <w:tr w14:paraId="37D7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6" w:type="dxa"/>
            <w:noWrap/>
            <w:vAlign w:val="center"/>
          </w:tcPr>
          <w:p w14:paraId="4B1B6CD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5</w:t>
            </w:r>
          </w:p>
        </w:tc>
        <w:tc>
          <w:tcPr>
            <w:tcW w:w="727" w:type="pct"/>
            <w:noWrap/>
            <w:vAlign w:val="center"/>
          </w:tcPr>
          <w:p w14:paraId="2D10FA23">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造价负责人　</w:t>
            </w:r>
          </w:p>
        </w:tc>
        <w:tc>
          <w:tcPr>
            <w:tcW w:w="348" w:type="pct"/>
            <w:noWrap/>
            <w:vAlign w:val="center"/>
          </w:tcPr>
          <w:p w14:paraId="30AA1E8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1人</w:t>
            </w:r>
          </w:p>
        </w:tc>
        <w:tc>
          <w:tcPr>
            <w:tcW w:w="2462" w:type="pct"/>
            <w:noWrap/>
            <w:vAlign w:val="center"/>
          </w:tcPr>
          <w:p w14:paraId="220D8245">
            <w:pPr>
              <w:widowControl/>
              <w:jc w:val="center"/>
              <w:rPr>
                <w:rFonts w:hint="eastAsia" w:ascii="宋体" w:hAnsi="宋体" w:cs="宋体"/>
                <w:color w:val="auto"/>
                <w:kern w:val="0"/>
                <w:szCs w:val="21"/>
                <w:highlight w:val="none"/>
              </w:rPr>
            </w:pPr>
            <w:r>
              <w:rPr>
                <w:rFonts w:hint="eastAsia" w:ascii="宋体" w:hAnsi="宋体" w:cs="宋体"/>
                <w:color w:val="auto"/>
                <w:szCs w:val="21"/>
                <w:highlight w:val="none"/>
              </w:rPr>
              <w:t>具有建筑工程类高级或以上技术职称和10年或以上造价管理工作经验</w:t>
            </w:r>
          </w:p>
        </w:tc>
        <w:tc>
          <w:tcPr>
            <w:tcW w:w="1219" w:type="pct"/>
            <w:vMerge w:val="continue"/>
            <w:noWrap/>
            <w:vAlign w:val="center"/>
          </w:tcPr>
          <w:p w14:paraId="007F3216">
            <w:pPr>
              <w:widowControl/>
              <w:jc w:val="center"/>
              <w:rPr>
                <w:rFonts w:hint="eastAsia" w:ascii="宋体" w:hAnsi="宋体" w:cs="宋体"/>
                <w:color w:val="auto"/>
                <w:kern w:val="0"/>
                <w:szCs w:val="21"/>
                <w:highlight w:val="none"/>
              </w:rPr>
            </w:pPr>
          </w:p>
        </w:tc>
      </w:tr>
      <w:tr w14:paraId="6A52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6" w:type="dxa"/>
            <w:noWrap/>
            <w:vAlign w:val="center"/>
          </w:tcPr>
          <w:p w14:paraId="4DE046F8">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727" w:type="pct"/>
            <w:noWrap/>
            <w:vAlign w:val="center"/>
          </w:tcPr>
          <w:p w14:paraId="4A4388F4">
            <w:pPr>
              <w:widowControl/>
              <w:jc w:val="left"/>
              <w:rPr>
                <w:rFonts w:hint="eastAsia" w:ascii="宋体" w:hAnsi="宋体" w:cs="宋体"/>
                <w:color w:val="auto"/>
                <w:kern w:val="0"/>
                <w:szCs w:val="21"/>
                <w:highlight w:val="none"/>
              </w:rPr>
            </w:pPr>
            <w:r>
              <w:rPr>
                <w:rFonts w:hint="eastAsia" w:ascii="宋体" w:hAnsi="宋体" w:cs="宋体"/>
                <w:b w:val="0"/>
                <w:bCs w:val="0"/>
                <w:color w:val="auto"/>
                <w:sz w:val="21"/>
                <w:szCs w:val="21"/>
                <w:highlight w:val="none"/>
              </w:rPr>
              <w:t>装修专业负责人</w:t>
            </w:r>
          </w:p>
        </w:tc>
        <w:tc>
          <w:tcPr>
            <w:tcW w:w="348" w:type="pct"/>
            <w:noWrap/>
            <w:vAlign w:val="center"/>
          </w:tcPr>
          <w:p w14:paraId="30F5D089">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1人</w:t>
            </w:r>
          </w:p>
        </w:tc>
        <w:tc>
          <w:tcPr>
            <w:tcW w:w="2462" w:type="pct"/>
            <w:noWrap/>
            <w:vAlign w:val="center"/>
          </w:tcPr>
          <w:p w14:paraId="62D393EC">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大学专科</w:t>
            </w:r>
            <w:r>
              <w:rPr>
                <w:rFonts w:hint="eastAsia" w:ascii="宋体" w:hAnsi="宋体" w:cs="宋体"/>
                <w:color w:val="auto"/>
                <w:szCs w:val="21"/>
                <w:highlight w:val="none"/>
                <w:lang w:val="en-US" w:eastAsia="zh-CN"/>
              </w:rPr>
              <w:t>学历</w:t>
            </w:r>
            <w:r>
              <w:rPr>
                <w:rFonts w:hint="eastAsia" w:ascii="宋体" w:hAnsi="宋体" w:cs="宋体"/>
                <w:color w:val="auto"/>
                <w:szCs w:val="21"/>
                <w:highlight w:val="none"/>
              </w:rPr>
              <w:t>（或以上）</w:t>
            </w:r>
          </w:p>
        </w:tc>
        <w:tc>
          <w:tcPr>
            <w:tcW w:w="1219" w:type="pct"/>
            <w:vMerge w:val="continue"/>
            <w:noWrap/>
            <w:vAlign w:val="center"/>
          </w:tcPr>
          <w:p w14:paraId="1C66CAA1">
            <w:pPr>
              <w:widowControl/>
              <w:jc w:val="center"/>
              <w:rPr>
                <w:rFonts w:hint="eastAsia" w:ascii="宋体" w:hAnsi="宋体" w:cs="宋体"/>
                <w:color w:val="auto"/>
                <w:kern w:val="0"/>
                <w:szCs w:val="21"/>
                <w:highlight w:val="none"/>
              </w:rPr>
            </w:pPr>
          </w:p>
        </w:tc>
      </w:tr>
      <w:tr w14:paraId="0A9F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6" w:type="dxa"/>
            <w:noWrap/>
            <w:vAlign w:val="center"/>
          </w:tcPr>
          <w:p w14:paraId="4993876C">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727" w:type="pct"/>
            <w:noWrap/>
            <w:vAlign w:val="center"/>
          </w:tcPr>
          <w:p w14:paraId="440E1C6D">
            <w:pPr>
              <w:widowControl/>
              <w:jc w:val="left"/>
              <w:rPr>
                <w:rFonts w:hint="eastAsia" w:ascii="宋体" w:hAnsi="宋体" w:cs="宋体"/>
                <w:color w:val="auto"/>
                <w:kern w:val="0"/>
                <w:szCs w:val="21"/>
                <w:highlight w:val="none"/>
              </w:rPr>
            </w:pPr>
            <w:r>
              <w:rPr>
                <w:rFonts w:hint="eastAsia" w:ascii="宋体" w:hAnsi="宋体" w:cs="宋体"/>
                <w:color w:val="auto"/>
                <w:szCs w:val="21"/>
                <w:highlight w:val="none"/>
                <w:lang w:val="en-US" w:eastAsia="zh-CN"/>
              </w:rPr>
              <w:t>给排水</w:t>
            </w:r>
            <w:r>
              <w:rPr>
                <w:rFonts w:hint="eastAsia" w:ascii="宋体" w:hAnsi="宋体" w:cs="宋体"/>
                <w:b w:val="0"/>
                <w:bCs w:val="0"/>
                <w:color w:val="auto"/>
                <w:sz w:val="21"/>
                <w:szCs w:val="21"/>
                <w:highlight w:val="none"/>
              </w:rPr>
              <w:t>专业负责人</w:t>
            </w:r>
          </w:p>
        </w:tc>
        <w:tc>
          <w:tcPr>
            <w:tcW w:w="348" w:type="pct"/>
            <w:noWrap/>
            <w:vAlign w:val="center"/>
          </w:tcPr>
          <w:p w14:paraId="2FCE114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1人</w:t>
            </w:r>
          </w:p>
        </w:tc>
        <w:tc>
          <w:tcPr>
            <w:tcW w:w="2462" w:type="pct"/>
            <w:noWrap/>
            <w:vAlign w:val="center"/>
          </w:tcPr>
          <w:p w14:paraId="1AFFA428">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大学专科</w:t>
            </w:r>
            <w:r>
              <w:rPr>
                <w:rFonts w:hint="eastAsia" w:ascii="宋体" w:hAnsi="宋体" w:cs="宋体"/>
                <w:color w:val="auto"/>
                <w:szCs w:val="21"/>
                <w:highlight w:val="none"/>
                <w:lang w:val="en-US" w:eastAsia="zh-CN"/>
              </w:rPr>
              <w:t>学历</w:t>
            </w:r>
            <w:r>
              <w:rPr>
                <w:rFonts w:hint="eastAsia" w:ascii="宋体" w:hAnsi="宋体" w:cs="宋体"/>
                <w:color w:val="auto"/>
                <w:szCs w:val="21"/>
                <w:highlight w:val="none"/>
              </w:rPr>
              <w:t>（或以上）</w:t>
            </w:r>
          </w:p>
        </w:tc>
        <w:tc>
          <w:tcPr>
            <w:tcW w:w="1219" w:type="pct"/>
            <w:vMerge w:val="continue"/>
            <w:noWrap/>
            <w:vAlign w:val="center"/>
          </w:tcPr>
          <w:p w14:paraId="7B9A7344">
            <w:pPr>
              <w:widowControl/>
              <w:jc w:val="center"/>
              <w:rPr>
                <w:rFonts w:hint="eastAsia" w:ascii="宋体" w:hAnsi="宋体" w:cs="宋体"/>
                <w:color w:val="auto"/>
                <w:kern w:val="0"/>
                <w:szCs w:val="21"/>
                <w:highlight w:val="none"/>
              </w:rPr>
            </w:pPr>
          </w:p>
        </w:tc>
      </w:tr>
      <w:tr w14:paraId="29B0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86" w:type="dxa"/>
            <w:noWrap/>
            <w:vAlign w:val="center"/>
          </w:tcPr>
          <w:p w14:paraId="2D779281">
            <w:pPr>
              <w:widowControl/>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727" w:type="pct"/>
            <w:noWrap/>
            <w:vAlign w:val="center"/>
          </w:tcPr>
          <w:p w14:paraId="2A18EAAA">
            <w:pPr>
              <w:widowControl/>
              <w:jc w:val="left"/>
              <w:rPr>
                <w:rFonts w:hint="eastAsia" w:ascii="宋体" w:hAnsi="宋体" w:cs="宋体"/>
                <w:color w:val="auto"/>
                <w:kern w:val="0"/>
                <w:szCs w:val="21"/>
                <w:highlight w:val="none"/>
              </w:rPr>
            </w:pPr>
            <w:r>
              <w:rPr>
                <w:rFonts w:hint="eastAsia" w:ascii="宋体" w:hAnsi="宋体" w:cs="宋体"/>
                <w:b w:val="0"/>
                <w:bCs w:val="0"/>
                <w:color w:val="auto"/>
                <w:sz w:val="21"/>
                <w:szCs w:val="21"/>
                <w:highlight w:val="none"/>
                <w:lang w:val="en-US" w:eastAsia="zh-CN"/>
              </w:rPr>
              <w:t>暖通</w:t>
            </w:r>
            <w:r>
              <w:rPr>
                <w:rFonts w:hint="eastAsia" w:ascii="宋体" w:hAnsi="宋体" w:cs="宋体"/>
                <w:b w:val="0"/>
                <w:bCs w:val="0"/>
                <w:color w:val="auto"/>
                <w:sz w:val="21"/>
                <w:szCs w:val="21"/>
                <w:highlight w:val="none"/>
              </w:rPr>
              <w:t>专业负责人</w:t>
            </w:r>
          </w:p>
        </w:tc>
        <w:tc>
          <w:tcPr>
            <w:tcW w:w="348" w:type="pct"/>
            <w:noWrap/>
            <w:vAlign w:val="center"/>
          </w:tcPr>
          <w:p w14:paraId="059B2DF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1人</w:t>
            </w:r>
          </w:p>
        </w:tc>
        <w:tc>
          <w:tcPr>
            <w:tcW w:w="2462" w:type="pct"/>
            <w:noWrap/>
            <w:vAlign w:val="center"/>
          </w:tcPr>
          <w:p w14:paraId="2B739DC8">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大学专科</w:t>
            </w:r>
            <w:r>
              <w:rPr>
                <w:rFonts w:hint="eastAsia" w:ascii="宋体" w:hAnsi="宋体" w:cs="宋体"/>
                <w:color w:val="auto"/>
                <w:szCs w:val="21"/>
                <w:highlight w:val="none"/>
                <w:lang w:val="en-US" w:eastAsia="zh-CN"/>
              </w:rPr>
              <w:t>学历</w:t>
            </w:r>
            <w:r>
              <w:rPr>
                <w:rFonts w:hint="eastAsia" w:ascii="宋体" w:hAnsi="宋体" w:cs="宋体"/>
                <w:color w:val="auto"/>
                <w:szCs w:val="21"/>
                <w:highlight w:val="none"/>
              </w:rPr>
              <w:t>（或以上）</w:t>
            </w:r>
          </w:p>
        </w:tc>
        <w:tc>
          <w:tcPr>
            <w:tcW w:w="1219" w:type="pct"/>
            <w:vMerge w:val="continue"/>
            <w:noWrap/>
            <w:vAlign w:val="center"/>
          </w:tcPr>
          <w:p w14:paraId="7C1E43BF">
            <w:pPr>
              <w:widowControl/>
              <w:jc w:val="center"/>
              <w:rPr>
                <w:rFonts w:hint="eastAsia" w:ascii="宋体" w:hAnsi="宋体" w:cs="宋体"/>
                <w:color w:val="auto"/>
                <w:kern w:val="0"/>
                <w:szCs w:val="21"/>
                <w:highlight w:val="none"/>
              </w:rPr>
            </w:pPr>
          </w:p>
        </w:tc>
      </w:tr>
    </w:tbl>
    <w:p w14:paraId="15A6A72C">
      <w:pPr>
        <w:rPr>
          <w:color w:val="auto"/>
          <w:highlight w:val="none"/>
        </w:rPr>
      </w:pPr>
    </w:p>
    <w:p w14:paraId="4D57D2AC">
      <w:pPr>
        <w:rPr>
          <w:color w:val="auto"/>
          <w:highlight w:val="none"/>
        </w:rPr>
      </w:pPr>
    </w:p>
    <w:p w14:paraId="0B438B52">
      <w:pPr>
        <w:rPr>
          <w:color w:val="auto"/>
          <w:sz w:val="24"/>
          <w:szCs w:val="24"/>
          <w:highlight w:val="none"/>
        </w:rPr>
      </w:pPr>
      <w:r>
        <w:rPr>
          <w:b/>
          <w:strike/>
          <w:color w:val="auto"/>
          <w:sz w:val="36"/>
          <w:szCs w:val="36"/>
          <w:highlight w:val="none"/>
        </w:rPr>
        <w:br w:type="page"/>
      </w:r>
      <w:r>
        <w:rPr>
          <w:rFonts w:hint="eastAsia"/>
          <w:color w:val="auto"/>
          <w:szCs w:val="21"/>
          <w:highlight w:val="none"/>
        </w:rPr>
        <w:t>附表五（适用于区间抽取法）</w:t>
      </w:r>
    </w:p>
    <w:p w14:paraId="76D78975">
      <w:pPr>
        <w:jc w:val="center"/>
        <w:rPr>
          <w:b/>
          <w:color w:val="auto"/>
          <w:sz w:val="36"/>
          <w:szCs w:val="36"/>
          <w:highlight w:val="none"/>
        </w:rPr>
      </w:pPr>
      <w:r>
        <w:rPr>
          <w:rFonts w:hint="eastAsia"/>
          <w:b/>
          <w:color w:val="auto"/>
          <w:sz w:val="36"/>
          <w:szCs w:val="36"/>
          <w:highlight w:val="none"/>
        </w:rPr>
        <w:t>经济标评分表</w:t>
      </w:r>
    </w:p>
    <w:p w14:paraId="1E45351A">
      <w:pPr>
        <w:rPr>
          <w:color w:val="auto"/>
          <w:szCs w:val="21"/>
          <w:highlight w:val="none"/>
        </w:rPr>
      </w:pPr>
      <w:r>
        <w:rPr>
          <w:rFonts w:hint="eastAsia"/>
          <w:color w:val="auto"/>
          <w:szCs w:val="21"/>
          <w:highlight w:val="none"/>
        </w:rPr>
        <w:t>工程名称：</w:t>
      </w:r>
    </w:p>
    <w:tbl>
      <w:tblPr>
        <w:tblStyle w:val="18"/>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14:paraId="421A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14:paraId="6A41183F">
            <w:pPr>
              <w:rPr>
                <w:rFonts w:hint="eastAsia" w:ascii="宋体" w:hAnsi="宋体"/>
                <w:color w:val="auto"/>
                <w:szCs w:val="21"/>
                <w:highlight w:val="none"/>
              </w:rPr>
            </w:pPr>
            <w:r>
              <w:rPr>
                <w:rFonts w:hint="eastAsia" w:ascii="宋体" w:hAnsi="宋体"/>
                <w:color w:val="auto"/>
                <w:szCs w:val="21"/>
                <w:highlight w:val="none"/>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14:paraId="01075B09">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3D6F72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9059D9B">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F3759F8">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7F08099">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9A92EC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B739A6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4F3FCDB">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EBC2372">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6DE4EA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45B27CD">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6EE7BDA1">
            <w:pPr>
              <w:rPr>
                <w:rFonts w:hint="eastAsia" w:ascii="宋体" w:hAnsi="宋体"/>
                <w:color w:val="auto"/>
                <w:szCs w:val="21"/>
                <w:highlight w:val="none"/>
              </w:rPr>
            </w:pPr>
          </w:p>
        </w:tc>
      </w:tr>
      <w:tr w14:paraId="156D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75853776">
            <w:pPr>
              <w:rPr>
                <w:rFonts w:hint="eastAsia" w:ascii="宋体" w:hAns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31" w:type="dxa"/>
            <w:tcBorders>
              <w:top w:val="single" w:color="auto" w:sz="4" w:space="0"/>
              <w:left w:val="single" w:color="auto" w:sz="4" w:space="0"/>
              <w:bottom w:val="single" w:color="auto" w:sz="4" w:space="0"/>
              <w:right w:val="single" w:color="auto" w:sz="4" w:space="0"/>
            </w:tcBorders>
            <w:vAlign w:val="center"/>
          </w:tcPr>
          <w:p w14:paraId="79525145">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AA2EADA">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849F81D">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8E33574">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3260667">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2F1A321">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2F1C8B2">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7D728D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6D80E8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7EE5FD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D7D46CA">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4133AE05">
            <w:pPr>
              <w:rPr>
                <w:rFonts w:hint="eastAsia" w:ascii="宋体" w:hAnsi="宋体"/>
                <w:color w:val="auto"/>
                <w:szCs w:val="21"/>
                <w:highlight w:val="none"/>
              </w:rPr>
            </w:pPr>
          </w:p>
        </w:tc>
      </w:tr>
      <w:tr w14:paraId="6E51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174BF663">
            <w:pPr>
              <w:rPr>
                <w:rFonts w:hint="eastAsia" w:ascii="宋体" w:hAnsi="宋体"/>
                <w:color w:val="auto"/>
                <w:szCs w:val="21"/>
                <w:highlight w:val="none"/>
              </w:rPr>
            </w:pPr>
            <w:r>
              <w:rPr>
                <w:rFonts w:hint="eastAsia" w:ascii="宋体" w:hAnsi="宋体"/>
                <w:color w:val="auto"/>
                <w:szCs w:val="21"/>
                <w:highlight w:val="none"/>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22DE2D6E">
            <w:pPr>
              <w:rPr>
                <w:rFonts w:hint="eastAsia" w:ascii="宋体" w:hAnsi="宋体"/>
                <w:color w:val="auto"/>
                <w:szCs w:val="21"/>
                <w:highlight w:val="none"/>
              </w:rPr>
            </w:pPr>
          </w:p>
        </w:tc>
      </w:tr>
      <w:tr w14:paraId="72CE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09006E63">
            <w:pPr>
              <w:rPr>
                <w:rFonts w:hint="eastAsia" w:ascii="宋体" w:hAnsi="宋体"/>
                <w:color w:val="auto"/>
                <w:szCs w:val="21"/>
                <w:highlight w:val="none"/>
              </w:rPr>
            </w:pPr>
            <w:r>
              <w:rPr>
                <w:rFonts w:hint="eastAsia" w:ascii="宋体" w:hAnsi="宋体"/>
                <w:color w:val="auto"/>
                <w:szCs w:val="21"/>
                <w:highlight w:val="none"/>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2BDD13C7">
            <w:pPr>
              <w:rPr>
                <w:rFonts w:hint="eastAsia" w:ascii="宋体" w:hAnsi="宋体"/>
                <w:color w:val="auto"/>
                <w:szCs w:val="21"/>
                <w:highlight w:val="none"/>
              </w:rPr>
            </w:pPr>
          </w:p>
        </w:tc>
      </w:tr>
      <w:tr w14:paraId="72E3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1C84DEA3">
            <w:pPr>
              <w:rPr>
                <w:rFonts w:hint="eastAsia" w:ascii="宋体" w:hAns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14:paraId="027AA50D">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3FEFF5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E7A7A38">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2BEED22">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39E934F">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2B25C55">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E152C5B">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05A2FB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C59A71E">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1AC806B">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2CA6227">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3EBB9412">
            <w:pPr>
              <w:rPr>
                <w:rFonts w:hint="eastAsia" w:ascii="宋体" w:hAnsi="宋体"/>
                <w:color w:val="auto"/>
                <w:szCs w:val="21"/>
                <w:highlight w:val="none"/>
              </w:rPr>
            </w:pPr>
          </w:p>
        </w:tc>
      </w:tr>
      <w:tr w14:paraId="42B4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3BE6C6B1">
            <w:pPr>
              <w:rPr>
                <w:rFonts w:hint="eastAsia" w:ascii="宋体" w:hAns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14:paraId="710771C9">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B47F7A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71F98C3">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12C9B1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082D3EA">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4619A8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722272A">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A3B63F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0485E24">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047A493">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46E06E6">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57E1C4CA">
            <w:pPr>
              <w:rPr>
                <w:rFonts w:hint="eastAsia" w:ascii="宋体" w:hAnsi="宋体"/>
                <w:color w:val="auto"/>
                <w:szCs w:val="21"/>
                <w:highlight w:val="none"/>
              </w:rPr>
            </w:pPr>
          </w:p>
        </w:tc>
      </w:tr>
      <w:tr w14:paraId="77CA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5F9D04C0">
            <w:pPr>
              <w:rPr>
                <w:rFonts w:hint="eastAsia" w:ascii="宋体" w:hAnsi="宋体"/>
                <w:color w:val="auto"/>
                <w:szCs w:val="21"/>
                <w:highlight w:val="none"/>
              </w:rPr>
            </w:pPr>
            <w:r>
              <w:rPr>
                <w:rFonts w:hint="eastAsia" w:ascii="宋体" w:hAnsi="宋体"/>
                <w:color w:val="auto"/>
                <w:szCs w:val="21"/>
                <w:highlight w:val="none"/>
              </w:rPr>
              <w:t>得分（</w:t>
            </w:r>
            <w:r>
              <w:rPr>
                <w:rFonts w:ascii="宋体" w:hAnsi="宋体"/>
                <w:color w:val="auto"/>
                <w:szCs w:val="21"/>
                <w:highlight w:val="none"/>
              </w:rPr>
              <w:t>I=100-A)</w:t>
            </w:r>
          </w:p>
        </w:tc>
        <w:tc>
          <w:tcPr>
            <w:tcW w:w="1031" w:type="dxa"/>
            <w:tcBorders>
              <w:top w:val="single" w:color="auto" w:sz="4" w:space="0"/>
              <w:left w:val="single" w:color="auto" w:sz="4" w:space="0"/>
              <w:bottom w:val="single" w:color="auto" w:sz="4" w:space="0"/>
              <w:right w:val="single" w:color="auto" w:sz="4" w:space="0"/>
            </w:tcBorders>
            <w:vAlign w:val="center"/>
          </w:tcPr>
          <w:p w14:paraId="1C1169D5">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892BC7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CF20D72">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B48A19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B257142">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C8F1BF4">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09F81EE">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C806935">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8C77B6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00C472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530FF02">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42C2096B">
            <w:pPr>
              <w:rPr>
                <w:rFonts w:hint="eastAsia" w:ascii="宋体" w:hAnsi="宋体"/>
                <w:color w:val="auto"/>
                <w:szCs w:val="21"/>
                <w:highlight w:val="none"/>
              </w:rPr>
            </w:pPr>
          </w:p>
        </w:tc>
      </w:tr>
      <w:tr w14:paraId="31D3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3EC5DDF0">
            <w:pPr>
              <w:rPr>
                <w:rFonts w:hint="eastAsia" w:ascii="宋体" w:hAnsi="宋体"/>
                <w:color w:val="auto"/>
                <w:szCs w:val="21"/>
                <w:highlight w:val="none"/>
              </w:rPr>
            </w:pPr>
            <w:r>
              <w:rPr>
                <w:rFonts w:hint="eastAsia" w:ascii="宋体" w:hAnsi="宋体"/>
                <w:color w:val="auto"/>
                <w:szCs w:val="21"/>
                <w:highlight w:val="none"/>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14:paraId="4BFA6BCB">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35C00E3">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F38A6D7">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11CFE5B">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67032B7">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820ACD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8909C7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8E76BE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53A1B49">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D8AC65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8B4FF9C">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0F8D98A6">
            <w:pPr>
              <w:rPr>
                <w:rFonts w:hint="eastAsia" w:ascii="宋体" w:hAnsi="宋体"/>
                <w:color w:val="auto"/>
                <w:szCs w:val="21"/>
                <w:highlight w:val="none"/>
              </w:rPr>
            </w:pPr>
          </w:p>
        </w:tc>
      </w:tr>
    </w:tbl>
    <w:p w14:paraId="139395A2">
      <w:pPr>
        <w:rPr>
          <w:color w:val="auto"/>
          <w:szCs w:val="21"/>
          <w:highlight w:val="none"/>
        </w:rPr>
      </w:pPr>
      <w:r>
        <w:rPr>
          <w:rFonts w:hint="eastAsia"/>
          <w:color w:val="auto"/>
          <w:szCs w:val="21"/>
          <w:highlight w:val="none"/>
        </w:rPr>
        <w:t>评委签名：</w:t>
      </w:r>
    </w:p>
    <w:p w14:paraId="33E38C68">
      <w:pPr>
        <w:rPr>
          <w:color w:val="auto"/>
          <w:szCs w:val="21"/>
          <w:highlight w:val="none"/>
        </w:rPr>
      </w:pPr>
    </w:p>
    <w:p w14:paraId="5097D7E7">
      <w:pPr>
        <w:rPr>
          <w:color w:val="auto"/>
          <w:szCs w:val="21"/>
          <w:highlight w:val="none"/>
        </w:rPr>
      </w:pPr>
    </w:p>
    <w:p w14:paraId="496D6F18">
      <w:pPr>
        <w:rPr>
          <w:color w:val="auto"/>
          <w:szCs w:val="21"/>
          <w:highlight w:val="none"/>
        </w:rPr>
      </w:pPr>
    </w:p>
    <w:p w14:paraId="2E90B6C0">
      <w:pPr>
        <w:rPr>
          <w:color w:val="auto"/>
          <w:szCs w:val="21"/>
          <w:highlight w:val="none"/>
        </w:rPr>
      </w:pPr>
    </w:p>
    <w:p w14:paraId="02217992">
      <w:pPr>
        <w:rPr>
          <w:b/>
          <w:color w:val="auto"/>
          <w:szCs w:val="21"/>
          <w:highlight w:val="none"/>
        </w:rPr>
      </w:pPr>
      <w:r>
        <w:rPr>
          <w:rFonts w:hint="eastAsia"/>
          <w:color w:val="auto"/>
          <w:szCs w:val="21"/>
          <w:highlight w:val="none"/>
        </w:rPr>
        <w:t>附表六</w:t>
      </w:r>
    </w:p>
    <w:p w14:paraId="5CE752D7">
      <w:pPr>
        <w:jc w:val="center"/>
        <w:rPr>
          <w:b/>
          <w:color w:val="auto"/>
          <w:sz w:val="36"/>
          <w:szCs w:val="36"/>
          <w:highlight w:val="none"/>
        </w:rPr>
      </w:pPr>
      <w:r>
        <w:rPr>
          <w:rFonts w:hint="eastAsia"/>
          <w:b/>
          <w:color w:val="auto"/>
          <w:sz w:val="36"/>
          <w:szCs w:val="36"/>
          <w:highlight w:val="none"/>
        </w:rPr>
        <w:t>算术复核表</w:t>
      </w:r>
    </w:p>
    <w:p w14:paraId="4030FDDA">
      <w:pPr>
        <w:rPr>
          <w:rFonts w:hint="eastAsia"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18"/>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278A72EF">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4D52208D">
            <w:pPr>
              <w:rPr>
                <w:rFonts w:hint="eastAsia"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6DAB7112">
            <w:pPr>
              <w:rPr>
                <w:rFonts w:hint="eastAsia"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53ADDCF2">
            <w:pPr>
              <w:rPr>
                <w:rFonts w:hint="eastAsia" w:ascii="宋体" w:hAnsi="宋体"/>
                <w:color w:val="auto"/>
                <w:kern w:val="0"/>
                <w:szCs w:val="21"/>
                <w:highlight w:val="none"/>
              </w:rPr>
            </w:pPr>
            <w:r>
              <w:rPr>
                <w:rFonts w:hint="eastAsia" w:ascii="宋体" w:hAnsi="宋体"/>
                <w:color w:val="auto"/>
                <w:kern w:val="0"/>
                <w:szCs w:val="21"/>
                <w:highlight w:val="none"/>
              </w:rPr>
              <w:t>修正前投标</w:t>
            </w:r>
          </w:p>
          <w:p w14:paraId="7BF662F0">
            <w:pPr>
              <w:rPr>
                <w:rFonts w:hint="eastAsia"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14:paraId="5F17A928">
            <w:pPr>
              <w:rPr>
                <w:rFonts w:hint="eastAsia" w:ascii="宋体" w:hAnsi="宋体"/>
                <w:color w:val="auto"/>
                <w:kern w:val="0"/>
                <w:szCs w:val="21"/>
                <w:highlight w:val="none"/>
              </w:rPr>
            </w:pPr>
            <w:r>
              <w:rPr>
                <w:rFonts w:hint="eastAsia" w:ascii="宋体" w:hAnsi="宋体"/>
                <w:color w:val="auto"/>
                <w:kern w:val="0"/>
                <w:szCs w:val="21"/>
                <w:highlight w:val="none"/>
              </w:rPr>
              <w:t>修正后投标</w:t>
            </w:r>
          </w:p>
          <w:p w14:paraId="5C0BE3C0">
            <w:pPr>
              <w:rPr>
                <w:rFonts w:hint="eastAsia"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14:paraId="59541E64">
            <w:pPr>
              <w:rPr>
                <w:rFonts w:hint="eastAsia" w:ascii="宋体" w:hAnsi="宋体"/>
                <w:color w:val="auto"/>
                <w:kern w:val="0"/>
                <w:szCs w:val="21"/>
                <w:highlight w:val="none"/>
              </w:rPr>
            </w:pPr>
            <w:r>
              <w:rPr>
                <w:rFonts w:hint="eastAsia" w:ascii="宋体" w:hAnsi="宋体"/>
                <w:color w:val="auto"/>
                <w:kern w:val="0"/>
                <w:szCs w:val="21"/>
                <w:highlight w:val="none"/>
              </w:rPr>
              <w:t>修正率</w:t>
            </w:r>
          </w:p>
          <w:p w14:paraId="1BABC31D">
            <w:pPr>
              <w:rPr>
                <w:rFonts w:hint="eastAsia" w:ascii="宋体" w:hAnsi="宋体"/>
                <w:color w:val="auto"/>
                <w:kern w:val="0"/>
                <w:szCs w:val="21"/>
                <w:highlight w:val="none"/>
              </w:rPr>
            </w:pP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088A91F5">
            <w:pPr>
              <w:rPr>
                <w:rFonts w:hint="eastAsia"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578D6E9E">
            <w:pPr>
              <w:rPr>
                <w:rFonts w:hint="eastAsia"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14:paraId="299CB7C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7D8D718">
            <w:pPr>
              <w:rPr>
                <w:rFonts w:hint="eastAsia"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2E6DF3EB">
            <w:pPr>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14:paraId="5EA9E1D5">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D3DD58C">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8EC7628">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D95B467">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50A1E8D">
            <w:pPr>
              <w:rPr>
                <w:rFonts w:hint="eastAsia" w:ascii="宋体" w:hAnsi="宋体"/>
                <w:color w:val="auto"/>
                <w:kern w:val="0"/>
                <w:szCs w:val="21"/>
                <w:highlight w:val="none"/>
              </w:rPr>
            </w:pPr>
          </w:p>
        </w:tc>
      </w:tr>
      <w:tr w14:paraId="57329C8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8C5B716">
            <w:pPr>
              <w:rPr>
                <w:rFonts w:hint="eastAsia"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214DAC6B">
            <w:pPr>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14:paraId="678CA16D">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CE4EAFC">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87778FD">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53810161">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DE3BD40">
            <w:pPr>
              <w:rPr>
                <w:rFonts w:hint="eastAsia" w:ascii="宋体" w:hAnsi="宋体"/>
                <w:color w:val="auto"/>
                <w:kern w:val="0"/>
                <w:szCs w:val="21"/>
                <w:highlight w:val="none"/>
              </w:rPr>
            </w:pPr>
          </w:p>
        </w:tc>
      </w:tr>
      <w:tr w14:paraId="00EB835E">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D55AB8A">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7BBEB95D">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59468D9F">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5B399EB">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29B4C39">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31339689">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A58F776">
            <w:pPr>
              <w:rPr>
                <w:rFonts w:hint="eastAsia" w:ascii="宋体" w:hAnsi="宋体"/>
                <w:color w:val="auto"/>
                <w:kern w:val="0"/>
                <w:szCs w:val="21"/>
                <w:highlight w:val="none"/>
              </w:rPr>
            </w:pPr>
          </w:p>
        </w:tc>
      </w:tr>
      <w:tr w14:paraId="16531D2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D88C884">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173265FD">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75557E6D">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6309DD7">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8B55FBA">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5F3D2C44">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50854CAB">
            <w:pPr>
              <w:rPr>
                <w:rFonts w:hint="eastAsia" w:ascii="宋体" w:hAnsi="宋体"/>
                <w:color w:val="auto"/>
                <w:kern w:val="0"/>
                <w:szCs w:val="21"/>
                <w:highlight w:val="none"/>
              </w:rPr>
            </w:pPr>
          </w:p>
        </w:tc>
      </w:tr>
      <w:tr w14:paraId="34C928E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01F56AD">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342B87E8">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15C56C52">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2CA333F">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BA54607">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6D295800">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595BEDB1">
            <w:pPr>
              <w:rPr>
                <w:rFonts w:hint="eastAsia" w:ascii="宋体" w:hAnsi="宋体"/>
                <w:color w:val="auto"/>
                <w:kern w:val="0"/>
                <w:szCs w:val="21"/>
                <w:highlight w:val="none"/>
              </w:rPr>
            </w:pPr>
          </w:p>
        </w:tc>
      </w:tr>
      <w:tr w14:paraId="1730E3A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347A237">
            <w:pPr>
              <w:rPr>
                <w:rFonts w:hint="eastAsia"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6D10D51B">
            <w:pPr>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14:paraId="052AF205">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4BEC433">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681F148">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3CCCD7D5">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4CD81C2">
            <w:pPr>
              <w:rPr>
                <w:rFonts w:hint="eastAsia" w:ascii="宋体" w:hAnsi="宋体"/>
                <w:color w:val="auto"/>
                <w:kern w:val="0"/>
                <w:szCs w:val="21"/>
                <w:highlight w:val="none"/>
              </w:rPr>
            </w:pPr>
          </w:p>
        </w:tc>
      </w:tr>
      <w:tr w14:paraId="79E6B56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796B3E8">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20B25210">
            <w:pPr>
              <w:rPr>
                <w:rFonts w:hint="eastAsia"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2F84B54D">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A8B329A">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51BDC146">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5DA8FA9D">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2B5B71FA">
            <w:pPr>
              <w:rPr>
                <w:rFonts w:hint="eastAsia"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14:paraId="262480B7">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14:paraId="2D80A851">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14:paraId="24C755B9">
      <w:pPr>
        <w:rPr>
          <w:color w:val="auto"/>
          <w:highlight w:val="none"/>
        </w:rPr>
      </w:pPr>
    </w:p>
    <w:p w14:paraId="62274D6A">
      <w:pPr>
        <w:rPr>
          <w:color w:val="auto"/>
          <w:highlight w:val="none"/>
        </w:rPr>
      </w:pPr>
      <w:r>
        <w:rPr>
          <w:color w:val="auto"/>
          <w:highlight w:val="none"/>
        </w:rPr>
        <w:br w:type="page"/>
      </w:r>
    </w:p>
    <w:p w14:paraId="23554234">
      <w:pPr>
        <w:jc w:val="center"/>
        <w:rPr>
          <w:b/>
          <w:color w:val="auto"/>
          <w:sz w:val="36"/>
          <w:szCs w:val="36"/>
          <w:highlight w:val="none"/>
        </w:rPr>
      </w:pPr>
      <w:r>
        <w:rPr>
          <w:rFonts w:hint="eastAsia"/>
          <w:b/>
          <w:color w:val="auto"/>
          <w:sz w:val="36"/>
          <w:szCs w:val="36"/>
          <w:highlight w:val="none"/>
        </w:rPr>
        <w:t>算术复核表</w:t>
      </w:r>
    </w:p>
    <w:p w14:paraId="3CB3ACB1">
      <w:pPr>
        <w:rPr>
          <w:color w:val="auto"/>
          <w:szCs w:val="21"/>
          <w:highlight w:val="none"/>
        </w:rPr>
      </w:pPr>
      <w:r>
        <w:rPr>
          <w:rFonts w:hint="eastAsia"/>
          <w:color w:val="auto"/>
          <w:szCs w:val="21"/>
          <w:highlight w:val="none"/>
        </w:rPr>
        <w:t>工程名称：</w:t>
      </w:r>
    </w:p>
    <w:tbl>
      <w:tblPr>
        <w:tblStyle w:val="1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6E5D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634F4EB">
            <w:pPr>
              <w:rPr>
                <w:b/>
                <w:color w:val="auto"/>
                <w:sz w:val="28"/>
                <w:szCs w:val="28"/>
                <w:highlight w:val="none"/>
              </w:rPr>
            </w:pPr>
            <w:r>
              <w:rPr>
                <w:rFonts w:hint="eastAsia"/>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14:paraId="09842335">
            <w:pPr>
              <w:rPr>
                <w:b/>
                <w:color w:val="auto"/>
                <w:sz w:val="28"/>
                <w:szCs w:val="28"/>
                <w:highlight w:val="none"/>
              </w:rPr>
            </w:pPr>
            <w:r>
              <w:rPr>
                <w:rFonts w:hint="eastAsia"/>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14:paraId="72A087D7">
            <w:pPr>
              <w:rPr>
                <w:b/>
                <w:color w:val="auto"/>
                <w:sz w:val="28"/>
                <w:szCs w:val="28"/>
                <w:highlight w:val="none"/>
              </w:rPr>
            </w:pPr>
            <w:r>
              <w:rPr>
                <w:rFonts w:hint="eastAsia"/>
                <w:b/>
                <w:color w:val="auto"/>
                <w:sz w:val="28"/>
                <w:szCs w:val="28"/>
                <w:highlight w:val="none"/>
              </w:rPr>
              <w:t>原投标报价（</w:t>
            </w:r>
            <w:r>
              <w:rPr>
                <w:b/>
                <w:color w:val="auto"/>
                <w:sz w:val="28"/>
                <w:szCs w:val="28"/>
                <w:highlight w:val="none"/>
              </w:rPr>
              <w:t>A</w:t>
            </w:r>
            <w:r>
              <w:rPr>
                <w:rFonts w:hint="eastAsia"/>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tcPr>
          <w:p w14:paraId="722668A7">
            <w:pPr>
              <w:rPr>
                <w:b/>
                <w:color w:val="auto"/>
                <w:sz w:val="28"/>
                <w:szCs w:val="28"/>
                <w:highlight w:val="none"/>
              </w:rPr>
            </w:pPr>
            <w:r>
              <w:rPr>
                <w:rFonts w:hint="eastAsia"/>
                <w:b/>
                <w:color w:val="auto"/>
                <w:sz w:val="28"/>
                <w:szCs w:val="28"/>
                <w:highlight w:val="none"/>
              </w:rPr>
              <w:t>算数复核后投标报价（</w:t>
            </w:r>
            <w:r>
              <w:rPr>
                <w:b/>
                <w:color w:val="auto"/>
                <w:sz w:val="28"/>
                <w:szCs w:val="28"/>
                <w:highlight w:val="none"/>
              </w:rPr>
              <w:t>B</w:t>
            </w:r>
            <w:r>
              <w:rPr>
                <w:rFonts w:hint="eastAsia"/>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tcPr>
          <w:p w14:paraId="509EC140">
            <w:pPr>
              <w:rPr>
                <w:b/>
                <w:color w:val="auto"/>
                <w:sz w:val="28"/>
                <w:szCs w:val="28"/>
                <w:highlight w:val="none"/>
              </w:rPr>
            </w:pPr>
            <w:r>
              <w:rPr>
                <w:rFonts w:hint="eastAsia"/>
                <w:b/>
                <w:color w:val="auto"/>
                <w:sz w:val="28"/>
                <w:szCs w:val="28"/>
                <w:highlight w:val="none"/>
              </w:rPr>
              <w:t>误差率（</w:t>
            </w:r>
            <w:r>
              <w:rPr>
                <w:b/>
                <w:color w:val="auto"/>
                <w:sz w:val="28"/>
                <w:szCs w:val="28"/>
                <w:highlight w:val="none"/>
              </w:rPr>
              <w:t>r=|A-B|/A*100%</w:t>
            </w:r>
            <w:r>
              <w:rPr>
                <w:rFonts w:hint="eastAsia"/>
                <w:b/>
                <w:color w:val="auto"/>
                <w:sz w:val="28"/>
                <w:szCs w:val="28"/>
                <w:highlight w:val="none"/>
              </w:rPr>
              <w:t>）</w:t>
            </w:r>
          </w:p>
        </w:tc>
      </w:tr>
      <w:tr w14:paraId="3BF7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75AC8B5">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1BCE3E00">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DB49CAD">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F9E7B80">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6F04AB29">
            <w:pPr>
              <w:rPr>
                <w:color w:val="auto"/>
                <w:sz w:val="36"/>
                <w:szCs w:val="36"/>
                <w:highlight w:val="none"/>
              </w:rPr>
            </w:pPr>
          </w:p>
        </w:tc>
      </w:tr>
      <w:tr w14:paraId="700F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4755DB4">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629F4CC6">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36FF8940">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0F029347">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29601484">
            <w:pPr>
              <w:rPr>
                <w:color w:val="auto"/>
                <w:sz w:val="36"/>
                <w:szCs w:val="36"/>
                <w:highlight w:val="none"/>
              </w:rPr>
            </w:pPr>
          </w:p>
        </w:tc>
      </w:tr>
      <w:tr w14:paraId="675E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A9EBA35">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22DE1183">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5622C6B4">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3931B8E5">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40458DB9">
            <w:pPr>
              <w:rPr>
                <w:color w:val="auto"/>
                <w:sz w:val="36"/>
                <w:szCs w:val="36"/>
                <w:highlight w:val="none"/>
              </w:rPr>
            </w:pPr>
          </w:p>
        </w:tc>
      </w:tr>
      <w:tr w14:paraId="6411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BD84A02">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042F1086">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CB8B92A">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043ED982">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1B6B111F">
            <w:pPr>
              <w:rPr>
                <w:color w:val="auto"/>
                <w:sz w:val="36"/>
                <w:szCs w:val="36"/>
                <w:highlight w:val="none"/>
              </w:rPr>
            </w:pPr>
          </w:p>
        </w:tc>
      </w:tr>
      <w:tr w14:paraId="78E8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B1FCC7E">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0D95625B">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3F809D1C">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203916E1">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351CD2B8">
            <w:pPr>
              <w:rPr>
                <w:color w:val="auto"/>
                <w:sz w:val="36"/>
                <w:szCs w:val="36"/>
                <w:highlight w:val="none"/>
              </w:rPr>
            </w:pPr>
          </w:p>
        </w:tc>
      </w:tr>
      <w:tr w14:paraId="3689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7F23505">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223F0D80">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4E651779">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360E12F7">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25837650">
            <w:pPr>
              <w:rPr>
                <w:color w:val="auto"/>
                <w:sz w:val="36"/>
                <w:szCs w:val="36"/>
                <w:highlight w:val="none"/>
              </w:rPr>
            </w:pPr>
          </w:p>
        </w:tc>
      </w:tr>
      <w:tr w14:paraId="7984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B1A353C">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2D3D05B3">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5DD87A7">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4EA51F39">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423319B">
            <w:pPr>
              <w:rPr>
                <w:color w:val="auto"/>
                <w:sz w:val="36"/>
                <w:szCs w:val="36"/>
                <w:highlight w:val="none"/>
              </w:rPr>
            </w:pPr>
          </w:p>
        </w:tc>
      </w:tr>
      <w:tr w14:paraId="1C09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C2A57F8">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20C721B6">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37452592">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7D79669F">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7CBCD62">
            <w:pPr>
              <w:rPr>
                <w:color w:val="auto"/>
                <w:sz w:val="36"/>
                <w:szCs w:val="36"/>
                <w:highlight w:val="none"/>
              </w:rPr>
            </w:pPr>
          </w:p>
        </w:tc>
      </w:tr>
    </w:tbl>
    <w:p w14:paraId="65A350EF">
      <w:pPr>
        <w:rPr>
          <w:color w:val="auto"/>
          <w:szCs w:val="21"/>
          <w:highlight w:val="none"/>
        </w:rPr>
      </w:pPr>
      <w:r>
        <w:rPr>
          <w:rFonts w:hint="eastAsia"/>
          <w:color w:val="auto"/>
          <w:szCs w:val="21"/>
          <w:highlight w:val="none"/>
        </w:rPr>
        <w:t>评委签名：</w:t>
      </w:r>
    </w:p>
    <w:p w14:paraId="566BCBB1">
      <w:pPr>
        <w:spacing w:line="360" w:lineRule="auto"/>
        <w:jc w:val="center"/>
        <w:rPr>
          <w:rFonts w:hint="eastAsia" w:ascii="仿宋_GB2312" w:hAnsi="宋体" w:eastAsia="仿宋_GB2312"/>
          <w:color w:val="auto"/>
          <w:szCs w:val="21"/>
          <w:highlight w:val="none"/>
        </w:rPr>
        <w:sectPr>
          <w:headerReference r:id="rId11" w:type="first"/>
          <w:footerReference r:id="rId14" w:type="first"/>
          <w:headerReference r:id="rId9" w:type="default"/>
          <w:footerReference r:id="rId12" w:type="default"/>
          <w:headerReference r:id="rId10" w:type="even"/>
          <w:footerReference r:id="rId13" w:type="even"/>
          <w:endnotePr>
            <w:numFmt w:val="decimal"/>
          </w:endnotePr>
          <w:pgSz w:w="16838" w:h="11906" w:orient="landscape"/>
          <w:pgMar w:top="1418" w:right="1247" w:bottom="1418" w:left="1134" w:header="851" w:footer="907" w:gutter="0"/>
          <w:cols w:space="425" w:num="1"/>
          <w:titlePg/>
          <w:docGrid w:type="lines" w:linePitch="312" w:charSpace="0"/>
        </w:sectPr>
      </w:pPr>
    </w:p>
    <w:p w14:paraId="72EE2956">
      <w:pPr>
        <w:pStyle w:val="2"/>
        <w:rPr>
          <w:color w:val="auto"/>
          <w:highlight w:val="none"/>
        </w:rPr>
      </w:pPr>
      <w:bookmarkStart w:id="43" w:name="_Toc2272566"/>
      <w:bookmarkStart w:id="44" w:name="_Toc21525511"/>
      <w:r>
        <w:rPr>
          <w:rFonts w:hint="eastAsia"/>
          <w:color w:val="auto"/>
          <w:highlight w:val="none"/>
        </w:rPr>
        <w:t>第三章</w:t>
      </w:r>
      <w:r>
        <w:rPr>
          <w:color w:val="auto"/>
          <w:highlight w:val="none"/>
        </w:rPr>
        <w:t xml:space="preserve">  </w:t>
      </w:r>
      <w:r>
        <w:rPr>
          <w:rFonts w:hint="eastAsia"/>
          <w:color w:val="auto"/>
          <w:highlight w:val="none"/>
        </w:rPr>
        <w:t>合同条款</w:t>
      </w:r>
      <w:bookmarkEnd w:id="43"/>
      <w:bookmarkEnd w:id="44"/>
    </w:p>
    <w:p w14:paraId="52D65ABF">
      <w:pPr>
        <w:rPr>
          <w:rFonts w:ascii="宋体"/>
          <w:b/>
          <w:color w:val="auto"/>
          <w:sz w:val="24"/>
          <w:szCs w:val="24"/>
          <w:highlight w:val="none"/>
        </w:rPr>
      </w:pPr>
      <w:r>
        <w:rPr>
          <w:rFonts w:hint="eastAsia"/>
          <w:color w:val="auto"/>
          <w:sz w:val="24"/>
          <w:szCs w:val="24"/>
          <w:highlight w:val="none"/>
        </w:rPr>
        <w:t>注：</w:t>
      </w:r>
      <w:r>
        <w:rPr>
          <w:rFonts w:hint="eastAsia" w:ascii="宋体" w:hAnsi="宋体"/>
          <w:color w:val="auto"/>
          <w:sz w:val="24"/>
          <w:szCs w:val="24"/>
          <w:highlight w:val="none"/>
        </w:rPr>
        <w:t>按《建设项目工程总承包合同示范文本（试行）》（</w:t>
      </w:r>
      <w:r>
        <w:rPr>
          <w:rFonts w:ascii="宋体" w:hAnsi="宋体"/>
          <w:color w:val="auto"/>
          <w:sz w:val="24"/>
          <w:szCs w:val="24"/>
          <w:highlight w:val="none"/>
        </w:rPr>
        <w:t>GF-2011-0216</w:t>
      </w:r>
      <w:r>
        <w:rPr>
          <w:rFonts w:hint="eastAsia" w:ascii="宋体" w:hAnsi="宋体"/>
          <w:color w:val="auto"/>
          <w:sz w:val="24"/>
          <w:szCs w:val="24"/>
          <w:highlight w:val="none"/>
        </w:rPr>
        <w:t>）执行，另册。</w:t>
      </w:r>
    </w:p>
    <w:p w14:paraId="51F50277">
      <w:pPr>
        <w:rPr>
          <w:color w:val="auto"/>
          <w:sz w:val="24"/>
          <w:szCs w:val="24"/>
          <w:highlight w:val="none"/>
        </w:rPr>
      </w:pPr>
    </w:p>
    <w:p w14:paraId="4B1864EB">
      <w:pPr>
        <w:pStyle w:val="4"/>
        <w:spacing w:line="360" w:lineRule="auto"/>
        <w:rPr>
          <w:color w:val="auto"/>
          <w:sz w:val="24"/>
          <w:szCs w:val="24"/>
          <w:highlight w:val="none"/>
        </w:rPr>
      </w:pPr>
    </w:p>
    <w:p w14:paraId="73DE8557">
      <w:pPr>
        <w:pStyle w:val="4"/>
        <w:spacing w:line="360" w:lineRule="auto"/>
        <w:rPr>
          <w:color w:val="auto"/>
          <w:sz w:val="24"/>
          <w:szCs w:val="24"/>
          <w:highlight w:val="none"/>
        </w:rPr>
      </w:pPr>
    </w:p>
    <w:p w14:paraId="2985848A">
      <w:pPr>
        <w:pStyle w:val="4"/>
        <w:spacing w:line="360" w:lineRule="auto"/>
        <w:rPr>
          <w:color w:val="auto"/>
          <w:sz w:val="24"/>
          <w:szCs w:val="24"/>
          <w:highlight w:val="none"/>
        </w:rPr>
      </w:pPr>
    </w:p>
    <w:p w14:paraId="29266B2E">
      <w:pPr>
        <w:pStyle w:val="4"/>
        <w:spacing w:line="360" w:lineRule="auto"/>
        <w:rPr>
          <w:color w:val="auto"/>
          <w:sz w:val="24"/>
          <w:szCs w:val="24"/>
          <w:highlight w:val="none"/>
        </w:rPr>
      </w:pPr>
    </w:p>
    <w:p w14:paraId="5056D9A6">
      <w:pPr>
        <w:pStyle w:val="4"/>
        <w:spacing w:line="360" w:lineRule="auto"/>
        <w:rPr>
          <w:color w:val="auto"/>
          <w:sz w:val="24"/>
          <w:szCs w:val="24"/>
          <w:highlight w:val="none"/>
        </w:rPr>
      </w:pPr>
    </w:p>
    <w:p w14:paraId="07EA8595">
      <w:pPr>
        <w:pStyle w:val="4"/>
        <w:spacing w:line="360" w:lineRule="auto"/>
        <w:rPr>
          <w:color w:val="auto"/>
          <w:sz w:val="24"/>
          <w:szCs w:val="24"/>
          <w:highlight w:val="none"/>
        </w:rPr>
      </w:pPr>
    </w:p>
    <w:p w14:paraId="0E2B3FB0">
      <w:pPr>
        <w:pStyle w:val="4"/>
        <w:spacing w:line="360" w:lineRule="auto"/>
        <w:rPr>
          <w:color w:val="auto"/>
          <w:sz w:val="24"/>
          <w:szCs w:val="24"/>
          <w:highlight w:val="none"/>
        </w:rPr>
      </w:pPr>
    </w:p>
    <w:p w14:paraId="5F25B13D">
      <w:pPr>
        <w:pStyle w:val="4"/>
        <w:spacing w:line="360" w:lineRule="auto"/>
        <w:rPr>
          <w:color w:val="auto"/>
          <w:sz w:val="24"/>
          <w:szCs w:val="24"/>
          <w:highlight w:val="none"/>
        </w:rPr>
      </w:pPr>
    </w:p>
    <w:p w14:paraId="4A94EE3B">
      <w:pPr>
        <w:pStyle w:val="4"/>
        <w:spacing w:line="360" w:lineRule="auto"/>
        <w:rPr>
          <w:color w:val="auto"/>
          <w:sz w:val="24"/>
          <w:szCs w:val="24"/>
          <w:highlight w:val="none"/>
        </w:rPr>
      </w:pPr>
    </w:p>
    <w:p w14:paraId="5CDF4FD9">
      <w:pPr>
        <w:pStyle w:val="4"/>
        <w:spacing w:line="360" w:lineRule="auto"/>
        <w:rPr>
          <w:color w:val="auto"/>
          <w:sz w:val="24"/>
          <w:szCs w:val="24"/>
          <w:highlight w:val="none"/>
        </w:rPr>
      </w:pPr>
    </w:p>
    <w:p w14:paraId="65C3B2FD">
      <w:pPr>
        <w:pStyle w:val="4"/>
        <w:spacing w:line="360" w:lineRule="auto"/>
        <w:rPr>
          <w:color w:val="auto"/>
          <w:sz w:val="24"/>
          <w:szCs w:val="24"/>
          <w:highlight w:val="none"/>
        </w:rPr>
      </w:pPr>
    </w:p>
    <w:p w14:paraId="120B3D40">
      <w:pPr>
        <w:pStyle w:val="4"/>
        <w:spacing w:line="360" w:lineRule="auto"/>
        <w:rPr>
          <w:color w:val="auto"/>
          <w:sz w:val="24"/>
          <w:szCs w:val="24"/>
          <w:highlight w:val="none"/>
        </w:rPr>
      </w:pPr>
    </w:p>
    <w:p w14:paraId="3AE1E1FE">
      <w:pPr>
        <w:pStyle w:val="4"/>
        <w:spacing w:line="360" w:lineRule="auto"/>
        <w:rPr>
          <w:color w:val="auto"/>
          <w:sz w:val="24"/>
          <w:szCs w:val="24"/>
          <w:highlight w:val="none"/>
        </w:rPr>
      </w:pPr>
    </w:p>
    <w:p w14:paraId="2C3F0276">
      <w:pPr>
        <w:pStyle w:val="4"/>
        <w:spacing w:line="360" w:lineRule="auto"/>
        <w:rPr>
          <w:color w:val="auto"/>
          <w:sz w:val="24"/>
          <w:szCs w:val="24"/>
          <w:highlight w:val="none"/>
        </w:rPr>
      </w:pPr>
    </w:p>
    <w:p w14:paraId="38B52318">
      <w:pPr>
        <w:pStyle w:val="4"/>
        <w:spacing w:line="360" w:lineRule="auto"/>
        <w:rPr>
          <w:color w:val="auto"/>
          <w:sz w:val="24"/>
          <w:szCs w:val="24"/>
          <w:highlight w:val="none"/>
        </w:rPr>
      </w:pPr>
    </w:p>
    <w:p w14:paraId="4D3EF22F">
      <w:pPr>
        <w:pStyle w:val="4"/>
        <w:spacing w:line="360" w:lineRule="auto"/>
        <w:rPr>
          <w:color w:val="auto"/>
          <w:sz w:val="24"/>
          <w:szCs w:val="24"/>
          <w:highlight w:val="none"/>
        </w:rPr>
      </w:pPr>
    </w:p>
    <w:p w14:paraId="7CD6D666">
      <w:pPr>
        <w:pStyle w:val="4"/>
        <w:spacing w:line="360" w:lineRule="auto"/>
        <w:rPr>
          <w:color w:val="auto"/>
          <w:sz w:val="24"/>
          <w:szCs w:val="24"/>
          <w:highlight w:val="none"/>
        </w:rPr>
      </w:pPr>
    </w:p>
    <w:p w14:paraId="6A52AF17">
      <w:pPr>
        <w:pStyle w:val="4"/>
        <w:spacing w:line="360" w:lineRule="auto"/>
        <w:rPr>
          <w:color w:val="auto"/>
          <w:sz w:val="24"/>
          <w:szCs w:val="24"/>
          <w:highlight w:val="none"/>
        </w:rPr>
      </w:pPr>
    </w:p>
    <w:p w14:paraId="550BCF17">
      <w:pPr>
        <w:pStyle w:val="11"/>
        <w:spacing w:line="360" w:lineRule="auto"/>
        <w:rPr>
          <w:color w:val="auto"/>
          <w:sz w:val="24"/>
          <w:szCs w:val="24"/>
          <w:highlight w:val="none"/>
        </w:rPr>
      </w:pPr>
    </w:p>
    <w:p w14:paraId="361E2997">
      <w:pPr>
        <w:pStyle w:val="11"/>
        <w:spacing w:line="360" w:lineRule="auto"/>
        <w:rPr>
          <w:color w:val="auto"/>
          <w:sz w:val="24"/>
          <w:szCs w:val="24"/>
          <w:highlight w:val="none"/>
        </w:rPr>
      </w:pPr>
      <w:r>
        <w:rPr>
          <w:color w:val="auto"/>
          <w:sz w:val="24"/>
          <w:szCs w:val="24"/>
          <w:highlight w:val="none"/>
        </w:rPr>
        <w:br w:type="page"/>
      </w:r>
    </w:p>
    <w:p w14:paraId="643EAD63">
      <w:pPr>
        <w:pStyle w:val="2"/>
        <w:rPr>
          <w:color w:val="auto"/>
          <w:highlight w:val="none"/>
        </w:rPr>
      </w:pPr>
      <w:bookmarkStart w:id="45" w:name="_Toc21525512"/>
      <w:bookmarkStart w:id="46" w:name="_Toc2272567"/>
      <w:r>
        <w:rPr>
          <w:rFonts w:hint="eastAsia"/>
          <w:color w:val="auto"/>
          <w:highlight w:val="none"/>
        </w:rPr>
        <w:t>第四章</w:t>
      </w:r>
      <w:r>
        <w:rPr>
          <w:color w:val="auto"/>
          <w:highlight w:val="none"/>
        </w:rPr>
        <w:t xml:space="preserve">  </w:t>
      </w:r>
      <w:r>
        <w:rPr>
          <w:rFonts w:hint="eastAsia"/>
          <w:color w:val="auto"/>
          <w:highlight w:val="none"/>
        </w:rPr>
        <w:t>投标文件格式</w:t>
      </w:r>
      <w:bookmarkEnd w:id="45"/>
      <w:bookmarkEnd w:id="46"/>
    </w:p>
    <w:p w14:paraId="5A9E6981">
      <w:pPr>
        <w:rPr>
          <w:rFonts w:ascii="宋体"/>
          <w:b/>
          <w:color w:val="auto"/>
          <w:sz w:val="24"/>
          <w:szCs w:val="24"/>
          <w:highlight w:val="none"/>
        </w:rPr>
      </w:pPr>
      <w:r>
        <w:rPr>
          <w:rFonts w:hint="eastAsia" w:ascii="宋体" w:hAnsi="宋体"/>
          <w:color w:val="auto"/>
          <w:sz w:val="24"/>
          <w:szCs w:val="24"/>
          <w:highlight w:val="none"/>
        </w:rPr>
        <w:t>注：本章由招标人自行制定。</w:t>
      </w:r>
    </w:p>
    <w:p w14:paraId="2012DEF5">
      <w:pPr>
        <w:autoSpaceDE w:val="0"/>
        <w:autoSpaceDN w:val="0"/>
        <w:adjustRightInd w:val="0"/>
        <w:rPr>
          <w:bCs/>
          <w:color w:val="auto"/>
          <w:szCs w:val="21"/>
          <w:highlight w:val="none"/>
        </w:rPr>
      </w:pPr>
      <w:r>
        <w:rPr>
          <w:color w:val="auto"/>
          <w:highlight w:val="none"/>
        </w:rPr>
        <w:br w:type="page"/>
      </w:r>
      <w:r>
        <w:rPr>
          <w:rFonts w:hint="eastAsia"/>
          <w:bCs/>
          <w:color w:val="auto"/>
          <w:szCs w:val="21"/>
          <w:highlight w:val="none"/>
        </w:rPr>
        <w:t>附件一</w:t>
      </w:r>
    </w:p>
    <w:p w14:paraId="2A7989E1">
      <w:pPr>
        <w:autoSpaceDE w:val="0"/>
        <w:autoSpaceDN w:val="0"/>
        <w:adjustRightInd w:val="0"/>
        <w:rPr>
          <w:rFonts w:ascii="宋体" w:cs="宋体"/>
          <w:b/>
          <w:bCs/>
          <w:color w:val="auto"/>
          <w:szCs w:val="21"/>
          <w:highlight w:val="none"/>
          <w:lang w:val="zh-CN"/>
        </w:rPr>
      </w:pPr>
      <w:r>
        <w:rPr>
          <w:rFonts w:hint="eastAsia"/>
          <w:bCs/>
          <w:color w:val="auto"/>
          <w:szCs w:val="21"/>
          <w:highlight w:val="none"/>
        </w:rPr>
        <w:t>（适用于技术标与经济标同时开启）</w:t>
      </w:r>
    </w:p>
    <w:p w14:paraId="0E23ED1E">
      <w:pPr>
        <w:autoSpaceDE w:val="0"/>
        <w:autoSpaceDN w:val="0"/>
        <w:adjustRightInd w:val="0"/>
        <w:ind w:left="-540" w:leftChars="-257" w:firstLine="1135" w:firstLineChars="257"/>
        <w:jc w:val="center"/>
        <w:rPr>
          <w:rFonts w:hint="eastAsia" w:ascii="宋体" w:hAnsi="宋体" w:cs="宋体"/>
          <w:b/>
          <w:bCs/>
          <w:color w:val="auto"/>
          <w:sz w:val="44"/>
          <w:szCs w:val="44"/>
          <w:highlight w:val="none"/>
          <w:lang w:val="zh-CN"/>
        </w:rPr>
      </w:pPr>
    </w:p>
    <w:p w14:paraId="746F44D9">
      <w:pPr>
        <w:autoSpaceDE w:val="0"/>
        <w:autoSpaceDN w:val="0"/>
        <w:adjustRightInd w:val="0"/>
        <w:ind w:left="-540" w:leftChars="-257" w:firstLine="1135" w:firstLineChars="257"/>
        <w:jc w:val="center"/>
        <w:rPr>
          <w:rFonts w:ascii="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18"/>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7D8D2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F7001F2">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工</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程</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名</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称</w:t>
            </w:r>
          </w:p>
        </w:tc>
        <w:tc>
          <w:tcPr>
            <w:tcW w:w="3574" w:type="dxa"/>
            <w:tcBorders>
              <w:top w:val="single" w:color="auto" w:sz="4" w:space="0"/>
              <w:left w:val="single" w:color="auto" w:sz="4" w:space="0"/>
              <w:bottom w:val="single" w:color="auto" w:sz="4" w:space="0"/>
              <w:right w:val="single" w:color="auto" w:sz="4" w:space="0"/>
            </w:tcBorders>
          </w:tcPr>
          <w:p w14:paraId="0B0D2A6B">
            <w:pPr>
              <w:autoSpaceDE w:val="0"/>
              <w:autoSpaceDN w:val="0"/>
              <w:adjustRightInd w:val="0"/>
              <w:rPr>
                <w:rFonts w:ascii="宋体" w:cs="宋体"/>
                <w:b/>
                <w:bCs/>
                <w:color w:val="auto"/>
                <w:sz w:val="24"/>
                <w:szCs w:val="24"/>
                <w:highlight w:val="none"/>
                <w:lang w:val="zh-CN"/>
              </w:rPr>
            </w:pPr>
          </w:p>
        </w:tc>
      </w:tr>
      <w:tr w14:paraId="7B85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FDE5413">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194B0538">
            <w:pPr>
              <w:autoSpaceDE w:val="0"/>
              <w:autoSpaceDN w:val="0"/>
              <w:adjustRightInd w:val="0"/>
              <w:rPr>
                <w:rFonts w:ascii="宋体" w:cs="宋体"/>
                <w:b/>
                <w:bCs/>
                <w:color w:val="auto"/>
                <w:sz w:val="24"/>
                <w:szCs w:val="24"/>
                <w:highlight w:val="none"/>
                <w:lang w:val="zh-CN"/>
              </w:rPr>
            </w:pPr>
          </w:p>
        </w:tc>
      </w:tr>
      <w:tr w14:paraId="7D2B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254B1A3">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614B424B">
            <w:pPr>
              <w:autoSpaceDE w:val="0"/>
              <w:autoSpaceDN w:val="0"/>
              <w:adjustRightInd w:val="0"/>
              <w:rPr>
                <w:rFonts w:ascii="宋体" w:cs="宋体"/>
                <w:b/>
                <w:bCs/>
                <w:color w:val="auto"/>
                <w:sz w:val="24"/>
                <w:szCs w:val="24"/>
                <w:highlight w:val="none"/>
                <w:lang w:val="zh-CN"/>
              </w:rPr>
            </w:pPr>
          </w:p>
        </w:tc>
      </w:tr>
      <w:tr w14:paraId="05DD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D80D31F">
            <w:pPr>
              <w:widowControl/>
              <w:jc w:val="left"/>
              <w:rPr>
                <w:rFonts w:asci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58535DCE">
            <w:pPr>
              <w:autoSpaceDE w:val="0"/>
              <w:autoSpaceDN w:val="0"/>
              <w:adjustRightInd w:val="0"/>
              <w:rPr>
                <w:rFonts w:ascii="宋体" w:cs="宋体"/>
                <w:b/>
                <w:bCs/>
                <w:color w:val="auto"/>
                <w:sz w:val="24"/>
                <w:szCs w:val="24"/>
                <w:highlight w:val="none"/>
                <w:lang w:val="zh-CN"/>
              </w:rPr>
            </w:pPr>
          </w:p>
        </w:tc>
      </w:tr>
      <w:tr w14:paraId="7A19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26B695C">
            <w:pPr>
              <w:jc w:val="center"/>
              <w:rPr>
                <w:rFonts w:ascii="宋体" w:cs="宋体"/>
                <w:b/>
                <w:color w:val="auto"/>
                <w:sz w:val="24"/>
                <w:szCs w:val="24"/>
                <w:highlight w:val="none"/>
                <w:lang w:val="zh-CN"/>
              </w:rPr>
            </w:pPr>
            <w:r>
              <w:rPr>
                <w:rFonts w:hint="eastAsia" w:ascii="宋体" w:hAnsi="宋体" w:cs="宋体"/>
                <w:b/>
                <w:color w:val="auto"/>
                <w:sz w:val="24"/>
                <w:szCs w:val="24"/>
                <w:highlight w:val="none"/>
                <w:lang w:val="zh-CN"/>
              </w:rPr>
              <w:t>投</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标</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总工</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期</w:t>
            </w:r>
          </w:p>
        </w:tc>
        <w:tc>
          <w:tcPr>
            <w:tcW w:w="3574" w:type="dxa"/>
            <w:tcBorders>
              <w:top w:val="single" w:color="auto" w:sz="4" w:space="0"/>
              <w:left w:val="single" w:color="auto" w:sz="4" w:space="0"/>
              <w:bottom w:val="single" w:color="auto" w:sz="4" w:space="0"/>
              <w:right w:val="single" w:color="auto" w:sz="4" w:space="0"/>
            </w:tcBorders>
          </w:tcPr>
          <w:p w14:paraId="6C7AF4A9">
            <w:pPr>
              <w:autoSpaceDE w:val="0"/>
              <w:autoSpaceDN w:val="0"/>
              <w:adjustRightInd w:val="0"/>
              <w:rPr>
                <w:rFonts w:ascii="宋体" w:cs="宋体"/>
                <w:b/>
                <w:bCs/>
                <w:color w:val="auto"/>
                <w:sz w:val="24"/>
                <w:szCs w:val="24"/>
                <w:highlight w:val="none"/>
                <w:lang w:val="zh-CN"/>
              </w:rPr>
            </w:pPr>
          </w:p>
        </w:tc>
      </w:tr>
      <w:tr w14:paraId="4EF5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625DBE6E">
            <w:pPr>
              <w:jc w:val="center"/>
              <w:rPr>
                <w:rFonts w:ascii="宋体"/>
                <w:b/>
                <w:color w:val="auto"/>
                <w:sz w:val="24"/>
                <w:szCs w:val="24"/>
                <w:highlight w:val="none"/>
              </w:rPr>
            </w:pPr>
            <w:r>
              <w:rPr>
                <w:rFonts w:hint="eastAsia" w:ascii="宋体" w:hAnsi="宋体"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0668CE9A">
            <w:pPr>
              <w:autoSpaceDE w:val="0"/>
              <w:autoSpaceDN w:val="0"/>
              <w:adjustRightInd w:val="0"/>
              <w:rPr>
                <w:rFonts w:ascii="宋体" w:cs="宋体"/>
                <w:b/>
                <w:bCs/>
                <w:color w:val="auto"/>
                <w:sz w:val="24"/>
                <w:szCs w:val="24"/>
                <w:highlight w:val="none"/>
                <w:lang w:val="zh-CN"/>
              </w:rPr>
            </w:pPr>
          </w:p>
        </w:tc>
      </w:tr>
      <w:tr w14:paraId="6A5B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3A288687">
            <w:pPr>
              <w:autoSpaceDE w:val="0"/>
              <w:autoSpaceDN w:val="0"/>
              <w:adjustRightInd w:val="0"/>
              <w:ind w:firstLine="472" w:firstLineChars="196"/>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保</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修</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期</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限</w:t>
            </w:r>
          </w:p>
        </w:tc>
        <w:tc>
          <w:tcPr>
            <w:tcW w:w="3574" w:type="dxa"/>
            <w:tcBorders>
              <w:top w:val="single" w:color="auto" w:sz="4" w:space="0"/>
              <w:left w:val="single" w:color="auto" w:sz="4" w:space="0"/>
              <w:bottom w:val="single" w:color="auto" w:sz="4" w:space="0"/>
              <w:right w:val="single" w:color="auto" w:sz="4" w:space="0"/>
            </w:tcBorders>
          </w:tcPr>
          <w:p w14:paraId="74E9E1C5">
            <w:pPr>
              <w:autoSpaceDE w:val="0"/>
              <w:autoSpaceDN w:val="0"/>
              <w:adjustRightInd w:val="0"/>
              <w:rPr>
                <w:rFonts w:ascii="宋体" w:cs="宋体"/>
                <w:b/>
                <w:bCs/>
                <w:color w:val="auto"/>
                <w:sz w:val="24"/>
                <w:szCs w:val="24"/>
                <w:highlight w:val="none"/>
                <w:lang w:val="zh-CN"/>
              </w:rPr>
            </w:pPr>
          </w:p>
        </w:tc>
      </w:tr>
    </w:tbl>
    <w:p w14:paraId="60F85897">
      <w:pPr>
        <w:tabs>
          <w:tab w:val="left" w:pos="720"/>
        </w:tabs>
        <w:snapToGrid w:val="0"/>
        <w:spacing w:line="360" w:lineRule="auto"/>
        <w:rPr>
          <w:color w:val="auto"/>
          <w:sz w:val="24"/>
          <w:szCs w:val="24"/>
          <w:highlight w:val="none"/>
        </w:rPr>
      </w:pPr>
    </w:p>
    <w:tbl>
      <w:tblPr>
        <w:tblStyle w:val="18"/>
        <w:tblW w:w="9008" w:type="dxa"/>
        <w:tblInd w:w="0" w:type="dxa"/>
        <w:tblLayout w:type="fixed"/>
        <w:tblCellMar>
          <w:top w:w="0" w:type="dxa"/>
          <w:left w:w="108" w:type="dxa"/>
          <w:bottom w:w="0" w:type="dxa"/>
          <w:right w:w="108" w:type="dxa"/>
        </w:tblCellMar>
      </w:tblPr>
      <w:tblGrid>
        <w:gridCol w:w="9008"/>
      </w:tblGrid>
      <w:tr w14:paraId="0A275812">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noWrap/>
            <w:vAlign w:val="bottom"/>
          </w:tcPr>
          <w:p w14:paraId="0B9A8FB6">
            <w:pPr>
              <w:widowControl/>
              <w:spacing w:line="360" w:lineRule="auto"/>
              <w:jc w:val="left"/>
              <w:rPr>
                <w:rFonts w:ascii="宋体" w:cs="宋体"/>
                <w:color w:val="auto"/>
                <w:kern w:val="0"/>
                <w:sz w:val="28"/>
                <w:szCs w:val="28"/>
                <w:highlight w:val="none"/>
              </w:rPr>
            </w:pPr>
            <w:r>
              <w:rPr>
                <w:rFonts w:ascii="宋体" w:hAnsi="宋体" w:cs="宋体"/>
                <w:color w:val="auto"/>
                <w:kern w:val="0"/>
                <w:sz w:val="28"/>
                <w:szCs w:val="28"/>
                <w:highlight w:val="none"/>
              </w:rPr>
              <w:t xml:space="preserve">                                                                                             </w:t>
            </w:r>
          </w:p>
        </w:tc>
      </w:tr>
    </w:tbl>
    <w:p w14:paraId="31C654BE">
      <w:pPr>
        <w:autoSpaceDE w:val="0"/>
        <w:autoSpaceDN w:val="0"/>
        <w:adjustRightInd w:val="0"/>
        <w:rPr>
          <w:color w:val="auto"/>
          <w:szCs w:val="21"/>
          <w:highlight w:val="none"/>
        </w:rPr>
      </w:pPr>
      <w:r>
        <w:rPr>
          <w:color w:val="auto"/>
          <w:sz w:val="24"/>
          <w:szCs w:val="24"/>
          <w:highlight w:val="none"/>
        </w:rPr>
        <w:br w:type="page"/>
      </w:r>
      <w:r>
        <w:rPr>
          <w:rFonts w:hint="eastAsia"/>
          <w:color w:val="auto"/>
          <w:szCs w:val="21"/>
          <w:highlight w:val="none"/>
        </w:rPr>
        <w:t>附件二</w:t>
      </w:r>
    </w:p>
    <w:p w14:paraId="0381DD89">
      <w:pPr>
        <w:tabs>
          <w:tab w:val="left" w:pos="720"/>
        </w:tabs>
        <w:snapToGrid w:val="0"/>
        <w:spacing w:line="360" w:lineRule="auto"/>
        <w:jc w:val="center"/>
        <w:rPr>
          <w:b/>
          <w:color w:val="auto"/>
          <w:sz w:val="32"/>
          <w:szCs w:val="32"/>
          <w:highlight w:val="none"/>
        </w:rPr>
      </w:pPr>
      <w:r>
        <w:rPr>
          <w:rFonts w:hint="eastAsia"/>
          <w:b/>
          <w:color w:val="auto"/>
          <w:sz w:val="32"/>
          <w:szCs w:val="32"/>
          <w:highlight w:val="none"/>
        </w:rPr>
        <w:t>投标文件编制人员名单</w:t>
      </w:r>
    </w:p>
    <w:p w14:paraId="2C6EE399">
      <w:pPr>
        <w:tabs>
          <w:tab w:val="left" w:pos="720"/>
        </w:tabs>
        <w:snapToGrid w:val="0"/>
        <w:spacing w:line="360" w:lineRule="auto"/>
        <w:rPr>
          <w:color w:val="auto"/>
          <w:sz w:val="24"/>
          <w:szCs w:val="24"/>
          <w:highlight w:val="none"/>
        </w:rPr>
      </w:pPr>
    </w:p>
    <w:p w14:paraId="54546902">
      <w:pPr>
        <w:tabs>
          <w:tab w:val="left" w:pos="720"/>
        </w:tabs>
        <w:snapToGrid w:val="0"/>
        <w:spacing w:line="360" w:lineRule="auto"/>
        <w:jc w:val="center"/>
        <w:rPr>
          <w:color w:val="auto"/>
          <w:szCs w:val="21"/>
          <w:highlight w:val="none"/>
        </w:rPr>
      </w:pPr>
      <w:r>
        <w:rPr>
          <w:rFonts w:hint="eastAsia"/>
          <w:color w:val="auto"/>
          <w:szCs w:val="21"/>
          <w:highlight w:val="none"/>
        </w:rPr>
        <w:t>一、参与编制技术标投标文件人员名单</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7799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29DE005D">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投标人名称</w:t>
            </w:r>
          </w:p>
        </w:tc>
      </w:tr>
      <w:tr w14:paraId="03DD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643C9AC8">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1330C91A">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16CFB738">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5DDC3E60">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31643B23">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本人签名栏</w:t>
            </w:r>
          </w:p>
        </w:tc>
      </w:tr>
      <w:tr w14:paraId="742A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72A48E85">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3390441">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A2F3CD6">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7F404A1">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8124842">
            <w:pPr>
              <w:tabs>
                <w:tab w:val="left" w:pos="720"/>
              </w:tabs>
              <w:snapToGrid w:val="0"/>
              <w:spacing w:line="360" w:lineRule="auto"/>
              <w:jc w:val="center"/>
              <w:rPr>
                <w:rFonts w:hint="eastAsia" w:ascii="宋体" w:hAnsi="宋体"/>
                <w:color w:val="auto"/>
                <w:szCs w:val="21"/>
                <w:highlight w:val="none"/>
              </w:rPr>
            </w:pPr>
          </w:p>
        </w:tc>
      </w:tr>
      <w:tr w14:paraId="6316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E7CDBAB">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72AFC76">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2320C3E">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C2A3A46">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CA7E4D6">
            <w:pPr>
              <w:tabs>
                <w:tab w:val="left" w:pos="720"/>
              </w:tabs>
              <w:snapToGrid w:val="0"/>
              <w:spacing w:line="360" w:lineRule="auto"/>
              <w:jc w:val="center"/>
              <w:rPr>
                <w:rFonts w:hint="eastAsia" w:ascii="宋体" w:hAnsi="宋体"/>
                <w:color w:val="auto"/>
                <w:szCs w:val="21"/>
                <w:highlight w:val="none"/>
              </w:rPr>
            </w:pPr>
          </w:p>
        </w:tc>
      </w:tr>
      <w:tr w14:paraId="29E3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C1D3376">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3185D98">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A68FF56">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2CAF4A8">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25AB1C7">
            <w:pPr>
              <w:tabs>
                <w:tab w:val="left" w:pos="720"/>
              </w:tabs>
              <w:snapToGrid w:val="0"/>
              <w:spacing w:line="360" w:lineRule="auto"/>
              <w:jc w:val="center"/>
              <w:rPr>
                <w:rFonts w:hint="eastAsia" w:ascii="宋体" w:hAnsi="宋体"/>
                <w:color w:val="auto"/>
                <w:szCs w:val="21"/>
                <w:highlight w:val="none"/>
              </w:rPr>
            </w:pPr>
          </w:p>
        </w:tc>
      </w:tr>
      <w:tr w14:paraId="4F18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1A5314E">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187733C">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4147541">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EDA6795">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2E1F47F">
            <w:pPr>
              <w:tabs>
                <w:tab w:val="left" w:pos="720"/>
              </w:tabs>
              <w:snapToGrid w:val="0"/>
              <w:spacing w:line="360" w:lineRule="auto"/>
              <w:jc w:val="center"/>
              <w:rPr>
                <w:rFonts w:hint="eastAsia" w:ascii="宋体" w:hAnsi="宋体"/>
                <w:color w:val="auto"/>
                <w:szCs w:val="21"/>
                <w:highlight w:val="none"/>
              </w:rPr>
            </w:pPr>
          </w:p>
        </w:tc>
      </w:tr>
      <w:tr w14:paraId="66DF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17871257">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0B31072B">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527DD4E">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BD58B6F">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2586BA1">
            <w:pPr>
              <w:tabs>
                <w:tab w:val="left" w:pos="720"/>
              </w:tabs>
              <w:snapToGrid w:val="0"/>
              <w:spacing w:line="360" w:lineRule="auto"/>
              <w:jc w:val="center"/>
              <w:rPr>
                <w:rFonts w:hint="eastAsia" w:ascii="宋体" w:hAnsi="宋体"/>
                <w:color w:val="auto"/>
                <w:szCs w:val="21"/>
                <w:highlight w:val="none"/>
              </w:rPr>
            </w:pPr>
          </w:p>
        </w:tc>
      </w:tr>
      <w:tr w14:paraId="5FB1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E6FE9C1">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595B93A">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61545F9">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797EF02">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6F9083A">
            <w:pPr>
              <w:tabs>
                <w:tab w:val="left" w:pos="720"/>
              </w:tabs>
              <w:snapToGrid w:val="0"/>
              <w:spacing w:line="360" w:lineRule="auto"/>
              <w:jc w:val="center"/>
              <w:rPr>
                <w:rFonts w:hint="eastAsia" w:ascii="宋体" w:hAnsi="宋体"/>
                <w:color w:val="auto"/>
                <w:szCs w:val="21"/>
                <w:highlight w:val="none"/>
              </w:rPr>
            </w:pPr>
          </w:p>
        </w:tc>
      </w:tr>
      <w:tr w14:paraId="04E8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50571234">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409910F">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70724FA8">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0A36DC8">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7CDB2F8">
            <w:pPr>
              <w:tabs>
                <w:tab w:val="left" w:pos="720"/>
              </w:tabs>
              <w:snapToGrid w:val="0"/>
              <w:spacing w:line="360" w:lineRule="auto"/>
              <w:jc w:val="center"/>
              <w:rPr>
                <w:rFonts w:hint="eastAsia" w:ascii="宋体" w:hAnsi="宋体"/>
                <w:color w:val="auto"/>
                <w:szCs w:val="21"/>
                <w:highlight w:val="none"/>
              </w:rPr>
            </w:pPr>
          </w:p>
        </w:tc>
      </w:tr>
      <w:tr w14:paraId="4D29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56F22519">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94F435E">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18BD61B6">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E723172">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AECF0A4">
            <w:pPr>
              <w:tabs>
                <w:tab w:val="left" w:pos="720"/>
              </w:tabs>
              <w:snapToGrid w:val="0"/>
              <w:spacing w:line="360" w:lineRule="auto"/>
              <w:jc w:val="center"/>
              <w:rPr>
                <w:rFonts w:hint="eastAsia" w:ascii="宋体" w:hAnsi="宋体"/>
                <w:color w:val="auto"/>
                <w:szCs w:val="21"/>
                <w:highlight w:val="none"/>
              </w:rPr>
            </w:pPr>
          </w:p>
        </w:tc>
      </w:tr>
    </w:tbl>
    <w:p w14:paraId="13BE24F9">
      <w:pPr>
        <w:tabs>
          <w:tab w:val="left" w:pos="720"/>
        </w:tabs>
        <w:snapToGrid w:val="0"/>
        <w:spacing w:line="360" w:lineRule="auto"/>
        <w:rPr>
          <w:color w:val="auto"/>
          <w:sz w:val="24"/>
          <w:szCs w:val="24"/>
          <w:highlight w:val="none"/>
        </w:rPr>
      </w:pPr>
    </w:p>
    <w:p w14:paraId="5164BE19">
      <w:pPr>
        <w:tabs>
          <w:tab w:val="left" w:pos="720"/>
        </w:tabs>
        <w:snapToGrid w:val="0"/>
        <w:spacing w:line="360" w:lineRule="auto"/>
        <w:rPr>
          <w:color w:val="auto"/>
          <w:sz w:val="24"/>
          <w:szCs w:val="24"/>
          <w:highlight w:val="none"/>
        </w:rPr>
      </w:pPr>
    </w:p>
    <w:p w14:paraId="19D253CE">
      <w:pPr>
        <w:tabs>
          <w:tab w:val="left" w:pos="720"/>
        </w:tabs>
        <w:snapToGrid w:val="0"/>
        <w:spacing w:line="360" w:lineRule="auto"/>
        <w:jc w:val="center"/>
        <w:rPr>
          <w:color w:val="auto"/>
          <w:szCs w:val="21"/>
          <w:highlight w:val="none"/>
        </w:rPr>
      </w:pPr>
      <w:r>
        <w:rPr>
          <w:rFonts w:hint="eastAsia"/>
          <w:color w:val="auto"/>
          <w:szCs w:val="21"/>
          <w:highlight w:val="none"/>
        </w:rPr>
        <w:t>二、参与编制经济标投标文件人员名单</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16D3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7407ECB4">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投标人名称</w:t>
            </w:r>
          </w:p>
        </w:tc>
      </w:tr>
      <w:tr w14:paraId="3779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49BEA363">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5CBD6B39">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1023B5E7">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01EC1F3D">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7627A29F">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本人签名栏</w:t>
            </w:r>
          </w:p>
        </w:tc>
      </w:tr>
      <w:tr w14:paraId="1313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27AF4261">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3557DB1">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1E0E5F9">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0F1CA5E">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026C867D">
            <w:pPr>
              <w:tabs>
                <w:tab w:val="left" w:pos="720"/>
              </w:tabs>
              <w:snapToGrid w:val="0"/>
              <w:spacing w:line="360" w:lineRule="auto"/>
              <w:jc w:val="center"/>
              <w:rPr>
                <w:rFonts w:hint="eastAsia" w:ascii="宋体" w:hAnsi="宋体"/>
                <w:color w:val="auto"/>
                <w:szCs w:val="21"/>
                <w:highlight w:val="none"/>
              </w:rPr>
            </w:pPr>
          </w:p>
        </w:tc>
      </w:tr>
      <w:tr w14:paraId="02AA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0CF71CD1">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6558588">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3384915">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4F26D85">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0CDFF2E">
            <w:pPr>
              <w:tabs>
                <w:tab w:val="left" w:pos="720"/>
              </w:tabs>
              <w:snapToGrid w:val="0"/>
              <w:spacing w:line="360" w:lineRule="auto"/>
              <w:jc w:val="center"/>
              <w:rPr>
                <w:rFonts w:hint="eastAsia" w:ascii="宋体" w:hAnsi="宋体"/>
                <w:color w:val="auto"/>
                <w:szCs w:val="21"/>
                <w:highlight w:val="none"/>
              </w:rPr>
            </w:pPr>
          </w:p>
        </w:tc>
      </w:tr>
      <w:tr w14:paraId="6784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5FBADE78">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1CAA8BF">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B480163">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E2CE4C4">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DA767FC">
            <w:pPr>
              <w:tabs>
                <w:tab w:val="left" w:pos="720"/>
              </w:tabs>
              <w:snapToGrid w:val="0"/>
              <w:spacing w:line="360" w:lineRule="auto"/>
              <w:jc w:val="center"/>
              <w:rPr>
                <w:rFonts w:hint="eastAsia" w:ascii="宋体" w:hAnsi="宋体"/>
                <w:color w:val="auto"/>
                <w:szCs w:val="21"/>
                <w:highlight w:val="none"/>
              </w:rPr>
            </w:pPr>
          </w:p>
        </w:tc>
      </w:tr>
      <w:tr w14:paraId="499D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1838173">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E09C051">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7463604">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EDE7E21">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1B07FE9A">
            <w:pPr>
              <w:tabs>
                <w:tab w:val="left" w:pos="720"/>
              </w:tabs>
              <w:snapToGrid w:val="0"/>
              <w:spacing w:line="360" w:lineRule="auto"/>
              <w:jc w:val="center"/>
              <w:rPr>
                <w:rFonts w:hint="eastAsia" w:ascii="宋体" w:hAnsi="宋体"/>
                <w:color w:val="auto"/>
                <w:szCs w:val="21"/>
                <w:highlight w:val="none"/>
              </w:rPr>
            </w:pPr>
          </w:p>
        </w:tc>
      </w:tr>
      <w:tr w14:paraId="1E22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455F2AB">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13604EB0">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5015EF49">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414995B">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844E012">
            <w:pPr>
              <w:tabs>
                <w:tab w:val="left" w:pos="720"/>
              </w:tabs>
              <w:snapToGrid w:val="0"/>
              <w:spacing w:line="360" w:lineRule="auto"/>
              <w:jc w:val="center"/>
              <w:rPr>
                <w:rFonts w:hint="eastAsia" w:ascii="宋体" w:hAnsi="宋体"/>
                <w:color w:val="auto"/>
                <w:szCs w:val="21"/>
                <w:highlight w:val="none"/>
              </w:rPr>
            </w:pPr>
          </w:p>
        </w:tc>
      </w:tr>
      <w:tr w14:paraId="3B74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B91CD8E">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66AE4FE">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7427BBFE">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F436ACE">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D772B5B">
            <w:pPr>
              <w:tabs>
                <w:tab w:val="left" w:pos="720"/>
              </w:tabs>
              <w:snapToGrid w:val="0"/>
              <w:spacing w:line="360" w:lineRule="auto"/>
              <w:jc w:val="center"/>
              <w:rPr>
                <w:rFonts w:hint="eastAsia" w:ascii="宋体" w:hAnsi="宋体"/>
                <w:color w:val="auto"/>
                <w:szCs w:val="21"/>
                <w:highlight w:val="none"/>
              </w:rPr>
            </w:pPr>
          </w:p>
        </w:tc>
      </w:tr>
      <w:tr w14:paraId="054C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79AB2946">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DA24C39">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E68EED7">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BAD7E1F">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51AB9E3">
            <w:pPr>
              <w:tabs>
                <w:tab w:val="left" w:pos="720"/>
              </w:tabs>
              <w:snapToGrid w:val="0"/>
              <w:spacing w:line="360" w:lineRule="auto"/>
              <w:jc w:val="center"/>
              <w:rPr>
                <w:rFonts w:hint="eastAsia" w:ascii="宋体" w:hAnsi="宋体"/>
                <w:color w:val="auto"/>
                <w:szCs w:val="21"/>
                <w:highlight w:val="none"/>
              </w:rPr>
            </w:pPr>
          </w:p>
        </w:tc>
      </w:tr>
      <w:tr w14:paraId="7C9B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5502595C">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F0634F3">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4FE8F8C">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2165BDE">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D127947">
            <w:pPr>
              <w:tabs>
                <w:tab w:val="left" w:pos="720"/>
              </w:tabs>
              <w:snapToGrid w:val="0"/>
              <w:spacing w:line="360" w:lineRule="auto"/>
              <w:jc w:val="center"/>
              <w:rPr>
                <w:rFonts w:hint="eastAsia" w:ascii="宋体" w:hAnsi="宋体"/>
                <w:color w:val="auto"/>
                <w:szCs w:val="21"/>
                <w:highlight w:val="none"/>
              </w:rPr>
            </w:pPr>
          </w:p>
        </w:tc>
      </w:tr>
    </w:tbl>
    <w:p w14:paraId="18D46337">
      <w:pPr>
        <w:tabs>
          <w:tab w:val="left" w:pos="720"/>
        </w:tabs>
        <w:snapToGrid w:val="0"/>
        <w:spacing w:line="360" w:lineRule="auto"/>
        <w:rPr>
          <w:color w:val="auto"/>
          <w:sz w:val="24"/>
          <w:szCs w:val="24"/>
          <w:highlight w:val="none"/>
        </w:rPr>
      </w:pPr>
    </w:p>
    <w:p w14:paraId="1D9FA75C">
      <w:pPr>
        <w:pStyle w:val="4"/>
        <w:spacing w:after="0" w:line="360" w:lineRule="auto"/>
        <w:ind w:left="-2" w:leftChars="-1" w:firstLine="367" w:firstLineChars="175"/>
        <w:jc w:val="left"/>
        <w:rPr>
          <w:color w:val="auto"/>
          <w:szCs w:val="21"/>
          <w:highlight w:val="none"/>
        </w:rPr>
      </w:pPr>
      <w:r>
        <w:rPr>
          <w:rFonts w:hint="eastAsia"/>
          <w:color w:val="auto"/>
          <w:szCs w:val="21"/>
          <w:highlight w:val="none"/>
        </w:rPr>
        <w:t>注：参与编制投标文件所有人员名单应包括如编制技术投标方案、编制各种专业工程量清单投标报价、负责清样校对、负责打印及复印等所有人员在内的人员名单。</w:t>
      </w:r>
    </w:p>
    <w:p w14:paraId="29B9A525">
      <w:pPr>
        <w:pStyle w:val="4"/>
        <w:spacing w:after="0" w:line="360" w:lineRule="auto"/>
        <w:ind w:left="-2" w:leftChars="-1" w:firstLineChars="175"/>
        <w:jc w:val="center"/>
        <w:rPr>
          <w:color w:val="auto"/>
          <w:sz w:val="24"/>
          <w:szCs w:val="24"/>
          <w:highlight w:val="none"/>
        </w:rPr>
      </w:pPr>
    </w:p>
    <w:p w14:paraId="0408ECB0">
      <w:pPr>
        <w:autoSpaceDE w:val="0"/>
        <w:autoSpaceDN w:val="0"/>
        <w:adjustRightInd w:val="0"/>
        <w:rPr>
          <w:color w:val="auto"/>
          <w:szCs w:val="21"/>
          <w:highlight w:val="none"/>
        </w:rPr>
      </w:pPr>
      <w:r>
        <w:rPr>
          <w:rFonts w:hint="eastAsia"/>
          <w:color w:val="auto"/>
          <w:szCs w:val="21"/>
          <w:highlight w:val="none"/>
        </w:rPr>
        <w:t>附件三</w:t>
      </w:r>
    </w:p>
    <w:p w14:paraId="5AEF0588">
      <w:pPr>
        <w:pStyle w:val="4"/>
        <w:spacing w:after="0" w:line="360" w:lineRule="auto"/>
        <w:ind w:firstLine="0"/>
        <w:jc w:val="center"/>
        <w:rPr>
          <w:color w:val="auto"/>
          <w:sz w:val="32"/>
          <w:szCs w:val="32"/>
          <w:highlight w:val="none"/>
        </w:rPr>
      </w:pPr>
      <w:r>
        <w:rPr>
          <w:rFonts w:hint="eastAsia"/>
          <w:b/>
          <w:color w:val="auto"/>
          <w:sz w:val="32"/>
          <w:szCs w:val="32"/>
          <w:highlight w:val="none"/>
        </w:rPr>
        <w:t>对投标文件编制的承诺</w:t>
      </w:r>
    </w:p>
    <w:p w14:paraId="576572B7">
      <w:pPr>
        <w:pStyle w:val="4"/>
        <w:spacing w:after="0"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本公司授权</w:t>
      </w:r>
      <w:r>
        <w:rPr>
          <w:rFonts w:hint="eastAsia" w:ascii="宋体" w:hAnsi="宋体"/>
          <w:color w:val="auto"/>
          <w:sz w:val="24"/>
          <w:szCs w:val="24"/>
          <w:highlight w:val="none"/>
          <w:u w:val="single"/>
        </w:rPr>
        <w:t xml:space="preserve">         （身份证号：               ）</w:t>
      </w:r>
      <w:r>
        <w:rPr>
          <w:rFonts w:hint="eastAsia" w:ascii="宋体" w:hAnsi="宋体"/>
          <w:color w:val="auto"/>
          <w:sz w:val="24"/>
          <w:szCs w:val="24"/>
          <w:highlight w:val="none"/>
        </w:rPr>
        <w:t>负责对投标文件的编制及内容进行解释、说明，并承诺以下事项：</w:t>
      </w:r>
    </w:p>
    <w:p w14:paraId="2B8BC91B">
      <w:pPr>
        <w:pStyle w:val="4"/>
        <w:spacing w:after="0"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1.被授权人清楚投标文件编制的具体情况，包括技术方案文件、工程量清单、以及投标文件的加密打包的理解；</w:t>
      </w:r>
    </w:p>
    <w:p w14:paraId="2608911F">
      <w:pPr>
        <w:pStyle w:val="4"/>
        <w:spacing w:after="0"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2.在本项目开标至评标结束前，努力确保被授权人在项目评标所在地附近；</w:t>
      </w:r>
    </w:p>
    <w:p w14:paraId="722B4BB0">
      <w:pPr>
        <w:pStyle w:val="4"/>
        <w:spacing w:after="0"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3.从评标委员会要求澄清起二小时内，被授权人应如实地书面澄清。</w:t>
      </w:r>
    </w:p>
    <w:p w14:paraId="074F46F9">
      <w:pPr>
        <w:pStyle w:val="4"/>
        <w:spacing w:after="0"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 xml:space="preserve">如由于未遵守上述承诺内容之一导致无法进行澄清的，我公司认可和接受评标委员会作出的评审结论。                                 </w:t>
      </w:r>
    </w:p>
    <w:p w14:paraId="7726DD7E">
      <w:pPr>
        <w:pStyle w:val="4"/>
        <w:spacing w:after="0"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6788D6C7">
      <w:pPr>
        <w:pStyle w:val="4"/>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附件：《投标文件编制情况》</w:t>
      </w:r>
    </w:p>
    <w:p w14:paraId="7A0A74E6">
      <w:pPr>
        <w:spacing w:line="360" w:lineRule="auto"/>
        <w:ind w:right="90" w:firstLine="4920" w:firstLineChars="2050"/>
        <w:rPr>
          <w:rFonts w:hint="eastAsia" w:ascii="宋体" w:hAnsi="宋体"/>
          <w:color w:val="auto"/>
          <w:sz w:val="24"/>
          <w:szCs w:val="24"/>
          <w:highlight w:val="none"/>
          <w:u w:val="single"/>
        </w:rPr>
      </w:pPr>
      <w:r>
        <w:rPr>
          <w:rFonts w:hint="eastAsia" w:ascii="宋体" w:hAnsi="宋体"/>
          <w:color w:val="auto"/>
          <w:sz w:val="24"/>
          <w:szCs w:val="24"/>
          <w:highlight w:val="none"/>
        </w:rPr>
        <w:t xml:space="preserve"> 投标人名称：</w:t>
      </w:r>
      <w:r>
        <w:rPr>
          <w:rFonts w:hint="eastAsia" w:ascii="宋体" w:hAnsi="宋体"/>
          <w:color w:val="auto"/>
          <w:sz w:val="24"/>
          <w:szCs w:val="24"/>
          <w:highlight w:val="none"/>
          <w:u w:val="single"/>
        </w:rPr>
        <w:t xml:space="preserve">                   </w:t>
      </w:r>
    </w:p>
    <w:p w14:paraId="10A6F3AE">
      <w:pPr>
        <w:spacing w:line="360" w:lineRule="auto"/>
        <w:ind w:firstLine="4440" w:firstLineChars="1850"/>
        <w:jc w:val="center"/>
        <w:rPr>
          <w:color w:val="auto"/>
          <w:sz w:val="24"/>
          <w:szCs w:val="24"/>
          <w:highlight w:val="none"/>
        </w:rPr>
      </w:pPr>
      <w:r>
        <w:rPr>
          <w:rFonts w:hint="eastAsia"/>
          <w:color w:val="auto"/>
          <w:sz w:val="24"/>
          <w:szCs w:val="24"/>
          <w:highlight w:val="none"/>
        </w:rPr>
        <w:t xml:space="preserve"> 日期：      年   月   日 </w:t>
      </w:r>
      <w:r>
        <w:rPr>
          <w:rFonts w:hint="eastAsia"/>
          <w:color w:val="auto"/>
          <w:sz w:val="18"/>
          <w:szCs w:val="18"/>
          <w:highlight w:val="none"/>
        </w:rPr>
        <w:t xml:space="preserve"> </w:t>
      </w:r>
      <w:r>
        <w:rPr>
          <w:rFonts w:hint="eastAsia"/>
          <w:color w:val="auto"/>
          <w:sz w:val="24"/>
          <w:szCs w:val="24"/>
          <w:highlight w:val="none"/>
        </w:rPr>
        <w:t xml:space="preserve">    </w:t>
      </w:r>
    </w:p>
    <w:p w14:paraId="44FA97F1">
      <w:pPr>
        <w:pStyle w:val="4"/>
        <w:spacing w:after="0" w:line="360" w:lineRule="auto"/>
        <w:ind w:firstLine="0"/>
        <w:rPr>
          <w:b/>
          <w:color w:val="auto"/>
          <w:sz w:val="32"/>
          <w:szCs w:val="32"/>
          <w:highlight w:val="none"/>
        </w:rPr>
      </w:pPr>
    </w:p>
    <w:p w14:paraId="3F507CD1">
      <w:pPr>
        <w:pStyle w:val="4"/>
        <w:spacing w:after="0" w:line="360" w:lineRule="auto"/>
        <w:ind w:firstLine="643" w:firstLineChars="200"/>
        <w:jc w:val="center"/>
        <w:rPr>
          <w:color w:val="auto"/>
          <w:sz w:val="18"/>
          <w:szCs w:val="18"/>
          <w:highlight w:val="none"/>
        </w:rPr>
      </w:pPr>
      <w:r>
        <w:rPr>
          <w:rFonts w:hint="eastAsia"/>
          <w:b/>
          <w:color w:val="auto"/>
          <w:sz w:val="32"/>
          <w:szCs w:val="32"/>
          <w:highlight w:val="none"/>
        </w:rPr>
        <w:t>投标文件编制情况</w:t>
      </w:r>
    </w:p>
    <w:p w14:paraId="129F418B">
      <w:pPr>
        <w:pStyle w:val="4"/>
        <w:spacing w:after="0"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1.投标文件报价编制方式： □自行编制的，编制的负责人：</w:t>
      </w:r>
      <w:r>
        <w:rPr>
          <w:rFonts w:hint="eastAsia" w:ascii="宋体" w:hAnsi="宋体"/>
          <w:color w:val="auto"/>
          <w:sz w:val="24"/>
          <w:szCs w:val="24"/>
          <w:highlight w:val="none"/>
          <w:u w:val="single"/>
        </w:rPr>
        <w:t xml:space="preserve"> （盖造价工程师执业专用章或全国建设工程造价员章，执业单位应与投标人一致） </w:t>
      </w:r>
      <w:r>
        <w:rPr>
          <w:rFonts w:hint="eastAsia" w:ascii="宋体" w:hAnsi="宋体"/>
          <w:color w:val="auto"/>
          <w:sz w:val="24"/>
          <w:szCs w:val="24"/>
          <w:highlight w:val="none"/>
        </w:rPr>
        <w:t>。□委托编制的，受委托单位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，编制的负责人：</w:t>
      </w:r>
      <w:r>
        <w:rPr>
          <w:rFonts w:hint="eastAsia" w:ascii="宋体" w:hAnsi="宋体"/>
          <w:color w:val="auto"/>
          <w:sz w:val="24"/>
          <w:szCs w:val="24"/>
          <w:highlight w:val="none"/>
          <w:u w:val="single"/>
        </w:rPr>
        <w:t xml:space="preserve"> （盖造价工程师执业专用章或全国建设工程造价员章，执业单位应与受委托单位一致） </w:t>
      </w:r>
      <w:r>
        <w:rPr>
          <w:rFonts w:hint="eastAsia" w:ascii="宋体" w:hAnsi="宋体"/>
          <w:color w:val="auto"/>
          <w:sz w:val="24"/>
          <w:szCs w:val="24"/>
          <w:highlight w:val="none"/>
        </w:rPr>
        <w:t>。</w:t>
      </w:r>
    </w:p>
    <w:p w14:paraId="15BD0632">
      <w:pPr>
        <w:pStyle w:val="4"/>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2.投标文件加密打包的电脑情况</w:t>
      </w:r>
    </w:p>
    <w:tbl>
      <w:tblPr>
        <w:tblStyle w:val="18"/>
        <w:tblW w:w="8306" w:type="dxa"/>
        <w:tblInd w:w="0" w:type="dxa"/>
        <w:tblLayout w:type="fixed"/>
        <w:tblCellMar>
          <w:top w:w="0" w:type="dxa"/>
          <w:left w:w="108" w:type="dxa"/>
          <w:bottom w:w="0" w:type="dxa"/>
          <w:right w:w="108" w:type="dxa"/>
        </w:tblCellMar>
      </w:tblPr>
      <w:tblGrid>
        <w:gridCol w:w="8306"/>
      </w:tblGrid>
      <w:tr w14:paraId="17BA8F37">
        <w:tblPrEx>
          <w:tblCellMar>
            <w:top w:w="0" w:type="dxa"/>
            <w:left w:w="108" w:type="dxa"/>
            <w:bottom w:w="0" w:type="dxa"/>
            <w:right w:w="108" w:type="dxa"/>
          </w:tblCellMar>
        </w:tblPrEx>
        <w:trPr>
          <w:trHeight w:val="2819" w:hRule="atLeast"/>
        </w:trPr>
        <w:tc>
          <w:tcPr>
            <w:tcW w:w="8306" w:type="dxa"/>
            <w:shd w:val="clear" w:color="auto" w:fill="auto"/>
          </w:tcPr>
          <w:p w14:paraId="37153398">
            <w:pPr>
              <w:pStyle w:val="4"/>
              <w:spacing w:after="0"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投标文件加密打包的电脑     自有    □      外包    □     其他    □</w:t>
            </w:r>
          </w:p>
          <w:p w14:paraId="31F333D2">
            <w:pPr>
              <w:pStyle w:val="4"/>
              <w:spacing w:after="0"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电脑类型</w:t>
            </w:r>
          </w:p>
          <w:p w14:paraId="0FCEA4CD">
            <w:pPr>
              <w:pStyle w:val="4"/>
              <w:spacing w:after="0"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电脑所属单位</w:t>
            </w:r>
          </w:p>
          <w:p w14:paraId="0BC35D99">
            <w:pPr>
              <w:pStyle w:val="4"/>
              <w:spacing w:after="0"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电脑所在地址        （如××市××区（县） ××街（路）××号××大厦××房）</w:t>
            </w:r>
          </w:p>
        </w:tc>
      </w:tr>
    </w:tbl>
    <w:p w14:paraId="0DBB54FE">
      <w:pPr>
        <w:spacing w:line="360" w:lineRule="auto"/>
        <w:rPr>
          <w:rFonts w:hint="eastAsia" w:ascii="宋体" w:hAnsi="宋体"/>
          <w:color w:val="auto"/>
          <w:sz w:val="24"/>
          <w:szCs w:val="24"/>
          <w:highlight w:val="none"/>
        </w:rPr>
      </w:pPr>
    </w:p>
    <w:p w14:paraId="4D8B5F57">
      <w:pPr>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附件四</w:t>
      </w:r>
      <w:r>
        <w:rPr>
          <w:rFonts w:hint="eastAsia" w:ascii="宋体" w:hAnsi="宋体" w:cs="宋体"/>
          <w:b/>
          <w:color w:val="auto"/>
          <w:sz w:val="24"/>
          <w:szCs w:val="24"/>
          <w:highlight w:val="none"/>
        </w:rPr>
        <w:t>：法定代表人证明书、授权委托书</w:t>
      </w:r>
    </w:p>
    <w:p w14:paraId="2C8A0F3A">
      <w:pPr>
        <w:rPr>
          <w:rFonts w:hint="eastAsia" w:ascii="宋体" w:hAnsi="宋体" w:cs="宋体"/>
          <w:b/>
          <w:color w:val="auto"/>
          <w:sz w:val="24"/>
          <w:szCs w:val="24"/>
          <w:highlight w:val="none"/>
        </w:rPr>
      </w:pPr>
    </w:p>
    <w:p w14:paraId="242D8E5B">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法定代表人证明书、授权委托书</w:t>
      </w:r>
    </w:p>
    <w:p w14:paraId="13CAB127">
      <w:pPr>
        <w:rPr>
          <w:rFonts w:hint="eastAsia" w:ascii="宋体" w:hAnsi="宋体" w:cs="宋体"/>
          <w:color w:val="auto"/>
          <w:sz w:val="24"/>
          <w:szCs w:val="24"/>
          <w:highlight w:val="none"/>
        </w:rPr>
      </w:pPr>
      <w:r>
        <w:rPr>
          <w:rFonts w:hint="eastAsia" w:ascii="宋体" w:hAnsi="宋体" w:cs="宋体"/>
          <w:color w:val="auto"/>
          <w:sz w:val="24"/>
          <w:szCs w:val="24"/>
          <w:highlight w:val="none"/>
        </w:rPr>
        <w:t>（1）法定代表人证明书</w:t>
      </w:r>
    </w:p>
    <w:p w14:paraId="64C4E257">
      <w:pPr>
        <w:topLinePunct/>
        <w:adjustRightInd w:val="0"/>
        <w:snapToGrid w:val="0"/>
        <w:spacing w:line="360" w:lineRule="auto"/>
        <w:jc w:val="righ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）第　号</w:t>
      </w:r>
    </w:p>
    <w:p w14:paraId="76BC39A0">
      <w:pPr>
        <w:topLinePunct/>
        <w:adjustRightInd w:val="0"/>
        <w:snapToGrid w:val="0"/>
        <w:spacing w:line="360" w:lineRule="auto"/>
        <w:ind w:firstLine="420" w:firstLineChars="200"/>
        <w:rPr>
          <w:rFonts w:hint="eastAsia" w:ascii="宋体" w:hAnsi="宋体" w:cs="宋体"/>
          <w:color w:val="auto"/>
          <w:spacing w:val="4"/>
          <w:kern w:val="0"/>
          <w:sz w:val="24"/>
          <w:szCs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41275</wp:posOffset>
                </wp:positionV>
                <wp:extent cx="5716905" cy="2773680"/>
                <wp:effectExtent l="4445" t="5080" r="12700" b="21590"/>
                <wp:wrapNone/>
                <wp:docPr id="2" name="文本框 2"/>
                <wp:cNvGraphicFramePr/>
                <a:graphic xmlns:a="http://schemas.openxmlformats.org/drawingml/2006/main">
                  <a:graphicData uri="http://schemas.microsoft.com/office/word/2010/wordprocessingShape">
                    <wps:wsp>
                      <wps:cNvSpPr txBox="1"/>
                      <wps:spPr>
                        <a:xfrm>
                          <a:off x="0" y="0"/>
                          <a:ext cx="5716905" cy="2773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25DFE6">
                            <w:pPr>
                              <w:pStyle w:val="35"/>
                              <w:ind w:firstLine="0" w:firstLineChars="0"/>
                              <w:rPr>
                                <w:rFonts w:hint="eastAsia" w:ascii="宋体" w:hAnsi="宋体" w:cs="宋体"/>
                                <w:szCs w:val="28"/>
                              </w:rPr>
                            </w:pPr>
                            <w:r>
                              <w:rPr>
                                <w:rFonts w:hint="eastAsia" w:ascii="宋体" w:hAnsi="宋体" w:cs="宋体"/>
                                <w:szCs w:val="28"/>
                              </w:rPr>
                              <w:t>　　</w:t>
                            </w:r>
                            <w:r>
                              <w:rPr>
                                <w:rFonts w:hint="eastAsia" w:ascii="宋体" w:hAnsi="宋体" w:cs="宋体"/>
                                <w:szCs w:val="28"/>
                                <w:u w:val="single"/>
                              </w:rPr>
                              <w:t>　　　　　　</w:t>
                            </w:r>
                            <w:r>
                              <w:rPr>
                                <w:rFonts w:hint="eastAsia" w:ascii="宋体" w:hAnsi="宋体" w:cs="宋体"/>
                                <w:szCs w:val="28"/>
                              </w:rPr>
                              <w:t>现任我单位</w:t>
                            </w:r>
                            <w:r>
                              <w:rPr>
                                <w:rFonts w:hint="eastAsia" w:ascii="宋体" w:hAnsi="宋体" w:cs="宋体"/>
                                <w:szCs w:val="28"/>
                                <w:u w:val="single"/>
                              </w:rPr>
                              <w:t>　　　　　</w:t>
                            </w:r>
                            <w:r>
                              <w:rPr>
                                <w:rFonts w:hint="eastAsia" w:ascii="宋体" w:hAnsi="宋体" w:cs="宋体"/>
                                <w:szCs w:val="28"/>
                              </w:rPr>
                              <w:t>职务，为法定代表人（负责人），</w:t>
                            </w:r>
                          </w:p>
                          <w:p w14:paraId="631D106E">
                            <w:pPr>
                              <w:pStyle w:val="35"/>
                              <w:ind w:firstLine="0" w:firstLineChars="0"/>
                              <w:rPr>
                                <w:rFonts w:hint="eastAsia" w:ascii="宋体" w:hAnsi="宋体" w:cs="宋体"/>
                                <w:szCs w:val="28"/>
                              </w:rPr>
                            </w:pPr>
                            <w:r>
                              <w:rPr>
                                <w:rFonts w:hint="eastAsia" w:ascii="宋体" w:hAnsi="宋体" w:cs="宋体"/>
                                <w:szCs w:val="28"/>
                              </w:rPr>
                              <w:t>特此证明。</w:t>
                            </w:r>
                          </w:p>
                          <w:p w14:paraId="3EC34564">
                            <w:pPr>
                              <w:pStyle w:val="35"/>
                              <w:ind w:firstLine="0" w:firstLineChars="0"/>
                              <w:rPr>
                                <w:rFonts w:hint="eastAsia" w:ascii="宋体" w:hAnsi="宋体" w:cs="宋体"/>
                                <w:szCs w:val="28"/>
                              </w:rPr>
                            </w:pPr>
                            <w:r>
                              <w:rPr>
                                <w:rFonts w:hint="eastAsia" w:ascii="宋体" w:hAnsi="宋体" w:cs="宋体"/>
                                <w:szCs w:val="28"/>
                              </w:rPr>
                              <w:t>有效期限：</w:t>
                            </w:r>
                            <w:r>
                              <w:rPr>
                                <w:rFonts w:hint="eastAsia" w:ascii="宋体" w:hAnsi="宋体" w:cs="宋体"/>
                                <w:szCs w:val="28"/>
                                <w:u w:val="single"/>
                              </w:rPr>
                              <w:t xml:space="preserve">                                  </w:t>
                            </w:r>
                          </w:p>
                          <w:p w14:paraId="38F8AA70">
                            <w:pPr>
                              <w:pStyle w:val="35"/>
                              <w:ind w:firstLine="0" w:firstLineChars="0"/>
                              <w:rPr>
                                <w:rFonts w:hint="eastAsia" w:ascii="宋体" w:hAnsi="宋体" w:cs="宋体"/>
                                <w:szCs w:val="28"/>
                              </w:rPr>
                            </w:pPr>
                            <w:r>
                              <w:rPr>
                                <w:rFonts w:hint="eastAsia" w:ascii="宋体" w:hAnsi="宋体" w:cs="宋体"/>
                                <w:szCs w:val="28"/>
                              </w:rPr>
                              <w:t>附：法定代表人（负责人）性别：</w:t>
                            </w:r>
                            <w:r>
                              <w:rPr>
                                <w:rFonts w:hint="eastAsia" w:ascii="宋体" w:hAnsi="宋体" w:cs="宋体"/>
                                <w:szCs w:val="28"/>
                                <w:u w:val="single"/>
                              </w:rPr>
                              <w:t>　　</w:t>
                            </w:r>
                            <w:r>
                              <w:rPr>
                                <w:rFonts w:hint="eastAsia" w:ascii="宋体" w:hAnsi="宋体" w:cs="宋体"/>
                                <w:szCs w:val="28"/>
                              </w:rPr>
                              <w:t>年龄：</w:t>
                            </w:r>
                            <w:r>
                              <w:rPr>
                                <w:rFonts w:hint="eastAsia" w:ascii="宋体" w:hAnsi="宋体" w:cs="宋体"/>
                                <w:szCs w:val="28"/>
                                <w:u w:val="single"/>
                              </w:rPr>
                              <w:t>　　</w:t>
                            </w:r>
                            <w:r>
                              <w:rPr>
                                <w:rFonts w:hint="eastAsia" w:ascii="宋体" w:hAnsi="宋体" w:cs="宋体"/>
                                <w:szCs w:val="28"/>
                              </w:rPr>
                              <w:t>身份证号码：</w:t>
                            </w:r>
                            <w:r>
                              <w:rPr>
                                <w:rFonts w:hint="eastAsia" w:ascii="宋体" w:hAnsi="宋体" w:cs="宋体"/>
                                <w:szCs w:val="28"/>
                                <w:u w:val="single"/>
                              </w:rPr>
                              <w:t xml:space="preserve">             </w:t>
                            </w:r>
                          </w:p>
                          <w:p w14:paraId="65672256">
                            <w:pPr>
                              <w:pStyle w:val="35"/>
                              <w:ind w:firstLine="0" w:firstLineChars="0"/>
                              <w:rPr>
                                <w:rFonts w:hint="eastAsia" w:ascii="宋体" w:hAnsi="宋体" w:cs="宋体"/>
                                <w:szCs w:val="28"/>
                              </w:rPr>
                            </w:pPr>
                            <w:r>
                              <w:rPr>
                                <w:rFonts w:hint="eastAsia" w:ascii="宋体" w:hAnsi="宋体" w:cs="宋体"/>
                                <w:szCs w:val="28"/>
                              </w:rPr>
                              <w:t>注册号码：</w:t>
                            </w:r>
                            <w:r>
                              <w:rPr>
                                <w:rFonts w:hint="eastAsia" w:ascii="宋体" w:hAnsi="宋体" w:cs="宋体"/>
                                <w:szCs w:val="28"/>
                                <w:u w:val="single"/>
                              </w:rPr>
                              <w:t>　　　　　　　　　　</w:t>
                            </w:r>
                            <w:r>
                              <w:rPr>
                                <w:rFonts w:hint="eastAsia" w:ascii="宋体" w:hAnsi="宋体" w:cs="宋体"/>
                                <w:szCs w:val="28"/>
                              </w:rPr>
                              <w:t>企业类型：</w:t>
                            </w:r>
                            <w:r>
                              <w:rPr>
                                <w:rFonts w:hint="eastAsia" w:ascii="宋体" w:hAnsi="宋体" w:cs="宋体"/>
                                <w:szCs w:val="28"/>
                                <w:u w:val="single"/>
                              </w:rPr>
                              <w:t xml:space="preserve">                          </w:t>
                            </w:r>
                          </w:p>
                          <w:p w14:paraId="2BF29B60">
                            <w:pPr>
                              <w:pStyle w:val="35"/>
                              <w:ind w:firstLine="0" w:firstLineChars="0"/>
                              <w:rPr>
                                <w:rFonts w:hint="eastAsia" w:ascii="宋体" w:hAnsi="宋体" w:cs="宋体"/>
                                <w:szCs w:val="28"/>
                              </w:rPr>
                            </w:pPr>
                            <w:r>
                              <w:rPr>
                                <w:rFonts w:hint="eastAsia" w:ascii="宋体" w:hAnsi="宋体" w:cs="宋体"/>
                                <w:szCs w:val="28"/>
                              </w:rPr>
                              <w:t>经营范围：</w:t>
                            </w:r>
                            <w:r>
                              <w:rPr>
                                <w:rFonts w:hint="eastAsia" w:ascii="宋体" w:hAnsi="宋体" w:cs="宋体"/>
                                <w:szCs w:val="28"/>
                                <w:u w:val="single"/>
                              </w:rPr>
                              <w:t xml:space="preserve">                                       </w:t>
                            </w:r>
                          </w:p>
                          <w:p w14:paraId="4BCE68E4">
                            <w:pPr>
                              <w:pStyle w:val="35"/>
                              <w:ind w:firstLine="0" w:firstLineChars="0"/>
                              <w:rPr>
                                <w:rFonts w:hint="eastAsia" w:ascii="宋体" w:hAnsi="宋体" w:cs="宋体"/>
                                <w:szCs w:val="28"/>
                              </w:rPr>
                            </w:pPr>
                            <w:r>
                              <w:rPr>
                                <w:rFonts w:hint="eastAsia" w:ascii="宋体" w:hAnsi="宋体" w:cs="宋体"/>
                                <w:szCs w:val="28"/>
                              </w:rPr>
                              <w:t>　　　　　　　　　　           单位：　　　　　　　　　　　（盖章）</w:t>
                            </w:r>
                          </w:p>
                          <w:p w14:paraId="026934BC">
                            <w:pPr>
                              <w:pStyle w:val="35"/>
                              <w:ind w:firstLine="0" w:firstLineChars="0"/>
                              <w:rPr>
                                <w:rFonts w:hint="eastAsia" w:ascii="宋体" w:hAnsi="宋体" w:cs="宋体"/>
                                <w:szCs w:val="28"/>
                              </w:rPr>
                            </w:pPr>
                            <w:r>
                              <w:rPr>
                                <w:rFonts w:hint="eastAsia" w:ascii="宋体" w:hAnsi="宋体" w:cs="宋体"/>
                                <w:szCs w:val="28"/>
                              </w:rPr>
                              <w:t>　　　　　　                                           年  月  日</w:t>
                            </w:r>
                          </w:p>
                        </w:txbxContent>
                      </wps:txbx>
                      <wps:bodyPr upright="1"/>
                    </wps:wsp>
                  </a:graphicData>
                </a:graphic>
              </wp:anchor>
            </w:drawing>
          </mc:Choice>
          <mc:Fallback>
            <w:pict>
              <v:shape id="_x0000_s1026" o:spid="_x0000_s1026" o:spt="202" type="#_x0000_t202" style="position:absolute;left:0pt;margin-left:6pt;margin-top:3.25pt;height:218.4pt;width:450.15pt;z-index:251659264;mso-width-relative:page;mso-height-relative:page;" fillcolor="#FFFFFF" filled="t" stroked="t" coordsize="21600,21600" o:gfxdata="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ITCfNcAAAAIAQAADwAAAAAAAAABACAA&#10;AAAiAAAAZHJzL2Rvd25yZXYueG1sUEsBAhQAFAAAAAgAh07iQOPgHOQOAgAANwQAAA4AAAAAAAAA&#10;AQAgAAAAJgEAAGRycy9lMm9Eb2MueG1sUEsFBgAAAAAGAAYAWQEAAKYFAAAAAA==&#10;">
                <v:fill on="t" focussize="0,0"/>
                <v:stroke color="#000000" joinstyle="miter"/>
                <v:imagedata o:title=""/>
                <o:lock v:ext="edit" aspectratio="f"/>
                <v:textbox>
                  <w:txbxContent>
                    <w:p w14:paraId="0425DFE6">
                      <w:pPr>
                        <w:pStyle w:val="35"/>
                        <w:ind w:firstLine="0" w:firstLineChars="0"/>
                        <w:rPr>
                          <w:rFonts w:hint="eastAsia" w:ascii="宋体" w:hAnsi="宋体" w:cs="宋体"/>
                          <w:szCs w:val="28"/>
                        </w:rPr>
                      </w:pPr>
                      <w:r>
                        <w:rPr>
                          <w:rFonts w:hint="eastAsia" w:ascii="宋体" w:hAnsi="宋体" w:cs="宋体"/>
                          <w:szCs w:val="28"/>
                        </w:rPr>
                        <w:t>　　</w:t>
                      </w:r>
                      <w:r>
                        <w:rPr>
                          <w:rFonts w:hint="eastAsia" w:ascii="宋体" w:hAnsi="宋体" w:cs="宋体"/>
                          <w:szCs w:val="28"/>
                          <w:u w:val="single"/>
                        </w:rPr>
                        <w:t>　　　　　　</w:t>
                      </w:r>
                      <w:r>
                        <w:rPr>
                          <w:rFonts w:hint="eastAsia" w:ascii="宋体" w:hAnsi="宋体" w:cs="宋体"/>
                          <w:szCs w:val="28"/>
                        </w:rPr>
                        <w:t>现任我单位</w:t>
                      </w:r>
                      <w:r>
                        <w:rPr>
                          <w:rFonts w:hint="eastAsia" w:ascii="宋体" w:hAnsi="宋体" w:cs="宋体"/>
                          <w:szCs w:val="28"/>
                          <w:u w:val="single"/>
                        </w:rPr>
                        <w:t>　　　　　</w:t>
                      </w:r>
                      <w:r>
                        <w:rPr>
                          <w:rFonts w:hint="eastAsia" w:ascii="宋体" w:hAnsi="宋体" w:cs="宋体"/>
                          <w:szCs w:val="28"/>
                        </w:rPr>
                        <w:t>职务，为法定代表人（负责人），</w:t>
                      </w:r>
                    </w:p>
                    <w:p w14:paraId="631D106E">
                      <w:pPr>
                        <w:pStyle w:val="35"/>
                        <w:ind w:firstLine="0" w:firstLineChars="0"/>
                        <w:rPr>
                          <w:rFonts w:hint="eastAsia" w:ascii="宋体" w:hAnsi="宋体" w:cs="宋体"/>
                          <w:szCs w:val="28"/>
                        </w:rPr>
                      </w:pPr>
                      <w:r>
                        <w:rPr>
                          <w:rFonts w:hint="eastAsia" w:ascii="宋体" w:hAnsi="宋体" w:cs="宋体"/>
                          <w:szCs w:val="28"/>
                        </w:rPr>
                        <w:t>特此证明。</w:t>
                      </w:r>
                    </w:p>
                    <w:p w14:paraId="3EC34564">
                      <w:pPr>
                        <w:pStyle w:val="35"/>
                        <w:ind w:firstLine="0" w:firstLineChars="0"/>
                        <w:rPr>
                          <w:rFonts w:hint="eastAsia" w:ascii="宋体" w:hAnsi="宋体" w:cs="宋体"/>
                          <w:szCs w:val="28"/>
                        </w:rPr>
                      </w:pPr>
                      <w:r>
                        <w:rPr>
                          <w:rFonts w:hint="eastAsia" w:ascii="宋体" w:hAnsi="宋体" w:cs="宋体"/>
                          <w:szCs w:val="28"/>
                        </w:rPr>
                        <w:t>有效期限：</w:t>
                      </w:r>
                      <w:r>
                        <w:rPr>
                          <w:rFonts w:hint="eastAsia" w:ascii="宋体" w:hAnsi="宋体" w:cs="宋体"/>
                          <w:szCs w:val="28"/>
                          <w:u w:val="single"/>
                        </w:rPr>
                        <w:t xml:space="preserve">                                  </w:t>
                      </w:r>
                    </w:p>
                    <w:p w14:paraId="38F8AA70">
                      <w:pPr>
                        <w:pStyle w:val="35"/>
                        <w:ind w:firstLine="0" w:firstLineChars="0"/>
                        <w:rPr>
                          <w:rFonts w:hint="eastAsia" w:ascii="宋体" w:hAnsi="宋体" w:cs="宋体"/>
                          <w:szCs w:val="28"/>
                        </w:rPr>
                      </w:pPr>
                      <w:r>
                        <w:rPr>
                          <w:rFonts w:hint="eastAsia" w:ascii="宋体" w:hAnsi="宋体" w:cs="宋体"/>
                          <w:szCs w:val="28"/>
                        </w:rPr>
                        <w:t>附：法定代表人（负责人）性别：</w:t>
                      </w:r>
                      <w:r>
                        <w:rPr>
                          <w:rFonts w:hint="eastAsia" w:ascii="宋体" w:hAnsi="宋体" w:cs="宋体"/>
                          <w:szCs w:val="28"/>
                          <w:u w:val="single"/>
                        </w:rPr>
                        <w:t>　　</w:t>
                      </w:r>
                      <w:r>
                        <w:rPr>
                          <w:rFonts w:hint="eastAsia" w:ascii="宋体" w:hAnsi="宋体" w:cs="宋体"/>
                          <w:szCs w:val="28"/>
                        </w:rPr>
                        <w:t>年龄：</w:t>
                      </w:r>
                      <w:r>
                        <w:rPr>
                          <w:rFonts w:hint="eastAsia" w:ascii="宋体" w:hAnsi="宋体" w:cs="宋体"/>
                          <w:szCs w:val="28"/>
                          <w:u w:val="single"/>
                        </w:rPr>
                        <w:t>　　</w:t>
                      </w:r>
                      <w:r>
                        <w:rPr>
                          <w:rFonts w:hint="eastAsia" w:ascii="宋体" w:hAnsi="宋体" w:cs="宋体"/>
                          <w:szCs w:val="28"/>
                        </w:rPr>
                        <w:t>身份证号码：</w:t>
                      </w:r>
                      <w:r>
                        <w:rPr>
                          <w:rFonts w:hint="eastAsia" w:ascii="宋体" w:hAnsi="宋体" w:cs="宋体"/>
                          <w:szCs w:val="28"/>
                          <w:u w:val="single"/>
                        </w:rPr>
                        <w:t xml:space="preserve">             </w:t>
                      </w:r>
                    </w:p>
                    <w:p w14:paraId="65672256">
                      <w:pPr>
                        <w:pStyle w:val="35"/>
                        <w:ind w:firstLine="0" w:firstLineChars="0"/>
                        <w:rPr>
                          <w:rFonts w:hint="eastAsia" w:ascii="宋体" w:hAnsi="宋体" w:cs="宋体"/>
                          <w:szCs w:val="28"/>
                        </w:rPr>
                      </w:pPr>
                      <w:r>
                        <w:rPr>
                          <w:rFonts w:hint="eastAsia" w:ascii="宋体" w:hAnsi="宋体" w:cs="宋体"/>
                          <w:szCs w:val="28"/>
                        </w:rPr>
                        <w:t>注册号码：</w:t>
                      </w:r>
                      <w:r>
                        <w:rPr>
                          <w:rFonts w:hint="eastAsia" w:ascii="宋体" w:hAnsi="宋体" w:cs="宋体"/>
                          <w:szCs w:val="28"/>
                          <w:u w:val="single"/>
                        </w:rPr>
                        <w:t>　　　　　　　　　　</w:t>
                      </w:r>
                      <w:r>
                        <w:rPr>
                          <w:rFonts w:hint="eastAsia" w:ascii="宋体" w:hAnsi="宋体" w:cs="宋体"/>
                          <w:szCs w:val="28"/>
                        </w:rPr>
                        <w:t>企业类型：</w:t>
                      </w:r>
                      <w:r>
                        <w:rPr>
                          <w:rFonts w:hint="eastAsia" w:ascii="宋体" w:hAnsi="宋体" w:cs="宋体"/>
                          <w:szCs w:val="28"/>
                          <w:u w:val="single"/>
                        </w:rPr>
                        <w:t xml:space="preserve">                          </w:t>
                      </w:r>
                    </w:p>
                    <w:p w14:paraId="2BF29B60">
                      <w:pPr>
                        <w:pStyle w:val="35"/>
                        <w:ind w:firstLine="0" w:firstLineChars="0"/>
                        <w:rPr>
                          <w:rFonts w:hint="eastAsia" w:ascii="宋体" w:hAnsi="宋体" w:cs="宋体"/>
                          <w:szCs w:val="28"/>
                        </w:rPr>
                      </w:pPr>
                      <w:r>
                        <w:rPr>
                          <w:rFonts w:hint="eastAsia" w:ascii="宋体" w:hAnsi="宋体" w:cs="宋体"/>
                          <w:szCs w:val="28"/>
                        </w:rPr>
                        <w:t>经营范围：</w:t>
                      </w:r>
                      <w:r>
                        <w:rPr>
                          <w:rFonts w:hint="eastAsia" w:ascii="宋体" w:hAnsi="宋体" w:cs="宋体"/>
                          <w:szCs w:val="28"/>
                          <w:u w:val="single"/>
                        </w:rPr>
                        <w:t xml:space="preserve">                                       </w:t>
                      </w:r>
                    </w:p>
                    <w:p w14:paraId="4BCE68E4">
                      <w:pPr>
                        <w:pStyle w:val="35"/>
                        <w:ind w:firstLine="0" w:firstLineChars="0"/>
                        <w:rPr>
                          <w:rFonts w:hint="eastAsia" w:ascii="宋体" w:hAnsi="宋体" w:cs="宋体"/>
                          <w:szCs w:val="28"/>
                        </w:rPr>
                      </w:pPr>
                      <w:r>
                        <w:rPr>
                          <w:rFonts w:hint="eastAsia" w:ascii="宋体" w:hAnsi="宋体" w:cs="宋体"/>
                          <w:szCs w:val="28"/>
                        </w:rPr>
                        <w:t>　　　　　　　　　　           单位：　　　　　　　　　　　（盖章）</w:t>
                      </w:r>
                    </w:p>
                    <w:p w14:paraId="026934BC">
                      <w:pPr>
                        <w:pStyle w:val="35"/>
                        <w:ind w:firstLine="0" w:firstLineChars="0"/>
                        <w:rPr>
                          <w:rFonts w:hint="eastAsia" w:ascii="宋体" w:hAnsi="宋体" w:cs="宋体"/>
                          <w:szCs w:val="28"/>
                        </w:rPr>
                      </w:pPr>
                      <w:r>
                        <w:rPr>
                          <w:rFonts w:hint="eastAsia" w:ascii="宋体" w:hAnsi="宋体" w:cs="宋体"/>
                          <w:szCs w:val="28"/>
                        </w:rPr>
                        <w:t>　　　　　　                                           年  月  日</w:t>
                      </w:r>
                    </w:p>
                  </w:txbxContent>
                </v:textbox>
              </v:shape>
            </w:pict>
          </mc:Fallback>
        </mc:AlternateContent>
      </w:r>
    </w:p>
    <w:p w14:paraId="3015E29C">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授权委</w:t>
      </w:r>
    </w:p>
    <w:p w14:paraId="570D0BCB">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56AA76BF">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托证明书</w:t>
      </w:r>
    </w:p>
    <w:p w14:paraId="5E78D5F3">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）第　号</w:t>
      </w:r>
    </w:p>
    <w:p w14:paraId="1DFB38FE">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注：按提供的该表格格式填写，或使用从工商管理部门购买的表格填写。</w:t>
      </w:r>
    </w:p>
    <w:p w14:paraId="450E3130">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1AF18DBB">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6D9C0C9">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（2）法定代表人授权委托书</w:t>
      </w:r>
    </w:p>
    <w:p w14:paraId="78F2BEE5">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xml:space="preserve">                                                     </w:t>
      </w:r>
    </w:p>
    <w:p w14:paraId="5330DC0E">
      <w:pPr>
        <w:topLinePunct w:val="0"/>
        <w:adjustRightInd/>
        <w:snapToGrid/>
        <w:spacing w:line="240" w:lineRule="auto"/>
        <w:ind w:firstLine="0" w:firstLineChars="0"/>
        <w:jc w:val="lef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br w:type="page"/>
      </w:r>
    </w:p>
    <w:p w14:paraId="23267C0F">
      <w:pPr>
        <w:topLinePunct/>
        <w:adjustRightInd w:val="0"/>
        <w:snapToGrid w:val="0"/>
        <w:spacing w:line="360" w:lineRule="auto"/>
        <w:ind w:firstLine="496" w:firstLineChars="200"/>
        <w:jc w:val="lef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（2）法定代表人授权委托书</w:t>
      </w:r>
    </w:p>
    <w:p w14:paraId="689E30B3">
      <w:pPr>
        <w:topLinePunct/>
        <w:adjustRightInd w:val="0"/>
        <w:snapToGrid w:val="0"/>
        <w:spacing w:line="360" w:lineRule="auto"/>
        <w:ind w:firstLine="496" w:firstLineChars="200"/>
        <w:jc w:val="righ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   ）第  号</w:t>
      </w:r>
    </w:p>
    <w:p w14:paraId="45C46827">
      <w:pPr>
        <w:topLinePunct/>
        <w:adjustRightInd w:val="0"/>
        <w:snapToGrid w:val="0"/>
        <w:spacing w:line="360" w:lineRule="auto"/>
        <w:ind w:firstLine="420" w:firstLineChars="200"/>
        <w:rPr>
          <w:rFonts w:hint="eastAsia" w:ascii="宋体" w:hAnsi="宋体" w:cs="宋体"/>
          <w:color w:val="auto"/>
          <w:spacing w:val="4"/>
          <w:kern w:val="0"/>
          <w:sz w:val="24"/>
          <w:szCs w:val="24"/>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117475</wp:posOffset>
                </wp:positionH>
                <wp:positionV relativeFrom="paragraph">
                  <wp:posOffset>36195</wp:posOffset>
                </wp:positionV>
                <wp:extent cx="5692140" cy="3321050"/>
                <wp:effectExtent l="4445" t="4445" r="18415" b="8255"/>
                <wp:wrapNone/>
                <wp:docPr id="1" name="文本框 1"/>
                <wp:cNvGraphicFramePr/>
                <a:graphic xmlns:a="http://schemas.openxmlformats.org/drawingml/2006/main">
                  <a:graphicData uri="http://schemas.microsoft.com/office/word/2010/wordprocessingShape">
                    <wps:wsp>
                      <wps:cNvSpPr txBox="1"/>
                      <wps:spPr>
                        <a:xfrm>
                          <a:off x="0" y="0"/>
                          <a:ext cx="5692140" cy="3321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694881">
                            <w:pPr>
                              <w:pStyle w:val="35"/>
                              <w:ind w:firstLine="0" w:firstLineChars="0"/>
                              <w:rPr>
                                <w:rFonts w:hint="eastAsia" w:ascii="宋体" w:hAnsi="宋体" w:cs="宋体"/>
                                <w:szCs w:val="28"/>
                              </w:rPr>
                            </w:pPr>
                            <w:r>
                              <w:rPr>
                                <w:rFonts w:ascii="宋体" w:hAnsi="宋体" w:cs="宋体"/>
                                <w:szCs w:val="28"/>
                              </w:rPr>
                              <w:t xml:space="preserve">    </w:t>
                            </w:r>
                          </w:p>
                          <w:p w14:paraId="7DF554D4">
                            <w:pPr>
                              <w:pStyle w:val="35"/>
                              <w:ind w:firstLine="0" w:firstLineChars="0"/>
                              <w:rPr>
                                <w:rFonts w:hint="eastAsia" w:ascii="宋体" w:hAnsi="宋体" w:cs="宋体"/>
                              </w:rPr>
                            </w:pPr>
                            <w:r>
                              <w:rPr>
                                <w:rFonts w:hint="eastAsia" w:ascii="宋体" w:hAnsi="宋体" w:cs="宋体"/>
                                <w:szCs w:val="28"/>
                              </w:rPr>
                              <w:t xml:space="preserve">    </w:t>
                            </w:r>
                            <w:r>
                              <w:rPr>
                                <w:rFonts w:hint="eastAsia" w:ascii="宋体" w:hAnsi="宋体" w:cs="宋体"/>
                              </w:rPr>
                              <w:t>兹授权</w:t>
                            </w:r>
                            <w:r>
                              <w:rPr>
                                <w:rFonts w:hint="eastAsia" w:ascii="宋体" w:hAnsi="宋体" w:cs="宋体"/>
                                <w:u w:val="single"/>
                              </w:rPr>
                              <w:t xml:space="preserve">                </w:t>
                            </w:r>
                            <w:r>
                              <w:rPr>
                                <w:rFonts w:hint="eastAsia" w:ascii="宋体" w:hAnsi="宋体" w:cs="宋体"/>
                              </w:rPr>
                              <w:t>为我方委托代理人，其权限是：</w:t>
                            </w:r>
                            <w:r>
                              <w:rPr>
                                <w:rFonts w:hint="eastAsia" w:ascii="宋体" w:hAnsi="宋体" w:cs="宋体"/>
                                <w:u w:val="single"/>
                              </w:rPr>
                              <w:t xml:space="preserve">                </w:t>
                            </w:r>
                          </w:p>
                          <w:p w14:paraId="723972A4">
                            <w:pPr>
                              <w:pStyle w:val="35"/>
                              <w:ind w:firstLine="0" w:firstLineChars="0"/>
                              <w:rPr>
                                <w:rFonts w:hint="eastAsia" w:ascii="宋体" w:hAnsi="宋体" w:cs="宋体"/>
                                <w:u w:val="single"/>
                              </w:rPr>
                            </w:pPr>
                            <w:r>
                              <w:rPr>
                                <w:rFonts w:hint="eastAsia" w:ascii="宋体" w:hAnsi="宋体" w:cs="宋体"/>
                              </w:rPr>
                              <w:t xml:space="preserve"> </w:t>
                            </w:r>
                            <w:r>
                              <w:rPr>
                                <w:rFonts w:hint="eastAsia" w:ascii="宋体" w:hAnsi="宋体" w:cs="宋体"/>
                                <w:u w:val="single"/>
                              </w:rPr>
                              <w:t xml:space="preserve">                                                                </w:t>
                            </w:r>
                          </w:p>
                          <w:p w14:paraId="378C578D">
                            <w:pPr>
                              <w:pStyle w:val="35"/>
                              <w:ind w:firstLine="0" w:firstLineChars="0"/>
                              <w:rPr>
                                <w:rFonts w:hint="eastAsia" w:ascii="宋体" w:hAnsi="宋体" w:cs="宋体"/>
                              </w:rPr>
                            </w:pPr>
                            <w:r>
                              <w:rPr>
                                <w:rFonts w:hint="eastAsia" w:ascii="宋体" w:hAnsi="宋体" w:cs="宋体"/>
                              </w:rPr>
                              <w:t>有效期限：</w:t>
                            </w:r>
                            <w:r>
                              <w:rPr>
                                <w:rFonts w:hint="eastAsia" w:ascii="宋体" w:hAnsi="宋体" w:cs="宋体"/>
                                <w:u w:val="single"/>
                              </w:rPr>
                              <w:t xml:space="preserve">                                                        </w:t>
                            </w:r>
                          </w:p>
                          <w:p w14:paraId="42410FC9">
                            <w:pPr>
                              <w:pStyle w:val="35"/>
                              <w:ind w:firstLine="0" w:firstLineChars="0"/>
                              <w:rPr>
                                <w:rFonts w:hint="eastAsia" w:ascii="宋体" w:hAnsi="宋体" w:cs="宋体"/>
                              </w:rPr>
                            </w:pPr>
                            <w:r>
                              <w:rPr>
                                <w:rFonts w:hint="eastAsia" w:ascii="宋体" w:hAnsi="宋体" w:cs="宋体"/>
                              </w:rPr>
                              <w:t>附：代理人性别：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p>
                          <w:p w14:paraId="32067A84">
                            <w:pPr>
                              <w:pStyle w:val="35"/>
                              <w:ind w:firstLine="0" w:firstLineChars="0"/>
                              <w:rPr>
                                <w:rFonts w:hint="eastAsia" w:ascii="宋体" w:hAnsi="宋体" w:cs="宋体"/>
                              </w:rPr>
                            </w:pPr>
                            <w:r>
                              <w:rPr>
                                <w:rFonts w:hint="eastAsia" w:ascii="宋体" w:hAnsi="宋体" w:cs="宋体"/>
                              </w:rPr>
                              <w:t>注册号码：</w:t>
                            </w:r>
                            <w:r>
                              <w:rPr>
                                <w:rFonts w:hint="eastAsia" w:ascii="宋体" w:hAnsi="宋体" w:cs="宋体"/>
                                <w:u w:val="single"/>
                              </w:rPr>
                              <w:t xml:space="preserve">                  </w:t>
                            </w:r>
                            <w:r>
                              <w:rPr>
                                <w:rFonts w:hint="eastAsia" w:ascii="宋体" w:hAnsi="宋体" w:cs="宋体"/>
                              </w:rPr>
                              <w:t>企业类型：</w:t>
                            </w:r>
                            <w:r>
                              <w:rPr>
                                <w:rFonts w:hint="eastAsia" w:ascii="宋体" w:hAnsi="宋体" w:cs="宋体"/>
                                <w:u w:val="single"/>
                              </w:rPr>
                              <w:t xml:space="preserve">                            </w:t>
                            </w:r>
                          </w:p>
                          <w:p w14:paraId="134950E1">
                            <w:pPr>
                              <w:pStyle w:val="35"/>
                              <w:ind w:firstLine="0" w:firstLineChars="0"/>
                              <w:rPr>
                                <w:rFonts w:hint="eastAsia" w:ascii="宋体" w:hAnsi="宋体" w:cs="宋体"/>
                              </w:rPr>
                            </w:pPr>
                            <w:r>
                              <w:rPr>
                                <w:rFonts w:hint="eastAsia" w:ascii="宋体" w:hAnsi="宋体" w:cs="宋体"/>
                              </w:rPr>
                              <w:t>经营范围：</w:t>
                            </w:r>
                            <w:r>
                              <w:rPr>
                                <w:rFonts w:hint="eastAsia" w:ascii="宋体" w:hAnsi="宋体" w:cs="宋体"/>
                                <w:u w:val="single"/>
                              </w:rPr>
                              <w:t xml:space="preserve">                                                        </w:t>
                            </w:r>
                          </w:p>
                          <w:p w14:paraId="354F3636">
                            <w:pPr>
                              <w:snapToGrid w:val="0"/>
                              <w:spacing w:line="360" w:lineRule="auto"/>
                              <w:rPr>
                                <w:rFonts w:hint="eastAsia" w:ascii="宋体" w:hAnsi="宋体" w:cs="宋体"/>
                                <w:sz w:val="24"/>
                              </w:rPr>
                            </w:pPr>
                            <w:r>
                              <w:rPr>
                                <w:rFonts w:hint="eastAsia" w:ascii="宋体" w:hAnsi="宋体" w:cs="宋体"/>
                                <w:snapToGrid w:val="0"/>
                                <w:spacing w:val="4"/>
                                <w:sz w:val="24"/>
                                <w:szCs w:val="24"/>
                              </w:rPr>
                              <w:t>法定代表人（负</w:t>
                            </w:r>
                            <w:r>
                              <w:rPr>
                                <w:rFonts w:hint="eastAsia" w:ascii="宋体" w:hAnsi="宋体" w:cs="宋体"/>
                                <w:sz w:val="24"/>
                              </w:rPr>
                              <w:t>责人）：</w:t>
                            </w:r>
                            <w:r>
                              <w:rPr>
                                <w:rFonts w:hint="eastAsia" w:ascii="宋体" w:hAnsi="宋体" w:cs="宋体"/>
                                <w:sz w:val="24"/>
                                <w:u w:val="single"/>
                              </w:rPr>
                              <w:t xml:space="preserve">　　　          </w:t>
                            </w:r>
                            <w:r>
                              <w:rPr>
                                <w:rFonts w:hint="eastAsia" w:ascii="宋体" w:hAnsi="宋体" w:cs="宋体"/>
                                <w:sz w:val="24"/>
                              </w:rPr>
                              <w:t>（签名或盖章）</w:t>
                            </w:r>
                          </w:p>
                          <w:p w14:paraId="24C9DBED">
                            <w:pPr>
                              <w:rPr>
                                <w:rFonts w:hint="eastAsia" w:ascii="宋体" w:hAnsi="宋体" w:cs="宋体"/>
                                <w:u w:val="single"/>
                              </w:rPr>
                            </w:pPr>
                            <w:r>
                              <w:rPr>
                                <w:rFonts w:hint="eastAsia" w:ascii="宋体" w:hAnsi="宋体" w:cs="宋体"/>
                                <w:snapToGrid w:val="0"/>
                                <w:spacing w:val="4"/>
                                <w:sz w:val="24"/>
                                <w:szCs w:val="24"/>
                              </w:rPr>
                              <w:t>授权单位：（盖章）</w:t>
                            </w:r>
                            <w:r>
                              <w:rPr>
                                <w:rFonts w:hint="eastAsia" w:ascii="宋体" w:hAnsi="宋体" w:cs="宋体"/>
                                <w:u w:val="single"/>
                              </w:rPr>
                              <w:t xml:space="preserve">       </w:t>
                            </w:r>
                          </w:p>
                        </w:txbxContent>
                      </wps:txbx>
                      <wps:bodyPr upright="1"/>
                    </wps:wsp>
                  </a:graphicData>
                </a:graphic>
              </wp:anchor>
            </w:drawing>
          </mc:Choice>
          <mc:Fallback>
            <w:pict>
              <v:shape id="_x0000_s1026" o:spid="_x0000_s1026" o:spt="202" type="#_x0000_t202" style="position:absolute;left:0pt;margin-left:9.25pt;margin-top:2.85pt;height:261.5pt;width:448.2pt;z-index:251660288;mso-width-relative:page;mso-height-relative:page;" fillcolor="#FFFFFF" filled="t" stroked="t" coordsize="21600,21600" o:gfxdata="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3RyJM1wAAAAgBAAAPAAAAAAAAAAEAIAAA&#10;ACIAAABkcnMvZG93bnJldi54bWxQSwECFAAUAAAACACHTuJAuEJ4HQ0CAAA3BAAADgAAAAAAAAAB&#10;ACAAAAAmAQAAZHJzL2Uyb0RvYy54bWxQSwUGAAAAAAYABgBZAQAApQUAAAAA&#10;">
                <v:fill on="t" focussize="0,0"/>
                <v:stroke color="#000000" joinstyle="miter"/>
                <v:imagedata o:title=""/>
                <o:lock v:ext="edit" aspectratio="f"/>
                <v:textbox>
                  <w:txbxContent>
                    <w:p w14:paraId="09694881">
                      <w:pPr>
                        <w:pStyle w:val="35"/>
                        <w:ind w:firstLine="0" w:firstLineChars="0"/>
                        <w:rPr>
                          <w:rFonts w:hint="eastAsia" w:ascii="宋体" w:hAnsi="宋体" w:cs="宋体"/>
                          <w:szCs w:val="28"/>
                        </w:rPr>
                      </w:pPr>
                      <w:r>
                        <w:rPr>
                          <w:rFonts w:ascii="宋体" w:hAnsi="宋体" w:cs="宋体"/>
                          <w:szCs w:val="28"/>
                        </w:rPr>
                        <w:t xml:space="preserve">    </w:t>
                      </w:r>
                    </w:p>
                    <w:p w14:paraId="7DF554D4">
                      <w:pPr>
                        <w:pStyle w:val="35"/>
                        <w:ind w:firstLine="0" w:firstLineChars="0"/>
                        <w:rPr>
                          <w:rFonts w:hint="eastAsia" w:ascii="宋体" w:hAnsi="宋体" w:cs="宋体"/>
                        </w:rPr>
                      </w:pPr>
                      <w:r>
                        <w:rPr>
                          <w:rFonts w:hint="eastAsia" w:ascii="宋体" w:hAnsi="宋体" w:cs="宋体"/>
                          <w:szCs w:val="28"/>
                        </w:rPr>
                        <w:t xml:space="preserve">    </w:t>
                      </w:r>
                      <w:r>
                        <w:rPr>
                          <w:rFonts w:hint="eastAsia" w:ascii="宋体" w:hAnsi="宋体" w:cs="宋体"/>
                        </w:rPr>
                        <w:t>兹授权</w:t>
                      </w:r>
                      <w:r>
                        <w:rPr>
                          <w:rFonts w:hint="eastAsia" w:ascii="宋体" w:hAnsi="宋体" w:cs="宋体"/>
                          <w:u w:val="single"/>
                        </w:rPr>
                        <w:t xml:space="preserve">                </w:t>
                      </w:r>
                      <w:r>
                        <w:rPr>
                          <w:rFonts w:hint="eastAsia" w:ascii="宋体" w:hAnsi="宋体" w:cs="宋体"/>
                        </w:rPr>
                        <w:t>为我方委托代理人，其权限是：</w:t>
                      </w:r>
                      <w:r>
                        <w:rPr>
                          <w:rFonts w:hint="eastAsia" w:ascii="宋体" w:hAnsi="宋体" w:cs="宋体"/>
                          <w:u w:val="single"/>
                        </w:rPr>
                        <w:t xml:space="preserve">                </w:t>
                      </w:r>
                    </w:p>
                    <w:p w14:paraId="723972A4">
                      <w:pPr>
                        <w:pStyle w:val="35"/>
                        <w:ind w:firstLine="0" w:firstLineChars="0"/>
                        <w:rPr>
                          <w:rFonts w:hint="eastAsia" w:ascii="宋体" w:hAnsi="宋体" w:cs="宋体"/>
                          <w:u w:val="single"/>
                        </w:rPr>
                      </w:pPr>
                      <w:r>
                        <w:rPr>
                          <w:rFonts w:hint="eastAsia" w:ascii="宋体" w:hAnsi="宋体" w:cs="宋体"/>
                        </w:rPr>
                        <w:t xml:space="preserve"> </w:t>
                      </w:r>
                      <w:r>
                        <w:rPr>
                          <w:rFonts w:hint="eastAsia" w:ascii="宋体" w:hAnsi="宋体" w:cs="宋体"/>
                          <w:u w:val="single"/>
                        </w:rPr>
                        <w:t xml:space="preserve">                                                                </w:t>
                      </w:r>
                    </w:p>
                    <w:p w14:paraId="378C578D">
                      <w:pPr>
                        <w:pStyle w:val="35"/>
                        <w:ind w:firstLine="0" w:firstLineChars="0"/>
                        <w:rPr>
                          <w:rFonts w:hint="eastAsia" w:ascii="宋体" w:hAnsi="宋体" w:cs="宋体"/>
                        </w:rPr>
                      </w:pPr>
                      <w:r>
                        <w:rPr>
                          <w:rFonts w:hint="eastAsia" w:ascii="宋体" w:hAnsi="宋体" w:cs="宋体"/>
                        </w:rPr>
                        <w:t>有效期限：</w:t>
                      </w:r>
                      <w:r>
                        <w:rPr>
                          <w:rFonts w:hint="eastAsia" w:ascii="宋体" w:hAnsi="宋体" w:cs="宋体"/>
                          <w:u w:val="single"/>
                        </w:rPr>
                        <w:t xml:space="preserve">                                                        </w:t>
                      </w:r>
                    </w:p>
                    <w:p w14:paraId="42410FC9">
                      <w:pPr>
                        <w:pStyle w:val="35"/>
                        <w:ind w:firstLine="0" w:firstLineChars="0"/>
                        <w:rPr>
                          <w:rFonts w:hint="eastAsia" w:ascii="宋体" w:hAnsi="宋体" w:cs="宋体"/>
                        </w:rPr>
                      </w:pPr>
                      <w:r>
                        <w:rPr>
                          <w:rFonts w:hint="eastAsia" w:ascii="宋体" w:hAnsi="宋体" w:cs="宋体"/>
                        </w:rPr>
                        <w:t>附：代理人性别：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身份证号码：</w:t>
                      </w:r>
                      <w:r>
                        <w:rPr>
                          <w:rFonts w:hint="eastAsia" w:ascii="宋体" w:hAnsi="宋体" w:cs="宋体"/>
                          <w:u w:val="single"/>
                        </w:rPr>
                        <w:t xml:space="preserve">                       </w:t>
                      </w:r>
                    </w:p>
                    <w:p w14:paraId="32067A84">
                      <w:pPr>
                        <w:pStyle w:val="35"/>
                        <w:ind w:firstLine="0" w:firstLineChars="0"/>
                        <w:rPr>
                          <w:rFonts w:hint="eastAsia" w:ascii="宋体" w:hAnsi="宋体" w:cs="宋体"/>
                        </w:rPr>
                      </w:pPr>
                      <w:r>
                        <w:rPr>
                          <w:rFonts w:hint="eastAsia" w:ascii="宋体" w:hAnsi="宋体" w:cs="宋体"/>
                        </w:rPr>
                        <w:t>注册号码：</w:t>
                      </w:r>
                      <w:r>
                        <w:rPr>
                          <w:rFonts w:hint="eastAsia" w:ascii="宋体" w:hAnsi="宋体" w:cs="宋体"/>
                          <w:u w:val="single"/>
                        </w:rPr>
                        <w:t xml:space="preserve">                  </w:t>
                      </w:r>
                      <w:r>
                        <w:rPr>
                          <w:rFonts w:hint="eastAsia" w:ascii="宋体" w:hAnsi="宋体" w:cs="宋体"/>
                        </w:rPr>
                        <w:t>企业类型：</w:t>
                      </w:r>
                      <w:r>
                        <w:rPr>
                          <w:rFonts w:hint="eastAsia" w:ascii="宋体" w:hAnsi="宋体" w:cs="宋体"/>
                          <w:u w:val="single"/>
                        </w:rPr>
                        <w:t xml:space="preserve">                            </w:t>
                      </w:r>
                    </w:p>
                    <w:p w14:paraId="134950E1">
                      <w:pPr>
                        <w:pStyle w:val="35"/>
                        <w:ind w:firstLine="0" w:firstLineChars="0"/>
                        <w:rPr>
                          <w:rFonts w:hint="eastAsia" w:ascii="宋体" w:hAnsi="宋体" w:cs="宋体"/>
                        </w:rPr>
                      </w:pPr>
                      <w:r>
                        <w:rPr>
                          <w:rFonts w:hint="eastAsia" w:ascii="宋体" w:hAnsi="宋体" w:cs="宋体"/>
                        </w:rPr>
                        <w:t>经营范围：</w:t>
                      </w:r>
                      <w:r>
                        <w:rPr>
                          <w:rFonts w:hint="eastAsia" w:ascii="宋体" w:hAnsi="宋体" w:cs="宋体"/>
                          <w:u w:val="single"/>
                        </w:rPr>
                        <w:t xml:space="preserve">                                                        </w:t>
                      </w:r>
                    </w:p>
                    <w:p w14:paraId="354F3636">
                      <w:pPr>
                        <w:snapToGrid w:val="0"/>
                        <w:spacing w:line="360" w:lineRule="auto"/>
                        <w:rPr>
                          <w:rFonts w:hint="eastAsia" w:ascii="宋体" w:hAnsi="宋体" w:cs="宋体"/>
                          <w:sz w:val="24"/>
                        </w:rPr>
                      </w:pPr>
                      <w:r>
                        <w:rPr>
                          <w:rFonts w:hint="eastAsia" w:ascii="宋体" w:hAnsi="宋体" w:cs="宋体"/>
                          <w:snapToGrid w:val="0"/>
                          <w:spacing w:val="4"/>
                          <w:sz w:val="24"/>
                          <w:szCs w:val="24"/>
                        </w:rPr>
                        <w:t>法定代表人（负</w:t>
                      </w:r>
                      <w:r>
                        <w:rPr>
                          <w:rFonts w:hint="eastAsia" w:ascii="宋体" w:hAnsi="宋体" w:cs="宋体"/>
                          <w:sz w:val="24"/>
                        </w:rPr>
                        <w:t>责人）：</w:t>
                      </w:r>
                      <w:r>
                        <w:rPr>
                          <w:rFonts w:hint="eastAsia" w:ascii="宋体" w:hAnsi="宋体" w:cs="宋体"/>
                          <w:sz w:val="24"/>
                          <w:u w:val="single"/>
                        </w:rPr>
                        <w:t xml:space="preserve">　　　          </w:t>
                      </w:r>
                      <w:r>
                        <w:rPr>
                          <w:rFonts w:hint="eastAsia" w:ascii="宋体" w:hAnsi="宋体" w:cs="宋体"/>
                          <w:sz w:val="24"/>
                        </w:rPr>
                        <w:t>（签名或盖章）</w:t>
                      </w:r>
                    </w:p>
                    <w:p w14:paraId="24C9DBED">
                      <w:pPr>
                        <w:rPr>
                          <w:rFonts w:hint="eastAsia" w:ascii="宋体" w:hAnsi="宋体" w:cs="宋体"/>
                          <w:u w:val="single"/>
                        </w:rPr>
                      </w:pPr>
                      <w:r>
                        <w:rPr>
                          <w:rFonts w:hint="eastAsia" w:ascii="宋体" w:hAnsi="宋体" w:cs="宋体"/>
                          <w:snapToGrid w:val="0"/>
                          <w:spacing w:val="4"/>
                          <w:sz w:val="24"/>
                          <w:szCs w:val="24"/>
                        </w:rPr>
                        <w:t>授权单位：（盖章）</w:t>
                      </w:r>
                      <w:r>
                        <w:rPr>
                          <w:rFonts w:hint="eastAsia" w:ascii="宋体" w:hAnsi="宋体" w:cs="宋体"/>
                          <w:u w:val="single"/>
                        </w:rPr>
                        <w:t xml:space="preserve">       </w:t>
                      </w:r>
                    </w:p>
                  </w:txbxContent>
                </v:textbox>
              </v:shape>
            </w:pict>
          </mc:Fallback>
        </mc:AlternateContent>
      </w:r>
    </w:p>
    <w:p w14:paraId="3E19078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61998253">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6C8361A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5A4472FF">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352C7D6C">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59ADFED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15DC7B2A">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A3DFEBF">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1E451AD">
      <w:pPr>
        <w:topLinePunct/>
        <w:adjustRightInd w:val="0"/>
        <w:snapToGrid w:val="0"/>
        <w:spacing w:line="360" w:lineRule="auto"/>
        <w:ind w:firstLine="496" w:firstLineChars="200"/>
        <w:jc w:val="right"/>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注：该格式供参考，原件装订于正本中。</w:t>
      </w:r>
    </w:p>
    <w:p w14:paraId="0140E7A0">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p>
    <w:p w14:paraId="23583D42">
      <w:pPr>
        <w:topLinePunct/>
        <w:adjustRightInd w:val="0"/>
        <w:snapToGrid w:val="0"/>
        <w:spacing w:line="360" w:lineRule="auto"/>
        <w:ind w:firstLine="0" w:firstLineChars="0"/>
        <w:rPr>
          <w:rFonts w:hint="eastAsia" w:ascii="宋体" w:hAnsi="宋体" w:cs="宋体"/>
          <w:b/>
          <w:color w:val="auto"/>
          <w:spacing w:val="4"/>
          <w:kern w:val="0"/>
          <w:szCs w:val="21"/>
          <w:highlight w:val="none"/>
        </w:rPr>
      </w:pPr>
    </w:p>
    <w:p w14:paraId="462A6704">
      <w:pPr>
        <w:topLinePunct/>
        <w:adjustRightInd w:val="0"/>
        <w:snapToGrid w:val="0"/>
        <w:spacing w:line="360" w:lineRule="auto"/>
        <w:ind w:firstLine="0" w:firstLineChars="0"/>
        <w:rPr>
          <w:rFonts w:hint="eastAsia" w:ascii="宋体" w:hAnsi="宋体" w:cs="宋体"/>
          <w:b/>
          <w:color w:val="auto"/>
          <w:spacing w:val="4"/>
          <w:kern w:val="0"/>
          <w:szCs w:val="21"/>
          <w:highlight w:val="none"/>
        </w:rPr>
      </w:pPr>
    </w:p>
    <w:p w14:paraId="44035110">
      <w:pPr>
        <w:topLinePunct/>
        <w:adjustRightInd w:val="0"/>
        <w:snapToGrid w:val="0"/>
        <w:spacing w:line="360" w:lineRule="auto"/>
        <w:ind w:firstLine="0" w:firstLineChars="0"/>
        <w:rPr>
          <w:rFonts w:hint="eastAsia" w:ascii="宋体" w:hAnsi="宋体" w:cs="宋体"/>
          <w:b/>
          <w:color w:val="auto"/>
          <w:spacing w:val="4"/>
          <w:kern w:val="0"/>
          <w:szCs w:val="21"/>
          <w:highlight w:val="none"/>
        </w:rPr>
      </w:pPr>
      <w:r>
        <w:rPr>
          <w:rFonts w:hint="eastAsia" w:ascii="宋体" w:hAnsi="宋体" w:cs="宋体"/>
          <w:b/>
          <w:color w:val="auto"/>
          <w:spacing w:val="4"/>
          <w:kern w:val="0"/>
          <w:szCs w:val="21"/>
          <w:highlight w:val="none"/>
        </w:rPr>
        <w:t>后附法定代表人和委托代理人身份证。</w:t>
      </w:r>
    </w:p>
    <w:p w14:paraId="48C40448">
      <w:pPr>
        <w:pStyle w:val="35"/>
        <w:ind w:firstLine="496"/>
        <w:rPr>
          <w:rFonts w:hint="eastAsia" w:ascii="宋体" w:hAnsi="宋体" w:cs="宋体"/>
          <w:color w:val="auto"/>
          <w:highlight w:val="none"/>
        </w:rPr>
      </w:pPr>
      <w:r>
        <w:rPr>
          <w:rFonts w:hint="eastAsia" w:ascii="宋体" w:hAnsi="宋体" w:cs="宋体"/>
          <w:color w:val="auto"/>
          <w:highlight w:val="none"/>
        </w:rPr>
        <w:t>注：该格式仅供参考。</w:t>
      </w:r>
    </w:p>
    <w:p w14:paraId="692B91BC">
      <w:pPr>
        <w:rPr>
          <w:rFonts w:hint="eastAsia" w:cs="宋体"/>
          <w:b/>
          <w:color w:val="auto"/>
          <w:spacing w:val="4"/>
          <w:sz w:val="24"/>
          <w:szCs w:val="24"/>
          <w:highlight w:val="none"/>
        </w:rPr>
      </w:pPr>
      <w:r>
        <w:rPr>
          <w:rFonts w:hint="eastAsia" w:cs="宋体"/>
          <w:b/>
          <w:color w:val="auto"/>
          <w:spacing w:val="4"/>
          <w:sz w:val="24"/>
          <w:szCs w:val="24"/>
          <w:highlight w:val="none"/>
        </w:rPr>
        <w:br w:type="page"/>
      </w:r>
    </w:p>
    <w:p w14:paraId="24AD9DBD">
      <w:pPr>
        <w:pStyle w:val="7"/>
        <w:rPr>
          <w:rFonts w:hint="eastAsia" w:cs="宋体"/>
          <w:b/>
          <w:color w:val="auto"/>
          <w:spacing w:val="4"/>
          <w:sz w:val="24"/>
          <w:szCs w:val="24"/>
          <w:highlight w:val="none"/>
        </w:rPr>
      </w:pPr>
      <w:r>
        <w:rPr>
          <w:rFonts w:hint="eastAsia" w:cs="宋体"/>
          <w:b/>
          <w:color w:val="auto"/>
          <w:spacing w:val="4"/>
          <w:sz w:val="24"/>
          <w:szCs w:val="24"/>
          <w:highlight w:val="none"/>
          <w:lang w:val="en-US" w:eastAsia="zh-CN"/>
        </w:rPr>
        <w:t>附件五</w:t>
      </w:r>
      <w:r>
        <w:rPr>
          <w:rFonts w:hint="eastAsia" w:cs="宋体"/>
          <w:b/>
          <w:color w:val="auto"/>
          <w:spacing w:val="4"/>
          <w:sz w:val="24"/>
          <w:szCs w:val="24"/>
          <w:highlight w:val="none"/>
        </w:rPr>
        <w:t>：危险性较大的分部分项工程安全管理措施</w:t>
      </w:r>
    </w:p>
    <w:p w14:paraId="5EEF1113">
      <w:pPr>
        <w:pStyle w:val="36"/>
        <w:spacing w:before="158" w:beforeLines="50" w:after="156" w:line="24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危险性较大的分部分项工程安全管理措施</w:t>
      </w:r>
    </w:p>
    <w:p w14:paraId="36519A7A">
      <w:pPr>
        <w:numPr>
          <w:ilvl w:val="0"/>
          <w:numId w:val="2"/>
        </w:numPr>
        <w:autoSpaceDE w:val="0"/>
        <w:autoSpaceDN w:val="0"/>
        <w:adjustRightInd w:val="0"/>
        <w:spacing w:line="360" w:lineRule="auto"/>
        <w:jc w:val="left"/>
        <w:rPr>
          <w:rFonts w:hint="eastAsia" w:ascii="宋体" w:hAnsi="宋体" w:cs="宋体"/>
          <w:snapToGrid w:val="0"/>
          <w:color w:val="auto"/>
          <w:spacing w:val="4"/>
          <w:kern w:val="0"/>
          <w:sz w:val="24"/>
          <w:szCs w:val="24"/>
          <w:highlight w:val="none"/>
        </w:rPr>
      </w:pPr>
      <w:r>
        <w:rPr>
          <w:rFonts w:hint="eastAsia" w:ascii="宋体" w:hAnsi="宋体" w:cs="宋体"/>
          <w:color w:val="auto"/>
          <w:sz w:val="24"/>
          <w:szCs w:val="28"/>
          <w:highlight w:val="none"/>
        </w:rPr>
        <w:t>根据中华人民共和国住房和城乡建设部令第47号《危险性较大的分部分项工程安全管理规定》（以下简称“47号文”），投标人在投标时须补充完善危大工程清单并</w:t>
      </w:r>
      <w:r>
        <w:rPr>
          <w:rFonts w:hint="eastAsia" w:ascii="宋体" w:hAnsi="宋体" w:cs="宋体"/>
          <w:snapToGrid w:val="0"/>
          <w:color w:val="auto"/>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14:paraId="1D5323C8">
      <w:pPr>
        <w:numPr>
          <w:ilvl w:val="0"/>
          <w:numId w:val="2"/>
        </w:numPr>
        <w:autoSpaceDE w:val="0"/>
        <w:autoSpaceDN w:val="0"/>
        <w:adjustRightInd w:val="0"/>
        <w:spacing w:line="360" w:lineRule="auto"/>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招标人根据设计文件的要求及47号文的规定列出“危险性较大的分部分项工程清单及超过一定规模的危险性较大的分部分项工程清单”中与本招标项目相关的清单项，具体详见第5点“打</w:t>
      </w:r>
      <w:r>
        <w:rPr>
          <w:rFonts w:hint="eastAsia" w:ascii="宋体" w:hAnsi="宋体" w:cs="宋体"/>
          <w:color w:val="auto"/>
          <w:sz w:val="24"/>
          <w:szCs w:val="36"/>
          <w:highlight w:val="none"/>
        </w:rPr>
        <w:t>√”标识。</w:t>
      </w:r>
    </w:p>
    <w:p w14:paraId="1CF14BBD">
      <w:pPr>
        <w:autoSpaceDE w:val="0"/>
        <w:autoSpaceDN w:val="0"/>
        <w:adjustRightInd w:val="0"/>
        <w:spacing w:line="360" w:lineRule="auto"/>
        <w:ind w:firstLine="240" w:firstLineChars="100"/>
        <w:jc w:val="left"/>
        <w:rPr>
          <w:rFonts w:hint="eastAsia" w:ascii="宋体" w:hAnsi="宋体" w:cs="宋体"/>
          <w:color w:val="auto"/>
          <w:sz w:val="24"/>
          <w:szCs w:val="36"/>
          <w:highlight w:val="none"/>
        </w:rPr>
      </w:pPr>
      <w:r>
        <w:rPr>
          <w:rFonts w:hint="eastAsia" w:ascii="宋体" w:hAnsi="宋体" w:cs="宋体"/>
          <w:color w:val="auto"/>
          <w:sz w:val="24"/>
          <w:szCs w:val="28"/>
          <w:highlight w:val="none"/>
        </w:rPr>
        <w:t>（1）投标单位同意招标人在清单中标识的该项请在对应项打“</w:t>
      </w:r>
      <w:r>
        <w:rPr>
          <w:rFonts w:hint="eastAsia" w:ascii="宋体" w:hAnsi="宋体" w:cs="宋体"/>
          <w:color w:val="auto"/>
          <w:sz w:val="24"/>
          <w:szCs w:val="36"/>
          <w:highlight w:val="none"/>
        </w:rPr>
        <w:t>√”标识，并在投标文件中提供相应的安全管理措施。</w:t>
      </w:r>
    </w:p>
    <w:p w14:paraId="17F3034B">
      <w:pPr>
        <w:autoSpaceDE w:val="0"/>
        <w:autoSpaceDN w:val="0"/>
        <w:adjustRightInd w:val="0"/>
        <w:spacing w:line="360" w:lineRule="auto"/>
        <w:ind w:firstLine="240" w:firstLineChars="100"/>
        <w:jc w:val="left"/>
        <w:rPr>
          <w:rFonts w:hint="eastAsia" w:ascii="宋体" w:hAnsi="宋体" w:cs="宋体"/>
          <w:color w:val="auto"/>
          <w:sz w:val="24"/>
          <w:szCs w:val="36"/>
          <w:highlight w:val="none"/>
        </w:rPr>
      </w:pPr>
      <w:r>
        <w:rPr>
          <w:rFonts w:hint="eastAsia" w:ascii="宋体" w:hAnsi="宋体" w:cs="宋体"/>
          <w:color w:val="auto"/>
          <w:sz w:val="24"/>
          <w:szCs w:val="28"/>
          <w:highlight w:val="none"/>
        </w:rPr>
        <w:t>（2）投标单位对清单中认为需要补充的该项请在对应项打“</w:t>
      </w:r>
      <w:r>
        <w:rPr>
          <w:rFonts w:hint="eastAsia" w:ascii="宋体" w:hAnsi="宋体" w:cs="宋体"/>
          <w:color w:val="auto"/>
          <w:sz w:val="24"/>
          <w:szCs w:val="36"/>
          <w:highlight w:val="none"/>
        </w:rPr>
        <w:t>√”标识，并在投标文件中提供相应的安全管理措施。</w:t>
      </w:r>
    </w:p>
    <w:p w14:paraId="4D56552C">
      <w:pPr>
        <w:autoSpaceDE w:val="0"/>
        <w:autoSpaceDN w:val="0"/>
        <w:adjustRightInd w:val="0"/>
        <w:spacing w:line="360" w:lineRule="auto"/>
        <w:ind w:firstLine="240" w:firstLineChars="100"/>
        <w:jc w:val="left"/>
        <w:rPr>
          <w:rFonts w:hint="eastAsia" w:ascii="宋体" w:hAnsi="宋体" w:cs="宋体"/>
          <w:color w:val="auto"/>
          <w:sz w:val="24"/>
          <w:szCs w:val="28"/>
          <w:highlight w:val="none"/>
        </w:rPr>
      </w:pPr>
      <w:r>
        <w:rPr>
          <w:rFonts w:hint="eastAsia" w:ascii="宋体" w:hAnsi="宋体" w:cs="宋体"/>
          <w:color w:val="auto"/>
          <w:sz w:val="24"/>
          <w:szCs w:val="36"/>
          <w:highlight w:val="none"/>
        </w:rPr>
        <w:t>（3）投标单位不同意招标人</w:t>
      </w:r>
      <w:r>
        <w:rPr>
          <w:rFonts w:hint="eastAsia" w:ascii="宋体" w:hAnsi="宋体" w:cs="宋体"/>
          <w:color w:val="auto"/>
          <w:sz w:val="24"/>
          <w:szCs w:val="28"/>
          <w:highlight w:val="none"/>
        </w:rPr>
        <w:t>在清单中标识的该项</w:t>
      </w:r>
      <w:r>
        <w:rPr>
          <w:rFonts w:hint="eastAsia" w:ascii="宋体" w:hAnsi="宋体" w:cs="宋体"/>
          <w:color w:val="auto"/>
          <w:sz w:val="24"/>
          <w:szCs w:val="36"/>
          <w:highlight w:val="none"/>
        </w:rPr>
        <w:t>请在对应项打“×”标识，并在备注栏填上相关说明。</w:t>
      </w:r>
    </w:p>
    <w:p w14:paraId="1277B9DD">
      <w:pPr>
        <w:numPr>
          <w:ilvl w:val="0"/>
          <w:numId w:val="2"/>
        </w:numPr>
        <w:autoSpaceDE w:val="0"/>
        <w:autoSpaceDN w:val="0"/>
        <w:adjustRightInd w:val="0"/>
        <w:spacing w:line="360" w:lineRule="auto"/>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投标单位应当在投标时根据招标人提供的下述第5点清单，在投标文件中编制专项施工方案。</w:t>
      </w:r>
    </w:p>
    <w:p w14:paraId="2A3BA7A4">
      <w:pPr>
        <w:numPr>
          <w:ilvl w:val="0"/>
          <w:numId w:val="2"/>
        </w:numPr>
        <w:autoSpaceDE w:val="0"/>
        <w:autoSpaceDN w:val="0"/>
        <w:adjustRightInd w:val="0"/>
        <w:spacing w:line="360" w:lineRule="auto"/>
        <w:jc w:val="left"/>
        <w:rPr>
          <w:rFonts w:hint="eastAsia" w:ascii="宋体" w:hAnsi="宋体" w:cs="宋体"/>
          <w:color w:val="auto"/>
          <w:sz w:val="24"/>
          <w:szCs w:val="28"/>
          <w:highlight w:val="none"/>
        </w:rPr>
      </w:pPr>
      <w:r>
        <w:rPr>
          <w:rFonts w:hint="eastAsia" w:ascii="宋体" w:hAnsi="宋体" w:cs="宋体"/>
          <w:color w:val="auto"/>
          <w:sz w:val="24"/>
          <w:szCs w:val="28"/>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2A54F08E">
      <w:pPr>
        <w:numPr>
          <w:ilvl w:val="0"/>
          <w:numId w:val="2"/>
        </w:numPr>
        <w:autoSpaceDE w:val="0"/>
        <w:autoSpaceDN w:val="0"/>
        <w:adjustRightInd w:val="0"/>
        <w:spacing w:line="360" w:lineRule="auto"/>
        <w:jc w:val="left"/>
        <w:rPr>
          <w:rFonts w:hint="eastAsia" w:ascii="宋体" w:hAnsi="宋体" w:cs="宋体"/>
          <w:color w:val="auto"/>
          <w:szCs w:val="21"/>
          <w:highlight w:val="none"/>
        </w:rPr>
      </w:pPr>
      <w:r>
        <w:rPr>
          <w:rFonts w:hint="eastAsia" w:ascii="宋体" w:hAnsi="宋体" w:cs="宋体"/>
          <w:color w:val="auto"/>
          <w:sz w:val="24"/>
          <w:szCs w:val="28"/>
          <w:highlight w:val="none"/>
        </w:rPr>
        <w:t>危险性较大的分部分项工程清单及超过一定规模的危险性较大的分部分项工程清单：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1361"/>
        <w:gridCol w:w="1361"/>
        <w:gridCol w:w="1063"/>
      </w:tblGrid>
      <w:tr w14:paraId="4B0A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99B4DE">
            <w:pPr>
              <w:spacing w:beforeLines="0" w:afterLines="0"/>
              <w:jc w:val="center"/>
              <w:rPr>
                <w:rFonts w:hint="eastAsia" w:ascii="宋体" w:hAnsi="宋体"/>
                <w:b/>
                <w:color w:val="auto"/>
                <w:sz w:val="24"/>
                <w:szCs w:val="22"/>
                <w:highlight w:val="none"/>
              </w:rPr>
            </w:pPr>
            <w:r>
              <w:rPr>
                <w:rFonts w:hint="eastAsia" w:ascii="宋体" w:hAnsi="宋体"/>
                <w:b/>
                <w:color w:val="auto"/>
                <w:sz w:val="24"/>
                <w:szCs w:val="22"/>
                <w:highlight w:val="none"/>
              </w:rPr>
              <w:t>一、危险性较大的分部分项工程清单</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ADD3DB">
            <w:pPr>
              <w:spacing w:beforeLines="0" w:afterLines="0"/>
              <w:jc w:val="center"/>
              <w:rPr>
                <w:rFonts w:hint="eastAsia" w:ascii="宋体" w:hAnsi="宋体"/>
                <w:color w:val="auto"/>
                <w:sz w:val="24"/>
                <w:szCs w:val="36"/>
                <w:highlight w:val="none"/>
              </w:rPr>
            </w:pPr>
            <w:r>
              <w:rPr>
                <w:rFonts w:hint="eastAsia" w:ascii="宋体" w:hAnsi="宋体"/>
                <w:color w:val="auto"/>
                <w:sz w:val="24"/>
                <w:szCs w:val="36"/>
                <w:highlight w:val="none"/>
              </w:rPr>
              <w:t>建设单位</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D6DC86">
            <w:pPr>
              <w:spacing w:beforeLines="0" w:afterLines="0"/>
              <w:jc w:val="center"/>
              <w:rPr>
                <w:rFonts w:hint="eastAsia" w:ascii="宋体" w:hAnsi="宋体"/>
                <w:color w:val="auto"/>
                <w:sz w:val="24"/>
                <w:szCs w:val="36"/>
                <w:highlight w:val="none"/>
              </w:rPr>
            </w:pPr>
            <w:r>
              <w:rPr>
                <w:rFonts w:hint="eastAsia" w:ascii="宋体" w:hAnsi="宋体"/>
                <w:color w:val="auto"/>
                <w:sz w:val="24"/>
                <w:szCs w:val="36"/>
                <w:highlight w:val="none"/>
              </w:rPr>
              <w:t>投标单位</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C6EE5C">
            <w:pPr>
              <w:spacing w:beforeLines="0" w:afterLines="0"/>
              <w:jc w:val="center"/>
              <w:rPr>
                <w:rFonts w:hint="eastAsia" w:ascii="宋体" w:hAnsi="宋体"/>
                <w:color w:val="auto"/>
                <w:sz w:val="24"/>
                <w:szCs w:val="36"/>
                <w:highlight w:val="none"/>
              </w:rPr>
            </w:pPr>
            <w:r>
              <w:rPr>
                <w:rFonts w:hint="eastAsia" w:ascii="宋体" w:hAnsi="宋体"/>
                <w:color w:val="auto"/>
                <w:sz w:val="24"/>
                <w:szCs w:val="36"/>
                <w:highlight w:val="none"/>
              </w:rPr>
              <w:t>备注</w:t>
            </w:r>
          </w:p>
        </w:tc>
      </w:tr>
      <w:tr w14:paraId="1B2E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3961E44C">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一、基坑支护</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85D7C5">
            <w:pPr>
              <w:spacing w:beforeLines="0" w:afterLines="0"/>
              <w:jc w:val="center"/>
              <w:rPr>
                <w:rFonts w:hint="eastAsia" w:ascii="宋体" w:hAnsi="宋体"/>
                <w:color w:val="auto"/>
                <w:sz w:val="24"/>
                <w:szCs w:val="36"/>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BB5944">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53925F">
            <w:pPr>
              <w:spacing w:beforeLines="0" w:afterLines="0"/>
              <w:jc w:val="center"/>
              <w:rPr>
                <w:rFonts w:hint="eastAsia" w:ascii="宋体" w:hAnsi="宋体"/>
                <w:color w:val="auto"/>
                <w:sz w:val="24"/>
                <w:szCs w:val="36"/>
                <w:highlight w:val="none"/>
              </w:rPr>
            </w:pPr>
          </w:p>
        </w:tc>
      </w:tr>
      <w:tr w14:paraId="2D17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7E8E5DFF">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（一）开挖深度超过3m（含3m）的基坑（槽）的土方开挖、支护、降水工程。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B8AEA4">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BF4519">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6461D4">
            <w:pPr>
              <w:spacing w:beforeLines="0" w:afterLines="0"/>
              <w:jc w:val="center"/>
              <w:rPr>
                <w:rFonts w:hint="eastAsia" w:ascii="宋体" w:hAnsi="宋体"/>
                <w:color w:val="auto"/>
                <w:sz w:val="24"/>
                <w:szCs w:val="36"/>
                <w:highlight w:val="none"/>
              </w:rPr>
            </w:pPr>
          </w:p>
        </w:tc>
      </w:tr>
      <w:tr w14:paraId="6787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4BD89FB9">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（二）开挖深度虽未超过3m，但地质条件、周围环境和地下管线复杂，或影响毗邻建、构筑物安全的基坑（槽）的土方开挖、支护、降水工程。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503774">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285413">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116437">
            <w:pPr>
              <w:spacing w:beforeLines="0" w:afterLines="0"/>
              <w:jc w:val="center"/>
              <w:rPr>
                <w:rFonts w:hint="eastAsia" w:ascii="宋体" w:hAnsi="宋体"/>
                <w:color w:val="auto"/>
                <w:sz w:val="24"/>
                <w:szCs w:val="36"/>
                <w:highlight w:val="none"/>
              </w:rPr>
            </w:pPr>
          </w:p>
        </w:tc>
      </w:tr>
      <w:tr w14:paraId="7B1B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56A2021C">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二、模板工程及支撑体系</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73E477">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C68EB6">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B8A7D8">
            <w:pPr>
              <w:spacing w:beforeLines="0" w:afterLines="0"/>
              <w:jc w:val="center"/>
              <w:rPr>
                <w:rFonts w:hint="eastAsia" w:ascii="宋体" w:hAnsi="宋体"/>
                <w:color w:val="auto"/>
                <w:sz w:val="24"/>
                <w:szCs w:val="36"/>
                <w:highlight w:val="none"/>
              </w:rPr>
            </w:pPr>
          </w:p>
        </w:tc>
      </w:tr>
      <w:tr w14:paraId="776A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614913FB">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（一）各类工具式模板工程：包括滑模、爬模、飞模、隧道模等工程。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B391AF">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443749">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4CE1A4">
            <w:pPr>
              <w:spacing w:beforeLines="0" w:afterLines="0"/>
              <w:jc w:val="center"/>
              <w:rPr>
                <w:rFonts w:hint="eastAsia" w:ascii="宋体" w:hAnsi="宋体"/>
                <w:color w:val="auto"/>
                <w:sz w:val="24"/>
                <w:szCs w:val="36"/>
                <w:highlight w:val="none"/>
              </w:rPr>
            </w:pPr>
          </w:p>
        </w:tc>
      </w:tr>
      <w:tr w14:paraId="2778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51C916FB">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FEA446">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1A517F">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0D3463">
            <w:pPr>
              <w:spacing w:beforeLines="0" w:afterLines="0"/>
              <w:jc w:val="center"/>
              <w:rPr>
                <w:rFonts w:hint="eastAsia" w:ascii="宋体" w:hAnsi="宋体"/>
                <w:color w:val="auto"/>
                <w:sz w:val="24"/>
                <w:szCs w:val="36"/>
                <w:highlight w:val="none"/>
              </w:rPr>
            </w:pPr>
          </w:p>
        </w:tc>
      </w:tr>
      <w:tr w14:paraId="0F4F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320DC98A">
            <w:pPr>
              <w:widowControl/>
              <w:spacing w:beforeLines="0" w:afterLines="0" w:line="360" w:lineRule="atLeast"/>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（三）承重支撑体系：用于钢结构安装等满堂支撑体系。</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40ABB4">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D4AFC6">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BCA669">
            <w:pPr>
              <w:spacing w:beforeLines="0" w:afterLines="0"/>
              <w:jc w:val="center"/>
              <w:rPr>
                <w:rFonts w:hint="eastAsia" w:ascii="宋体" w:hAnsi="宋体"/>
                <w:color w:val="auto"/>
                <w:sz w:val="24"/>
                <w:szCs w:val="36"/>
                <w:highlight w:val="none"/>
              </w:rPr>
            </w:pPr>
          </w:p>
        </w:tc>
      </w:tr>
      <w:tr w14:paraId="06F5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0E492817">
            <w:pPr>
              <w:widowControl/>
              <w:spacing w:beforeLines="0" w:afterLines="0" w:line="360" w:lineRule="atLeast"/>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　三、起重吊装及起重机械安装拆卸工程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12F5F3">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DA0C52">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5F6B39">
            <w:pPr>
              <w:spacing w:beforeLines="0" w:afterLines="0"/>
              <w:jc w:val="center"/>
              <w:rPr>
                <w:rFonts w:hint="eastAsia" w:ascii="宋体" w:hAnsi="宋体"/>
                <w:color w:val="auto"/>
                <w:sz w:val="24"/>
                <w:szCs w:val="36"/>
                <w:highlight w:val="none"/>
              </w:rPr>
            </w:pPr>
          </w:p>
        </w:tc>
      </w:tr>
      <w:tr w14:paraId="2CA0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0E680F80">
            <w:pPr>
              <w:widowControl/>
              <w:spacing w:beforeLines="0" w:afterLines="0" w:line="360" w:lineRule="atLeast"/>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（一）采用非常规起重设备、方法，且单件起吊重量在10kN及以上的起重吊装工程。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B07042">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76034A">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D51AA9">
            <w:pPr>
              <w:spacing w:beforeLines="0" w:afterLines="0"/>
              <w:jc w:val="center"/>
              <w:rPr>
                <w:rFonts w:hint="eastAsia" w:ascii="宋体" w:hAnsi="宋体"/>
                <w:color w:val="auto"/>
                <w:sz w:val="24"/>
                <w:szCs w:val="36"/>
                <w:highlight w:val="none"/>
              </w:rPr>
            </w:pPr>
          </w:p>
        </w:tc>
      </w:tr>
      <w:tr w14:paraId="6D58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0BF8A342">
            <w:pPr>
              <w:spacing w:beforeLines="0" w:afterLines="0"/>
              <w:jc w:val="left"/>
              <w:rPr>
                <w:rFonts w:hint="eastAsia" w:ascii="宋体" w:hAnsi="宋体"/>
                <w:color w:val="auto"/>
                <w:sz w:val="24"/>
                <w:szCs w:val="22"/>
                <w:highlight w:val="none"/>
              </w:rPr>
            </w:pPr>
            <w:r>
              <w:rPr>
                <w:rFonts w:hint="eastAsia" w:ascii="宋体" w:hAnsi="宋体" w:cs="宋体"/>
                <w:color w:val="auto"/>
                <w:sz w:val="24"/>
                <w:szCs w:val="22"/>
                <w:highlight w:val="none"/>
              </w:rPr>
              <w:t>（二）采用起重机械进行安装的工程。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A2F8D3">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B7482C">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79DAB3">
            <w:pPr>
              <w:spacing w:beforeLines="0" w:afterLines="0"/>
              <w:jc w:val="center"/>
              <w:rPr>
                <w:rFonts w:hint="eastAsia" w:ascii="宋体" w:hAnsi="宋体"/>
                <w:color w:val="auto"/>
                <w:sz w:val="24"/>
                <w:szCs w:val="36"/>
                <w:highlight w:val="none"/>
              </w:rPr>
            </w:pPr>
          </w:p>
        </w:tc>
      </w:tr>
      <w:tr w14:paraId="7C1A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54C58E02">
            <w:pPr>
              <w:spacing w:beforeLines="0" w:afterLines="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（三）起重机械安装和拆卸工程。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4B11D2">
            <w:pPr>
              <w:spacing w:beforeLines="0" w:afterLines="0"/>
              <w:jc w:val="center"/>
              <w:rPr>
                <w:rFonts w:hint="eastAsia" w:ascii="宋体" w:hAnsi="宋体"/>
                <w:color w:val="auto"/>
                <w:sz w:val="24"/>
                <w:szCs w:val="36"/>
                <w:highlight w:val="none"/>
              </w:rPr>
            </w:pPr>
            <w:r>
              <w:rPr>
                <w:rFonts w:hint="eastAsia" w:ascii="宋体" w:hAnsi="宋体"/>
                <w:color w:val="auto"/>
                <w:sz w:val="24"/>
                <w:szCs w:val="36"/>
                <w:highlight w:val="none"/>
              </w:rPr>
              <w:t>(√)</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5E4C28">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A35AF5">
            <w:pPr>
              <w:spacing w:beforeLines="0" w:afterLines="0"/>
              <w:jc w:val="center"/>
              <w:rPr>
                <w:rFonts w:hint="eastAsia" w:ascii="宋体" w:hAnsi="宋体"/>
                <w:color w:val="auto"/>
                <w:sz w:val="24"/>
                <w:szCs w:val="36"/>
                <w:highlight w:val="none"/>
              </w:rPr>
            </w:pPr>
          </w:p>
        </w:tc>
      </w:tr>
      <w:tr w14:paraId="46E4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1DF4B28F">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四、脚手架工程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C22387">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B6E5FF">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A73855">
            <w:pPr>
              <w:spacing w:beforeLines="0" w:afterLines="0"/>
              <w:jc w:val="center"/>
              <w:rPr>
                <w:rFonts w:hint="eastAsia" w:ascii="宋体" w:hAnsi="宋体"/>
                <w:color w:val="auto"/>
                <w:sz w:val="24"/>
                <w:szCs w:val="36"/>
                <w:highlight w:val="none"/>
              </w:rPr>
            </w:pPr>
          </w:p>
        </w:tc>
      </w:tr>
      <w:tr w14:paraId="3A65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70B5B52F">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（一）搭设高度24m及以上的落地式钢管脚手架工程（包括采光井、电梯井脚手架）。</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5B78C2">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839868">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0DB530">
            <w:pPr>
              <w:spacing w:beforeLines="0" w:afterLines="0"/>
              <w:jc w:val="center"/>
              <w:rPr>
                <w:rFonts w:hint="eastAsia" w:ascii="宋体" w:hAnsi="宋体"/>
                <w:color w:val="auto"/>
                <w:sz w:val="24"/>
                <w:szCs w:val="36"/>
                <w:highlight w:val="none"/>
              </w:rPr>
            </w:pPr>
          </w:p>
        </w:tc>
      </w:tr>
      <w:tr w14:paraId="32EC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3DCFFA96">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（二）附着式升降脚手架工程。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18E157">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AAFFDF">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44E05F">
            <w:pPr>
              <w:spacing w:beforeLines="0" w:afterLines="0"/>
              <w:jc w:val="center"/>
              <w:rPr>
                <w:rFonts w:hint="eastAsia" w:ascii="宋体" w:hAnsi="宋体"/>
                <w:color w:val="auto"/>
                <w:sz w:val="24"/>
                <w:szCs w:val="36"/>
                <w:highlight w:val="none"/>
              </w:rPr>
            </w:pPr>
          </w:p>
        </w:tc>
      </w:tr>
      <w:tr w14:paraId="512D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4863A5A2">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（三）悬挑式脚手架工程。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F4DD8F">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FA5F36">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93FBC8">
            <w:pPr>
              <w:spacing w:beforeLines="0" w:afterLines="0"/>
              <w:jc w:val="center"/>
              <w:rPr>
                <w:rFonts w:hint="eastAsia" w:ascii="宋体" w:hAnsi="宋体"/>
                <w:color w:val="auto"/>
                <w:sz w:val="24"/>
                <w:szCs w:val="36"/>
                <w:highlight w:val="none"/>
              </w:rPr>
            </w:pPr>
          </w:p>
        </w:tc>
      </w:tr>
      <w:tr w14:paraId="69D7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725500B9">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（四）高处作业吊篮。</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05B986">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9E910D">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0A30CF">
            <w:pPr>
              <w:spacing w:beforeLines="0" w:afterLines="0"/>
              <w:jc w:val="center"/>
              <w:rPr>
                <w:rFonts w:hint="eastAsia" w:ascii="宋体" w:hAnsi="宋体"/>
                <w:color w:val="auto"/>
                <w:sz w:val="24"/>
                <w:szCs w:val="36"/>
                <w:highlight w:val="none"/>
              </w:rPr>
            </w:pPr>
          </w:p>
        </w:tc>
      </w:tr>
      <w:tr w14:paraId="4061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3FAA60D1">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（五）卸料平台、操作平台工程。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C818E5">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68C422">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5A9345">
            <w:pPr>
              <w:spacing w:beforeLines="0" w:afterLines="0"/>
              <w:jc w:val="center"/>
              <w:rPr>
                <w:rFonts w:hint="eastAsia" w:ascii="宋体" w:hAnsi="宋体"/>
                <w:color w:val="auto"/>
                <w:sz w:val="24"/>
                <w:szCs w:val="36"/>
                <w:highlight w:val="none"/>
              </w:rPr>
            </w:pPr>
          </w:p>
        </w:tc>
      </w:tr>
      <w:tr w14:paraId="2B5B2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11EE7990">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（六）异型脚手架工程。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A05EE0">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E68A9F">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03CC99">
            <w:pPr>
              <w:spacing w:beforeLines="0" w:afterLines="0"/>
              <w:jc w:val="center"/>
              <w:rPr>
                <w:rFonts w:hint="eastAsia" w:ascii="宋体" w:hAnsi="宋体"/>
                <w:color w:val="auto"/>
                <w:sz w:val="24"/>
                <w:szCs w:val="36"/>
                <w:highlight w:val="none"/>
              </w:rPr>
            </w:pPr>
          </w:p>
        </w:tc>
      </w:tr>
      <w:tr w14:paraId="26FC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750965B1">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五、拆除工程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D2155E">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C18DFF">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1B2966">
            <w:pPr>
              <w:spacing w:beforeLines="0" w:afterLines="0"/>
              <w:jc w:val="center"/>
              <w:rPr>
                <w:rFonts w:hint="eastAsia" w:ascii="宋体" w:hAnsi="宋体"/>
                <w:color w:val="auto"/>
                <w:sz w:val="24"/>
                <w:szCs w:val="36"/>
                <w:highlight w:val="none"/>
              </w:rPr>
            </w:pPr>
          </w:p>
        </w:tc>
      </w:tr>
      <w:tr w14:paraId="7CEC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0FDF9C1F">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可能影响行人、交通、电力设施、通讯设施或其它建、构筑物安全的拆除工程。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D86622">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3D8E5D">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4E034B">
            <w:pPr>
              <w:spacing w:beforeLines="0" w:afterLines="0"/>
              <w:jc w:val="center"/>
              <w:rPr>
                <w:rFonts w:hint="eastAsia" w:ascii="宋体" w:hAnsi="宋体"/>
                <w:color w:val="auto"/>
                <w:sz w:val="24"/>
                <w:szCs w:val="36"/>
                <w:highlight w:val="none"/>
              </w:rPr>
            </w:pPr>
          </w:p>
        </w:tc>
      </w:tr>
      <w:tr w14:paraId="09B2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7192CCCE">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　六、暗挖工程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293365">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9B859A">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0D17B2">
            <w:pPr>
              <w:spacing w:beforeLines="0" w:afterLines="0"/>
              <w:jc w:val="center"/>
              <w:rPr>
                <w:rFonts w:hint="eastAsia" w:ascii="宋体" w:hAnsi="宋体"/>
                <w:color w:val="auto"/>
                <w:sz w:val="24"/>
                <w:szCs w:val="36"/>
                <w:highlight w:val="none"/>
              </w:rPr>
            </w:pPr>
          </w:p>
        </w:tc>
      </w:tr>
      <w:tr w14:paraId="1684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6DE95DD2">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采用矿山法、盾构法、顶管法施工的隧道、洞室工程。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0E6E41">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9926EB">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B03BE5">
            <w:pPr>
              <w:spacing w:beforeLines="0" w:afterLines="0"/>
              <w:jc w:val="center"/>
              <w:rPr>
                <w:rFonts w:hint="eastAsia" w:ascii="宋体" w:hAnsi="宋体"/>
                <w:color w:val="auto"/>
                <w:sz w:val="24"/>
                <w:szCs w:val="36"/>
                <w:highlight w:val="none"/>
              </w:rPr>
            </w:pPr>
          </w:p>
        </w:tc>
      </w:tr>
      <w:tr w14:paraId="1B68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5C9317D3">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七、其它</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BB2CE2">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A17895">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DAA375">
            <w:pPr>
              <w:spacing w:beforeLines="0" w:afterLines="0"/>
              <w:jc w:val="center"/>
              <w:rPr>
                <w:rFonts w:hint="eastAsia" w:ascii="宋体" w:hAnsi="宋体"/>
                <w:color w:val="auto"/>
                <w:sz w:val="24"/>
                <w:szCs w:val="36"/>
                <w:highlight w:val="none"/>
              </w:rPr>
            </w:pPr>
          </w:p>
        </w:tc>
      </w:tr>
      <w:tr w14:paraId="12F1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6564046B">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（一）建筑幕墙安装工程。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386912">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E87055">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4A44C5">
            <w:pPr>
              <w:spacing w:beforeLines="0" w:afterLines="0"/>
              <w:jc w:val="center"/>
              <w:rPr>
                <w:rFonts w:hint="eastAsia" w:ascii="宋体" w:hAnsi="宋体"/>
                <w:color w:val="auto"/>
                <w:sz w:val="24"/>
                <w:szCs w:val="36"/>
                <w:highlight w:val="none"/>
              </w:rPr>
            </w:pPr>
          </w:p>
        </w:tc>
      </w:tr>
      <w:tr w14:paraId="5B3E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5DB03B12">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（二）钢结构、网架和索膜结构安装工程。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685DE4">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422B61">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22717A">
            <w:pPr>
              <w:spacing w:beforeLines="0" w:afterLines="0"/>
              <w:jc w:val="center"/>
              <w:rPr>
                <w:rFonts w:hint="eastAsia" w:ascii="宋体" w:hAnsi="宋体"/>
                <w:color w:val="auto"/>
                <w:sz w:val="24"/>
                <w:szCs w:val="36"/>
                <w:highlight w:val="none"/>
              </w:rPr>
            </w:pPr>
          </w:p>
        </w:tc>
      </w:tr>
      <w:tr w14:paraId="6C63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12DB4969">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（三）人工挖孔桩工程。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05E235">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1F2019">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CEDB1F">
            <w:pPr>
              <w:spacing w:beforeLines="0" w:afterLines="0"/>
              <w:jc w:val="center"/>
              <w:rPr>
                <w:rFonts w:hint="eastAsia" w:ascii="宋体" w:hAnsi="宋体"/>
                <w:color w:val="auto"/>
                <w:sz w:val="24"/>
                <w:szCs w:val="36"/>
                <w:highlight w:val="none"/>
              </w:rPr>
            </w:pPr>
          </w:p>
        </w:tc>
      </w:tr>
      <w:tr w14:paraId="272D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785CCEEF">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（四）水下作业工程。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9B33BA">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E3E3A5">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269985">
            <w:pPr>
              <w:spacing w:beforeLines="0" w:afterLines="0"/>
              <w:jc w:val="center"/>
              <w:rPr>
                <w:rFonts w:hint="eastAsia" w:ascii="宋体" w:hAnsi="宋体"/>
                <w:color w:val="auto"/>
                <w:sz w:val="24"/>
                <w:szCs w:val="36"/>
                <w:highlight w:val="none"/>
              </w:rPr>
            </w:pPr>
          </w:p>
        </w:tc>
      </w:tr>
      <w:tr w14:paraId="707A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4F34B7AD">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（五）装配式建筑混凝土预制构件安装工程。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2DBD33">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6CD4C8">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3A26C9">
            <w:pPr>
              <w:spacing w:beforeLines="0" w:afterLines="0"/>
              <w:jc w:val="center"/>
              <w:rPr>
                <w:rFonts w:hint="eastAsia" w:ascii="宋体" w:hAnsi="宋体"/>
                <w:color w:val="auto"/>
                <w:sz w:val="24"/>
                <w:szCs w:val="36"/>
                <w:highlight w:val="none"/>
              </w:rPr>
            </w:pPr>
          </w:p>
        </w:tc>
      </w:tr>
      <w:tr w14:paraId="55A9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2F1332B9">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（六）采用新技术、新工艺、新材料、新设备可能影响工程施工安全，尚无国家、行业及地方技术标准的分部分项工程。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99FB0B">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5E1A2B">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72A8F6">
            <w:pPr>
              <w:spacing w:beforeLines="0" w:afterLines="0"/>
              <w:jc w:val="center"/>
              <w:rPr>
                <w:rFonts w:hint="eastAsia" w:ascii="宋体" w:hAnsi="宋体"/>
                <w:color w:val="auto"/>
                <w:sz w:val="24"/>
                <w:szCs w:val="36"/>
                <w:highlight w:val="none"/>
              </w:rPr>
            </w:pPr>
          </w:p>
        </w:tc>
      </w:tr>
      <w:tr w14:paraId="3206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5696B1">
            <w:pPr>
              <w:widowControl/>
              <w:spacing w:beforeLines="0" w:afterLines="0" w:line="360" w:lineRule="atLeast"/>
              <w:rPr>
                <w:rFonts w:hint="eastAsia" w:ascii="宋体" w:hAnsi="宋体" w:cs="宋体"/>
                <w:b/>
                <w:color w:val="auto"/>
                <w:sz w:val="24"/>
                <w:szCs w:val="22"/>
                <w:highlight w:val="none"/>
              </w:rPr>
            </w:pPr>
            <w:r>
              <w:rPr>
                <w:rFonts w:hint="eastAsia" w:ascii="宋体" w:hAnsi="宋体" w:cs="宋体"/>
                <w:b/>
                <w:color w:val="auto"/>
                <w:sz w:val="24"/>
                <w:szCs w:val="22"/>
                <w:highlight w:val="none"/>
              </w:rPr>
              <w:t>二、超过一定规模的危险性较大的分部分项工程清单</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83D0E9">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FD0880">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207D9B">
            <w:pPr>
              <w:spacing w:beforeLines="0" w:afterLines="0"/>
              <w:jc w:val="center"/>
              <w:rPr>
                <w:rFonts w:hint="eastAsia" w:ascii="宋体" w:hAnsi="宋体"/>
                <w:color w:val="auto"/>
                <w:sz w:val="24"/>
                <w:szCs w:val="36"/>
                <w:highlight w:val="none"/>
              </w:rPr>
            </w:pPr>
          </w:p>
        </w:tc>
      </w:tr>
      <w:tr w14:paraId="05DA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721124CA">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一、深基坑工程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8A7EE4">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BA5ABC">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BA55F1">
            <w:pPr>
              <w:spacing w:beforeLines="0" w:afterLines="0"/>
              <w:jc w:val="center"/>
              <w:rPr>
                <w:rFonts w:hint="eastAsia" w:ascii="宋体" w:hAnsi="宋体"/>
                <w:color w:val="auto"/>
                <w:sz w:val="24"/>
                <w:szCs w:val="36"/>
                <w:highlight w:val="none"/>
              </w:rPr>
            </w:pPr>
          </w:p>
        </w:tc>
      </w:tr>
      <w:tr w14:paraId="2932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75F7C883">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开挖深度超过5m（含5m）的基坑（槽）的土方开挖、支护、降水工程。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96B4F6">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9CD2EE">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64E63A">
            <w:pPr>
              <w:spacing w:beforeLines="0" w:afterLines="0"/>
              <w:jc w:val="center"/>
              <w:rPr>
                <w:rFonts w:hint="eastAsia" w:ascii="宋体" w:hAnsi="宋体"/>
                <w:color w:val="auto"/>
                <w:sz w:val="24"/>
                <w:szCs w:val="36"/>
                <w:highlight w:val="none"/>
              </w:rPr>
            </w:pPr>
          </w:p>
        </w:tc>
      </w:tr>
      <w:tr w14:paraId="2DED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4233E54B">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二、模板工程及支撑体系</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2DDB5B">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31904F">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C6520C">
            <w:pPr>
              <w:spacing w:beforeLines="0" w:afterLines="0"/>
              <w:jc w:val="center"/>
              <w:rPr>
                <w:rFonts w:hint="eastAsia" w:ascii="宋体" w:hAnsi="宋体"/>
                <w:color w:val="auto"/>
                <w:sz w:val="24"/>
                <w:szCs w:val="36"/>
                <w:highlight w:val="none"/>
              </w:rPr>
            </w:pPr>
          </w:p>
        </w:tc>
      </w:tr>
      <w:tr w14:paraId="68D9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696E3E94">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（一）各类工具式模板工程：包括滑模、爬模、飞模、隧道模等工程。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00B054">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5C3216">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94D14D">
            <w:pPr>
              <w:spacing w:beforeLines="0" w:afterLines="0"/>
              <w:jc w:val="center"/>
              <w:rPr>
                <w:rFonts w:hint="eastAsia" w:ascii="宋体" w:hAnsi="宋体"/>
                <w:color w:val="auto"/>
                <w:sz w:val="24"/>
                <w:szCs w:val="36"/>
                <w:highlight w:val="none"/>
              </w:rPr>
            </w:pPr>
          </w:p>
        </w:tc>
      </w:tr>
      <w:tr w14:paraId="74AE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53EF1A48">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（二）混凝土模板支撑工程：搭设高度8m及以上，或搭设跨度18m及以上，或施工总荷载（设计值）15kN/m2及以上，或集中线荷载（设计值）20kN/m及以上。</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DFE7F4">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D7930C">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350BA5">
            <w:pPr>
              <w:spacing w:beforeLines="0" w:afterLines="0"/>
              <w:jc w:val="center"/>
              <w:rPr>
                <w:rFonts w:hint="eastAsia" w:ascii="宋体" w:hAnsi="宋体"/>
                <w:color w:val="auto"/>
                <w:sz w:val="24"/>
                <w:szCs w:val="36"/>
                <w:highlight w:val="none"/>
              </w:rPr>
            </w:pPr>
          </w:p>
        </w:tc>
      </w:tr>
      <w:tr w14:paraId="46B9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4FE3B189">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（三）承重支撑体系：用于钢结构安装等满堂支撑体系，承受单点集中荷载7kN及以上。</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5F39E4">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74E14B">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B845ED">
            <w:pPr>
              <w:spacing w:beforeLines="0" w:afterLines="0"/>
              <w:jc w:val="center"/>
              <w:rPr>
                <w:rFonts w:hint="eastAsia" w:ascii="宋体" w:hAnsi="宋体"/>
                <w:color w:val="auto"/>
                <w:sz w:val="24"/>
                <w:szCs w:val="36"/>
                <w:highlight w:val="none"/>
              </w:rPr>
            </w:pPr>
          </w:p>
        </w:tc>
      </w:tr>
      <w:tr w14:paraId="6A2C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0079F5D5">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　三、起重吊装及起重机械安装拆卸工程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4169FD">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F5F947">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4F9E14">
            <w:pPr>
              <w:spacing w:beforeLines="0" w:afterLines="0"/>
              <w:jc w:val="center"/>
              <w:rPr>
                <w:rFonts w:hint="eastAsia" w:ascii="宋体" w:hAnsi="宋体"/>
                <w:color w:val="auto"/>
                <w:sz w:val="24"/>
                <w:szCs w:val="36"/>
                <w:highlight w:val="none"/>
              </w:rPr>
            </w:pPr>
          </w:p>
        </w:tc>
      </w:tr>
      <w:tr w14:paraId="62EC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44CC45A0">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（一）采用非常规起重设备、方法，且单件起吊重量在100kN及以上的起重吊装工程。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B4F477">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E4EF58">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C578BE">
            <w:pPr>
              <w:spacing w:beforeLines="0" w:afterLines="0"/>
              <w:jc w:val="center"/>
              <w:rPr>
                <w:rFonts w:hint="eastAsia" w:ascii="宋体" w:hAnsi="宋体"/>
                <w:color w:val="auto"/>
                <w:sz w:val="24"/>
                <w:szCs w:val="36"/>
                <w:highlight w:val="none"/>
              </w:rPr>
            </w:pPr>
          </w:p>
        </w:tc>
      </w:tr>
      <w:tr w14:paraId="6066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4FE48C9B">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（二）起重量300kN及以上，或搭设总高度200m及以上，或搭设基础标高在200m及以上的起重机械安装和拆卸工程。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6B9513">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B72F00">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339600">
            <w:pPr>
              <w:spacing w:beforeLines="0" w:afterLines="0"/>
              <w:jc w:val="center"/>
              <w:rPr>
                <w:rFonts w:hint="eastAsia" w:ascii="宋体" w:hAnsi="宋体"/>
                <w:color w:val="auto"/>
                <w:sz w:val="24"/>
                <w:szCs w:val="36"/>
                <w:highlight w:val="none"/>
              </w:rPr>
            </w:pPr>
          </w:p>
        </w:tc>
      </w:tr>
      <w:tr w14:paraId="3EB1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22786C49">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四、脚手架工程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56F017">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AE41CC">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AFCD1F">
            <w:pPr>
              <w:spacing w:beforeLines="0" w:afterLines="0"/>
              <w:jc w:val="center"/>
              <w:rPr>
                <w:rFonts w:hint="eastAsia" w:ascii="宋体" w:hAnsi="宋体"/>
                <w:color w:val="auto"/>
                <w:sz w:val="24"/>
                <w:szCs w:val="36"/>
                <w:highlight w:val="none"/>
              </w:rPr>
            </w:pPr>
          </w:p>
        </w:tc>
      </w:tr>
      <w:tr w14:paraId="6EA0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77ECE83E">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（一）搭设高度50m及以上的落地式钢管脚手架工程。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AFAF3E">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FF4D9B">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DA5194">
            <w:pPr>
              <w:spacing w:beforeLines="0" w:afterLines="0"/>
              <w:jc w:val="center"/>
              <w:rPr>
                <w:rFonts w:hint="eastAsia" w:ascii="宋体" w:hAnsi="宋体"/>
                <w:color w:val="auto"/>
                <w:sz w:val="24"/>
                <w:szCs w:val="36"/>
                <w:highlight w:val="none"/>
              </w:rPr>
            </w:pPr>
          </w:p>
        </w:tc>
      </w:tr>
      <w:tr w14:paraId="5449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29A917A6">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（二）提升高度在150m及以上的附着式升降脚手架工程或附着式升降操作平台工程。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D35E97">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7F0520">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2AF971">
            <w:pPr>
              <w:spacing w:beforeLines="0" w:afterLines="0"/>
              <w:jc w:val="center"/>
              <w:rPr>
                <w:rFonts w:hint="eastAsia" w:ascii="宋体" w:hAnsi="宋体"/>
                <w:color w:val="auto"/>
                <w:sz w:val="24"/>
                <w:szCs w:val="36"/>
                <w:highlight w:val="none"/>
              </w:rPr>
            </w:pPr>
          </w:p>
        </w:tc>
      </w:tr>
      <w:tr w14:paraId="280A0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7220D1BF">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（三）分段架体搭设高度20m及以上的悬挑式脚手架工程。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911DA1">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6EBFEB">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019A51">
            <w:pPr>
              <w:spacing w:beforeLines="0" w:afterLines="0"/>
              <w:jc w:val="center"/>
              <w:rPr>
                <w:rFonts w:hint="eastAsia" w:ascii="宋体" w:hAnsi="宋体"/>
                <w:color w:val="auto"/>
                <w:sz w:val="24"/>
                <w:szCs w:val="36"/>
                <w:highlight w:val="none"/>
              </w:rPr>
            </w:pPr>
          </w:p>
        </w:tc>
      </w:tr>
      <w:tr w14:paraId="558E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2DA292AB">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五、拆除工程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CEE437">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F53ABA">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8A7A5C">
            <w:pPr>
              <w:spacing w:beforeLines="0" w:afterLines="0"/>
              <w:jc w:val="center"/>
              <w:rPr>
                <w:rFonts w:hint="eastAsia" w:ascii="宋体" w:hAnsi="宋体"/>
                <w:color w:val="auto"/>
                <w:sz w:val="24"/>
                <w:szCs w:val="36"/>
                <w:highlight w:val="none"/>
              </w:rPr>
            </w:pPr>
          </w:p>
        </w:tc>
      </w:tr>
      <w:tr w14:paraId="584F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1A02C424">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（一）码头、桥梁、高架、烟囱、水塔或拆除中容易引起有毒有害气（液）体或粉尘扩散、易燃易爆事故发生的特殊建、构筑物的拆除工程。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AF51EA">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805C3A">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850DCA">
            <w:pPr>
              <w:spacing w:beforeLines="0" w:afterLines="0"/>
              <w:jc w:val="center"/>
              <w:rPr>
                <w:rFonts w:hint="eastAsia" w:ascii="宋体" w:hAnsi="宋体"/>
                <w:color w:val="auto"/>
                <w:sz w:val="24"/>
                <w:szCs w:val="36"/>
                <w:highlight w:val="none"/>
              </w:rPr>
            </w:pPr>
          </w:p>
        </w:tc>
      </w:tr>
      <w:tr w14:paraId="1D51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29DF1052">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（二）文物保护建筑、优秀历史建筑或历史文化风貌区影响范围内的拆除工程。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7C592F">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B91488">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0327C0">
            <w:pPr>
              <w:spacing w:beforeLines="0" w:afterLines="0"/>
              <w:jc w:val="center"/>
              <w:rPr>
                <w:rFonts w:hint="eastAsia" w:ascii="宋体" w:hAnsi="宋体"/>
                <w:color w:val="auto"/>
                <w:sz w:val="24"/>
                <w:szCs w:val="36"/>
                <w:highlight w:val="none"/>
              </w:rPr>
            </w:pPr>
          </w:p>
        </w:tc>
      </w:tr>
      <w:tr w14:paraId="1130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079F7BBA">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六、暗挖工程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7859C0">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00BB33">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A0CDBD">
            <w:pPr>
              <w:spacing w:beforeLines="0" w:afterLines="0"/>
              <w:jc w:val="center"/>
              <w:rPr>
                <w:rFonts w:hint="eastAsia" w:ascii="宋体" w:hAnsi="宋体"/>
                <w:color w:val="auto"/>
                <w:sz w:val="24"/>
                <w:szCs w:val="36"/>
                <w:highlight w:val="none"/>
              </w:rPr>
            </w:pPr>
          </w:p>
        </w:tc>
      </w:tr>
      <w:tr w14:paraId="6109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0817A67B">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采用矿山法、盾构法、顶管法施工的隧道、洞室工程。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64765C">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615195">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F78987">
            <w:pPr>
              <w:spacing w:beforeLines="0" w:afterLines="0"/>
              <w:jc w:val="center"/>
              <w:rPr>
                <w:rFonts w:hint="eastAsia" w:ascii="宋体" w:hAnsi="宋体"/>
                <w:color w:val="auto"/>
                <w:sz w:val="24"/>
                <w:szCs w:val="36"/>
                <w:highlight w:val="none"/>
              </w:rPr>
            </w:pPr>
          </w:p>
        </w:tc>
      </w:tr>
      <w:tr w14:paraId="596F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55AB1275">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七、其它</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DCF40B">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1D9DB4">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C43083">
            <w:pPr>
              <w:spacing w:beforeLines="0" w:afterLines="0"/>
              <w:jc w:val="center"/>
              <w:rPr>
                <w:rFonts w:hint="eastAsia" w:ascii="宋体" w:hAnsi="宋体"/>
                <w:color w:val="auto"/>
                <w:sz w:val="24"/>
                <w:szCs w:val="36"/>
                <w:highlight w:val="none"/>
              </w:rPr>
            </w:pPr>
          </w:p>
        </w:tc>
      </w:tr>
      <w:tr w14:paraId="084A6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5E092F68">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（一）施工高度50m及以上的建筑幕墙安装工程。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C7325E">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B6B167">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685573">
            <w:pPr>
              <w:spacing w:beforeLines="0" w:afterLines="0"/>
              <w:jc w:val="center"/>
              <w:rPr>
                <w:rFonts w:hint="eastAsia" w:ascii="宋体" w:hAnsi="宋体"/>
                <w:color w:val="auto"/>
                <w:sz w:val="24"/>
                <w:szCs w:val="36"/>
                <w:highlight w:val="none"/>
              </w:rPr>
            </w:pPr>
          </w:p>
        </w:tc>
      </w:tr>
      <w:tr w14:paraId="7C0F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0FF12FD6">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（二）跨度36m及以上的钢结构安装工程，或跨度60m及以上的网架和索膜结构安装工程。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809A22">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056C0D">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043C78">
            <w:pPr>
              <w:spacing w:beforeLines="0" w:afterLines="0"/>
              <w:jc w:val="center"/>
              <w:rPr>
                <w:rFonts w:hint="eastAsia" w:ascii="宋体" w:hAnsi="宋体"/>
                <w:color w:val="auto"/>
                <w:sz w:val="24"/>
                <w:szCs w:val="36"/>
                <w:highlight w:val="none"/>
              </w:rPr>
            </w:pPr>
          </w:p>
        </w:tc>
      </w:tr>
      <w:tr w14:paraId="2793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77C4E676">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（三）开挖深度16m及以上的人工挖孔桩工程。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682F30">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C5FD32">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C20D72">
            <w:pPr>
              <w:spacing w:beforeLines="0" w:afterLines="0"/>
              <w:jc w:val="center"/>
              <w:rPr>
                <w:rFonts w:hint="eastAsia" w:ascii="宋体" w:hAnsi="宋体"/>
                <w:color w:val="auto"/>
                <w:sz w:val="24"/>
                <w:szCs w:val="36"/>
                <w:highlight w:val="none"/>
              </w:rPr>
            </w:pPr>
          </w:p>
        </w:tc>
      </w:tr>
      <w:tr w14:paraId="6796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3BE9489A">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（四）水下作业工程。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2E3147">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CE26CB">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7FE25C">
            <w:pPr>
              <w:spacing w:beforeLines="0" w:afterLines="0"/>
              <w:jc w:val="center"/>
              <w:rPr>
                <w:rFonts w:hint="eastAsia" w:ascii="宋体" w:hAnsi="宋体"/>
                <w:color w:val="auto"/>
                <w:sz w:val="24"/>
                <w:szCs w:val="36"/>
                <w:highlight w:val="none"/>
              </w:rPr>
            </w:pPr>
          </w:p>
        </w:tc>
      </w:tr>
      <w:tr w14:paraId="0987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18AB7714">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（五）重量1000kN及以上的大型结构整体顶升、平移、转体等施工工艺。</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715666">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2DB247">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2E7820">
            <w:pPr>
              <w:spacing w:beforeLines="0" w:afterLines="0"/>
              <w:jc w:val="center"/>
              <w:rPr>
                <w:rFonts w:hint="eastAsia" w:ascii="宋体" w:hAnsi="宋体"/>
                <w:color w:val="auto"/>
                <w:sz w:val="24"/>
                <w:szCs w:val="36"/>
                <w:highlight w:val="none"/>
              </w:rPr>
            </w:pPr>
          </w:p>
        </w:tc>
      </w:tr>
      <w:tr w14:paraId="536E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Borders>
              <w:top w:val="single" w:color="auto" w:sz="4" w:space="0"/>
              <w:left w:val="single" w:color="auto" w:sz="4" w:space="0"/>
              <w:bottom w:val="single" w:color="auto" w:sz="4" w:space="0"/>
              <w:right w:val="single" w:color="auto" w:sz="4" w:space="0"/>
              <w:tl2br w:val="nil"/>
              <w:tr2bl w:val="nil"/>
            </w:tcBorders>
            <w:noWrap w:val="0"/>
            <w:vAlign w:val="top"/>
          </w:tcPr>
          <w:p w14:paraId="310452A0">
            <w:pPr>
              <w:spacing w:beforeLines="0" w:afterLines="0"/>
              <w:jc w:val="left"/>
              <w:rPr>
                <w:rFonts w:hint="eastAsia" w:ascii="宋体" w:hAnsi="宋体"/>
                <w:color w:val="auto"/>
                <w:sz w:val="24"/>
                <w:szCs w:val="22"/>
                <w:highlight w:val="none"/>
              </w:rPr>
            </w:pPr>
            <w:r>
              <w:rPr>
                <w:rFonts w:hint="eastAsia" w:ascii="宋体" w:hAnsi="宋体"/>
                <w:color w:val="auto"/>
                <w:sz w:val="24"/>
                <w:szCs w:val="22"/>
                <w:highlight w:val="none"/>
              </w:rPr>
              <w:t>（六）采用新技术、新工艺、新材料、新设备可能影响工程施工安全，尚无国家、行业及地方技术标准的分部分项工程。</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F9BF84">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F6B1C5">
            <w:pPr>
              <w:spacing w:beforeLines="0" w:afterLines="0"/>
              <w:jc w:val="center"/>
              <w:rPr>
                <w:rFonts w:hint="eastAsia" w:ascii="宋体" w:hAnsi="宋体"/>
                <w:color w:val="auto"/>
                <w:sz w:val="21"/>
                <w:szCs w:val="22"/>
                <w:highlight w:val="none"/>
              </w:rPr>
            </w:pPr>
            <w:r>
              <w:rPr>
                <w:rFonts w:hint="eastAsia" w:ascii="宋体" w:hAnsi="宋体"/>
                <w:color w:val="auto"/>
                <w:sz w:val="24"/>
                <w:szCs w:val="36"/>
                <w:highlight w:val="none"/>
              </w:rPr>
              <w:t>(    )</w:t>
            </w:r>
          </w:p>
        </w:tc>
        <w:tc>
          <w:tcPr>
            <w:tcW w:w="10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6F2CF1">
            <w:pPr>
              <w:spacing w:beforeLines="0" w:afterLines="0"/>
              <w:jc w:val="center"/>
              <w:rPr>
                <w:rFonts w:hint="eastAsia" w:ascii="宋体" w:hAnsi="宋体"/>
                <w:color w:val="auto"/>
                <w:sz w:val="24"/>
                <w:szCs w:val="36"/>
                <w:highlight w:val="none"/>
              </w:rPr>
            </w:pPr>
          </w:p>
        </w:tc>
      </w:tr>
    </w:tbl>
    <w:p w14:paraId="3A553EAD">
      <w:pPr>
        <w:spacing w:line="360" w:lineRule="auto"/>
        <w:jc w:val="left"/>
        <w:rPr>
          <w:rFonts w:ascii="宋体" w:hAnsi="宋体" w:cs="宋体"/>
          <w:color w:val="auto"/>
          <w:sz w:val="24"/>
          <w:szCs w:val="20"/>
          <w:highlight w:val="none"/>
        </w:rPr>
      </w:pPr>
    </w:p>
    <w:p w14:paraId="40E876DF">
      <w:pPr>
        <w:spacing w:line="360" w:lineRule="auto"/>
        <w:ind w:right="360"/>
        <w:jc w:val="center"/>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 xml:space="preserve">投标人名称：                   </w:t>
      </w:r>
    </w:p>
    <w:p w14:paraId="71312CBF">
      <w:pPr>
        <w:spacing w:line="360" w:lineRule="auto"/>
        <w:ind w:right="360"/>
        <w:jc w:val="right"/>
        <w:rPr>
          <w:rFonts w:hint="eastAsia" w:ascii="宋体" w:hAnsi="宋体" w:cs="宋体"/>
          <w:color w:val="auto"/>
          <w:sz w:val="24"/>
          <w:szCs w:val="20"/>
          <w:highlight w:val="none"/>
        </w:rPr>
        <w:sectPr>
          <w:footerReference r:id="rId15" w:type="default"/>
          <w:pgSz w:w="11906" w:h="16838"/>
          <w:pgMar w:top="1440" w:right="1440" w:bottom="1440" w:left="1440" w:header="851" w:footer="992" w:gutter="0"/>
          <w:cols w:space="720" w:num="1"/>
          <w:docGrid w:type="lines" w:linePitch="317" w:charSpace="0"/>
        </w:sectPr>
      </w:pPr>
      <w:r>
        <w:rPr>
          <w:rFonts w:hint="eastAsia" w:ascii="宋体" w:hAnsi="宋体" w:cs="宋体"/>
          <w:color w:val="auto"/>
          <w:sz w:val="24"/>
          <w:szCs w:val="20"/>
          <w:highlight w:val="none"/>
        </w:rPr>
        <w:t xml:space="preserve"> 日期：      年   月   日   </w:t>
      </w:r>
    </w:p>
    <w:p w14:paraId="3DC6D516">
      <w:pPr>
        <w:snapToGrid/>
        <w:spacing w:line="240" w:lineRule="auto"/>
        <w:jc w:val="left"/>
        <w:rPr>
          <w:rStyle w:val="34"/>
          <w:rFonts w:hint="eastAsia"/>
          <w:color w:val="auto"/>
          <w:highlight w:val="none"/>
        </w:rPr>
      </w:pPr>
      <w:bookmarkStart w:id="47" w:name="_Toc21525513"/>
      <w:bookmarkStart w:id="48" w:name="_Toc2272568"/>
    </w:p>
    <w:p w14:paraId="5908214F">
      <w:pPr>
        <w:tabs>
          <w:tab w:val="left" w:pos="720"/>
        </w:tabs>
        <w:snapToGrid w:val="0"/>
        <w:spacing w:line="360" w:lineRule="auto"/>
        <w:ind w:firstLine="1120" w:firstLineChars="400"/>
        <w:jc w:val="center"/>
        <w:rPr>
          <w:rStyle w:val="34"/>
          <w:color w:val="auto"/>
          <w:highlight w:val="none"/>
        </w:rPr>
      </w:pPr>
      <w:r>
        <w:rPr>
          <w:rStyle w:val="34"/>
          <w:rFonts w:hint="eastAsia"/>
          <w:color w:val="auto"/>
          <w:highlight w:val="none"/>
        </w:rPr>
        <w:t>第五章</w:t>
      </w:r>
      <w:r>
        <w:rPr>
          <w:rStyle w:val="34"/>
          <w:color w:val="auto"/>
          <w:highlight w:val="none"/>
        </w:rPr>
        <w:t xml:space="preserve">  </w:t>
      </w:r>
      <w:r>
        <w:rPr>
          <w:rStyle w:val="34"/>
          <w:rFonts w:hint="eastAsia"/>
          <w:color w:val="auto"/>
          <w:highlight w:val="none"/>
        </w:rPr>
        <w:t>技术条件（工程建设标准）</w:t>
      </w:r>
      <w:bookmarkEnd w:id="47"/>
      <w:bookmarkEnd w:id="48"/>
    </w:p>
    <w:p w14:paraId="35B75411">
      <w:pPr>
        <w:jc w:val="both"/>
        <w:rPr>
          <w:rFonts w:hint="eastAsia" w:ascii="宋体" w:hAnsi="宋体"/>
          <w:color w:val="auto"/>
          <w:sz w:val="24"/>
          <w:szCs w:val="24"/>
          <w:highlight w:val="none"/>
        </w:rPr>
      </w:pPr>
    </w:p>
    <w:p w14:paraId="20B7AAA0">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施工现场建筑垃圾源头减量的具体要求和建筑垃圾综合利用产品的使用要求</w:t>
      </w:r>
    </w:p>
    <w:p w14:paraId="3143C657">
      <w:pPr>
        <w:topLinePunct/>
        <w:adjustRightInd w:val="0"/>
        <w:snapToGrid w:val="0"/>
        <w:spacing w:line="360" w:lineRule="auto"/>
        <w:ind w:firstLine="496" w:firstLineChars="200"/>
        <w:jc w:val="left"/>
        <w:rPr>
          <w:rFonts w:ascii="宋体" w:hAnsi="宋体" w:eastAsia="Times New Roman"/>
          <w:snapToGrid w:val="0"/>
          <w:color w:val="auto"/>
          <w:spacing w:val="4"/>
          <w:sz w:val="24"/>
          <w:szCs w:val="24"/>
          <w:highlight w:val="none"/>
        </w:rPr>
      </w:pPr>
    </w:p>
    <w:p w14:paraId="08450804">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1</w:t>
      </w:r>
      <w:r>
        <w:rPr>
          <w:rFonts w:ascii="宋体" w:hAnsi="宋体" w:eastAsia="Times New Roman"/>
          <w:snapToGrid w:val="0"/>
          <w:color w:val="auto"/>
          <w:spacing w:val="4"/>
          <w:szCs w:val="21"/>
          <w:highlight w:val="none"/>
        </w:rPr>
        <w:t>.</w:t>
      </w:r>
      <w:r>
        <w:rPr>
          <w:rFonts w:hint="eastAsia" w:ascii="宋体" w:hAnsi="宋体" w:eastAsia="Times New Roman"/>
          <w:snapToGrid w:val="0"/>
          <w:color w:val="auto"/>
          <w:spacing w:val="4"/>
          <w:szCs w:val="21"/>
          <w:highlight w:val="none"/>
        </w:rPr>
        <w:t>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w:t>
      </w:r>
    </w:p>
    <w:p w14:paraId="6B374182">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（1）工程概况和施工单位基本信息；</w:t>
      </w:r>
    </w:p>
    <w:p w14:paraId="64766666">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（2）建筑垃圾产生量与种类；</w:t>
      </w:r>
    </w:p>
    <w:p w14:paraId="65CE40BC">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（3）建筑垃圾源头减量、分类收集、综合利用、污染防治的措施和目标；</w:t>
      </w:r>
    </w:p>
    <w:p w14:paraId="0AB06A21">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（4）需要外运的建筑垃圾种类、数量与运输的时间、路线、方式和运输单位；</w:t>
      </w:r>
    </w:p>
    <w:p w14:paraId="35AE0415">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（5）建筑垃圾回填、消纳、综合利用场所名称；</w:t>
      </w:r>
    </w:p>
    <w:p w14:paraId="56DD5AFB">
      <w:pPr>
        <w:topLinePunct/>
        <w:adjustRightInd w:val="0"/>
        <w:snapToGrid w:val="0"/>
        <w:spacing w:line="360" w:lineRule="auto"/>
        <w:ind w:firstLine="436" w:firstLineChars="200"/>
        <w:jc w:val="left"/>
        <w:rPr>
          <w:rFonts w:hint="eastAsia"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（6）法律、法规规定的其他内容。</w:t>
      </w:r>
    </w:p>
    <w:p w14:paraId="1E79B0EF">
      <w:pPr>
        <w:topLinePunct/>
        <w:adjustRightInd w:val="0"/>
        <w:snapToGrid w:val="0"/>
        <w:spacing w:line="360" w:lineRule="auto"/>
        <w:ind w:firstLine="436" w:firstLineChars="200"/>
        <w:jc w:val="left"/>
        <w:rPr>
          <w:rFonts w:hint="eastAsia"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2</w:t>
      </w:r>
      <w:r>
        <w:rPr>
          <w:rFonts w:ascii="宋体" w:hAnsi="宋体" w:eastAsia="Times New Roman"/>
          <w:snapToGrid w:val="0"/>
          <w:color w:val="auto"/>
          <w:spacing w:val="4"/>
          <w:szCs w:val="21"/>
          <w:highlight w:val="none"/>
        </w:rPr>
        <w:t>.</w:t>
      </w:r>
      <w:r>
        <w:rPr>
          <w:rFonts w:hint="eastAsia" w:ascii="宋体" w:hAnsi="宋体" w:eastAsia="Times New Roman"/>
          <w:snapToGrid w:val="0"/>
          <w:color w:val="auto"/>
          <w:spacing w:val="4"/>
          <w:szCs w:val="21"/>
          <w:highlight w:val="none"/>
        </w:rPr>
        <w:t>建筑垃圾应当按照国家有关规定进行分类，实行分类收集、分类贮存、分类运输、分类处置。</w:t>
      </w:r>
    </w:p>
    <w:p w14:paraId="2E128F4C">
      <w:pPr>
        <w:topLinePunct/>
        <w:adjustRightInd w:val="0"/>
        <w:snapToGrid w:val="0"/>
        <w:spacing w:line="360" w:lineRule="auto"/>
        <w:ind w:firstLine="436" w:firstLineChars="200"/>
        <w:jc w:val="left"/>
        <w:rPr>
          <w:rFonts w:hint="eastAsia"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3</w:t>
      </w:r>
      <w:r>
        <w:rPr>
          <w:rFonts w:ascii="宋体" w:hAnsi="宋体" w:eastAsia="Times New Roman"/>
          <w:snapToGrid w:val="0"/>
          <w:color w:val="auto"/>
          <w:spacing w:val="4"/>
          <w:szCs w:val="21"/>
          <w:highlight w:val="none"/>
        </w:rPr>
        <w:t>.</w:t>
      </w:r>
      <w:r>
        <w:rPr>
          <w:rFonts w:hint="eastAsia" w:ascii="宋体" w:hAnsi="宋体" w:eastAsia="Times New Roman"/>
          <w:snapToGrid w:val="0"/>
          <w:color w:val="auto"/>
          <w:spacing w:val="4"/>
          <w:szCs w:val="21"/>
          <w:highlight w:val="none"/>
        </w:rPr>
        <w:t>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2D43BE7E">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4</w:t>
      </w:r>
      <w:r>
        <w:rPr>
          <w:rFonts w:ascii="宋体" w:hAnsi="宋体" w:eastAsia="Times New Roman"/>
          <w:snapToGrid w:val="0"/>
          <w:color w:val="auto"/>
          <w:spacing w:val="4"/>
          <w:szCs w:val="21"/>
          <w:highlight w:val="none"/>
        </w:rPr>
        <w:t>.</w:t>
      </w:r>
      <w:r>
        <w:rPr>
          <w:rFonts w:hint="eastAsia" w:ascii="宋体" w:hAnsi="宋体" w:eastAsia="Times New Roman"/>
          <w:snapToGrid w:val="0"/>
          <w:color w:val="auto"/>
          <w:spacing w:val="4"/>
          <w:szCs w:val="21"/>
          <w:highlight w:val="none"/>
        </w:rPr>
        <w:t>运输建筑垃圾应当遵守下列规定：</w:t>
      </w:r>
    </w:p>
    <w:p w14:paraId="6B555372">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（1）建立建筑垃圾运输管理台账；</w:t>
      </w:r>
    </w:p>
    <w:p w14:paraId="3F842EE7">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（2）不得将工程渣土、工程泥浆与其他建筑垃圾混合运输；</w:t>
      </w:r>
    </w:p>
    <w:p w14:paraId="2CB99E6C">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（3）保持运输车辆、船舶等运输工具的行驶记录、卫星定位等电子装置正常使用；</w:t>
      </w:r>
    </w:p>
    <w:p w14:paraId="263FF4EA">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（4）运输过程中保持运输工具整洁，采取密闭或者其他有效措施防止遗撒建筑垃圾，不得擅自倾倒、抛撒建筑垃圾；</w:t>
      </w:r>
    </w:p>
    <w:p w14:paraId="4AE1D52B">
      <w:pPr>
        <w:topLinePunct/>
        <w:adjustRightInd w:val="0"/>
        <w:snapToGrid w:val="0"/>
        <w:spacing w:line="360" w:lineRule="auto"/>
        <w:ind w:firstLine="436" w:firstLineChars="200"/>
        <w:jc w:val="left"/>
        <w:rPr>
          <w:rFonts w:hint="eastAsia"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（5）按照建筑垃圾处理方案确定的时间、路线、方式、场所进行运输。建筑垃圾运输车辆、船舶应当符合相应的载运技术条件。建筑垃圾处置场所为陆域的，不得采用开底式船舶运输建筑垃圾。</w:t>
      </w:r>
    </w:p>
    <w:p w14:paraId="7AF2C160">
      <w:pPr>
        <w:topLinePunct/>
        <w:adjustRightInd w:val="0"/>
        <w:snapToGrid w:val="0"/>
        <w:spacing w:line="360" w:lineRule="auto"/>
        <w:ind w:firstLine="436" w:firstLineChars="200"/>
        <w:jc w:val="left"/>
        <w:rPr>
          <w:rFonts w:hint="eastAsia"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5</w:t>
      </w:r>
      <w:r>
        <w:rPr>
          <w:rFonts w:ascii="宋体" w:hAnsi="宋体" w:eastAsia="Times New Roman"/>
          <w:snapToGrid w:val="0"/>
          <w:color w:val="auto"/>
          <w:spacing w:val="4"/>
          <w:szCs w:val="21"/>
          <w:highlight w:val="none"/>
        </w:rPr>
        <w:t>.</w:t>
      </w:r>
      <w:r>
        <w:rPr>
          <w:rFonts w:hint="eastAsia" w:ascii="宋体" w:hAnsi="宋体" w:eastAsia="Times New Roman"/>
          <w:snapToGrid w:val="0"/>
          <w:color w:val="auto"/>
          <w:spacing w:val="4"/>
          <w:szCs w:val="21"/>
          <w:highlight w:val="none"/>
        </w:rPr>
        <w:t>工程泥浆应当在施工现场进行脱水固化处理。施工现场不具备条件的，应当采用罐装器具密闭运输至依法设置的建筑垃圾处置场所进行处置。水上工程中依法无需经脱水处理的除外。</w:t>
      </w:r>
    </w:p>
    <w:p w14:paraId="7846E252">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6</w:t>
      </w:r>
      <w:r>
        <w:rPr>
          <w:rFonts w:ascii="宋体" w:hAnsi="宋体" w:eastAsia="Times New Roman"/>
          <w:snapToGrid w:val="0"/>
          <w:color w:val="auto"/>
          <w:spacing w:val="4"/>
          <w:szCs w:val="21"/>
          <w:highlight w:val="none"/>
        </w:rPr>
        <w:t>.</w:t>
      </w:r>
      <w:r>
        <w:rPr>
          <w:rFonts w:hint="eastAsia" w:ascii="宋体" w:hAnsi="宋体" w:eastAsia="Times New Roman"/>
          <w:snapToGrid w:val="0"/>
          <w:color w:val="auto"/>
          <w:spacing w:val="4"/>
          <w:szCs w:val="21"/>
          <w:highlight w:val="none"/>
        </w:rPr>
        <w:t>建筑垃圾应当按照下列方式，优先就地就近利用：</w:t>
      </w:r>
    </w:p>
    <w:p w14:paraId="415282CA">
      <w:pPr>
        <w:topLinePunct/>
        <w:adjustRightInd w:val="0"/>
        <w:snapToGrid w:val="0"/>
        <w:spacing w:line="360" w:lineRule="auto"/>
        <w:ind w:firstLine="436" w:firstLineChars="200"/>
        <w:jc w:val="left"/>
        <w:rPr>
          <w:rFonts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（1）工程渣土及脱水后的工程泥浆优先用于土方平衡、矿坑修复、环境治理、烧结制品及回填等；</w:t>
      </w:r>
    </w:p>
    <w:p w14:paraId="7B5A7A08">
      <w:pPr>
        <w:topLinePunct/>
        <w:adjustRightInd w:val="0"/>
        <w:snapToGrid w:val="0"/>
        <w:spacing w:line="360" w:lineRule="auto"/>
        <w:ind w:firstLine="436" w:firstLineChars="200"/>
        <w:jc w:val="left"/>
        <w:rPr>
          <w:rFonts w:hint="eastAsia" w:ascii="宋体" w:hAnsi="宋体" w:eastAsia="Times New Roman"/>
          <w:snapToGrid w:val="0"/>
          <w:color w:val="auto"/>
          <w:spacing w:val="4"/>
          <w:szCs w:val="21"/>
          <w:highlight w:val="none"/>
        </w:rPr>
      </w:pPr>
      <w:r>
        <w:rPr>
          <w:rFonts w:hint="eastAsia" w:ascii="宋体" w:hAnsi="宋体" w:eastAsia="Times New Roman"/>
          <w:snapToGrid w:val="0"/>
          <w:color w:val="auto"/>
          <w:spacing w:val="4"/>
          <w:szCs w:val="21"/>
          <w:highlight w:val="none"/>
        </w:rPr>
        <w:t>（2）工程垃圾、拆除垃圾和装修垃圾优先用于生产再生骨料、再生砖、再生砌块、再生沥青混合料等建筑垃圾综合利用产品。具备现场综合利用条件的建设工程，应当进行建筑垃圾现场综合利用。</w:t>
      </w:r>
    </w:p>
    <w:p w14:paraId="362B364D">
      <w:pPr>
        <w:topLinePunct/>
        <w:adjustRightInd w:val="0"/>
        <w:snapToGrid w:val="0"/>
        <w:spacing w:line="360" w:lineRule="auto"/>
        <w:ind w:firstLine="436" w:firstLineChars="200"/>
        <w:jc w:val="left"/>
        <w:rPr>
          <w:rFonts w:hint="eastAsia" w:ascii="宋体" w:hAnsi="宋体" w:cs="宋体"/>
          <w:snapToGrid w:val="0"/>
          <w:color w:val="auto"/>
          <w:spacing w:val="4"/>
          <w:szCs w:val="21"/>
          <w:highlight w:val="none"/>
        </w:rPr>
      </w:pPr>
      <w:r>
        <w:rPr>
          <w:rFonts w:hint="eastAsia" w:ascii="宋体" w:hAnsi="宋体" w:eastAsia="Times New Roman"/>
          <w:snapToGrid w:val="0"/>
          <w:color w:val="auto"/>
          <w:spacing w:val="4"/>
          <w:szCs w:val="21"/>
          <w:highlight w:val="none"/>
        </w:rPr>
        <w:t>7</w:t>
      </w:r>
      <w:r>
        <w:rPr>
          <w:rFonts w:ascii="宋体" w:hAnsi="宋体" w:eastAsia="Times New Roman"/>
          <w:snapToGrid w:val="0"/>
          <w:color w:val="auto"/>
          <w:spacing w:val="4"/>
          <w:szCs w:val="21"/>
          <w:highlight w:val="none"/>
        </w:rPr>
        <w:t>.</w:t>
      </w:r>
      <w:r>
        <w:rPr>
          <w:rFonts w:hint="eastAsia" w:ascii="宋体" w:hAnsi="宋体" w:eastAsia="Times New Roman"/>
          <w:snapToGrid w:val="0"/>
          <w:color w:val="auto"/>
          <w:spacing w:val="4"/>
          <w:szCs w:val="21"/>
          <w:highlight w:val="none"/>
        </w:rPr>
        <w:t>建设单位和施工单位严格遵守并执行《广东省建筑垃圾管理条例》。</w:t>
      </w:r>
    </w:p>
    <w:p w14:paraId="485B974D">
      <w:pPr>
        <w:rPr>
          <w:color w:val="auto"/>
          <w:sz w:val="24"/>
          <w:szCs w:val="24"/>
          <w:highlight w:val="none"/>
        </w:rPr>
      </w:pPr>
      <w:r>
        <w:rPr>
          <w:color w:val="auto"/>
          <w:sz w:val="24"/>
          <w:szCs w:val="24"/>
          <w:highlight w:val="none"/>
        </w:rPr>
        <w:br w:type="page"/>
      </w:r>
    </w:p>
    <w:p w14:paraId="55E9E5A7">
      <w:pPr>
        <w:pStyle w:val="37"/>
        <w:ind w:left="0"/>
        <w:jc w:val="center"/>
        <w:rPr>
          <w:rFonts w:hint="default" w:cs="Arial" w:eastAsiaTheme="minorEastAsia"/>
          <w:b/>
          <w:color w:val="auto"/>
          <w:sz w:val="28"/>
          <w:szCs w:val="28"/>
          <w:highlight w:val="none"/>
          <w:lang w:val="en-US" w:eastAsia="zh-CN"/>
        </w:rPr>
      </w:pPr>
      <w:r>
        <w:rPr>
          <w:rFonts w:hint="eastAsia" w:cs="Arial" w:eastAsiaTheme="minorEastAsia"/>
          <w:b/>
          <w:color w:val="auto"/>
          <w:sz w:val="28"/>
          <w:szCs w:val="28"/>
          <w:highlight w:val="none"/>
          <w:lang w:eastAsia="zh-CN"/>
        </w:rPr>
        <w:t>华南区域危险废物环境风险防控技术中心建设项目实验室施工专业承包</w:t>
      </w:r>
      <w:r>
        <w:rPr>
          <w:rFonts w:hint="eastAsia" w:cs="Arial" w:eastAsiaTheme="minorEastAsia"/>
          <w:b/>
          <w:color w:val="auto"/>
          <w:sz w:val="28"/>
          <w:szCs w:val="28"/>
          <w:highlight w:val="none"/>
          <w:lang w:val="en-US" w:eastAsia="zh-CN"/>
        </w:rPr>
        <w:t>技术要求</w:t>
      </w:r>
    </w:p>
    <w:p w14:paraId="4E98A7CE">
      <w:pPr>
        <w:pStyle w:val="2"/>
        <w:rPr>
          <w:color w:val="auto"/>
          <w:sz w:val="24"/>
          <w:szCs w:val="24"/>
          <w:highlight w:val="none"/>
        </w:rPr>
      </w:pPr>
    </w:p>
    <w:p w14:paraId="3E457101">
      <w:pPr>
        <w:pStyle w:val="2"/>
        <w:rPr>
          <w:rFonts w:hint="eastAsia" w:eastAsia="宋体" w:cs="Times New Roman"/>
          <w:color w:val="auto"/>
          <w:sz w:val="24"/>
          <w:szCs w:val="24"/>
          <w:highlight w:val="none"/>
          <w:lang w:val="en-US" w:eastAsia="zh-CN"/>
        </w:rPr>
      </w:pPr>
      <w:r>
        <w:rPr>
          <w:rFonts w:hint="eastAsia"/>
          <w:color w:val="auto"/>
          <w:sz w:val="24"/>
          <w:szCs w:val="24"/>
          <w:highlight w:val="none"/>
          <w:lang w:val="en-US" w:eastAsia="zh-CN"/>
        </w:rPr>
        <w:t>详见招标公告附件：华南区域危险废物环境风险防控技术中心建设项目实验室施工专业承包（发包人要求）</w:t>
      </w:r>
    </w:p>
    <w:p w14:paraId="7EB55188">
      <w:pPr>
        <w:pStyle w:val="2"/>
        <w:rPr>
          <w:color w:val="auto"/>
          <w:highlight w:val="none"/>
        </w:rPr>
      </w:pPr>
      <w:r>
        <w:rPr>
          <w:rFonts w:hint="eastAsia" w:eastAsia="宋体" w:cs="Times New Roman"/>
          <w:color w:val="auto"/>
          <w:sz w:val="24"/>
          <w:szCs w:val="24"/>
          <w:highlight w:val="none"/>
          <w:lang w:val="en-US" w:eastAsia="zh-CN"/>
        </w:rPr>
        <w:t>详见招标公告</w:t>
      </w:r>
      <w:r>
        <w:rPr>
          <w:rFonts w:hint="eastAsia"/>
          <w:color w:val="auto"/>
          <w:sz w:val="24"/>
          <w:szCs w:val="24"/>
          <w:highlight w:val="none"/>
          <w:lang w:val="en-US" w:eastAsia="zh-CN"/>
        </w:rPr>
        <w:t>附件：华南区域危险废物环境风险防控技术中心建设项目实验室施工专业承包品牌推荐表</w:t>
      </w:r>
      <w:r>
        <w:rPr>
          <w:color w:val="auto"/>
          <w:sz w:val="24"/>
          <w:szCs w:val="24"/>
          <w:highlight w:val="none"/>
        </w:rPr>
        <w:br w:type="page"/>
      </w:r>
      <w:bookmarkStart w:id="49" w:name="_Toc2272569"/>
      <w:bookmarkStart w:id="50" w:name="_Toc21525514"/>
      <w:r>
        <w:rPr>
          <w:rFonts w:hint="eastAsia"/>
          <w:color w:val="auto"/>
          <w:highlight w:val="none"/>
        </w:rPr>
        <w:t>第六章</w:t>
      </w:r>
      <w:r>
        <w:rPr>
          <w:color w:val="auto"/>
          <w:highlight w:val="none"/>
        </w:rPr>
        <w:t xml:space="preserve">  </w:t>
      </w:r>
      <w:r>
        <w:rPr>
          <w:rFonts w:hint="eastAsia"/>
          <w:color w:val="auto"/>
          <w:highlight w:val="none"/>
        </w:rPr>
        <w:t>图纸及勘察资料</w:t>
      </w:r>
      <w:bookmarkEnd w:id="49"/>
      <w:bookmarkEnd w:id="50"/>
    </w:p>
    <w:p w14:paraId="33763345">
      <w:pPr>
        <w:rPr>
          <w:rFonts w:ascii="宋体"/>
          <w:b/>
          <w:color w:val="auto"/>
          <w:sz w:val="24"/>
          <w:szCs w:val="24"/>
          <w:highlight w:val="none"/>
        </w:rPr>
      </w:pPr>
      <w:r>
        <w:rPr>
          <w:rFonts w:hint="eastAsia" w:ascii="宋体" w:hAnsi="宋体"/>
          <w:color w:val="auto"/>
          <w:sz w:val="24"/>
          <w:szCs w:val="24"/>
          <w:highlight w:val="none"/>
        </w:rPr>
        <w:t>注：本章由招标人自行制定，另册。</w:t>
      </w:r>
    </w:p>
    <w:p w14:paraId="2D942DD6">
      <w:pPr>
        <w:pStyle w:val="2"/>
        <w:rPr>
          <w:color w:val="auto"/>
          <w:highlight w:val="none"/>
        </w:rPr>
      </w:pPr>
      <w:r>
        <w:rPr>
          <w:color w:val="auto"/>
          <w:sz w:val="24"/>
          <w:szCs w:val="24"/>
          <w:highlight w:val="none"/>
        </w:rPr>
        <w:br w:type="page"/>
      </w:r>
      <w:bookmarkStart w:id="51" w:name="_Toc2272570"/>
      <w:bookmarkStart w:id="52" w:name="_Toc21525515"/>
      <w:r>
        <w:rPr>
          <w:rFonts w:hint="eastAsia"/>
          <w:color w:val="auto"/>
          <w:highlight w:val="none"/>
        </w:rPr>
        <w:t>第七章</w:t>
      </w:r>
      <w:r>
        <w:rPr>
          <w:color w:val="auto"/>
          <w:highlight w:val="none"/>
        </w:rPr>
        <w:t xml:space="preserve">  </w:t>
      </w:r>
      <w:r>
        <w:rPr>
          <w:rFonts w:hint="eastAsia"/>
          <w:color w:val="auto"/>
          <w:highlight w:val="none"/>
        </w:rPr>
        <w:t>工程量清单</w:t>
      </w:r>
      <w:bookmarkEnd w:id="51"/>
      <w:bookmarkEnd w:id="52"/>
    </w:p>
    <w:p w14:paraId="7A81941E">
      <w:pPr>
        <w:rPr>
          <w:rFonts w:ascii="宋体"/>
          <w:b/>
          <w:color w:val="auto"/>
          <w:sz w:val="24"/>
          <w:szCs w:val="24"/>
          <w:highlight w:val="none"/>
        </w:rPr>
      </w:pPr>
      <w:r>
        <w:rPr>
          <w:rFonts w:hint="eastAsia" w:ascii="宋体" w:hAnsi="宋体"/>
          <w:color w:val="auto"/>
          <w:sz w:val="24"/>
          <w:szCs w:val="24"/>
          <w:highlight w:val="none"/>
        </w:rPr>
        <w:t>注：本章由招标人自行制定。</w:t>
      </w:r>
    </w:p>
    <w:p w14:paraId="46400671">
      <w:pPr>
        <w:pStyle w:val="4"/>
        <w:spacing w:after="0" w:line="360" w:lineRule="auto"/>
        <w:ind w:left="-2" w:leftChars="-1" w:firstLine="960" w:firstLineChars="400"/>
        <w:rPr>
          <w:rFonts w:ascii="宋体"/>
          <w:color w:val="auto"/>
          <w:sz w:val="24"/>
          <w:highlight w:val="none"/>
        </w:rPr>
      </w:pPr>
    </w:p>
    <w:p w14:paraId="24380FBD">
      <w:pPr>
        <w:pStyle w:val="2"/>
        <w:rPr>
          <w:color w:val="auto"/>
          <w:highlight w:val="none"/>
        </w:rPr>
      </w:pPr>
    </w:p>
    <w:p w14:paraId="31D58AE9">
      <w:pPr>
        <w:pStyle w:val="2"/>
        <w:rPr>
          <w:rFonts w:ascii="宋体"/>
          <w:color w:val="auto"/>
          <w:highlight w:val="none"/>
        </w:rPr>
      </w:pPr>
      <w:r>
        <w:rPr>
          <w:color w:val="auto"/>
          <w:sz w:val="24"/>
          <w:szCs w:val="24"/>
          <w:highlight w:val="none"/>
        </w:rPr>
        <w:br w:type="page"/>
      </w:r>
      <w:bookmarkStart w:id="53" w:name="_Toc21525516"/>
      <w:bookmarkStart w:id="54" w:name="_Toc2272571"/>
      <w:r>
        <w:rPr>
          <w:rFonts w:hint="eastAsia"/>
          <w:color w:val="auto"/>
          <w:highlight w:val="none"/>
        </w:rPr>
        <w:t>第八章</w:t>
      </w:r>
      <w:r>
        <w:rPr>
          <w:color w:val="auto"/>
          <w:highlight w:val="none"/>
        </w:rPr>
        <w:t xml:space="preserve">  </w:t>
      </w:r>
      <w:r>
        <w:rPr>
          <w:rFonts w:hint="eastAsia"/>
          <w:color w:val="auto"/>
          <w:highlight w:val="none"/>
        </w:rPr>
        <w:t>最高投标限价</w:t>
      </w:r>
      <w:bookmarkEnd w:id="53"/>
      <w:bookmarkEnd w:id="54"/>
    </w:p>
    <w:p w14:paraId="35FEA08C">
      <w:pPr>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14:paraId="19D67BB0">
      <w:pPr>
        <w:spacing w:line="360" w:lineRule="auto"/>
        <w:ind w:firstLine="480"/>
        <w:rPr>
          <w:rFonts w:hint="eastAsia" w:ascii="宋体" w:hAnsi="宋体"/>
          <w:color w:val="auto"/>
          <w:sz w:val="24"/>
          <w:szCs w:val="24"/>
          <w:highlight w:val="none"/>
          <w:u w:val="single"/>
        </w:rPr>
      </w:pPr>
    </w:p>
    <w:tbl>
      <w:tblPr>
        <w:tblStyle w:val="1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1ACB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5" w:hRule="atLeast"/>
        </w:trPr>
        <w:tc>
          <w:tcPr>
            <w:tcW w:w="8528" w:type="dxa"/>
          </w:tcPr>
          <w:p w14:paraId="5580DBDB">
            <w:pPr>
              <w:spacing w:line="600" w:lineRule="exact"/>
              <w:jc w:val="center"/>
              <w:rPr>
                <w:rFonts w:hint="eastAsia" w:ascii="宋体" w:hAnsi="宋体"/>
                <w:b/>
                <w:color w:val="auto"/>
                <w:spacing w:val="60"/>
                <w:sz w:val="44"/>
                <w:szCs w:val="44"/>
                <w:highlight w:val="none"/>
              </w:rPr>
            </w:pPr>
            <w:r>
              <w:rPr>
                <w:rFonts w:hint="eastAsia" w:ascii="宋体" w:hAnsi="宋体"/>
                <w:b/>
                <w:color w:val="auto"/>
                <w:spacing w:val="60"/>
                <w:sz w:val="44"/>
                <w:szCs w:val="44"/>
                <w:highlight w:val="none"/>
              </w:rPr>
              <w:t>最高投标限价公布函</w:t>
            </w:r>
          </w:p>
          <w:p w14:paraId="03E79FF3">
            <w:pPr>
              <w:spacing w:line="600" w:lineRule="exact"/>
              <w:jc w:val="center"/>
              <w:rPr>
                <w:rFonts w:hint="eastAsia" w:ascii="宋体" w:hAnsi="宋体"/>
                <w:b/>
                <w:color w:val="auto"/>
                <w:spacing w:val="60"/>
                <w:sz w:val="44"/>
                <w:szCs w:val="44"/>
                <w:highlight w:val="none"/>
              </w:rPr>
            </w:pPr>
            <w:r>
              <w:rPr>
                <w:rFonts w:hint="eastAsia" w:ascii="宋体" w:hAnsi="宋体"/>
                <w:b/>
                <w:color w:val="auto"/>
                <w:spacing w:val="60"/>
                <w:sz w:val="44"/>
                <w:szCs w:val="44"/>
                <w:highlight w:val="none"/>
              </w:rPr>
              <w:t>（参考格式）</w:t>
            </w:r>
          </w:p>
          <w:p w14:paraId="637FA628">
            <w:pPr>
              <w:spacing w:line="360" w:lineRule="auto"/>
              <w:rPr>
                <w:rFonts w:hint="eastAsia" w:ascii="宋体" w:hAnsi="宋体"/>
                <w:color w:val="auto"/>
                <w:szCs w:val="21"/>
                <w:highlight w:val="none"/>
              </w:rPr>
            </w:pPr>
          </w:p>
          <w:p w14:paraId="066E1AA4">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工程名称：</w:t>
            </w:r>
            <w:r>
              <w:rPr>
                <w:rFonts w:hint="eastAsia" w:ascii="宋体" w:hAnsi="宋体"/>
                <w:color w:val="auto"/>
                <w:sz w:val="24"/>
                <w:szCs w:val="24"/>
                <w:highlight w:val="none"/>
                <w:u w:val="single"/>
              </w:rPr>
              <w:t xml:space="preserve">                                                            </w:t>
            </w:r>
          </w:p>
          <w:p w14:paraId="09694A10">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最高投标限价（元）：</w:t>
            </w:r>
            <w:r>
              <w:rPr>
                <w:rFonts w:hint="eastAsia" w:ascii="宋体" w:hAnsi="宋体"/>
                <w:color w:val="auto"/>
                <w:sz w:val="24"/>
                <w:szCs w:val="24"/>
                <w:highlight w:val="none"/>
                <w:u w:val="single"/>
              </w:rPr>
              <w:t xml:space="preserve">                                                   </w:t>
            </w:r>
          </w:p>
          <w:p w14:paraId="767434AE">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分部分项工程费（元）：</w:t>
            </w:r>
            <w:r>
              <w:rPr>
                <w:rFonts w:hint="eastAsia" w:ascii="宋体" w:hAnsi="宋体"/>
                <w:color w:val="auto"/>
                <w:sz w:val="24"/>
                <w:szCs w:val="24"/>
                <w:highlight w:val="none"/>
                <w:u w:val="single"/>
              </w:rPr>
              <w:t xml:space="preserve">                                             </w:t>
            </w:r>
          </w:p>
          <w:p w14:paraId="2E381668">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措施项目费（元）：</w:t>
            </w:r>
            <w:r>
              <w:rPr>
                <w:rFonts w:hint="eastAsia" w:ascii="宋体" w:hAnsi="宋体"/>
                <w:color w:val="auto"/>
                <w:sz w:val="24"/>
                <w:szCs w:val="24"/>
                <w:highlight w:val="none"/>
                <w:u w:val="single"/>
              </w:rPr>
              <w:t xml:space="preserve">                                                 </w:t>
            </w:r>
          </w:p>
          <w:p w14:paraId="0C60CEBA">
            <w:pPr>
              <w:spacing w:line="360" w:lineRule="auto"/>
              <w:ind w:firstLine="960" w:firstLineChars="400"/>
              <w:rPr>
                <w:rFonts w:hint="eastAsia" w:ascii="宋体" w:hAnsi="宋体"/>
                <w:color w:val="auto"/>
                <w:sz w:val="24"/>
                <w:szCs w:val="24"/>
                <w:highlight w:val="none"/>
                <w:u w:val="single"/>
              </w:rPr>
            </w:pPr>
            <w:r>
              <w:rPr>
                <w:rFonts w:hint="eastAsia" w:ascii="宋体" w:hAnsi="宋体"/>
                <w:color w:val="auto"/>
                <w:sz w:val="24"/>
                <w:szCs w:val="24"/>
                <w:highlight w:val="none"/>
              </w:rPr>
              <w:t>其中绿色施工安全防护措施费（元）：</w:t>
            </w:r>
            <w:r>
              <w:rPr>
                <w:rFonts w:hint="eastAsia" w:ascii="宋体" w:hAnsi="宋体"/>
                <w:color w:val="auto"/>
                <w:sz w:val="24"/>
                <w:szCs w:val="24"/>
                <w:highlight w:val="none"/>
                <w:u w:val="single"/>
              </w:rPr>
              <w:t xml:space="preserve">                             </w:t>
            </w:r>
          </w:p>
          <w:p w14:paraId="72F32108">
            <w:pPr>
              <w:spacing w:line="360" w:lineRule="auto"/>
              <w:ind w:firstLine="723" w:firstLineChars="300"/>
              <w:rPr>
                <w:rFonts w:hint="eastAsia" w:ascii="宋体" w:hAnsi="宋体"/>
                <w:color w:val="auto"/>
                <w:sz w:val="24"/>
                <w:szCs w:val="24"/>
                <w:highlight w:val="none"/>
              </w:rPr>
            </w:pPr>
            <w:r>
              <w:rPr>
                <w:rFonts w:hint="eastAsia" w:ascii="宋体" w:hAnsi="宋体"/>
                <w:b/>
                <w:color w:val="auto"/>
                <w:sz w:val="24"/>
                <w:szCs w:val="24"/>
                <w:highlight w:val="none"/>
              </w:rPr>
              <w:t>（详细列明各专业工程绿色施工安全防护措施费）</w:t>
            </w:r>
          </w:p>
          <w:p w14:paraId="145B0457">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其他项目费（元）：</w:t>
            </w:r>
            <w:r>
              <w:rPr>
                <w:rFonts w:hint="eastAsia" w:ascii="宋体" w:hAnsi="宋体"/>
                <w:color w:val="auto"/>
                <w:sz w:val="24"/>
                <w:szCs w:val="24"/>
                <w:highlight w:val="none"/>
                <w:u w:val="single"/>
              </w:rPr>
              <w:t xml:space="preserve">                                                 </w:t>
            </w:r>
          </w:p>
          <w:p w14:paraId="1C846D8D">
            <w:pPr>
              <w:spacing w:line="360" w:lineRule="auto"/>
              <w:ind w:firstLine="960" w:firstLineChars="400"/>
              <w:rPr>
                <w:rFonts w:hint="eastAsia" w:ascii="宋体" w:hAnsi="宋体"/>
                <w:color w:val="auto"/>
                <w:sz w:val="24"/>
                <w:szCs w:val="24"/>
                <w:highlight w:val="none"/>
                <w:u w:val="single"/>
              </w:rPr>
            </w:pPr>
            <w:r>
              <w:rPr>
                <w:rFonts w:hint="eastAsia" w:ascii="宋体" w:hAnsi="宋体"/>
                <w:color w:val="auto"/>
                <w:sz w:val="24"/>
                <w:szCs w:val="24"/>
                <w:highlight w:val="none"/>
              </w:rPr>
              <w:t>其中暂列金额（元）：</w:t>
            </w:r>
            <w:r>
              <w:rPr>
                <w:rFonts w:hint="eastAsia" w:ascii="宋体" w:hAnsi="宋体"/>
                <w:color w:val="auto"/>
                <w:sz w:val="24"/>
                <w:szCs w:val="24"/>
                <w:highlight w:val="none"/>
                <w:u w:val="single"/>
              </w:rPr>
              <w:t xml:space="preserve">                                           </w:t>
            </w:r>
          </w:p>
          <w:p w14:paraId="11645D21">
            <w:pPr>
              <w:spacing w:line="360" w:lineRule="auto"/>
              <w:ind w:firstLine="723" w:firstLineChars="300"/>
              <w:rPr>
                <w:rFonts w:hint="eastAsia" w:ascii="宋体" w:hAnsi="宋体"/>
                <w:color w:val="auto"/>
                <w:sz w:val="24"/>
                <w:szCs w:val="24"/>
                <w:highlight w:val="none"/>
              </w:rPr>
            </w:pPr>
            <w:r>
              <w:rPr>
                <w:rFonts w:hint="eastAsia" w:ascii="宋体" w:hAnsi="宋体"/>
                <w:b/>
                <w:color w:val="auto"/>
                <w:sz w:val="24"/>
                <w:szCs w:val="24"/>
                <w:highlight w:val="none"/>
              </w:rPr>
              <w:t>（详细列明各专业工程暂列金额）</w:t>
            </w:r>
          </w:p>
          <w:p w14:paraId="1D9D8027">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规费（元）：</w:t>
            </w:r>
            <w:r>
              <w:rPr>
                <w:rFonts w:hint="eastAsia" w:ascii="宋体" w:hAnsi="宋体"/>
                <w:color w:val="auto"/>
                <w:sz w:val="24"/>
                <w:szCs w:val="24"/>
                <w:highlight w:val="none"/>
                <w:u w:val="single"/>
              </w:rPr>
              <w:t xml:space="preserve">                                                       </w:t>
            </w:r>
          </w:p>
          <w:p w14:paraId="0F74AD6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税金（元）：</w:t>
            </w:r>
            <w:r>
              <w:rPr>
                <w:rFonts w:hint="eastAsia" w:ascii="宋体" w:hAnsi="宋体"/>
                <w:color w:val="auto"/>
                <w:sz w:val="24"/>
                <w:szCs w:val="24"/>
                <w:highlight w:val="none"/>
                <w:u w:val="single"/>
              </w:rPr>
              <w:t xml:space="preserve">                                                       </w:t>
            </w:r>
          </w:p>
          <w:p w14:paraId="2298EF0A">
            <w:pPr>
              <w:widowControl/>
              <w:spacing w:before="75" w:after="75" w:line="360" w:lineRule="auto"/>
              <w:ind w:firstLine="480" w:firstLineChars="200"/>
              <w:jc w:val="left"/>
              <w:rPr>
                <w:rFonts w:hint="eastAsia" w:ascii="宋体" w:hAnsi="宋体" w:cs="宋体"/>
                <w:color w:val="auto"/>
                <w:kern w:val="0"/>
                <w:sz w:val="24"/>
                <w:szCs w:val="24"/>
                <w:highlight w:val="none"/>
              </w:rPr>
            </w:pPr>
          </w:p>
          <w:p w14:paraId="312D8915">
            <w:pPr>
              <w:widowControl/>
              <w:spacing w:before="75" w:after="75" w:line="360" w:lineRule="auto"/>
              <w:ind w:firstLine="960" w:firstLineChars="4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对公开招标工程，</w:t>
            </w:r>
            <w:r>
              <w:rPr>
                <w:rFonts w:hint="eastAsia" w:ascii="宋体" w:hAnsi="宋体"/>
                <w:color w:val="auto"/>
                <w:sz w:val="24"/>
                <w:szCs w:val="24"/>
                <w:highlight w:val="none"/>
              </w:rPr>
              <w:t>投标人须按照公布的绿色施工安全防护措施费、</w:t>
            </w:r>
            <w:r>
              <w:rPr>
                <w:rFonts w:hint="eastAsia" w:ascii="宋体" w:hAnsi="宋体" w:cs="宋体"/>
                <w:color w:val="auto"/>
                <w:kern w:val="0"/>
                <w:sz w:val="24"/>
                <w:szCs w:val="24"/>
                <w:highlight w:val="none"/>
              </w:rPr>
              <w:t>暂</w:t>
            </w:r>
          </w:p>
          <w:p w14:paraId="13B9AE09">
            <w:pPr>
              <w:widowControl/>
              <w:spacing w:before="75" w:after="75"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列金额报价。</w:t>
            </w:r>
          </w:p>
          <w:p w14:paraId="4D951163">
            <w:pPr>
              <w:widowControl/>
              <w:spacing w:before="75" w:after="75" w:line="360" w:lineRule="auto"/>
              <w:ind w:firstLine="5640" w:firstLineChars="2350"/>
              <w:jc w:val="left"/>
              <w:rPr>
                <w:rFonts w:hint="eastAsia" w:ascii="宋体" w:hAnsi="宋体"/>
                <w:b/>
                <w:color w:val="auto"/>
                <w:spacing w:val="60"/>
                <w:sz w:val="24"/>
                <w:szCs w:val="24"/>
                <w:highlight w:val="none"/>
              </w:rPr>
            </w:pPr>
            <w:r>
              <w:rPr>
                <w:rFonts w:hint="eastAsia" w:ascii="宋体" w:hAnsi="宋体"/>
                <w:color w:val="auto"/>
                <w:sz w:val="24"/>
                <w:szCs w:val="24"/>
                <w:highlight w:val="none"/>
              </w:rPr>
              <w:t>招标单位（盖章）</w:t>
            </w:r>
            <w:r>
              <w:rPr>
                <w:rFonts w:hint="eastAsia" w:ascii="宋体" w:hAnsi="宋体"/>
                <w:b/>
                <w:color w:val="auto"/>
                <w:spacing w:val="60"/>
                <w:sz w:val="24"/>
                <w:szCs w:val="24"/>
                <w:highlight w:val="none"/>
              </w:rPr>
              <w:t xml:space="preserve">              </w:t>
            </w:r>
          </w:p>
          <w:p w14:paraId="4D70BA4B">
            <w:pPr>
              <w:widowControl/>
              <w:spacing w:before="75" w:after="75" w:line="360" w:lineRule="auto"/>
              <w:ind w:firstLine="5880" w:firstLineChars="2450"/>
              <w:jc w:val="left"/>
              <w:rPr>
                <w:rFonts w:hint="eastAsia" w:ascii="宋体" w:hAnsi="宋体"/>
                <w:b/>
                <w:color w:val="auto"/>
                <w:spacing w:val="60"/>
                <w:sz w:val="44"/>
                <w:szCs w:val="44"/>
                <w:highlight w:val="none"/>
              </w:rPr>
            </w:pP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日</w:t>
            </w:r>
          </w:p>
        </w:tc>
      </w:tr>
    </w:tbl>
    <w:p w14:paraId="6A8A3A44">
      <w:pPr>
        <w:spacing w:line="360" w:lineRule="auto"/>
        <w:ind w:firstLine="480"/>
        <w:rPr>
          <w:rFonts w:hint="eastAsia" w:ascii="宋体" w:hAnsi="宋体"/>
          <w:color w:val="auto"/>
          <w:sz w:val="24"/>
          <w:szCs w:val="24"/>
          <w:highlight w:val="none"/>
          <w:u w:val="single"/>
        </w:rPr>
      </w:pPr>
    </w:p>
    <w:p w14:paraId="00220BB9">
      <w:pPr>
        <w:rPr>
          <w:color w:val="auto"/>
          <w:highlight w:val="none"/>
        </w:rPr>
      </w:pPr>
    </w:p>
    <w:p w14:paraId="04DB6751">
      <w:pPr>
        <w:rPr>
          <w:color w:val="auto"/>
          <w:highlight w:val="none"/>
        </w:rPr>
      </w:pPr>
    </w:p>
    <w:p w14:paraId="51A927DB">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0A876">
    <w:pPr>
      <w:pStyle w:val="13"/>
      <w:ind w:firstLine="392"/>
      <w:jc w:val="center"/>
      <w:rPr>
        <w:rStyle w:val="20"/>
      </w:rPr>
    </w:pPr>
    <w:r>
      <w:rPr>
        <w:rStyle w:val="20"/>
      </w:rPr>
      <w:fldChar w:fldCharType="begin"/>
    </w:r>
    <w:r>
      <w:rPr>
        <w:rStyle w:val="20"/>
      </w:rPr>
      <w:instrText xml:space="preserve">PAGE  </w:instrText>
    </w:r>
    <w:r>
      <w:rPr>
        <w:rStyle w:val="20"/>
      </w:rPr>
      <w:fldChar w:fldCharType="separate"/>
    </w:r>
    <w:r>
      <w:rPr>
        <w:rStyle w:val="20"/>
      </w:rPr>
      <w:t>21</w:t>
    </w:r>
    <w:r>
      <w:rPr>
        <w:rStyle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C2894">
    <w:pPr>
      <w:pStyle w:val="13"/>
      <w:ind w:firstLine="392"/>
      <w:rPr>
        <w:rStyle w:val="20"/>
      </w:rPr>
    </w:pPr>
    <w:r>
      <w:rPr>
        <w:rStyle w:val="20"/>
      </w:rPr>
      <w:fldChar w:fldCharType="begin"/>
    </w:r>
    <w:r>
      <w:rPr>
        <w:rStyle w:val="20"/>
      </w:rPr>
      <w:instrText xml:space="preserve">PAGE  </w:instrText>
    </w:r>
    <w:r>
      <w:rPr>
        <w:rStyle w:val="20"/>
      </w:rPr>
      <w:fldChar w:fldCharType="separate"/>
    </w:r>
    <w:r>
      <w:rPr>
        <w:rStyle w:val="20"/>
        <w:rFonts w:hint="eastAsia"/>
      </w:rPr>
      <w:t>一</w:t>
    </w:r>
    <w:r>
      <w:rPr>
        <w:rStyle w:val="20"/>
      </w:rPr>
      <w:t>–2</w:t>
    </w:r>
    <w:r>
      <w:rPr>
        <w:rStyle w:val="20"/>
      </w:rPr>
      <w:fldChar w:fldCharType="end"/>
    </w:r>
  </w:p>
  <w:p w14:paraId="2680D12F">
    <w:pPr>
      <w:pStyle w:val="13"/>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56325">
    <w:pPr>
      <w:pStyle w:val="13"/>
      <w:ind w:firstLine="392"/>
      <w:jc w:val="center"/>
    </w:pPr>
    <w:r>
      <w:rPr>
        <w:rStyle w:val="20"/>
      </w:rPr>
      <w:fldChar w:fldCharType="begin"/>
    </w:r>
    <w:r>
      <w:rPr>
        <w:rStyle w:val="20"/>
      </w:rPr>
      <w:instrText xml:space="preserve"> PAGE </w:instrText>
    </w:r>
    <w:r>
      <w:rPr>
        <w:rStyle w:val="20"/>
      </w:rPr>
      <w:fldChar w:fldCharType="separate"/>
    </w:r>
    <w:r>
      <w:rPr>
        <w:rStyle w:val="20"/>
      </w:rPr>
      <w:t>15</w:t>
    </w:r>
    <w:r>
      <w:rPr>
        <w:rStyle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40A68">
    <w:pPr>
      <w:pStyle w:val="13"/>
      <w:framePr w:wrap="around" w:vAnchor="text" w:hAnchor="margin" w:xAlign="outside" w:y="1"/>
      <w:jc w:val="center"/>
      <w:rPr>
        <w:rStyle w:val="20"/>
      </w:rPr>
    </w:pPr>
    <w:r>
      <w:rPr>
        <w:rStyle w:val="20"/>
      </w:rPr>
      <w:fldChar w:fldCharType="begin"/>
    </w:r>
    <w:r>
      <w:rPr>
        <w:rStyle w:val="20"/>
      </w:rPr>
      <w:instrText xml:space="preserve">PAGE  </w:instrText>
    </w:r>
    <w:r>
      <w:rPr>
        <w:rStyle w:val="20"/>
      </w:rPr>
      <w:fldChar w:fldCharType="separate"/>
    </w:r>
    <w:r>
      <w:rPr>
        <w:rStyle w:val="20"/>
      </w:rPr>
      <w:t>102</w:t>
    </w:r>
    <w:r>
      <w:rPr>
        <w:rStyle w:val="20"/>
      </w:rPr>
      <w:fldChar w:fldCharType="end"/>
    </w:r>
  </w:p>
  <w:p w14:paraId="679C590C">
    <w:pPr>
      <w:pStyle w:val="13"/>
      <w:framePr w:wrap="around" w:vAnchor="text" w:hAnchor="margin" w:xAlign="outside" w:y="1"/>
      <w:ind w:left="-4410" w:leftChars="-2100" w:right="-4439" w:rightChars="-2114"/>
      <w:rPr>
        <w:rStyle w:val="20"/>
      </w:rPr>
    </w:pPr>
  </w:p>
  <w:p w14:paraId="0F55C121">
    <w:pPr>
      <w:pStyle w:val="13"/>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52889">
    <w:pPr>
      <w:pStyle w:val="13"/>
      <w:framePr w:wrap="around" w:vAnchor="text" w:hAnchor="margin" w:xAlign="outside" w:y="1"/>
      <w:rPr>
        <w:rStyle w:val="20"/>
      </w:rPr>
    </w:pPr>
    <w:r>
      <w:rPr>
        <w:rStyle w:val="20"/>
      </w:rPr>
      <w:fldChar w:fldCharType="begin"/>
    </w:r>
    <w:r>
      <w:rPr>
        <w:rStyle w:val="20"/>
      </w:rPr>
      <w:instrText xml:space="preserve">PAGE  </w:instrText>
    </w:r>
    <w:r>
      <w:rPr>
        <w:rStyle w:val="20"/>
      </w:rPr>
      <w:fldChar w:fldCharType="separate"/>
    </w:r>
    <w:r>
      <w:rPr>
        <w:rStyle w:val="20"/>
        <w:rFonts w:hint="eastAsia"/>
      </w:rPr>
      <w:t>一</w:t>
    </w:r>
    <w:r>
      <w:rPr>
        <w:rStyle w:val="20"/>
      </w:rPr>
      <w:t>–2</w:t>
    </w:r>
    <w:r>
      <w:rPr>
        <w:rStyle w:val="20"/>
      </w:rPr>
      <w:fldChar w:fldCharType="end"/>
    </w:r>
  </w:p>
  <w:p w14:paraId="4EE9148F">
    <w:pPr>
      <w:pStyle w:val="13"/>
      <w:ind w:right="360" w:firstLine="360"/>
      <w:jc w:val="center"/>
    </w:pPr>
    <w:r>
      <w:rPr>
        <w:kern w:val="0"/>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F6AFC">
    <w:pPr>
      <w:pStyle w:val="13"/>
      <w:jc w:val="center"/>
    </w:pPr>
    <w:r>
      <w:rPr>
        <w:rStyle w:val="20"/>
      </w:rPr>
      <w:fldChar w:fldCharType="begin"/>
    </w:r>
    <w:r>
      <w:rPr>
        <w:rStyle w:val="20"/>
      </w:rPr>
      <w:instrText xml:space="preserve"> PAGE </w:instrText>
    </w:r>
    <w:r>
      <w:rPr>
        <w:rStyle w:val="20"/>
      </w:rPr>
      <w:fldChar w:fldCharType="separate"/>
    </w:r>
    <w:r>
      <w:rPr>
        <w:rStyle w:val="20"/>
      </w:rPr>
      <w:t>89</w:t>
    </w:r>
    <w:r>
      <w:rPr>
        <w:rStyle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3832E">
    <w:pPr>
      <w:pStyle w:val="13"/>
      <w:jc w:val="center"/>
    </w:pPr>
    <w:r>
      <w:fldChar w:fldCharType="begin"/>
    </w:r>
    <w:r>
      <w:instrText xml:space="preserve">PAGE   \* MERGEFORMAT</w:instrText>
    </w:r>
    <w:r>
      <w:fldChar w:fldCharType="separate"/>
    </w:r>
    <w:r>
      <w:rPr>
        <w:lang w:val="zh-CN"/>
      </w:rPr>
      <w:t>129</w:t>
    </w:r>
    <w:r>
      <w:fldChar w:fldCharType="end"/>
    </w:r>
  </w:p>
  <w:p w14:paraId="13ECD43A">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8D6A7">
    <w:pPr>
      <w:pStyle w:val="14"/>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AF486">
    <w:pPr>
      <w:pStyle w:val="14"/>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59885">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CE72E">
    <w:pPr>
      <w:pStyle w:val="14"/>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77BC1">
    <w:pPr>
      <w:pStyle w:val="14"/>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3C09B">
    <w:pPr>
      <w:pStyle w:val="14"/>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D5465A"/>
    <w:multiLevelType w:val="multilevel"/>
    <w:tmpl w:val="3AD546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B53791"/>
    <w:multiLevelType w:val="multilevel"/>
    <w:tmpl w:val="3CB53791"/>
    <w:lvl w:ilvl="0" w:tentative="0">
      <w:start w:val="2"/>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B4A0F"/>
    <w:rsid w:val="02CA0627"/>
    <w:rsid w:val="03EA004D"/>
    <w:rsid w:val="046621CD"/>
    <w:rsid w:val="047274EA"/>
    <w:rsid w:val="05483AD3"/>
    <w:rsid w:val="06A4411E"/>
    <w:rsid w:val="06F4004F"/>
    <w:rsid w:val="08E10248"/>
    <w:rsid w:val="0B8B1D30"/>
    <w:rsid w:val="0D8853B5"/>
    <w:rsid w:val="0FDE5286"/>
    <w:rsid w:val="10953945"/>
    <w:rsid w:val="10A83815"/>
    <w:rsid w:val="13EB044B"/>
    <w:rsid w:val="19E73463"/>
    <w:rsid w:val="1B466E2B"/>
    <w:rsid w:val="1C9E3A87"/>
    <w:rsid w:val="1D265138"/>
    <w:rsid w:val="1EAA5582"/>
    <w:rsid w:val="20FC47C3"/>
    <w:rsid w:val="22424CDB"/>
    <w:rsid w:val="229A1376"/>
    <w:rsid w:val="24C813D4"/>
    <w:rsid w:val="25B467DD"/>
    <w:rsid w:val="27D10B11"/>
    <w:rsid w:val="2ABF1892"/>
    <w:rsid w:val="2C3D5164"/>
    <w:rsid w:val="30E74FF4"/>
    <w:rsid w:val="30EB1633"/>
    <w:rsid w:val="310808EC"/>
    <w:rsid w:val="33092244"/>
    <w:rsid w:val="344B5F88"/>
    <w:rsid w:val="375148D7"/>
    <w:rsid w:val="38283FB3"/>
    <w:rsid w:val="3A960861"/>
    <w:rsid w:val="3CC045FB"/>
    <w:rsid w:val="3D93654B"/>
    <w:rsid w:val="409C1832"/>
    <w:rsid w:val="40C422F9"/>
    <w:rsid w:val="4214206C"/>
    <w:rsid w:val="42F75C15"/>
    <w:rsid w:val="45ED2F54"/>
    <w:rsid w:val="4810773B"/>
    <w:rsid w:val="49C11094"/>
    <w:rsid w:val="49DE68FB"/>
    <w:rsid w:val="4C722FE3"/>
    <w:rsid w:val="4CC565A6"/>
    <w:rsid w:val="506A5317"/>
    <w:rsid w:val="51453FF0"/>
    <w:rsid w:val="53E1595C"/>
    <w:rsid w:val="548A47FC"/>
    <w:rsid w:val="548B2F99"/>
    <w:rsid w:val="54F41FB5"/>
    <w:rsid w:val="58F00145"/>
    <w:rsid w:val="5BDA475A"/>
    <w:rsid w:val="5D1873E6"/>
    <w:rsid w:val="5DC544B6"/>
    <w:rsid w:val="5E4B27A2"/>
    <w:rsid w:val="5FBF1110"/>
    <w:rsid w:val="60FD7762"/>
    <w:rsid w:val="637F417E"/>
    <w:rsid w:val="65491EA9"/>
    <w:rsid w:val="6630703C"/>
    <w:rsid w:val="66A03D4A"/>
    <w:rsid w:val="67FE5F4D"/>
    <w:rsid w:val="698E0757"/>
    <w:rsid w:val="6A745C1A"/>
    <w:rsid w:val="6A815C41"/>
    <w:rsid w:val="6AD84192"/>
    <w:rsid w:val="6C9C3206"/>
    <w:rsid w:val="6E084B58"/>
    <w:rsid w:val="6E712470"/>
    <w:rsid w:val="745E5559"/>
    <w:rsid w:val="775C0595"/>
    <w:rsid w:val="77B3326F"/>
    <w:rsid w:val="7853589B"/>
    <w:rsid w:val="78D2149C"/>
    <w:rsid w:val="79BF0FA8"/>
    <w:rsid w:val="7A7430CC"/>
    <w:rsid w:val="7B0F1047"/>
    <w:rsid w:val="7D900C69"/>
    <w:rsid w:val="7E38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4"/>
    <w:link w:val="34"/>
    <w:qFormat/>
    <w:uiPriority w:val="0"/>
    <w:pPr>
      <w:keepNext/>
      <w:keepLines/>
      <w:spacing w:after="120" w:line="360" w:lineRule="auto"/>
      <w:outlineLvl w:val="0"/>
    </w:pPr>
    <w:rPr>
      <w:kern w:val="44"/>
      <w:sz w:val="28"/>
      <w:szCs w:val="28"/>
    </w:rPr>
  </w:style>
  <w:style w:type="paragraph" w:styleId="6">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7">
    <w:name w:val="heading 3"/>
    <w:basedOn w:val="1"/>
    <w:next w:val="1"/>
    <w:qFormat/>
    <w:uiPriority w:val="0"/>
    <w:pPr>
      <w:widowControl/>
      <w:spacing w:before="100" w:beforeAutospacing="1" w:after="100" w:afterAutospacing="1"/>
      <w:jc w:val="left"/>
      <w:outlineLvl w:val="2"/>
    </w:pPr>
    <w:rPr>
      <w:rFonts w:ascii="宋体" w:hAnsi="宋体" w:cs="宋体"/>
      <w:kern w:val="0"/>
      <w:sz w:val="27"/>
      <w:szCs w:val="27"/>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120" w:after="60"/>
      <w:jc w:val="center"/>
    </w:pPr>
    <w:rPr>
      <w:rFonts w:ascii="Arial" w:hAnsi="Arial"/>
      <w:b/>
      <w:sz w:val="44"/>
      <w:szCs w:val="20"/>
    </w:rPr>
  </w:style>
  <w:style w:type="paragraph" w:styleId="4">
    <w:name w:val="Body Text First Indent"/>
    <w:basedOn w:val="5"/>
    <w:qFormat/>
    <w:uiPriority w:val="0"/>
    <w:pPr>
      <w:ind w:firstLine="420"/>
    </w:pPr>
  </w:style>
  <w:style w:type="paragraph" w:styleId="5">
    <w:name w:val="Body Text"/>
    <w:basedOn w:val="1"/>
    <w:next w:val="1"/>
    <w:qFormat/>
    <w:uiPriority w:val="0"/>
    <w:pPr>
      <w:spacing w:after="120"/>
    </w:pPr>
    <w:rPr>
      <w:rFonts w:ascii="Times New Roman" w:hAnsi="Times New Roman"/>
      <w:szCs w:val="20"/>
    </w:rPr>
  </w:style>
  <w:style w:type="paragraph" w:styleId="8">
    <w:name w:val="Normal Indent"/>
    <w:basedOn w:val="1"/>
    <w:qFormat/>
    <w:uiPriority w:val="0"/>
    <w:pPr>
      <w:ind w:firstLine="420"/>
    </w:pPr>
    <w:rPr>
      <w:rFonts w:ascii="Times New Roman" w:hAnsi="Times New Roman"/>
      <w:szCs w:val="20"/>
    </w:rPr>
  </w:style>
  <w:style w:type="paragraph" w:styleId="9">
    <w:name w:val="annotation text"/>
    <w:basedOn w:val="1"/>
    <w:qFormat/>
    <w:uiPriority w:val="0"/>
    <w:pPr>
      <w:jc w:val="left"/>
    </w:pPr>
  </w:style>
  <w:style w:type="paragraph" w:styleId="10">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1">
    <w:name w:val="Plain Text"/>
    <w:basedOn w:val="1"/>
    <w:qFormat/>
    <w:uiPriority w:val="0"/>
    <w:rPr>
      <w:rFonts w:ascii="宋体" w:hAnsi="Courier New"/>
      <w:szCs w:val="20"/>
    </w:rPr>
  </w:style>
  <w:style w:type="paragraph" w:styleId="12">
    <w:name w:val="Date"/>
    <w:basedOn w:val="1"/>
    <w:next w:val="1"/>
    <w:qFormat/>
    <w:uiPriority w:val="0"/>
    <w:rPr>
      <w:rFonts w:ascii="Times New Roman" w:hAnsi="Times New Roman"/>
      <w:szCs w:val="20"/>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6">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17">
    <w:name w:val="Body Text 2"/>
    <w:basedOn w:val="1"/>
    <w:qFormat/>
    <w:uiPriority w:val="0"/>
    <w:rPr>
      <w:rFonts w:ascii="宋体" w:hAnsi="宋体"/>
      <w:szCs w:val="24"/>
      <w:u w:val="single"/>
    </w:rPr>
  </w:style>
  <w:style w:type="character" w:styleId="20">
    <w:name w:val="page number"/>
    <w:qFormat/>
    <w:uiPriority w:val="0"/>
    <w:rPr>
      <w:rFonts w:cs="Times New Roman"/>
    </w:rPr>
  </w:style>
  <w:style w:type="character" w:styleId="21">
    <w:name w:val="Hyperlink"/>
    <w:qFormat/>
    <w:uiPriority w:val="99"/>
    <w:rPr>
      <w:color w:val="0000FF"/>
      <w:u w:val="single"/>
    </w:rPr>
  </w:style>
  <w:style w:type="character" w:customStyle="1" w:styleId="22">
    <w:name w:val="font61"/>
    <w:basedOn w:val="19"/>
    <w:qFormat/>
    <w:uiPriority w:val="0"/>
    <w:rPr>
      <w:rFonts w:hint="eastAsia" w:ascii="仿宋" w:hAnsi="仿宋" w:eastAsia="仿宋" w:cs="仿宋"/>
      <w:color w:val="000000"/>
      <w:sz w:val="24"/>
      <w:szCs w:val="24"/>
      <w:u w:val="none"/>
    </w:rPr>
  </w:style>
  <w:style w:type="character" w:customStyle="1" w:styleId="23">
    <w:name w:val="font81"/>
    <w:basedOn w:val="19"/>
    <w:qFormat/>
    <w:uiPriority w:val="0"/>
    <w:rPr>
      <w:rFonts w:hint="eastAsia" w:ascii="仿宋" w:hAnsi="仿宋" w:eastAsia="仿宋" w:cs="仿宋"/>
      <w:color w:val="C00000"/>
      <w:sz w:val="24"/>
      <w:szCs w:val="24"/>
      <w:u w:val="none"/>
    </w:rPr>
  </w:style>
  <w:style w:type="character" w:customStyle="1" w:styleId="24">
    <w:name w:val="font71"/>
    <w:basedOn w:val="19"/>
    <w:qFormat/>
    <w:uiPriority w:val="0"/>
    <w:rPr>
      <w:rFonts w:hint="eastAsia" w:ascii="仿宋" w:hAnsi="仿宋" w:eastAsia="仿宋" w:cs="仿宋"/>
      <w:color w:val="FF0000"/>
      <w:sz w:val="24"/>
      <w:szCs w:val="24"/>
      <w:u w:val="none"/>
    </w:rPr>
  </w:style>
  <w:style w:type="character" w:customStyle="1" w:styleId="25">
    <w:name w:val="font31"/>
    <w:basedOn w:val="19"/>
    <w:qFormat/>
    <w:uiPriority w:val="0"/>
    <w:rPr>
      <w:rFonts w:hint="eastAsia" w:ascii="仿宋" w:hAnsi="仿宋" w:eastAsia="仿宋" w:cs="仿宋"/>
      <w:color w:val="000000"/>
      <w:sz w:val="24"/>
      <w:szCs w:val="24"/>
      <w:u w:val="none"/>
    </w:rPr>
  </w:style>
  <w:style w:type="character" w:customStyle="1" w:styleId="26">
    <w:name w:val="font91"/>
    <w:basedOn w:val="19"/>
    <w:qFormat/>
    <w:uiPriority w:val="0"/>
    <w:rPr>
      <w:rFonts w:hint="eastAsia" w:ascii="仿宋" w:hAnsi="仿宋" w:eastAsia="仿宋" w:cs="仿宋"/>
      <w:color w:val="DE3C36"/>
      <w:sz w:val="24"/>
      <w:szCs w:val="24"/>
      <w:u w:val="none"/>
    </w:rPr>
  </w:style>
  <w:style w:type="paragraph" w:customStyle="1" w:styleId="2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8">
    <w:name w:val="发文落款"/>
    <w:basedOn w:val="27"/>
    <w:qFormat/>
    <w:uiPriority w:val="0"/>
    <w:pPr>
      <w:ind w:left="4094" w:right="607" w:firstLine="0"/>
      <w:jc w:val="center"/>
    </w:pPr>
  </w:style>
  <w:style w:type="character" w:customStyle="1" w:styleId="29">
    <w:name w:val="NormalCharacter"/>
    <w:qFormat/>
    <w:uiPriority w:val="0"/>
  </w:style>
  <w:style w:type="paragraph" w:customStyle="1" w:styleId="30">
    <w:name w:val="Heading2"/>
    <w:basedOn w:val="1"/>
    <w:next w:val="31"/>
    <w:qFormat/>
    <w:uiPriority w:val="0"/>
    <w:pPr>
      <w:keepNext/>
      <w:keepLines/>
      <w:spacing w:before="120" w:after="120" w:line="415" w:lineRule="auto"/>
      <w:ind w:left="454"/>
      <w:jc w:val="center"/>
    </w:pPr>
    <w:rPr>
      <w:rFonts w:ascii="Arial" w:hAnsi="Arial"/>
      <w:color w:val="000000"/>
      <w:sz w:val="24"/>
      <w:szCs w:val="24"/>
    </w:rPr>
  </w:style>
  <w:style w:type="paragraph" w:customStyle="1" w:styleId="31">
    <w:name w:val="NormalIndent"/>
    <w:basedOn w:val="1"/>
    <w:qFormat/>
    <w:uiPriority w:val="0"/>
    <w:pPr>
      <w:ind w:firstLine="420"/>
    </w:pPr>
    <w:rPr>
      <w:rFonts w:ascii="Times New Roman" w:hAnsi="Times New Roman"/>
      <w:szCs w:val="20"/>
    </w:rPr>
  </w:style>
  <w:style w:type="paragraph" w:customStyle="1" w:styleId="32">
    <w:name w:val="BodyText1I"/>
    <w:basedOn w:val="33"/>
    <w:qFormat/>
    <w:uiPriority w:val="0"/>
    <w:pPr>
      <w:ind w:firstLine="420"/>
    </w:pPr>
  </w:style>
  <w:style w:type="paragraph" w:customStyle="1" w:styleId="33">
    <w:name w:val="BodyText"/>
    <w:basedOn w:val="1"/>
    <w:qFormat/>
    <w:uiPriority w:val="0"/>
    <w:pPr>
      <w:spacing w:after="120"/>
    </w:pPr>
    <w:rPr>
      <w:rFonts w:ascii="Times New Roman" w:hAnsi="Times New Roman"/>
      <w:kern w:val="0"/>
      <w:sz w:val="20"/>
      <w:szCs w:val="20"/>
    </w:rPr>
  </w:style>
  <w:style w:type="character" w:customStyle="1" w:styleId="34">
    <w:name w:val="标题 1 字符1"/>
    <w:link w:val="2"/>
    <w:qFormat/>
    <w:uiPriority w:val="0"/>
    <w:rPr>
      <w:kern w:val="44"/>
      <w:sz w:val="28"/>
      <w:szCs w:val="28"/>
    </w:rPr>
  </w:style>
  <w:style w:type="paragraph" w:customStyle="1" w:styleId="35">
    <w:name w:val="文一"/>
    <w:basedOn w:val="1"/>
    <w:next w:val="1"/>
    <w:qFormat/>
    <w:uiPriority w:val="0"/>
    <w:pPr>
      <w:topLinePunct/>
      <w:adjustRightInd w:val="0"/>
      <w:snapToGrid w:val="0"/>
      <w:spacing w:line="360" w:lineRule="auto"/>
      <w:ind w:firstLine="200" w:firstLineChars="200"/>
    </w:pPr>
    <w:rPr>
      <w:spacing w:val="4"/>
      <w:kern w:val="0"/>
      <w:sz w:val="24"/>
      <w:szCs w:val="24"/>
    </w:rPr>
  </w:style>
  <w:style w:type="paragraph" w:customStyle="1" w:styleId="36">
    <w:name w:val="正题"/>
    <w:basedOn w:val="35"/>
    <w:next w:val="35"/>
    <w:qFormat/>
    <w:uiPriority w:val="0"/>
    <w:pPr>
      <w:ind w:firstLine="0" w:firstLineChars="0"/>
      <w:jc w:val="center"/>
    </w:pPr>
    <w:rPr>
      <w:rFonts w:eastAsia="黑体"/>
      <w:b/>
      <w:sz w:val="36"/>
      <w:szCs w:val="36"/>
    </w:rPr>
  </w:style>
  <w:style w:type="paragraph" w:customStyle="1" w:styleId="37">
    <w:name w:val="NNE TabelTekst"/>
    <w:basedOn w:val="1"/>
    <w:qFormat/>
    <w:uiPriority w:val="0"/>
    <w:pPr>
      <w:spacing w:before="40" w:after="40"/>
    </w:pPr>
    <w:rPr>
      <w:rFonts w:cs="Times New Roman"/>
      <w:bCs/>
      <w:spacing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34424</Words>
  <Characters>36376</Characters>
  <Lines>0</Lines>
  <Paragraphs>0</Paragraphs>
  <TotalTime>0</TotalTime>
  <ScaleCrop>false</ScaleCrop>
  <LinksUpToDate>false</LinksUpToDate>
  <CharactersWithSpaces>37971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2025-02-24T03:25:00Z</dcterms:created>
  <dc:creator>Aqq67</dc:creator>
  <cp:lastModifiedBy>1</cp:lastModifiedBy>
  <dcterms:modified xsi:type="dcterms:W3CDTF">2025-03-31T08:10:48Z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eyJoZGlkIjoiMDY5NmFjMmM4ZTljMGJiZDAxN2JmYTc0NGI0NmFiNDgiLCJ1c2VySWQiOiIyMjc1NjUwMDcifQ==</vt:lpwstr>
  </property>
  <property fmtid="{D5CDD505-2E9C-101B-9397-08002B2CF9AE}" pid="4" name="ICV">
    <vt:lpwstr>6B2768904CA04D31A78F1FFCC9654E8C_12</vt:lpwstr>
  </property>
</Properties>
</file>