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2"/>
        <w:jc w:val="center"/>
        <w:rPr>
          <w:rFonts w:eastAsia="黑体"/>
          <w:b/>
          <w:color w:val="auto"/>
          <w:highlight w:val="yellow"/>
        </w:rPr>
      </w:pPr>
    </w:p>
    <w:p>
      <w:pPr>
        <w:spacing w:after="240" w:afterLines="100"/>
        <w:jc w:val="left"/>
        <w:rPr>
          <w:rFonts w:ascii="宋体" w:hAnsi="宋体" w:cs="宋体"/>
          <w:b/>
          <w:color w:val="auto"/>
          <w:sz w:val="44"/>
          <w:szCs w:val="44"/>
        </w:rPr>
      </w:pPr>
      <w:r>
        <w:rPr>
          <w:color w:val="auto"/>
        </w:rPr>
        <w:drawing>
          <wp:inline distT="0" distB="0" distL="114300" distR="114300">
            <wp:extent cx="2879725" cy="647700"/>
            <wp:effectExtent l="0" t="0" r="635" b="6985"/>
            <wp:docPr id="2" name="图片 3"/>
            <wp:cNvGraphicFramePr/>
            <a:graphic xmlns:a="http://schemas.openxmlformats.org/drawingml/2006/main">
              <a:graphicData uri="http://schemas.openxmlformats.org/drawingml/2006/picture">
                <pic:pic xmlns:pic="http://schemas.openxmlformats.org/drawingml/2006/picture">
                  <pic:nvPicPr>
                    <pic:cNvPr id="2" name="图片 3"/>
                    <pic:cNvPicPr/>
                  </pic:nvPicPr>
                  <pic:blipFill>
                    <a:blip r:embed="rId8"/>
                    <a:stretch>
                      <a:fillRect/>
                    </a:stretch>
                  </pic:blipFill>
                  <pic:spPr>
                    <a:xfrm>
                      <a:off x="0" y="0"/>
                      <a:ext cx="2879725" cy="647700"/>
                    </a:xfrm>
                    <a:prstGeom prst="rect">
                      <a:avLst/>
                    </a:prstGeom>
                    <a:noFill/>
                    <a:ln>
                      <a:noFill/>
                    </a:ln>
                  </pic:spPr>
                </pic:pic>
              </a:graphicData>
            </a:graphic>
          </wp:inline>
        </w:drawing>
      </w:r>
    </w:p>
    <w:p>
      <w:pPr>
        <w:widowControl/>
        <w:adjustRightInd w:val="0"/>
        <w:snapToGrid w:val="0"/>
        <w:spacing w:line="480" w:lineRule="auto"/>
        <w:jc w:val="center"/>
        <w:outlineLvl w:val="0"/>
        <w:rPr>
          <w:rFonts w:ascii="宋体" w:hAnsi="宋体" w:cs="Arial"/>
          <w:b/>
          <w:color w:val="auto"/>
          <w:kern w:val="28"/>
          <w:sz w:val="44"/>
          <w:szCs w:val="44"/>
        </w:rPr>
      </w:pPr>
      <w:bookmarkStart w:id="0" w:name="_Toc29450"/>
      <w:bookmarkStart w:id="1" w:name="_Toc181362433"/>
      <w:bookmarkStart w:id="2" w:name="_Toc181361817"/>
      <w:r>
        <w:rPr>
          <w:rFonts w:hint="eastAsia" w:ascii="宋体" w:hAnsi="宋体" w:cs="Arial"/>
          <w:b/>
          <w:color w:val="auto"/>
          <w:kern w:val="28"/>
          <w:sz w:val="44"/>
          <w:szCs w:val="44"/>
        </w:rPr>
        <w:t>广州环投增城环保能源有限公司</w:t>
      </w:r>
      <w:bookmarkEnd w:id="0"/>
      <w:bookmarkEnd w:id="1"/>
      <w:bookmarkEnd w:id="2"/>
    </w:p>
    <w:p>
      <w:pPr>
        <w:adjustRightInd w:val="0"/>
        <w:snapToGrid w:val="0"/>
        <w:spacing w:after="240" w:afterLines="100"/>
        <w:jc w:val="center"/>
        <w:rPr>
          <w:rFonts w:ascii="宋体" w:hAnsi="宋体" w:cs="Arial"/>
          <w:b/>
          <w:color w:val="auto"/>
          <w:kern w:val="28"/>
          <w:sz w:val="44"/>
          <w:szCs w:val="44"/>
        </w:rPr>
      </w:pPr>
      <w:r>
        <w:rPr>
          <w:rFonts w:hint="eastAsia" w:ascii="宋体" w:hAnsi="宋体" w:cs="Arial"/>
          <w:b/>
          <w:color w:val="auto"/>
          <w:kern w:val="28"/>
          <w:sz w:val="44"/>
          <w:szCs w:val="44"/>
        </w:rPr>
        <w:t>广州市第六资源热力电厂对外集中</w:t>
      </w:r>
    </w:p>
    <w:p>
      <w:pPr>
        <w:adjustRightInd w:val="0"/>
        <w:snapToGrid w:val="0"/>
        <w:spacing w:after="240" w:afterLines="100"/>
        <w:jc w:val="center"/>
        <w:rPr>
          <w:rFonts w:ascii="宋体" w:hAnsi="宋体" w:cs="Arial"/>
          <w:b/>
          <w:color w:val="auto"/>
          <w:kern w:val="28"/>
          <w:sz w:val="44"/>
          <w:szCs w:val="44"/>
        </w:rPr>
      </w:pPr>
      <w:r>
        <w:rPr>
          <w:rFonts w:hint="eastAsia" w:ascii="宋体" w:hAnsi="宋体" w:cs="Arial"/>
          <w:b/>
          <w:color w:val="auto"/>
          <w:kern w:val="28"/>
          <w:sz w:val="44"/>
          <w:szCs w:val="44"/>
        </w:rPr>
        <w:t>供热项目监理服务</w:t>
      </w:r>
    </w:p>
    <w:p>
      <w:pPr>
        <w:adjustRightInd w:val="0"/>
        <w:snapToGrid w:val="0"/>
        <w:spacing w:after="240" w:afterLines="100"/>
        <w:jc w:val="center"/>
        <w:rPr>
          <w:rFonts w:ascii="宋体" w:hAnsi="宋体" w:cs="宋体"/>
          <w:b/>
          <w:color w:val="auto"/>
          <w:sz w:val="44"/>
          <w:szCs w:val="44"/>
        </w:rPr>
      </w:pPr>
      <w:r>
        <w:rPr>
          <w:rFonts w:hint="eastAsia" w:ascii="宋体" w:hAnsi="宋体" w:cs="Arial"/>
          <w:b/>
          <w:color w:val="auto"/>
          <w:kern w:val="28"/>
          <w:sz w:val="44"/>
          <w:szCs w:val="44"/>
        </w:rPr>
        <w:t>技术需求书</w:t>
      </w:r>
    </w:p>
    <w:p>
      <w:pPr>
        <w:rPr>
          <w:color w:val="auto"/>
        </w:rPr>
      </w:pPr>
    </w:p>
    <w:p>
      <w:pPr>
        <w:pStyle w:val="2"/>
        <w:rPr>
          <w:color w:val="auto"/>
        </w:rPr>
      </w:pPr>
    </w:p>
    <w:p>
      <w:pPr>
        <w:rPr>
          <w:color w:val="auto"/>
        </w:rPr>
      </w:pPr>
    </w:p>
    <w:p>
      <w:pPr>
        <w:pStyle w:val="2"/>
        <w:rPr>
          <w:color w:val="auto"/>
        </w:rPr>
      </w:pPr>
    </w:p>
    <w:p>
      <w:pPr>
        <w:rPr>
          <w:color w:val="auto"/>
        </w:rPr>
      </w:pPr>
    </w:p>
    <w:p>
      <w:pPr>
        <w:pStyle w:val="2"/>
        <w:rPr>
          <w:color w:val="auto"/>
        </w:rPr>
      </w:pPr>
    </w:p>
    <w:p>
      <w:pPr>
        <w:rPr>
          <w:color w:val="auto"/>
        </w:rPr>
      </w:pPr>
    </w:p>
    <w:p>
      <w:pPr>
        <w:rPr>
          <w:color w:val="auto"/>
        </w:rPr>
      </w:pPr>
    </w:p>
    <w:p>
      <w:pPr>
        <w:pStyle w:val="2"/>
        <w:rPr>
          <w:color w:val="auto"/>
        </w:rPr>
      </w:pPr>
    </w:p>
    <w:p>
      <w:pPr>
        <w:pStyle w:val="2"/>
        <w:rPr>
          <w:color w:val="auto"/>
        </w:rPr>
      </w:pPr>
    </w:p>
    <w:p>
      <w:pPr>
        <w:rPr>
          <w:color w:val="auto"/>
        </w:rPr>
      </w:pPr>
    </w:p>
    <w:p>
      <w:pPr>
        <w:pStyle w:val="2"/>
        <w:ind w:firstLine="3360" w:firstLineChars="1200"/>
        <w:rPr>
          <w:color w:val="auto"/>
          <w:sz w:val="28"/>
          <w:szCs w:val="28"/>
        </w:rPr>
      </w:pPr>
    </w:p>
    <w:p>
      <w:pPr>
        <w:pStyle w:val="2"/>
        <w:ind w:firstLine="1807" w:firstLineChars="600"/>
        <w:rPr>
          <w:rFonts w:hint="default" w:eastAsia="宋体"/>
          <w:b/>
          <w:bCs/>
          <w:color w:val="auto"/>
          <w:sz w:val="30"/>
          <w:szCs w:val="30"/>
          <w:u w:val="single"/>
          <w:lang w:val="en-US" w:eastAsia="zh-CN"/>
        </w:rPr>
      </w:pPr>
      <w:r>
        <w:rPr>
          <w:rFonts w:hint="eastAsia"/>
          <w:b/>
          <w:bCs/>
          <w:color w:val="auto"/>
          <w:sz w:val="30"/>
          <w:szCs w:val="30"/>
        </w:rPr>
        <w:t>编 制 人：</w:t>
      </w:r>
      <w:r>
        <w:rPr>
          <w:rFonts w:hint="eastAsia"/>
          <w:b/>
          <w:bCs/>
          <w:color w:val="auto"/>
          <w:sz w:val="30"/>
          <w:szCs w:val="30"/>
          <w:lang w:val="en-US" w:eastAsia="zh-CN"/>
        </w:rPr>
        <w:t xml:space="preserve">  </w:t>
      </w:r>
    </w:p>
    <w:p>
      <w:pPr>
        <w:jc w:val="center"/>
        <w:outlineLvl w:val="0"/>
        <w:rPr>
          <w:b/>
          <w:bCs/>
          <w:color w:val="auto"/>
        </w:rPr>
      </w:pPr>
      <w:bookmarkStart w:id="3" w:name="_Toc181362434"/>
      <w:bookmarkStart w:id="4" w:name="_Toc181361818"/>
      <w:bookmarkStart w:id="5" w:name="_Toc27122"/>
      <w:r>
        <w:rPr>
          <w:rFonts w:hint="eastAsia"/>
          <w:b/>
          <w:bCs/>
          <w:color w:val="auto"/>
          <w:sz w:val="30"/>
          <w:szCs w:val="30"/>
        </w:rPr>
        <w:t>编制单位：广州环投增城环保能源有限公司</w:t>
      </w:r>
      <w:bookmarkEnd w:id="3"/>
      <w:bookmarkEnd w:id="4"/>
      <w:bookmarkEnd w:id="5"/>
    </w:p>
    <w:p>
      <w:pPr>
        <w:pStyle w:val="2"/>
        <w:jc w:val="center"/>
        <w:outlineLvl w:val="0"/>
        <w:rPr>
          <w:rFonts w:ascii="宋体" w:hAnsi="宋体" w:cs="宋体"/>
          <w:b/>
          <w:bCs/>
          <w:color w:val="auto"/>
          <w:sz w:val="30"/>
          <w:szCs w:val="30"/>
        </w:rPr>
      </w:pPr>
      <w:bookmarkStart w:id="6" w:name="_Toc18403"/>
      <w:bookmarkStart w:id="7" w:name="_Toc181362435"/>
      <w:bookmarkStart w:id="8" w:name="_Toc181361819"/>
      <w:r>
        <w:rPr>
          <w:rFonts w:hint="eastAsia" w:ascii="宋体" w:hAnsi="宋体" w:cs="宋体"/>
          <w:b/>
          <w:bCs/>
          <w:color w:val="auto"/>
          <w:sz w:val="30"/>
          <w:szCs w:val="30"/>
        </w:rPr>
        <w:t>202</w:t>
      </w:r>
      <w:r>
        <w:rPr>
          <w:rFonts w:hint="eastAsia" w:ascii="宋体" w:hAnsi="宋体" w:cs="宋体"/>
          <w:b/>
          <w:bCs/>
          <w:color w:val="auto"/>
          <w:sz w:val="30"/>
          <w:szCs w:val="30"/>
          <w:lang w:val="en-US" w:eastAsia="zh-CN"/>
        </w:rPr>
        <w:t>5</w:t>
      </w:r>
      <w:r>
        <w:rPr>
          <w:rFonts w:hint="eastAsia" w:ascii="宋体" w:hAnsi="宋体" w:cs="宋体"/>
          <w:b/>
          <w:bCs/>
          <w:color w:val="auto"/>
          <w:sz w:val="30"/>
          <w:szCs w:val="30"/>
        </w:rPr>
        <w:t>年</w:t>
      </w:r>
      <w:r>
        <w:rPr>
          <w:rFonts w:hint="eastAsia" w:ascii="宋体" w:hAnsi="宋体" w:cs="宋体"/>
          <w:b/>
          <w:bCs/>
          <w:color w:val="auto"/>
          <w:sz w:val="30"/>
          <w:szCs w:val="30"/>
          <w:lang w:val="en-US" w:eastAsia="zh-CN"/>
        </w:rPr>
        <w:t>3</w:t>
      </w:r>
      <w:r>
        <w:rPr>
          <w:rFonts w:hint="eastAsia" w:ascii="宋体" w:hAnsi="宋体" w:cs="宋体"/>
          <w:b/>
          <w:bCs/>
          <w:color w:val="auto"/>
          <w:sz w:val="30"/>
          <w:szCs w:val="30"/>
        </w:rPr>
        <w:t>月</w:t>
      </w:r>
      <w:bookmarkEnd w:id="6"/>
      <w:bookmarkEnd w:id="7"/>
      <w:bookmarkEnd w:id="8"/>
    </w:p>
    <w:p>
      <w:pPr>
        <w:rPr>
          <w:color w:val="auto"/>
        </w:rPr>
      </w:pPr>
    </w:p>
    <w:p>
      <w:pPr>
        <w:rPr>
          <w:color w:val="auto"/>
        </w:rPr>
      </w:pPr>
    </w:p>
    <w:p>
      <w:pPr>
        <w:spacing w:line="240" w:lineRule="auto"/>
        <w:jc w:val="center"/>
        <w:rPr>
          <w:color w:val="auto"/>
          <w:sz w:val="28"/>
          <w:szCs w:val="28"/>
        </w:rPr>
      </w:pPr>
      <w:r>
        <w:rPr>
          <w:rFonts w:ascii="宋体" w:hAnsi="宋体"/>
          <w:color w:val="auto"/>
          <w:sz w:val="28"/>
          <w:szCs w:val="28"/>
        </w:rPr>
        <w:t>目</w:t>
      </w:r>
      <w:r>
        <w:rPr>
          <w:rFonts w:hint="eastAsia" w:ascii="宋体" w:hAnsi="宋体"/>
          <w:color w:val="auto"/>
          <w:sz w:val="28"/>
          <w:szCs w:val="28"/>
          <w:lang w:val="en-US" w:eastAsia="zh-CN"/>
        </w:rPr>
        <w:t xml:space="preserve">  </w:t>
      </w:r>
      <w:r>
        <w:rPr>
          <w:rFonts w:ascii="宋体" w:hAnsi="宋体"/>
          <w:color w:val="auto"/>
          <w:sz w:val="28"/>
          <w:szCs w:val="28"/>
        </w:rPr>
        <w:t>录</w:t>
      </w:r>
    </w:p>
    <w:p>
      <w:pPr>
        <w:pStyle w:val="315"/>
        <w:tabs>
          <w:tab w:val="right" w:leader="dot" w:pos="8844"/>
        </w:tabs>
        <w:rPr>
          <w:b/>
          <w:bCs/>
          <w:caps/>
          <w:color w:val="auto"/>
          <w:sz w:val="24"/>
          <w:szCs w:val="24"/>
        </w:rPr>
      </w:pPr>
      <w:r>
        <w:rPr>
          <w:b/>
          <w:color w:val="auto"/>
          <w:sz w:val="24"/>
          <w:szCs w:val="24"/>
        </w:rPr>
        <w:fldChar w:fldCharType="begin"/>
      </w:r>
      <w:r>
        <w:rPr>
          <w:b/>
          <w:color w:val="auto"/>
          <w:sz w:val="24"/>
          <w:szCs w:val="24"/>
        </w:rPr>
        <w:instrText xml:space="preserve">TOC \o "1-2" \h \u </w:instrText>
      </w:r>
      <w:r>
        <w:rPr>
          <w:b/>
          <w:color w:val="auto"/>
          <w:sz w:val="24"/>
          <w:szCs w:val="24"/>
        </w:rPr>
        <w:fldChar w:fldCharType="separate"/>
      </w:r>
    </w:p>
    <w:p>
      <w:pPr>
        <w:pStyle w:val="315"/>
        <w:tabs>
          <w:tab w:val="right" w:leader="dot" w:pos="8844"/>
        </w:tabs>
        <w:rPr>
          <w:b/>
          <w:bCs/>
          <w:caps/>
          <w:color w:val="auto"/>
          <w:sz w:val="24"/>
          <w:szCs w:val="24"/>
        </w:rPr>
      </w:pPr>
      <w:r>
        <w:rPr>
          <w:color w:val="auto"/>
          <w:sz w:val="24"/>
          <w:szCs w:val="24"/>
        </w:rPr>
        <w:fldChar w:fldCharType="begin"/>
      </w:r>
      <w:r>
        <w:rPr>
          <w:color w:val="auto"/>
          <w:sz w:val="24"/>
          <w:szCs w:val="24"/>
        </w:rPr>
        <w:instrText xml:space="preserve"> HYPERLINK \l "_Toc181362476" </w:instrText>
      </w:r>
      <w:r>
        <w:rPr>
          <w:color w:val="auto"/>
          <w:sz w:val="24"/>
          <w:szCs w:val="24"/>
        </w:rPr>
        <w:fldChar w:fldCharType="separate"/>
      </w:r>
      <w:r>
        <w:rPr>
          <w:b/>
          <w:color w:val="auto"/>
          <w:sz w:val="24"/>
          <w:szCs w:val="24"/>
        </w:rPr>
        <w:t>1.</w:t>
      </w:r>
      <w:r>
        <w:rPr>
          <w:rFonts w:hint="eastAsia"/>
          <w:b/>
          <w:color w:val="auto"/>
          <w:sz w:val="24"/>
          <w:szCs w:val="24"/>
        </w:rPr>
        <w:t>总述</w:t>
      </w:r>
      <w:r>
        <w:rPr>
          <w:b/>
          <w:color w:val="auto"/>
          <w:sz w:val="24"/>
          <w:szCs w:val="24"/>
        </w:rPr>
        <w:tab/>
      </w:r>
      <w:r>
        <w:rPr>
          <w:b/>
          <w:color w:val="auto"/>
          <w:sz w:val="24"/>
          <w:szCs w:val="24"/>
        </w:rPr>
        <w:fldChar w:fldCharType="begin"/>
      </w:r>
      <w:r>
        <w:rPr>
          <w:b/>
          <w:color w:val="auto"/>
          <w:sz w:val="24"/>
          <w:szCs w:val="24"/>
        </w:rPr>
        <w:instrText xml:space="preserve"> PAGEREF _Toc181362476 \h </w:instrText>
      </w:r>
      <w:r>
        <w:rPr>
          <w:b/>
          <w:color w:val="auto"/>
          <w:sz w:val="24"/>
          <w:szCs w:val="24"/>
        </w:rPr>
        <w:fldChar w:fldCharType="separate"/>
      </w:r>
      <w:r>
        <w:rPr>
          <w:b/>
          <w:color w:val="auto"/>
          <w:sz w:val="24"/>
          <w:szCs w:val="24"/>
        </w:rPr>
        <w:t>3</w:t>
      </w:r>
      <w:r>
        <w:rPr>
          <w:b/>
          <w:color w:val="auto"/>
          <w:sz w:val="24"/>
          <w:szCs w:val="24"/>
        </w:rPr>
        <w:fldChar w:fldCharType="end"/>
      </w:r>
      <w:r>
        <w:rPr>
          <w:b/>
          <w:color w:val="auto"/>
          <w:sz w:val="24"/>
          <w:szCs w:val="24"/>
        </w:rPr>
        <w:fldChar w:fldCharType="end"/>
      </w:r>
    </w:p>
    <w:p>
      <w:pPr>
        <w:pStyle w:val="315"/>
        <w:tabs>
          <w:tab w:val="right" w:leader="dot" w:pos="8844"/>
        </w:tabs>
        <w:rPr>
          <w:b/>
          <w:bCs/>
          <w:caps/>
          <w:color w:val="auto"/>
          <w:sz w:val="24"/>
          <w:szCs w:val="24"/>
        </w:rPr>
      </w:pPr>
      <w:r>
        <w:rPr>
          <w:color w:val="auto"/>
          <w:sz w:val="24"/>
          <w:szCs w:val="24"/>
        </w:rPr>
        <w:fldChar w:fldCharType="begin"/>
      </w:r>
      <w:r>
        <w:rPr>
          <w:color w:val="auto"/>
          <w:sz w:val="24"/>
          <w:szCs w:val="24"/>
        </w:rPr>
        <w:instrText xml:space="preserve"> HYPERLINK \l "_Toc181362477" </w:instrText>
      </w:r>
      <w:r>
        <w:rPr>
          <w:color w:val="auto"/>
          <w:sz w:val="24"/>
          <w:szCs w:val="24"/>
        </w:rPr>
        <w:fldChar w:fldCharType="separate"/>
      </w:r>
      <w:r>
        <w:rPr>
          <w:b/>
          <w:color w:val="auto"/>
          <w:sz w:val="24"/>
          <w:szCs w:val="24"/>
        </w:rPr>
        <w:t>2.</w:t>
      </w:r>
      <w:r>
        <w:rPr>
          <w:rFonts w:hint="eastAsia"/>
          <w:b/>
          <w:color w:val="auto"/>
          <w:sz w:val="24"/>
          <w:szCs w:val="24"/>
          <w:lang w:val="en-US" w:eastAsia="zh-CN"/>
        </w:rPr>
        <w:t>项目概况</w:t>
      </w:r>
      <w:r>
        <w:rPr>
          <w:b/>
          <w:color w:val="auto"/>
          <w:sz w:val="24"/>
          <w:szCs w:val="24"/>
        </w:rPr>
        <w:tab/>
      </w:r>
      <w:r>
        <w:rPr>
          <w:b/>
          <w:color w:val="auto"/>
          <w:sz w:val="24"/>
          <w:szCs w:val="24"/>
        </w:rPr>
        <w:fldChar w:fldCharType="begin"/>
      </w:r>
      <w:r>
        <w:rPr>
          <w:b/>
          <w:color w:val="auto"/>
          <w:sz w:val="24"/>
          <w:szCs w:val="24"/>
        </w:rPr>
        <w:instrText xml:space="preserve"> PAGEREF _Toc181362477 \h </w:instrText>
      </w:r>
      <w:r>
        <w:rPr>
          <w:b/>
          <w:color w:val="auto"/>
          <w:sz w:val="24"/>
          <w:szCs w:val="24"/>
        </w:rPr>
        <w:fldChar w:fldCharType="separate"/>
      </w:r>
      <w:r>
        <w:rPr>
          <w:b/>
          <w:color w:val="auto"/>
          <w:sz w:val="24"/>
          <w:szCs w:val="24"/>
        </w:rPr>
        <w:t>3</w:t>
      </w:r>
      <w:r>
        <w:rPr>
          <w:b/>
          <w:color w:val="auto"/>
          <w:sz w:val="24"/>
          <w:szCs w:val="24"/>
        </w:rPr>
        <w:fldChar w:fldCharType="end"/>
      </w:r>
      <w:r>
        <w:rPr>
          <w:b/>
          <w:color w:val="auto"/>
          <w:sz w:val="24"/>
          <w:szCs w:val="24"/>
        </w:rPr>
        <w:fldChar w:fldCharType="end"/>
      </w:r>
    </w:p>
    <w:p>
      <w:pPr>
        <w:pStyle w:val="315"/>
        <w:tabs>
          <w:tab w:val="right" w:leader="dot" w:pos="8844"/>
        </w:tabs>
        <w:rPr>
          <w:rFonts w:hint="eastAsia" w:eastAsia="宋体"/>
          <w:b/>
          <w:bCs/>
          <w:caps/>
          <w:color w:val="auto"/>
          <w:sz w:val="24"/>
          <w:szCs w:val="24"/>
          <w:lang w:eastAsia="zh-CN"/>
        </w:rPr>
      </w:pPr>
      <w:r>
        <w:rPr>
          <w:color w:val="auto"/>
          <w:sz w:val="24"/>
          <w:szCs w:val="24"/>
        </w:rPr>
        <w:fldChar w:fldCharType="begin"/>
      </w:r>
      <w:r>
        <w:rPr>
          <w:color w:val="auto"/>
          <w:sz w:val="24"/>
          <w:szCs w:val="24"/>
        </w:rPr>
        <w:instrText xml:space="preserve"> HYPERLINK \l "_Toc181362481" </w:instrText>
      </w:r>
      <w:r>
        <w:rPr>
          <w:color w:val="auto"/>
          <w:sz w:val="24"/>
          <w:szCs w:val="24"/>
        </w:rPr>
        <w:fldChar w:fldCharType="separate"/>
      </w:r>
      <w:r>
        <w:rPr>
          <w:b/>
          <w:color w:val="auto"/>
          <w:sz w:val="24"/>
          <w:szCs w:val="24"/>
        </w:rPr>
        <w:t>3.</w:t>
      </w:r>
      <w:r>
        <w:rPr>
          <w:rFonts w:hint="eastAsia"/>
          <w:b/>
          <w:color w:val="auto"/>
          <w:sz w:val="24"/>
          <w:szCs w:val="24"/>
          <w:lang w:val="en-US" w:eastAsia="zh-CN"/>
        </w:rPr>
        <w:t>边界条件</w:t>
      </w:r>
      <w:r>
        <w:rPr>
          <w:b/>
          <w:color w:val="auto"/>
          <w:sz w:val="24"/>
          <w:szCs w:val="24"/>
        </w:rPr>
        <w:tab/>
      </w:r>
      <w:r>
        <w:rPr>
          <w:b/>
          <w:color w:val="auto"/>
          <w:sz w:val="24"/>
          <w:szCs w:val="24"/>
        </w:rPr>
        <w:fldChar w:fldCharType="end"/>
      </w:r>
      <w:r>
        <w:rPr>
          <w:rFonts w:hint="eastAsia"/>
          <w:b/>
          <w:color w:val="auto"/>
          <w:sz w:val="24"/>
          <w:szCs w:val="24"/>
          <w:lang w:val="en-US" w:eastAsia="zh-CN"/>
        </w:rPr>
        <w:t>7</w:t>
      </w:r>
    </w:p>
    <w:p>
      <w:pPr>
        <w:pStyle w:val="315"/>
        <w:tabs>
          <w:tab w:val="right" w:leader="dot" w:pos="8844"/>
        </w:tabs>
        <w:rPr>
          <w:rFonts w:hint="eastAsia"/>
          <w:b/>
          <w:bCs/>
          <w:caps/>
          <w:color w:val="auto"/>
          <w:sz w:val="24"/>
          <w:szCs w:val="24"/>
        </w:rPr>
      </w:pPr>
      <w:r>
        <w:rPr>
          <w:color w:val="auto"/>
          <w:sz w:val="24"/>
          <w:szCs w:val="24"/>
        </w:rPr>
        <w:fldChar w:fldCharType="begin"/>
      </w:r>
      <w:r>
        <w:rPr>
          <w:color w:val="auto"/>
          <w:sz w:val="24"/>
          <w:szCs w:val="24"/>
        </w:rPr>
        <w:instrText xml:space="preserve"> HYPERLINK \l "_Toc181362487" </w:instrText>
      </w:r>
      <w:r>
        <w:rPr>
          <w:color w:val="auto"/>
          <w:sz w:val="24"/>
          <w:szCs w:val="24"/>
        </w:rPr>
        <w:fldChar w:fldCharType="separate"/>
      </w:r>
      <w:r>
        <w:rPr>
          <w:b/>
          <w:color w:val="auto"/>
          <w:sz w:val="24"/>
          <w:szCs w:val="24"/>
        </w:rPr>
        <w:t>4.</w:t>
      </w:r>
      <w:r>
        <w:rPr>
          <w:rFonts w:hint="eastAsia"/>
          <w:b/>
          <w:color w:val="auto"/>
          <w:sz w:val="24"/>
          <w:szCs w:val="24"/>
          <w:lang w:val="en-US" w:eastAsia="zh-CN"/>
        </w:rPr>
        <w:t>执行标准</w:t>
      </w:r>
      <w:r>
        <w:rPr>
          <w:b/>
          <w:color w:val="auto"/>
          <w:sz w:val="24"/>
          <w:szCs w:val="24"/>
        </w:rPr>
        <w:tab/>
      </w:r>
      <w:r>
        <w:rPr>
          <w:b/>
          <w:color w:val="auto"/>
          <w:sz w:val="24"/>
          <w:szCs w:val="24"/>
        </w:rPr>
        <w:fldChar w:fldCharType="end"/>
      </w:r>
      <w:r>
        <w:rPr>
          <w:rFonts w:hint="eastAsia"/>
          <w:b/>
          <w:color w:val="auto"/>
          <w:sz w:val="24"/>
          <w:szCs w:val="24"/>
          <w:lang w:eastAsia="zh-CN"/>
        </w:rPr>
        <w:t>8</w:t>
      </w:r>
    </w:p>
    <w:p>
      <w:pPr>
        <w:pStyle w:val="315"/>
        <w:tabs>
          <w:tab w:val="right" w:leader="dot" w:pos="8844"/>
        </w:tabs>
        <w:rPr>
          <w:rFonts w:hint="eastAsia"/>
          <w:b/>
          <w:bCs/>
          <w:caps w:val="0"/>
          <w:color w:val="auto"/>
          <w:sz w:val="24"/>
          <w:szCs w:val="24"/>
        </w:rPr>
      </w:pPr>
      <w:r>
        <w:rPr>
          <w:b/>
          <w:bCs/>
          <w:color w:val="auto"/>
          <w:sz w:val="24"/>
          <w:szCs w:val="24"/>
        </w:rPr>
        <w:fldChar w:fldCharType="begin"/>
      </w:r>
      <w:r>
        <w:rPr>
          <w:b/>
          <w:bCs/>
          <w:color w:val="auto"/>
          <w:sz w:val="24"/>
          <w:szCs w:val="24"/>
        </w:rPr>
        <w:instrText xml:space="preserve"> HYPERLINK \l "_Toc181362496" </w:instrText>
      </w:r>
      <w:r>
        <w:rPr>
          <w:b/>
          <w:bCs/>
          <w:color w:val="auto"/>
          <w:sz w:val="24"/>
          <w:szCs w:val="24"/>
        </w:rPr>
        <w:fldChar w:fldCharType="separate"/>
      </w:r>
      <w:r>
        <w:rPr>
          <w:b/>
          <w:bCs/>
          <w:color w:val="auto"/>
          <w:sz w:val="24"/>
          <w:szCs w:val="24"/>
        </w:rPr>
        <w:t>5.</w:t>
      </w:r>
      <w:r>
        <w:rPr>
          <w:rFonts w:hint="default"/>
          <w:b/>
          <w:bCs/>
          <w:color w:val="auto"/>
          <w:sz w:val="24"/>
          <w:szCs w:val="24"/>
          <w:lang w:val="en-US" w:eastAsia="zh-CN"/>
        </w:rPr>
        <w:t xml:space="preserve">服务范围及内容 </w:t>
      </w:r>
      <w:r>
        <w:rPr>
          <w:b/>
          <w:bCs/>
          <w:color w:val="auto"/>
          <w:sz w:val="24"/>
          <w:szCs w:val="24"/>
        </w:rPr>
        <w:tab/>
      </w:r>
      <w:r>
        <w:rPr>
          <w:b/>
          <w:bCs/>
          <w:color w:val="auto"/>
          <w:sz w:val="24"/>
          <w:szCs w:val="24"/>
        </w:rPr>
        <w:fldChar w:fldCharType="begin"/>
      </w:r>
      <w:r>
        <w:rPr>
          <w:b/>
          <w:bCs/>
          <w:color w:val="auto"/>
          <w:sz w:val="24"/>
          <w:szCs w:val="24"/>
        </w:rPr>
        <w:instrText xml:space="preserve"> PAGEREF _Toc181362496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r>
        <w:rPr>
          <w:rFonts w:hint="eastAsia"/>
          <w:b/>
          <w:bCs/>
          <w:color w:val="auto"/>
          <w:sz w:val="24"/>
          <w:szCs w:val="24"/>
          <w:lang w:eastAsia="zh-CN"/>
        </w:rPr>
        <w:t>0</w:t>
      </w:r>
    </w:p>
    <w:p>
      <w:pPr>
        <w:pStyle w:val="315"/>
        <w:tabs>
          <w:tab w:val="right" w:leader="dot" w:pos="8844"/>
        </w:tabs>
        <w:rPr>
          <w:rFonts w:hint="eastAsia"/>
          <w:b/>
          <w:bCs/>
          <w:caps w:val="0"/>
          <w:color w:val="auto"/>
          <w:sz w:val="24"/>
          <w:szCs w:val="24"/>
        </w:rPr>
      </w:pPr>
      <w:r>
        <w:rPr>
          <w:b/>
          <w:bCs/>
          <w:color w:val="auto"/>
          <w:sz w:val="24"/>
          <w:szCs w:val="24"/>
        </w:rPr>
        <w:fldChar w:fldCharType="begin"/>
      </w:r>
      <w:r>
        <w:rPr>
          <w:b/>
          <w:bCs/>
          <w:color w:val="auto"/>
          <w:sz w:val="24"/>
          <w:szCs w:val="24"/>
        </w:rPr>
        <w:instrText xml:space="preserve"> HYPERLINK \l "_Toc181362499" </w:instrText>
      </w:r>
      <w:r>
        <w:rPr>
          <w:b/>
          <w:bCs/>
          <w:color w:val="auto"/>
          <w:sz w:val="24"/>
          <w:szCs w:val="24"/>
        </w:rPr>
        <w:fldChar w:fldCharType="separate"/>
      </w:r>
      <w:r>
        <w:rPr>
          <w:b/>
          <w:bCs/>
          <w:color w:val="auto"/>
          <w:sz w:val="24"/>
          <w:szCs w:val="24"/>
        </w:rPr>
        <w:t>6.</w:t>
      </w:r>
      <w:r>
        <w:rPr>
          <w:rFonts w:hint="default"/>
          <w:b/>
          <w:bCs/>
          <w:color w:val="auto"/>
          <w:sz w:val="24"/>
          <w:szCs w:val="24"/>
        </w:rPr>
        <w:t>质</w:t>
      </w:r>
      <w:r>
        <w:rPr>
          <w:rFonts w:hint="default"/>
          <w:b/>
          <w:bCs/>
          <w:color w:val="auto"/>
          <w:sz w:val="24"/>
          <w:szCs w:val="24"/>
          <w:lang w:val="en-US" w:eastAsia="zh-CN"/>
        </w:rPr>
        <w:t>监理服务及工作要求</w:t>
      </w:r>
      <w:r>
        <w:rPr>
          <w:b/>
          <w:bCs/>
          <w:color w:val="auto"/>
          <w:sz w:val="24"/>
          <w:szCs w:val="24"/>
        </w:rPr>
        <w:tab/>
      </w:r>
      <w:r>
        <w:rPr>
          <w:b/>
          <w:bCs/>
          <w:color w:val="auto"/>
          <w:sz w:val="24"/>
          <w:szCs w:val="24"/>
        </w:rPr>
        <w:fldChar w:fldCharType="begin"/>
      </w:r>
      <w:r>
        <w:rPr>
          <w:b/>
          <w:bCs/>
          <w:color w:val="auto"/>
          <w:sz w:val="24"/>
          <w:szCs w:val="24"/>
        </w:rPr>
        <w:instrText xml:space="preserve"> PAGEREF _Toc181362499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r>
        <w:rPr>
          <w:rFonts w:hint="eastAsia"/>
          <w:b/>
          <w:bCs/>
          <w:color w:val="auto"/>
          <w:sz w:val="24"/>
          <w:szCs w:val="24"/>
          <w:lang w:eastAsia="zh-CN"/>
        </w:rPr>
        <w:t>2</w:t>
      </w:r>
    </w:p>
    <w:p>
      <w:pPr>
        <w:pStyle w:val="315"/>
        <w:tabs>
          <w:tab w:val="right" w:leader="dot" w:pos="8844"/>
        </w:tabs>
        <w:rPr>
          <w:rFonts w:hint="eastAsia"/>
          <w:b/>
          <w:bCs/>
          <w:caps w:val="0"/>
          <w:color w:val="auto"/>
          <w:sz w:val="24"/>
          <w:szCs w:val="24"/>
        </w:rPr>
      </w:pPr>
      <w:r>
        <w:rPr>
          <w:b/>
          <w:bCs/>
          <w:color w:val="auto"/>
          <w:sz w:val="24"/>
          <w:szCs w:val="24"/>
        </w:rPr>
        <w:fldChar w:fldCharType="begin"/>
      </w:r>
      <w:r>
        <w:rPr>
          <w:b/>
          <w:bCs/>
          <w:color w:val="auto"/>
          <w:sz w:val="24"/>
          <w:szCs w:val="24"/>
        </w:rPr>
        <w:instrText xml:space="preserve"> HYPERLINK \l "_Toc181362515" </w:instrText>
      </w:r>
      <w:r>
        <w:rPr>
          <w:b/>
          <w:bCs/>
          <w:color w:val="auto"/>
          <w:sz w:val="24"/>
          <w:szCs w:val="24"/>
        </w:rPr>
        <w:fldChar w:fldCharType="separate"/>
      </w:r>
      <w:r>
        <w:rPr>
          <w:b/>
          <w:bCs/>
          <w:color w:val="auto"/>
          <w:sz w:val="24"/>
          <w:szCs w:val="24"/>
        </w:rPr>
        <w:t>7.</w:t>
      </w:r>
      <w:r>
        <w:rPr>
          <w:rFonts w:hint="default"/>
          <w:b/>
          <w:bCs/>
          <w:color w:val="auto"/>
          <w:sz w:val="24"/>
          <w:szCs w:val="24"/>
          <w:lang w:val="en-US" w:eastAsia="zh-CN"/>
        </w:rPr>
        <w:t>监理机构及人员资质要求</w:t>
      </w:r>
      <w:r>
        <w:rPr>
          <w:b/>
          <w:bCs/>
          <w:color w:val="auto"/>
          <w:sz w:val="24"/>
          <w:szCs w:val="24"/>
        </w:rPr>
        <w:tab/>
      </w:r>
      <w:r>
        <w:rPr>
          <w:b/>
          <w:bCs/>
          <w:color w:val="auto"/>
          <w:sz w:val="24"/>
          <w:szCs w:val="24"/>
        </w:rPr>
        <w:fldChar w:fldCharType="begin"/>
      </w:r>
      <w:r>
        <w:rPr>
          <w:b/>
          <w:bCs/>
          <w:color w:val="auto"/>
          <w:sz w:val="24"/>
          <w:szCs w:val="24"/>
        </w:rPr>
        <w:instrText xml:space="preserve"> PAGEREF _Toc181362515 \h </w:instrText>
      </w:r>
      <w:r>
        <w:rPr>
          <w:b/>
          <w:bCs/>
          <w:color w:val="auto"/>
          <w:sz w:val="24"/>
          <w:szCs w:val="24"/>
        </w:rPr>
        <w:fldChar w:fldCharType="separate"/>
      </w:r>
      <w:r>
        <w:rPr>
          <w:b/>
          <w:bCs/>
          <w:color w:val="auto"/>
          <w:sz w:val="24"/>
          <w:szCs w:val="24"/>
        </w:rPr>
        <w:t>1</w:t>
      </w:r>
      <w:r>
        <w:rPr>
          <w:b/>
          <w:bCs/>
          <w:color w:val="auto"/>
          <w:sz w:val="24"/>
          <w:szCs w:val="24"/>
        </w:rPr>
        <w:fldChar w:fldCharType="end"/>
      </w:r>
      <w:r>
        <w:rPr>
          <w:b/>
          <w:bCs/>
          <w:color w:val="auto"/>
          <w:sz w:val="24"/>
          <w:szCs w:val="24"/>
        </w:rPr>
        <w:fldChar w:fldCharType="end"/>
      </w:r>
      <w:r>
        <w:rPr>
          <w:rFonts w:hint="eastAsia"/>
          <w:b/>
          <w:bCs/>
          <w:color w:val="auto"/>
          <w:sz w:val="24"/>
          <w:szCs w:val="24"/>
          <w:lang w:eastAsia="zh-CN"/>
        </w:rPr>
        <w:t>6</w:t>
      </w:r>
    </w:p>
    <w:p>
      <w:pPr>
        <w:pStyle w:val="315"/>
        <w:tabs>
          <w:tab w:val="right" w:leader="dot" w:pos="8844"/>
        </w:tabs>
        <w:rPr>
          <w:b w:val="0"/>
          <w:bCs w:val="0"/>
          <w:caps w:val="0"/>
          <w:color w:val="auto"/>
          <w:sz w:val="24"/>
          <w:szCs w:val="24"/>
        </w:rPr>
      </w:pPr>
      <w:r>
        <w:rPr>
          <w:b/>
          <w:bCs/>
          <w:color w:val="auto"/>
          <w:sz w:val="24"/>
          <w:szCs w:val="24"/>
        </w:rPr>
        <w:fldChar w:fldCharType="begin"/>
      </w:r>
      <w:r>
        <w:rPr>
          <w:b/>
          <w:bCs/>
          <w:color w:val="auto"/>
          <w:sz w:val="24"/>
          <w:szCs w:val="24"/>
        </w:rPr>
        <w:instrText xml:space="preserve"> HYPERLINK \l "_Toc181362523" </w:instrText>
      </w:r>
      <w:r>
        <w:rPr>
          <w:b/>
          <w:bCs/>
          <w:color w:val="auto"/>
          <w:sz w:val="24"/>
          <w:szCs w:val="24"/>
        </w:rPr>
        <w:fldChar w:fldCharType="separate"/>
      </w:r>
      <w:r>
        <w:rPr>
          <w:b/>
          <w:bCs/>
          <w:color w:val="auto"/>
          <w:sz w:val="24"/>
          <w:szCs w:val="24"/>
        </w:rPr>
        <w:t>8.</w:t>
      </w:r>
      <w:r>
        <w:rPr>
          <w:rFonts w:hint="default"/>
          <w:b/>
          <w:bCs/>
          <w:color w:val="auto"/>
          <w:sz w:val="24"/>
          <w:szCs w:val="24"/>
          <w:lang w:val="en-US" w:eastAsia="zh-CN"/>
        </w:rPr>
        <w:t>安全及文明生产管理</w:t>
      </w:r>
      <w:r>
        <w:rPr>
          <w:b/>
          <w:bCs/>
          <w:color w:val="auto"/>
          <w:sz w:val="24"/>
          <w:szCs w:val="24"/>
        </w:rPr>
        <w:tab/>
      </w:r>
      <w:r>
        <w:rPr>
          <w:b/>
          <w:bCs/>
          <w:color w:val="auto"/>
          <w:sz w:val="24"/>
          <w:szCs w:val="24"/>
        </w:rPr>
        <w:fldChar w:fldCharType="begin"/>
      </w:r>
      <w:r>
        <w:rPr>
          <w:b/>
          <w:bCs/>
          <w:color w:val="auto"/>
          <w:sz w:val="24"/>
          <w:szCs w:val="24"/>
        </w:rPr>
        <w:instrText xml:space="preserve"> PAGEREF _Toc181362523 \h </w:instrText>
      </w:r>
      <w:r>
        <w:rPr>
          <w:b/>
          <w:bCs/>
          <w:color w:val="auto"/>
          <w:sz w:val="24"/>
          <w:szCs w:val="24"/>
        </w:rPr>
        <w:fldChar w:fldCharType="separate"/>
      </w:r>
      <w:r>
        <w:rPr>
          <w:b/>
          <w:bCs/>
          <w:color w:val="auto"/>
          <w:sz w:val="24"/>
          <w:szCs w:val="24"/>
        </w:rPr>
        <w:t>18</w:t>
      </w:r>
      <w:r>
        <w:rPr>
          <w:b/>
          <w:bCs/>
          <w:color w:val="auto"/>
          <w:sz w:val="24"/>
          <w:szCs w:val="24"/>
        </w:rPr>
        <w:fldChar w:fldCharType="end"/>
      </w:r>
      <w:r>
        <w:rPr>
          <w:b/>
          <w:bCs/>
          <w:color w:val="auto"/>
          <w:sz w:val="24"/>
          <w:szCs w:val="24"/>
        </w:rPr>
        <w:fldChar w:fldCharType="end"/>
      </w:r>
    </w:p>
    <w:p>
      <w:pPr>
        <w:pStyle w:val="315"/>
        <w:tabs>
          <w:tab w:val="right" w:leader="dot" w:pos="8844"/>
        </w:tabs>
        <w:rPr>
          <w:rFonts w:hint="default" w:eastAsia="宋体"/>
          <w:b/>
          <w:bCs/>
          <w:caps w:val="0"/>
          <w:color w:val="auto"/>
          <w:sz w:val="24"/>
          <w:szCs w:val="24"/>
          <w:lang w:val="en-US" w:eastAsia="zh-CN"/>
        </w:rPr>
      </w:pPr>
      <w:r>
        <w:rPr>
          <w:b/>
          <w:bCs/>
          <w:color w:val="auto"/>
          <w:sz w:val="24"/>
          <w:szCs w:val="24"/>
        </w:rPr>
        <w:fldChar w:fldCharType="begin"/>
      </w:r>
      <w:r>
        <w:rPr>
          <w:b/>
          <w:bCs/>
          <w:color w:val="auto"/>
          <w:sz w:val="24"/>
          <w:szCs w:val="24"/>
        </w:rPr>
        <w:instrText xml:space="preserve"> HYPERLINK \l "_Toc181362533" </w:instrText>
      </w:r>
      <w:r>
        <w:rPr>
          <w:b/>
          <w:bCs/>
          <w:color w:val="auto"/>
          <w:sz w:val="24"/>
          <w:szCs w:val="24"/>
        </w:rPr>
        <w:fldChar w:fldCharType="separate"/>
      </w:r>
      <w:r>
        <w:rPr>
          <w:b/>
          <w:bCs/>
          <w:color w:val="auto"/>
          <w:sz w:val="24"/>
          <w:szCs w:val="24"/>
        </w:rPr>
        <w:t>9.</w:t>
      </w:r>
      <w:r>
        <w:rPr>
          <w:rFonts w:hint="default"/>
          <w:b/>
          <w:bCs/>
          <w:color w:val="auto"/>
          <w:sz w:val="24"/>
          <w:szCs w:val="24"/>
          <w:lang w:val="en-US" w:eastAsia="zh-CN"/>
        </w:rPr>
        <w:t>现场条件和规定</w:t>
      </w:r>
      <w:r>
        <w:rPr>
          <w:b/>
          <w:bCs/>
          <w:color w:val="auto"/>
          <w:sz w:val="24"/>
          <w:szCs w:val="24"/>
        </w:rPr>
        <w:tab/>
      </w:r>
      <w:r>
        <w:rPr>
          <w:b/>
          <w:bCs/>
          <w:color w:val="auto"/>
          <w:sz w:val="24"/>
          <w:szCs w:val="24"/>
        </w:rPr>
        <w:fldChar w:fldCharType="end"/>
      </w:r>
      <w:r>
        <w:rPr>
          <w:rFonts w:hint="eastAsia"/>
          <w:b/>
          <w:bCs/>
          <w:color w:val="auto"/>
          <w:sz w:val="24"/>
          <w:szCs w:val="24"/>
          <w:lang w:val="en-US" w:eastAsia="zh-CN"/>
        </w:rPr>
        <w:t>19</w:t>
      </w:r>
    </w:p>
    <w:p>
      <w:pPr>
        <w:pStyle w:val="315"/>
        <w:tabs>
          <w:tab w:val="right" w:leader="dot" w:pos="8844"/>
        </w:tabs>
        <w:rPr>
          <w:rFonts w:hint="default"/>
          <w:b/>
          <w:bCs/>
          <w:color w:val="auto"/>
          <w:sz w:val="24"/>
          <w:szCs w:val="24"/>
          <w:lang w:val="en-US" w:eastAsia="zh-CN"/>
        </w:rPr>
      </w:pPr>
      <w:r>
        <w:rPr>
          <w:b/>
          <w:bCs/>
          <w:color w:val="auto"/>
          <w:sz w:val="24"/>
          <w:szCs w:val="24"/>
        </w:rPr>
        <w:fldChar w:fldCharType="begin"/>
      </w:r>
      <w:r>
        <w:rPr>
          <w:b/>
          <w:bCs/>
          <w:color w:val="auto"/>
          <w:sz w:val="24"/>
          <w:szCs w:val="24"/>
        </w:rPr>
        <w:instrText xml:space="preserve"> HYPERLINK \l "_Toc181362534" </w:instrText>
      </w:r>
      <w:r>
        <w:rPr>
          <w:b/>
          <w:bCs/>
          <w:color w:val="auto"/>
          <w:sz w:val="24"/>
          <w:szCs w:val="24"/>
        </w:rPr>
        <w:fldChar w:fldCharType="separate"/>
      </w:r>
      <w:r>
        <w:rPr>
          <w:b/>
          <w:bCs/>
          <w:color w:val="auto"/>
          <w:sz w:val="24"/>
          <w:szCs w:val="24"/>
        </w:rPr>
        <w:t>10.</w:t>
      </w:r>
      <w:bookmarkStart w:id="9" w:name="OLE_LINK3"/>
      <w:r>
        <w:rPr>
          <w:rFonts w:hint="default"/>
          <w:b/>
          <w:bCs/>
          <w:color w:val="auto"/>
          <w:sz w:val="24"/>
          <w:szCs w:val="24"/>
          <w:lang w:val="en-US" w:eastAsia="zh-CN"/>
        </w:rPr>
        <w:t>报价方项目管理人员要求</w:t>
      </w:r>
      <w:r>
        <w:rPr>
          <w:b/>
          <w:bCs/>
          <w:color w:val="auto"/>
          <w:sz w:val="24"/>
          <w:szCs w:val="24"/>
        </w:rPr>
        <w:tab/>
      </w:r>
      <w:r>
        <w:rPr>
          <w:rFonts w:hint="default"/>
          <w:b/>
          <w:bCs/>
          <w:color w:val="auto"/>
          <w:sz w:val="24"/>
          <w:szCs w:val="24"/>
          <w:lang w:val="en-US" w:eastAsia="zh-CN"/>
        </w:rPr>
        <w:t>20</w:t>
      </w:r>
    </w:p>
    <w:p>
      <w:pPr>
        <w:pStyle w:val="315"/>
        <w:tabs>
          <w:tab w:val="right" w:leader="dot" w:pos="8844"/>
        </w:tabs>
        <w:rPr>
          <w:rFonts w:hint="default" w:eastAsia="宋体"/>
          <w:b/>
          <w:bCs/>
          <w:caps/>
          <w:color w:val="auto"/>
          <w:sz w:val="24"/>
          <w:szCs w:val="24"/>
          <w:lang w:val="en-US" w:eastAsia="zh-CN"/>
        </w:rPr>
      </w:pPr>
      <w:r>
        <w:rPr>
          <w:rFonts w:hint="default"/>
          <w:b/>
          <w:bCs/>
          <w:color w:val="auto"/>
          <w:sz w:val="24"/>
          <w:szCs w:val="24"/>
          <w:lang w:val="en-US" w:eastAsia="zh-CN"/>
        </w:rPr>
        <w:t>11.</w:t>
      </w:r>
      <w:bookmarkStart w:id="10" w:name="OLE_LINK6"/>
      <w:r>
        <w:rPr>
          <w:rFonts w:hint="default"/>
          <w:b/>
          <w:bCs/>
          <w:color w:val="auto"/>
          <w:sz w:val="24"/>
          <w:szCs w:val="24"/>
          <w:lang w:val="en-US" w:eastAsia="zh-CN"/>
        </w:rPr>
        <w:t>监理服务验收标准</w:t>
      </w:r>
      <w:bookmarkEnd w:id="9"/>
      <w:r>
        <w:rPr>
          <w:b/>
          <w:bCs/>
          <w:color w:val="auto"/>
          <w:sz w:val="24"/>
          <w:szCs w:val="24"/>
        </w:rPr>
        <w:tab/>
      </w:r>
      <w:bookmarkEnd w:id="10"/>
      <w:r>
        <w:rPr>
          <w:b/>
          <w:bCs/>
          <w:color w:val="auto"/>
          <w:sz w:val="24"/>
          <w:szCs w:val="24"/>
        </w:rPr>
        <w:fldChar w:fldCharType="end"/>
      </w:r>
      <w:r>
        <w:rPr>
          <w:rFonts w:hint="eastAsia"/>
          <w:b/>
          <w:bCs/>
          <w:color w:val="auto"/>
          <w:sz w:val="24"/>
          <w:szCs w:val="24"/>
          <w:lang w:val="en-US" w:eastAsia="zh-CN"/>
        </w:rPr>
        <w:t>22</w:t>
      </w:r>
    </w:p>
    <w:p>
      <w:pPr>
        <w:pStyle w:val="315"/>
        <w:tabs>
          <w:tab w:val="right" w:leader="dot" w:pos="8844"/>
        </w:tabs>
        <w:rPr>
          <w:rFonts w:hint="default" w:eastAsia="宋体"/>
          <w:b/>
          <w:bCs/>
          <w:color w:val="auto"/>
          <w:sz w:val="24"/>
          <w:szCs w:val="24"/>
          <w:lang w:val="en-US" w:eastAsia="zh-CN"/>
        </w:rPr>
      </w:pPr>
      <w:r>
        <w:rPr>
          <w:b/>
          <w:bCs/>
          <w:color w:val="auto"/>
          <w:sz w:val="24"/>
          <w:szCs w:val="24"/>
        </w:rPr>
        <w:fldChar w:fldCharType="begin"/>
      </w:r>
      <w:r>
        <w:rPr>
          <w:b/>
          <w:bCs/>
          <w:color w:val="auto"/>
          <w:sz w:val="24"/>
          <w:szCs w:val="24"/>
        </w:rPr>
        <w:instrText xml:space="preserve"> HYPERLINK \l "_Toc181362535" </w:instrText>
      </w:r>
      <w:r>
        <w:rPr>
          <w:b/>
          <w:bCs/>
          <w:color w:val="auto"/>
          <w:sz w:val="24"/>
          <w:szCs w:val="24"/>
        </w:rPr>
        <w:fldChar w:fldCharType="separate"/>
      </w:r>
      <w:r>
        <w:rPr>
          <w:rFonts w:hint="eastAsia"/>
          <w:b/>
          <w:bCs/>
          <w:color w:val="auto"/>
          <w:sz w:val="24"/>
          <w:szCs w:val="24"/>
          <w:lang w:val="en-US" w:eastAsia="zh-CN"/>
        </w:rPr>
        <w:t>12.</w:t>
      </w:r>
      <w:r>
        <w:rPr>
          <w:rFonts w:hint="eastAsia"/>
          <w:b/>
          <w:bCs/>
          <w:color w:val="auto"/>
          <w:sz w:val="24"/>
          <w:szCs w:val="24"/>
        </w:rPr>
        <w:t>其他规定</w:t>
      </w:r>
      <w:r>
        <w:rPr>
          <w:b/>
          <w:bCs/>
          <w:color w:val="auto"/>
          <w:sz w:val="24"/>
          <w:szCs w:val="24"/>
        </w:rPr>
        <w:tab/>
      </w:r>
      <w:r>
        <w:rPr>
          <w:rFonts w:hint="eastAsia"/>
          <w:b/>
          <w:bCs/>
          <w:color w:val="auto"/>
          <w:sz w:val="24"/>
          <w:szCs w:val="24"/>
          <w:lang w:val="en-US" w:eastAsia="zh-CN"/>
        </w:rPr>
        <w:t>23</w:t>
      </w:r>
    </w:p>
    <w:p>
      <w:pPr>
        <w:pStyle w:val="315"/>
        <w:tabs>
          <w:tab w:val="right" w:leader="dot" w:pos="8844"/>
        </w:tabs>
        <w:rPr>
          <w:rFonts w:hint="eastAsia" w:eastAsia="宋体"/>
          <w:b/>
          <w:bCs/>
          <w:caps/>
          <w:color w:val="auto"/>
          <w:sz w:val="24"/>
          <w:szCs w:val="24"/>
          <w:lang w:eastAsia="zh-CN"/>
        </w:rPr>
      </w:pPr>
      <w:r>
        <w:rPr>
          <w:rFonts w:hint="eastAsia"/>
          <w:b/>
          <w:bCs/>
          <w:color w:val="auto"/>
          <w:sz w:val="24"/>
          <w:szCs w:val="24"/>
          <w:lang w:val="en-US" w:eastAsia="zh-CN"/>
        </w:rPr>
        <w:t>13.</w:t>
      </w:r>
      <w:bookmarkStart w:id="11" w:name="OLE_LINK5"/>
      <w:r>
        <w:rPr>
          <w:rFonts w:hint="eastAsia"/>
          <w:b/>
          <w:bCs/>
          <w:color w:val="auto"/>
          <w:sz w:val="24"/>
          <w:szCs w:val="24"/>
        </w:rPr>
        <w:t>附则</w:t>
      </w:r>
      <w:bookmarkEnd w:id="11"/>
      <w:r>
        <w:rPr>
          <w:b/>
          <w:bCs/>
          <w:color w:val="auto"/>
          <w:sz w:val="24"/>
          <w:szCs w:val="24"/>
        </w:rPr>
        <w:tab/>
      </w:r>
      <w:r>
        <w:rPr>
          <w:b/>
          <w:bCs/>
          <w:color w:val="auto"/>
          <w:sz w:val="24"/>
          <w:szCs w:val="24"/>
        </w:rPr>
        <w:fldChar w:fldCharType="begin"/>
      </w:r>
      <w:r>
        <w:rPr>
          <w:b/>
          <w:bCs/>
          <w:color w:val="auto"/>
          <w:sz w:val="24"/>
          <w:szCs w:val="24"/>
        </w:rPr>
        <w:instrText xml:space="preserve"> PAGEREF _Toc181362535 \h </w:instrText>
      </w:r>
      <w:r>
        <w:rPr>
          <w:b/>
          <w:bCs/>
          <w:color w:val="auto"/>
          <w:sz w:val="24"/>
          <w:szCs w:val="24"/>
        </w:rPr>
        <w:fldChar w:fldCharType="separate"/>
      </w:r>
      <w:r>
        <w:rPr>
          <w:b/>
          <w:bCs/>
          <w:color w:val="auto"/>
          <w:sz w:val="24"/>
          <w:szCs w:val="24"/>
        </w:rPr>
        <w:t>2</w:t>
      </w:r>
      <w:r>
        <w:rPr>
          <w:b/>
          <w:bCs/>
          <w:color w:val="auto"/>
          <w:sz w:val="24"/>
          <w:szCs w:val="24"/>
        </w:rPr>
        <w:fldChar w:fldCharType="end"/>
      </w:r>
      <w:r>
        <w:rPr>
          <w:b/>
          <w:bCs/>
          <w:color w:val="auto"/>
          <w:sz w:val="24"/>
          <w:szCs w:val="24"/>
        </w:rPr>
        <w:fldChar w:fldCharType="end"/>
      </w:r>
      <w:r>
        <w:rPr>
          <w:rFonts w:hint="eastAsia"/>
          <w:b/>
          <w:color w:val="auto"/>
          <w:sz w:val="24"/>
          <w:szCs w:val="24"/>
          <w:lang w:val="en-US" w:eastAsia="zh-CN"/>
        </w:rPr>
        <w:t>3</w:t>
      </w:r>
    </w:p>
    <w:p>
      <w:pPr>
        <w:pStyle w:val="315"/>
        <w:tabs>
          <w:tab w:val="right" w:leader="dot" w:pos="8844"/>
        </w:tabs>
        <w:rPr>
          <w:b/>
          <w:color w:val="auto"/>
          <w:sz w:val="24"/>
          <w:szCs w:val="24"/>
        </w:rPr>
      </w:pPr>
      <w:r>
        <w:rPr>
          <w:b/>
          <w:color w:val="auto"/>
          <w:sz w:val="24"/>
          <w:szCs w:val="24"/>
        </w:rPr>
        <w:fldChar w:fldCharType="end"/>
      </w:r>
    </w:p>
    <w:p>
      <w:pPr>
        <w:pStyle w:val="315"/>
        <w:tabs>
          <w:tab w:val="right" w:leader="dot" w:pos="8844"/>
        </w:tabs>
        <w:rPr>
          <w:b/>
          <w:color w:val="auto"/>
        </w:rPr>
      </w:pPr>
    </w:p>
    <w:p>
      <w:pPr>
        <w:pStyle w:val="315"/>
        <w:tabs>
          <w:tab w:val="right" w:leader="dot" w:pos="8844"/>
        </w:tabs>
        <w:rPr>
          <w:b/>
          <w:color w:val="auto"/>
        </w:rPr>
      </w:pPr>
    </w:p>
    <w:p>
      <w:pPr>
        <w:pStyle w:val="315"/>
        <w:tabs>
          <w:tab w:val="right" w:leader="dot" w:pos="8844"/>
        </w:tabs>
        <w:rPr>
          <w:b/>
          <w:color w:val="auto"/>
        </w:rPr>
      </w:pPr>
    </w:p>
    <w:p>
      <w:pPr>
        <w:rPr>
          <w:color w:val="auto"/>
        </w:rPr>
      </w:pPr>
    </w:p>
    <w:p>
      <w:pPr>
        <w:pStyle w:val="2"/>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pStyle w:val="2"/>
        <w:rPr>
          <w:color w:val="auto"/>
        </w:rPr>
      </w:pPr>
    </w:p>
    <w:p>
      <w:pPr>
        <w:rPr>
          <w:color w:val="auto"/>
        </w:rPr>
      </w:pPr>
    </w:p>
    <w:p>
      <w:pPr>
        <w:pStyle w:val="3"/>
        <w:numPr>
          <w:ilvl w:val="0"/>
          <w:numId w:val="2"/>
        </w:numPr>
        <w:adjustRightInd w:val="0"/>
        <w:spacing w:line="360" w:lineRule="auto"/>
        <w:rPr>
          <w:rFonts w:hint="eastAsia"/>
          <w:color w:val="auto"/>
          <w:sz w:val="28"/>
          <w:szCs w:val="28"/>
        </w:rPr>
      </w:pPr>
      <w:bookmarkStart w:id="12" w:name="_Toc181362475"/>
      <w:bookmarkEnd w:id="12"/>
      <w:bookmarkStart w:id="13" w:name="_Toc181362464"/>
      <w:bookmarkEnd w:id="13"/>
      <w:bookmarkStart w:id="14" w:name="_Toc181362470"/>
      <w:bookmarkEnd w:id="14"/>
      <w:bookmarkStart w:id="15" w:name="_Toc181362474"/>
      <w:bookmarkEnd w:id="15"/>
      <w:bookmarkStart w:id="16" w:name="_Toc181362465"/>
      <w:bookmarkEnd w:id="16"/>
      <w:bookmarkStart w:id="17" w:name="_Toc181362466"/>
      <w:bookmarkEnd w:id="17"/>
      <w:bookmarkStart w:id="18" w:name="_Toc181362469"/>
      <w:bookmarkEnd w:id="18"/>
      <w:bookmarkStart w:id="19" w:name="_Toc181362468"/>
      <w:bookmarkEnd w:id="19"/>
      <w:bookmarkStart w:id="20" w:name="_Toc181362436"/>
      <w:bookmarkEnd w:id="20"/>
      <w:bookmarkStart w:id="21" w:name="_Toc181362467"/>
      <w:bookmarkEnd w:id="21"/>
      <w:bookmarkStart w:id="22" w:name="_Toc181362471"/>
      <w:bookmarkEnd w:id="22"/>
      <w:bookmarkStart w:id="23" w:name="_Toc181362472"/>
      <w:bookmarkEnd w:id="23"/>
      <w:bookmarkStart w:id="24" w:name="_Toc181362473"/>
      <w:bookmarkEnd w:id="24"/>
      <w:bookmarkStart w:id="25" w:name="_Toc25404"/>
      <w:bookmarkStart w:id="26" w:name="_Toc26641"/>
      <w:bookmarkStart w:id="27" w:name="_Toc19863"/>
      <w:bookmarkStart w:id="28" w:name="_Toc3112"/>
      <w:bookmarkStart w:id="29" w:name="_Toc22642"/>
      <w:bookmarkStart w:id="30" w:name="_Toc28690"/>
      <w:bookmarkStart w:id="31" w:name="_Toc31841"/>
      <w:bookmarkStart w:id="32" w:name="_Toc15842"/>
      <w:bookmarkStart w:id="33" w:name="_Toc3760"/>
      <w:bookmarkStart w:id="34" w:name="_Toc27883"/>
      <w:bookmarkStart w:id="35" w:name="_Toc23905"/>
      <w:bookmarkStart w:id="36" w:name="_Toc27371"/>
      <w:bookmarkStart w:id="37" w:name="_Toc7568"/>
      <w:bookmarkStart w:id="38" w:name="_Toc8367"/>
      <w:bookmarkStart w:id="39" w:name="_Toc21408"/>
      <w:bookmarkStart w:id="40" w:name="_Toc181361820"/>
      <w:bookmarkStart w:id="41" w:name="_Toc14441"/>
      <w:bookmarkStart w:id="42" w:name="_Toc6216"/>
      <w:bookmarkStart w:id="43" w:name="_Toc4025"/>
      <w:bookmarkStart w:id="44" w:name="_Toc17621"/>
      <w:bookmarkStart w:id="45" w:name="_Toc181362476"/>
      <w:r>
        <w:rPr>
          <w:rFonts w:hint="eastAsia"/>
          <w:color w:val="auto"/>
          <w:sz w:val="28"/>
          <w:szCs w:val="28"/>
        </w:rPr>
        <w:t>总述</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pPr>
        <w:tabs>
          <w:tab w:val="left" w:pos="420"/>
        </w:tabs>
        <w:adjustRightInd w:val="0"/>
        <w:snapToGrid w:val="0"/>
        <w:rPr>
          <w:rFonts w:ascii="宋体" w:hAnsi="宋体"/>
          <w:color w:val="auto"/>
        </w:rPr>
      </w:pPr>
      <w:r>
        <w:rPr>
          <w:rFonts w:hint="eastAsia" w:ascii="宋体" w:hAnsi="宋体"/>
          <w:color w:val="auto"/>
        </w:rPr>
        <w:t>1.1广州市第六资源热力电厂对外集中供热项目监理服务技术需求书，特制订本技术需求书。</w:t>
      </w:r>
    </w:p>
    <w:p>
      <w:pPr>
        <w:tabs>
          <w:tab w:val="left" w:pos="420"/>
        </w:tabs>
        <w:adjustRightInd w:val="0"/>
        <w:snapToGrid w:val="0"/>
        <w:rPr>
          <w:rFonts w:ascii="宋体" w:hAnsi="宋体"/>
          <w:color w:val="auto"/>
        </w:rPr>
      </w:pPr>
      <w:r>
        <w:rPr>
          <w:rFonts w:hint="eastAsia" w:ascii="宋体" w:hAnsi="宋体"/>
          <w:color w:val="auto"/>
        </w:rPr>
        <w:t>1.2本技术需求书仅对广州市第六资源热力电厂对外集中供热项目监理服务技术需求书的人员配置及技术要求等方面提出了相关的规定。</w:t>
      </w:r>
    </w:p>
    <w:p>
      <w:pPr>
        <w:tabs>
          <w:tab w:val="left" w:pos="420"/>
        </w:tabs>
        <w:adjustRightInd w:val="0"/>
        <w:snapToGrid w:val="0"/>
        <w:rPr>
          <w:rFonts w:ascii="宋体" w:hAnsi="宋体"/>
          <w:color w:val="auto"/>
        </w:rPr>
      </w:pPr>
      <w:r>
        <w:rPr>
          <w:rFonts w:ascii="宋体" w:hAnsi="宋体"/>
          <w:color w:val="auto"/>
        </w:rPr>
        <w:t>1.3</w:t>
      </w:r>
      <w:r>
        <w:rPr>
          <w:rFonts w:hint="eastAsia" w:ascii="宋体" w:hAnsi="宋体"/>
          <w:color w:val="auto"/>
        </w:rPr>
        <w:t>本需求书提出的是最低限度的技术要求，并未对一切技术细节作出规定，也未充分引述有关标准和规范的条文。报价方应提供符合本需求书的服务，同时还应满足相应的国家行业标准的要求。</w:t>
      </w:r>
    </w:p>
    <w:p>
      <w:pPr>
        <w:tabs>
          <w:tab w:val="left" w:pos="420"/>
          <w:tab w:val="left" w:pos="540"/>
        </w:tabs>
        <w:adjustRightInd w:val="0"/>
        <w:snapToGrid w:val="0"/>
        <w:rPr>
          <w:rFonts w:ascii="宋体" w:hAnsi="宋体"/>
          <w:color w:val="auto"/>
        </w:rPr>
      </w:pPr>
      <w:r>
        <w:rPr>
          <w:rFonts w:ascii="宋体" w:hAnsi="宋体"/>
          <w:color w:val="auto"/>
        </w:rPr>
        <w:t>1.4</w:t>
      </w:r>
      <w:r>
        <w:rPr>
          <w:rFonts w:hint="eastAsia" w:ascii="宋体" w:hAnsi="宋体"/>
          <w:color w:val="auto"/>
        </w:rPr>
        <w:t>报价方应按照报价文件技术规范的相关内容做出全面响应，内容应包括技术规范上所有条款</w:t>
      </w:r>
      <w:r>
        <w:rPr>
          <w:rFonts w:ascii="宋体" w:hAnsi="宋体"/>
          <w:color w:val="auto"/>
        </w:rPr>
        <w:t>,</w:t>
      </w:r>
      <w:r>
        <w:rPr>
          <w:rFonts w:hint="eastAsia" w:ascii="宋体" w:hAnsi="宋体"/>
          <w:color w:val="auto"/>
        </w:rPr>
        <w:t>并最大限度的满足或优于本技术规范条款的要求。</w:t>
      </w:r>
    </w:p>
    <w:p>
      <w:pPr>
        <w:tabs>
          <w:tab w:val="left" w:pos="420"/>
          <w:tab w:val="left" w:pos="540"/>
        </w:tabs>
        <w:adjustRightInd w:val="0"/>
        <w:snapToGrid w:val="0"/>
        <w:rPr>
          <w:rFonts w:ascii="宋体" w:hAnsi="宋体"/>
          <w:color w:val="auto"/>
        </w:rPr>
      </w:pPr>
      <w:r>
        <w:rPr>
          <w:rFonts w:ascii="宋体" w:hAnsi="宋体"/>
          <w:color w:val="auto"/>
        </w:rPr>
        <w:t>1.5</w:t>
      </w:r>
      <w:r>
        <w:rPr>
          <w:rFonts w:hint="eastAsia" w:ascii="宋体" w:hAnsi="宋体"/>
          <w:color w:val="auto"/>
        </w:rPr>
        <w:t>如果报价方没有以书面形式对本规范书条文提出异议，则意味着报价方提供的服务完全符合本规范书的要求。</w:t>
      </w:r>
    </w:p>
    <w:p>
      <w:pPr>
        <w:pStyle w:val="3"/>
        <w:numPr>
          <w:ilvl w:val="0"/>
          <w:numId w:val="2"/>
        </w:numPr>
        <w:adjustRightInd w:val="0"/>
        <w:spacing w:line="360" w:lineRule="auto"/>
        <w:ind w:left="425" w:hanging="425"/>
        <w:rPr>
          <w:rFonts w:hint="eastAsia" w:eastAsia="宋体"/>
          <w:color w:val="auto"/>
          <w:sz w:val="28"/>
          <w:szCs w:val="28"/>
          <w:highlight w:val="none"/>
          <w:lang w:val="en-US" w:eastAsia="zh-CN"/>
        </w:rPr>
      </w:pPr>
      <w:bookmarkStart w:id="46" w:name="_Toc453662017"/>
      <w:r>
        <w:rPr>
          <w:rFonts w:hint="eastAsia"/>
          <w:color w:val="auto"/>
          <w:sz w:val="28"/>
          <w:szCs w:val="28"/>
          <w:lang w:val="en-US" w:eastAsia="zh-CN"/>
        </w:rPr>
        <w:t>项目概况</w:t>
      </w:r>
    </w:p>
    <w:bookmarkEnd w:id="46"/>
    <w:p>
      <w:pPr>
        <w:pStyle w:val="101"/>
        <w:adjustRightInd w:val="0"/>
        <w:snapToGrid w:val="0"/>
        <w:ind w:firstLine="0" w:firstLineChars="0"/>
        <w:rPr>
          <w:rFonts w:ascii="宋体" w:hAnsi="宋体"/>
          <w:color w:val="auto"/>
        </w:rPr>
      </w:pPr>
      <w:bookmarkStart w:id="47" w:name="_Toc1046"/>
      <w:bookmarkEnd w:id="47"/>
      <w:bookmarkStart w:id="48" w:name="_Toc106529329"/>
      <w:bookmarkEnd w:id="48"/>
      <w:bookmarkStart w:id="49" w:name="_Toc72051002"/>
      <w:bookmarkEnd w:id="49"/>
      <w:bookmarkStart w:id="50" w:name="_Toc339790736"/>
      <w:bookmarkEnd w:id="50"/>
      <w:bookmarkStart w:id="51" w:name="_Toc79396612"/>
      <w:bookmarkEnd w:id="51"/>
      <w:bookmarkStart w:id="52" w:name="_Toc16438"/>
      <w:bookmarkEnd w:id="52"/>
      <w:bookmarkStart w:id="53" w:name="_Toc243280880"/>
      <w:bookmarkEnd w:id="53"/>
      <w:bookmarkStart w:id="54" w:name="_Toc17326"/>
      <w:bookmarkEnd w:id="54"/>
      <w:bookmarkStart w:id="55" w:name="_Toc79384681"/>
      <w:bookmarkEnd w:id="55"/>
      <w:bookmarkStart w:id="56" w:name="_Toc28158"/>
      <w:bookmarkEnd w:id="56"/>
      <w:bookmarkStart w:id="57" w:name="_Toc106510221"/>
      <w:bookmarkEnd w:id="57"/>
      <w:r>
        <w:rPr>
          <w:b/>
          <w:bCs/>
          <w:color w:val="auto"/>
          <w:szCs w:val="32"/>
        </w:rPr>
        <w:t>2.1</w:t>
      </w:r>
      <w:r>
        <w:rPr>
          <w:rFonts w:hint="eastAsia"/>
          <w:b/>
          <w:bCs/>
          <w:color w:val="auto"/>
          <w:szCs w:val="32"/>
        </w:rPr>
        <w:t>项目名称：</w:t>
      </w:r>
      <w:bookmarkStart w:id="58" w:name="OLE_LINK1"/>
      <w:r>
        <w:rPr>
          <w:rFonts w:hint="eastAsia" w:ascii="宋体" w:hAnsi="宋体" w:cs="宋体"/>
          <w:color w:val="auto"/>
        </w:rPr>
        <w:t>广州市第六资源热力电厂</w:t>
      </w:r>
      <w:bookmarkEnd w:id="58"/>
      <w:r>
        <w:rPr>
          <w:rFonts w:hint="eastAsia" w:ascii="宋体" w:hAnsi="宋体" w:cs="宋体"/>
          <w:color w:val="auto"/>
        </w:rPr>
        <w:t>对外集中供热项目</w:t>
      </w:r>
    </w:p>
    <w:p>
      <w:pPr>
        <w:rPr>
          <w:rFonts w:ascii="宋体" w:hAnsi="宋体" w:cs="宋体"/>
          <w:color w:val="auto"/>
        </w:rPr>
      </w:pPr>
      <w:r>
        <w:rPr>
          <w:b/>
          <w:bCs/>
          <w:color w:val="auto"/>
          <w:szCs w:val="32"/>
        </w:rPr>
        <w:t>2.2</w:t>
      </w:r>
      <w:r>
        <w:rPr>
          <w:rFonts w:hint="eastAsia"/>
          <w:b/>
          <w:bCs/>
          <w:color w:val="auto"/>
          <w:szCs w:val="32"/>
        </w:rPr>
        <w:t>项目所在地</w:t>
      </w:r>
      <w:r>
        <w:rPr>
          <w:rFonts w:hint="eastAsia" w:ascii="宋体" w:hAnsi="宋体"/>
          <w:b/>
          <w:color w:val="auto"/>
        </w:rPr>
        <w:t>：</w:t>
      </w:r>
      <w:r>
        <w:rPr>
          <w:rFonts w:hint="eastAsia" w:ascii="宋体" w:hAnsi="宋体" w:cs="宋体"/>
          <w:color w:val="auto"/>
        </w:rPr>
        <w:t>广州市增城区仙村镇广州市第六资源热力电厂至仙村镇、石滩镇各产业园区</w:t>
      </w:r>
    </w:p>
    <w:p>
      <w:pPr>
        <w:pStyle w:val="101"/>
        <w:adjustRightInd w:val="0"/>
        <w:snapToGrid w:val="0"/>
        <w:ind w:firstLine="0" w:firstLineChars="0"/>
        <w:rPr>
          <w:b/>
          <w:bCs/>
          <w:color w:val="auto"/>
          <w:szCs w:val="32"/>
        </w:rPr>
      </w:pPr>
      <w:r>
        <w:rPr>
          <w:b/>
          <w:bCs/>
          <w:color w:val="auto"/>
          <w:szCs w:val="32"/>
        </w:rPr>
        <w:t>2.3</w:t>
      </w:r>
      <w:r>
        <w:rPr>
          <w:rFonts w:hint="eastAsia"/>
          <w:b/>
          <w:bCs/>
          <w:color w:val="auto"/>
          <w:szCs w:val="32"/>
        </w:rPr>
        <w:t>项目规模（具体内容以施工图纸为准）：</w:t>
      </w:r>
    </w:p>
    <w:p>
      <w:pPr>
        <w:pStyle w:val="101"/>
        <w:adjustRightInd w:val="0"/>
        <w:snapToGrid w:val="0"/>
        <w:ind w:firstLine="0" w:firstLineChars="0"/>
        <w:rPr>
          <w:rFonts w:ascii="宋体" w:hAnsi="宋体"/>
          <w:color w:val="auto"/>
        </w:rPr>
      </w:pPr>
      <w:r>
        <w:rPr>
          <w:rFonts w:hint="eastAsia" w:ascii="宋体" w:hAnsi="宋体"/>
          <w:color w:val="auto"/>
        </w:rPr>
        <w:t>2.3.1</w:t>
      </w:r>
      <w:r>
        <w:rPr>
          <w:rFonts w:hint="eastAsia" w:ascii="宋体" w:hAnsi="宋体" w:cs="宋体"/>
          <w:color w:val="auto"/>
        </w:rPr>
        <w:t>广州市第六资源热力电厂</w:t>
      </w:r>
      <w:r>
        <w:rPr>
          <w:rFonts w:hint="eastAsia" w:ascii="宋体" w:hAnsi="宋体"/>
          <w:color w:val="auto"/>
        </w:rPr>
        <w:t>石滩镇集中供热项目</w:t>
      </w:r>
    </w:p>
    <w:p>
      <w:pPr>
        <w:pStyle w:val="101"/>
        <w:adjustRightInd w:val="0"/>
        <w:snapToGrid w:val="0"/>
        <w:ind w:firstLineChars="0"/>
        <w:rPr>
          <w:rFonts w:ascii="宋体" w:hAnsi="宋体"/>
          <w:color w:val="auto"/>
        </w:rPr>
      </w:pPr>
      <w:r>
        <w:rPr>
          <w:rFonts w:hint="eastAsia" w:ascii="宋体" w:hAnsi="宋体"/>
          <w:color w:val="auto"/>
        </w:rPr>
        <w:t>本工程包括厂内新建化水站、热力系统改造、蒸汽管道建设。DN300蒸汽管道通过架空或埋地方式从广州环投增城环保能源有限公司敷设至石滩镇，蒸汽管道总长度约8.0km，沿途从干管接出分支管道去各用户，末端预留DN200管口，便于远期石滩镇规划园区发展供热。</w:t>
      </w:r>
    </w:p>
    <w:p>
      <w:pPr>
        <w:pStyle w:val="101"/>
        <w:adjustRightInd w:val="0"/>
        <w:snapToGrid w:val="0"/>
        <w:ind w:firstLine="0" w:firstLineChars="0"/>
        <w:rPr>
          <w:rFonts w:ascii="宋体" w:hAnsi="宋体"/>
          <w:color w:val="auto"/>
        </w:rPr>
      </w:pPr>
      <w:r>
        <w:rPr>
          <w:rFonts w:ascii="Calibri" w:hAnsi="Calibri"/>
          <w:color w:val="auto"/>
          <w:sz w:val="21"/>
          <w:szCs w:val="22"/>
        </w:rPr>
        <w:drawing>
          <wp:inline distT="0" distB="0" distL="114300" distR="114300">
            <wp:extent cx="5286375" cy="3165475"/>
            <wp:effectExtent l="0" t="0" r="0" b="0"/>
            <wp:docPr id="1" name="图片 1" descr="1730773301765"/>
            <wp:cNvGraphicFramePr/>
            <a:graphic xmlns:a="http://schemas.openxmlformats.org/drawingml/2006/main">
              <a:graphicData uri="http://schemas.openxmlformats.org/drawingml/2006/picture">
                <pic:pic xmlns:pic="http://schemas.openxmlformats.org/drawingml/2006/picture">
                  <pic:nvPicPr>
                    <pic:cNvPr id="1" name="图片 1" descr="1730773301765"/>
                    <pic:cNvPicPr/>
                  </pic:nvPicPr>
                  <pic:blipFill>
                    <a:blip r:embed="rId9"/>
                    <a:stretch>
                      <a:fillRect/>
                    </a:stretch>
                  </pic:blipFill>
                  <pic:spPr>
                    <a:xfrm>
                      <a:off x="0" y="0"/>
                      <a:ext cx="5287875" cy="3166530"/>
                    </a:xfrm>
                    <a:prstGeom prst="rect">
                      <a:avLst/>
                    </a:prstGeom>
                  </pic:spPr>
                </pic:pic>
              </a:graphicData>
            </a:graphic>
          </wp:inline>
        </w:drawing>
      </w:r>
    </w:p>
    <w:p>
      <w:pPr>
        <w:jc w:val="center"/>
        <w:rPr>
          <w:color w:val="auto"/>
        </w:rPr>
      </w:pPr>
      <w:r>
        <w:rPr>
          <w:rFonts w:hint="eastAsia"/>
          <w:b/>
          <w:bCs/>
          <w:color w:val="auto"/>
        </w:rPr>
        <w:t>石滩线路由图（具体以实际报建为准）</w:t>
      </w:r>
    </w:p>
    <w:p>
      <w:pPr>
        <w:pStyle w:val="101"/>
        <w:adjustRightInd w:val="0"/>
        <w:snapToGrid w:val="0"/>
        <w:ind w:firstLine="0" w:firstLineChars="0"/>
        <w:rPr>
          <w:rFonts w:ascii="宋体" w:hAnsi="宋体"/>
          <w:color w:val="auto"/>
        </w:rPr>
      </w:pPr>
      <w:r>
        <w:rPr>
          <w:rFonts w:hint="eastAsia" w:ascii="宋体" w:hAnsi="宋体"/>
          <w:color w:val="auto"/>
        </w:rPr>
        <w:t>2.3.2</w:t>
      </w:r>
      <w:r>
        <w:rPr>
          <w:rFonts w:hint="eastAsia" w:ascii="宋体" w:hAnsi="宋体" w:cs="宋体"/>
          <w:color w:val="auto"/>
        </w:rPr>
        <w:t>广州市第六资源热力电厂</w:t>
      </w:r>
      <w:r>
        <w:rPr>
          <w:rFonts w:hint="eastAsia" w:ascii="宋体" w:hAnsi="宋体"/>
          <w:color w:val="auto"/>
        </w:rPr>
        <w:t>仙村镇产业园区集中供热项目</w:t>
      </w:r>
    </w:p>
    <w:p>
      <w:pPr>
        <w:pStyle w:val="101"/>
        <w:adjustRightInd w:val="0"/>
        <w:snapToGrid w:val="0"/>
        <w:ind w:firstLineChars="0"/>
        <w:rPr>
          <w:rFonts w:ascii="宋体" w:hAnsi="宋体"/>
          <w:color w:val="auto"/>
        </w:rPr>
      </w:pPr>
      <w:r>
        <w:rPr>
          <w:rFonts w:hint="eastAsia" w:ascii="宋体" w:hAnsi="宋体"/>
          <w:color w:val="auto"/>
        </w:rPr>
        <w:t>本工程厂内新建化水站、热力系统改造、蒸汽管道建设。DN600蒸汽管道通过架空或埋地方式从广州环投增城环保能源有限公司敷设至仙村镇工业园，蒸汽管道总长度约6.0km，沿途从干管接出分支管道去各用户，其中接出支管至仙村智能装备产业基地采用顶管穿越荔新大道。</w:t>
      </w:r>
    </w:p>
    <w:p>
      <w:pPr>
        <w:pStyle w:val="101"/>
        <w:adjustRightInd w:val="0"/>
        <w:snapToGrid w:val="0"/>
        <w:ind w:firstLineChars="0"/>
        <w:rPr>
          <w:rFonts w:ascii="宋体" w:hAnsi="宋体"/>
          <w:color w:val="auto"/>
        </w:rPr>
      </w:pPr>
      <w:r>
        <w:rPr>
          <w:rFonts w:ascii="Calibri" w:hAnsi="Calibri"/>
          <w:color w:val="auto"/>
          <w:sz w:val="21"/>
          <w:szCs w:val="22"/>
        </w:rPr>
        <w:drawing>
          <wp:inline distT="0" distB="0" distL="114300" distR="114300">
            <wp:extent cx="5398770" cy="3303905"/>
            <wp:effectExtent l="0" t="0" r="0" b="0"/>
            <wp:docPr id="3" name="图片 3" descr="1730773215534"/>
            <wp:cNvGraphicFramePr/>
            <a:graphic xmlns:a="http://schemas.openxmlformats.org/drawingml/2006/main">
              <a:graphicData uri="http://schemas.openxmlformats.org/drawingml/2006/picture">
                <pic:pic xmlns:pic="http://schemas.openxmlformats.org/drawingml/2006/picture">
                  <pic:nvPicPr>
                    <pic:cNvPr id="3" name="图片 3" descr="1730773215534"/>
                    <pic:cNvPicPr/>
                  </pic:nvPicPr>
                  <pic:blipFill>
                    <a:blip r:embed="rId10"/>
                    <a:stretch>
                      <a:fillRect/>
                    </a:stretch>
                  </pic:blipFill>
                  <pic:spPr>
                    <a:xfrm>
                      <a:off x="0" y="0"/>
                      <a:ext cx="5400040" cy="3304579"/>
                    </a:xfrm>
                    <a:prstGeom prst="rect">
                      <a:avLst/>
                    </a:prstGeom>
                  </pic:spPr>
                </pic:pic>
              </a:graphicData>
            </a:graphic>
          </wp:inline>
        </w:drawing>
      </w:r>
    </w:p>
    <w:p>
      <w:pPr>
        <w:spacing w:line="240" w:lineRule="auto"/>
        <w:jc w:val="center"/>
        <w:rPr>
          <w:rFonts w:ascii="Calibri" w:hAnsi="Calibri"/>
          <w:b/>
          <w:bCs/>
          <w:color w:val="auto"/>
          <w:sz w:val="21"/>
          <w:szCs w:val="22"/>
        </w:rPr>
      </w:pPr>
      <w:r>
        <w:rPr>
          <w:rFonts w:hint="eastAsia" w:ascii="Calibri" w:hAnsi="Calibri"/>
          <w:b/>
          <w:bCs/>
          <w:color w:val="auto"/>
          <w:sz w:val="21"/>
          <w:szCs w:val="22"/>
        </w:rPr>
        <w:t>仙村线路由图（具体以实际报建为准）</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lang w:val="en-US" w:eastAsia="zh-CN"/>
        </w:rPr>
        <w:t>2.3.3本工程建设规模</w:t>
      </w:r>
      <w:r>
        <w:rPr>
          <w:rFonts w:hint="eastAsia"/>
          <w:b w:val="0"/>
          <w:bCs w:val="0"/>
          <w:color w:val="auto"/>
          <w:szCs w:val="32"/>
          <w:u w:val="none"/>
        </w:rPr>
        <w:t>具体包括但不限于：</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lang w:eastAsia="zh-CN"/>
        </w:rPr>
        <w:t>（</w:t>
      </w:r>
      <w:r>
        <w:rPr>
          <w:rFonts w:hint="eastAsia"/>
          <w:b w:val="0"/>
          <w:bCs w:val="0"/>
          <w:color w:val="auto"/>
          <w:szCs w:val="32"/>
          <w:u w:val="none"/>
          <w:lang w:val="en-US" w:eastAsia="zh-CN"/>
        </w:rPr>
        <w:t>1</w:t>
      </w:r>
      <w:r>
        <w:rPr>
          <w:rFonts w:hint="eastAsia"/>
          <w:b w:val="0"/>
          <w:bCs w:val="0"/>
          <w:color w:val="auto"/>
          <w:szCs w:val="32"/>
          <w:u w:val="none"/>
          <w:lang w:eastAsia="zh-CN"/>
        </w:rPr>
        <w:t>）</w:t>
      </w:r>
      <w:r>
        <w:rPr>
          <w:rFonts w:hint="eastAsia"/>
          <w:b w:val="0"/>
          <w:bCs w:val="0"/>
          <w:color w:val="auto"/>
          <w:szCs w:val="32"/>
          <w:u w:val="none"/>
        </w:rPr>
        <w:t>电厂第一阶段热力系统改造工程</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rPr>
        <w:t>第一阶段改造工程为满足现有实际负荷阶段的供热进行的改造。该阶段主要为根据一期、二期现有机组的实际情况进行局部改造，并通过建设一期二期联络母管对外供热，以满足仙村镇和石滩镇集中供热的需求。一期厂内改造为：将一期汽机现有一抽管道与现有减温减压器出口管道分别接入一期二期供热联通母管，通过母管对外供热。二期厂内改造为：将二期汽机现有一抽管道与现有减温减压器出口管道分别接入一期二期供热联通母管，通过母管对外供热。</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rPr>
        <w:t>一期和二期的供热采用供热母管进行联通，一期、二期一阶段厂内改造工程的汽机一抽管道和减温减压器后管道均分别接入该母管。该母管管径在满足一阶段供热蒸汽量，还需要考虑后期总供热情况，综合考虑热网工程供热情况，最大设计流量按180t/h，母管选用DN600，设计压力</w:t>
      </w:r>
      <w:r>
        <w:rPr>
          <w:rFonts w:hint="eastAsia"/>
          <w:b w:val="0"/>
          <w:bCs w:val="0"/>
          <w:color w:val="auto"/>
          <w:szCs w:val="32"/>
          <w:u w:val="none"/>
          <w:lang w:val="en-US" w:eastAsia="zh-CN"/>
        </w:rPr>
        <w:t>1.6</w:t>
      </w:r>
      <w:r>
        <w:rPr>
          <w:rFonts w:hint="eastAsia"/>
          <w:b w:val="0"/>
          <w:bCs w:val="0"/>
          <w:color w:val="auto"/>
          <w:szCs w:val="32"/>
          <w:u w:val="none"/>
        </w:rPr>
        <w:t>MPa，设计温度300℃。供热母管分别沿一期和二期接出后，沿厂前绿化带埋地敷设去厂前大道。</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lang w:eastAsia="zh-CN"/>
        </w:rPr>
        <w:t>（</w:t>
      </w:r>
      <w:r>
        <w:rPr>
          <w:rFonts w:hint="eastAsia"/>
          <w:b w:val="0"/>
          <w:bCs w:val="0"/>
          <w:color w:val="auto"/>
          <w:szCs w:val="32"/>
          <w:u w:val="none"/>
          <w:lang w:val="en-US" w:eastAsia="zh-CN"/>
        </w:rPr>
        <w:t>2</w:t>
      </w:r>
      <w:r>
        <w:rPr>
          <w:rFonts w:hint="eastAsia"/>
          <w:b w:val="0"/>
          <w:bCs w:val="0"/>
          <w:color w:val="auto"/>
          <w:szCs w:val="32"/>
          <w:u w:val="none"/>
          <w:lang w:eastAsia="zh-CN"/>
        </w:rPr>
        <w:t>）</w:t>
      </w:r>
      <w:r>
        <w:rPr>
          <w:rFonts w:hint="eastAsia"/>
          <w:b w:val="0"/>
          <w:bCs w:val="0"/>
          <w:color w:val="auto"/>
          <w:szCs w:val="32"/>
          <w:u w:val="none"/>
        </w:rPr>
        <w:t>电厂供热热源点技术改造</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rPr>
        <w:t>电厂一期现有2台22MW凝汽式汽轮发电机组，将其中一台22MW凝汽式汽轮机组通过返厂改造后，机组改造为抽汽凝汽式汽轮机。主要负责一期主蒸汽母管至汽机主蒸汽入口管道，抽汽管道至一期二期供热联络母管、一期供热备用减温减压器管道系统及配套一期原有管道系统的设计。</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rPr>
        <w:t>电厂二期现有2台50MW凝汽式汽轮发电机组，在现有一台凝汽式机组位置，采用新建一台30MW（暂定）抽汽冷凝式汽轮机组替换原有的50MW凝汽式汽轮机组。主要负责二期新建抽汽凝汽式汽轮机组系统、抽汽管道至一期二期供热联络母管、二期供热备用减温减压器管道系统及配套二期原有管道系统的设计。</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lang w:eastAsia="zh-CN"/>
        </w:rPr>
        <w:t>（</w:t>
      </w:r>
      <w:r>
        <w:rPr>
          <w:rFonts w:hint="eastAsia"/>
          <w:b w:val="0"/>
          <w:bCs w:val="0"/>
          <w:color w:val="auto"/>
          <w:szCs w:val="32"/>
          <w:u w:val="none"/>
          <w:lang w:val="en-US" w:eastAsia="zh-CN"/>
        </w:rPr>
        <w:t>3</w:t>
      </w:r>
      <w:r>
        <w:rPr>
          <w:rFonts w:hint="eastAsia"/>
          <w:b w:val="0"/>
          <w:bCs w:val="0"/>
          <w:color w:val="auto"/>
          <w:szCs w:val="32"/>
          <w:u w:val="none"/>
          <w:lang w:eastAsia="zh-CN"/>
        </w:rPr>
        <w:t>）</w:t>
      </w:r>
      <w:r>
        <w:rPr>
          <w:rFonts w:hint="eastAsia"/>
          <w:b w:val="0"/>
          <w:bCs w:val="0"/>
          <w:color w:val="auto"/>
          <w:szCs w:val="32"/>
          <w:u w:val="none"/>
        </w:rPr>
        <w:t>化学水补充系统</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rPr>
        <w:t>化学水出力系统根据供热负荷增长情况同步增设，近期利用有限电厂设备余量。中期供热负荷增长后，在一期增加一套125 t/h的除盐水制备系统，远期供热负荷下在二期再增加一套125 t/h的除盐水制备系统。除盐水制备系统布置在一期和二期现有场地。</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lang w:eastAsia="zh-CN"/>
        </w:rPr>
        <w:t>（</w:t>
      </w:r>
      <w:r>
        <w:rPr>
          <w:rFonts w:hint="eastAsia"/>
          <w:b w:val="0"/>
          <w:bCs w:val="0"/>
          <w:color w:val="auto"/>
          <w:szCs w:val="32"/>
          <w:u w:val="none"/>
          <w:lang w:val="en-US" w:eastAsia="zh-CN"/>
        </w:rPr>
        <w:t>4</w:t>
      </w:r>
      <w:r>
        <w:rPr>
          <w:rFonts w:hint="eastAsia"/>
          <w:b w:val="0"/>
          <w:bCs w:val="0"/>
          <w:color w:val="auto"/>
          <w:szCs w:val="32"/>
          <w:u w:val="none"/>
          <w:lang w:eastAsia="zh-CN"/>
        </w:rPr>
        <w:t>）</w:t>
      </w:r>
      <w:r>
        <w:rPr>
          <w:rFonts w:hint="eastAsia"/>
          <w:b w:val="0"/>
          <w:bCs w:val="0"/>
          <w:color w:val="auto"/>
          <w:szCs w:val="32"/>
          <w:u w:val="none"/>
        </w:rPr>
        <w:t>仙村镇供热管道</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rPr>
        <w:t>仙村镇供热管道走向及敷设：供热管道（干管DN600）由一期二期供热联络母管接出后经减温减压，沿厂前路北侧架空敷设（低支架）至荔新大道，然后继续沿荔新大道北侧埋地敷设至广汽零部件产业园。沿途支管分别接入新能源泛半导体产业园，支管顶管穿越荔新大道接去万洋智能网联汽车产业基地。</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rPr>
        <w:t>厂外DN600干管架空或埋地蒸汽管道总长度约3.1km，其中DN600架空敷设蒸汽管道总长度约0.4km；干管DN400埋地蒸汽管道长度约2.0km。支管DN350埋地蒸汽管道总长约0.4km，DN200直埋管道长度约0.3km，DN150直埋管道长度约0.2km。</w:t>
      </w:r>
    </w:p>
    <w:p>
      <w:pPr>
        <w:pStyle w:val="101"/>
        <w:adjustRightInd w:val="0"/>
        <w:snapToGrid w:val="0"/>
        <w:ind w:firstLine="480" w:firstLineChars="200"/>
        <w:rPr>
          <w:rFonts w:hint="eastAsia"/>
          <w:b w:val="0"/>
          <w:bCs w:val="0"/>
          <w:color w:val="auto"/>
          <w:szCs w:val="32"/>
          <w:u w:val="none"/>
        </w:rPr>
      </w:pPr>
      <w:r>
        <w:rPr>
          <w:rFonts w:hint="eastAsia"/>
          <w:b w:val="0"/>
          <w:bCs w:val="0"/>
          <w:color w:val="auto"/>
          <w:szCs w:val="32"/>
          <w:u w:val="none"/>
          <w:lang w:eastAsia="zh-CN"/>
        </w:rPr>
        <w:t>（</w:t>
      </w:r>
      <w:r>
        <w:rPr>
          <w:rFonts w:hint="eastAsia"/>
          <w:b w:val="0"/>
          <w:bCs w:val="0"/>
          <w:color w:val="auto"/>
          <w:szCs w:val="32"/>
          <w:u w:val="none"/>
          <w:lang w:val="en-US" w:eastAsia="zh-CN"/>
        </w:rPr>
        <w:t>5</w:t>
      </w:r>
      <w:r>
        <w:rPr>
          <w:rFonts w:hint="eastAsia"/>
          <w:b w:val="0"/>
          <w:bCs w:val="0"/>
          <w:color w:val="auto"/>
          <w:szCs w:val="32"/>
          <w:u w:val="none"/>
          <w:lang w:eastAsia="zh-CN"/>
        </w:rPr>
        <w:t>）</w:t>
      </w:r>
      <w:r>
        <w:rPr>
          <w:rFonts w:hint="eastAsia"/>
          <w:b w:val="0"/>
          <w:bCs w:val="0"/>
          <w:color w:val="auto"/>
          <w:szCs w:val="32"/>
          <w:u w:val="none"/>
        </w:rPr>
        <w:t>石滩镇供热管道</w:t>
      </w:r>
    </w:p>
    <w:p>
      <w:pPr>
        <w:pStyle w:val="101"/>
        <w:adjustRightInd w:val="0"/>
        <w:snapToGrid w:val="0"/>
        <w:ind w:firstLine="480" w:firstLineChars="200"/>
        <w:rPr>
          <w:b/>
          <w:bCs/>
          <w:color w:val="auto"/>
          <w:szCs w:val="32"/>
          <w:u w:val="none"/>
        </w:rPr>
      </w:pPr>
      <w:r>
        <w:rPr>
          <w:rFonts w:hint="eastAsia"/>
          <w:b w:val="0"/>
          <w:bCs w:val="0"/>
          <w:color w:val="auto"/>
          <w:szCs w:val="32"/>
          <w:u w:val="none"/>
        </w:rPr>
        <w:t>石滩镇供热管道走向及敷设：供热管道（干管DN300）由一期二期供热母管接出后经减温减压，蒸汽管道沿厂前道路埋地敷设至荔新大道约0.4km；再沿荔新大道南侧辅道绿化带埋地或架空敷设至西福河大桥，路由约1.0km；采用桁架跨越西福河后，继续架空或埋地敷设至朱石路，路由约1.0km，其中桁架约90m；管道沿朱石路南侧埋地敷设约0.8km至如丰大道；管道埋地穿越如丰大道，然后管道在现有农地埋地敷设至济广高速，再沿济广高速北埋地敷设至如丰大道南侧，穿越济广高速后，继续沿如丰大道南侧农用地埋地空敷设至如丰果子；此处接出一条分支管道供应如丰果子，管径为DN150；干管从分支口后沿如丰果大道埋地敷设，在如丰果子东侧转入农用地，在农用地埋地敷设至麻车村牌坊，路由约1.4km；管道埋地穿越麻车村牌坊路口后，继续沿排水渠北侧架空敷设至西环路，然后沿西环路西侧埋地敷设去末端，路由约1.6km。期间从干管接出分支管道去各用户。末端预留DN200管口，便于远期石滩镇规划园区发展供热。</w:t>
      </w:r>
    </w:p>
    <w:p>
      <w:pPr>
        <w:pStyle w:val="101"/>
        <w:adjustRightInd w:val="0"/>
        <w:snapToGrid w:val="0"/>
        <w:ind w:firstLine="0" w:firstLineChars="0"/>
        <w:rPr>
          <w:b/>
          <w:bCs/>
          <w:color w:val="auto"/>
          <w:szCs w:val="32"/>
        </w:rPr>
      </w:pPr>
      <w:r>
        <w:rPr>
          <w:b/>
          <w:bCs/>
          <w:color w:val="auto"/>
          <w:szCs w:val="32"/>
        </w:rPr>
        <w:t>2.4</w:t>
      </w:r>
      <w:r>
        <w:rPr>
          <w:rFonts w:hint="eastAsia"/>
          <w:b/>
          <w:bCs/>
          <w:color w:val="auto"/>
          <w:szCs w:val="32"/>
        </w:rPr>
        <w:t>工程主要项目：</w:t>
      </w:r>
    </w:p>
    <w:p>
      <w:pPr>
        <w:pStyle w:val="101"/>
        <w:adjustRightInd w:val="0"/>
        <w:snapToGrid w:val="0"/>
        <w:rPr>
          <w:rFonts w:ascii="宋体" w:hAnsi="宋体"/>
          <w:color w:val="auto"/>
        </w:rPr>
      </w:pPr>
      <w:r>
        <w:rPr>
          <w:rFonts w:hint="eastAsia" w:ascii="宋体" w:hAnsi="宋体"/>
          <w:color w:val="auto"/>
        </w:rPr>
        <w:t>本项目拟建地点位于广州环投增城环保能源有限公司项目周边仙村镇、石滩镇区域，服务范围主要位于仙村镇荔新大道两侧的仙村生物医药园、万洋智能网联汽车产业基地、先进制造产业园、电子信息新材料产业园、仙村智能装备产业基地已有或在建等热用户，以及石滩镇已有或在建等热用户。服务半径为以广州环投增城环保能源有限公司为中心</w:t>
      </w:r>
      <w:r>
        <w:rPr>
          <w:rFonts w:ascii="宋体" w:hAnsi="宋体"/>
          <w:color w:val="auto"/>
        </w:rPr>
        <w:t>8km范围内，目前区域内部分产业园已有或在建。</w:t>
      </w:r>
    </w:p>
    <w:p>
      <w:pPr>
        <w:pStyle w:val="101"/>
        <w:adjustRightInd w:val="0"/>
        <w:snapToGrid w:val="0"/>
        <w:ind w:firstLine="0" w:firstLineChars="0"/>
        <w:rPr>
          <w:b/>
          <w:bCs/>
          <w:color w:val="auto"/>
          <w:szCs w:val="32"/>
        </w:rPr>
      </w:pPr>
      <w:r>
        <w:rPr>
          <w:b/>
          <w:bCs/>
          <w:color w:val="auto"/>
          <w:szCs w:val="32"/>
        </w:rPr>
        <w:t>2.5</w:t>
      </w:r>
      <w:r>
        <w:rPr>
          <w:rFonts w:hint="eastAsia"/>
          <w:b/>
          <w:bCs/>
          <w:color w:val="auto"/>
          <w:szCs w:val="32"/>
        </w:rPr>
        <w:t>项目计划实施时间</w:t>
      </w:r>
    </w:p>
    <w:p>
      <w:pPr>
        <w:pStyle w:val="101"/>
        <w:adjustRightInd w:val="0"/>
        <w:snapToGrid w:val="0"/>
        <w:rPr>
          <w:rFonts w:hint="eastAsia" w:ascii="宋体" w:hAnsi="宋体"/>
          <w:color w:val="auto"/>
        </w:rPr>
      </w:pPr>
      <w:r>
        <w:rPr>
          <w:rFonts w:hint="eastAsia" w:ascii="宋体" w:hAnsi="宋体"/>
          <w:color w:val="auto"/>
        </w:rPr>
        <w:t>开工时间：</w:t>
      </w:r>
      <w:r>
        <w:rPr>
          <w:rFonts w:ascii="宋体" w:hAnsi="宋体"/>
          <w:color w:val="auto"/>
        </w:rPr>
        <w:t>202</w:t>
      </w:r>
      <w:r>
        <w:rPr>
          <w:rFonts w:hint="eastAsia" w:ascii="宋体" w:hAnsi="宋体"/>
          <w:color w:val="auto"/>
          <w:lang w:val="en-US" w:eastAsia="zh-CN"/>
        </w:rPr>
        <w:t>5</w:t>
      </w:r>
      <w:r>
        <w:rPr>
          <w:rFonts w:ascii="宋体" w:hAnsi="宋体"/>
          <w:color w:val="auto"/>
        </w:rPr>
        <w:t>年</w:t>
      </w:r>
      <w:r>
        <w:rPr>
          <w:rFonts w:hint="eastAsia" w:ascii="宋体" w:hAnsi="宋体"/>
          <w:color w:val="auto"/>
          <w:lang w:val="en-US" w:eastAsia="zh-CN"/>
        </w:rPr>
        <w:t>5</w:t>
      </w:r>
      <w:r>
        <w:rPr>
          <w:rFonts w:ascii="宋体" w:hAnsi="宋体"/>
          <w:color w:val="auto"/>
        </w:rPr>
        <w:t>月（暂定），竣工时间：202</w:t>
      </w:r>
      <w:r>
        <w:rPr>
          <w:rFonts w:hint="eastAsia" w:ascii="宋体" w:hAnsi="宋体"/>
          <w:color w:val="auto"/>
          <w:lang w:val="en-US" w:eastAsia="zh-CN"/>
        </w:rPr>
        <w:t>7</w:t>
      </w:r>
      <w:r>
        <w:rPr>
          <w:rFonts w:ascii="宋体" w:hAnsi="宋体"/>
          <w:color w:val="auto"/>
        </w:rPr>
        <w:t>年</w:t>
      </w:r>
      <w:r>
        <w:rPr>
          <w:rFonts w:hint="eastAsia" w:ascii="宋体" w:hAnsi="宋体"/>
          <w:color w:val="auto"/>
          <w:lang w:val="en-US" w:eastAsia="zh-CN"/>
        </w:rPr>
        <w:t>5</w:t>
      </w:r>
      <w:r>
        <w:rPr>
          <w:rFonts w:ascii="宋体" w:hAnsi="宋体"/>
          <w:color w:val="auto"/>
        </w:rPr>
        <w:t>月（暂定），</w:t>
      </w:r>
      <w:r>
        <w:rPr>
          <w:rFonts w:hint="eastAsia" w:ascii="宋体" w:hAnsi="宋体"/>
          <w:color w:val="auto"/>
        </w:rPr>
        <w:t>具体工作期限以广州市第六资源热力电厂对外集中供热项目的实际工期和施工合同约定的保修期为准。</w:t>
      </w:r>
    </w:p>
    <w:p>
      <w:pPr>
        <w:pStyle w:val="101"/>
        <w:adjustRightInd w:val="0"/>
        <w:snapToGrid w:val="0"/>
        <w:ind w:firstLine="0" w:firstLineChars="0"/>
        <w:rPr>
          <w:b/>
          <w:bCs/>
          <w:color w:val="auto"/>
          <w:szCs w:val="32"/>
        </w:rPr>
      </w:pPr>
      <w:r>
        <w:rPr>
          <w:b/>
          <w:bCs/>
          <w:color w:val="auto"/>
          <w:szCs w:val="32"/>
        </w:rPr>
        <w:t>2.6</w:t>
      </w:r>
      <w:r>
        <w:rPr>
          <w:rFonts w:hint="eastAsia"/>
          <w:b/>
          <w:bCs/>
          <w:color w:val="auto"/>
          <w:szCs w:val="32"/>
        </w:rPr>
        <w:t>项目总投资</w:t>
      </w:r>
    </w:p>
    <w:p>
      <w:pPr>
        <w:pStyle w:val="101"/>
        <w:adjustRightInd w:val="0"/>
        <w:snapToGrid w:val="0"/>
        <w:rPr>
          <w:rFonts w:hint="eastAsia" w:ascii="宋体" w:hAnsi="宋体"/>
          <w:color w:val="auto"/>
        </w:rPr>
      </w:pPr>
      <w:r>
        <w:rPr>
          <w:rFonts w:hint="eastAsia" w:ascii="宋体" w:hAnsi="宋体"/>
          <w:color w:val="auto"/>
        </w:rPr>
        <w:t>投资总额暂估为25743.62万元。其中，石滩线集中供热管道总投资暂估为</w:t>
      </w:r>
      <w:r>
        <w:rPr>
          <w:rFonts w:hint="eastAsia" w:ascii="宋体" w:hAnsi="宋体"/>
          <w:color w:val="auto"/>
          <w:lang w:val="en-US" w:eastAsia="zh-CN"/>
        </w:rPr>
        <w:t>10146.38</w:t>
      </w:r>
      <w:r>
        <w:rPr>
          <w:rFonts w:hint="eastAsia" w:ascii="宋体" w:hAnsi="宋体"/>
          <w:color w:val="auto"/>
        </w:rPr>
        <w:t>万元，包括新建化水站、热力系统改造、蒸汽管道建设（约8公里）等；仙村线集中供热管道建设总投资暂估为</w:t>
      </w:r>
      <w:r>
        <w:rPr>
          <w:rFonts w:hint="eastAsia" w:ascii="宋体" w:hAnsi="宋体"/>
          <w:color w:val="auto"/>
          <w:lang w:val="en-US" w:eastAsia="zh-CN"/>
        </w:rPr>
        <w:t>15597.24</w:t>
      </w:r>
      <w:r>
        <w:rPr>
          <w:rFonts w:hint="eastAsia" w:ascii="宋体" w:hAnsi="宋体"/>
          <w:color w:val="auto"/>
        </w:rPr>
        <w:t>万元，包括新建化水站、热力系统改造、蒸汽管道建设（约6公里）等。</w:t>
      </w:r>
    </w:p>
    <w:p>
      <w:pPr>
        <w:pStyle w:val="3"/>
        <w:numPr>
          <w:ilvl w:val="0"/>
          <w:numId w:val="3"/>
        </w:numPr>
        <w:adjustRightInd w:val="0"/>
        <w:snapToGrid/>
        <w:spacing w:line="360" w:lineRule="auto"/>
        <w:rPr>
          <w:rFonts w:hint="eastAsia" w:ascii="Times New Roman" w:hAnsi="Times New Roman" w:eastAsia="宋体"/>
          <w:color w:val="auto"/>
          <w:sz w:val="28"/>
          <w:szCs w:val="28"/>
          <w:lang w:val="en-US" w:eastAsia="zh-CN"/>
        </w:rPr>
      </w:pPr>
      <w:r>
        <w:rPr>
          <w:rFonts w:hint="eastAsia" w:ascii="Times New Roman" w:hAnsi="Times New Roman"/>
          <w:color w:val="auto"/>
          <w:sz w:val="28"/>
          <w:szCs w:val="28"/>
          <w:lang w:val="en-US" w:eastAsia="zh-CN"/>
        </w:rPr>
        <w:t>边界条件</w:t>
      </w:r>
    </w:p>
    <w:p>
      <w:pPr>
        <w:pStyle w:val="101"/>
        <w:adjustRightInd w:val="0"/>
        <w:snapToGrid w:val="0"/>
        <w:ind w:firstLine="0" w:firstLineChars="0"/>
        <w:rPr>
          <w:b/>
          <w:bCs/>
          <w:color w:val="auto"/>
          <w:szCs w:val="32"/>
        </w:rPr>
      </w:pPr>
      <w:r>
        <w:rPr>
          <w:rFonts w:hint="eastAsia"/>
          <w:b/>
          <w:bCs/>
          <w:color w:val="auto"/>
          <w:szCs w:val="32"/>
          <w:lang w:val="en-US" w:eastAsia="zh-CN"/>
        </w:rPr>
        <w:t>3.1</w:t>
      </w:r>
      <w:r>
        <w:rPr>
          <w:rFonts w:hint="eastAsia"/>
          <w:b/>
          <w:bCs/>
          <w:color w:val="auto"/>
          <w:szCs w:val="32"/>
        </w:rPr>
        <w:t>气</w:t>
      </w:r>
      <w:r>
        <w:rPr>
          <w:b/>
          <w:bCs/>
          <w:color w:val="auto"/>
          <w:szCs w:val="32"/>
        </w:rPr>
        <w:t xml:space="preserve"> </w:t>
      </w:r>
      <w:r>
        <w:rPr>
          <w:rFonts w:hint="eastAsia"/>
          <w:b/>
          <w:bCs/>
          <w:color w:val="auto"/>
          <w:szCs w:val="32"/>
        </w:rPr>
        <w:t>象</w:t>
      </w:r>
    </w:p>
    <w:p>
      <w:pPr>
        <w:pStyle w:val="101"/>
        <w:adjustRightInd w:val="0"/>
        <w:snapToGrid w:val="0"/>
        <w:rPr>
          <w:rFonts w:ascii="宋体" w:hAnsi="宋体"/>
          <w:color w:val="auto"/>
        </w:rPr>
      </w:pPr>
      <w:r>
        <w:rPr>
          <w:rFonts w:ascii="宋体" w:hAnsi="宋体"/>
          <w:color w:val="auto"/>
        </w:rPr>
        <w:t xml:space="preserve"> 气象</w:t>
      </w:r>
      <w:r>
        <w:rPr>
          <w:rFonts w:hint="eastAsia" w:ascii="宋体" w:hAnsi="宋体"/>
          <w:color w:val="auto"/>
        </w:rPr>
        <w:t>增城区属南亚热带海洋性季风气候，冬暖</w:t>
      </w:r>
      <w:bookmarkStart w:id="59" w:name="OLE_LINK4"/>
      <w:r>
        <w:rPr>
          <w:rFonts w:hint="eastAsia" w:ascii="宋体" w:hAnsi="宋体"/>
          <w:color w:val="auto"/>
        </w:rPr>
        <w:t>夏</w:t>
      </w:r>
      <w:bookmarkEnd w:id="59"/>
      <w:r>
        <w:rPr>
          <w:rFonts w:hint="eastAsia" w:ascii="宋体" w:hAnsi="宋体"/>
          <w:color w:val="auto"/>
        </w:rPr>
        <w:t>热，夏季热长，日照时间长。雨量充沛，雨季集中在4～9月，5、6月多季风雨，7月以后时有台风雨，9月下旬以后晴天居多。季风雨及台风雨高峰期易发洪水灾害，12月至次年1月常有寒潮侵袭，偶有霜冻。</w:t>
      </w:r>
    </w:p>
    <w:p>
      <w:pPr>
        <w:adjustRightInd w:val="0"/>
        <w:rPr>
          <w:rFonts w:ascii="宋体" w:hAnsi="宋体"/>
          <w:color w:val="auto"/>
        </w:rPr>
      </w:pPr>
      <w:r>
        <w:rPr>
          <w:rFonts w:hint="eastAsia" w:ascii="宋体" w:hAnsi="宋体"/>
          <w:color w:val="auto"/>
        </w:rPr>
        <w:t>主要气候特征见表。</w:t>
      </w:r>
    </w:p>
    <w:tbl>
      <w:tblPr>
        <w:tblStyle w:val="62"/>
        <w:tblW w:w="88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3"/>
        <w:gridCol w:w="45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 w:hRule="atLeast"/>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年平均气温</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23.0</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最热月平均气温</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28.5</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最冷月平均气温</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9.5</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极端高温</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38.2</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极端低温</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-1.9</w:t>
            </w:r>
            <w:r>
              <w:rPr>
                <w:rFonts w:hint="eastAsia" w:ascii="宋体" w:hAnsi="宋体" w:cs="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年平均日照时数</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1875.1-1959.9h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年平均相对湿度</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年平均气压</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0.10122MPa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冬季平均气压</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0.10194MPa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夏季平均气压</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0.10045MPa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年平均降雨量</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1722mm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日最大降雨量</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284.9mm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小时最大降雨量</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101.1mm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年主导风向</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夏季主导风向</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东南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冬季主导风向</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年平均风速</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1.9m/sec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极大风速</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35.4m/sec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303" w:type="dxa"/>
            <w:noWrap/>
            <w:vAlign w:val="center"/>
          </w:tcPr>
          <w:p>
            <w:pPr>
              <w:adjustRightInd w:val="0"/>
              <w:spacing w:line="400" w:lineRule="exact"/>
              <w:ind w:firstLine="480"/>
              <w:jc w:val="center"/>
              <w:rPr>
                <w:rFonts w:ascii="宋体" w:hAnsi="宋体"/>
                <w:color w:val="auto"/>
              </w:rPr>
            </w:pPr>
            <w:r>
              <w:rPr>
                <w:rFonts w:ascii="宋体" w:hAnsi="宋体"/>
                <w:color w:val="auto"/>
              </w:rPr>
              <w:t>年平均雷暴日数</w:t>
            </w:r>
          </w:p>
        </w:tc>
        <w:tc>
          <w:tcPr>
            <w:tcW w:w="4555" w:type="dxa"/>
            <w:noWrap/>
            <w:vAlign w:val="center"/>
          </w:tcPr>
          <w:p>
            <w:pPr>
              <w:adjustRightInd w:val="0"/>
              <w:spacing w:line="400" w:lineRule="exact"/>
              <w:ind w:firstLine="480"/>
              <w:jc w:val="center"/>
              <w:rPr>
                <w:rFonts w:ascii="宋体" w:hAnsi="宋体"/>
                <w:color w:val="auto"/>
              </w:rPr>
            </w:pPr>
            <w:r>
              <w:rPr>
                <w:rFonts w:ascii="宋体" w:hAnsi="宋体"/>
                <w:color w:val="auto"/>
              </w:rPr>
              <w:t>82.4天</w:t>
            </w:r>
          </w:p>
        </w:tc>
      </w:tr>
    </w:tbl>
    <w:p>
      <w:pPr>
        <w:pStyle w:val="3"/>
        <w:numPr>
          <w:ilvl w:val="0"/>
          <w:numId w:val="3"/>
        </w:numPr>
        <w:adjustRightInd w:val="0"/>
        <w:spacing w:line="360" w:lineRule="auto"/>
        <w:rPr>
          <w:color w:val="auto"/>
          <w:sz w:val="28"/>
          <w:szCs w:val="28"/>
        </w:rPr>
      </w:pPr>
      <w:bookmarkStart w:id="60" w:name="_Toc181362480"/>
      <w:bookmarkEnd w:id="60"/>
      <w:bookmarkStart w:id="61" w:name="_Toc181361822"/>
      <w:bookmarkEnd w:id="61"/>
      <w:bookmarkStart w:id="62" w:name="_Toc181362478"/>
      <w:bookmarkEnd w:id="62"/>
      <w:bookmarkStart w:id="63" w:name="_Toc181362479"/>
      <w:bookmarkEnd w:id="63"/>
      <w:bookmarkStart w:id="64" w:name="_Toc181361823"/>
      <w:bookmarkEnd w:id="64"/>
      <w:bookmarkStart w:id="65" w:name="_Toc181361824"/>
      <w:bookmarkEnd w:id="65"/>
      <w:bookmarkStart w:id="66" w:name="_Toc16580"/>
      <w:bookmarkStart w:id="67" w:name="_Toc24786"/>
      <w:bookmarkStart w:id="68" w:name="_Toc9752"/>
      <w:bookmarkStart w:id="69" w:name="_Toc22946"/>
      <w:bookmarkStart w:id="70" w:name="_Toc316"/>
      <w:bookmarkStart w:id="71" w:name="_Toc181362481"/>
      <w:bookmarkStart w:id="72" w:name="_Toc13511"/>
      <w:bookmarkStart w:id="73" w:name="_Toc26892"/>
      <w:bookmarkStart w:id="74" w:name="_Toc28196"/>
      <w:bookmarkStart w:id="75" w:name="_Toc181361825"/>
      <w:bookmarkStart w:id="76" w:name="_Toc211"/>
      <w:bookmarkStart w:id="77" w:name="_Toc2285"/>
      <w:bookmarkStart w:id="78" w:name="_Toc14599"/>
      <w:bookmarkStart w:id="79" w:name="_Toc26705"/>
      <w:bookmarkStart w:id="80" w:name="_Toc14250"/>
      <w:bookmarkStart w:id="81" w:name="_Toc11630"/>
      <w:bookmarkStart w:id="82" w:name="_Toc28278"/>
      <w:bookmarkStart w:id="83" w:name="_Toc32632"/>
      <w:bookmarkStart w:id="84" w:name="_Toc21455"/>
      <w:bookmarkStart w:id="85" w:name="_Toc22403"/>
      <w:bookmarkStart w:id="86" w:name="_Toc14148"/>
      <w:r>
        <w:rPr>
          <w:rFonts w:hint="eastAsia"/>
          <w:color w:val="auto"/>
          <w:sz w:val="28"/>
          <w:szCs w:val="28"/>
          <w:lang w:val="en-US" w:eastAsia="zh-CN"/>
        </w:rPr>
        <w:t>执行标准</w:t>
      </w:r>
    </w:p>
    <w:p>
      <w:pPr>
        <w:tabs>
          <w:tab w:val="left" w:pos="425"/>
          <w:tab w:val="left" w:pos="454"/>
        </w:tabs>
        <w:spacing w:line="480" w:lineRule="exact"/>
        <w:rPr>
          <w:rFonts w:ascii="宋体" w:hAnsi="宋体"/>
          <w:bCs/>
          <w:color w:val="auto"/>
        </w:rPr>
      </w:pPr>
      <w:r>
        <w:rPr>
          <w:rFonts w:hint="eastAsia"/>
          <w:b/>
          <w:bCs/>
          <w:color w:val="auto"/>
          <w:szCs w:val="32"/>
          <w:lang w:val="en-US" w:eastAsia="zh-CN"/>
        </w:rPr>
        <w:t>4</w:t>
      </w:r>
      <w:r>
        <w:rPr>
          <w:b/>
          <w:bCs/>
          <w:color w:val="auto"/>
          <w:szCs w:val="32"/>
        </w:rPr>
        <w:t>.1</w:t>
      </w:r>
      <w:r>
        <w:rPr>
          <w:rFonts w:hint="eastAsia"/>
          <w:b/>
          <w:bCs/>
          <w:color w:val="auto"/>
          <w:szCs w:val="32"/>
        </w:rPr>
        <w:t>法律法规</w:t>
      </w:r>
      <w:r>
        <w:rPr>
          <w:rFonts w:ascii="宋体" w:hAnsi="宋体"/>
          <w:bCs/>
          <w:color w:val="auto"/>
        </w:rPr>
        <w:br w:type="textWrapping"/>
      </w:r>
      <w:r>
        <w:rPr>
          <w:rFonts w:hint="eastAsia" w:ascii="宋体" w:hAnsi="宋体"/>
          <w:bCs/>
          <w:color w:val="auto"/>
        </w:rPr>
        <w:t>法律法规及工程建设标准，若有新规范，自动遵守；</w:t>
      </w:r>
    </w:p>
    <w:p>
      <w:pPr>
        <w:tabs>
          <w:tab w:val="left" w:pos="425"/>
          <w:tab w:val="left" w:pos="454"/>
        </w:tabs>
        <w:spacing w:line="480" w:lineRule="exact"/>
        <w:rPr>
          <w:rFonts w:ascii="宋体" w:hAnsi="宋体"/>
          <w:bCs/>
          <w:color w:val="auto"/>
        </w:rPr>
      </w:pPr>
      <w:r>
        <w:rPr>
          <w:rFonts w:hint="eastAsia" w:ascii="宋体" w:hAnsi="宋体"/>
          <w:bCs/>
          <w:color w:val="auto"/>
        </w:rPr>
        <w:t>建设工程勘察设计文件，若有新规范，自动遵守；</w:t>
      </w:r>
    </w:p>
    <w:p>
      <w:pPr>
        <w:tabs>
          <w:tab w:val="left" w:pos="425"/>
          <w:tab w:val="left" w:pos="454"/>
        </w:tabs>
        <w:spacing w:line="480" w:lineRule="exact"/>
        <w:rPr>
          <w:rFonts w:ascii="宋体" w:hAnsi="宋体"/>
          <w:bCs/>
          <w:color w:val="auto"/>
        </w:rPr>
      </w:pPr>
      <w:r>
        <w:rPr>
          <w:rFonts w:hint="eastAsia" w:ascii="宋体" w:hAnsi="宋体"/>
          <w:bCs/>
          <w:color w:val="auto"/>
        </w:rPr>
        <w:t>建设工程监理合同，若有新规范，自动遵守；</w:t>
      </w:r>
    </w:p>
    <w:p>
      <w:pPr>
        <w:tabs>
          <w:tab w:val="left" w:pos="425"/>
          <w:tab w:val="left" w:pos="454"/>
        </w:tabs>
        <w:spacing w:line="480" w:lineRule="exact"/>
        <w:rPr>
          <w:rFonts w:ascii="宋体" w:hAnsi="宋体"/>
          <w:bCs/>
          <w:color w:val="auto"/>
        </w:rPr>
      </w:pPr>
      <w:r>
        <w:rPr>
          <w:rFonts w:hint="eastAsia" w:ascii="宋体" w:hAnsi="宋体"/>
          <w:bCs/>
          <w:color w:val="auto"/>
        </w:rPr>
        <w:t>行业的有关文件，若有新规范，自动遵守；</w:t>
      </w:r>
    </w:p>
    <w:p>
      <w:pPr>
        <w:tabs>
          <w:tab w:val="left" w:pos="425"/>
          <w:tab w:val="left" w:pos="454"/>
        </w:tabs>
        <w:spacing w:line="480" w:lineRule="exact"/>
        <w:rPr>
          <w:b/>
          <w:bCs/>
          <w:color w:val="auto"/>
          <w:szCs w:val="32"/>
        </w:rPr>
      </w:pPr>
      <w:r>
        <w:rPr>
          <w:rFonts w:hint="eastAsia"/>
          <w:b/>
          <w:bCs/>
          <w:color w:val="auto"/>
          <w:szCs w:val="32"/>
          <w:lang w:val="en-US" w:eastAsia="zh-CN"/>
        </w:rPr>
        <w:t>4</w:t>
      </w:r>
      <w:r>
        <w:rPr>
          <w:b/>
          <w:bCs/>
          <w:color w:val="auto"/>
          <w:szCs w:val="32"/>
        </w:rPr>
        <w:t>.2</w:t>
      </w:r>
      <w:r>
        <w:rPr>
          <w:rFonts w:hint="eastAsia"/>
          <w:b/>
          <w:bCs/>
          <w:color w:val="auto"/>
          <w:szCs w:val="32"/>
        </w:rPr>
        <w:t>安全文明</w:t>
      </w:r>
    </w:p>
    <w:p>
      <w:pPr>
        <w:spacing w:line="480" w:lineRule="exact"/>
        <w:ind w:firstLine="120" w:firstLineChars="50"/>
        <w:rPr>
          <w:rFonts w:ascii="宋体" w:hAnsi="宋体"/>
          <w:color w:val="auto"/>
        </w:rPr>
      </w:pPr>
      <w:r>
        <w:rPr>
          <w:rFonts w:hint="eastAsia" w:ascii="宋体" w:hAnsi="宋体"/>
          <w:color w:val="auto"/>
        </w:rPr>
        <w:t>《电力建设安全工作规程第</w:t>
      </w:r>
      <w:r>
        <w:rPr>
          <w:rFonts w:ascii="宋体" w:hAnsi="宋体"/>
          <w:color w:val="auto"/>
        </w:rPr>
        <w:t>1</w:t>
      </w:r>
      <w:r>
        <w:rPr>
          <w:rFonts w:hint="eastAsia" w:ascii="宋体" w:hAnsi="宋体"/>
          <w:color w:val="auto"/>
        </w:rPr>
        <w:t>部分火力发电厂》</w:t>
      </w:r>
      <w:r>
        <w:rPr>
          <w:rFonts w:ascii="宋体" w:hAnsi="宋体"/>
          <w:color w:val="auto"/>
        </w:rPr>
        <w:t xml:space="preserve">  DL5009.1-20</w:t>
      </w:r>
      <w:r>
        <w:rPr>
          <w:rFonts w:hint="eastAsia" w:ascii="宋体" w:hAnsi="宋体"/>
          <w:color w:val="auto"/>
        </w:rPr>
        <w:t>14</w:t>
      </w:r>
    </w:p>
    <w:p>
      <w:pPr>
        <w:spacing w:line="480" w:lineRule="exact"/>
        <w:ind w:firstLine="120" w:firstLineChars="50"/>
        <w:rPr>
          <w:rFonts w:ascii="宋体" w:hAnsi="宋体"/>
          <w:color w:val="auto"/>
        </w:rPr>
      </w:pPr>
      <w:r>
        <w:rPr>
          <w:rFonts w:hint="eastAsia" w:ascii="宋体" w:hAnsi="宋体"/>
          <w:color w:val="auto"/>
        </w:rPr>
        <w:t>《电业安全工作规程</w:t>
      </w:r>
      <w:r>
        <w:rPr>
          <w:rFonts w:ascii="宋体" w:hAnsi="宋体"/>
          <w:color w:val="auto"/>
        </w:rPr>
        <w:t>:</w:t>
      </w:r>
      <w:r>
        <w:rPr>
          <w:rFonts w:hint="eastAsia" w:ascii="宋体" w:hAnsi="宋体"/>
          <w:color w:val="auto"/>
        </w:rPr>
        <w:t>发电厂及变电所电气部分》</w:t>
      </w:r>
      <w:r>
        <w:rPr>
          <w:rFonts w:ascii="宋体" w:hAnsi="宋体"/>
          <w:color w:val="auto"/>
        </w:rPr>
        <w:t>DL408-</w:t>
      </w:r>
      <w:r>
        <w:rPr>
          <w:rFonts w:hint="eastAsia" w:ascii="宋体" w:hAnsi="宋体"/>
          <w:color w:val="auto"/>
        </w:rPr>
        <w:t>2011</w:t>
      </w:r>
    </w:p>
    <w:p>
      <w:pPr>
        <w:spacing w:line="480" w:lineRule="exact"/>
        <w:ind w:firstLine="120" w:firstLineChars="50"/>
        <w:rPr>
          <w:rFonts w:ascii="宋体" w:hAnsi="宋体"/>
          <w:color w:val="auto"/>
        </w:rPr>
      </w:pPr>
      <w:r>
        <w:rPr>
          <w:rFonts w:hint="eastAsia" w:ascii="宋体" w:hAnsi="宋体"/>
          <w:color w:val="auto"/>
        </w:rPr>
        <w:t>《电业安全工作规程</w:t>
      </w:r>
      <w:r>
        <w:rPr>
          <w:rFonts w:ascii="宋体" w:hAnsi="宋体"/>
          <w:color w:val="auto"/>
        </w:rPr>
        <w:t>:</w:t>
      </w:r>
      <w:r>
        <w:rPr>
          <w:rFonts w:hint="eastAsia" w:ascii="宋体" w:hAnsi="宋体"/>
          <w:color w:val="auto"/>
        </w:rPr>
        <w:t>热力和机械部分》电安生</w:t>
      </w:r>
      <w:r>
        <w:rPr>
          <w:rFonts w:ascii="宋体" w:hAnsi="宋体"/>
          <w:color w:val="auto"/>
        </w:rPr>
        <w:t>[1994]227</w:t>
      </w:r>
      <w:r>
        <w:rPr>
          <w:rFonts w:hint="eastAsia" w:ascii="宋体" w:hAnsi="宋体"/>
          <w:color w:val="auto"/>
        </w:rPr>
        <w:t>号</w:t>
      </w:r>
    </w:p>
    <w:p>
      <w:pPr>
        <w:spacing w:line="480" w:lineRule="exact"/>
        <w:ind w:firstLine="120" w:firstLineChars="50"/>
        <w:rPr>
          <w:rFonts w:ascii="宋体" w:hAnsi="宋体"/>
          <w:color w:val="auto"/>
        </w:rPr>
      </w:pPr>
      <w:r>
        <w:rPr>
          <w:rFonts w:hint="eastAsia" w:ascii="宋体" w:hAnsi="宋体"/>
          <w:color w:val="auto"/>
        </w:rPr>
        <w:t>《电力建设安全健康与环境管理工作规定》国电电源</w:t>
      </w:r>
      <w:r>
        <w:rPr>
          <w:rFonts w:ascii="宋体" w:hAnsi="宋体"/>
          <w:color w:val="auto"/>
        </w:rPr>
        <w:t>[2002]49</w:t>
      </w:r>
      <w:r>
        <w:rPr>
          <w:rFonts w:hint="eastAsia" w:ascii="宋体" w:hAnsi="宋体"/>
          <w:color w:val="auto"/>
        </w:rPr>
        <w:t>号</w:t>
      </w:r>
    </w:p>
    <w:p>
      <w:pPr>
        <w:spacing w:line="480" w:lineRule="exact"/>
        <w:ind w:firstLine="120" w:firstLineChars="50"/>
        <w:rPr>
          <w:rFonts w:ascii="宋体" w:hAnsi="宋体"/>
          <w:color w:val="auto"/>
        </w:rPr>
      </w:pPr>
      <w:r>
        <w:rPr>
          <w:rFonts w:hint="eastAsia" w:ascii="宋体" w:hAnsi="宋体"/>
          <w:color w:val="auto"/>
        </w:rPr>
        <w:t>《危急性较大的分部分项工程平安管理规定》 (建办质</w:t>
      </w:r>
      <w:r>
        <w:rPr>
          <w:rFonts w:ascii="宋体" w:hAnsi="宋体"/>
          <w:color w:val="auto"/>
        </w:rPr>
        <w:t>[</w:t>
      </w:r>
      <w:r>
        <w:rPr>
          <w:rFonts w:hint="eastAsia" w:ascii="宋体" w:hAnsi="宋体"/>
          <w:color w:val="auto"/>
        </w:rPr>
        <w:t>2023</w:t>
      </w:r>
      <w:r>
        <w:rPr>
          <w:rFonts w:ascii="宋体" w:hAnsi="宋体"/>
          <w:color w:val="auto"/>
        </w:rPr>
        <w:t>]</w:t>
      </w:r>
      <w:r>
        <w:rPr>
          <w:rFonts w:hint="eastAsia" w:ascii="宋体" w:hAnsi="宋体"/>
          <w:color w:val="auto"/>
        </w:rPr>
        <w:t>31号)</w:t>
      </w:r>
    </w:p>
    <w:p>
      <w:pPr>
        <w:spacing w:line="480" w:lineRule="exact"/>
        <w:ind w:firstLine="120" w:firstLineChars="50"/>
        <w:rPr>
          <w:rFonts w:ascii="宋体" w:hAnsi="宋体"/>
          <w:color w:val="auto"/>
        </w:rPr>
      </w:pPr>
      <w:r>
        <w:rPr>
          <w:rFonts w:hint="eastAsia" w:ascii="宋体" w:hAnsi="宋体"/>
          <w:color w:val="auto"/>
        </w:rPr>
        <w:t>《建筑施工特种作业人员管理规定》建质</w:t>
      </w:r>
      <w:r>
        <w:rPr>
          <w:rFonts w:ascii="宋体" w:hAnsi="宋体"/>
          <w:color w:val="auto"/>
        </w:rPr>
        <w:t>[2008]75</w:t>
      </w:r>
      <w:r>
        <w:rPr>
          <w:rFonts w:hint="eastAsia" w:ascii="宋体" w:hAnsi="宋体"/>
          <w:color w:val="auto"/>
        </w:rPr>
        <w:t>号</w:t>
      </w:r>
    </w:p>
    <w:p>
      <w:pPr>
        <w:spacing w:line="480" w:lineRule="exact"/>
        <w:ind w:firstLine="120" w:firstLineChars="50"/>
        <w:rPr>
          <w:rFonts w:ascii="宋体" w:hAnsi="宋体"/>
          <w:color w:val="auto"/>
        </w:rPr>
      </w:pPr>
      <w:r>
        <w:rPr>
          <w:rFonts w:hint="eastAsia" w:ascii="宋体" w:hAnsi="宋体"/>
          <w:color w:val="auto"/>
        </w:rPr>
        <w:t>《建筑施工企业安全生产管理机构及专职安全生产管理人员配置办法》建质[2008]91号</w:t>
      </w:r>
    </w:p>
    <w:p>
      <w:pPr>
        <w:spacing w:line="480" w:lineRule="exact"/>
        <w:ind w:firstLine="120" w:firstLineChars="50"/>
        <w:rPr>
          <w:rFonts w:ascii="宋体" w:hAnsi="宋体"/>
          <w:color w:val="auto"/>
        </w:rPr>
      </w:pPr>
      <w:r>
        <w:rPr>
          <w:rFonts w:hint="eastAsia" w:ascii="宋体" w:hAnsi="宋体"/>
          <w:color w:val="auto"/>
        </w:rPr>
        <w:t>《建筑工程安全防护、文明施工措施费用及使用管理规定》建办</w:t>
      </w:r>
      <w:r>
        <w:rPr>
          <w:rFonts w:ascii="宋体" w:hAnsi="宋体"/>
          <w:color w:val="auto"/>
        </w:rPr>
        <w:t>[2005]89</w:t>
      </w:r>
      <w:r>
        <w:rPr>
          <w:rFonts w:hint="eastAsia" w:ascii="宋体" w:hAnsi="宋体"/>
          <w:color w:val="auto"/>
        </w:rPr>
        <w:t>号</w:t>
      </w:r>
    </w:p>
    <w:p>
      <w:pPr>
        <w:spacing w:line="480" w:lineRule="exact"/>
        <w:ind w:firstLine="120" w:firstLineChars="50"/>
        <w:rPr>
          <w:rFonts w:ascii="宋体" w:hAnsi="宋体"/>
          <w:color w:val="auto"/>
        </w:rPr>
      </w:pPr>
      <w:r>
        <w:rPr>
          <w:rFonts w:hint="eastAsia" w:ascii="宋体" w:hAnsi="宋体"/>
          <w:color w:val="auto"/>
        </w:rPr>
        <w:t>《广东省建设工程施工安全评价管理办法》粤建质管字</w:t>
      </w:r>
      <w:r>
        <w:rPr>
          <w:rFonts w:ascii="宋体" w:hAnsi="宋体"/>
          <w:color w:val="auto"/>
        </w:rPr>
        <w:t>[2000]145</w:t>
      </w:r>
      <w:r>
        <w:rPr>
          <w:rFonts w:hint="eastAsia" w:ascii="宋体" w:hAnsi="宋体"/>
          <w:color w:val="auto"/>
        </w:rPr>
        <w:t>号</w:t>
      </w:r>
    </w:p>
    <w:p>
      <w:pPr>
        <w:spacing w:line="480" w:lineRule="exact"/>
        <w:ind w:firstLine="120" w:firstLineChars="50"/>
        <w:rPr>
          <w:rFonts w:ascii="宋体" w:hAnsi="宋体"/>
          <w:color w:val="auto"/>
        </w:rPr>
      </w:pPr>
      <w:r>
        <w:rPr>
          <w:rFonts w:hint="eastAsia" w:ascii="宋体" w:hAnsi="宋体"/>
          <w:color w:val="auto"/>
        </w:rPr>
        <w:t>《建筑施工安全检查标准》</w:t>
      </w:r>
      <w:r>
        <w:rPr>
          <w:rFonts w:ascii="宋体" w:hAnsi="宋体"/>
          <w:color w:val="auto"/>
        </w:rPr>
        <w:t>JGJ59-</w:t>
      </w:r>
      <w:r>
        <w:rPr>
          <w:rFonts w:hint="eastAsia" w:ascii="宋体" w:hAnsi="宋体"/>
          <w:color w:val="auto"/>
        </w:rPr>
        <w:t>2011</w:t>
      </w:r>
    </w:p>
    <w:p>
      <w:pPr>
        <w:spacing w:line="480" w:lineRule="exact"/>
        <w:ind w:firstLine="120" w:firstLineChars="50"/>
        <w:rPr>
          <w:rFonts w:ascii="宋体" w:hAnsi="宋体"/>
          <w:color w:val="auto"/>
        </w:rPr>
      </w:pPr>
      <w:r>
        <w:rPr>
          <w:rFonts w:hint="eastAsia" w:ascii="宋体" w:hAnsi="宋体"/>
          <w:color w:val="auto"/>
        </w:rPr>
        <w:t>《建筑施工扣件式脚手架安全技术规范》</w:t>
      </w:r>
      <w:r>
        <w:rPr>
          <w:rFonts w:ascii="宋体" w:hAnsi="宋体"/>
          <w:color w:val="auto"/>
        </w:rPr>
        <w:t>JGJ130-20</w:t>
      </w:r>
      <w:r>
        <w:rPr>
          <w:rFonts w:hint="eastAsia" w:ascii="宋体" w:hAnsi="宋体"/>
          <w:color w:val="auto"/>
        </w:rPr>
        <w:t>11</w:t>
      </w:r>
    </w:p>
    <w:p>
      <w:pPr>
        <w:spacing w:line="480" w:lineRule="exact"/>
        <w:ind w:firstLine="120" w:firstLineChars="50"/>
        <w:rPr>
          <w:rFonts w:ascii="宋体" w:hAnsi="宋体"/>
          <w:color w:val="auto"/>
        </w:rPr>
      </w:pPr>
      <w:r>
        <w:rPr>
          <w:rFonts w:hint="eastAsia" w:ascii="宋体" w:hAnsi="宋体"/>
          <w:color w:val="auto"/>
        </w:rPr>
        <w:t>《建筑机械使用安全技术规范》</w:t>
      </w:r>
      <w:r>
        <w:rPr>
          <w:rFonts w:ascii="宋体" w:hAnsi="宋体"/>
          <w:color w:val="auto"/>
        </w:rPr>
        <w:t>JGJ133-20</w:t>
      </w:r>
      <w:r>
        <w:rPr>
          <w:rFonts w:hint="eastAsia" w:ascii="宋体" w:hAnsi="宋体"/>
          <w:color w:val="auto"/>
        </w:rPr>
        <w:t>12</w:t>
      </w:r>
    </w:p>
    <w:p>
      <w:pPr>
        <w:spacing w:line="480" w:lineRule="exact"/>
        <w:ind w:firstLine="120" w:firstLineChars="50"/>
        <w:rPr>
          <w:rFonts w:ascii="宋体" w:hAnsi="宋体"/>
          <w:color w:val="auto"/>
        </w:rPr>
      </w:pPr>
      <w:r>
        <w:rPr>
          <w:rFonts w:hint="eastAsia" w:ascii="宋体" w:hAnsi="宋体"/>
          <w:color w:val="auto"/>
        </w:rPr>
        <w:t>《施工现场临时用电安全技术规范》</w:t>
      </w:r>
      <w:r>
        <w:rPr>
          <w:rFonts w:ascii="宋体" w:hAnsi="宋体"/>
          <w:color w:val="auto"/>
        </w:rPr>
        <w:t>JGJ146-20</w:t>
      </w:r>
      <w:r>
        <w:rPr>
          <w:rFonts w:hint="eastAsia" w:ascii="宋体" w:hAnsi="宋体"/>
          <w:color w:val="auto"/>
        </w:rPr>
        <w:t>12</w:t>
      </w:r>
    </w:p>
    <w:p>
      <w:pPr>
        <w:spacing w:line="480" w:lineRule="exact"/>
        <w:ind w:firstLine="120" w:firstLineChars="50"/>
        <w:rPr>
          <w:rFonts w:ascii="宋体" w:hAnsi="宋体"/>
          <w:color w:val="auto"/>
        </w:rPr>
      </w:pPr>
      <w:r>
        <w:rPr>
          <w:rFonts w:hint="eastAsia" w:ascii="宋体" w:hAnsi="宋体"/>
          <w:color w:val="auto"/>
        </w:rPr>
        <w:t>《建筑施工作业劳动防护用品配备及使用标准》</w:t>
      </w:r>
      <w:r>
        <w:rPr>
          <w:rFonts w:ascii="宋体" w:hAnsi="宋体"/>
          <w:color w:val="auto"/>
        </w:rPr>
        <w:t>JGJ184-2009</w:t>
      </w:r>
    </w:p>
    <w:p>
      <w:pPr>
        <w:spacing w:line="480" w:lineRule="exact"/>
        <w:ind w:firstLine="120" w:firstLineChars="50"/>
        <w:rPr>
          <w:rFonts w:ascii="宋体" w:hAnsi="宋体"/>
          <w:color w:val="auto"/>
        </w:rPr>
      </w:pPr>
      <w:r>
        <w:rPr>
          <w:rFonts w:hint="eastAsia" w:ascii="宋体" w:hAnsi="宋体"/>
          <w:color w:val="auto"/>
        </w:rPr>
        <w:t>《建筑施工现场环境及卫生标准》</w:t>
      </w:r>
      <w:r>
        <w:rPr>
          <w:rFonts w:ascii="宋体" w:hAnsi="宋体"/>
          <w:color w:val="auto"/>
        </w:rPr>
        <w:t>JGJ146-20</w:t>
      </w:r>
      <w:r>
        <w:rPr>
          <w:rFonts w:hint="eastAsia" w:ascii="宋体" w:hAnsi="宋体"/>
          <w:color w:val="auto"/>
        </w:rPr>
        <w:t>13</w:t>
      </w:r>
    </w:p>
    <w:p>
      <w:pPr>
        <w:spacing w:line="480" w:lineRule="exact"/>
        <w:ind w:firstLine="120" w:firstLineChars="50"/>
        <w:rPr>
          <w:rFonts w:ascii="宋体" w:hAnsi="宋体"/>
          <w:color w:val="auto"/>
        </w:rPr>
      </w:pPr>
      <w:r>
        <w:rPr>
          <w:rFonts w:hint="eastAsia" w:ascii="宋体" w:hAnsi="宋体"/>
          <w:color w:val="auto"/>
        </w:rPr>
        <w:t>《建筑施工土石方工程安全技术规范》</w:t>
      </w:r>
      <w:r>
        <w:rPr>
          <w:rFonts w:ascii="宋体" w:hAnsi="宋体"/>
          <w:color w:val="auto"/>
        </w:rPr>
        <w:t>JGJ180-2009</w:t>
      </w:r>
    </w:p>
    <w:p>
      <w:pPr>
        <w:tabs>
          <w:tab w:val="left" w:pos="425"/>
          <w:tab w:val="left" w:pos="454"/>
        </w:tabs>
        <w:spacing w:line="480" w:lineRule="exact"/>
        <w:rPr>
          <w:b/>
          <w:bCs/>
          <w:color w:val="auto"/>
          <w:szCs w:val="32"/>
        </w:rPr>
      </w:pPr>
      <w:r>
        <w:rPr>
          <w:rFonts w:hint="eastAsia"/>
          <w:b/>
          <w:bCs/>
          <w:color w:val="auto"/>
          <w:szCs w:val="32"/>
          <w:lang w:val="en-US" w:eastAsia="zh-CN"/>
        </w:rPr>
        <w:t>4</w:t>
      </w:r>
      <w:r>
        <w:rPr>
          <w:b/>
          <w:bCs/>
          <w:color w:val="auto"/>
          <w:szCs w:val="32"/>
        </w:rPr>
        <w:t>.3</w:t>
      </w:r>
      <w:r>
        <w:rPr>
          <w:rFonts w:hint="eastAsia"/>
          <w:b/>
          <w:bCs/>
          <w:color w:val="auto"/>
          <w:szCs w:val="32"/>
        </w:rPr>
        <w:t>土建工程</w:t>
      </w:r>
    </w:p>
    <w:p>
      <w:pPr>
        <w:spacing w:line="480" w:lineRule="exact"/>
        <w:ind w:firstLine="120" w:firstLineChars="50"/>
        <w:rPr>
          <w:rFonts w:ascii="宋体" w:hAnsi="宋体"/>
          <w:color w:val="auto"/>
        </w:rPr>
      </w:pPr>
      <w:r>
        <w:rPr>
          <w:rFonts w:hint="eastAsia" w:ascii="宋体" w:hAnsi="宋体"/>
          <w:color w:val="auto"/>
        </w:rPr>
        <w:t>《火力发电厂建筑设计规程》</w:t>
      </w:r>
      <w:r>
        <w:rPr>
          <w:rFonts w:ascii="宋体" w:hAnsi="宋体"/>
          <w:color w:val="auto"/>
        </w:rPr>
        <w:t xml:space="preserve">  DL/T  5094-</w:t>
      </w:r>
      <w:r>
        <w:rPr>
          <w:rFonts w:hint="eastAsia" w:ascii="宋体" w:hAnsi="宋体"/>
          <w:color w:val="auto"/>
        </w:rPr>
        <w:t>2012</w:t>
      </w:r>
    </w:p>
    <w:p>
      <w:pPr>
        <w:spacing w:line="480" w:lineRule="exact"/>
        <w:ind w:firstLine="120" w:firstLineChars="50"/>
        <w:rPr>
          <w:rFonts w:ascii="宋体" w:hAnsi="宋体"/>
          <w:color w:val="auto"/>
        </w:rPr>
      </w:pPr>
      <w:r>
        <w:rPr>
          <w:rFonts w:hint="eastAsia" w:ascii="宋体" w:hAnsi="宋体"/>
          <w:color w:val="auto"/>
        </w:rPr>
        <w:t>《火力发电厂设计技术规程》</w:t>
      </w:r>
      <w:r>
        <w:rPr>
          <w:rFonts w:ascii="宋体" w:hAnsi="宋体"/>
          <w:color w:val="auto"/>
        </w:rPr>
        <w:t>GB 50660-2011</w:t>
      </w:r>
    </w:p>
    <w:p>
      <w:pPr>
        <w:spacing w:line="480" w:lineRule="exact"/>
        <w:ind w:firstLine="120" w:firstLineChars="50"/>
        <w:rPr>
          <w:rFonts w:ascii="宋体" w:hAnsi="宋体"/>
          <w:color w:val="auto"/>
        </w:rPr>
      </w:pPr>
      <w:r>
        <w:rPr>
          <w:rFonts w:hint="eastAsia" w:ascii="宋体" w:hAnsi="宋体"/>
          <w:color w:val="auto"/>
        </w:rPr>
        <w:t>《建筑工程资料管理规程》</w:t>
      </w:r>
      <w:r>
        <w:rPr>
          <w:rFonts w:ascii="宋体" w:hAnsi="宋体"/>
          <w:color w:val="auto"/>
        </w:rPr>
        <w:t>JGJ185-2009</w:t>
      </w:r>
    </w:p>
    <w:p>
      <w:pPr>
        <w:spacing w:line="480" w:lineRule="exact"/>
        <w:ind w:firstLine="120" w:firstLineChars="50"/>
        <w:rPr>
          <w:rFonts w:ascii="宋体" w:hAnsi="宋体"/>
          <w:color w:val="auto"/>
        </w:rPr>
      </w:pPr>
      <w:r>
        <w:rPr>
          <w:rFonts w:hint="eastAsia" w:ascii="宋体" w:hAnsi="宋体"/>
          <w:color w:val="auto"/>
        </w:rPr>
        <w:t>《建设工程工程量清单计价规范》</w:t>
      </w:r>
      <w:r>
        <w:rPr>
          <w:rFonts w:ascii="宋体" w:hAnsi="宋体"/>
          <w:color w:val="auto"/>
        </w:rPr>
        <w:t xml:space="preserve">  GB50500-20</w:t>
      </w:r>
      <w:r>
        <w:rPr>
          <w:rFonts w:hint="eastAsia" w:ascii="宋体" w:hAnsi="宋体"/>
          <w:color w:val="auto"/>
        </w:rPr>
        <w:t>13</w:t>
      </w:r>
    </w:p>
    <w:p>
      <w:pPr>
        <w:spacing w:line="480" w:lineRule="exact"/>
        <w:ind w:firstLine="120" w:firstLineChars="50"/>
        <w:rPr>
          <w:rFonts w:ascii="宋体" w:hAnsi="宋体"/>
          <w:color w:val="auto"/>
        </w:rPr>
      </w:pPr>
      <w:r>
        <w:rPr>
          <w:rFonts w:hint="eastAsia" w:ascii="宋体" w:hAnsi="宋体"/>
          <w:color w:val="auto"/>
        </w:rPr>
        <w:t>《清水混凝土应用技术规程》</w:t>
      </w:r>
      <w:r>
        <w:rPr>
          <w:rFonts w:ascii="宋体" w:hAnsi="宋体"/>
          <w:color w:val="auto"/>
        </w:rPr>
        <w:t>JGJ169-2009</w:t>
      </w:r>
    </w:p>
    <w:p>
      <w:pPr>
        <w:spacing w:line="480" w:lineRule="exact"/>
        <w:ind w:firstLine="120" w:firstLineChars="50"/>
        <w:rPr>
          <w:rFonts w:ascii="宋体" w:hAnsi="宋体"/>
          <w:color w:val="auto"/>
        </w:rPr>
      </w:pPr>
      <w:r>
        <w:rPr>
          <w:rFonts w:hint="eastAsia" w:ascii="宋体" w:hAnsi="宋体"/>
          <w:color w:val="auto"/>
        </w:rPr>
        <w:t>《电力建设施工质量验收及评定规程》（土建部分）</w:t>
      </w:r>
      <w:r>
        <w:rPr>
          <w:rFonts w:ascii="宋体" w:hAnsi="宋体"/>
          <w:color w:val="auto"/>
        </w:rPr>
        <w:t>DL/T  5210.1-20</w:t>
      </w:r>
      <w:r>
        <w:rPr>
          <w:rFonts w:hint="eastAsia" w:ascii="宋体" w:hAnsi="宋体"/>
          <w:color w:val="auto"/>
        </w:rPr>
        <w:t>12</w:t>
      </w:r>
    </w:p>
    <w:p>
      <w:pPr>
        <w:spacing w:line="480" w:lineRule="exact"/>
        <w:ind w:firstLine="120" w:firstLineChars="50"/>
        <w:rPr>
          <w:rFonts w:ascii="宋体" w:hAnsi="宋体"/>
          <w:color w:val="auto"/>
        </w:rPr>
      </w:pPr>
      <w:r>
        <w:rPr>
          <w:rFonts w:hint="eastAsia" w:ascii="宋体" w:hAnsi="宋体"/>
          <w:color w:val="auto"/>
        </w:rPr>
        <w:t>《混凝土质量控制标准》</w:t>
      </w:r>
      <w:r>
        <w:rPr>
          <w:rFonts w:ascii="宋体" w:hAnsi="宋体"/>
          <w:color w:val="auto"/>
        </w:rPr>
        <w:t xml:space="preserve">  GB50164</w:t>
      </w:r>
      <w:r>
        <w:rPr>
          <w:rFonts w:hint="eastAsia" w:ascii="宋体" w:hAnsi="宋体"/>
          <w:color w:val="auto"/>
        </w:rPr>
        <w:t>-2011</w:t>
      </w:r>
    </w:p>
    <w:p>
      <w:pPr>
        <w:spacing w:line="480" w:lineRule="exact"/>
        <w:ind w:firstLine="120" w:firstLineChars="50"/>
        <w:rPr>
          <w:rFonts w:ascii="宋体" w:hAnsi="宋体"/>
          <w:color w:val="auto"/>
        </w:rPr>
      </w:pPr>
      <w:r>
        <w:rPr>
          <w:rFonts w:hint="eastAsia" w:ascii="宋体" w:hAnsi="宋体"/>
          <w:color w:val="auto"/>
        </w:rPr>
        <w:t>《混凝土外加剂应用技术规范》</w:t>
      </w:r>
      <w:r>
        <w:rPr>
          <w:rFonts w:ascii="宋体" w:hAnsi="宋体"/>
          <w:color w:val="auto"/>
        </w:rPr>
        <w:t xml:space="preserve">  GB50119</w:t>
      </w:r>
      <w:r>
        <w:rPr>
          <w:rFonts w:hint="eastAsia" w:ascii="宋体" w:hAnsi="宋体"/>
          <w:color w:val="auto"/>
        </w:rPr>
        <w:t>-2013</w:t>
      </w:r>
    </w:p>
    <w:p>
      <w:pPr>
        <w:spacing w:line="480" w:lineRule="exact"/>
        <w:ind w:firstLine="120" w:firstLineChars="50"/>
        <w:rPr>
          <w:rFonts w:ascii="宋体" w:hAnsi="宋体"/>
          <w:color w:val="auto"/>
        </w:rPr>
      </w:pPr>
      <w:r>
        <w:rPr>
          <w:rFonts w:hint="eastAsia" w:ascii="宋体" w:hAnsi="宋体"/>
          <w:color w:val="auto"/>
        </w:rPr>
        <w:t>《建筑基桩检测技术规范》</w:t>
      </w:r>
      <w:r>
        <w:rPr>
          <w:rFonts w:ascii="宋体" w:hAnsi="宋体"/>
          <w:color w:val="auto"/>
        </w:rPr>
        <w:t xml:space="preserve">  JGJ106</w:t>
      </w:r>
      <w:r>
        <w:rPr>
          <w:rFonts w:hint="eastAsia" w:ascii="宋体" w:hAnsi="宋体"/>
          <w:color w:val="auto"/>
        </w:rPr>
        <w:t>-2014</w:t>
      </w:r>
    </w:p>
    <w:p>
      <w:pPr>
        <w:spacing w:line="480" w:lineRule="exact"/>
        <w:ind w:firstLine="120" w:firstLineChars="50"/>
        <w:rPr>
          <w:rFonts w:ascii="宋体" w:hAnsi="宋体"/>
          <w:color w:val="auto"/>
        </w:rPr>
      </w:pPr>
      <w:r>
        <w:rPr>
          <w:rFonts w:hint="eastAsia" w:ascii="宋体" w:hAnsi="宋体"/>
          <w:color w:val="auto"/>
        </w:rPr>
        <w:t>《建筑抗震设计规范  》GB  50011-20012010</w:t>
      </w:r>
    </w:p>
    <w:p>
      <w:pPr>
        <w:spacing w:line="480" w:lineRule="exact"/>
        <w:ind w:firstLine="120" w:firstLineChars="50"/>
        <w:rPr>
          <w:rFonts w:ascii="宋体" w:hAnsi="宋体"/>
          <w:color w:val="auto"/>
        </w:rPr>
      </w:pPr>
      <w:r>
        <w:rPr>
          <w:rFonts w:hint="eastAsia" w:ascii="宋体" w:hAnsi="宋体"/>
          <w:color w:val="auto"/>
        </w:rPr>
        <w:t>《工业建筑防腐蚀设计规范》</w:t>
      </w:r>
      <w:r>
        <w:rPr>
          <w:rFonts w:ascii="宋体" w:hAnsi="宋体"/>
          <w:color w:val="auto"/>
        </w:rPr>
        <w:t>GB  50046-2008</w:t>
      </w:r>
    </w:p>
    <w:p>
      <w:pPr>
        <w:spacing w:line="480" w:lineRule="exact"/>
        <w:ind w:firstLine="120" w:firstLineChars="50"/>
        <w:rPr>
          <w:rFonts w:ascii="宋体" w:hAnsi="宋体"/>
          <w:color w:val="auto"/>
        </w:rPr>
      </w:pPr>
      <w:r>
        <w:rPr>
          <w:rFonts w:hint="eastAsia" w:ascii="宋体" w:hAnsi="宋体"/>
          <w:color w:val="auto"/>
        </w:rPr>
        <w:t>《建筑地基基础工程施工质量验收规范》GB50202-2012</w:t>
      </w:r>
    </w:p>
    <w:p>
      <w:pPr>
        <w:spacing w:line="480" w:lineRule="exact"/>
        <w:ind w:firstLine="120" w:firstLineChars="50"/>
        <w:rPr>
          <w:rFonts w:ascii="宋体" w:hAnsi="宋体"/>
          <w:color w:val="auto"/>
        </w:rPr>
      </w:pPr>
      <w:r>
        <w:rPr>
          <w:rFonts w:hint="eastAsia" w:ascii="宋体" w:hAnsi="宋体"/>
          <w:color w:val="auto"/>
        </w:rPr>
        <w:t>《混凝土结构工程施工质量验收规范》GB50204-2015</w:t>
      </w:r>
    </w:p>
    <w:p>
      <w:pPr>
        <w:spacing w:line="480" w:lineRule="exact"/>
        <w:ind w:firstLine="120" w:firstLineChars="50"/>
        <w:rPr>
          <w:rFonts w:ascii="宋体" w:hAnsi="宋体"/>
          <w:color w:val="auto"/>
        </w:rPr>
      </w:pPr>
      <w:r>
        <w:rPr>
          <w:rFonts w:hint="eastAsia" w:ascii="宋体" w:hAnsi="宋体"/>
          <w:color w:val="auto"/>
        </w:rPr>
        <w:t>《地下防水工程质量验收规范》GB50208-2011</w:t>
      </w:r>
    </w:p>
    <w:p>
      <w:pPr>
        <w:spacing w:line="480" w:lineRule="exact"/>
        <w:ind w:firstLine="120" w:firstLineChars="50"/>
        <w:rPr>
          <w:rFonts w:ascii="宋体" w:hAnsi="宋体"/>
          <w:color w:val="auto"/>
        </w:rPr>
      </w:pPr>
      <w:r>
        <w:rPr>
          <w:rFonts w:hint="eastAsia" w:ascii="宋体" w:hAnsi="宋体"/>
          <w:color w:val="auto"/>
        </w:rPr>
        <w:t>《建筑防腐工程施工及验收规范》GB50212-2014</w:t>
      </w:r>
    </w:p>
    <w:p>
      <w:pPr>
        <w:spacing w:line="480" w:lineRule="exact"/>
        <w:ind w:firstLine="120" w:firstLineChars="50"/>
        <w:rPr>
          <w:rFonts w:ascii="宋体" w:hAnsi="宋体"/>
          <w:color w:val="auto"/>
        </w:rPr>
      </w:pPr>
      <w:r>
        <w:rPr>
          <w:rFonts w:hint="eastAsia" w:ascii="宋体" w:hAnsi="宋体"/>
          <w:color w:val="auto"/>
        </w:rPr>
        <w:t>《碳素钢埋弧焊用焊剂》GB5293-1999</w:t>
      </w:r>
    </w:p>
    <w:p>
      <w:pPr>
        <w:spacing w:line="480" w:lineRule="exact"/>
        <w:ind w:firstLine="120" w:firstLineChars="50"/>
        <w:rPr>
          <w:rFonts w:ascii="宋体" w:hAnsi="宋体"/>
          <w:color w:val="auto"/>
        </w:rPr>
      </w:pPr>
      <w:r>
        <w:rPr>
          <w:rFonts w:hint="eastAsia" w:ascii="宋体" w:hAnsi="宋体"/>
          <w:color w:val="auto"/>
        </w:rPr>
        <w:t>《混凝土强度检验评定标准》GBJ107-2010</w:t>
      </w:r>
    </w:p>
    <w:p>
      <w:pPr>
        <w:spacing w:line="480" w:lineRule="exact"/>
        <w:ind w:firstLine="120" w:firstLineChars="50"/>
        <w:rPr>
          <w:rFonts w:ascii="宋体" w:hAnsi="宋体"/>
          <w:color w:val="auto"/>
        </w:rPr>
      </w:pPr>
      <w:r>
        <w:rPr>
          <w:rFonts w:hint="eastAsia" w:ascii="宋体" w:hAnsi="宋体"/>
          <w:color w:val="auto"/>
        </w:rPr>
        <w:t>《钢筋机械连接通用技术规程》  JGJ107-2016</w:t>
      </w:r>
    </w:p>
    <w:p>
      <w:pPr>
        <w:spacing w:line="480" w:lineRule="exact"/>
        <w:ind w:firstLine="120" w:firstLineChars="50"/>
        <w:rPr>
          <w:rFonts w:ascii="宋体" w:hAnsi="宋体"/>
          <w:color w:val="auto"/>
        </w:rPr>
      </w:pPr>
      <w:r>
        <w:rPr>
          <w:rFonts w:hint="eastAsia" w:ascii="宋体" w:hAnsi="宋体"/>
          <w:color w:val="auto"/>
        </w:rPr>
        <w:t>《建筑钢结构焊接规程》JGJ81-2001、J218-2002</w:t>
      </w:r>
    </w:p>
    <w:p>
      <w:pPr>
        <w:spacing w:line="480" w:lineRule="exact"/>
        <w:ind w:firstLine="120" w:firstLineChars="50"/>
        <w:rPr>
          <w:rFonts w:ascii="宋体" w:hAnsi="宋体"/>
          <w:color w:val="auto"/>
        </w:rPr>
      </w:pPr>
      <w:r>
        <w:rPr>
          <w:rFonts w:hint="eastAsia" w:ascii="宋体" w:hAnsi="宋体"/>
          <w:color w:val="auto"/>
        </w:rPr>
        <w:t>《火电厂焊接技术规程》  DL/T  869</w:t>
      </w:r>
    </w:p>
    <w:p>
      <w:pPr>
        <w:spacing w:line="480" w:lineRule="exact"/>
        <w:ind w:firstLine="120" w:firstLineChars="50"/>
        <w:rPr>
          <w:rFonts w:ascii="宋体" w:hAnsi="宋体"/>
          <w:color w:val="auto"/>
        </w:rPr>
      </w:pPr>
      <w:r>
        <w:rPr>
          <w:rFonts w:hint="eastAsia" w:ascii="宋体" w:hAnsi="宋体"/>
          <w:color w:val="auto"/>
        </w:rPr>
        <w:t>《钢筋焊接及验收规程》JGJ18-2012</w:t>
      </w:r>
    </w:p>
    <w:p>
      <w:pPr>
        <w:spacing w:line="480" w:lineRule="exact"/>
        <w:ind w:firstLine="120" w:firstLineChars="50"/>
        <w:rPr>
          <w:rFonts w:ascii="宋体" w:hAnsi="宋体"/>
          <w:color w:val="auto"/>
        </w:rPr>
      </w:pPr>
      <w:r>
        <w:rPr>
          <w:rFonts w:hint="eastAsia" w:ascii="宋体" w:hAnsi="宋体"/>
          <w:color w:val="auto"/>
        </w:rPr>
        <w:t>《建筑基坑工程监测技术规范》(GB50497-2009)</w:t>
      </w:r>
    </w:p>
    <w:p>
      <w:pPr>
        <w:spacing w:line="480" w:lineRule="exact"/>
        <w:ind w:firstLine="120" w:firstLineChars="50"/>
        <w:rPr>
          <w:rFonts w:ascii="宋体" w:hAnsi="宋体"/>
          <w:color w:val="auto"/>
        </w:rPr>
      </w:pPr>
      <w:r>
        <w:rPr>
          <w:rFonts w:hint="eastAsia" w:ascii="宋体" w:hAnsi="宋体"/>
          <w:color w:val="auto"/>
        </w:rPr>
        <w:t>《建筑基坑支护技术规程》(DB11/489-2012)</w:t>
      </w:r>
    </w:p>
    <w:p>
      <w:pPr>
        <w:tabs>
          <w:tab w:val="left" w:pos="425"/>
          <w:tab w:val="left" w:pos="454"/>
        </w:tabs>
        <w:spacing w:line="480" w:lineRule="exact"/>
        <w:ind w:firstLine="241"/>
        <w:rPr>
          <w:b/>
          <w:bCs/>
          <w:color w:val="auto"/>
          <w:szCs w:val="32"/>
        </w:rPr>
      </w:pPr>
      <w:r>
        <w:rPr>
          <w:rFonts w:hint="eastAsia"/>
          <w:b/>
          <w:bCs/>
          <w:color w:val="auto"/>
          <w:szCs w:val="32"/>
          <w:lang w:val="en-US" w:eastAsia="zh-CN"/>
        </w:rPr>
        <w:t>4</w:t>
      </w:r>
      <w:r>
        <w:rPr>
          <w:b/>
          <w:bCs/>
          <w:color w:val="auto"/>
          <w:szCs w:val="32"/>
        </w:rPr>
        <w:t>.4</w:t>
      </w:r>
      <w:r>
        <w:rPr>
          <w:rFonts w:hint="eastAsia"/>
          <w:b/>
          <w:bCs/>
          <w:color w:val="auto"/>
          <w:szCs w:val="32"/>
        </w:rPr>
        <w:t>蒸汽管道</w:t>
      </w:r>
    </w:p>
    <w:p>
      <w:pPr>
        <w:spacing w:line="480" w:lineRule="exact"/>
        <w:ind w:firstLine="120" w:firstLineChars="50"/>
        <w:rPr>
          <w:rFonts w:ascii="宋体" w:hAnsi="宋体"/>
          <w:color w:val="auto"/>
        </w:rPr>
      </w:pPr>
      <w:r>
        <w:rPr>
          <w:rFonts w:hint="eastAsia" w:ascii="宋体" w:hAnsi="宋体"/>
          <w:color w:val="auto"/>
        </w:rPr>
        <w:t>《火力发电厂保温材料技术条件》</w:t>
      </w:r>
      <w:r>
        <w:rPr>
          <w:rFonts w:ascii="宋体" w:hAnsi="宋体"/>
          <w:color w:val="auto"/>
        </w:rPr>
        <w:t>DL/T776-20</w:t>
      </w:r>
      <w:r>
        <w:rPr>
          <w:rFonts w:hint="eastAsia" w:ascii="宋体" w:hAnsi="宋体"/>
          <w:color w:val="auto"/>
        </w:rPr>
        <w:t>12</w:t>
      </w:r>
    </w:p>
    <w:p>
      <w:pPr>
        <w:spacing w:line="480" w:lineRule="exact"/>
        <w:ind w:firstLine="120" w:firstLineChars="50"/>
        <w:rPr>
          <w:rFonts w:ascii="宋体" w:hAnsi="宋体"/>
          <w:color w:val="auto"/>
        </w:rPr>
      </w:pPr>
      <w:r>
        <w:rPr>
          <w:rFonts w:hint="eastAsia" w:ascii="宋体" w:hAnsi="宋体"/>
          <w:color w:val="auto"/>
        </w:rPr>
        <w:t>《火力发电厂锅炉耐火材料技术条件》</w:t>
      </w:r>
      <w:r>
        <w:rPr>
          <w:rFonts w:ascii="宋体" w:hAnsi="宋体"/>
          <w:color w:val="auto"/>
        </w:rPr>
        <w:t>DL/T777-20</w:t>
      </w:r>
      <w:r>
        <w:rPr>
          <w:rFonts w:hint="eastAsia" w:ascii="宋体" w:hAnsi="宋体"/>
          <w:color w:val="auto"/>
        </w:rPr>
        <w:t>12</w:t>
      </w:r>
    </w:p>
    <w:p>
      <w:pPr>
        <w:spacing w:line="480" w:lineRule="exact"/>
        <w:ind w:firstLine="120" w:firstLineChars="50"/>
        <w:rPr>
          <w:rFonts w:ascii="宋体" w:hAnsi="宋体"/>
          <w:color w:val="auto"/>
        </w:rPr>
      </w:pPr>
      <w:r>
        <w:rPr>
          <w:rFonts w:hint="eastAsia" w:ascii="宋体" w:hAnsi="宋体"/>
          <w:color w:val="auto"/>
        </w:rPr>
        <w:t>《火力发电厂保温材料技术条件》</w:t>
      </w:r>
      <w:r>
        <w:rPr>
          <w:rFonts w:ascii="宋体" w:hAnsi="宋体"/>
          <w:color w:val="auto"/>
        </w:rPr>
        <w:t>DL/T776-20</w:t>
      </w:r>
      <w:r>
        <w:rPr>
          <w:rFonts w:hint="eastAsia" w:ascii="宋体" w:hAnsi="宋体"/>
          <w:color w:val="auto"/>
        </w:rPr>
        <w:t>12</w:t>
      </w:r>
    </w:p>
    <w:p>
      <w:pPr>
        <w:spacing w:line="480" w:lineRule="exact"/>
        <w:ind w:firstLine="120" w:firstLineChars="50"/>
        <w:rPr>
          <w:rFonts w:ascii="宋体" w:hAnsi="宋体"/>
          <w:color w:val="auto"/>
        </w:rPr>
      </w:pPr>
      <w:r>
        <w:rPr>
          <w:rFonts w:hint="eastAsia" w:ascii="宋体" w:hAnsi="宋体"/>
          <w:color w:val="auto"/>
        </w:rPr>
        <w:t>《火力发电厂焊接技术规程》</w:t>
      </w:r>
      <w:r>
        <w:rPr>
          <w:rFonts w:ascii="宋体" w:hAnsi="宋体"/>
          <w:color w:val="auto"/>
        </w:rPr>
        <w:t>DL/T869-20</w:t>
      </w:r>
      <w:r>
        <w:rPr>
          <w:rFonts w:hint="eastAsia" w:ascii="宋体" w:hAnsi="宋体"/>
          <w:color w:val="auto"/>
        </w:rPr>
        <w:t>1</w:t>
      </w:r>
      <w:r>
        <w:rPr>
          <w:rFonts w:ascii="宋体" w:hAnsi="宋体"/>
          <w:color w:val="auto"/>
        </w:rPr>
        <w:t>4</w:t>
      </w:r>
    </w:p>
    <w:p>
      <w:pPr>
        <w:spacing w:line="480" w:lineRule="exact"/>
        <w:ind w:firstLine="120" w:firstLineChars="50"/>
        <w:rPr>
          <w:rFonts w:ascii="宋体" w:hAnsi="宋体"/>
          <w:color w:val="auto"/>
        </w:rPr>
      </w:pPr>
      <w:r>
        <w:rPr>
          <w:rFonts w:hint="eastAsia" w:ascii="宋体" w:hAnsi="宋体"/>
          <w:color w:val="auto"/>
        </w:rPr>
        <w:t>《电力工业锅炉压力容器监察规程》</w:t>
      </w:r>
      <w:r>
        <w:rPr>
          <w:rFonts w:ascii="宋体" w:hAnsi="宋体"/>
          <w:color w:val="auto"/>
        </w:rPr>
        <w:t>DL612-1996</w:t>
      </w:r>
    </w:p>
    <w:p>
      <w:pPr>
        <w:spacing w:line="480" w:lineRule="exact"/>
        <w:ind w:firstLine="120" w:firstLineChars="50"/>
        <w:rPr>
          <w:rFonts w:ascii="宋体" w:hAnsi="宋体"/>
          <w:color w:val="auto"/>
        </w:rPr>
      </w:pPr>
      <w:r>
        <w:rPr>
          <w:rFonts w:hint="eastAsia" w:ascii="宋体" w:hAnsi="宋体"/>
          <w:color w:val="auto"/>
        </w:rPr>
        <w:t>《电力建设施工及验收技术规范》（管道篇）</w:t>
      </w:r>
      <w:r>
        <w:rPr>
          <w:rFonts w:ascii="宋体" w:hAnsi="宋体"/>
          <w:color w:val="auto"/>
        </w:rPr>
        <w:t>DL5031-</w:t>
      </w:r>
      <w:r>
        <w:rPr>
          <w:rFonts w:hint="eastAsia" w:ascii="宋体" w:hAnsi="宋体"/>
          <w:color w:val="auto"/>
        </w:rPr>
        <w:t>2012</w:t>
      </w:r>
    </w:p>
    <w:p>
      <w:pPr>
        <w:spacing w:line="480" w:lineRule="exact"/>
        <w:ind w:firstLine="120" w:firstLineChars="50"/>
        <w:rPr>
          <w:rFonts w:ascii="宋体" w:hAnsi="宋体"/>
          <w:color w:val="auto"/>
        </w:rPr>
      </w:pPr>
      <w:r>
        <w:rPr>
          <w:rFonts w:hint="eastAsia" w:ascii="宋体" w:hAnsi="宋体"/>
          <w:color w:val="auto"/>
        </w:rPr>
        <w:t>《电力建设施工及验收技术规范》</w:t>
      </w:r>
      <w:r>
        <w:rPr>
          <w:rFonts w:ascii="宋体" w:hAnsi="宋体"/>
          <w:color w:val="auto"/>
        </w:rPr>
        <w:t>(</w:t>
      </w:r>
      <w:r>
        <w:rPr>
          <w:rFonts w:hint="eastAsia" w:ascii="宋体" w:hAnsi="宋体"/>
          <w:color w:val="auto"/>
        </w:rPr>
        <w:t>火力发电厂焊接篇</w:t>
      </w:r>
      <w:r>
        <w:rPr>
          <w:rFonts w:ascii="宋体" w:hAnsi="宋体"/>
          <w:color w:val="auto"/>
        </w:rPr>
        <w:t>)DL5007-92</w:t>
      </w:r>
    </w:p>
    <w:p>
      <w:pPr>
        <w:spacing w:line="480" w:lineRule="exact"/>
        <w:ind w:firstLine="120" w:firstLineChars="50"/>
        <w:rPr>
          <w:rFonts w:ascii="宋体" w:hAnsi="宋体"/>
          <w:color w:val="auto"/>
        </w:rPr>
      </w:pPr>
      <w:r>
        <w:rPr>
          <w:rFonts w:hint="eastAsia" w:ascii="宋体" w:hAnsi="宋体"/>
          <w:color w:val="auto"/>
        </w:rPr>
        <w:t>《电力建设施工及验收技术规范》</w:t>
      </w:r>
      <w:r>
        <w:rPr>
          <w:rFonts w:ascii="宋体" w:hAnsi="宋体"/>
          <w:color w:val="auto"/>
        </w:rPr>
        <w:t>(</w:t>
      </w:r>
      <w:r>
        <w:rPr>
          <w:rFonts w:hint="eastAsia" w:ascii="宋体" w:hAnsi="宋体"/>
          <w:color w:val="auto"/>
        </w:rPr>
        <w:t>钢制承压管道对接焊头射线检验篇</w:t>
      </w:r>
      <w:r>
        <w:rPr>
          <w:rFonts w:ascii="宋体" w:hAnsi="宋体"/>
          <w:color w:val="auto"/>
        </w:rPr>
        <w:t>)DL/T5069-1996</w:t>
      </w:r>
    </w:p>
    <w:p>
      <w:pPr>
        <w:spacing w:line="480" w:lineRule="exact"/>
        <w:ind w:firstLine="120" w:firstLineChars="50"/>
        <w:rPr>
          <w:rFonts w:ascii="宋体" w:hAnsi="宋体"/>
          <w:color w:val="auto"/>
        </w:rPr>
      </w:pPr>
      <w:r>
        <w:rPr>
          <w:rFonts w:hint="eastAsia" w:ascii="宋体" w:hAnsi="宋体"/>
          <w:color w:val="auto"/>
        </w:rPr>
        <w:t>《电力建设施工及验收技术规范》</w:t>
      </w:r>
      <w:r>
        <w:rPr>
          <w:rFonts w:ascii="宋体" w:hAnsi="宋体"/>
          <w:color w:val="auto"/>
        </w:rPr>
        <w:t>(</w:t>
      </w:r>
      <w:r>
        <w:rPr>
          <w:rFonts w:hint="eastAsia" w:ascii="宋体" w:hAnsi="宋体"/>
          <w:color w:val="auto"/>
        </w:rPr>
        <w:t>管道焊缝超声波检验篇</w:t>
      </w:r>
      <w:r>
        <w:rPr>
          <w:rFonts w:ascii="宋体" w:hAnsi="宋体"/>
          <w:color w:val="auto"/>
        </w:rPr>
        <w:t>)DL/T5048-95</w:t>
      </w:r>
    </w:p>
    <w:p>
      <w:pPr>
        <w:spacing w:line="480" w:lineRule="exact"/>
        <w:ind w:firstLine="120" w:firstLineChars="50"/>
        <w:rPr>
          <w:rFonts w:ascii="宋体" w:hAnsi="宋体"/>
          <w:color w:val="auto"/>
        </w:rPr>
      </w:pPr>
      <w:r>
        <w:rPr>
          <w:rFonts w:hint="eastAsia" w:ascii="宋体" w:hAnsi="宋体" w:cs="Tahoma"/>
          <w:color w:val="auto"/>
          <w:kern w:val="0"/>
        </w:rPr>
        <w:t>《电力建设施工技术规范 第5部分：管道及系统》DL 5190.5-2012</w:t>
      </w:r>
    </w:p>
    <w:p>
      <w:pPr>
        <w:spacing w:line="480" w:lineRule="exact"/>
        <w:ind w:firstLine="120" w:firstLineChars="50"/>
        <w:rPr>
          <w:rFonts w:ascii="宋体" w:hAnsi="宋体"/>
          <w:color w:val="auto"/>
        </w:rPr>
      </w:pPr>
      <w:r>
        <w:rPr>
          <w:rFonts w:hint="eastAsia" w:ascii="宋体" w:hAnsi="宋体"/>
          <w:color w:val="auto"/>
        </w:rPr>
        <w:t>《火力发电厂焊接技术规程》</w:t>
      </w:r>
      <w:r>
        <w:rPr>
          <w:rFonts w:ascii="宋体" w:hAnsi="宋体"/>
          <w:color w:val="auto"/>
        </w:rPr>
        <w:t>DL/T869</w:t>
      </w:r>
      <w:r>
        <w:rPr>
          <w:rFonts w:hint="eastAsia" w:ascii="宋体" w:hAnsi="宋体"/>
          <w:color w:val="auto"/>
        </w:rPr>
        <w:t>－</w:t>
      </w:r>
      <w:r>
        <w:rPr>
          <w:rFonts w:ascii="宋体" w:hAnsi="宋体"/>
          <w:color w:val="auto"/>
        </w:rPr>
        <w:t>20</w:t>
      </w:r>
      <w:r>
        <w:rPr>
          <w:rFonts w:hint="eastAsia" w:ascii="宋体" w:hAnsi="宋体"/>
          <w:color w:val="auto"/>
        </w:rPr>
        <w:t>12</w:t>
      </w:r>
    </w:p>
    <w:p>
      <w:pPr>
        <w:spacing w:line="480" w:lineRule="exact"/>
        <w:ind w:firstLine="120" w:firstLineChars="50"/>
        <w:rPr>
          <w:rFonts w:ascii="宋体" w:hAnsi="宋体"/>
          <w:color w:val="auto"/>
        </w:rPr>
      </w:pPr>
      <w:r>
        <w:rPr>
          <w:rFonts w:hint="eastAsia" w:ascii="宋体" w:hAnsi="宋体"/>
          <w:color w:val="auto"/>
        </w:rPr>
        <w:t>《市政基础设施工程资料管理规程》(DB11/T808-2011)</w:t>
      </w:r>
    </w:p>
    <w:p>
      <w:pPr>
        <w:spacing w:line="480" w:lineRule="exact"/>
        <w:ind w:firstLine="120" w:firstLineChars="50"/>
        <w:rPr>
          <w:rFonts w:ascii="宋体" w:hAnsi="宋体"/>
          <w:color w:val="auto"/>
        </w:rPr>
      </w:pPr>
      <w:r>
        <w:rPr>
          <w:rFonts w:hint="eastAsia" w:ascii="宋体" w:hAnsi="宋体"/>
          <w:color w:val="auto"/>
        </w:rPr>
        <w:t>《城镇供热管网工程施工及验收规范》(CJJ28-2014)</w:t>
      </w:r>
    </w:p>
    <w:p>
      <w:pPr>
        <w:spacing w:line="480" w:lineRule="exact"/>
        <w:ind w:firstLine="120" w:firstLineChars="50"/>
        <w:rPr>
          <w:rFonts w:ascii="宋体" w:hAnsi="宋体"/>
          <w:color w:val="auto"/>
        </w:rPr>
      </w:pPr>
      <w:r>
        <w:rPr>
          <w:rFonts w:hint="eastAsia" w:ascii="宋体" w:hAnsi="宋体"/>
          <w:color w:val="auto"/>
        </w:rPr>
        <w:t>《现场设备、工业管道焊接工程施工质量验收规范》(GB50683-2011)</w:t>
      </w:r>
    </w:p>
    <w:p>
      <w:pPr>
        <w:rPr>
          <w:rFonts w:ascii="宋体" w:hAnsi="宋体"/>
          <w:color w:val="auto"/>
          <w:kern w:val="0"/>
        </w:rPr>
      </w:pPr>
      <w:r>
        <w:rPr>
          <w:rFonts w:hint="eastAsia" w:ascii="宋体" w:hAnsi="宋体"/>
          <w:color w:val="auto"/>
        </w:rPr>
        <w:t>有关建筑材料质量标准与管理规程；有关建筑材料试验规程、规范和评定标准；主管部门对相关规程、规范的补充规定和解释说明及其它相关标准；以上标准若有新的标准则执行新标准，替代原有标准。</w:t>
      </w:r>
    </w:p>
    <w:p/>
    <w:p>
      <w:pPr>
        <w:pStyle w:val="3"/>
        <w:numPr>
          <w:ilvl w:val="0"/>
          <w:numId w:val="3"/>
        </w:numPr>
        <w:adjustRightInd w:val="0"/>
        <w:spacing w:line="360" w:lineRule="auto"/>
        <w:rPr>
          <w:color w:val="auto"/>
          <w:sz w:val="28"/>
          <w:szCs w:val="28"/>
        </w:rPr>
      </w:pPr>
      <w:r>
        <w:rPr>
          <w:rFonts w:hint="eastAsia"/>
          <w:color w:val="auto"/>
          <w:sz w:val="28"/>
          <w:szCs w:val="28"/>
          <w:lang w:val="en-US" w:eastAsia="zh-CN"/>
        </w:rPr>
        <w:t>服务范围</w:t>
      </w:r>
      <w:r>
        <w:rPr>
          <w:rFonts w:hint="eastAsia"/>
          <w:color w:val="auto"/>
          <w:sz w:val="28"/>
          <w:szCs w:val="28"/>
        </w:rPr>
        <w:t>及内容</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pPr>
        <w:pStyle w:val="4"/>
        <w:numPr>
          <w:ilvl w:val="-1"/>
          <w:numId w:val="0"/>
        </w:numPr>
        <w:tabs>
          <w:tab w:val="left" w:pos="0"/>
        </w:tabs>
        <w:adjustRightInd w:val="0"/>
        <w:snapToGrid w:val="0"/>
        <w:rPr>
          <w:color w:val="auto"/>
        </w:rPr>
      </w:pPr>
      <w:bookmarkStart w:id="87" w:name="_Toc3403"/>
      <w:bookmarkStart w:id="88" w:name="_Toc7744"/>
      <w:bookmarkStart w:id="89" w:name="_Toc6764"/>
      <w:bookmarkStart w:id="90" w:name="_Toc1182"/>
      <w:bookmarkStart w:id="91" w:name="_Toc18395"/>
      <w:bookmarkStart w:id="92" w:name="_Toc2353"/>
      <w:bookmarkStart w:id="93" w:name="_Toc19650"/>
      <w:bookmarkStart w:id="94" w:name="_Toc9339"/>
      <w:bookmarkStart w:id="95" w:name="_Toc19617"/>
      <w:bookmarkStart w:id="96" w:name="_Toc28497"/>
      <w:bookmarkStart w:id="97" w:name="_Toc14083"/>
      <w:bookmarkStart w:id="98" w:name="_Toc181362482"/>
      <w:bookmarkStart w:id="99" w:name="_Toc25739"/>
      <w:bookmarkStart w:id="100" w:name="_Toc8609"/>
      <w:bookmarkStart w:id="101" w:name="_Toc21014"/>
      <w:bookmarkStart w:id="102" w:name="_Toc181361826"/>
      <w:bookmarkStart w:id="103" w:name="_Toc1520"/>
      <w:bookmarkStart w:id="104" w:name="_Toc19962"/>
      <w:bookmarkStart w:id="105" w:name="_Toc7809"/>
      <w:bookmarkStart w:id="106" w:name="_Toc32466"/>
      <w:bookmarkStart w:id="107" w:name="_Toc12058"/>
      <w:r>
        <w:rPr>
          <w:rFonts w:hint="eastAsia"/>
          <w:color w:val="auto"/>
          <w:lang w:val="en-US" w:eastAsia="zh-CN"/>
        </w:rPr>
        <w:t>5.1</w:t>
      </w:r>
      <w:r>
        <w:rPr>
          <w:rFonts w:hint="eastAsia"/>
          <w:color w:val="auto"/>
        </w:rPr>
        <w:t>工作界面</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pPr>
        <w:pStyle w:val="5"/>
        <w:rPr>
          <w:color w:val="auto"/>
          <w:highlight w:val="yellow"/>
        </w:rPr>
      </w:pPr>
      <w:r>
        <w:rPr>
          <w:rFonts w:hint="eastAsia"/>
          <w:color w:val="auto"/>
        </w:rPr>
        <w:t>广州市第六资源热力电厂对外集中供热项目全过程监理服务，包括但不限于工程施工和保修期间的质量、进度、</w:t>
      </w:r>
      <w:r>
        <w:rPr>
          <w:rFonts w:hint="eastAsia"/>
          <w:color w:val="auto"/>
          <w:lang w:val="en-US" w:eastAsia="zh-CN"/>
        </w:rPr>
        <w:t>安全管理、</w:t>
      </w:r>
      <w:r>
        <w:rPr>
          <w:rFonts w:hint="eastAsia"/>
          <w:color w:val="auto"/>
        </w:rPr>
        <w:t>投资控制、施工管理、合同管理、工程造价审核、合同管理、信息管理，协调各参建方的协作关系，对施工期间的安全施工质量进行管控。</w:t>
      </w:r>
    </w:p>
    <w:p>
      <w:pPr>
        <w:pStyle w:val="4"/>
        <w:numPr>
          <w:ilvl w:val="-1"/>
          <w:numId w:val="0"/>
        </w:numPr>
        <w:tabs>
          <w:tab w:val="left" w:pos="0"/>
        </w:tabs>
        <w:adjustRightInd w:val="0"/>
        <w:snapToGrid w:val="0"/>
        <w:rPr>
          <w:color w:val="auto"/>
        </w:rPr>
      </w:pPr>
      <w:bookmarkStart w:id="108" w:name="_Toc27887"/>
      <w:bookmarkStart w:id="109" w:name="_Toc18828"/>
      <w:bookmarkStart w:id="110" w:name="_Toc3931"/>
      <w:bookmarkStart w:id="111" w:name="_Toc6331"/>
      <w:bookmarkStart w:id="112" w:name="_Toc3810"/>
      <w:bookmarkStart w:id="113" w:name="_Toc9628"/>
      <w:bookmarkStart w:id="114" w:name="_Toc181361827"/>
      <w:bookmarkStart w:id="115" w:name="_Toc30355"/>
      <w:bookmarkStart w:id="116" w:name="_Toc5609"/>
      <w:bookmarkStart w:id="117" w:name="_Toc28509"/>
      <w:bookmarkStart w:id="118" w:name="_Toc31166"/>
      <w:bookmarkStart w:id="119" w:name="_Toc13560"/>
      <w:bookmarkStart w:id="120" w:name="_Toc19199"/>
      <w:bookmarkStart w:id="121" w:name="_Toc26748"/>
      <w:bookmarkStart w:id="122" w:name="_Toc14647"/>
      <w:bookmarkStart w:id="123" w:name="_Toc20966"/>
      <w:bookmarkStart w:id="124" w:name="_Toc16008"/>
      <w:bookmarkStart w:id="125" w:name="_Toc181362483"/>
      <w:bookmarkStart w:id="126" w:name="_Toc32339"/>
      <w:bookmarkStart w:id="127" w:name="_Toc14887"/>
      <w:bookmarkStart w:id="128" w:name="_Toc15001"/>
      <w:bookmarkStart w:id="129" w:name="_Toc474485868"/>
      <w:r>
        <w:rPr>
          <w:rFonts w:hint="eastAsia"/>
          <w:color w:val="auto"/>
          <w:lang w:val="en-US" w:eastAsia="zh-CN"/>
        </w:rPr>
        <w:t>5.2</w:t>
      </w:r>
      <w:r>
        <w:rPr>
          <w:rFonts w:hint="eastAsia"/>
          <w:color w:val="auto"/>
        </w:rPr>
        <w:t>工作内容</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pPr>
        <w:tabs>
          <w:tab w:val="left" w:pos="0"/>
        </w:tabs>
        <w:adjustRightInd w:val="0"/>
        <w:snapToGrid w:val="0"/>
        <w:ind w:firstLine="480" w:firstLineChars="200"/>
        <w:rPr>
          <w:rFonts w:ascii="宋体" w:cs="Arial"/>
          <w:color w:val="auto"/>
        </w:rPr>
      </w:pPr>
      <w:r>
        <w:rPr>
          <w:rFonts w:hint="eastAsia" w:ascii="宋体" w:cs="Arial"/>
          <w:color w:val="auto"/>
        </w:rPr>
        <w:t>广州市第六资源热力电厂对外集中供热项目供热管道基础施工，基坑施工，顶管施工、管道铺设、管件安装、设备安装、管道焊口焊接、保温工程等工程技术咨询、技术监督检查、施工安全质量管理和保修阶段各项管理；</w:t>
      </w:r>
    </w:p>
    <w:p>
      <w:pPr>
        <w:tabs>
          <w:tab w:val="left" w:pos="0"/>
        </w:tabs>
        <w:adjustRightInd w:val="0"/>
        <w:snapToGrid w:val="0"/>
        <w:ind w:firstLine="480" w:firstLineChars="200"/>
        <w:rPr>
          <w:rFonts w:ascii="宋体" w:cs="Arial"/>
          <w:color w:val="auto"/>
          <w:highlight w:val="yellow"/>
        </w:rPr>
      </w:pPr>
      <w:r>
        <w:rPr>
          <w:rFonts w:hint="eastAsia" w:ascii="宋体" w:cs="Arial"/>
          <w:color w:val="auto"/>
        </w:rPr>
        <w:t>在需求书编制执行过程中，如发现有任何漏项和短缺，但在报价方的监理范围中并未列入而且确实是在报价方监理范围中应该有的工作内容，仍就由报价方负责完成，并不增加费用。</w:t>
      </w:r>
    </w:p>
    <w:bookmarkEnd w:id="129"/>
    <w:p>
      <w:pPr>
        <w:pStyle w:val="4"/>
        <w:numPr>
          <w:ilvl w:val="-1"/>
          <w:numId w:val="0"/>
        </w:numPr>
        <w:tabs>
          <w:tab w:val="left" w:pos="0"/>
        </w:tabs>
        <w:adjustRightInd w:val="0"/>
        <w:snapToGrid w:val="0"/>
        <w:rPr>
          <w:color w:val="auto"/>
        </w:rPr>
      </w:pPr>
      <w:bookmarkStart w:id="130" w:name="_Toc32032"/>
      <w:bookmarkStart w:id="131" w:name="_Toc20850"/>
      <w:bookmarkStart w:id="132" w:name="_Toc14510"/>
      <w:bookmarkStart w:id="133" w:name="_Toc1665"/>
      <w:bookmarkStart w:id="134" w:name="_Toc181361828"/>
      <w:bookmarkStart w:id="135" w:name="_Toc10177"/>
      <w:bookmarkStart w:id="136" w:name="_Toc181362484"/>
      <w:bookmarkStart w:id="137" w:name="_Toc5933"/>
      <w:bookmarkStart w:id="138" w:name="_Toc10826"/>
      <w:bookmarkStart w:id="139" w:name="_Toc22177"/>
      <w:bookmarkStart w:id="140" w:name="_Toc1925"/>
      <w:bookmarkStart w:id="141" w:name="_Toc23085"/>
      <w:bookmarkStart w:id="142" w:name="_Toc2017"/>
      <w:bookmarkStart w:id="143" w:name="_Toc2571"/>
      <w:bookmarkStart w:id="144" w:name="_Toc4683"/>
      <w:bookmarkStart w:id="145" w:name="_Toc20849"/>
      <w:bookmarkStart w:id="146" w:name="_Toc2702"/>
      <w:bookmarkStart w:id="147" w:name="_Toc5175"/>
      <w:bookmarkStart w:id="148" w:name="_Toc26153"/>
      <w:bookmarkStart w:id="149" w:name="_Toc12143"/>
      <w:bookmarkStart w:id="150" w:name="_Toc5013"/>
      <w:r>
        <w:rPr>
          <w:rFonts w:hint="eastAsia"/>
          <w:color w:val="auto"/>
          <w:lang w:val="en-US" w:eastAsia="zh-CN"/>
        </w:rPr>
        <w:t>5.3</w:t>
      </w:r>
      <w:r>
        <w:rPr>
          <w:rFonts w:hint="eastAsia"/>
          <w:color w:val="auto"/>
        </w:rPr>
        <w:t>主要工作范围</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p>
    <w:p>
      <w:pPr>
        <w:pStyle w:val="5"/>
        <w:ind w:firstLine="0"/>
        <w:rPr>
          <w:color w:val="auto"/>
        </w:rPr>
      </w:pPr>
      <w:r>
        <w:rPr>
          <w:rFonts w:hint="eastAsia"/>
          <w:color w:val="auto"/>
          <w:lang w:val="en-US" w:eastAsia="zh-CN"/>
        </w:rPr>
        <w:t>5</w:t>
      </w:r>
      <w:r>
        <w:rPr>
          <w:rFonts w:hint="eastAsia"/>
          <w:color w:val="auto"/>
        </w:rPr>
        <w:t>.3.1监理服务单位必须提供广州市第六资源热力电厂对外集中供热项目监理服务进行全过程的高质量监理服务。全过程监理是指：监理服务工作包括本工程的合同签订、项目启动、勘察设计、施工准备、项目实施（检验、验收）、材料供货、土建施工、管道安装、吹管调试、资料交付、安全文明施工、竣工结算、配合系统试运和相关性能试验、工程最终验收及工程保修期满为止等。</w:t>
      </w:r>
    </w:p>
    <w:p>
      <w:pPr>
        <w:pStyle w:val="5"/>
        <w:ind w:firstLine="0"/>
        <w:rPr>
          <w:color w:val="auto"/>
        </w:rPr>
      </w:pPr>
      <w:r>
        <w:rPr>
          <w:rFonts w:hint="eastAsia"/>
          <w:color w:val="auto"/>
          <w:lang w:val="en-US" w:eastAsia="zh-CN"/>
        </w:rPr>
        <w:t>5</w:t>
      </w:r>
      <w:r>
        <w:rPr>
          <w:rFonts w:hint="eastAsia"/>
          <w:color w:val="auto"/>
        </w:rPr>
        <w:t>.3.2监理公司必须完成以下服务（包括但不限于）：</w:t>
      </w:r>
    </w:p>
    <w:p>
      <w:pPr>
        <w:pStyle w:val="5"/>
        <w:rPr>
          <w:color w:val="auto"/>
        </w:rPr>
      </w:pPr>
      <w:r>
        <w:rPr>
          <w:rFonts w:hint="eastAsia"/>
          <w:color w:val="auto"/>
          <w:lang w:eastAsia="zh-CN"/>
        </w:rPr>
        <w:t>（</w:t>
      </w:r>
      <w:r>
        <w:rPr>
          <w:rFonts w:hint="eastAsia"/>
          <w:color w:val="auto"/>
          <w:lang w:val="en-US" w:eastAsia="zh-CN"/>
        </w:rPr>
        <w:t>1</w:t>
      </w:r>
      <w:r>
        <w:rPr>
          <w:rFonts w:hint="eastAsia"/>
          <w:color w:val="auto"/>
          <w:lang w:eastAsia="zh-CN"/>
        </w:rPr>
        <w:t>）</w:t>
      </w:r>
      <w:r>
        <w:rPr>
          <w:rFonts w:hint="eastAsia"/>
          <w:color w:val="auto"/>
        </w:rPr>
        <w:t>参与项目现场勘查和需求调研；</w:t>
      </w:r>
      <w:r>
        <w:rPr>
          <w:rFonts w:hint="eastAsia"/>
          <w:color w:val="auto"/>
        </w:rPr>
        <w:tab/>
      </w:r>
    </w:p>
    <w:p>
      <w:pPr>
        <w:pStyle w:val="5"/>
        <w:rPr>
          <w:color w:val="auto"/>
        </w:rPr>
      </w:pPr>
      <w:r>
        <w:rPr>
          <w:rFonts w:hint="eastAsia"/>
          <w:color w:val="auto"/>
          <w:lang w:eastAsia="zh-CN"/>
        </w:rPr>
        <w:t>（</w:t>
      </w:r>
      <w:r>
        <w:rPr>
          <w:rFonts w:hint="eastAsia"/>
          <w:color w:val="auto"/>
          <w:lang w:val="en-US" w:eastAsia="zh-CN"/>
        </w:rPr>
        <w:t>2</w:t>
      </w:r>
      <w:r>
        <w:rPr>
          <w:rFonts w:hint="eastAsia"/>
          <w:color w:val="auto"/>
          <w:lang w:eastAsia="zh-CN"/>
        </w:rPr>
        <w:t>）</w:t>
      </w:r>
      <w:r>
        <w:rPr>
          <w:rFonts w:hint="eastAsia"/>
          <w:color w:val="auto"/>
        </w:rPr>
        <w:t>开展勘察设计阶段的相关服务，勘察阶段监理服务；</w:t>
      </w:r>
    </w:p>
    <w:p>
      <w:pPr>
        <w:pStyle w:val="5"/>
        <w:rPr>
          <w:color w:val="auto"/>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rPr>
        <w:t>督促各方做好施工前的准备工作；</w:t>
      </w:r>
    </w:p>
    <w:p>
      <w:pPr>
        <w:pStyle w:val="5"/>
        <w:rPr>
          <w:color w:val="auto"/>
        </w:rPr>
      </w:pPr>
      <w:r>
        <w:rPr>
          <w:rFonts w:hint="eastAsia"/>
          <w:color w:val="auto"/>
          <w:lang w:eastAsia="zh-CN"/>
        </w:rPr>
        <w:t>（</w:t>
      </w:r>
      <w:r>
        <w:rPr>
          <w:rFonts w:hint="eastAsia"/>
          <w:color w:val="auto"/>
          <w:lang w:val="en-US" w:eastAsia="zh-CN"/>
        </w:rPr>
        <w:t>4</w:t>
      </w:r>
      <w:r>
        <w:rPr>
          <w:rFonts w:hint="eastAsia"/>
          <w:color w:val="auto"/>
          <w:lang w:eastAsia="zh-CN"/>
        </w:rPr>
        <w:t>）</w:t>
      </w:r>
      <w:r>
        <w:rPr>
          <w:rFonts w:hint="eastAsia"/>
          <w:color w:val="auto"/>
        </w:rPr>
        <w:t>对建设全过程实施施工工程监理；</w:t>
      </w:r>
    </w:p>
    <w:p>
      <w:pPr>
        <w:pStyle w:val="5"/>
        <w:rPr>
          <w:color w:val="auto"/>
        </w:rPr>
      </w:pPr>
      <w:r>
        <w:rPr>
          <w:rFonts w:hint="eastAsia"/>
          <w:color w:val="auto"/>
          <w:lang w:eastAsia="zh-CN"/>
        </w:rPr>
        <w:t>（</w:t>
      </w:r>
      <w:r>
        <w:rPr>
          <w:rFonts w:hint="eastAsia"/>
          <w:color w:val="auto"/>
          <w:lang w:val="en-US" w:eastAsia="zh-CN"/>
        </w:rPr>
        <w:t>5</w:t>
      </w:r>
      <w:r>
        <w:rPr>
          <w:rFonts w:hint="eastAsia"/>
          <w:color w:val="auto"/>
          <w:lang w:eastAsia="zh-CN"/>
        </w:rPr>
        <w:t>）</w:t>
      </w:r>
      <w:r>
        <w:rPr>
          <w:rFonts w:hint="eastAsia"/>
          <w:color w:val="auto"/>
        </w:rPr>
        <w:t>对其核心工程、隐蔽工程等实施重点监理；</w:t>
      </w:r>
    </w:p>
    <w:p>
      <w:pPr>
        <w:pStyle w:val="5"/>
        <w:rPr>
          <w:color w:val="auto"/>
        </w:rPr>
      </w:pPr>
      <w:r>
        <w:rPr>
          <w:rFonts w:hint="eastAsia"/>
          <w:color w:val="auto"/>
          <w:lang w:eastAsia="zh-CN"/>
        </w:rPr>
        <w:t>（</w:t>
      </w:r>
      <w:r>
        <w:rPr>
          <w:rFonts w:hint="eastAsia"/>
          <w:color w:val="auto"/>
          <w:lang w:val="en-US" w:eastAsia="zh-CN"/>
        </w:rPr>
        <w:t>6</w:t>
      </w:r>
      <w:r>
        <w:rPr>
          <w:rFonts w:hint="eastAsia"/>
          <w:color w:val="auto"/>
          <w:lang w:eastAsia="zh-CN"/>
        </w:rPr>
        <w:t>）</w:t>
      </w:r>
      <w:r>
        <w:rPr>
          <w:rFonts w:hint="eastAsia"/>
          <w:color w:val="auto"/>
        </w:rPr>
        <w:t>对本项目承建方提供的材料、设备性能指标及产品厂家供货证明函等进行严格审核，列入《中华人民共和国实施强制性产品认证的产品目录》的产品需审核CCC认证函和产品外部加施的认证标志；</w:t>
      </w:r>
    </w:p>
    <w:p>
      <w:pPr>
        <w:pStyle w:val="5"/>
        <w:rPr>
          <w:color w:val="auto"/>
        </w:rPr>
      </w:pPr>
      <w:r>
        <w:rPr>
          <w:rFonts w:hint="eastAsia"/>
          <w:color w:val="auto"/>
          <w:lang w:eastAsia="zh-CN"/>
        </w:rPr>
        <w:t>（</w:t>
      </w:r>
      <w:r>
        <w:rPr>
          <w:rFonts w:hint="eastAsia"/>
          <w:color w:val="auto"/>
          <w:lang w:val="en-US" w:eastAsia="zh-CN"/>
        </w:rPr>
        <w:t>7</w:t>
      </w:r>
      <w:r>
        <w:rPr>
          <w:rFonts w:hint="eastAsia"/>
          <w:color w:val="auto"/>
          <w:lang w:eastAsia="zh-CN"/>
        </w:rPr>
        <w:t>）</w:t>
      </w:r>
      <w:r>
        <w:rPr>
          <w:rFonts w:hint="eastAsia"/>
          <w:color w:val="auto"/>
        </w:rPr>
        <w:t>对承建方负责采购的设备、材料按合同规定的标准进行检验验收；</w:t>
      </w:r>
    </w:p>
    <w:p>
      <w:pPr>
        <w:pStyle w:val="5"/>
        <w:rPr>
          <w:color w:val="auto"/>
        </w:rPr>
      </w:pPr>
      <w:r>
        <w:rPr>
          <w:rFonts w:hint="eastAsia"/>
          <w:color w:val="auto"/>
          <w:lang w:eastAsia="zh-CN"/>
        </w:rPr>
        <w:t>（</w:t>
      </w:r>
      <w:r>
        <w:rPr>
          <w:rFonts w:hint="eastAsia"/>
          <w:color w:val="auto"/>
          <w:lang w:val="en-US" w:eastAsia="zh-CN"/>
        </w:rPr>
        <w:t>8</w:t>
      </w:r>
      <w:r>
        <w:rPr>
          <w:rFonts w:hint="eastAsia"/>
          <w:color w:val="auto"/>
          <w:lang w:eastAsia="zh-CN"/>
        </w:rPr>
        <w:t>）</w:t>
      </w:r>
      <w:r>
        <w:rPr>
          <w:rFonts w:hint="eastAsia"/>
          <w:color w:val="auto"/>
        </w:rPr>
        <w:t>工程施工前，组织召开施工图审查，对其施工组织设计及方案进行审核，并对施工单位进行技术交底；</w:t>
      </w:r>
    </w:p>
    <w:p>
      <w:pPr>
        <w:pStyle w:val="5"/>
        <w:rPr>
          <w:color w:val="auto"/>
        </w:rPr>
      </w:pPr>
      <w:r>
        <w:rPr>
          <w:rFonts w:hint="eastAsia"/>
          <w:color w:val="auto"/>
          <w:lang w:eastAsia="zh-CN"/>
        </w:rPr>
        <w:t>（</w:t>
      </w:r>
      <w:r>
        <w:rPr>
          <w:rFonts w:hint="eastAsia"/>
          <w:color w:val="auto"/>
          <w:lang w:val="en-US" w:eastAsia="zh-CN"/>
        </w:rPr>
        <w:t>9</w:t>
      </w:r>
      <w:r>
        <w:rPr>
          <w:rFonts w:hint="eastAsia"/>
          <w:color w:val="auto"/>
          <w:lang w:eastAsia="zh-CN"/>
        </w:rPr>
        <w:t>）</w:t>
      </w:r>
      <w:r>
        <w:rPr>
          <w:rFonts w:hint="eastAsia"/>
          <w:color w:val="auto"/>
        </w:rPr>
        <w:t>施工中，对其工程质量进行跟踪控制；完工后，对其工程质量进行检验并提交质量评估报告；</w:t>
      </w:r>
    </w:p>
    <w:p>
      <w:pPr>
        <w:pStyle w:val="5"/>
        <w:rPr>
          <w:color w:val="auto"/>
        </w:rPr>
      </w:pPr>
      <w:r>
        <w:rPr>
          <w:rFonts w:hint="eastAsia"/>
          <w:color w:val="auto"/>
          <w:lang w:eastAsia="zh-CN"/>
        </w:rPr>
        <w:t>（</w:t>
      </w:r>
      <w:r>
        <w:rPr>
          <w:rFonts w:hint="eastAsia"/>
          <w:color w:val="auto"/>
          <w:lang w:val="en-US" w:eastAsia="zh-CN"/>
        </w:rPr>
        <w:t>10</w:t>
      </w:r>
      <w:r>
        <w:rPr>
          <w:rFonts w:hint="eastAsia"/>
          <w:color w:val="auto"/>
          <w:lang w:eastAsia="zh-CN"/>
        </w:rPr>
        <w:t>）</w:t>
      </w:r>
      <w:r>
        <w:rPr>
          <w:rFonts w:hint="eastAsia"/>
          <w:color w:val="auto"/>
        </w:rPr>
        <w:t>严格审核工程进度及进度款，同时控制本项目变更成本；</w:t>
      </w:r>
    </w:p>
    <w:p>
      <w:pPr>
        <w:pStyle w:val="5"/>
        <w:rPr>
          <w:color w:val="auto"/>
        </w:rPr>
      </w:pPr>
      <w:r>
        <w:rPr>
          <w:rFonts w:hint="eastAsia"/>
          <w:color w:val="auto"/>
          <w:lang w:eastAsia="zh-CN"/>
        </w:rPr>
        <w:t>（</w:t>
      </w:r>
      <w:r>
        <w:rPr>
          <w:rFonts w:hint="eastAsia"/>
          <w:color w:val="auto"/>
          <w:lang w:val="en-US" w:eastAsia="zh-CN"/>
        </w:rPr>
        <w:t>11</w:t>
      </w:r>
      <w:r>
        <w:rPr>
          <w:rFonts w:hint="eastAsia"/>
          <w:color w:val="auto"/>
          <w:lang w:eastAsia="zh-CN"/>
        </w:rPr>
        <w:t>）</w:t>
      </w:r>
      <w:r>
        <w:rPr>
          <w:rFonts w:hint="eastAsia"/>
          <w:color w:val="auto"/>
        </w:rPr>
        <w:t>对根据实际情况，确需变更原设计方案的，提出审查意见，获批准后，监督执行；</w:t>
      </w:r>
    </w:p>
    <w:p>
      <w:pPr>
        <w:pStyle w:val="5"/>
        <w:rPr>
          <w:color w:val="auto"/>
        </w:rPr>
      </w:pPr>
      <w:r>
        <w:rPr>
          <w:rFonts w:hint="eastAsia"/>
          <w:color w:val="auto"/>
          <w:lang w:eastAsia="zh-CN"/>
        </w:rPr>
        <w:t>（</w:t>
      </w:r>
      <w:r>
        <w:rPr>
          <w:rFonts w:hint="eastAsia"/>
          <w:color w:val="auto"/>
          <w:lang w:val="en-US" w:eastAsia="zh-CN"/>
        </w:rPr>
        <w:t>12</w:t>
      </w:r>
      <w:r>
        <w:rPr>
          <w:rFonts w:hint="eastAsia"/>
          <w:color w:val="auto"/>
          <w:lang w:eastAsia="zh-CN"/>
        </w:rPr>
        <w:t>）</w:t>
      </w:r>
      <w:r>
        <w:rPr>
          <w:rFonts w:hint="eastAsia"/>
          <w:color w:val="auto"/>
        </w:rPr>
        <w:t>审查项目系统及竣工文件的齐全性、完整性，督促、检查工程竣工文档的移交；</w:t>
      </w:r>
    </w:p>
    <w:p>
      <w:pPr>
        <w:pStyle w:val="5"/>
        <w:rPr>
          <w:color w:val="auto"/>
        </w:rPr>
      </w:pPr>
      <w:r>
        <w:rPr>
          <w:rFonts w:hint="eastAsia"/>
          <w:color w:val="auto"/>
          <w:lang w:eastAsia="zh-CN"/>
        </w:rPr>
        <w:t>（</w:t>
      </w:r>
      <w:r>
        <w:rPr>
          <w:rFonts w:hint="eastAsia"/>
          <w:color w:val="auto"/>
          <w:lang w:val="en-US" w:eastAsia="zh-CN"/>
        </w:rPr>
        <w:t>13</w:t>
      </w:r>
      <w:r>
        <w:rPr>
          <w:rFonts w:hint="eastAsia"/>
          <w:color w:val="auto"/>
          <w:lang w:eastAsia="zh-CN"/>
        </w:rPr>
        <w:t>）</w:t>
      </w:r>
      <w:r>
        <w:rPr>
          <w:rFonts w:hint="eastAsia"/>
          <w:color w:val="auto"/>
        </w:rPr>
        <w:t>根据业主方对需求的改变，能够结合工程合理地提出变更方案，并实现与承建方的良好沟通；</w:t>
      </w:r>
    </w:p>
    <w:p>
      <w:pPr>
        <w:pStyle w:val="5"/>
        <w:rPr>
          <w:color w:val="auto"/>
        </w:rPr>
      </w:pPr>
      <w:r>
        <w:rPr>
          <w:rFonts w:hint="eastAsia"/>
          <w:color w:val="auto"/>
          <w:lang w:eastAsia="zh-CN"/>
        </w:rPr>
        <w:t>（</w:t>
      </w:r>
      <w:r>
        <w:rPr>
          <w:rFonts w:hint="eastAsia"/>
          <w:color w:val="auto"/>
          <w:lang w:val="en-US" w:eastAsia="zh-CN"/>
        </w:rPr>
        <w:t>14</w:t>
      </w:r>
      <w:r>
        <w:rPr>
          <w:rFonts w:hint="eastAsia"/>
          <w:color w:val="auto"/>
          <w:lang w:eastAsia="zh-CN"/>
        </w:rPr>
        <w:t>）</w:t>
      </w:r>
      <w:r>
        <w:rPr>
          <w:rFonts w:hint="eastAsia"/>
          <w:color w:val="auto"/>
        </w:rPr>
        <w:t>检查、督促施工工程进度；</w:t>
      </w:r>
    </w:p>
    <w:p>
      <w:pPr>
        <w:pStyle w:val="5"/>
        <w:rPr>
          <w:color w:val="auto"/>
        </w:rPr>
      </w:pPr>
      <w:r>
        <w:rPr>
          <w:rFonts w:hint="eastAsia"/>
          <w:color w:val="auto"/>
          <w:lang w:eastAsia="zh-CN"/>
        </w:rPr>
        <w:t>（</w:t>
      </w:r>
      <w:r>
        <w:rPr>
          <w:rFonts w:hint="eastAsia"/>
          <w:color w:val="auto"/>
          <w:lang w:val="en-US" w:eastAsia="zh-CN"/>
        </w:rPr>
        <w:t>15</w:t>
      </w:r>
      <w:r>
        <w:rPr>
          <w:rFonts w:hint="eastAsia"/>
          <w:color w:val="auto"/>
          <w:lang w:eastAsia="zh-CN"/>
        </w:rPr>
        <w:t>）</w:t>
      </w:r>
      <w:r>
        <w:rPr>
          <w:rFonts w:hint="eastAsia"/>
          <w:color w:val="auto"/>
        </w:rPr>
        <w:t>组织、督促、检查本项目工程的总体竣工验收；</w:t>
      </w:r>
    </w:p>
    <w:p>
      <w:pPr>
        <w:pStyle w:val="5"/>
        <w:rPr>
          <w:color w:val="auto"/>
        </w:rPr>
      </w:pPr>
      <w:r>
        <w:rPr>
          <w:rFonts w:hint="eastAsia"/>
          <w:color w:val="auto"/>
          <w:lang w:eastAsia="zh-CN"/>
        </w:rPr>
        <w:t>（</w:t>
      </w:r>
      <w:r>
        <w:rPr>
          <w:rFonts w:hint="eastAsia"/>
          <w:color w:val="auto"/>
          <w:lang w:val="en-US" w:eastAsia="zh-CN"/>
        </w:rPr>
        <w:t>16</w:t>
      </w:r>
      <w:r>
        <w:rPr>
          <w:rFonts w:hint="eastAsia"/>
          <w:color w:val="auto"/>
          <w:lang w:eastAsia="zh-CN"/>
        </w:rPr>
        <w:t>）</w:t>
      </w:r>
      <w:r>
        <w:rPr>
          <w:rFonts w:hint="eastAsia"/>
          <w:color w:val="auto"/>
        </w:rPr>
        <w:t>整理和检查全部项目文档；</w:t>
      </w:r>
    </w:p>
    <w:p>
      <w:pPr>
        <w:pStyle w:val="5"/>
        <w:rPr>
          <w:color w:val="auto"/>
        </w:rPr>
      </w:pPr>
      <w:r>
        <w:rPr>
          <w:rFonts w:hint="eastAsia"/>
          <w:color w:val="auto"/>
          <w:lang w:eastAsia="zh-CN"/>
        </w:rPr>
        <w:t>（</w:t>
      </w:r>
      <w:r>
        <w:rPr>
          <w:rFonts w:hint="eastAsia"/>
          <w:color w:val="auto"/>
          <w:lang w:val="en-US" w:eastAsia="zh-CN"/>
        </w:rPr>
        <w:t>17</w:t>
      </w:r>
      <w:r>
        <w:rPr>
          <w:rFonts w:hint="eastAsia"/>
          <w:color w:val="auto"/>
          <w:lang w:eastAsia="zh-CN"/>
        </w:rPr>
        <w:t>）</w:t>
      </w:r>
      <w:r>
        <w:rPr>
          <w:rFonts w:hint="eastAsia"/>
          <w:color w:val="auto"/>
        </w:rPr>
        <w:t>做好监理文件资料管理；</w:t>
      </w:r>
    </w:p>
    <w:p>
      <w:pPr>
        <w:pStyle w:val="5"/>
        <w:rPr>
          <w:color w:val="auto"/>
        </w:rPr>
      </w:pPr>
      <w:r>
        <w:rPr>
          <w:rFonts w:hint="eastAsia"/>
          <w:color w:val="auto"/>
          <w:lang w:eastAsia="zh-CN"/>
        </w:rPr>
        <w:t>（</w:t>
      </w:r>
      <w:r>
        <w:rPr>
          <w:rFonts w:hint="eastAsia"/>
          <w:color w:val="auto"/>
          <w:lang w:val="en-US" w:eastAsia="zh-CN"/>
        </w:rPr>
        <w:t>18</w:t>
      </w:r>
      <w:r>
        <w:rPr>
          <w:rFonts w:hint="eastAsia"/>
          <w:color w:val="auto"/>
          <w:lang w:eastAsia="zh-CN"/>
        </w:rPr>
        <w:t>）</w:t>
      </w:r>
      <w:r>
        <w:rPr>
          <w:rFonts w:hint="eastAsia"/>
          <w:color w:val="auto"/>
        </w:rPr>
        <w:t>对涉及该项目的全部施工材料、构配件和设备的质量进行检验和验收。</w:t>
      </w:r>
    </w:p>
    <w:p>
      <w:pPr>
        <w:pStyle w:val="5"/>
        <w:rPr>
          <w:color w:val="auto"/>
        </w:rPr>
      </w:pPr>
      <w:r>
        <w:rPr>
          <w:rFonts w:hint="eastAsia"/>
          <w:color w:val="auto"/>
          <w:lang w:eastAsia="zh-CN"/>
        </w:rPr>
        <w:t>（</w:t>
      </w:r>
      <w:r>
        <w:rPr>
          <w:rFonts w:hint="eastAsia"/>
          <w:color w:val="auto"/>
          <w:lang w:val="en-US" w:eastAsia="zh-CN"/>
        </w:rPr>
        <w:t>19</w:t>
      </w:r>
      <w:r>
        <w:rPr>
          <w:rFonts w:hint="eastAsia"/>
          <w:color w:val="auto"/>
          <w:lang w:eastAsia="zh-CN"/>
        </w:rPr>
        <w:t>）</w:t>
      </w:r>
      <w:r>
        <w:rPr>
          <w:rFonts w:hint="eastAsia"/>
          <w:color w:val="auto"/>
        </w:rPr>
        <w:t>审核施工单位提交的施工组织设计、施工方案、进度计划等文件。</w:t>
      </w:r>
    </w:p>
    <w:p>
      <w:pPr>
        <w:pStyle w:val="5"/>
        <w:rPr>
          <w:color w:val="auto"/>
        </w:rPr>
      </w:pPr>
      <w:r>
        <w:rPr>
          <w:rFonts w:hint="eastAsia"/>
          <w:color w:val="auto"/>
          <w:lang w:eastAsia="zh-CN"/>
        </w:rPr>
        <w:t>（</w:t>
      </w:r>
      <w:r>
        <w:rPr>
          <w:rFonts w:hint="eastAsia"/>
          <w:color w:val="auto"/>
          <w:lang w:val="en-US" w:eastAsia="zh-CN"/>
        </w:rPr>
        <w:t>20</w:t>
      </w:r>
      <w:r>
        <w:rPr>
          <w:rFonts w:hint="eastAsia"/>
          <w:color w:val="auto"/>
          <w:lang w:eastAsia="zh-CN"/>
        </w:rPr>
        <w:t>）</w:t>
      </w:r>
      <w:r>
        <w:rPr>
          <w:rFonts w:hint="eastAsia"/>
          <w:color w:val="auto"/>
        </w:rPr>
        <w:t>检查施工现场的安全防护、文明施工情况，督促施工单位落实安全生产责任。</w:t>
      </w:r>
    </w:p>
    <w:p>
      <w:pPr>
        <w:pStyle w:val="5"/>
        <w:rPr>
          <w:color w:val="auto"/>
        </w:rPr>
      </w:pPr>
      <w:r>
        <w:rPr>
          <w:rFonts w:hint="eastAsia"/>
          <w:color w:val="auto"/>
          <w:lang w:eastAsia="zh-CN"/>
        </w:rPr>
        <w:t>（</w:t>
      </w:r>
      <w:r>
        <w:rPr>
          <w:rFonts w:hint="eastAsia"/>
          <w:color w:val="auto"/>
          <w:lang w:val="en-US" w:eastAsia="zh-CN"/>
        </w:rPr>
        <w:t>21</w:t>
      </w:r>
      <w:r>
        <w:rPr>
          <w:rFonts w:hint="eastAsia"/>
          <w:color w:val="auto"/>
          <w:lang w:eastAsia="zh-CN"/>
        </w:rPr>
        <w:t>）</w:t>
      </w:r>
      <w:r>
        <w:rPr>
          <w:rFonts w:hint="eastAsia"/>
          <w:color w:val="auto"/>
        </w:rPr>
        <w:t>按程序做好工程造价控制；</w:t>
      </w:r>
    </w:p>
    <w:p>
      <w:pPr>
        <w:pStyle w:val="5"/>
        <w:rPr>
          <w:color w:val="auto"/>
        </w:rPr>
      </w:pPr>
      <w:r>
        <w:rPr>
          <w:rFonts w:hint="eastAsia"/>
          <w:color w:val="auto"/>
          <w:lang w:eastAsia="zh-CN"/>
        </w:rPr>
        <w:t>（</w:t>
      </w:r>
      <w:r>
        <w:rPr>
          <w:rFonts w:hint="eastAsia"/>
          <w:color w:val="auto"/>
          <w:lang w:val="en-US" w:eastAsia="zh-CN"/>
        </w:rPr>
        <w:t>22</w:t>
      </w:r>
      <w:r>
        <w:rPr>
          <w:rFonts w:hint="eastAsia"/>
          <w:color w:val="auto"/>
          <w:lang w:eastAsia="zh-CN"/>
        </w:rPr>
        <w:t>）</w:t>
      </w:r>
      <w:r>
        <w:rPr>
          <w:rFonts w:hint="eastAsia"/>
          <w:color w:val="auto"/>
        </w:rPr>
        <w:t>在项目监理过程中，必须在广州市第六资源热力电厂对外集中供热项目设立项目机构、派驻常驻总监理工程师及专业监理工程师（要求土建专业、安装焊接专业、安全和造价专业），并承诺项目总监在监理期间必须常驻项目所在地，项目总监理工程师每月驻场不得少于22天，总监理工程师不在场的时候，必须有总监理工程师代表代为处理事务，达到保证监理服务的目的。</w:t>
      </w:r>
    </w:p>
    <w:p>
      <w:pPr>
        <w:pStyle w:val="5"/>
        <w:rPr>
          <w:color w:val="auto"/>
        </w:rPr>
      </w:pPr>
      <w:r>
        <w:rPr>
          <w:rFonts w:hint="eastAsia"/>
          <w:color w:val="auto"/>
          <w:lang w:eastAsia="zh-CN"/>
        </w:rPr>
        <w:t>（</w:t>
      </w:r>
      <w:r>
        <w:rPr>
          <w:rFonts w:hint="eastAsia"/>
          <w:color w:val="auto"/>
          <w:lang w:val="en-US" w:eastAsia="zh-CN"/>
        </w:rPr>
        <w:t>23</w:t>
      </w:r>
      <w:r>
        <w:rPr>
          <w:rFonts w:hint="eastAsia"/>
          <w:color w:val="auto"/>
          <w:lang w:eastAsia="zh-CN"/>
        </w:rPr>
        <w:t>）</w:t>
      </w:r>
      <w:r>
        <w:rPr>
          <w:rFonts w:hint="eastAsia"/>
          <w:color w:val="auto"/>
        </w:rPr>
        <w:t>检查施工单位现场安全生产规章制度的建立和落实情况。</w:t>
      </w:r>
    </w:p>
    <w:p>
      <w:pPr>
        <w:pStyle w:val="5"/>
        <w:rPr>
          <w:color w:val="auto"/>
        </w:rPr>
      </w:pPr>
      <w:r>
        <w:rPr>
          <w:rFonts w:hint="eastAsia"/>
          <w:color w:val="auto"/>
          <w:lang w:eastAsia="zh-CN"/>
        </w:rPr>
        <w:t>（</w:t>
      </w:r>
      <w:r>
        <w:rPr>
          <w:rFonts w:hint="eastAsia"/>
          <w:color w:val="auto"/>
          <w:lang w:val="en-US" w:eastAsia="zh-CN"/>
        </w:rPr>
        <w:t>24</w:t>
      </w:r>
      <w:r>
        <w:rPr>
          <w:rFonts w:hint="eastAsia"/>
          <w:color w:val="auto"/>
          <w:lang w:eastAsia="zh-CN"/>
        </w:rPr>
        <w:t>）</w:t>
      </w:r>
      <w:r>
        <w:rPr>
          <w:rFonts w:hint="eastAsia"/>
          <w:color w:val="auto"/>
        </w:rPr>
        <w:t>监督施工单位按照设计图纸、施工规范和合同要求进行施工；</w:t>
      </w:r>
    </w:p>
    <w:p>
      <w:pPr>
        <w:pStyle w:val="4"/>
        <w:numPr>
          <w:ilvl w:val="0"/>
          <w:numId w:val="0"/>
        </w:numPr>
        <w:tabs>
          <w:tab w:val="left" w:pos="0"/>
        </w:tabs>
        <w:adjustRightInd w:val="0"/>
        <w:snapToGrid w:val="0"/>
        <w:rPr>
          <w:color w:val="auto"/>
        </w:rPr>
      </w:pPr>
      <w:bookmarkStart w:id="151" w:name="_Toc10443"/>
      <w:bookmarkStart w:id="152" w:name="_Toc181361829"/>
      <w:bookmarkStart w:id="153" w:name="_Toc18196"/>
      <w:bookmarkStart w:id="154" w:name="_Toc181362485"/>
      <w:bookmarkStart w:id="155" w:name="_Toc10323"/>
      <w:r>
        <w:rPr>
          <w:rFonts w:hint="eastAsia"/>
          <w:color w:val="auto"/>
          <w:lang w:val="en-US" w:eastAsia="zh-CN"/>
        </w:rPr>
        <w:t>5</w:t>
      </w:r>
      <w:r>
        <w:rPr>
          <w:rFonts w:hint="eastAsia"/>
          <w:color w:val="auto"/>
        </w:rPr>
        <w:t>.4非报价方承包范围内项目</w:t>
      </w:r>
      <w:bookmarkEnd w:id="151"/>
      <w:bookmarkEnd w:id="152"/>
      <w:bookmarkEnd w:id="153"/>
      <w:bookmarkEnd w:id="154"/>
      <w:bookmarkEnd w:id="155"/>
    </w:p>
    <w:p>
      <w:pPr>
        <w:pStyle w:val="5"/>
        <w:rPr>
          <w:color w:val="auto"/>
        </w:rPr>
      </w:pPr>
      <w:r>
        <w:rPr>
          <w:rFonts w:hint="eastAsia"/>
          <w:color w:val="auto"/>
        </w:rPr>
        <w:t>无</w:t>
      </w:r>
    </w:p>
    <w:p>
      <w:pPr>
        <w:pStyle w:val="4"/>
        <w:numPr>
          <w:ilvl w:val="255"/>
          <w:numId w:val="0"/>
        </w:numPr>
        <w:tabs>
          <w:tab w:val="left" w:pos="0"/>
        </w:tabs>
        <w:adjustRightInd w:val="0"/>
        <w:snapToGrid w:val="0"/>
        <w:rPr>
          <w:color w:val="auto"/>
        </w:rPr>
      </w:pPr>
      <w:bookmarkStart w:id="156" w:name="_Toc181361830"/>
      <w:bookmarkStart w:id="157" w:name="_Toc181362486"/>
      <w:r>
        <w:rPr>
          <w:rFonts w:hint="eastAsia"/>
          <w:color w:val="auto"/>
          <w:lang w:val="en-US" w:eastAsia="zh-CN"/>
        </w:rPr>
        <w:t>5</w:t>
      </w:r>
      <w:r>
        <w:rPr>
          <w:rFonts w:hint="eastAsia"/>
          <w:color w:val="auto"/>
        </w:rPr>
        <w:t>.5监理服务周期</w:t>
      </w:r>
      <w:bookmarkEnd w:id="156"/>
      <w:bookmarkEnd w:id="157"/>
    </w:p>
    <w:p>
      <w:pPr>
        <w:pStyle w:val="5"/>
        <w:ind w:firstLine="480" w:firstLineChars="200"/>
        <w:rPr>
          <w:color w:val="auto"/>
        </w:rPr>
      </w:pPr>
      <w:r>
        <w:rPr>
          <w:rFonts w:hint="eastAsia"/>
          <w:color w:val="auto"/>
        </w:rPr>
        <w:t>施工监理项目涵盖监理范围内工程的勘察设计阶段、施工准备期、施工期、竣工验收期、工程结算期和保修期（</w:t>
      </w:r>
      <w:r>
        <w:rPr>
          <w:rFonts w:hint="eastAsia"/>
          <w:color w:val="auto"/>
          <w:lang w:val="en-US" w:eastAsia="zh-CN"/>
        </w:rPr>
        <w:t>实际</w:t>
      </w:r>
      <w:r>
        <w:rPr>
          <w:rFonts w:hint="eastAsia"/>
          <w:color w:val="auto"/>
        </w:rPr>
        <w:t>工作期限以广州市第六资源热力电厂对外集中供热项目的实际工期和施工合同约定的保修期为准）。</w:t>
      </w:r>
    </w:p>
    <w:p>
      <w:pPr>
        <w:pStyle w:val="3"/>
        <w:numPr>
          <w:ilvl w:val="0"/>
          <w:numId w:val="3"/>
        </w:numPr>
        <w:adjustRightInd w:val="0"/>
        <w:spacing w:line="360" w:lineRule="auto"/>
        <w:rPr>
          <w:b w:val="0"/>
          <w:bCs w:val="0"/>
          <w:color w:val="auto"/>
          <w:sz w:val="28"/>
          <w:szCs w:val="28"/>
        </w:rPr>
      </w:pPr>
      <w:bookmarkStart w:id="158" w:name="_Toc181361831"/>
      <w:bookmarkStart w:id="159" w:name="_Toc181362487"/>
      <w:r>
        <w:rPr>
          <w:rFonts w:hint="eastAsia"/>
          <w:color w:val="auto"/>
          <w:sz w:val="28"/>
          <w:szCs w:val="28"/>
        </w:rPr>
        <w:t>监理服务及工作要求</w:t>
      </w:r>
      <w:bookmarkEnd w:id="158"/>
      <w:bookmarkEnd w:id="159"/>
    </w:p>
    <w:p>
      <w:pPr>
        <w:pStyle w:val="4"/>
        <w:numPr>
          <w:ilvl w:val="255"/>
          <w:numId w:val="0"/>
        </w:numPr>
        <w:tabs>
          <w:tab w:val="left" w:pos="0"/>
        </w:tabs>
        <w:adjustRightInd w:val="0"/>
        <w:snapToGrid w:val="0"/>
        <w:rPr>
          <w:color w:val="auto"/>
        </w:rPr>
      </w:pPr>
      <w:bookmarkStart w:id="160" w:name="_Toc181362488"/>
      <w:r>
        <w:rPr>
          <w:rFonts w:hint="eastAsia"/>
          <w:color w:val="auto"/>
          <w:lang w:val="en-US" w:eastAsia="zh-CN"/>
        </w:rPr>
        <w:t>6</w:t>
      </w:r>
      <w:r>
        <w:rPr>
          <w:color w:val="auto"/>
        </w:rPr>
        <w:t>.1</w:t>
      </w:r>
      <w:r>
        <w:rPr>
          <w:rFonts w:hint="eastAsia"/>
          <w:color w:val="auto"/>
        </w:rPr>
        <w:t>服务要求及服务方式：</w:t>
      </w:r>
      <w:bookmarkEnd w:id="160"/>
    </w:p>
    <w:p>
      <w:pPr>
        <w:pStyle w:val="239"/>
        <w:spacing w:line="480" w:lineRule="exact"/>
        <w:ind w:left="1"/>
        <w:rPr>
          <w:rFonts w:cs="新宋体"/>
          <w:color w:val="auto"/>
          <w:sz w:val="24"/>
          <w:szCs w:val="24"/>
        </w:rPr>
      </w:pPr>
      <w:r>
        <w:rPr>
          <w:rFonts w:hint="eastAsia" w:cs="新宋体"/>
          <w:color w:val="auto"/>
          <w:sz w:val="24"/>
          <w:szCs w:val="24"/>
          <w:lang w:val="en-US" w:eastAsia="zh-CN"/>
        </w:rPr>
        <w:t>6</w:t>
      </w:r>
      <w:r>
        <w:rPr>
          <w:rFonts w:hint="eastAsia" w:cs="新宋体"/>
          <w:color w:val="auto"/>
          <w:sz w:val="24"/>
          <w:szCs w:val="24"/>
        </w:rPr>
        <w:t>.1.1监理方必须坚持以“安全第一，质量第一，预防为主，用科学、规范、诚信”作为监理原则，安排工作人员现场办公。监理方在项目准备阶段、项目实施阶段从招投标、合同、进度、质量、投资、职业健康安全与环境管理对本工程项目进行全面全过程监理，协助单位完成工程任务并提供管理和技术咨询。</w:t>
      </w:r>
    </w:p>
    <w:p>
      <w:pPr>
        <w:pStyle w:val="239"/>
        <w:spacing w:line="480" w:lineRule="exact"/>
        <w:ind w:left="1"/>
        <w:rPr>
          <w:rFonts w:ascii="宋体" w:hAnsi="宋体" w:cs="新宋体"/>
          <w:color w:val="auto"/>
          <w:sz w:val="24"/>
          <w:szCs w:val="24"/>
        </w:rPr>
      </w:pPr>
      <w:r>
        <w:rPr>
          <w:rFonts w:hint="eastAsia" w:ascii="宋体" w:hAnsi="宋体" w:cs="新宋体"/>
          <w:color w:val="auto"/>
          <w:sz w:val="24"/>
          <w:szCs w:val="24"/>
          <w:lang w:val="en-US" w:eastAsia="zh-CN"/>
        </w:rPr>
        <w:t>6</w:t>
      </w:r>
      <w:r>
        <w:rPr>
          <w:rFonts w:hint="eastAsia" w:ascii="宋体" w:hAnsi="宋体" w:cs="新宋体"/>
          <w:color w:val="auto"/>
          <w:sz w:val="24"/>
          <w:szCs w:val="24"/>
        </w:rPr>
        <w:t>.1.2本项目要求以现场监理为主方式进行，建立工程监理组，负责整个工程的全程监理工作。</w:t>
      </w:r>
    </w:p>
    <w:p>
      <w:pPr>
        <w:pStyle w:val="4"/>
        <w:numPr>
          <w:ilvl w:val="255"/>
          <w:numId w:val="0"/>
        </w:numPr>
        <w:tabs>
          <w:tab w:val="left" w:pos="0"/>
        </w:tabs>
        <w:adjustRightInd w:val="0"/>
        <w:snapToGrid w:val="0"/>
        <w:rPr>
          <w:color w:val="auto"/>
        </w:rPr>
      </w:pPr>
      <w:bookmarkStart w:id="161" w:name="_Toc181362489"/>
      <w:r>
        <w:rPr>
          <w:rFonts w:hint="eastAsia"/>
          <w:color w:val="auto"/>
          <w:lang w:val="en-US" w:eastAsia="zh-CN"/>
        </w:rPr>
        <w:t>6</w:t>
      </w:r>
      <w:r>
        <w:rPr>
          <w:color w:val="auto"/>
        </w:rPr>
        <w:t>.2</w:t>
      </w:r>
      <w:r>
        <w:rPr>
          <w:rFonts w:hint="eastAsia"/>
          <w:color w:val="auto"/>
        </w:rPr>
        <w:t>服务质量及安全文明施工目标：</w:t>
      </w:r>
      <w:bookmarkEnd w:id="161"/>
    </w:p>
    <w:p>
      <w:pPr>
        <w:pStyle w:val="317"/>
        <w:tabs>
          <w:tab w:val="left" w:pos="945"/>
        </w:tabs>
        <w:spacing w:line="480" w:lineRule="exact"/>
        <w:rPr>
          <w:rFonts w:cs="新宋体"/>
          <w:color w:val="auto"/>
          <w:sz w:val="24"/>
          <w:szCs w:val="24"/>
        </w:rPr>
      </w:pPr>
      <w:r>
        <w:rPr>
          <w:rFonts w:hint="eastAsia" w:cs="新宋体"/>
          <w:color w:val="auto"/>
          <w:sz w:val="24"/>
          <w:szCs w:val="24"/>
          <w:lang w:val="en-US" w:eastAsia="zh-CN"/>
        </w:rPr>
        <w:t>6</w:t>
      </w:r>
      <w:r>
        <w:rPr>
          <w:rFonts w:hint="eastAsia" w:cs="新宋体"/>
          <w:color w:val="auto"/>
          <w:sz w:val="24"/>
          <w:szCs w:val="24"/>
        </w:rPr>
        <w:t>.2.1保证该工程一次交验合格率</w:t>
      </w:r>
      <w:r>
        <w:rPr>
          <w:rFonts w:cs="新宋体"/>
          <w:color w:val="auto"/>
          <w:sz w:val="24"/>
          <w:szCs w:val="24"/>
        </w:rPr>
        <w:t xml:space="preserve"> 100%，压力管道焊缝一次合格率达100%以上，管线试压、吹扫一次合格，单位工程验交一次合格率 100%，重大质量事故率为零。</w:t>
      </w:r>
    </w:p>
    <w:p>
      <w:pPr>
        <w:pStyle w:val="317"/>
        <w:tabs>
          <w:tab w:val="left" w:pos="945"/>
        </w:tabs>
        <w:spacing w:line="480" w:lineRule="exact"/>
        <w:rPr>
          <w:rFonts w:cs="新宋体"/>
          <w:color w:val="auto"/>
          <w:sz w:val="24"/>
          <w:szCs w:val="24"/>
        </w:rPr>
      </w:pPr>
      <w:r>
        <w:rPr>
          <w:rFonts w:hint="eastAsia" w:cs="新宋体"/>
          <w:color w:val="auto"/>
          <w:sz w:val="24"/>
          <w:szCs w:val="24"/>
          <w:lang w:val="en-US" w:eastAsia="zh-CN"/>
        </w:rPr>
        <w:t>6</w:t>
      </w:r>
      <w:r>
        <w:rPr>
          <w:rFonts w:hint="eastAsia" w:cs="新宋体"/>
          <w:color w:val="auto"/>
          <w:sz w:val="24"/>
          <w:szCs w:val="24"/>
        </w:rPr>
        <w:t>.2.2无人身伤亡事故、无损失、不污染环境。“创建高标准零事故、健康、环保”的项目工程。确保市级文明施工工地。杜绝重大人身伤亡事故和机械事故发生。</w:t>
      </w:r>
    </w:p>
    <w:p>
      <w:pPr>
        <w:pStyle w:val="4"/>
        <w:numPr>
          <w:ilvl w:val="255"/>
          <w:numId w:val="0"/>
        </w:numPr>
        <w:tabs>
          <w:tab w:val="left" w:pos="0"/>
        </w:tabs>
        <w:adjustRightInd w:val="0"/>
        <w:snapToGrid w:val="0"/>
        <w:rPr>
          <w:b w:val="0"/>
          <w:color w:val="auto"/>
        </w:rPr>
      </w:pPr>
      <w:bookmarkStart w:id="162" w:name="_Toc181362490"/>
      <w:r>
        <w:rPr>
          <w:rFonts w:hint="eastAsia"/>
          <w:color w:val="auto"/>
          <w:lang w:val="en-US" w:eastAsia="zh-CN"/>
        </w:rPr>
        <w:t>6</w:t>
      </w:r>
      <w:r>
        <w:rPr>
          <w:color w:val="auto"/>
        </w:rPr>
        <w:t>.3</w:t>
      </w:r>
      <w:r>
        <w:rPr>
          <w:rFonts w:hint="eastAsia"/>
          <w:color w:val="auto"/>
        </w:rPr>
        <w:t>项目整体设计，组织及实施方案的总体把关</w:t>
      </w:r>
      <w:bookmarkEnd w:id="162"/>
    </w:p>
    <w:p>
      <w:pPr>
        <w:pStyle w:val="317"/>
        <w:tabs>
          <w:tab w:val="left" w:pos="945"/>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3</w:t>
      </w:r>
      <w:r>
        <w:rPr>
          <w:rFonts w:cs="新宋体"/>
          <w:color w:val="auto"/>
          <w:sz w:val="24"/>
          <w:szCs w:val="24"/>
        </w:rPr>
        <w:t>.1</w:t>
      </w:r>
      <w:r>
        <w:rPr>
          <w:rFonts w:hint="eastAsia" w:cs="新宋体"/>
          <w:color w:val="auto"/>
          <w:sz w:val="24"/>
          <w:szCs w:val="24"/>
        </w:rPr>
        <w:t>审核和确认承建单位的实施人员组织和实施计划安排；</w:t>
      </w:r>
    </w:p>
    <w:p>
      <w:pPr>
        <w:pStyle w:val="317"/>
        <w:tabs>
          <w:tab w:val="left" w:pos="945"/>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3</w:t>
      </w:r>
      <w:r>
        <w:rPr>
          <w:rFonts w:cs="新宋体"/>
          <w:color w:val="auto"/>
          <w:sz w:val="24"/>
          <w:szCs w:val="24"/>
        </w:rPr>
        <w:t>.2</w:t>
      </w:r>
      <w:r>
        <w:rPr>
          <w:rFonts w:hint="eastAsia" w:cs="新宋体"/>
          <w:color w:val="auto"/>
          <w:sz w:val="24"/>
          <w:szCs w:val="24"/>
        </w:rPr>
        <w:t>审核和确认承建单位的质量计划和进度计划；</w:t>
      </w:r>
    </w:p>
    <w:p>
      <w:pPr>
        <w:pStyle w:val="4"/>
        <w:numPr>
          <w:ilvl w:val="255"/>
          <w:numId w:val="0"/>
        </w:numPr>
        <w:tabs>
          <w:tab w:val="left" w:pos="0"/>
        </w:tabs>
        <w:adjustRightInd w:val="0"/>
        <w:snapToGrid w:val="0"/>
        <w:rPr>
          <w:b w:val="0"/>
          <w:color w:val="auto"/>
        </w:rPr>
      </w:pPr>
      <w:bookmarkStart w:id="163" w:name="_Toc181362491"/>
      <w:r>
        <w:rPr>
          <w:rFonts w:hint="eastAsia"/>
          <w:color w:val="auto"/>
          <w:lang w:val="en-US" w:eastAsia="zh-CN"/>
        </w:rPr>
        <w:t>6</w:t>
      </w:r>
      <w:r>
        <w:rPr>
          <w:color w:val="auto"/>
        </w:rPr>
        <w:t>.4</w:t>
      </w:r>
      <w:r>
        <w:rPr>
          <w:rFonts w:hint="eastAsia"/>
          <w:color w:val="auto"/>
        </w:rPr>
        <w:t>监理服务期间质量、进度、投资、安全控制</w:t>
      </w:r>
      <w:bookmarkEnd w:id="163"/>
    </w:p>
    <w:p>
      <w:pPr>
        <w:pStyle w:val="317"/>
        <w:tabs>
          <w:tab w:val="left" w:pos="945"/>
        </w:tabs>
        <w:spacing w:line="480" w:lineRule="exact"/>
        <w:rPr>
          <w:rFonts w:cs="新宋体"/>
          <w:color w:val="auto"/>
          <w:sz w:val="24"/>
          <w:szCs w:val="24"/>
        </w:rPr>
      </w:pPr>
      <w:r>
        <w:rPr>
          <w:rFonts w:cs="新宋体"/>
          <w:color w:val="auto"/>
          <w:sz w:val="24"/>
          <w:szCs w:val="24"/>
        </w:rPr>
        <w:t>4.</w:t>
      </w:r>
      <w:r>
        <w:rPr>
          <w:rFonts w:hint="eastAsia" w:cs="新宋体"/>
          <w:color w:val="auto"/>
          <w:sz w:val="24"/>
          <w:szCs w:val="24"/>
        </w:rPr>
        <w:t>4</w:t>
      </w:r>
      <w:r>
        <w:rPr>
          <w:rFonts w:cs="新宋体"/>
          <w:color w:val="auto"/>
          <w:sz w:val="24"/>
          <w:szCs w:val="24"/>
        </w:rPr>
        <w:t>.</w:t>
      </w:r>
      <w:r>
        <w:rPr>
          <w:rFonts w:hint="eastAsia" w:cs="新宋体"/>
          <w:color w:val="auto"/>
          <w:sz w:val="24"/>
          <w:szCs w:val="24"/>
        </w:rPr>
        <w:t>1依据合同要求和有关技术标准，根据项目的进度计划及时向业主提出相关施工进展情况并提出专业建议；</w:t>
      </w:r>
    </w:p>
    <w:p>
      <w:pPr>
        <w:pStyle w:val="317"/>
        <w:tabs>
          <w:tab w:val="left" w:pos="945"/>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4</w:t>
      </w:r>
      <w:r>
        <w:rPr>
          <w:rFonts w:cs="新宋体"/>
          <w:color w:val="auto"/>
          <w:sz w:val="24"/>
          <w:szCs w:val="24"/>
        </w:rPr>
        <w:t>.</w:t>
      </w:r>
      <w:r>
        <w:rPr>
          <w:rFonts w:hint="eastAsia" w:cs="新宋体"/>
          <w:color w:val="auto"/>
          <w:sz w:val="24"/>
          <w:szCs w:val="24"/>
        </w:rPr>
        <w:t>2采取事前预防、事中控制、事后纠正的方式，依据国家法律、法规、标准以及项目合同、设计方案、监理规划、监理实施细则等文件控制工程质量；每月按项目对文档进行查阅审核，提供监理简报，对项目进行量化考评，提出项目工作的改进意见；</w:t>
      </w:r>
    </w:p>
    <w:p>
      <w:pPr>
        <w:pStyle w:val="317"/>
        <w:tabs>
          <w:tab w:val="left" w:pos="945"/>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4</w:t>
      </w:r>
      <w:r>
        <w:rPr>
          <w:rFonts w:cs="新宋体"/>
          <w:color w:val="auto"/>
          <w:sz w:val="24"/>
          <w:szCs w:val="24"/>
        </w:rPr>
        <w:t>.</w:t>
      </w:r>
      <w:r>
        <w:rPr>
          <w:rFonts w:hint="eastAsia" w:cs="新宋体"/>
          <w:color w:val="auto"/>
          <w:sz w:val="24"/>
          <w:szCs w:val="24"/>
        </w:rPr>
        <w:t>3协助业主单位进行设计方案的审核和确认；</w:t>
      </w:r>
    </w:p>
    <w:p>
      <w:pPr>
        <w:tabs>
          <w:tab w:val="left" w:pos="425"/>
        </w:tabs>
        <w:topLinePunct/>
        <w:autoSpaceDE w:val="0"/>
        <w:autoSpaceDN w:val="0"/>
        <w:spacing w:line="480" w:lineRule="exact"/>
        <w:rPr>
          <w:rFonts w:ascii="宋体" w:hAnsi="宋体" w:cs="新宋体"/>
          <w:color w:val="auto"/>
        </w:rPr>
      </w:pPr>
      <w:r>
        <w:rPr>
          <w:rFonts w:hint="eastAsia" w:ascii="宋体" w:hAnsi="宋体" w:cs="新宋体"/>
          <w:color w:val="auto"/>
          <w:lang w:val="en-US" w:eastAsia="zh-CN"/>
        </w:rPr>
        <w:t>6</w:t>
      </w:r>
      <w:r>
        <w:rPr>
          <w:rFonts w:ascii="宋体" w:hAnsi="宋体" w:cs="新宋体"/>
          <w:color w:val="auto"/>
        </w:rPr>
        <w:t>.</w:t>
      </w:r>
      <w:r>
        <w:rPr>
          <w:rFonts w:hint="eastAsia" w:ascii="宋体" w:hAnsi="宋体" w:cs="新宋体"/>
          <w:color w:val="auto"/>
        </w:rPr>
        <w:t>4</w:t>
      </w:r>
      <w:r>
        <w:rPr>
          <w:rFonts w:ascii="宋体" w:hAnsi="宋体" w:cs="新宋体"/>
          <w:color w:val="auto"/>
        </w:rPr>
        <w:t>.</w:t>
      </w:r>
      <w:r>
        <w:rPr>
          <w:rFonts w:hint="eastAsia" w:ascii="宋体" w:hAnsi="宋体" w:cs="新宋体"/>
          <w:color w:val="auto"/>
        </w:rPr>
        <w:t>4审核承建单位的进度计划，确认进度计划可以保证总体计划目标，监督检查项目进度执行情况；</w:t>
      </w:r>
    </w:p>
    <w:p>
      <w:pPr>
        <w:tabs>
          <w:tab w:val="left" w:pos="425"/>
        </w:tabs>
        <w:topLinePunct/>
        <w:autoSpaceDE w:val="0"/>
        <w:autoSpaceDN w:val="0"/>
        <w:spacing w:line="480" w:lineRule="exact"/>
        <w:rPr>
          <w:rFonts w:ascii="宋体" w:hAnsi="宋体" w:cs="新宋体"/>
          <w:color w:val="auto"/>
        </w:rPr>
      </w:pPr>
      <w:r>
        <w:rPr>
          <w:rFonts w:hint="eastAsia" w:ascii="宋体" w:hAnsi="宋体"/>
          <w:color w:val="auto"/>
          <w:szCs w:val="21"/>
          <w:lang w:val="en-US" w:eastAsia="zh-CN"/>
        </w:rPr>
        <w:t>6</w:t>
      </w:r>
      <w:r>
        <w:rPr>
          <w:rFonts w:ascii="宋体" w:hAnsi="宋体"/>
          <w:color w:val="auto"/>
          <w:szCs w:val="21"/>
        </w:rPr>
        <w:t>.</w:t>
      </w:r>
      <w:r>
        <w:rPr>
          <w:rFonts w:hint="eastAsia" w:ascii="宋体" w:hAnsi="宋体"/>
          <w:color w:val="auto"/>
          <w:szCs w:val="21"/>
        </w:rPr>
        <w:t>4</w:t>
      </w:r>
      <w:r>
        <w:rPr>
          <w:rFonts w:ascii="宋体" w:hAnsi="宋体"/>
          <w:color w:val="auto"/>
          <w:szCs w:val="21"/>
        </w:rPr>
        <w:t>.</w:t>
      </w:r>
      <w:r>
        <w:rPr>
          <w:rFonts w:hint="eastAsia" w:ascii="宋体" w:hAnsi="宋体"/>
          <w:color w:val="auto"/>
          <w:szCs w:val="21"/>
        </w:rPr>
        <w:t>5</w:t>
      </w:r>
      <w:r>
        <w:rPr>
          <w:rFonts w:hint="eastAsia" w:ascii="宋体" w:hAnsi="宋体" w:cs="新宋体"/>
          <w:color w:val="auto"/>
        </w:rPr>
        <w:t>对项目实施进度进行实时跟踪，并要求承建单位对进度计划进行动态调整，以确保项目的阶段和总体进度目标的实施；</w:t>
      </w:r>
    </w:p>
    <w:p>
      <w:pPr>
        <w:tabs>
          <w:tab w:val="left" w:pos="425"/>
        </w:tabs>
        <w:topLinePunct/>
        <w:autoSpaceDE w:val="0"/>
        <w:autoSpaceDN w:val="0"/>
        <w:spacing w:line="480" w:lineRule="exact"/>
        <w:rPr>
          <w:rFonts w:ascii="宋体" w:hAnsi="宋体" w:cs="新宋体"/>
          <w:color w:val="auto"/>
        </w:rPr>
      </w:pPr>
      <w:r>
        <w:rPr>
          <w:rFonts w:hint="eastAsia" w:ascii="宋体" w:hAnsi="宋体" w:cs="新宋体"/>
          <w:color w:val="auto"/>
          <w:lang w:val="en-US" w:eastAsia="zh-CN"/>
        </w:rPr>
        <w:t>6</w:t>
      </w:r>
      <w:r>
        <w:rPr>
          <w:rFonts w:ascii="宋体" w:hAnsi="宋体" w:cs="新宋体"/>
          <w:color w:val="auto"/>
        </w:rPr>
        <w:t>.</w:t>
      </w:r>
      <w:r>
        <w:rPr>
          <w:rFonts w:hint="eastAsia" w:ascii="宋体" w:hAnsi="宋体" w:cs="新宋体"/>
          <w:color w:val="auto"/>
        </w:rPr>
        <w:t>4</w:t>
      </w:r>
      <w:r>
        <w:rPr>
          <w:rFonts w:ascii="宋体" w:hAnsi="宋体" w:cs="新宋体"/>
          <w:color w:val="auto"/>
        </w:rPr>
        <w:t>.</w:t>
      </w:r>
      <w:r>
        <w:rPr>
          <w:rFonts w:hint="eastAsia" w:ascii="宋体" w:hAnsi="宋体" w:cs="新宋体"/>
          <w:color w:val="auto"/>
        </w:rPr>
        <w:t>6当工期严重偏离计划时，应及时指出，并提出对策建议，同时督促承建单位尽快采取措施；</w:t>
      </w:r>
    </w:p>
    <w:p>
      <w:pPr>
        <w:pStyle w:val="317"/>
        <w:tabs>
          <w:tab w:val="left" w:pos="63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4</w:t>
      </w:r>
      <w:r>
        <w:rPr>
          <w:rFonts w:cs="新宋体"/>
          <w:color w:val="auto"/>
          <w:sz w:val="24"/>
          <w:szCs w:val="24"/>
        </w:rPr>
        <w:t>.</w:t>
      </w:r>
      <w:r>
        <w:rPr>
          <w:rFonts w:hint="eastAsia" w:cs="新宋体"/>
          <w:color w:val="auto"/>
          <w:sz w:val="24"/>
          <w:szCs w:val="24"/>
        </w:rPr>
        <w:t>7通过对项目实施方案的优化，确保投资控制在合理、性价比高的范围内；</w:t>
      </w:r>
    </w:p>
    <w:p>
      <w:pPr>
        <w:pStyle w:val="317"/>
        <w:tabs>
          <w:tab w:val="left" w:pos="63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4</w:t>
      </w:r>
      <w:r>
        <w:rPr>
          <w:rFonts w:cs="新宋体"/>
          <w:color w:val="auto"/>
          <w:sz w:val="24"/>
          <w:szCs w:val="24"/>
        </w:rPr>
        <w:t>.</w:t>
      </w:r>
      <w:r>
        <w:rPr>
          <w:rFonts w:hint="eastAsia" w:cs="新宋体"/>
          <w:color w:val="auto"/>
          <w:sz w:val="24"/>
          <w:szCs w:val="24"/>
        </w:rPr>
        <w:t>8按施工合同约定的工程量计算规则和支付条款进行计量和签认工程款支付。</w:t>
      </w:r>
    </w:p>
    <w:p>
      <w:pPr>
        <w:pStyle w:val="317"/>
        <w:tabs>
          <w:tab w:val="left" w:pos="63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4</w:t>
      </w:r>
      <w:r>
        <w:rPr>
          <w:rFonts w:cs="新宋体"/>
          <w:color w:val="auto"/>
          <w:sz w:val="24"/>
          <w:szCs w:val="24"/>
        </w:rPr>
        <w:t>.</w:t>
      </w:r>
      <w:r>
        <w:rPr>
          <w:rFonts w:hint="eastAsia" w:cs="新宋体"/>
          <w:color w:val="auto"/>
          <w:sz w:val="24"/>
          <w:szCs w:val="24"/>
        </w:rPr>
        <w:t>9凡涉及工程变更、工程量增减、议价、索赔、处理事故、改变工期、改变技术标准、改变重大施工方案等有关的问题，须第一时间告知业主，并形成记录文件。</w:t>
      </w:r>
    </w:p>
    <w:p>
      <w:pPr>
        <w:pStyle w:val="317"/>
        <w:tabs>
          <w:tab w:val="left" w:pos="63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w:t>
      </w:r>
      <w:r>
        <w:rPr>
          <w:rFonts w:hint="eastAsia" w:cs="新宋体"/>
          <w:color w:val="auto"/>
          <w:sz w:val="24"/>
          <w:szCs w:val="24"/>
        </w:rPr>
        <w:t>4</w:t>
      </w:r>
      <w:r>
        <w:rPr>
          <w:rFonts w:cs="新宋体"/>
          <w:color w:val="auto"/>
          <w:sz w:val="24"/>
          <w:szCs w:val="24"/>
        </w:rPr>
        <w:t>.</w:t>
      </w:r>
      <w:r>
        <w:rPr>
          <w:rFonts w:hint="eastAsia" w:cs="新宋体"/>
          <w:color w:val="auto"/>
          <w:sz w:val="24"/>
          <w:szCs w:val="24"/>
        </w:rPr>
        <w:t>10按施工合同约定进行竣工结算审核。</w:t>
      </w:r>
    </w:p>
    <w:p>
      <w:pPr>
        <w:pStyle w:val="317"/>
        <w:tabs>
          <w:tab w:val="left" w:pos="63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.4.1</w:t>
      </w:r>
      <w:r>
        <w:rPr>
          <w:rFonts w:hint="eastAsia" w:cs="新宋体"/>
          <w:color w:val="auto"/>
          <w:sz w:val="24"/>
          <w:szCs w:val="24"/>
        </w:rPr>
        <w:t>1</w:t>
      </w:r>
      <w:r>
        <w:rPr>
          <w:rFonts w:cs="新宋体"/>
          <w:color w:val="auto"/>
          <w:sz w:val="24"/>
          <w:szCs w:val="24"/>
        </w:rPr>
        <w:t>负责项目建设施工过程中安全控制，确保不出现安全事故。</w:t>
      </w:r>
    </w:p>
    <w:p>
      <w:pPr>
        <w:pStyle w:val="4"/>
        <w:numPr>
          <w:ilvl w:val="255"/>
          <w:numId w:val="0"/>
        </w:numPr>
        <w:tabs>
          <w:tab w:val="left" w:pos="0"/>
        </w:tabs>
        <w:adjustRightInd w:val="0"/>
        <w:snapToGrid w:val="0"/>
        <w:rPr>
          <w:color w:val="auto"/>
        </w:rPr>
      </w:pPr>
      <w:bookmarkStart w:id="164" w:name="_Toc181362492"/>
      <w:r>
        <w:rPr>
          <w:rFonts w:hint="eastAsia"/>
          <w:color w:val="auto"/>
          <w:lang w:val="en-US" w:eastAsia="zh-CN"/>
        </w:rPr>
        <w:t>6</w:t>
      </w:r>
      <w:r>
        <w:rPr>
          <w:color w:val="auto"/>
        </w:rPr>
        <w:t>.5</w:t>
      </w:r>
      <w:r>
        <w:rPr>
          <w:rFonts w:hint="eastAsia"/>
          <w:color w:val="auto"/>
        </w:rPr>
        <w:t>监理服务期间合同、信息、文件管理</w:t>
      </w:r>
      <w:bookmarkEnd w:id="164"/>
    </w:p>
    <w:p>
      <w:pPr>
        <w:pStyle w:val="317"/>
        <w:tabs>
          <w:tab w:val="left" w:pos="945"/>
        </w:tabs>
        <w:spacing w:line="480" w:lineRule="exact"/>
        <w:rPr>
          <w:rFonts w:cs="新宋体"/>
          <w:b/>
          <w:color w:val="auto"/>
          <w:sz w:val="24"/>
          <w:szCs w:val="24"/>
        </w:rPr>
      </w:pPr>
      <w:r>
        <w:rPr>
          <w:rFonts w:hint="eastAsia" w:ascii="Times New Roman" w:hAnsi="Times New Roman" w:cs="Times New Roman"/>
          <w:b/>
          <w:bCs/>
          <w:color w:val="auto"/>
          <w:kern w:val="2"/>
          <w:sz w:val="24"/>
          <w:szCs w:val="32"/>
        </w:rPr>
        <w:t>合同管理</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.5.1</w:t>
      </w:r>
      <w:r>
        <w:rPr>
          <w:rFonts w:hint="eastAsia" w:cs="新宋体"/>
          <w:color w:val="auto"/>
          <w:sz w:val="24"/>
          <w:szCs w:val="24"/>
        </w:rPr>
        <w:t>跟踪检查合同的执行情况，确保承建单位按时履约；</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.5.2</w:t>
      </w:r>
      <w:r>
        <w:rPr>
          <w:rFonts w:hint="eastAsia" w:cs="新宋体"/>
          <w:color w:val="auto"/>
          <w:sz w:val="24"/>
          <w:szCs w:val="24"/>
        </w:rPr>
        <w:t>检查施工承包人工程质量、安全生产管理制度及组织机构和人员资格；</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.5.3</w:t>
      </w:r>
      <w:r>
        <w:rPr>
          <w:rFonts w:hint="eastAsia" w:cs="新宋体"/>
          <w:color w:val="auto"/>
          <w:sz w:val="24"/>
          <w:szCs w:val="24"/>
        </w:rPr>
        <w:t>检查施工承包人专职安全生产管理人员的配备情况；</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.5.4</w:t>
      </w:r>
      <w:r>
        <w:rPr>
          <w:rFonts w:hint="eastAsia" w:cs="新宋体"/>
          <w:color w:val="auto"/>
          <w:sz w:val="24"/>
          <w:szCs w:val="24"/>
        </w:rPr>
        <w:t>对合同工期的延误和延期进行解释，协助业主处理项目实施的每个过程出现的合同变更、违约、</w:t>
      </w:r>
      <w:r>
        <w:rPr>
          <w:rFonts w:cs="新宋体"/>
          <w:color w:val="auto"/>
          <w:sz w:val="24"/>
          <w:szCs w:val="24"/>
        </w:rPr>
        <w:t xml:space="preserve"> </w:t>
      </w:r>
      <w:r>
        <w:rPr>
          <w:rFonts w:hint="eastAsia" w:cs="新宋体"/>
          <w:color w:val="auto"/>
          <w:sz w:val="24"/>
          <w:szCs w:val="24"/>
        </w:rPr>
        <w:t>索赔、延期、延误、争议、分包、解除、终止、纠纷调解及仲裁等问题，处理工程暂停及复工等事宜；</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.5.5</w:t>
      </w:r>
      <w:r>
        <w:rPr>
          <w:rFonts w:hint="eastAsia" w:cs="新宋体"/>
          <w:color w:val="auto"/>
          <w:sz w:val="24"/>
          <w:szCs w:val="24"/>
        </w:rPr>
        <w:t>根据合同约定，对承建单位提交的付款申请，</w:t>
      </w:r>
      <w:r>
        <w:rPr>
          <w:rFonts w:cs="新宋体"/>
          <w:color w:val="auto"/>
          <w:sz w:val="24"/>
          <w:szCs w:val="24"/>
        </w:rPr>
        <w:t>对申请内容包括</w:t>
      </w:r>
      <w:r>
        <w:rPr>
          <w:rFonts w:hint="eastAsia" w:cs="新宋体"/>
          <w:color w:val="auto"/>
          <w:sz w:val="24"/>
          <w:szCs w:val="24"/>
        </w:rPr>
        <w:t>不限于</w:t>
      </w:r>
      <w:r>
        <w:rPr>
          <w:rFonts w:cs="新宋体"/>
          <w:color w:val="auto"/>
          <w:sz w:val="24"/>
          <w:szCs w:val="24"/>
        </w:rPr>
        <w:t>数量金额支持材料等进行</w:t>
      </w:r>
      <w:r>
        <w:rPr>
          <w:rFonts w:hint="eastAsia" w:cs="新宋体"/>
          <w:color w:val="auto"/>
          <w:sz w:val="24"/>
          <w:szCs w:val="24"/>
        </w:rPr>
        <w:t>严格</w:t>
      </w:r>
      <w:r>
        <w:rPr>
          <w:rFonts w:cs="新宋体"/>
          <w:color w:val="auto"/>
          <w:sz w:val="24"/>
          <w:szCs w:val="24"/>
        </w:rPr>
        <w:t>审核</w:t>
      </w:r>
      <w:r>
        <w:rPr>
          <w:rFonts w:hint="eastAsia" w:cs="新宋体"/>
          <w:color w:val="auto"/>
          <w:sz w:val="24"/>
          <w:szCs w:val="24"/>
        </w:rPr>
        <w:t>，提出客观完整的付款建议。</w:t>
      </w:r>
    </w:p>
    <w:p>
      <w:pPr>
        <w:pStyle w:val="317"/>
        <w:tabs>
          <w:tab w:val="left" w:pos="945"/>
        </w:tabs>
        <w:spacing w:line="480" w:lineRule="exact"/>
        <w:rPr>
          <w:rFonts w:cs="新宋体"/>
          <w:b/>
          <w:color w:val="auto"/>
          <w:sz w:val="24"/>
          <w:szCs w:val="24"/>
        </w:rPr>
      </w:pPr>
      <w:r>
        <w:rPr>
          <w:rFonts w:hint="eastAsia" w:cs="新宋体"/>
          <w:b/>
          <w:color w:val="auto"/>
          <w:sz w:val="24"/>
          <w:szCs w:val="24"/>
        </w:rPr>
        <w:t>项目信息管理</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.5.6</w:t>
      </w:r>
      <w:r>
        <w:rPr>
          <w:rFonts w:hint="eastAsia" w:cs="新宋体"/>
          <w:color w:val="auto"/>
          <w:sz w:val="24"/>
          <w:szCs w:val="24"/>
        </w:rPr>
        <w:t>及时向业主提交反映项目动态和监理工作情况的项目文档；</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.5.7 建立全面、准确反映项目各阶段工程状况的图表、文档，收集、管理项目各类文档和资料；</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.5.8</w:t>
      </w:r>
      <w:r>
        <w:rPr>
          <w:rFonts w:hint="eastAsia" w:cs="新宋体"/>
          <w:color w:val="auto"/>
          <w:sz w:val="24"/>
          <w:szCs w:val="24"/>
        </w:rPr>
        <w:t>督促、检查、指导集成单位及时完成各阶段设备资料、工程技术资料的整理和归档工作；</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.5.9</w:t>
      </w:r>
      <w:r>
        <w:rPr>
          <w:rFonts w:hint="eastAsia" w:cs="新宋体"/>
          <w:color w:val="auto"/>
          <w:sz w:val="24"/>
          <w:szCs w:val="24"/>
        </w:rPr>
        <w:t>转发业主发出的一切指示、通知和业务联系单。</w:t>
      </w:r>
    </w:p>
    <w:p>
      <w:pPr>
        <w:pStyle w:val="317"/>
        <w:tabs>
          <w:tab w:val="left" w:pos="945"/>
        </w:tabs>
        <w:spacing w:line="480" w:lineRule="exact"/>
        <w:rPr>
          <w:rFonts w:cs="新宋体"/>
          <w:b/>
          <w:color w:val="auto"/>
          <w:sz w:val="24"/>
          <w:szCs w:val="24"/>
        </w:rPr>
      </w:pPr>
      <w:r>
        <w:rPr>
          <w:rFonts w:hint="eastAsia" w:cs="新宋体"/>
          <w:b/>
          <w:color w:val="auto"/>
          <w:sz w:val="24"/>
          <w:szCs w:val="24"/>
        </w:rPr>
        <w:t>项目文件的管理</w:t>
      </w:r>
    </w:p>
    <w:p>
      <w:pPr>
        <w:pStyle w:val="317"/>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.5.10</w:t>
      </w:r>
      <w:r>
        <w:rPr>
          <w:rFonts w:hint="eastAsia" w:cs="新宋体"/>
          <w:color w:val="auto"/>
          <w:sz w:val="24"/>
          <w:szCs w:val="24"/>
        </w:rPr>
        <w:t>监理方应负责以下文档的编写及文档管理：</w:t>
      </w:r>
    </w:p>
    <w:p>
      <w:pPr>
        <w:pStyle w:val="317"/>
        <w:tabs>
          <w:tab w:val="left" w:pos="840"/>
        </w:tabs>
        <w:spacing w:line="480" w:lineRule="exact"/>
        <w:rPr>
          <w:rFonts w:cs="新宋体"/>
          <w:color w:val="auto"/>
          <w:sz w:val="24"/>
          <w:szCs w:val="24"/>
        </w:rPr>
      </w:pPr>
      <w:r>
        <w:rPr>
          <w:rFonts w:hint="eastAsia" w:cs="新宋体"/>
          <w:color w:val="auto"/>
          <w:sz w:val="24"/>
          <w:szCs w:val="24"/>
        </w:rPr>
        <w:t>（</w:t>
      </w:r>
      <w:r>
        <w:rPr>
          <w:rFonts w:cs="新宋体"/>
          <w:color w:val="auto"/>
          <w:sz w:val="24"/>
          <w:szCs w:val="24"/>
        </w:rPr>
        <w:t>1）项目建设监理日记、周报、月报及项目大事记；</w:t>
      </w:r>
    </w:p>
    <w:p>
      <w:pPr>
        <w:pStyle w:val="317"/>
        <w:tabs>
          <w:tab w:val="left" w:pos="840"/>
        </w:tabs>
        <w:spacing w:line="480" w:lineRule="exact"/>
        <w:rPr>
          <w:rFonts w:cs="新宋体"/>
          <w:color w:val="auto"/>
          <w:sz w:val="24"/>
          <w:szCs w:val="24"/>
        </w:rPr>
      </w:pPr>
      <w:r>
        <w:rPr>
          <w:rFonts w:hint="eastAsia" w:cs="新宋体"/>
          <w:color w:val="auto"/>
          <w:sz w:val="24"/>
          <w:szCs w:val="24"/>
        </w:rPr>
        <w:t>（</w:t>
      </w:r>
      <w:r>
        <w:rPr>
          <w:rFonts w:cs="新宋体"/>
          <w:color w:val="auto"/>
          <w:sz w:val="24"/>
          <w:szCs w:val="24"/>
        </w:rPr>
        <w:t>2）项目协调会、技术研讨会等各类会议的纪要；</w:t>
      </w:r>
    </w:p>
    <w:p>
      <w:pPr>
        <w:pStyle w:val="317"/>
        <w:tabs>
          <w:tab w:val="left" w:pos="840"/>
        </w:tabs>
        <w:spacing w:line="480" w:lineRule="exact"/>
        <w:rPr>
          <w:rFonts w:cs="新宋体"/>
          <w:color w:val="auto"/>
          <w:sz w:val="24"/>
          <w:szCs w:val="24"/>
        </w:rPr>
      </w:pPr>
      <w:r>
        <w:rPr>
          <w:rFonts w:hint="eastAsia" w:cs="新宋体"/>
          <w:color w:val="auto"/>
          <w:sz w:val="24"/>
          <w:szCs w:val="24"/>
        </w:rPr>
        <w:t>（</w:t>
      </w:r>
      <w:r>
        <w:rPr>
          <w:rFonts w:cs="新宋体"/>
          <w:color w:val="auto"/>
          <w:sz w:val="24"/>
          <w:szCs w:val="24"/>
        </w:rPr>
        <w:t>3）阶段性项目总结、阶段性项目监理总结、事故报告、评估报告、各类监理通知。</w:t>
      </w:r>
    </w:p>
    <w:p>
      <w:pPr>
        <w:pStyle w:val="317"/>
        <w:tabs>
          <w:tab w:val="left" w:pos="840"/>
        </w:tabs>
        <w:spacing w:line="480" w:lineRule="exact"/>
        <w:rPr>
          <w:rFonts w:cs="新宋体"/>
          <w:color w:val="auto"/>
          <w:sz w:val="24"/>
          <w:szCs w:val="24"/>
        </w:rPr>
      </w:pPr>
      <w:r>
        <w:rPr>
          <w:rFonts w:hint="eastAsia" w:cs="新宋体"/>
          <w:color w:val="auto"/>
          <w:sz w:val="24"/>
          <w:szCs w:val="24"/>
        </w:rPr>
        <w:t>（</w:t>
      </w:r>
      <w:r>
        <w:rPr>
          <w:rFonts w:cs="新宋体"/>
          <w:color w:val="auto"/>
          <w:sz w:val="24"/>
          <w:szCs w:val="24"/>
        </w:rPr>
        <w:t>4）项目实施期间各类技术文件；</w:t>
      </w:r>
    </w:p>
    <w:p>
      <w:pPr>
        <w:pStyle w:val="317"/>
        <w:tabs>
          <w:tab w:val="left" w:pos="840"/>
        </w:tabs>
        <w:spacing w:line="480" w:lineRule="exact"/>
        <w:rPr>
          <w:rFonts w:cs="新宋体"/>
          <w:color w:val="auto"/>
          <w:sz w:val="24"/>
          <w:szCs w:val="24"/>
        </w:rPr>
      </w:pPr>
      <w:r>
        <w:rPr>
          <w:rFonts w:hint="eastAsia" w:cs="新宋体"/>
          <w:color w:val="auto"/>
          <w:sz w:val="24"/>
          <w:szCs w:val="24"/>
        </w:rPr>
        <w:t>（</w:t>
      </w:r>
      <w:r>
        <w:rPr>
          <w:rFonts w:cs="新宋体"/>
          <w:color w:val="auto"/>
          <w:sz w:val="24"/>
          <w:szCs w:val="24"/>
        </w:rPr>
        <w:t>5）合同执行过程中的各类往来文件及存档。</w:t>
      </w:r>
    </w:p>
    <w:p>
      <w:pPr>
        <w:pStyle w:val="4"/>
        <w:numPr>
          <w:ilvl w:val="255"/>
          <w:numId w:val="0"/>
        </w:numPr>
        <w:tabs>
          <w:tab w:val="left" w:pos="0"/>
        </w:tabs>
        <w:adjustRightInd w:val="0"/>
        <w:snapToGrid w:val="0"/>
        <w:rPr>
          <w:b w:val="0"/>
          <w:color w:val="auto"/>
        </w:rPr>
      </w:pPr>
      <w:bookmarkStart w:id="165" w:name="_Toc181362493"/>
      <w:r>
        <w:rPr>
          <w:rFonts w:hint="eastAsia"/>
          <w:color w:val="auto"/>
          <w:lang w:val="en-US" w:eastAsia="zh-CN"/>
        </w:rPr>
        <w:t>6</w:t>
      </w:r>
      <w:r>
        <w:rPr>
          <w:color w:val="auto"/>
        </w:rPr>
        <w:t>.6</w:t>
      </w:r>
      <w:r>
        <w:rPr>
          <w:rFonts w:hint="eastAsia"/>
          <w:color w:val="auto"/>
        </w:rPr>
        <w:t>项目会议制度</w:t>
      </w:r>
      <w:bookmarkEnd w:id="165"/>
    </w:p>
    <w:p>
      <w:pPr>
        <w:pStyle w:val="317"/>
        <w:spacing w:line="480" w:lineRule="exact"/>
        <w:rPr>
          <w:rFonts w:cs="新宋体"/>
          <w:color w:val="auto"/>
          <w:sz w:val="24"/>
          <w:szCs w:val="24"/>
        </w:rPr>
      </w:pPr>
      <w:r>
        <w:rPr>
          <w:rFonts w:hint="eastAsia" w:cs="新宋体"/>
          <w:color w:val="auto"/>
          <w:sz w:val="24"/>
          <w:szCs w:val="24"/>
          <w:lang w:val="en-US" w:eastAsia="zh-CN"/>
        </w:rPr>
        <w:t>6</w:t>
      </w:r>
      <w:r>
        <w:rPr>
          <w:rFonts w:hint="eastAsia" w:cs="新宋体"/>
          <w:color w:val="auto"/>
          <w:sz w:val="24"/>
          <w:szCs w:val="24"/>
        </w:rPr>
        <w:t>.6.1为保证监理工作的开展和实施协调，监理方可组织必要的会议来保证：</w:t>
      </w:r>
    </w:p>
    <w:p>
      <w:pPr>
        <w:pStyle w:val="317"/>
        <w:tabs>
          <w:tab w:val="left" w:pos="840"/>
        </w:tabs>
        <w:spacing w:line="480" w:lineRule="exact"/>
        <w:rPr>
          <w:rFonts w:cs="新宋体"/>
          <w:color w:val="auto"/>
          <w:sz w:val="24"/>
          <w:szCs w:val="24"/>
        </w:rPr>
      </w:pPr>
      <w:r>
        <w:rPr>
          <w:rFonts w:hint="eastAsia" w:cs="新宋体"/>
          <w:color w:val="auto"/>
          <w:sz w:val="24"/>
          <w:szCs w:val="24"/>
          <w:lang w:val="en-US" w:eastAsia="zh-CN"/>
        </w:rPr>
        <w:t>6</w:t>
      </w:r>
      <w:r>
        <w:rPr>
          <w:rFonts w:hint="eastAsia" w:cs="新宋体"/>
          <w:color w:val="auto"/>
          <w:sz w:val="24"/>
          <w:szCs w:val="24"/>
        </w:rPr>
        <w:t>.6.2项目协调会、项目周例会、项目专题研讨会、项目问题通报会、项目阶段及最终验收会、施工图纸审查会，参加设计交底会等会议。</w:t>
      </w:r>
    </w:p>
    <w:p>
      <w:pPr>
        <w:pStyle w:val="317"/>
        <w:tabs>
          <w:tab w:val="left" w:pos="840"/>
        </w:tabs>
        <w:spacing w:line="480" w:lineRule="exact"/>
        <w:rPr>
          <w:rFonts w:cs="新宋体"/>
          <w:color w:val="auto"/>
          <w:sz w:val="24"/>
          <w:szCs w:val="24"/>
        </w:rPr>
      </w:pPr>
      <w:r>
        <w:rPr>
          <w:rFonts w:hint="eastAsia" w:cs="新宋体"/>
          <w:color w:val="auto"/>
          <w:sz w:val="24"/>
          <w:szCs w:val="24"/>
          <w:lang w:val="en-US" w:eastAsia="zh-CN"/>
        </w:rPr>
        <w:t>6</w:t>
      </w:r>
      <w:r>
        <w:rPr>
          <w:rFonts w:hint="eastAsia" w:cs="新宋体"/>
          <w:color w:val="auto"/>
          <w:sz w:val="24"/>
          <w:szCs w:val="24"/>
        </w:rPr>
        <w:t>.6.3监理方还应积极参加以下会议：项目专家论证评审会；项目阶段工作总结会。</w:t>
      </w:r>
    </w:p>
    <w:p>
      <w:pPr>
        <w:pStyle w:val="4"/>
        <w:numPr>
          <w:ilvl w:val="255"/>
          <w:numId w:val="0"/>
        </w:numPr>
        <w:tabs>
          <w:tab w:val="left" w:pos="0"/>
        </w:tabs>
        <w:adjustRightInd w:val="0"/>
        <w:snapToGrid w:val="0"/>
        <w:rPr>
          <w:b w:val="0"/>
          <w:color w:val="auto"/>
        </w:rPr>
      </w:pPr>
      <w:bookmarkStart w:id="166" w:name="_Toc181362494"/>
      <w:r>
        <w:rPr>
          <w:rFonts w:hint="eastAsia"/>
          <w:color w:val="auto"/>
          <w:lang w:val="en-US" w:eastAsia="zh-CN"/>
        </w:rPr>
        <w:t>6</w:t>
      </w:r>
      <w:r>
        <w:rPr>
          <w:color w:val="auto"/>
        </w:rPr>
        <w:t>.7</w:t>
      </w:r>
      <w:r>
        <w:rPr>
          <w:rFonts w:hint="eastAsia"/>
          <w:color w:val="auto"/>
        </w:rPr>
        <w:t>组织协调</w:t>
      </w:r>
      <w:bookmarkEnd w:id="166"/>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.7.1</w:t>
      </w:r>
      <w:r>
        <w:rPr>
          <w:rFonts w:hint="eastAsia" w:cs="新宋体"/>
          <w:color w:val="auto"/>
          <w:sz w:val="24"/>
          <w:szCs w:val="24"/>
        </w:rPr>
        <w:t>监督各方履行职责，协调各方的工作关系；</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.7.2</w:t>
      </w:r>
      <w:r>
        <w:rPr>
          <w:rFonts w:hint="eastAsia" w:cs="新宋体"/>
          <w:color w:val="auto"/>
          <w:sz w:val="24"/>
          <w:szCs w:val="24"/>
        </w:rPr>
        <w:t>建立畅通的沟通平台和沟通渠道，采取有效措施使项目信息在有关各方之间保持顺畅流通，积极协调项目各方之间的关系，推动项目实施过程中问题的解决。</w:t>
      </w:r>
    </w:p>
    <w:p>
      <w:pPr>
        <w:pStyle w:val="317"/>
        <w:tabs>
          <w:tab w:val="left" w:pos="640"/>
        </w:tabs>
        <w:spacing w:line="480" w:lineRule="exact"/>
        <w:rPr>
          <w:rFonts w:cs="新宋体"/>
          <w:color w:val="auto"/>
          <w:sz w:val="24"/>
          <w:szCs w:val="24"/>
        </w:rPr>
      </w:pPr>
      <w:r>
        <w:rPr>
          <w:rFonts w:hint="eastAsia" w:cs="新宋体"/>
          <w:color w:val="auto"/>
          <w:sz w:val="24"/>
          <w:szCs w:val="24"/>
          <w:lang w:val="en-US" w:eastAsia="zh-CN"/>
        </w:rPr>
        <w:t>6</w:t>
      </w:r>
      <w:r>
        <w:rPr>
          <w:rFonts w:cs="新宋体"/>
          <w:color w:val="auto"/>
          <w:sz w:val="24"/>
          <w:szCs w:val="24"/>
        </w:rPr>
        <w:t>.7.3</w:t>
      </w:r>
      <w:r>
        <w:rPr>
          <w:rFonts w:hint="eastAsia" w:cs="新宋体"/>
          <w:color w:val="auto"/>
          <w:sz w:val="24"/>
          <w:szCs w:val="24"/>
        </w:rPr>
        <w:t>确立项目安全监督的工作目标。</w:t>
      </w:r>
    </w:p>
    <w:p>
      <w:pPr>
        <w:pStyle w:val="4"/>
        <w:numPr>
          <w:ilvl w:val="255"/>
          <w:numId w:val="0"/>
        </w:numPr>
        <w:tabs>
          <w:tab w:val="left" w:pos="0"/>
        </w:tabs>
        <w:adjustRightInd w:val="0"/>
        <w:snapToGrid w:val="0"/>
        <w:rPr>
          <w:color w:val="auto"/>
        </w:rPr>
      </w:pPr>
      <w:bookmarkStart w:id="167" w:name="_Toc181362495"/>
      <w:r>
        <w:rPr>
          <w:rFonts w:hint="eastAsia"/>
          <w:color w:val="auto"/>
          <w:lang w:val="en-US" w:eastAsia="zh-CN"/>
        </w:rPr>
        <w:t>6</w:t>
      </w:r>
      <w:r>
        <w:rPr>
          <w:color w:val="auto"/>
        </w:rPr>
        <w:t>.8</w:t>
      </w:r>
      <w:r>
        <w:rPr>
          <w:rFonts w:hint="eastAsia"/>
          <w:color w:val="auto"/>
        </w:rPr>
        <w:t>勘察设计阶段服务要求和任务</w:t>
      </w:r>
      <w:bookmarkEnd w:id="167"/>
    </w:p>
    <w:p>
      <w:pPr>
        <w:pStyle w:val="239"/>
        <w:spacing w:line="480" w:lineRule="exact"/>
        <w:rPr>
          <w:rFonts w:ascii="宋体" w:hAnsi="宋体" w:cs="新宋体"/>
          <w:color w:val="auto"/>
          <w:sz w:val="24"/>
          <w:szCs w:val="24"/>
        </w:rPr>
      </w:pPr>
      <w:r>
        <w:rPr>
          <w:rFonts w:hint="eastAsia" w:ascii="宋体" w:hAnsi="宋体" w:cs="新宋体"/>
          <w:color w:val="auto"/>
          <w:sz w:val="24"/>
          <w:szCs w:val="24"/>
          <w:lang w:val="en-US" w:eastAsia="zh-CN"/>
        </w:rPr>
        <w:t>6</w:t>
      </w:r>
      <w:r>
        <w:rPr>
          <w:rFonts w:ascii="宋体" w:hAnsi="宋体" w:cs="新宋体"/>
          <w:color w:val="auto"/>
          <w:sz w:val="24"/>
          <w:szCs w:val="24"/>
        </w:rPr>
        <w:t>.8.1</w:t>
      </w:r>
      <w:r>
        <w:rPr>
          <w:rFonts w:hint="eastAsia" w:ascii="宋体" w:hAnsi="宋体" w:cs="新宋体"/>
          <w:color w:val="auto"/>
          <w:sz w:val="24"/>
          <w:szCs w:val="24"/>
        </w:rPr>
        <w:t>审查勘察单位提交的勘察方案，提出审查意见后报建设单位。如变更勘察方案时应按原程序重审；</w:t>
      </w:r>
    </w:p>
    <w:p>
      <w:pPr>
        <w:pStyle w:val="239"/>
        <w:spacing w:line="480" w:lineRule="exact"/>
        <w:rPr>
          <w:rFonts w:ascii="宋体" w:hAnsi="宋体" w:cs="新宋体"/>
          <w:color w:val="auto"/>
          <w:sz w:val="24"/>
          <w:szCs w:val="24"/>
        </w:rPr>
      </w:pPr>
      <w:r>
        <w:rPr>
          <w:rFonts w:hint="eastAsia" w:ascii="宋体" w:hAnsi="宋体" w:cs="新宋体"/>
          <w:color w:val="auto"/>
          <w:sz w:val="24"/>
          <w:szCs w:val="24"/>
          <w:lang w:val="en-US" w:eastAsia="zh-CN"/>
        </w:rPr>
        <w:t>6</w:t>
      </w:r>
      <w:r>
        <w:rPr>
          <w:rFonts w:ascii="宋体" w:hAnsi="宋体" w:cs="新宋体"/>
          <w:color w:val="auto"/>
          <w:sz w:val="24"/>
          <w:szCs w:val="24"/>
        </w:rPr>
        <w:t>.8.2</w:t>
      </w:r>
      <w:r>
        <w:rPr>
          <w:rFonts w:hint="eastAsia" w:ascii="宋体" w:hAnsi="宋体" w:cs="新宋体"/>
          <w:color w:val="auto"/>
          <w:sz w:val="24"/>
          <w:szCs w:val="24"/>
        </w:rPr>
        <w:t>勘察方案的主要审查内容为</w:t>
      </w:r>
      <w:r>
        <w:rPr>
          <w:rFonts w:ascii="宋体" w:hAnsi="宋体" w:cs="新宋体"/>
          <w:color w:val="auto"/>
          <w:sz w:val="24"/>
          <w:szCs w:val="24"/>
        </w:rPr>
        <w:t>:a勘察测试的目的和应解决的工程技术问题的明确性;b勘察测量工作量的准确、合理程度;c勘察方案实施的方法、手段的针对性、合理性、可靠性和先进性,勘察探孔布置的数量以及布置的针对性;d拟定的勘察报告及图件、章节内容的完整性、实用性及满足工程设计、施工的要求程度;e质量标准的正确性。在确保勘察、设计的安全性、科学性、可行性的前提下,勘察方案中勘探布孔的位置、数量最为关键,对勘察结果的准确性、实用性以及设计方案的确定、工程造价有直接影响。</w:t>
      </w:r>
    </w:p>
    <w:p>
      <w:pPr>
        <w:pStyle w:val="239"/>
        <w:spacing w:line="480" w:lineRule="exact"/>
        <w:rPr>
          <w:rFonts w:ascii="宋体" w:hAnsi="宋体" w:cs="新宋体"/>
          <w:color w:val="auto"/>
          <w:sz w:val="24"/>
          <w:szCs w:val="24"/>
        </w:rPr>
      </w:pPr>
      <w:r>
        <w:rPr>
          <w:rFonts w:hint="eastAsia" w:ascii="宋体" w:hAnsi="宋体" w:cs="新宋体"/>
          <w:color w:val="auto"/>
          <w:sz w:val="24"/>
          <w:szCs w:val="24"/>
          <w:lang w:val="en-US" w:eastAsia="zh-CN"/>
        </w:rPr>
        <w:t>6</w:t>
      </w:r>
      <w:r>
        <w:rPr>
          <w:rFonts w:ascii="宋体" w:hAnsi="宋体" w:cs="新宋体"/>
          <w:color w:val="auto"/>
          <w:sz w:val="24"/>
          <w:szCs w:val="24"/>
        </w:rPr>
        <w:t>.8.3</w:t>
      </w:r>
      <w:r>
        <w:rPr>
          <w:rFonts w:hint="eastAsia" w:ascii="宋体" w:hAnsi="宋体" w:cs="新宋体"/>
          <w:color w:val="auto"/>
          <w:sz w:val="24"/>
          <w:szCs w:val="24"/>
        </w:rPr>
        <w:t>检查勘察现场及室内试验主要岗位操作人员资格及设备、仪器计量的检定情况。</w:t>
      </w:r>
    </w:p>
    <w:p>
      <w:pPr>
        <w:pStyle w:val="239"/>
        <w:spacing w:line="480" w:lineRule="exact"/>
        <w:rPr>
          <w:rFonts w:ascii="宋体" w:hAnsi="宋体" w:cs="新宋体"/>
          <w:color w:val="auto"/>
          <w:sz w:val="24"/>
          <w:szCs w:val="24"/>
        </w:rPr>
      </w:pPr>
      <w:r>
        <w:rPr>
          <w:rFonts w:hint="eastAsia" w:ascii="宋体" w:hAnsi="宋体" w:cs="新宋体"/>
          <w:color w:val="auto"/>
          <w:sz w:val="24"/>
          <w:szCs w:val="24"/>
          <w:lang w:val="en-US" w:eastAsia="zh-CN"/>
        </w:rPr>
        <w:t>6</w:t>
      </w:r>
      <w:r>
        <w:rPr>
          <w:rFonts w:ascii="宋体" w:hAnsi="宋体" w:cs="新宋体"/>
          <w:color w:val="auto"/>
          <w:sz w:val="24"/>
          <w:szCs w:val="24"/>
        </w:rPr>
        <w:t>.8.4</w:t>
      </w:r>
      <w:r>
        <w:rPr>
          <w:rFonts w:hint="eastAsia" w:ascii="宋体" w:hAnsi="宋体" w:cs="新宋体"/>
          <w:color w:val="auto"/>
          <w:sz w:val="24"/>
          <w:szCs w:val="24"/>
        </w:rPr>
        <w:t>检查勘察进度计划执行情况，督促勘察单位按照规定的标准、规范、规程和技术条例完成合同约定工作内容，审核勘察费用支付申请表，签发勘察费用支付证书，并报建设单位。</w:t>
      </w:r>
    </w:p>
    <w:p>
      <w:pPr>
        <w:pStyle w:val="239"/>
        <w:spacing w:line="480" w:lineRule="exact"/>
        <w:rPr>
          <w:rFonts w:ascii="宋体" w:hAnsi="宋体" w:cs="新宋体"/>
          <w:color w:val="auto"/>
          <w:sz w:val="24"/>
          <w:szCs w:val="24"/>
        </w:rPr>
      </w:pPr>
      <w:r>
        <w:rPr>
          <w:rFonts w:hint="eastAsia" w:ascii="宋体" w:hAnsi="宋体" w:cs="新宋体"/>
          <w:color w:val="auto"/>
          <w:sz w:val="24"/>
          <w:szCs w:val="24"/>
          <w:lang w:val="en-US" w:eastAsia="zh-CN"/>
        </w:rPr>
        <w:t>6</w:t>
      </w:r>
      <w:r>
        <w:rPr>
          <w:rFonts w:ascii="宋体" w:hAnsi="宋体" w:cs="新宋体"/>
          <w:color w:val="auto"/>
          <w:sz w:val="24"/>
          <w:szCs w:val="24"/>
        </w:rPr>
        <w:t>.8.5</w:t>
      </w:r>
      <w:r>
        <w:rPr>
          <w:rFonts w:hint="eastAsia" w:ascii="宋体" w:hAnsi="宋体" w:cs="新宋体"/>
          <w:color w:val="auto"/>
          <w:sz w:val="24"/>
          <w:szCs w:val="24"/>
        </w:rPr>
        <w:t>现场检查勘察单位执行勘察方案的情况，控制其按勘察实施方案的程序和深度进行，内容如下：</w:t>
      </w:r>
      <w:r>
        <w:rPr>
          <w:rFonts w:ascii="宋体" w:hAnsi="宋体" w:cs="新宋体"/>
          <w:color w:val="auto"/>
          <w:sz w:val="24"/>
          <w:szCs w:val="24"/>
        </w:rPr>
        <w:t>a项目负责人的资质,现场作业人员进行专业培训的有关证件,重要岗位人员是否持证上岗,人员配备是否满足合同的要求,原始资料取得的方法、手段及使用的仪器设备是否正确、合理。b是否严格按照“勘察作业方案”及有关操作规程的要求进行现场作业,并做好记录。c原始资料取得的方法、手段及使用的仪器设备是否正确、合理。d在勘察单位实施过程中,勘探孔的位置、数量、深度是否准确。e监理机构现场监理人员按以上内容对现场勘察作业进行质量控制。（6）对设置的报验点,即关键位置的勘探点进行旁站,并做好记录,按照勘察作业方案,对其方案的实施进行跟踪、检查,对勘察单位作业质量进行有效控制；</w:t>
      </w:r>
    </w:p>
    <w:p>
      <w:pPr>
        <w:pStyle w:val="239"/>
        <w:spacing w:line="480" w:lineRule="exact"/>
        <w:rPr>
          <w:rFonts w:ascii="宋体" w:hAnsi="宋体" w:cs="新宋体"/>
          <w:color w:val="auto"/>
          <w:sz w:val="24"/>
          <w:szCs w:val="24"/>
        </w:rPr>
      </w:pPr>
      <w:r>
        <w:rPr>
          <w:rFonts w:hint="eastAsia" w:ascii="宋体" w:hAnsi="宋体" w:cs="新宋体"/>
          <w:color w:val="auto"/>
          <w:sz w:val="24"/>
          <w:szCs w:val="24"/>
          <w:lang w:val="en-US" w:eastAsia="zh-CN"/>
        </w:rPr>
        <w:t>6</w:t>
      </w:r>
      <w:r>
        <w:rPr>
          <w:rFonts w:ascii="宋体" w:hAnsi="宋体" w:cs="新宋体"/>
          <w:color w:val="auto"/>
          <w:sz w:val="24"/>
          <w:szCs w:val="24"/>
        </w:rPr>
        <w:t>.8.6</w:t>
      </w:r>
      <w:r>
        <w:rPr>
          <w:rFonts w:hint="eastAsia" w:ascii="宋体" w:hAnsi="宋体" w:cs="新宋体"/>
          <w:color w:val="auto"/>
          <w:sz w:val="24"/>
          <w:szCs w:val="24"/>
        </w:rPr>
        <w:t>控制勘察单位按合同约定的期限完成工作任务。</w:t>
      </w:r>
    </w:p>
    <w:p>
      <w:pPr>
        <w:pStyle w:val="239"/>
        <w:spacing w:line="480" w:lineRule="exact"/>
        <w:ind w:firstLine="480" w:firstLineChars="200"/>
        <w:rPr>
          <w:rFonts w:ascii="宋体" w:hAnsi="宋体" w:cs="新宋体"/>
          <w:color w:val="auto"/>
          <w:sz w:val="24"/>
          <w:szCs w:val="24"/>
        </w:rPr>
      </w:pPr>
      <w:r>
        <w:rPr>
          <w:rFonts w:hint="eastAsia" w:ascii="宋体" w:hAnsi="宋体" w:cs="新宋体"/>
          <w:color w:val="auto"/>
          <w:sz w:val="24"/>
          <w:szCs w:val="24"/>
        </w:rPr>
        <w:t>审查勘察成果报告，要求其结论明确、符合规定的质量要求，向建设单位提交勘察成果评估报告，同时参与勘察成果验收，勘察评估报告包括并不限于以下的内容：</w:t>
      </w:r>
      <w:r>
        <w:rPr>
          <w:rFonts w:ascii="宋体" w:hAnsi="宋体" w:cs="新宋体"/>
          <w:color w:val="auto"/>
          <w:sz w:val="24"/>
          <w:szCs w:val="24"/>
        </w:rPr>
        <w:t>a勘察工作概况;b勘察报告编制深度与标准的符合情况;c勘察需求书的完成情况;d是否有提出岩土工程问题及解决问题的决策性建议;e勘察成果提出的勘察场地地质情况和存在的问题是否合理;f评估结论。</w:t>
      </w:r>
    </w:p>
    <w:p>
      <w:pPr>
        <w:pStyle w:val="239"/>
        <w:spacing w:line="480" w:lineRule="exact"/>
        <w:rPr>
          <w:rFonts w:ascii="宋体" w:hAnsi="宋体" w:cs="新宋体"/>
          <w:color w:val="auto"/>
          <w:sz w:val="24"/>
          <w:szCs w:val="24"/>
        </w:rPr>
      </w:pPr>
      <w:r>
        <w:rPr>
          <w:rFonts w:hint="eastAsia" w:ascii="宋体" w:hAnsi="宋体" w:cs="新宋体"/>
          <w:color w:val="auto"/>
          <w:sz w:val="24"/>
          <w:szCs w:val="24"/>
          <w:lang w:val="en-US" w:eastAsia="zh-CN"/>
        </w:rPr>
        <w:t>6</w:t>
      </w:r>
      <w:r>
        <w:rPr>
          <w:rFonts w:ascii="宋体" w:hAnsi="宋体" w:cs="新宋体"/>
          <w:color w:val="auto"/>
          <w:sz w:val="24"/>
          <w:szCs w:val="24"/>
        </w:rPr>
        <w:t>.8.7</w:t>
      </w:r>
      <w:r>
        <w:rPr>
          <w:rFonts w:hint="eastAsia" w:ascii="宋体" w:hAnsi="宋体" w:cs="新宋体"/>
          <w:color w:val="auto"/>
          <w:sz w:val="24"/>
          <w:szCs w:val="24"/>
        </w:rPr>
        <w:t>协助建设单位向政府有关部门报审有关设计文件，并根据审批意见督促设计单位予以完善；</w:t>
      </w:r>
    </w:p>
    <w:p>
      <w:pPr>
        <w:pStyle w:val="239"/>
        <w:spacing w:line="480" w:lineRule="exact"/>
        <w:rPr>
          <w:rFonts w:ascii="宋体" w:hAnsi="宋体" w:cs="新宋体"/>
          <w:color w:val="auto"/>
          <w:sz w:val="24"/>
          <w:szCs w:val="24"/>
        </w:rPr>
      </w:pPr>
      <w:r>
        <w:rPr>
          <w:rFonts w:hint="eastAsia" w:cs="新宋体"/>
          <w:color w:val="auto"/>
          <w:sz w:val="24"/>
          <w:szCs w:val="24"/>
          <w:lang w:val="en-US" w:eastAsia="zh-CN"/>
        </w:rPr>
        <w:t>6</w:t>
      </w:r>
      <w:r>
        <w:rPr>
          <w:rFonts w:cs="新宋体"/>
          <w:color w:val="auto"/>
          <w:sz w:val="24"/>
          <w:szCs w:val="24"/>
        </w:rPr>
        <w:t>.8.8</w:t>
      </w:r>
      <w:r>
        <w:rPr>
          <w:rFonts w:hint="eastAsia" w:cs="新宋体"/>
          <w:color w:val="auto"/>
          <w:sz w:val="24"/>
          <w:szCs w:val="24"/>
        </w:rPr>
        <w:t>根据勘察设计合同，协调处理勘察设计延期、费用索赔等事宜，分析可能发生索赔的原因，并制定防范对策；</w:t>
      </w:r>
    </w:p>
    <w:p>
      <w:pPr>
        <w:pStyle w:val="239"/>
        <w:spacing w:line="480" w:lineRule="exact"/>
        <w:rPr>
          <w:rFonts w:ascii="宋体" w:hAnsi="宋体" w:cs="新宋体"/>
          <w:color w:val="auto"/>
          <w:sz w:val="24"/>
          <w:szCs w:val="24"/>
        </w:rPr>
      </w:pPr>
      <w:r>
        <w:rPr>
          <w:rFonts w:hint="eastAsia" w:cs="新宋体"/>
          <w:color w:val="auto"/>
          <w:sz w:val="24"/>
          <w:szCs w:val="24"/>
          <w:lang w:val="en-US" w:eastAsia="zh-CN"/>
        </w:rPr>
        <w:t>6</w:t>
      </w:r>
      <w:r>
        <w:rPr>
          <w:rFonts w:cs="新宋体"/>
          <w:color w:val="auto"/>
          <w:sz w:val="24"/>
          <w:szCs w:val="24"/>
        </w:rPr>
        <w:t>.8.9</w:t>
      </w:r>
      <w:r>
        <w:rPr>
          <w:rFonts w:hint="eastAsia" w:cs="新宋体"/>
          <w:color w:val="auto"/>
          <w:sz w:val="24"/>
          <w:szCs w:val="24"/>
        </w:rPr>
        <w:t>协助业主和设计单位及时向勘察单位提交工程技术条件；协调勘察单位和施工图设计单位间的关系</w:t>
      </w:r>
      <w:r>
        <w:rPr>
          <w:rFonts w:cs="新宋体"/>
          <w:color w:val="auto"/>
          <w:sz w:val="24"/>
          <w:szCs w:val="24"/>
        </w:rPr>
        <w:t>,</w:t>
      </w:r>
      <w:r>
        <w:rPr>
          <w:rFonts w:hint="eastAsia" w:cs="新宋体"/>
          <w:color w:val="auto"/>
          <w:sz w:val="24"/>
          <w:szCs w:val="24"/>
        </w:rPr>
        <w:t>督促勘察单位按照合同规定的时间及时向施工图设计单位提供符合质量要求的、设计工作所需的勘察成果；合理协调设计、勘察、建设单位的关系</w:t>
      </w:r>
      <w:r>
        <w:rPr>
          <w:rFonts w:cs="新宋体"/>
          <w:color w:val="auto"/>
          <w:sz w:val="24"/>
          <w:szCs w:val="24"/>
        </w:rPr>
        <w:t>,</w:t>
      </w:r>
      <w:r>
        <w:rPr>
          <w:rFonts w:hint="eastAsia" w:cs="新宋体"/>
          <w:color w:val="auto"/>
          <w:sz w:val="24"/>
          <w:szCs w:val="24"/>
        </w:rPr>
        <w:t>监督勘察的工作进程。</w:t>
      </w:r>
    </w:p>
    <w:p>
      <w:pPr>
        <w:pStyle w:val="3"/>
        <w:numPr>
          <w:ilvl w:val="0"/>
          <w:numId w:val="3"/>
        </w:numPr>
        <w:adjustRightInd w:val="0"/>
        <w:spacing w:line="360" w:lineRule="auto"/>
        <w:rPr>
          <w:color w:val="auto"/>
          <w:sz w:val="28"/>
          <w:szCs w:val="28"/>
        </w:rPr>
      </w:pPr>
      <w:bookmarkStart w:id="168" w:name="_Toc181361832"/>
      <w:bookmarkStart w:id="169" w:name="_Toc2691939"/>
      <w:bookmarkStart w:id="170" w:name="_Toc181362496"/>
      <w:r>
        <w:rPr>
          <w:rFonts w:hint="eastAsia"/>
          <w:color w:val="auto"/>
          <w:sz w:val="28"/>
          <w:szCs w:val="28"/>
        </w:rPr>
        <w:t>监理机构及人员资质要求</w:t>
      </w:r>
      <w:bookmarkEnd w:id="168"/>
      <w:bookmarkEnd w:id="169"/>
      <w:bookmarkEnd w:id="170"/>
    </w:p>
    <w:p>
      <w:pPr>
        <w:pStyle w:val="4"/>
        <w:numPr>
          <w:ilvl w:val="255"/>
          <w:numId w:val="0"/>
        </w:numPr>
        <w:tabs>
          <w:tab w:val="left" w:pos="0"/>
        </w:tabs>
        <w:adjustRightInd w:val="0"/>
        <w:snapToGrid w:val="0"/>
        <w:rPr>
          <w:b w:val="0"/>
          <w:color w:val="auto"/>
        </w:rPr>
      </w:pPr>
      <w:bookmarkStart w:id="171" w:name="_Toc181362497"/>
      <w:r>
        <w:rPr>
          <w:rFonts w:hint="eastAsia"/>
          <w:color w:val="auto"/>
          <w:lang w:val="en-US" w:eastAsia="zh-CN"/>
        </w:rPr>
        <w:t>7</w:t>
      </w:r>
      <w:r>
        <w:rPr>
          <w:color w:val="auto"/>
        </w:rPr>
        <w:t>.1</w:t>
      </w:r>
      <w:r>
        <w:rPr>
          <w:rFonts w:hint="eastAsia"/>
          <w:color w:val="auto"/>
        </w:rPr>
        <w:t>监理定位说明</w:t>
      </w:r>
      <w:bookmarkEnd w:id="171"/>
    </w:p>
    <w:p>
      <w:pPr>
        <w:pStyle w:val="318"/>
        <w:tabs>
          <w:tab w:val="left" w:pos="640"/>
        </w:tabs>
        <w:spacing w:line="480" w:lineRule="exact"/>
        <w:ind w:left="0" w:firstLine="0"/>
        <w:jc w:val="left"/>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.1.1监理是在业主授权范围内，为项目合同签订、实施阶段提供全过程监理的服务机构。</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.1.2监理应在国家法律法规、行业标准、技术标准、合同、设计文件和各种约束性文件规定的范围内独立开展监理工作。坚持公正、公开、公平的监理原则，是独立的第三方机构。</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.1.3监理对国家法律、法规、行业标准、技术标准的适用性全面负责，监理应以此为依据审核系统建设质量、验收标准、实施方案等。</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.1.4监理负责对项目进行质量、安全、进度、成本控制，负责合同管理、信息管理，在项目各有关方之间进行协调，保持关系融洽顺畅，确保项目的质量、进度、成本符合建设单位的要求。</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.1.5制订公开、透明的监理工作流程，对各主要工作环节规定工作时限，对关键的工作设置检查点。</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1.6工程监理单位应对现场专业监理工程师及相关工作人员行使有效管理，对监理工作人员的工作过错、失职、渎职行为负完全责任，工程监理单位应采取有效措施确保监理工作人员能够坚持公正、公开、公平、独立的监理原则。</w:t>
      </w:r>
    </w:p>
    <w:p>
      <w:pPr>
        <w:pStyle w:val="318"/>
        <w:tabs>
          <w:tab w:val="left" w:pos="640"/>
        </w:tabs>
        <w:spacing w:line="480" w:lineRule="exact"/>
        <w:ind w:left="0" w:firstLine="0"/>
        <w:rPr>
          <w:rFonts w:hint="eastAsia"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.1.7监理、建设单位以及承包人的项目管理人员共同组成项目管理小组，一起对</w:t>
      </w:r>
      <w:r>
        <w:rPr>
          <w:rFonts w:hint="eastAsia" w:ascii="宋体" w:hAnsi="宋体"/>
          <w:bCs/>
          <w:color w:val="auto"/>
        </w:rPr>
        <w:t>广州市第六资源热力电厂对外集中供热项目</w:t>
      </w:r>
      <w:r>
        <w:rPr>
          <w:rFonts w:hint="eastAsia" w:ascii="宋体" w:hAnsi="宋体" w:cs="新宋体"/>
          <w:color w:val="auto"/>
        </w:rPr>
        <w:t>监理服务合同签订实施活动中的各项工作任务进行计划、落实、监督与控制，以使</w:t>
      </w:r>
      <w:r>
        <w:rPr>
          <w:rFonts w:hint="eastAsia" w:ascii="宋体" w:hAnsi="宋体"/>
          <w:bCs/>
          <w:color w:val="auto"/>
        </w:rPr>
        <w:t>广州市第六资源热力电厂对外集中供热项目</w:t>
      </w:r>
      <w:r>
        <w:rPr>
          <w:rFonts w:hint="eastAsia" w:ascii="宋体" w:hAnsi="宋体" w:cs="新宋体"/>
          <w:color w:val="auto"/>
        </w:rPr>
        <w:t>监理服务能够实现或超过建设单位的需求和期望。</w:t>
      </w:r>
    </w:p>
    <w:p>
      <w:pPr>
        <w:pStyle w:val="318"/>
        <w:tabs>
          <w:tab w:val="left" w:pos="640"/>
        </w:tabs>
        <w:spacing w:line="480" w:lineRule="exact"/>
        <w:ind w:left="0" w:firstLine="0"/>
        <w:rPr>
          <w:rFonts w:hint="default" w:ascii="宋体" w:hAnsi="宋体" w:eastAsia="宋体" w:cs="新宋体"/>
          <w:color w:val="auto"/>
          <w:lang w:val="en-US" w:eastAsia="zh-CN"/>
        </w:rPr>
      </w:pPr>
      <w:r>
        <w:rPr>
          <w:rFonts w:hint="eastAsia" w:ascii="宋体" w:hAnsi="宋体" w:cs="新宋体"/>
          <w:color w:val="auto"/>
          <w:lang w:val="en-US" w:eastAsia="zh-CN"/>
        </w:rPr>
        <w:t>7.1.8 监理单位必须至少有一人具备焊缝评片和焊缝无损检测资质。</w:t>
      </w:r>
    </w:p>
    <w:p>
      <w:pPr>
        <w:pStyle w:val="4"/>
        <w:numPr>
          <w:ilvl w:val="255"/>
          <w:numId w:val="0"/>
        </w:numPr>
        <w:tabs>
          <w:tab w:val="left" w:pos="0"/>
        </w:tabs>
        <w:adjustRightInd w:val="0"/>
        <w:snapToGrid w:val="0"/>
        <w:rPr>
          <w:color w:val="auto"/>
        </w:rPr>
      </w:pPr>
      <w:bookmarkStart w:id="172" w:name="_Toc181362498"/>
      <w:r>
        <w:rPr>
          <w:rFonts w:hint="eastAsia"/>
          <w:color w:val="auto"/>
          <w:lang w:val="en-US" w:eastAsia="zh-CN"/>
        </w:rPr>
        <w:t>7</w:t>
      </w:r>
      <w:r>
        <w:rPr>
          <w:color w:val="auto"/>
        </w:rPr>
        <w:t>.2</w:t>
      </w:r>
      <w:r>
        <w:rPr>
          <w:rFonts w:hint="eastAsia"/>
          <w:color w:val="auto"/>
        </w:rPr>
        <w:t>监理主要职责</w:t>
      </w:r>
      <w:bookmarkEnd w:id="172"/>
    </w:p>
    <w:p>
      <w:pPr>
        <w:pStyle w:val="317"/>
        <w:tabs>
          <w:tab w:val="left" w:pos="945"/>
        </w:tabs>
        <w:spacing w:line="480" w:lineRule="exact"/>
        <w:rPr>
          <w:rFonts w:cs="新宋体"/>
          <w:color w:val="auto"/>
        </w:rPr>
      </w:pPr>
      <w:r>
        <w:rPr>
          <w:rFonts w:hint="eastAsia" w:cs="新宋体"/>
          <w:color w:val="auto"/>
          <w:sz w:val="24"/>
          <w:szCs w:val="24"/>
          <w:lang w:val="en-US" w:eastAsia="zh-CN"/>
        </w:rPr>
        <w:t>7</w:t>
      </w:r>
      <w:r>
        <w:rPr>
          <w:rFonts w:cs="新宋体"/>
          <w:color w:val="auto"/>
          <w:sz w:val="24"/>
          <w:szCs w:val="24"/>
        </w:rPr>
        <w:t>.2.1</w:t>
      </w:r>
      <w:r>
        <w:rPr>
          <w:rFonts w:hint="eastAsia" w:cs="新宋体"/>
          <w:color w:val="auto"/>
          <w:sz w:val="24"/>
          <w:szCs w:val="24"/>
        </w:rPr>
        <w:t>工程监理单位指广州市第六资源热力电厂对外集中供热项目提供监理服务的报价方。</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2.2监理独立开展项目管理工作，其职责包括：遵循国家相关法律法规，对项目合同进行管理并落实合同相关事项，执行项目管理小组的决定，监督各子项目承包人严格遵循合同、协议的约定开展工作，严格控制项目三要素（质量、进度、成本）以保证项目按质如期完成，审核和控制工程变更，管理项目文档和资料等。</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.2.3负责制订</w:t>
      </w:r>
      <w:r>
        <w:rPr>
          <w:rFonts w:hint="eastAsia" w:ascii="宋体" w:hAnsi="宋体"/>
          <w:bCs/>
          <w:color w:val="auto"/>
        </w:rPr>
        <w:t>广州市第六资源热力电厂对外集中供热项目</w:t>
      </w:r>
      <w:r>
        <w:rPr>
          <w:rFonts w:hint="eastAsia" w:ascii="宋体" w:hAnsi="宋体" w:cs="新宋体"/>
          <w:color w:val="auto"/>
        </w:rPr>
        <w:t>监理服务整体的监理工作计划，保持与项目各相关方的沟通畅通，监理工作计划和监理实施细则要体现建设单位、承包人各方合理、合法的要求。工程监理方的监理工作计划和监理实施细则需经建设单位审批方可执行。</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.2.4坚持公正、公开、公平的监理原则，在国家法律法规、行业标准、技术标准、项目合同、设计文件和各种约束性文件规定的范围内独立开展监理工作。</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.2.5对国家法律、法规、行业标准、技术标准在项目中的适用性全面负责，监理应以此为依据审核系统建设子项目承包人的项目计划、采购计划、安装实施方案等。</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.2.6制定系统建设总体监理计划，制定各子项的监理计划，提交建设单位审批。</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.2.7监理负责对整个项目进行质量、进度、成本控制，负责合同管理、信息管理，在项目各有关方之间进行协调，保持关系融洽顺畅，确保项目的质量、进度、成本符合建设单位的要求。</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.2.8建立完整的系统建设验收标准和验收流程、设备存放管理规定、设备运输安全管理措施等规章制度，执行并提交过程记录。</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7</w:t>
      </w:r>
      <w:r>
        <w:rPr>
          <w:rFonts w:hint="eastAsia" w:ascii="宋体" w:hAnsi="宋体" w:cs="新宋体"/>
          <w:color w:val="auto"/>
        </w:rPr>
        <w:t>.2.9建立现场管理控制流程，编制各子项的现场测试方案和表格模板。</w:t>
      </w:r>
    </w:p>
    <w:p>
      <w:pPr>
        <w:pStyle w:val="3"/>
        <w:numPr>
          <w:ilvl w:val="0"/>
          <w:numId w:val="3"/>
        </w:numPr>
        <w:adjustRightInd w:val="0"/>
        <w:spacing w:line="360" w:lineRule="auto"/>
        <w:rPr>
          <w:color w:val="auto"/>
          <w:sz w:val="28"/>
          <w:szCs w:val="28"/>
        </w:rPr>
      </w:pPr>
      <w:bookmarkStart w:id="173" w:name="_Toc2322"/>
      <w:bookmarkStart w:id="174" w:name="_Toc20882"/>
      <w:bookmarkStart w:id="175" w:name="_Toc13992"/>
      <w:bookmarkStart w:id="176" w:name="_Toc27929"/>
      <w:bookmarkStart w:id="177" w:name="_Toc32290"/>
      <w:bookmarkStart w:id="178" w:name="_Toc21872"/>
      <w:bookmarkStart w:id="179" w:name="_Toc7564"/>
      <w:bookmarkStart w:id="180" w:name="_Toc11352"/>
      <w:bookmarkStart w:id="181" w:name="_Toc181362499"/>
      <w:bookmarkStart w:id="182" w:name="_Toc29641"/>
      <w:bookmarkStart w:id="183" w:name="_Toc7338"/>
      <w:bookmarkStart w:id="184" w:name="_Toc9643"/>
      <w:bookmarkStart w:id="185" w:name="_Toc29561"/>
      <w:bookmarkStart w:id="186" w:name="_Toc4547"/>
      <w:bookmarkStart w:id="187" w:name="_Toc17567"/>
      <w:bookmarkStart w:id="188" w:name="_Toc10763"/>
      <w:bookmarkStart w:id="189" w:name="_Toc23035"/>
      <w:bookmarkStart w:id="190" w:name="_Toc1523"/>
      <w:bookmarkStart w:id="191" w:name="_Toc18996"/>
      <w:bookmarkStart w:id="192" w:name="_Toc19475"/>
      <w:bookmarkStart w:id="193" w:name="_Toc181361833"/>
      <w:r>
        <w:rPr>
          <w:rFonts w:hint="eastAsia"/>
          <w:color w:val="auto"/>
          <w:sz w:val="28"/>
          <w:szCs w:val="28"/>
        </w:rPr>
        <w:t>安全与文明生产管理</w:t>
      </w:r>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pPr>
        <w:adjustRightInd w:val="0"/>
        <w:snapToGrid w:val="0"/>
        <w:ind w:firstLine="480" w:firstLineChars="200"/>
        <w:rPr>
          <w:rFonts w:ascii="宋体" w:hAnsi="宋体" w:cs="Arial"/>
          <w:color w:val="auto"/>
        </w:rPr>
      </w:pPr>
      <w:r>
        <w:rPr>
          <w:rFonts w:hint="eastAsia" w:ascii="宋体" w:hAnsi="宋体" w:cs="Arial"/>
          <w:color w:val="auto"/>
        </w:rPr>
        <w:t>报价方的管理纳入询价方的管理范畴，接受询价方相关部门的监督、指导、考核和评价，建立一套适应询价方实际情况的管理制度，提高供热项目监理服务质量，确保广州市第六资源热力电厂对外集中供热项目施工过程安全、质量、进度，满足要求。</w:t>
      </w:r>
    </w:p>
    <w:p>
      <w:pPr>
        <w:pStyle w:val="4"/>
        <w:numPr>
          <w:ilvl w:val="255"/>
          <w:numId w:val="0"/>
        </w:numPr>
        <w:tabs>
          <w:tab w:val="left" w:pos="0"/>
        </w:tabs>
        <w:adjustRightInd w:val="0"/>
        <w:snapToGrid w:val="0"/>
        <w:rPr>
          <w:color w:val="auto"/>
        </w:rPr>
      </w:pPr>
      <w:bookmarkStart w:id="194" w:name="_Toc17409"/>
      <w:bookmarkStart w:id="195" w:name="_Toc1682"/>
      <w:bookmarkStart w:id="196" w:name="_Toc20734"/>
      <w:bookmarkStart w:id="197" w:name="_Toc181361834"/>
      <w:bookmarkStart w:id="198" w:name="_Toc27162"/>
      <w:bookmarkStart w:id="199" w:name="_Toc10220"/>
      <w:bookmarkStart w:id="200" w:name="_Toc7819"/>
      <w:bookmarkStart w:id="201" w:name="_Toc12325"/>
      <w:bookmarkStart w:id="202" w:name="_Toc4825"/>
      <w:bookmarkStart w:id="203" w:name="_Toc25722"/>
      <w:bookmarkStart w:id="204" w:name="_Toc2532"/>
      <w:bookmarkStart w:id="205" w:name="_Toc5071"/>
      <w:bookmarkStart w:id="206" w:name="_Toc28728"/>
      <w:bookmarkStart w:id="207" w:name="_Toc5355"/>
      <w:bookmarkStart w:id="208" w:name="_Toc14578"/>
      <w:bookmarkStart w:id="209" w:name="_Toc14368"/>
      <w:bookmarkStart w:id="210" w:name="_Toc181362500"/>
      <w:bookmarkStart w:id="211" w:name="_Toc28102"/>
      <w:bookmarkStart w:id="212" w:name="_Toc26269"/>
      <w:bookmarkStart w:id="213" w:name="_Toc22038"/>
      <w:bookmarkStart w:id="214" w:name="_Toc27783"/>
      <w:r>
        <w:rPr>
          <w:rFonts w:hint="eastAsia"/>
          <w:color w:val="auto"/>
          <w:lang w:val="en-US" w:eastAsia="zh-CN"/>
        </w:rPr>
        <w:t>8</w:t>
      </w:r>
      <w:r>
        <w:rPr>
          <w:rFonts w:hint="eastAsia"/>
          <w:color w:val="auto"/>
        </w:rPr>
        <w:t>.1安全管理</w:t>
      </w:r>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pPr>
        <w:tabs>
          <w:tab w:val="left" w:pos="0"/>
        </w:tabs>
        <w:adjustRightInd w:val="0"/>
        <w:snapToGrid w:val="0"/>
        <w:rPr>
          <w:rFonts w:ascii="宋体" w:hAnsi="宋体" w:cs="Arial"/>
          <w:b/>
          <w:color w:val="auto"/>
        </w:rPr>
      </w:pPr>
      <w:r>
        <w:rPr>
          <w:rFonts w:hint="eastAsia" w:ascii="宋体" w:hAnsi="宋体" w:cs="Arial"/>
          <w:b/>
          <w:color w:val="auto"/>
          <w:lang w:val="en-US" w:eastAsia="zh-CN"/>
        </w:rPr>
        <w:t>8</w:t>
      </w:r>
      <w:r>
        <w:rPr>
          <w:rFonts w:hint="eastAsia" w:ascii="宋体" w:hAnsi="宋体" w:cs="Arial"/>
          <w:b/>
          <w:color w:val="auto"/>
        </w:rPr>
        <w:t xml:space="preserve">.1.1安全管理基本要求 </w:t>
      </w:r>
    </w:p>
    <w:p>
      <w:pPr>
        <w:tabs>
          <w:tab w:val="left" w:pos="0"/>
        </w:tabs>
        <w:adjustRightInd w:val="0"/>
        <w:snapToGrid w:val="0"/>
        <w:rPr>
          <w:rFonts w:ascii="宋体" w:hAnsi="宋体" w:cs="Arial"/>
          <w:color w:val="auto"/>
        </w:rPr>
      </w:pPr>
      <w:r>
        <w:rPr>
          <w:rFonts w:hint="eastAsia" w:ascii="宋体" w:hAnsi="宋体" w:cs="Arial"/>
          <w:color w:val="auto"/>
          <w:lang w:val="en-US" w:eastAsia="zh-CN"/>
        </w:rPr>
        <w:t>8</w:t>
      </w:r>
      <w:r>
        <w:rPr>
          <w:rFonts w:hint="eastAsia" w:ascii="宋体" w:hAnsi="宋体" w:cs="Arial"/>
          <w:color w:val="auto"/>
        </w:rPr>
        <w:t>.1.1.1报价方必须坚决执行国家、电力行业以及所在政府关于安全的方针、政策、法规、条例和规定。必须采取一切必采措施和手段确保安全。建立完善的安全管理制度保证人员安全与健康。</w:t>
      </w:r>
    </w:p>
    <w:p>
      <w:pPr>
        <w:tabs>
          <w:tab w:val="left" w:pos="0"/>
        </w:tabs>
        <w:adjustRightInd w:val="0"/>
        <w:snapToGrid w:val="0"/>
        <w:rPr>
          <w:rFonts w:ascii="宋体" w:hAnsi="宋体" w:cs="Arial"/>
          <w:color w:val="auto"/>
        </w:rPr>
      </w:pPr>
      <w:r>
        <w:rPr>
          <w:rFonts w:hint="eastAsia" w:ascii="宋体" w:hAnsi="宋体" w:cs="Arial"/>
          <w:color w:val="auto"/>
          <w:lang w:val="en-US" w:eastAsia="zh-CN"/>
        </w:rPr>
        <w:t>8</w:t>
      </w:r>
      <w:r>
        <w:rPr>
          <w:rFonts w:hint="eastAsia" w:ascii="宋体" w:hAnsi="宋体" w:cs="Arial"/>
          <w:color w:val="auto"/>
        </w:rPr>
        <w:t>.1.1.2报价方必须贯彻执行“安全第一、预防为主”的方针，严格执行国家电行业标准《电业安全工作规程（火力发电厂部分）》和询价方的有关安全规定及各行业安全工作规程。</w:t>
      </w:r>
    </w:p>
    <w:p>
      <w:pPr>
        <w:pStyle w:val="2"/>
        <w:rPr>
          <w:color w:val="auto"/>
        </w:rPr>
      </w:pPr>
      <w:r>
        <w:rPr>
          <w:rFonts w:hint="eastAsia" w:ascii="宋体" w:hAnsi="宋体" w:cs="Arial"/>
          <w:color w:val="auto"/>
          <w:lang w:val="en-US" w:eastAsia="zh-CN"/>
        </w:rPr>
        <w:t>8</w:t>
      </w:r>
      <w:r>
        <w:rPr>
          <w:rFonts w:hint="eastAsia" w:ascii="宋体" w:hAnsi="宋体" w:cs="Arial"/>
          <w:color w:val="auto"/>
        </w:rPr>
        <w:t>.1.1.3报价方的项目经理是报价方第一安全责任人，必须亲自抓安全。建立严密的安全监察网络和有效的安全保障体系；必须设置最少一名专职安全管理人员，并在每个班组设置兼职安全员。</w:t>
      </w:r>
    </w:p>
    <w:p>
      <w:pPr>
        <w:tabs>
          <w:tab w:val="left" w:pos="0"/>
        </w:tabs>
        <w:adjustRightInd w:val="0"/>
        <w:snapToGrid w:val="0"/>
        <w:rPr>
          <w:rFonts w:ascii="宋体" w:hAnsi="宋体" w:cs="Arial"/>
          <w:color w:val="auto"/>
        </w:rPr>
      </w:pPr>
      <w:r>
        <w:rPr>
          <w:rFonts w:hint="eastAsia" w:ascii="宋体" w:hAnsi="宋体" w:cs="Arial"/>
          <w:color w:val="auto"/>
          <w:lang w:val="en-US" w:eastAsia="zh-CN"/>
        </w:rPr>
        <w:t>8</w:t>
      </w:r>
      <w:r>
        <w:rPr>
          <w:rFonts w:hint="eastAsia" w:ascii="宋体" w:hAnsi="宋体" w:cs="Arial"/>
          <w:color w:val="auto"/>
        </w:rPr>
        <w:t>.1.1.4报价方必须服从询价方的安全管理，因报价方的原因给询价方或第三方造成人身伤亡，均由报价方按国家有关规程承担相应责任；因报价方的原因给询价或第三方造成设备事故或经济损失，均由报价方负责并赔偿造成的一切经济损失。</w:t>
      </w:r>
    </w:p>
    <w:p>
      <w:pPr>
        <w:tabs>
          <w:tab w:val="left" w:pos="0"/>
        </w:tabs>
        <w:adjustRightInd w:val="0"/>
        <w:snapToGrid w:val="0"/>
        <w:rPr>
          <w:rFonts w:ascii="宋体" w:hAnsi="宋体" w:cs="Arial"/>
          <w:color w:val="auto"/>
        </w:rPr>
      </w:pPr>
      <w:r>
        <w:rPr>
          <w:rFonts w:hint="eastAsia" w:ascii="宋体" w:hAnsi="宋体" w:cs="Arial"/>
          <w:color w:val="auto"/>
          <w:lang w:val="en-US" w:eastAsia="zh-CN"/>
        </w:rPr>
        <w:t>8</w:t>
      </w:r>
      <w:r>
        <w:rPr>
          <w:rFonts w:hint="eastAsia" w:ascii="宋体" w:hAnsi="宋体" w:cs="Arial"/>
          <w:color w:val="auto"/>
        </w:rPr>
        <w:t>.1.1.5报价方在询价方从事维护、检修期间必须遵守询价方的安健环管理、考核制度。</w:t>
      </w:r>
    </w:p>
    <w:p>
      <w:pPr>
        <w:tabs>
          <w:tab w:val="left" w:pos="0"/>
        </w:tabs>
        <w:adjustRightInd w:val="0"/>
        <w:snapToGrid w:val="0"/>
        <w:rPr>
          <w:rFonts w:ascii="宋体" w:hAnsi="宋体" w:cs="Arial"/>
          <w:color w:val="auto"/>
        </w:rPr>
      </w:pPr>
      <w:r>
        <w:rPr>
          <w:rFonts w:hint="eastAsia" w:ascii="宋体" w:hAnsi="宋体" w:cs="Arial"/>
          <w:color w:val="auto"/>
          <w:lang w:val="en-US" w:eastAsia="zh-CN"/>
        </w:rPr>
        <w:t>8</w:t>
      </w:r>
      <w:r>
        <w:rPr>
          <w:rFonts w:hint="eastAsia" w:ascii="宋体" w:hAnsi="宋体" w:cs="Arial"/>
          <w:color w:val="auto"/>
        </w:rPr>
        <w:t>.1.1.6报价方全面负责报价方检修工作人员的安全，并使工作现场保持良好的秩序，以避免发生人身事故，保证建筑物和设备的安全。</w:t>
      </w:r>
    </w:p>
    <w:p>
      <w:pPr>
        <w:tabs>
          <w:tab w:val="left" w:pos="0"/>
        </w:tabs>
        <w:adjustRightInd w:val="0"/>
        <w:snapToGrid w:val="0"/>
        <w:rPr>
          <w:rFonts w:ascii="宋体" w:hAnsi="宋体" w:cs="Arial"/>
          <w:color w:val="auto"/>
        </w:rPr>
      </w:pPr>
      <w:r>
        <w:rPr>
          <w:rFonts w:hint="eastAsia" w:ascii="宋体" w:hAnsi="宋体" w:cs="Arial"/>
          <w:color w:val="auto"/>
          <w:lang w:val="en-US" w:eastAsia="zh-CN"/>
        </w:rPr>
        <w:t>8</w:t>
      </w:r>
      <w:r>
        <w:rPr>
          <w:rFonts w:hint="eastAsia" w:ascii="宋体" w:hAnsi="宋体" w:cs="Arial"/>
          <w:color w:val="auto"/>
        </w:rPr>
        <w:t>.1.1.7报价方应采取一切合理措施，保护工作现场周围的环境，避免污染、噪音或由于其工作方法的不当造成的对公共人员和财产等的危害或干扰。</w:t>
      </w:r>
    </w:p>
    <w:p>
      <w:pPr>
        <w:tabs>
          <w:tab w:val="left" w:pos="0"/>
          <w:tab w:val="left" w:pos="846"/>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.1.1.8报价方必须向询价方提供其自己的安全操作规程，询价方有权监督报价方安全规程的执行情况。</w:t>
      </w:r>
    </w:p>
    <w:p>
      <w:pPr>
        <w:tabs>
          <w:tab w:val="left" w:pos="0"/>
        </w:tabs>
        <w:adjustRightInd w:val="0"/>
        <w:snapToGrid w:val="0"/>
        <w:rPr>
          <w:rFonts w:ascii="宋体" w:hAnsi="宋体" w:cs="Arial"/>
          <w:b/>
          <w:color w:val="auto"/>
        </w:rPr>
      </w:pPr>
      <w:r>
        <w:rPr>
          <w:rFonts w:hint="eastAsia" w:ascii="宋体" w:hAnsi="宋体" w:cs="Arial"/>
          <w:b/>
          <w:color w:val="auto"/>
          <w:lang w:val="en-US" w:eastAsia="zh-CN"/>
        </w:rPr>
        <w:t>8</w:t>
      </w:r>
      <w:r>
        <w:rPr>
          <w:rFonts w:hint="eastAsia" w:ascii="宋体" w:hAnsi="宋体" w:cs="Arial"/>
          <w:b/>
          <w:color w:val="auto"/>
        </w:rPr>
        <w:t>.1.2安全管理目标</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.1.2.1不发生高空坠落、物体打击、触电伤害、坍塌和倒塌等四大伤害事故。</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.1.2.2不发生人身轻伤及以上安全事故；不发生恶性未遂事故，不发生施工机械及设备损坏事故。</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.1.2.3不发生合同范围内人为责任一般及以上事故。</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.1.2.4不发生火灾事故。</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.1.2.5不发生环境污染事故。</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.1.2.6不发生人为和管理责任的设备一、二类障碍。</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.1.2.7人身未遂、异常控制在专业指标之内。</w:t>
      </w:r>
    </w:p>
    <w:p>
      <w:pPr>
        <w:tabs>
          <w:tab w:val="left" w:pos="0"/>
          <w:tab w:val="left" w:pos="567"/>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.1.2.8不发生负主要责任的交通事故。</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ascii="宋体" w:hAnsi="宋体"/>
          <w:color w:val="auto"/>
        </w:rPr>
        <w:t>.1.2.9</w:t>
      </w:r>
      <w:r>
        <w:rPr>
          <w:rFonts w:hint="eastAsia" w:ascii="宋体" w:hAnsi="宋体"/>
          <w:color w:val="auto"/>
        </w:rPr>
        <w:t>重伤及以上人身伤亡事故为零。</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ascii="宋体" w:hAnsi="宋体"/>
          <w:color w:val="auto"/>
        </w:rPr>
        <w:t>.1.2.10</w:t>
      </w:r>
      <w:r>
        <w:rPr>
          <w:rFonts w:hint="eastAsia" w:ascii="宋体" w:hAnsi="宋体"/>
          <w:color w:val="auto"/>
        </w:rPr>
        <w:t>直接经济损失100万元以上的生产性机械、设备事故为零。</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ascii="宋体" w:hAnsi="宋体"/>
          <w:color w:val="auto"/>
        </w:rPr>
        <w:t>.1.2.1</w:t>
      </w:r>
      <w:r>
        <w:rPr>
          <w:rFonts w:hint="eastAsia" w:ascii="宋体" w:hAnsi="宋体"/>
          <w:color w:val="auto"/>
        </w:rPr>
        <w:t>1轻伤事故率</w:t>
      </w:r>
      <w:r>
        <w:rPr>
          <w:rFonts w:ascii="宋体" w:hAnsi="宋体"/>
          <w:color w:val="auto"/>
        </w:rPr>
        <w:t>&lt;</w:t>
      </w:r>
      <w:r>
        <w:rPr>
          <w:rFonts w:hint="eastAsia" w:ascii="宋体" w:hAnsi="宋体"/>
          <w:color w:val="auto"/>
        </w:rPr>
        <w:t>5%。</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hint="eastAsia" w:ascii="宋体" w:hAnsi="宋体"/>
          <w:color w:val="auto"/>
        </w:rPr>
        <w:t>.1.2.12群体食物中毒事故为零。</w:t>
      </w:r>
    </w:p>
    <w:p>
      <w:pPr>
        <w:tabs>
          <w:tab w:val="left" w:pos="0"/>
          <w:tab w:val="left" w:pos="567"/>
          <w:tab w:val="left" w:pos="851"/>
          <w:tab w:val="left" w:pos="987"/>
        </w:tabs>
        <w:adjustRightInd w:val="0"/>
        <w:snapToGrid w:val="0"/>
        <w:jc w:val="left"/>
        <w:rPr>
          <w:rFonts w:ascii="宋体" w:hAnsi="宋体"/>
          <w:color w:val="auto"/>
        </w:rPr>
      </w:pPr>
      <w:r>
        <w:rPr>
          <w:rFonts w:hint="eastAsia" w:ascii="宋体" w:hAnsi="宋体"/>
          <w:color w:val="auto"/>
          <w:lang w:val="en-US" w:eastAsia="zh-CN"/>
        </w:rPr>
        <w:t>8</w:t>
      </w:r>
      <w:r>
        <w:rPr>
          <w:rFonts w:ascii="宋体" w:hAnsi="宋体"/>
          <w:color w:val="auto"/>
        </w:rPr>
        <w:t xml:space="preserve">.1.2.13 </w:t>
      </w:r>
      <w:r>
        <w:rPr>
          <w:rFonts w:hint="eastAsia" w:ascii="宋体" w:hAnsi="宋体"/>
          <w:color w:val="auto"/>
        </w:rPr>
        <w:t>治安保卫:不发生一般以上刑事案件。</w:t>
      </w:r>
    </w:p>
    <w:p>
      <w:pPr>
        <w:pStyle w:val="3"/>
        <w:numPr>
          <w:ilvl w:val="0"/>
          <w:numId w:val="3"/>
        </w:numPr>
        <w:adjustRightInd w:val="0"/>
        <w:spacing w:line="360" w:lineRule="auto"/>
        <w:rPr>
          <w:color w:val="auto"/>
          <w:sz w:val="28"/>
          <w:szCs w:val="28"/>
        </w:rPr>
      </w:pPr>
      <w:bookmarkStart w:id="215" w:name="_Toc181362511"/>
      <w:bookmarkEnd w:id="215"/>
      <w:bookmarkStart w:id="216" w:name="_Toc181362508"/>
      <w:bookmarkEnd w:id="216"/>
      <w:bookmarkStart w:id="217" w:name="_Toc181361846"/>
      <w:bookmarkEnd w:id="217"/>
      <w:bookmarkStart w:id="218" w:name="_Toc181361844"/>
      <w:bookmarkEnd w:id="218"/>
      <w:bookmarkStart w:id="219" w:name="_Toc181362513"/>
      <w:bookmarkEnd w:id="219"/>
      <w:bookmarkStart w:id="220" w:name="_Toc181362506"/>
      <w:bookmarkEnd w:id="220"/>
      <w:bookmarkStart w:id="221" w:name="_Toc181361847"/>
      <w:bookmarkEnd w:id="221"/>
      <w:bookmarkStart w:id="222" w:name="_Toc181362512"/>
      <w:bookmarkEnd w:id="222"/>
      <w:bookmarkStart w:id="223" w:name="_Toc181361845"/>
      <w:bookmarkEnd w:id="223"/>
      <w:bookmarkStart w:id="224" w:name="_Toc181361835"/>
      <w:bookmarkEnd w:id="224"/>
      <w:bookmarkStart w:id="225" w:name="_Toc181362503"/>
      <w:bookmarkEnd w:id="225"/>
      <w:bookmarkStart w:id="226" w:name="_Toc181362504"/>
      <w:bookmarkEnd w:id="226"/>
      <w:bookmarkStart w:id="227" w:name="_Toc181361843"/>
      <w:bookmarkEnd w:id="227"/>
      <w:bookmarkStart w:id="228" w:name="_Toc181362510"/>
      <w:bookmarkEnd w:id="228"/>
      <w:bookmarkStart w:id="229" w:name="_Toc181361837"/>
      <w:bookmarkEnd w:id="229"/>
      <w:bookmarkStart w:id="230" w:name="_Toc181361838"/>
      <w:bookmarkEnd w:id="230"/>
      <w:bookmarkStart w:id="231" w:name="_Toc181362514"/>
      <w:bookmarkEnd w:id="231"/>
      <w:bookmarkStart w:id="232" w:name="_Toc181361836"/>
      <w:bookmarkEnd w:id="232"/>
      <w:bookmarkStart w:id="233" w:name="_Toc181361841"/>
      <w:bookmarkEnd w:id="233"/>
      <w:bookmarkStart w:id="234" w:name="_Toc181362509"/>
      <w:bookmarkEnd w:id="234"/>
      <w:bookmarkStart w:id="235" w:name="_Toc181361848"/>
      <w:bookmarkEnd w:id="235"/>
      <w:bookmarkStart w:id="236" w:name="_Toc181361840"/>
      <w:bookmarkEnd w:id="236"/>
      <w:bookmarkStart w:id="237" w:name="_Toc181361842"/>
      <w:bookmarkEnd w:id="237"/>
      <w:bookmarkStart w:id="238" w:name="_Toc181362501"/>
      <w:bookmarkEnd w:id="238"/>
      <w:bookmarkStart w:id="239" w:name="_Toc181362502"/>
      <w:bookmarkEnd w:id="239"/>
      <w:bookmarkStart w:id="240" w:name="_Toc181361839"/>
      <w:bookmarkEnd w:id="240"/>
      <w:bookmarkStart w:id="241" w:name="_Toc181362507"/>
      <w:bookmarkEnd w:id="241"/>
      <w:bookmarkStart w:id="242" w:name="_Toc181362505"/>
      <w:bookmarkEnd w:id="242"/>
      <w:bookmarkStart w:id="243" w:name="_Toc24503"/>
      <w:bookmarkStart w:id="244" w:name="_Toc32387"/>
      <w:bookmarkStart w:id="245" w:name="_Toc26183"/>
      <w:bookmarkStart w:id="246" w:name="_Toc3311"/>
      <w:bookmarkStart w:id="247" w:name="_Toc20430"/>
      <w:bookmarkStart w:id="248" w:name="_Toc11137"/>
      <w:bookmarkStart w:id="249" w:name="_Toc181361849"/>
      <w:bookmarkStart w:id="250" w:name="_Toc26629"/>
      <w:bookmarkStart w:id="251" w:name="_Toc181362515"/>
      <w:bookmarkStart w:id="252" w:name="_Toc31294"/>
      <w:bookmarkStart w:id="253" w:name="_Toc7914"/>
      <w:bookmarkStart w:id="254" w:name="_Toc11679"/>
      <w:bookmarkStart w:id="255" w:name="_Toc5275"/>
      <w:bookmarkStart w:id="256" w:name="_Toc24486"/>
      <w:bookmarkStart w:id="257" w:name="_Toc2848"/>
      <w:bookmarkStart w:id="258" w:name="_Toc1420"/>
      <w:bookmarkStart w:id="259" w:name="_Toc31489"/>
      <w:bookmarkStart w:id="260" w:name="_Toc25246"/>
      <w:bookmarkStart w:id="261" w:name="_Toc20070"/>
      <w:bookmarkStart w:id="262" w:name="_Toc17761"/>
      <w:bookmarkStart w:id="263" w:name="_Toc28143"/>
      <w:r>
        <w:rPr>
          <w:rFonts w:hint="eastAsia"/>
          <w:color w:val="auto"/>
          <w:sz w:val="28"/>
          <w:szCs w:val="28"/>
        </w:rPr>
        <w:t>现场条件和规定</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r>
        <w:rPr>
          <w:rFonts w:hint="eastAsia"/>
          <w:color w:val="auto"/>
          <w:sz w:val="28"/>
          <w:szCs w:val="28"/>
        </w:rPr>
        <w:tab/>
      </w:r>
    </w:p>
    <w:p>
      <w:pPr>
        <w:pStyle w:val="4"/>
        <w:numPr>
          <w:ilvl w:val="255"/>
          <w:numId w:val="0"/>
        </w:numPr>
        <w:tabs>
          <w:tab w:val="left" w:pos="0"/>
        </w:tabs>
        <w:adjustRightInd w:val="0"/>
        <w:snapToGrid w:val="0"/>
        <w:rPr>
          <w:color w:val="auto"/>
        </w:rPr>
      </w:pPr>
      <w:bookmarkStart w:id="264" w:name="_Toc181361850"/>
      <w:bookmarkStart w:id="265" w:name="_Toc27770"/>
      <w:bookmarkStart w:id="266" w:name="_Toc334688635"/>
      <w:bookmarkStart w:id="267" w:name="_Toc474484680"/>
      <w:bookmarkStart w:id="268" w:name="_Toc138402747"/>
      <w:bookmarkStart w:id="269" w:name="_Toc8979"/>
      <w:bookmarkStart w:id="270" w:name="_Toc17578"/>
      <w:bookmarkStart w:id="271" w:name="_Toc19510"/>
      <w:bookmarkStart w:id="272" w:name="_Toc474485877"/>
      <w:bookmarkStart w:id="273" w:name="_Toc19980"/>
      <w:bookmarkStart w:id="274" w:name="_Toc181362516"/>
      <w:bookmarkStart w:id="275" w:name="_Toc474484494"/>
      <w:bookmarkStart w:id="276" w:name="_Toc7444"/>
      <w:bookmarkStart w:id="277" w:name="_Toc29670"/>
      <w:bookmarkStart w:id="278" w:name="_Toc67220722"/>
      <w:r>
        <w:rPr>
          <w:rFonts w:hint="eastAsia"/>
          <w:color w:val="auto"/>
          <w:lang w:val="en-US" w:eastAsia="zh-CN"/>
        </w:rPr>
        <w:t>9</w:t>
      </w:r>
      <w:r>
        <w:rPr>
          <w:color w:val="auto"/>
        </w:rPr>
        <w:t>.1</w:t>
      </w:r>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Start w:id="279" w:name="_Toc138402748"/>
      <w:bookmarkStart w:id="280" w:name="_Toc27970"/>
      <w:bookmarkStart w:id="281" w:name="_Toc474485878"/>
      <w:bookmarkStart w:id="282" w:name="_Toc2952"/>
      <w:bookmarkStart w:id="283" w:name="_Toc334688636"/>
      <w:bookmarkStart w:id="284" w:name="_Toc181361851"/>
      <w:bookmarkStart w:id="285" w:name="_Toc181362517"/>
      <w:bookmarkStart w:id="286" w:name="_Toc13993"/>
      <w:bookmarkStart w:id="287" w:name="_Toc23242"/>
      <w:bookmarkStart w:id="288" w:name="_Toc14572"/>
      <w:bookmarkStart w:id="289" w:name="_Toc474484495"/>
      <w:bookmarkStart w:id="290" w:name="_Toc474484681"/>
      <w:bookmarkStart w:id="291" w:name="_Toc30906"/>
      <w:bookmarkStart w:id="292" w:name="_Toc6864"/>
      <w:r>
        <w:rPr>
          <w:rFonts w:hint="eastAsia"/>
          <w:color w:val="auto"/>
        </w:rPr>
        <w:t>办公与</w:t>
      </w:r>
      <w:bookmarkEnd w:id="279"/>
      <w:r>
        <w:rPr>
          <w:rFonts w:hint="eastAsia"/>
          <w:color w:val="auto"/>
        </w:rPr>
        <w:t>后勤</w:t>
      </w:r>
      <w:bookmarkEnd w:id="280"/>
      <w:bookmarkEnd w:id="281"/>
      <w:bookmarkEnd w:id="282"/>
      <w:bookmarkEnd w:id="283"/>
      <w:bookmarkEnd w:id="284"/>
      <w:bookmarkEnd w:id="285"/>
      <w:bookmarkEnd w:id="286"/>
      <w:bookmarkEnd w:id="287"/>
      <w:bookmarkEnd w:id="288"/>
      <w:bookmarkEnd w:id="289"/>
      <w:bookmarkEnd w:id="290"/>
      <w:bookmarkEnd w:id="291"/>
      <w:bookmarkEnd w:id="292"/>
      <w:bookmarkStart w:id="293" w:name="_Toc138402749"/>
      <w:bookmarkStart w:id="294" w:name="_Toc334688637"/>
    </w:p>
    <w:p>
      <w:pPr>
        <w:pStyle w:val="5"/>
        <w:ind w:firstLine="480" w:firstLineChars="200"/>
        <w:rPr>
          <w:color w:val="auto"/>
        </w:rPr>
      </w:pPr>
      <w:r>
        <w:rPr>
          <w:rFonts w:hint="eastAsia"/>
          <w:color w:val="auto"/>
        </w:rPr>
        <w:t>供热项目监理项目部办公与后勤（包含但不限于：办公室办公用品、宿舍生活用品等）均由报价方自行安排解决。</w:t>
      </w:r>
    </w:p>
    <w:bookmarkEnd w:id="293"/>
    <w:bookmarkEnd w:id="294"/>
    <w:p>
      <w:pPr>
        <w:pStyle w:val="4"/>
        <w:numPr>
          <w:ilvl w:val="255"/>
          <w:numId w:val="0"/>
        </w:numPr>
        <w:tabs>
          <w:tab w:val="left" w:pos="0"/>
        </w:tabs>
        <w:adjustRightInd w:val="0"/>
        <w:snapToGrid w:val="0"/>
        <w:rPr>
          <w:color w:val="auto"/>
        </w:rPr>
      </w:pPr>
      <w:bookmarkStart w:id="295" w:name="_Toc474485880"/>
      <w:bookmarkStart w:id="296" w:name="_Toc474484497"/>
      <w:bookmarkStart w:id="297" w:name="_Toc334688638"/>
      <w:bookmarkStart w:id="298" w:name="_Toc474484683"/>
      <w:bookmarkStart w:id="299" w:name="_Toc22021"/>
      <w:bookmarkStart w:id="300" w:name="_Toc3561"/>
      <w:bookmarkStart w:id="301" w:name="_Toc11001"/>
      <w:bookmarkStart w:id="302" w:name="_Toc29852"/>
      <w:bookmarkStart w:id="303" w:name="_Toc7436"/>
      <w:bookmarkStart w:id="304" w:name="_Toc968"/>
      <w:bookmarkStart w:id="305" w:name="_Toc29797"/>
      <w:bookmarkStart w:id="306" w:name="_Toc181361852"/>
      <w:bookmarkStart w:id="307" w:name="_Toc181362518"/>
      <w:bookmarkStart w:id="308" w:name="_Toc138402752"/>
      <w:r>
        <w:rPr>
          <w:rFonts w:hint="eastAsia"/>
          <w:color w:val="auto"/>
          <w:lang w:val="en-US" w:eastAsia="zh-CN"/>
        </w:rPr>
        <w:t>9</w:t>
      </w:r>
      <w:r>
        <w:rPr>
          <w:color w:val="auto"/>
        </w:rPr>
        <w:t>.2</w:t>
      </w:r>
      <w:r>
        <w:rPr>
          <w:rFonts w:hint="eastAsia"/>
          <w:color w:val="auto"/>
        </w:rPr>
        <w:t>工器具及仪器</w:t>
      </w:r>
      <w:bookmarkEnd w:id="295"/>
      <w:bookmarkEnd w:id="296"/>
      <w:bookmarkEnd w:id="297"/>
      <w:bookmarkEnd w:id="298"/>
      <w:r>
        <w:rPr>
          <w:rFonts w:hint="eastAsia"/>
          <w:color w:val="auto"/>
        </w:rPr>
        <w:t>要求</w:t>
      </w:r>
      <w:bookmarkEnd w:id="299"/>
      <w:bookmarkEnd w:id="300"/>
      <w:bookmarkEnd w:id="301"/>
      <w:bookmarkEnd w:id="302"/>
      <w:bookmarkEnd w:id="303"/>
      <w:bookmarkEnd w:id="304"/>
      <w:bookmarkEnd w:id="305"/>
      <w:r>
        <w:rPr>
          <w:rFonts w:hint="eastAsia"/>
          <w:color w:val="auto"/>
        </w:rPr>
        <w:t>（报价方自行解决）</w:t>
      </w:r>
      <w:bookmarkEnd w:id="306"/>
      <w:bookmarkEnd w:id="307"/>
    </w:p>
    <w:p>
      <w:pPr>
        <w:pStyle w:val="5"/>
        <w:ind w:firstLine="480" w:firstLineChars="200"/>
        <w:rPr>
          <w:color w:val="auto"/>
        </w:rPr>
      </w:pPr>
      <w:r>
        <w:rPr>
          <w:rFonts w:hint="eastAsia"/>
          <w:color w:val="auto"/>
        </w:rPr>
        <w:t>供热项目监理项目部至少应具备适合于本项目检测用常规仪器等检测设备和工器具（包括金属光谱分析仪、超声波测厚仪），供热项目监理项目部在监理服务期限内必须按现场监理需求自备常驻现场的交通设备，供监理单位项目现场管理使用，且不得与本次采购工程以外的其它工程共用。</w:t>
      </w:r>
    </w:p>
    <w:bookmarkEnd w:id="308"/>
    <w:p>
      <w:pPr>
        <w:pStyle w:val="4"/>
        <w:numPr>
          <w:ilvl w:val="255"/>
          <w:numId w:val="0"/>
        </w:numPr>
        <w:tabs>
          <w:tab w:val="left" w:pos="0"/>
        </w:tabs>
        <w:adjustRightInd w:val="0"/>
        <w:snapToGrid w:val="0"/>
        <w:rPr>
          <w:color w:val="auto"/>
        </w:rPr>
      </w:pPr>
      <w:bookmarkStart w:id="309" w:name="_Toc474484684"/>
      <w:bookmarkStart w:id="310" w:name="_Toc138402753"/>
      <w:bookmarkStart w:id="311" w:name="_Toc24744"/>
      <w:bookmarkStart w:id="312" w:name="_Toc70"/>
      <w:bookmarkStart w:id="313" w:name="_Toc474484498"/>
      <w:bookmarkStart w:id="314" w:name="_Toc181362519"/>
      <w:bookmarkStart w:id="315" w:name="_Toc22345"/>
      <w:bookmarkStart w:id="316" w:name="_Toc19648"/>
      <w:bookmarkStart w:id="317" w:name="_Toc9501"/>
      <w:bookmarkStart w:id="318" w:name="_Toc14248"/>
      <w:bookmarkStart w:id="319" w:name="_Toc181361853"/>
      <w:bookmarkStart w:id="320" w:name="_Toc23636"/>
      <w:bookmarkStart w:id="321" w:name="_Toc474485881"/>
      <w:bookmarkStart w:id="322" w:name="_Toc334688639"/>
      <w:r>
        <w:rPr>
          <w:rFonts w:hint="eastAsia"/>
          <w:color w:val="auto"/>
          <w:lang w:val="en-US" w:eastAsia="zh-CN"/>
        </w:rPr>
        <w:t>9</w:t>
      </w:r>
      <w:r>
        <w:rPr>
          <w:color w:val="auto"/>
        </w:rPr>
        <w:t>.3</w:t>
      </w:r>
      <w:r>
        <w:rPr>
          <w:rFonts w:hint="eastAsia"/>
          <w:color w:val="auto"/>
        </w:rPr>
        <w:t>办公、交通及通讯设备（报价方自行解决）</w:t>
      </w:r>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pPr>
        <w:pStyle w:val="4"/>
        <w:numPr>
          <w:ilvl w:val="0"/>
          <w:numId w:val="0"/>
        </w:numPr>
        <w:tabs>
          <w:tab w:val="left" w:pos="0"/>
        </w:tabs>
        <w:adjustRightInd w:val="0"/>
        <w:snapToGrid w:val="0"/>
        <w:ind w:firstLine="1928" w:firstLineChars="800"/>
        <w:rPr>
          <w:rFonts w:ascii="宋体" w:hAnsi="宋体" w:cs="宋体"/>
          <w:b w:val="0"/>
          <w:bCs w:val="0"/>
          <w:color w:val="auto"/>
        </w:rPr>
      </w:pPr>
      <w:bookmarkStart w:id="323" w:name="_Toc181362520"/>
      <w:bookmarkStart w:id="324" w:name="_Toc181361854"/>
      <w:r>
        <w:rPr>
          <w:rFonts w:hint="eastAsia" w:ascii="宋体" w:hAnsi="宋体" w:cs="新宋体"/>
          <w:color w:val="auto"/>
        </w:rPr>
        <w:t>监理拟投入本项目办公、交通及通讯设备最低要求</w:t>
      </w:r>
      <w:bookmarkEnd w:id="323"/>
      <w:bookmarkEnd w:id="324"/>
    </w:p>
    <w:tbl>
      <w:tblPr>
        <w:tblStyle w:val="62"/>
        <w:tblW w:w="8418" w:type="dxa"/>
        <w:jc w:val="center"/>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Layout w:type="fixed"/>
        <w:tblCellMar>
          <w:top w:w="0" w:type="dxa"/>
          <w:left w:w="108" w:type="dxa"/>
          <w:bottom w:w="0" w:type="dxa"/>
          <w:right w:w="108" w:type="dxa"/>
        </w:tblCellMar>
      </w:tblPr>
      <w:tblGrid>
        <w:gridCol w:w="780"/>
        <w:gridCol w:w="4150"/>
        <w:gridCol w:w="1661"/>
        <w:gridCol w:w="1827"/>
      </w:tblGrid>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720" w:hRule="atLeast"/>
          <w:jc w:val="center"/>
        </w:trPr>
        <w:tc>
          <w:tcPr>
            <w:tcW w:w="780" w:type="dxa"/>
            <w:tcBorders>
              <w:top w:val="single" w:color="auto" w:sz="2" w:space="0"/>
              <w:left w:val="single" w:color="auto" w:sz="2" w:space="0"/>
              <w:bottom w:val="single" w:color="auto" w:sz="2" w:space="0"/>
            </w:tcBorders>
            <w:vAlign w:val="center"/>
          </w:tcPr>
          <w:p>
            <w:pPr>
              <w:pStyle w:val="32"/>
              <w:spacing w:before="240" w:after="240" w:line="480" w:lineRule="exact"/>
              <w:jc w:val="center"/>
              <w:rPr>
                <w:rFonts w:hAnsi="宋体" w:cs="新宋体"/>
                <w:b/>
                <w:bCs/>
                <w:color w:val="auto"/>
                <w:szCs w:val="24"/>
                <w:lang w:val="en-GB"/>
              </w:rPr>
            </w:pPr>
            <w:r>
              <w:rPr>
                <w:rFonts w:hint="eastAsia" w:hAnsi="宋体" w:cs="新宋体"/>
                <w:b/>
                <w:bCs/>
                <w:color w:val="auto"/>
                <w:szCs w:val="24"/>
                <w:lang w:val="en-GB"/>
              </w:rPr>
              <w:t>序号</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b/>
                <w:bCs/>
                <w:color w:val="auto"/>
                <w:szCs w:val="24"/>
                <w:lang w:val="en-GB"/>
              </w:rPr>
            </w:pPr>
            <w:r>
              <w:rPr>
                <w:rFonts w:hint="eastAsia" w:hAnsi="宋体" w:cs="新宋体"/>
                <w:b/>
                <w:bCs/>
                <w:color w:val="auto"/>
                <w:szCs w:val="24"/>
                <w:lang w:val="en-GB"/>
              </w:rPr>
              <w:t>名    称</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b/>
                <w:bCs/>
                <w:color w:val="auto"/>
                <w:szCs w:val="24"/>
                <w:lang w:val="en-GB"/>
              </w:rPr>
            </w:pPr>
            <w:r>
              <w:rPr>
                <w:rFonts w:hint="eastAsia" w:hAnsi="宋体" w:cs="新宋体"/>
                <w:b/>
                <w:bCs/>
                <w:color w:val="auto"/>
                <w:szCs w:val="24"/>
                <w:lang w:val="en-GB"/>
              </w:rPr>
              <w:t>单位</w:t>
            </w:r>
          </w:p>
        </w:tc>
        <w:tc>
          <w:tcPr>
            <w:tcW w:w="1827" w:type="dxa"/>
            <w:tcBorders>
              <w:top w:val="single" w:color="auto" w:sz="2" w:space="0"/>
              <w:left w:val="single" w:color="auto" w:sz="4" w:space="0"/>
              <w:bottom w:val="single" w:color="auto" w:sz="2" w:space="0"/>
              <w:right w:val="single" w:color="auto" w:sz="2" w:space="0"/>
            </w:tcBorders>
            <w:vAlign w:val="center"/>
          </w:tcPr>
          <w:p>
            <w:pPr>
              <w:pStyle w:val="32"/>
              <w:spacing w:line="480" w:lineRule="exact"/>
              <w:jc w:val="center"/>
              <w:rPr>
                <w:rFonts w:hAnsi="宋体" w:cs="新宋体"/>
                <w:b/>
                <w:bCs/>
                <w:color w:val="auto"/>
                <w:szCs w:val="24"/>
                <w:lang w:val="en-GB"/>
              </w:rPr>
            </w:pPr>
            <w:r>
              <w:rPr>
                <w:rFonts w:hint="eastAsia" w:hAnsi="宋体" w:cs="新宋体"/>
                <w:b/>
                <w:bCs/>
                <w:color w:val="auto"/>
                <w:szCs w:val="24"/>
                <w:lang w:val="en-GB"/>
              </w:rPr>
              <w:t>数量</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376"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1</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电  脑</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台</w:t>
            </w:r>
          </w:p>
        </w:tc>
        <w:tc>
          <w:tcPr>
            <w:tcW w:w="1827" w:type="dxa"/>
            <w:tcBorders>
              <w:top w:val="single" w:color="auto" w:sz="2" w:space="0"/>
              <w:bottom w:val="single" w:color="auto" w:sz="2" w:space="0"/>
              <w:right w:val="single" w:color="auto" w:sz="2" w:space="0"/>
            </w:tcBorders>
            <w:vAlign w:val="center"/>
          </w:tcPr>
          <w:p>
            <w:pPr>
              <w:pStyle w:val="32"/>
              <w:spacing w:line="480" w:lineRule="exact"/>
              <w:jc w:val="center"/>
              <w:rPr>
                <w:rFonts w:hAnsi="宋体" w:cs="新宋体"/>
                <w:color w:val="auto"/>
                <w:szCs w:val="24"/>
                <w:lang w:val="en-GB"/>
              </w:rPr>
            </w:pPr>
            <w:r>
              <w:rPr>
                <w:rFonts w:hAnsi="宋体" w:cs="新宋体"/>
                <w:color w:val="auto"/>
                <w:szCs w:val="24"/>
                <w:lang w:val="en-GB"/>
              </w:rPr>
              <w:t>6</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2</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打印机复印件</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台</w:t>
            </w:r>
          </w:p>
        </w:tc>
        <w:tc>
          <w:tcPr>
            <w:tcW w:w="1827" w:type="dxa"/>
            <w:tcBorders>
              <w:top w:val="single" w:color="auto" w:sz="2" w:space="0"/>
              <w:bottom w:val="single" w:color="auto" w:sz="2" w:space="0"/>
              <w:right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3</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交通用车辆</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辆</w:t>
            </w:r>
          </w:p>
        </w:tc>
        <w:tc>
          <w:tcPr>
            <w:tcW w:w="1827" w:type="dxa"/>
            <w:tcBorders>
              <w:top w:val="single" w:color="auto" w:sz="2" w:space="0"/>
              <w:bottom w:val="single" w:color="auto" w:sz="2" w:space="0"/>
              <w:right w:val="single" w:color="auto" w:sz="2" w:space="0"/>
            </w:tcBorders>
            <w:vAlign w:val="center"/>
          </w:tcPr>
          <w:p>
            <w:pPr>
              <w:pStyle w:val="32"/>
              <w:spacing w:line="480" w:lineRule="exact"/>
              <w:jc w:val="center"/>
              <w:rPr>
                <w:rFonts w:hAnsi="宋体" w:cs="新宋体"/>
                <w:color w:val="auto"/>
                <w:szCs w:val="24"/>
                <w:lang w:val="en-GB"/>
              </w:rPr>
            </w:pPr>
            <w:r>
              <w:rPr>
                <w:rFonts w:hAnsi="宋体" w:cs="新宋体"/>
                <w:color w:val="auto"/>
                <w:szCs w:val="24"/>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4</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对讲机</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台</w:t>
            </w:r>
          </w:p>
        </w:tc>
        <w:tc>
          <w:tcPr>
            <w:tcW w:w="1827" w:type="dxa"/>
            <w:tcBorders>
              <w:top w:val="single" w:color="auto" w:sz="2" w:space="0"/>
              <w:bottom w:val="single" w:color="auto" w:sz="2" w:space="0"/>
              <w:right w:val="single" w:color="auto" w:sz="2" w:space="0"/>
            </w:tcBorders>
            <w:vAlign w:val="center"/>
          </w:tcPr>
          <w:p>
            <w:pPr>
              <w:pStyle w:val="32"/>
              <w:spacing w:line="480" w:lineRule="exact"/>
              <w:jc w:val="center"/>
              <w:rPr>
                <w:rFonts w:hAnsi="宋体" w:cs="新宋体"/>
                <w:color w:val="auto"/>
                <w:szCs w:val="24"/>
                <w:lang w:val="en-GB"/>
              </w:rPr>
            </w:pPr>
            <w:r>
              <w:rPr>
                <w:rFonts w:hAnsi="宋体" w:cs="新宋体"/>
                <w:color w:val="auto"/>
                <w:szCs w:val="24"/>
                <w:lang w:val="en-GB"/>
              </w:rPr>
              <w:t>6</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5</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金属分析仪（品牌型号：日立 x-met8000，HITACHI）</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台</w:t>
            </w:r>
          </w:p>
        </w:tc>
        <w:tc>
          <w:tcPr>
            <w:tcW w:w="1827" w:type="dxa"/>
            <w:tcBorders>
              <w:top w:val="single" w:color="auto" w:sz="2" w:space="0"/>
              <w:bottom w:val="single" w:color="auto" w:sz="2" w:space="0"/>
              <w:right w:val="single" w:color="auto" w:sz="2" w:space="0"/>
            </w:tcBorders>
            <w:vAlign w:val="center"/>
          </w:tcPr>
          <w:p>
            <w:pPr>
              <w:pStyle w:val="32"/>
              <w:spacing w:line="480" w:lineRule="exact"/>
              <w:jc w:val="center"/>
              <w:rPr>
                <w:rFonts w:hAnsi="宋体" w:cs="新宋体"/>
                <w:color w:val="auto"/>
                <w:szCs w:val="24"/>
                <w:lang w:val="en-GB"/>
              </w:rPr>
            </w:pPr>
            <w:r>
              <w:rPr>
                <w:rFonts w:hAnsi="宋体" w:cs="新宋体"/>
                <w:color w:val="auto"/>
                <w:szCs w:val="24"/>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PrEx>
        <w:trPr>
          <w:trHeight w:val="358"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6</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金属测厚仪</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台</w:t>
            </w:r>
          </w:p>
        </w:tc>
        <w:tc>
          <w:tcPr>
            <w:tcW w:w="1827" w:type="dxa"/>
            <w:tcBorders>
              <w:top w:val="single" w:color="auto" w:sz="2" w:space="0"/>
              <w:bottom w:val="single" w:color="auto" w:sz="2" w:space="0"/>
              <w:right w:val="single" w:color="auto" w:sz="2" w:space="0"/>
            </w:tcBorders>
          </w:tcPr>
          <w:p>
            <w:pPr>
              <w:pStyle w:val="32"/>
              <w:spacing w:line="480" w:lineRule="exact"/>
              <w:jc w:val="center"/>
              <w:rPr>
                <w:rFonts w:hAnsi="宋体" w:cs="新宋体"/>
                <w:color w:val="auto"/>
                <w:szCs w:val="24"/>
                <w:lang w:val="en-GB"/>
              </w:rPr>
            </w:pPr>
            <w:r>
              <w:rPr>
                <w:rFonts w:hAnsi="宋体" w:cs="新宋体"/>
                <w:color w:val="auto"/>
                <w:szCs w:val="24"/>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7</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混凝土回弹仪</w:t>
            </w:r>
          </w:p>
        </w:tc>
        <w:tc>
          <w:tcPr>
            <w:tcW w:w="1661"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台</w:t>
            </w:r>
          </w:p>
        </w:tc>
        <w:tc>
          <w:tcPr>
            <w:tcW w:w="1827" w:type="dxa"/>
            <w:tcBorders>
              <w:top w:val="single" w:color="auto" w:sz="2" w:space="0"/>
              <w:bottom w:val="single" w:color="auto" w:sz="2" w:space="0"/>
              <w:right w:val="single" w:color="auto" w:sz="2" w:space="0"/>
            </w:tcBorders>
          </w:tcPr>
          <w:p>
            <w:pPr>
              <w:pStyle w:val="32"/>
              <w:spacing w:line="480" w:lineRule="exact"/>
              <w:jc w:val="center"/>
              <w:rPr>
                <w:rFonts w:hAnsi="宋体" w:cs="新宋体"/>
                <w:color w:val="auto"/>
                <w:szCs w:val="24"/>
                <w:lang w:val="en-GB"/>
              </w:rPr>
            </w:pPr>
            <w:r>
              <w:rPr>
                <w:rFonts w:hAnsi="宋体" w:cs="新宋体"/>
                <w:color w:val="auto"/>
                <w:szCs w:val="24"/>
                <w:lang w:val="en-GB"/>
              </w:rPr>
              <w:t>1</w:t>
            </w:r>
          </w:p>
        </w:tc>
      </w:tr>
      <w:tr>
        <w:tblPrEx>
          <w:tblBorders>
            <w:top w:val="thinThickSmallGap" w:color="auto" w:sz="12" w:space="0"/>
            <w:left w:val="thinThickSmallGap" w:color="auto" w:sz="12" w:space="0"/>
            <w:bottom w:val="thickThinSmallGap" w:color="auto" w:sz="12" w:space="0"/>
            <w:right w:val="thickThinSmallGap" w:color="auto" w:sz="12" w:space="0"/>
            <w:insideH w:val="single" w:color="auto" w:sz="2" w:space="0"/>
            <w:insideV w:val="single" w:color="auto" w:sz="2" w:space="0"/>
          </w:tblBorders>
          <w:tblCellMar>
            <w:top w:w="0" w:type="dxa"/>
            <w:left w:w="108" w:type="dxa"/>
            <w:bottom w:w="0" w:type="dxa"/>
            <w:right w:w="108" w:type="dxa"/>
          </w:tblCellMar>
        </w:tblPrEx>
        <w:trPr>
          <w:trHeight w:val="358" w:hRule="atLeast"/>
          <w:jc w:val="center"/>
        </w:trPr>
        <w:tc>
          <w:tcPr>
            <w:tcW w:w="780" w:type="dxa"/>
            <w:tcBorders>
              <w:top w:val="single" w:color="auto" w:sz="2" w:space="0"/>
              <w:left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8</w:t>
            </w:r>
          </w:p>
        </w:tc>
        <w:tc>
          <w:tcPr>
            <w:tcW w:w="4150" w:type="dxa"/>
            <w:tcBorders>
              <w:top w:val="single" w:color="auto" w:sz="2" w:space="0"/>
              <w:bottom w:val="single" w:color="auto" w:sz="2" w:space="0"/>
            </w:tcBorders>
            <w:vAlign w:val="center"/>
          </w:tcPr>
          <w:p>
            <w:pPr>
              <w:pStyle w:val="32"/>
              <w:spacing w:line="480" w:lineRule="exact"/>
              <w:jc w:val="center"/>
              <w:rPr>
                <w:rFonts w:hAnsi="宋体" w:cs="新宋体"/>
                <w:color w:val="auto"/>
                <w:szCs w:val="24"/>
                <w:lang w:val="en-GB"/>
              </w:rPr>
            </w:pPr>
            <w:r>
              <w:rPr>
                <w:rFonts w:hint="eastAsia" w:hAnsi="宋体" w:cs="新宋体"/>
                <w:color w:val="auto"/>
                <w:szCs w:val="24"/>
                <w:lang w:val="en-GB"/>
              </w:rPr>
              <w:t>其他必备仪器</w:t>
            </w:r>
          </w:p>
        </w:tc>
        <w:tc>
          <w:tcPr>
            <w:tcW w:w="3488" w:type="dxa"/>
            <w:gridSpan w:val="2"/>
            <w:tcBorders>
              <w:top w:val="single" w:color="auto" w:sz="2" w:space="0"/>
              <w:bottom w:val="single" w:color="auto" w:sz="2" w:space="0"/>
              <w:right w:val="single" w:color="auto" w:sz="2" w:space="0"/>
            </w:tcBorders>
            <w:vAlign w:val="center"/>
          </w:tcPr>
          <w:p>
            <w:pPr>
              <w:pStyle w:val="32"/>
              <w:spacing w:line="480" w:lineRule="exact"/>
              <w:jc w:val="center"/>
              <w:rPr>
                <w:rFonts w:hAnsi="宋体" w:cs="新宋体"/>
                <w:color w:val="auto"/>
                <w:szCs w:val="24"/>
                <w:lang w:val="en-GB"/>
              </w:rPr>
            </w:pPr>
            <w:r>
              <w:rPr>
                <w:rFonts w:hAnsi="宋体" w:cs="新宋体"/>
                <w:color w:val="auto"/>
                <w:szCs w:val="24"/>
                <w:lang w:val="en-GB"/>
              </w:rPr>
              <w:t>按工程建设进展实际需求投入</w:t>
            </w:r>
          </w:p>
        </w:tc>
      </w:tr>
    </w:tbl>
    <w:p>
      <w:pPr>
        <w:pStyle w:val="5"/>
        <w:rPr>
          <w:color w:val="auto"/>
        </w:rPr>
      </w:pPr>
    </w:p>
    <w:p>
      <w:pPr>
        <w:pStyle w:val="4"/>
        <w:numPr>
          <w:ilvl w:val="255"/>
          <w:numId w:val="0"/>
        </w:numPr>
        <w:tabs>
          <w:tab w:val="left" w:pos="0"/>
        </w:tabs>
        <w:adjustRightInd w:val="0"/>
        <w:snapToGrid w:val="0"/>
        <w:rPr>
          <w:color w:val="auto"/>
        </w:rPr>
      </w:pPr>
      <w:bookmarkStart w:id="325" w:name="_Toc1662"/>
      <w:bookmarkStart w:id="326" w:name="_Toc474484685"/>
      <w:bookmarkStart w:id="327" w:name="_Toc474485882"/>
      <w:bookmarkStart w:id="328" w:name="_Toc5528"/>
      <w:bookmarkStart w:id="329" w:name="_Toc22209"/>
      <w:bookmarkStart w:id="330" w:name="_Toc138402754"/>
      <w:bookmarkStart w:id="331" w:name="_Toc17263"/>
      <w:bookmarkStart w:id="332" w:name="_Toc181362521"/>
      <w:bookmarkStart w:id="333" w:name="_Toc181361855"/>
      <w:bookmarkStart w:id="334" w:name="_Toc1588"/>
      <w:bookmarkStart w:id="335" w:name="_Toc21863"/>
      <w:bookmarkStart w:id="336" w:name="_Toc474484499"/>
      <w:bookmarkStart w:id="337" w:name="_Toc334688640"/>
      <w:bookmarkStart w:id="338" w:name="_Toc25805"/>
      <w:r>
        <w:rPr>
          <w:rFonts w:hint="eastAsia"/>
          <w:color w:val="auto"/>
          <w:lang w:val="en-US" w:eastAsia="zh-CN"/>
        </w:rPr>
        <w:t>9</w:t>
      </w:r>
      <w:r>
        <w:rPr>
          <w:color w:val="auto"/>
        </w:rPr>
        <w:t>.4</w:t>
      </w:r>
      <w:r>
        <w:rPr>
          <w:rFonts w:hint="eastAsia"/>
          <w:color w:val="auto"/>
        </w:rPr>
        <w:t>消耗性材料（辅材）供应</w:t>
      </w:r>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
      <w:pPr>
        <w:pStyle w:val="5"/>
        <w:ind w:firstLine="0"/>
        <w:rPr>
          <w:color w:val="auto"/>
        </w:rPr>
      </w:pPr>
      <w:r>
        <w:rPr>
          <w:rFonts w:hint="eastAsia"/>
          <w:color w:val="auto"/>
        </w:rPr>
        <w:t>生活用品及办公用品由报价方自行采购，需满足供热项目监理服务所有需求。</w:t>
      </w:r>
    </w:p>
    <w:p>
      <w:pPr>
        <w:pStyle w:val="4"/>
        <w:numPr>
          <w:ilvl w:val="255"/>
          <w:numId w:val="0"/>
        </w:numPr>
        <w:tabs>
          <w:tab w:val="left" w:pos="0"/>
        </w:tabs>
        <w:adjustRightInd w:val="0"/>
        <w:snapToGrid w:val="0"/>
        <w:rPr>
          <w:color w:val="auto"/>
        </w:rPr>
      </w:pPr>
      <w:bookmarkStart w:id="339" w:name="_Toc181362522"/>
      <w:bookmarkStart w:id="340" w:name="_Toc3634"/>
      <w:bookmarkStart w:id="341" w:name="_Toc11138"/>
      <w:bookmarkStart w:id="342" w:name="_Toc474484502"/>
      <w:bookmarkStart w:id="343" w:name="_Toc10092"/>
      <w:bookmarkStart w:id="344" w:name="_Toc334688644"/>
      <w:bookmarkStart w:id="345" w:name="_Toc474485885"/>
      <w:bookmarkStart w:id="346" w:name="_Toc181361856"/>
      <w:bookmarkStart w:id="347" w:name="_Toc6514"/>
      <w:bookmarkStart w:id="348" w:name="_Toc31931"/>
      <w:bookmarkStart w:id="349" w:name="_Toc17961"/>
      <w:bookmarkStart w:id="350" w:name="_Toc7127"/>
      <w:bookmarkStart w:id="351" w:name="_Toc474484688"/>
      <w:r>
        <w:rPr>
          <w:rFonts w:hint="eastAsia"/>
          <w:color w:val="auto"/>
          <w:lang w:val="en-US" w:eastAsia="zh-CN"/>
        </w:rPr>
        <w:t>9</w:t>
      </w:r>
      <w:r>
        <w:rPr>
          <w:color w:val="auto"/>
        </w:rPr>
        <w:t>.5</w:t>
      </w:r>
      <w:r>
        <w:rPr>
          <w:rFonts w:hint="eastAsia"/>
          <w:color w:val="auto"/>
        </w:rPr>
        <w:t>施工现场水、电、压缩空气的供应</w:t>
      </w:r>
      <w:bookmarkEnd w:id="339"/>
      <w:bookmarkEnd w:id="340"/>
      <w:bookmarkEnd w:id="341"/>
      <w:bookmarkEnd w:id="342"/>
      <w:bookmarkEnd w:id="343"/>
      <w:bookmarkEnd w:id="344"/>
      <w:bookmarkEnd w:id="345"/>
      <w:bookmarkEnd w:id="346"/>
      <w:bookmarkEnd w:id="347"/>
      <w:bookmarkEnd w:id="348"/>
      <w:bookmarkEnd w:id="349"/>
      <w:bookmarkEnd w:id="350"/>
      <w:bookmarkEnd w:id="351"/>
    </w:p>
    <w:p>
      <w:pPr>
        <w:pStyle w:val="5"/>
        <w:ind w:firstLine="0"/>
        <w:rPr>
          <w:rFonts w:ascii="宋体" w:hAnsi="宋体" w:cs="宋体"/>
          <w:color w:val="auto"/>
          <w:szCs w:val="24"/>
        </w:rPr>
      </w:pPr>
      <w:r>
        <w:rPr>
          <w:rFonts w:hint="eastAsia" w:ascii="宋体" w:hAnsi="宋体" w:cs="宋体"/>
          <w:color w:val="auto"/>
        </w:rPr>
        <w:t>供热项目监理项目部所需水、电、气（天燃气或者煤气）均由报价方自行安排解决。压缩空气不涉及。</w:t>
      </w:r>
    </w:p>
    <w:bookmarkEnd w:id="278"/>
    <w:p>
      <w:pPr>
        <w:pStyle w:val="3"/>
        <w:numPr>
          <w:ilvl w:val="0"/>
          <w:numId w:val="3"/>
        </w:numPr>
        <w:adjustRightInd w:val="0"/>
        <w:spacing w:line="360" w:lineRule="auto"/>
        <w:rPr>
          <w:color w:val="auto"/>
          <w:sz w:val="28"/>
          <w:szCs w:val="28"/>
        </w:rPr>
      </w:pPr>
      <w:bookmarkStart w:id="352" w:name="_Toc30141"/>
      <w:bookmarkStart w:id="353" w:name="_Toc27741"/>
      <w:bookmarkStart w:id="354" w:name="_Toc16791"/>
      <w:bookmarkStart w:id="355" w:name="_Toc181362523"/>
      <w:bookmarkStart w:id="356" w:name="_Toc28033"/>
      <w:bookmarkStart w:id="357" w:name="_Toc18297"/>
      <w:bookmarkStart w:id="358" w:name="_Toc1398"/>
      <w:bookmarkStart w:id="359" w:name="_Toc5107"/>
      <w:bookmarkStart w:id="360" w:name="_Toc29216"/>
      <w:bookmarkStart w:id="361" w:name="_Toc10046"/>
      <w:bookmarkStart w:id="362" w:name="_Toc25323"/>
      <w:bookmarkStart w:id="363" w:name="_Toc24633"/>
      <w:bookmarkStart w:id="364" w:name="_Toc31927"/>
      <w:bookmarkStart w:id="365" w:name="_Toc21168"/>
      <w:bookmarkStart w:id="366" w:name="_Toc4379"/>
      <w:bookmarkStart w:id="367" w:name="_Toc181361857"/>
      <w:bookmarkStart w:id="368" w:name="_Toc27004"/>
      <w:bookmarkStart w:id="369" w:name="_Toc9056"/>
      <w:bookmarkStart w:id="370" w:name="_Toc15366"/>
      <w:bookmarkStart w:id="371" w:name="_Toc2829"/>
      <w:bookmarkStart w:id="372" w:name="_Toc2775"/>
      <w:bookmarkStart w:id="373" w:name="OLE_LINK8"/>
      <w:r>
        <w:rPr>
          <w:rFonts w:hint="eastAsia"/>
          <w:color w:val="auto"/>
          <w:sz w:val="28"/>
          <w:szCs w:val="28"/>
        </w:rPr>
        <w:t>报价方项目人员管理要求</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p>
    <w:bookmarkEnd w:id="373"/>
    <w:p>
      <w:pPr>
        <w:pStyle w:val="4"/>
        <w:numPr>
          <w:ilvl w:val="255"/>
          <w:numId w:val="0"/>
        </w:numPr>
        <w:tabs>
          <w:tab w:val="left" w:pos="0"/>
        </w:tabs>
        <w:adjustRightInd w:val="0"/>
        <w:snapToGrid w:val="0"/>
        <w:rPr>
          <w:color w:val="auto"/>
        </w:rPr>
      </w:pPr>
      <w:bookmarkStart w:id="374" w:name="_Toc9461"/>
      <w:bookmarkStart w:id="375" w:name="_Toc21591"/>
      <w:bookmarkStart w:id="376" w:name="_Toc23898"/>
      <w:bookmarkStart w:id="377" w:name="_Toc10433"/>
      <w:bookmarkStart w:id="378" w:name="_Toc181361858"/>
      <w:bookmarkStart w:id="379" w:name="_Toc9792"/>
      <w:bookmarkStart w:id="380" w:name="_Toc13774"/>
      <w:bookmarkStart w:id="381" w:name="_Toc6015"/>
      <w:bookmarkStart w:id="382" w:name="_Toc17108"/>
      <w:bookmarkStart w:id="383" w:name="_Toc12491"/>
      <w:bookmarkStart w:id="384" w:name="_Toc20298"/>
      <w:bookmarkStart w:id="385" w:name="_Toc1560"/>
      <w:bookmarkStart w:id="386" w:name="_Toc31335"/>
      <w:bookmarkStart w:id="387" w:name="_Toc181362524"/>
      <w:bookmarkStart w:id="388" w:name="_Toc15071"/>
      <w:bookmarkStart w:id="389" w:name="_Toc181"/>
      <w:bookmarkStart w:id="390" w:name="_Toc24589"/>
      <w:bookmarkStart w:id="391" w:name="_Toc23845"/>
      <w:bookmarkStart w:id="392" w:name="_Toc20047"/>
      <w:bookmarkStart w:id="393" w:name="_Toc15270"/>
      <w:bookmarkStart w:id="394" w:name="_Toc32607"/>
      <w:r>
        <w:rPr>
          <w:rFonts w:hint="eastAsia"/>
          <w:color w:val="auto"/>
          <w:lang w:val="en-US" w:eastAsia="zh-CN"/>
        </w:rPr>
        <w:t>10</w:t>
      </w:r>
      <w:r>
        <w:rPr>
          <w:rFonts w:hint="eastAsia"/>
          <w:color w:val="auto"/>
        </w:rPr>
        <w:t>.1组织机构设置要求</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p>
    <w:p>
      <w:pPr>
        <w:pStyle w:val="5"/>
        <w:ind w:firstLine="0"/>
        <w:rPr>
          <w:b/>
          <w:bCs/>
          <w:color w:val="auto"/>
        </w:rPr>
      </w:pPr>
      <w:r>
        <w:rPr>
          <w:rFonts w:hint="eastAsia"/>
          <w:color w:val="auto"/>
          <w:lang w:val="en-US" w:eastAsia="zh-CN"/>
        </w:rPr>
        <w:t>10</w:t>
      </w:r>
      <w:r>
        <w:rPr>
          <w:color w:val="auto"/>
        </w:rPr>
        <w:t>.1.1</w:t>
      </w:r>
      <w:r>
        <w:rPr>
          <w:rFonts w:hint="eastAsia"/>
          <w:color w:val="auto"/>
        </w:rPr>
        <w:t>广州市第六资源热力电厂对外集中供热项目监理服务的报价方应在施工现场设置项目监理机构，该项目监理机构必须满足以下要求：</w:t>
      </w:r>
    </w:p>
    <w:p>
      <w:pPr>
        <w:pStyle w:val="5"/>
        <w:ind w:firstLine="0"/>
        <w:rPr>
          <w:b/>
          <w:bCs/>
          <w:color w:val="auto"/>
        </w:rPr>
      </w:pPr>
      <w:r>
        <w:rPr>
          <w:rFonts w:hint="eastAsia"/>
          <w:color w:val="auto"/>
          <w:lang w:val="en-US" w:eastAsia="zh-CN"/>
        </w:rPr>
        <w:t>10</w:t>
      </w:r>
      <w:r>
        <w:rPr>
          <w:color w:val="auto"/>
        </w:rPr>
        <w:t>.1.2</w:t>
      </w:r>
      <w:r>
        <w:rPr>
          <w:rFonts w:hint="eastAsia"/>
          <w:color w:val="auto"/>
        </w:rPr>
        <w:t>项目监理机构的监理人员应由总监理工程师、专业监理工程师、安全员和资料员组成，数量应满足建设工程监理工作需要。</w:t>
      </w:r>
    </w:p>
    <w:p>
      <w:pPr>
        <w:pStyle w:val="5"/>
        <w:ind w:firstLine="0"/>
        <w:rPr>
          <w:b/>
          <w:bCs/>
          <w:color w:val="auto"/>
        </w:rPr>
      </w:pPr>
      <w:r>
        <w:rPr>
          <w:rFonts w:hint="eastAsia"/>
          <w:color w:val="auto"/>
          <w:lang w:val="en-US" w:eastAsia="zh-CN"/>
        </w:rPr>
        <w:t>10</w:t>
      </w:r>
      <w:r>
        <w:rPr>
          <w:color w:val="auto"/>
        </w:rPr>
        <w:t>.1.3</w:t>
      </w:r>
      <w:r>
        <w:rPr>
          <w:rFonts w:hint="eastAsia"/>
          <w:color w:val="auto"/>
        </w:rPr>
        <w:t>实行总监理工程师负责制，对项目重大决策提出建议和意见。</w:t>
      </w:r>
    </w:p>
    <w:p>
      <w:pPr>
        <w:pStyle w:val="5"/>
        <w:ind w:firstLine="0"/>
        <w:rPr>
          <w:color w:val="auto"/>
        </w:rPr>
      </w:pPr>
      <w:r>
        <w:rPr>
          <w:rFonts w:hint="eastAsia"/>
          <w:color w:val="auto"/>
          <w:lang w:val="en-US" w:eastAsia="zh-CN"/>
        </w:rPr>
        <w:t>10</w:t>
      </w:r>
      <w:r>
        <w:rPr>
          <w:color w:val="auto"/>
        </w:rPr>
        <w:t>.1.4</w:t>
      </w:r>
      <w:r>
        <w:rPr>
          <w:rFonts w:hint="eastAsia"/>
          <w:color w:val="auto"/>
        </w:rPr>
        <w:t>在正式签订承包合同后，应尽快成立供热项目监理项目部，派驻供热项目监理人员驻场工作。</w:t>
      </w:r>
    </w:p>
    <w:p>
      <w:pPr>
        <w:pStyle w:val="4"/>
        <w:numPr>
          <w:ilvl w:val="255"/>
          <w:numId w:val="0"/>
        </w:numPr>
        <w:tabs>
          <w:tab w:val="left" w:pos="0"/>
        </w:tabs>
        <w:adjustRightInd w:val="0"/>
        <w:snapToGrid w:val="0"/>
        <w:rPr>
          <w:color w:val="auto"/>
        </w:rPr>
      </w:pPr>
      <w:bookmarkStart w:id="395" w:name="_Toc181362525"/>
      <w:bookmarkStart w:id="396" w:name="_Toc181361859"/>
      <w:r>
        <w:rPr>
          <w:rFonts w:hint="eastAsia"/>
          <w:color w:val="auto"/>
          <w:lang w:val="en-US" w:eastAsia="zh-CN"/>
        </w:rPr>
        <w:t>10</w:t>
      </w:r>
      <w:r>
        <w:rPr>
          <w:color w:val="auto"/>
        </w:rPr>
        <w:t>.2</w:t>
      </w:r>
      <w:bookmarkEnd w:id="395"/>
      <w:bookmarkEnd w:id="396"/>
      <w:bookmarkStart w:id="397" w:name="_Toc16156"/>
      <w:bookmarkStart w:id="398" w:name="_Toc8838"/>
      <w:bookmarkStart w:id="399" w:name="_Toc23371"/>
      <w:bookmarkStart w:id="400" w:name="_Toc4157"/>
      <w:bookmarkStart w:id="401" w:name="_Toc29712"/>
      <w:bookmarkStart w:id="402" w:name="_Toc8333"/>
      <w:bookmarkStart w:id="403" w:name="_Toc22900"/>
      <w:bookmarkStart w:id="404" w:name="_Toc15786"/>
      <w:bookmarkStart w:id="405" w:name="_Toc11272"/>
      <w:bookmarkStart w:id="406" w:name="_Toc1229"/>
      <w:bookmarkStart w:id="407" w:name="_Toc8178"/>
      <w:bookmarkStart w:id="408" w:name="_Toc13433"/>
      <w:bookmarkStart w:id="409" w:name="_Toc3344"/>
      <w:bookmarkStart w:id="410" w:name="_Toc181361860"/>
      <w:bookmarkStart w:id="411" w:name="_Toc24607"/>
      <w:bookmarkStart w:id="412" w:name="_Toc26731"/>
      <w:bookmarkStart w:id="413" w:name="_Toc30122"/>
      <w:bookmarkStart w:id="414" w:name="_Toc181362526"/>
      <w:bookmarkStart w:id="415" w:name="_Toc17176"/>
      <w:bookmarkStart w:id="416" w:name="_Toc18384"/>
      <w:bookmarkStart w:id="417" w:name="_Toc21857"/>
      <w:r>
        <w:rPr>
          <w:rFonts w:hint="eastAsia"/>
          <w:color w:val="auto"/>
        </w:rPr>
        <w:t>人员配置要求</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pPr>
        <w:widowControl/>
        <w:spacing w:line="480" w:lineRule="exact"/>
        <w:ind w:left="874" w:firstLine="1680" w:firstLineChars="700"/>
        <w:rPr>
          <w:rFonts w:ascii="宋体" w:hAnsi="宋体" w:cs="新宋体"/>
          <w:b/>
          <w:color w:val="auto"/>
          <w:kern w:val="0"/>
        </w:rPr>
      </w:pPr>
      <w:r>
        <w:rPr>
          <w:rFonts w:hint="eastAsia" w:ascii="宋体" w:hAnsi="宋体" w:cs="新宋体"/>
          <w:color w:val="auto"/>
          <w:kern w:val="0"/>
        </w:rPr>
        <w:t>表一</w:t>
      </w:r>
      <w:r>
        <w:rPr>
          <w:rFonts w:ascii="宋体" w:hAnsi="宋体" w:cs="新宋体"/>
          <w:color w:val="auto"/>
          <w:kern w:val="0"/>
        </w:rPr>
        <w:t xml:space="preserve">  监理人员概况一览表</w:t>
      </w:r>
    </w:p>
    <w:tbl>
      <w:tblPr>
        <w:tblStyle w:val="62"/>
        <w:tblW w:w="8502"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1275"/>
        <w:gridCol w:w="1900"/>
        <w:gridCol w:w="1109"/>
        <w:gridCol w:w="3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spacing w:line="480" w:lineRule="exact"/>
              <w:jc w:val="center"/>
              <w:rPr>
                <w:rFonts w:ascii="宋体" w:hAnsi="宋体" w:cs="新宋体"/>
                <w:b w:val="0"/>
                <w:bCs w:val="0"/>
                <w:color w:val="auto"/>
                <w:kern w:val="0"/>
              </w:rPr>
            </w:pPr>
            <w:r>
              <w:rPr>
                <w:rFonts w:hint="eastAsia" w:ascii="宋体" w:hAnsi="宋体" w:cs="新宋体"/>
                <w:b w:val="0"/>
                <w:bCs w:val="0"/>
                <w:color w:val="auto"/>
                <w:kern w:val="0"/>
              </w:rPr>
              <w:t>序号</w:t>
            </w:r>
          </w:p>
        </w:tc>
        <w:tc>
          <w:tcPr>
            <w:tcW w:w="1275" w:type="dxa"/>
            <w:vAlign w:val="center"/>
          </w:tcPr>
          <w:p>
            <w:pPr>
              <w:widowControl/>
              <w:spacing w:line="480" w:lineRule="exact"/>
              <w:jc w:val="center"/>
              <w:rPr>
                <w:rFonts w:ascii="宋体" w:hAnsi="宋体" w:cs="新宋体"/>
                <w:b w:val="0"/>
                <w:bCs w:val="0"/>
                <w:color w:val="auto"/>
                <w:kern w:val="0"/>
              </w:rPr>
            </w:pPr>
            <w:r>
              <w:rPr>
                <w:rFonts w:hint="eastAsia" w:ascii="宋体" w:hAnsi="宋体" w:cs="新宋体"/>
                <w:b w:val="0"/>
                <w:bCs w:val="0"/>
                <w:color w:val="auto"/>
                <w:kern w:val="0"/>
              </w:rPr>
              <w:t>监理姓名</w:t>
            </w:r>
          </w:p>
        </w:tc>
        <w:tc>
          <w:tcPr>
            <w:tcW w:w="1900" w:type="dxa"/>
            <w:vAlign w:val="center"/>
          </w:tcPr>
          <w:p>
            <w:pPr>
              <w:widowControl/>
              <w:spacing w:line="480" w:lineRule="exact"/>
              <w:jc w:val="center"/>
              <w:rPr>
                <w:rFonts w:ascii="宋体" w:hAnsi="宋体" w:cs="新宋体"/>
                <w:b w:val="0"/>
                <w:bCs w:val="0"/>
                <w:color w:val="auto"/>
                <w:kern w:val="0"/>
              </w:rPr>
            </w:pPr>
            <w:r>
              <w:rPr>
                <w:rFonts w:hint="eastAsia" w:ascii="宋体" w:hAnsi="宋体" w:cs="新宋体"/>
                <w:b w:val="0"/>
                <w:bCs w:val="0"/>
                <w:color w:val="auto"/>
                <w:kern w:val="0"/>
              </w:rPr>
              <w:t>职位</w:t>
            </w:r>
          </w:p>
        </w:tc>
        <w:tc>
          <w:tcPr>
            <w:tcW w:w="1109" w:type="dxa"/>
            <w:vAlign w:val="center"/>
          </w:tcPr>
          <w:p>
            <w:pPr>
              <w:widowControl/>
              <w:spacing w:line="480" w:lineRule="exact"/>
              <w:ind w:firstLine="120" w:firstLineChars="50"/>
              <w:jc w:val="center"/>
              <w:rPr>
                <w:rFonts w:ascii="宋体" w:hAnsi="宋体" w:cs="新宋体"/>
                <w:b w:val="0"/>
                <w:bCs w:val="0"/>
                <w:color w:val="auto"/>
                <w:kern w:val="0"/>
              </w:rPr>
            </w:pPr>
            <w:r>
              <w:rPr>
                <w:rFonts w:hint="eastAsia" w:ascii="宋体" w:hAnsi="宋体" w:cs="新宋体"/>
                <w:b w:val="0"/>
                <w:bCs w:val="0"/>
                <w:color w:val="auto"/>
                <w:kern w:val="0"/>
              </w:rPr>
              <w:t>人员数</w:t>
            </w:r>
          </w:p>
        </w:tc>
        <w:tc>
          <w:tcPr>
            <w:tcW w:w="3502" w:type="dxa"/>
            <w:vAlign w:val="center"/>
          </w:tcPr>
          <w:p>
            <w:pPr>
              <w:widowControl/>
              <w:spacing w:line="480" w:lineRule="exact"/>
              <w:jc w:val="center"/>
              <w:rPr>
                <w:rFonts w:ascii="宋体" w:hAnsi="宋体" w:cs="新宋体"/>
                <w:b w:val="0"/>
                <w:bCs w:val="0"/>
                <w:color w:val="auto"/>
                <w:kern w:val="0"/>
              </w:rPr>
            </w:pPr>
            <w:r>
              <w:rPr>
                <w:rFonts w:hint="eastAsia" w:ascii="宋体" w:hAnsi="宋体" w:cs="新宋体"/>
                <w:b w:val="0"/>
                <w:bCs w:val="0"/>
                <w:color w:val="auto"/>
                <w:kern w:val="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16" w:type="dxa"/>
            <w:vAlign w:val="center"/>
          </w:tcPr>
          <w:p>
            <w:pPr>
              <w:widowControl/>
              <w:spacing w:line="480" w:lineRule="exact"/>
              <w:jc w:val="center"/>
              <w:rPr>
                <w:rFonts w:ascii="宋体" w:hAnsi="宋体" w:cs="新宋体"/>
                <w:b w:val="0"/>
                <w:bCs w:val="0"/>
                <w:color w:val="auto"/>
                <w:kern w:val="0"/>
              </w:rPr>
            </w:pPr>
            <w:r>
              <w:rPr>
                <w:rFonts w:ascii="宋体" w:hAnsi="宋体" w:cs="新宋体"/>
                <w:b w:val="0"/>
                <w:bCs w:val="0"/>
                <w:color w:val="auto"/>
                <w:kern w:val="0"/>
              </w:rPr>
              <w:t>1</w:t>
            </w:r>
          </w:p>
        </w:tc>
        <w:tc>
          <w:tcPr>
            <w:tcW w:w="1275"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w:t>
            </w:r>
          </w:p>
        </w:tc>
        <w:tc>
          <w:tcPr>
            <w:tcW w:w="1900"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总监理工程师</w:t>
            </w:r>
          </w:p>
        </w:tc>
        <w:tc>
          <w:tcPr>
            <w:tcW w:w="1109"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1</w:t>
            </w:r>
          </w:p>
        </w:tc>
        <w:tc>
          <w:tcPr>
            <w:tcW w:w="3502" w:type="dxa"/>
            <w:vAlign w:val="center"/>
          </w:tcPr>
          <w:p>
            <w:pPr>
              <w:widowControl/>
              <w:adjustRightInd w:val="0"/>
              <w:snapToGrid w:val="0"/>
              <w:spacing w:before="120" w:beforeLines="50" w:after="120" w:afterLines="50" w:line="480" w:lineRule="exact"/>
              <w:jc w:val="center"/>
              <w:textAlignment w:val="baseline"/>
              <w:rPr>
                <w:rFonts w:hint="default" w:ascii="宋体" w:hAnsi="宋体" w:eastAsia="宋体" w:cs="新宋体"/>
                <w:b w:val="0"/>
                <w:bCs w:val="0"/>
                <w:color w:val="auto"/>
                <w:kern w:val="0"/>
                <w:lang w:val="en-US" w:eastAsia="zh-CN"/>
              </w:rPr>
            </w:pPr>
            <w:r>
              <w:rPr>
                <w:rFonts w:hint="eastAsia" w:ascii="宋体" w:hAnsi="宋体" w:cs="新宋体"/>
                <w:b w:val="0"/>
                <w:bCs w:val="0"/>
                <w:color w:val="auto"/>
                <w:kern w:val="0"/>
                <w:lang w:val="en-US" w:eastAsia="zh-CN"/>
              </w:rPr>
              <w:t>按招标公告要求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716"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2</w:t>
            </w:r>
          </w:p>
        </w:tc>
        <w:tc>
          <w:tcPr>
            <w:tcW w:w="1275"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w:t>
            </w:r>
          </w:p>
        </w:tc>
        <w:tc>
          <w:tcPr>
            <w:tcW w:w="1900"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安全监理工程师</w:t>
            </w:r>
          </w:p>
        </w:tc>
        <w:tc>
          <w:tcPr>
            <w:tcW w:w="1109"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1</w:t>
            </w:r>
          </w:p>
        </w:tc>
        <w:tc>
          <w:tcPr>
            <w:tcW w:w="3502" w:type="dxa"/>
            <w:vAlign w:val="center"/>
          </w:tcPr>
          <w:p>
            <w:pPr>
              <w:widowControl/>
              <w:adjustRightInd w:val="0"/>
              <w:snapToGrid w:val="0"/>
              <w:spacing w:before="120" w:beforeLines="50" w:after="120" w:afterLines="50" w:line="480" w:lineRule="exact"/>
              <w:jc w:val="center"/>
              <w:textAlignment w:val="baseline"/>
              <w:rPr>
                <w:rFonts w:hint="default" w:ascii="宋体" w:hAnsi="宋体" w:eastAsia="宋体" w:cs="新宋体"/>
                <w:b w:val="0"/>
                <w:bCs w:val="0"/>
                <w:color w:val="auto"/>
                <w:kern w:val="0"/>
                <w:lang w:val="en-US" w:eastAsia="zh-CN"/>
              </w:rPr>
            </w:pPr>
            <w:r>
              <w:rPr>
                <w:rFonts w:hint="eastAsia" w:ascii="宋体" w:hAnsi="宋体" w:cs="新宋体"/>
                <w:b w:val="0"/>
                <w:bCs w:val="0"/>
                <w:color w:val="auto"/>
                <w:kern w:val="0"/>
                <w:lang w:val="en-US" w:eastAsia="zh-CN"/>
              </w:rPr>
              <w:t>具备中级（或者以上）技术职称、持有安全员上岗证或者培训合格证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3</w:t>
            </w:r>
          </w:p>
        </w:tc>
        <w:tc>
          <w:tcPr>
            <w:tcW w:w="1275"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w:t>
            </w:r>
          </w:p>
        </w:tc>
        <w:tc>
          <w:tcPr>
            <w:tcW w:w="1900"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土建监理工程师</w:t>
            </w:r>
          </w:p>
        </w:tc>
        <w:tc>
          <w:tcPr>
            <w:tcW w:w="1109"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1</w:t>
            </w:r>
          </w:p>
        </w:tc>
        <w:tc>
          <w:tcPr>
            <w:tcW w:w="3502"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color w:val="auto"/>
                <w:kern w:val="0"/>
              </w:rPr>
              <w:t>具有建筑工程专业的注册监理工程师注册执业证书或毕业证或中级（或者以上）职称证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4</w:t>
            </w:r>
          </w:p>
        </w:tc>
        <w:tc>
          <w:tcPr>
            <w:tcW w:w="1275"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w:t>
            </w:r>
          </w:p>
        </w:tc>
        <w:tc>
          <w:tcPr>
            <w:tcW w:w="1900" w:type="dxa"/>
            <w:vAlign w:val="center"/>
          </w:tcPr>
          <w:p>
            <w:pPr>
              <w:widowControl/>
              <w:adjustRightInd w:val="0"/>
              <w:snapToGrid w:val="0"/>
              <w:spacing w:before="120" w:beforeLines="50" w:after="120" w:afterLines="50" w:line="480" w:lineRule="exact"/>
              <w:jc w:val="both"/>
              <w:textAlignment w:val="baseline"/>
              <w:rPr>
                <w:rFonts w:ascii="宋体" w:hAnsi="宋体" w:cs="新宋体"/>
                <w:b w:val="0"/>
                <w:bCs w:val="0"/>
                <w:color w:val="auto"/>
                <w:kern w:val="0"/>
              </w:rPr>
            </w:pPr>
            <w:r>
              <w:rPr>
                <w:rFonts w:hint="eastAsia" w:ascii="宋体" w:hAnsi="宋体" w:cs="新宋体"/>
                <w:b w:val="0"/>
                <w:bCs w:val="0"/>
                <w:color w:val="auto"/>
                <w:kern w:val="0"/>
                <w:lang w:val="en-US" w:eastAsia="zh-CN"/>
              </w:rPr>
              <w:t>金属监督及焊接监理工程师</w:t>
            </w:r>
          </w:p>
        </w:tc>
        <w:tc>
          <w:tcPr>
            <w:tcW w:w="1109"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1</w:t>
            </w:r>
          </w:p>
        </w:tc>
        <w:tc>
          <w:tcPr>
            <w:tcW w:w="3502" w:type="dxa"/>
            <w:vAlign w:val="center"/>
          </w:tcPr>
          <w:p>
            <w:pPr>
              <w:widowControl/>
              <w:adjustRightInd w:val="0"/>
              <w:snapToGrid w:val="0"/>
              <w:spacing w:before="120" w:beforeLines="50" w:after="120" w:afterLines="50" w:line="480" w:lineRule="exact"/>
              <w:jc w:val="center"/>
              <w:textAlignment w:val="baseline"/>
              <w:rPr>
                <w:rFonts w:hint="default" w:ascii="宋体" w:hAnsi="宋体" w:cs="新宋体"/>
                <w:b w:val="0"/>
                <w:bCs w:val="0"/>
                <w:color w:val="auto"/>
                <w:kern w:val="0"/>
                <w:lang w:val="en-US"/>
              </w:rPr>
            </w:pPr>
            <w:r>
              <w:rPr>
                <w:rFonts w:hint="eastAsia" w:ascii="宋体" w:hAnsi="宋体" w:cs="新宋体"/>
                <w:color w:val="auto"/>
                <w:kern w:val="0"/>
              </w:rPr>
              <w:t>具有机电安装工程专业的注册监理工程师注册执业证书或毕业证或中级（或者以上）职称证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5</w:t>
            </w:r>
          </w:p>
        </w:tc>
        <w:tc>
          <w:tcPr>
            <w:tcW w:w="1275"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w:t>
            </w:r>
          </w:p>
        </w:tc>
        <w:tc>
          <w:tcPr>
            <w:tcW w:w="1900"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（资料员）档案管理</w:t>
            </w:r>
          </w:p>
        </w:tc>
        <w:tc>
          <w:tcPr>
            <w:tcW w:w="1109"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1</w:t>
            </w:r>
          </w:p>
        </w:tc>
        <w:tc>
          <w:tcPr>
            <w:tcW w:w="3502" w:type="dxa"/>
            <w:vAlign w:val="center"/>
          </w:tcPr>
          <w:p>
            <w:pPr>
              <w:widowControl/>
              <w:spacing w:line="480" w:lineRule="exact"/>
              <w:jc w:val="center"/>
              <w:rPr>
                <w:rFonts w:hint="default" w:ascii="宋体" w:hAnsi="宋体" w:eastAsia="宋体" w:cs="新宋体"/>
                <w:b w:val="0"/>
                <w:bCs w:val="0"/>
                <w:color w:val="auto"/>
                <w:kern w:val="0"/>
                <w:lang w:val="en-US" w:eastAsia="zh-CN"/>
              </w:rPr>
            </w:pPr>
            <w:r>
              <w:rPr>
                <w:rFonts w:hint="eastAsia" w:ascii="宋体" w:hAnsi="宋体" w:cs="新宋体"/>
                <w:b w:val="0"/>
                <w:bCs w:val="0"/>
                <w:color w:val="auto"/>
                <w:kern w:val="0"/>
                <w:lang w:val="en-US" w:eastAsia="zh-CN"/>
              </w:rPr>
              <w:t>具有资料员上岗证或者培训合格证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6</w:t>
            </w:r>
          </w:p>
        </w:tc>
        <w:tc>
          <w:tcPr>
            <w:tcW w:w="1275"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w:t>
            </w:r>
          </w:p>
        </w:tc>
        <w:tc>
          <w:tcPr>
            <w:tcW w:w="1900"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hint="eastAsia" w:ascii="宋体" w:hAnsi="宋体" w:cs="新宋体"/>
                <w:b w:val="0"/>
                <w:bCs w:val="0"/>
                <w:color w:val="auto"/>
                <w:kern w:val="0"/>
              </w:rPr>
              <w:t>造价监理工程师（进度款、结算等审核工作）</w:t>
            </w:r>
          </w:p>
        </w:tc>
        <w:tc>
          <w:tcPr>
            <w:tcW w:w="1109" w:type="dxa"/>
            <w:vAlign w:val="center"/>
          </w:tcPr>
          <w:p>
            <w:pPr>
              <w:widowControl/>
              <w:adjustRightInd w:val="0"/>
              <w:snapToGrid w:val="0"/>
              <w:spacing w:before="120" w:beforeLines="50" w:after="120" w:afterLines="50" w:line="480" w:lineRule="exact"/>
              <w:jc w:val="center"/>
              <w:textAlignment w:val="baseline"/>
              <w:rPr>
                <w:rFonts w:ascii="宋体" w:hAnsi="宋体" w:cs="新宋体"/>
                <w:b w:val="0"/>
                <w:bCs w:val="0"/>
                <w:color w:val="auto"/>
                <w:kern w:val="0"/>
              </w:rPr>
            </w:pPr>
            <w:r>
              <w:rPr>
                <w:rFonts w:ascii="宋体" w:hAnsi="宋体" w:cs="新宋体"/>
                <w:b w:val="0"/>
                <w:bCs w:val="0"/>
                <w:color w:val="auto"/>
                <w:kern w:val="0"/>
              </w:rPr>
              <w:t>1</w:t>
            </w:r>
          </w:p>
        </w:tc>
        <w:tc>
          <w:tcPr>
            <w:tcW w:w="3502" w:type="dxa"/>
            <w:vAlign w:val="center"/>
          </w:tcPr>
          <w:p>
            <w:pPr>
              <w:widowControl/>
              <w:adjustRightInd w:val="0"/>
              <w:snapToGrid w:val="0"/>
              <w:spacing w:before="120" w:beforeLines="50" w:after="120" w:afterLines="50" w:line="480" w:lineRule="exact"/>
              <w:jc w:val="center"/>
              <w:textAlignment w:val="baseline"/>
              <w:rPr>
                <w:rFonts w:hint="default" w:ascii="宋体" w:hAnsi="宋体" w:eastAsia="宋体" w:cs="新宋体"/>
                <w:b w:val="0"/>
                <w:bCs w:val="0"/>
                <w:color w:val="auto"/>
                <w:kern w:val="0"/>
                <w:lang w:val="en-US" w:eastAsia="zh-CN"/>
              </w:rPr>
            </w:pPr>
            <w:r>
              <w:rPr>
                <w:rFonts w:hint="eastAsia" w:ascii="宋体" w:hAnsi="宋体" w:cs="新宋体"/>
                <w:color w:val="auto"/>
                <w:kern w:val="0"/>
                <w:lang w:val="en-US" w:eastAsia="zh-CN"/>
              </w:rPr>
              <w:t>具有</w:t>
            </w:r>
            <w:r>
              <w:rPr>
                <w:rFonts w:hint="eastAsia" w:ascii="宋体" w:hAnsi="宋体" w:cs="新宋体"/>
                <w:color w:val="auto"/>
                <w:kern w:val="0"/>
              </w:rPr>
              <w:t>一级注册造价工程师资格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02" w:type="dxa"/>
            <w:gridSpan w:val="5"/>
          </w:tcPr>
          <w:p>
            <w:pPr>
              <w:widowControl/>
              <w:adjustRightInd w:val="0"/>
              <w:snapToGrid w:val="0"/>
              <w:spacing w:before="120" w:beforeLines="50" w:after="120" w:afterLines="50" w:line="480" w:lineRule="exact"/>
              <w:jc w:val="left"/>
              <w:textAlignment w:val="baseline"/>
              <w:rPr>
                <w:rFonts w:hint="eastAsia" w:ascii="宋体" w:hAnsi="宋体" w:cs="新宋体"/>
                <w:color w:val="auto"/>
                <w:kern w:val="0"/>
              </w:rPr>
            </w:pPr>
            <w:r>
              <w:rPr>
                <w:rFonts w:hint="eastAsia" w:ascii="宋体" w:hAnsi="宋体" w:cs="新宋体"/>
                <w:color w:val="auto"/>
                <w:kern w:val="0"/>
              </w:rPr>
              <w:t>备注：</w:t>
            </w:r>
          </w:p>
          <w:p>
            <w:pPr>
              <w:widowControl/>
              <w:adjustRightInd w:val="0"/>
              <w:snapToGrid w:val="0"/>
              <w:spacing w:before="120" w:beforeLines="50" w:after="120" w:afterLines="50" w:line="480" w:lineRule="exact"/>
              <w:jc w:val="left"/>
              <w:textAlignment w:val="baseline"/>
              <w:rPr>
                <w:rFonts w:hint="eastAsia" w:ascii="宋体" w:hAnsi="宋体" w:cs="新宋体"/>
                <w:color w:val="auto"/>
                <w:kern w:val="0"/>
              </w:rPr>
            </w:pPr>
            <w:r>
              <w:rPr>
                <w:rFonts w:hint="eastAsia" w:ascii="宋体" w:hAnsi="宋体" w:cs="新宋体"/>
                <w:color w:val="auto"/>
                <w:kern w:val="0"/>
              </w:rPr>
              <w:t xml:space="preserve">1、总监理工程师、安全监理工程师、土建监理工程师、金属监督及焊接监理工程师、（资料员）档案管理必须按要求驻场。 </w:t>
            </w:r>
          </w:p>
          <w:p>
            <w:pPr>
              <w:widowControl/>
              <w:adjustRightInd w:val="0"/>
              <w:snapToGrid w:val="0"/>
              <w:spacing w:before="120" w:beforeLines="50" w:after="120" w:afterLines="50" w:line="480" w:lineRule="exact"/>
              <w:jc w:val="left"/>
              <w:textAlignment w:val="baseline"/>
              <w:rPr>
                <w:rFonts w:hint="eastAsia" w:ascii="宋体" w:hAnsi="宋体" w:cs="新宋体"/>
                <w:color w:val="auto"/>
                <w:kern w:val="0"/>
              </w:rPr>
            </w:pPr>
            <w:r>
              <w:rPr>
                <w:rFonts w:hint="eastAsia" w:ascii="宋体" w:hAnsi="宋体" w:cs="新宋体"/>
                <w:color w:val="auto"/>
                <w:kern w:val="0"/>
                <w:lang w:val="en-US" w:eastAsia="zh-CN"/>
              </w:rPr>
              <w:t>2、</w:t>
            </w:r>
            <w:r>
              <w:rPr>
                <w:rFonts w:hint="eastAsia" w:ascii="宋体" w:hAnsi="宋体" w:cs="新宋体"/>
                <w:color w:val="auto"/>
                <w:kern w:val="0"/>
              </w:rPr>
              <w:t>汽轮机改造阶段，应增派1名机电安装工程师开展汽轮机改造的监理工作。</w:t>
            </w:r>
          </w:p>
          <w:p>
            <w:pPr>
              <w:widowControl/>
              <w:adjustRightInd w:val="0"/>
              <w:snapToGrid w:val="0"/>
              <w:spacing w:before="120" w:beforeLines="50" w:after="120" w:afterLines="50" w:line="480" w:lineRule="exact"/>
              <w:jc w:val="left"/>
              <w:textAlignment w:val="baseline"/>
              <w:rPr>
                <w:rFonts w:ascii="宋体" w:hAnsi="宋体" w:cs="新宋体"/>
                <w:color w:val="auto"/>
                <w:kern w:val="0"/>
              </w:rPr>
            </w:pPr>
            <w:r>
              <w:rPr>
                <w:rFonts w:hint="eastAsia" w:ascii="宋体" w:hAnsi="宋体" w:cs="新宋体"/>
                <w:color w:val="auto"/>
                <w:kern w:val="0"/>
                <w:lang w:val="en-US" w:eastAsia="zh-CN"/>
              </w:rPr>
              <w:t>3、</w:t>
            </w:r>
            <w:r>
              <w:rPr>
                <w:rFonts w:hint="eastAsia" w:ascii="宋体" w:hAnsi="宋体" w:cs="新宋体"/>
                <w:color w:val="auto"/>
                <w:kern w:val="0"/>
              </w:rPr>
              <w:t>上述监理人员必须为投标单位人员，以提供的2025年2月社保证明为准。一级注册造价工程师是指根据住房城乡建设部、交通运输部、水利部、人力资源社会保障部发布的《造价工程师职业资格制度规定》、《造价工程师职业资格考试实施办法》（建人〔2018〕67号）取得的一级造价工程师职业资格，并经注册且在有效期内。按照《造价工程师职业资格制度规定》的规定，根据原人事部、原建设部发布的《造价工程师执业资格制度暂行规定》（人发〔1996〕77号）取得的造价工程师执业资格，并经注册且在有效期内的，等同于一级注册造价工程师。</w:t>
            </w:r>
          </w:p>
        </w:tc>
      </w:tr>
    </w:tbl>
    <w:p>
      <w:pPr>
        <w:pStyle w:val="4"/>
        <w:numPr>
          <w:ilvl w:val="255"/>
          <w:numId w:val="0"/>
        </w:numPr>
        <w:tabs>
          <w:tab w:val="left" w:pos="0"/>
        </w:tabs>
        <w:adjustRightInd w:val="0"/>
        <w:snapToGrid w:val="0"/>
        <w:rPr>
          <w:color w:val="auto"/>
        </w:rPr>
      </w:pPr>
      <w:bookmarkStart w:id="418" w:name="_Toc181361862"/>
      <w:bookmarkStart w:id="419" w:name="_Toc181362528"/>
      <w:r>
        <w:rPr>
          <w:rFonts w:hint="eastAsia"/>
          <w:color w:val="auto"/>
          <w:lang w:val="en-US" w:eastAsia="zh-CN"/>
        </w:rPr>
        <w:t>10</w:t>
      </w:r>
      <w:r>
        <w:rPr>
          <w:color w:val="auto"/>
        </w:rPr>
        <w:t>.</w:t>
      </w:r>
      <w:r>
        <w:rPr>
          <w:rFonts w:hint="eastAsia"/>
          <w:color w:val="auto"/>
          <w:lang w:val="en-US" w:eastAsia="zh-CN"/>
        </w:rPr>
        <w:t>3</w:t>
      </w:r>
      <w:r>
        <w:rPr>
          <w:rFonts w:hint="eastAsia"/>
          <w:color w:val="auto"/>
        </w:rPr>
        <w:t>监理服务应遵守的基本准则</w:t>
      </w:r>
      <w:bookmarkEnd w:id="418"/>
      <w:bookmarkEnd w:id="419"/>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10</w:t>
      </w:r>
      <w:r>
        <w:rPr>
          <w:rFonts w:ascii="宋体" w:hAnsi="宋体" w:cs="新宋体"/>
          <w:color w:val="auto"/>
        </w:rPr>
        <w:t>.</w:t>
      </w:r>
      <w:r>
        <w:rPr>
          <w:rFonts w:hint="eastAsia" w:ascii="宋体" w:hAnsi="宋体" w:cs="新宋体"/>
          <w:color w:val="auto"/>
          <w:lang w:val="en-US" w:eastAsia="zh-CN"/>
        </w:rPr>
        <w:t>3</w:t>
      </w:r>
      <w:r>
        <w:rPr>
          <w:rFonts w:ascii="宋体" w:hAnsi="宋体" w:cs="新宋体"/>
          <w:color w:val="auto"/>
        </w:rPr>
        <w:t>.1</w:t>
      </w:r>
      <w:r>
        <w:rPr>
          <w:rFonts w:hint="eastAsia" w:ascii="宋体" w:hAnsi="宋体" w:cs="新宋体"/>
          <w:color w:val="auto"/>
        </w:rPr>
        <w:t>遵照国家有关规定，以“守法、诚信、公正、科学”的准则执业，维护建设方与承建方的合法权益。</w:t>
      </w:r>
    </w:p>
    <w:p>
      <w:pPr>
        <w:pStyle w:val="318"/>
        <w:tabs>
          <w:tab w:val="left" w:pos="640"/>
        </w:tabs>
        <w:spacing w:line="480" w:lineRule="exact"/>
        <w:ind w:left="0" w:firstLine="0"/>
        <w:rPr>
          <w:rFonts w:ascii="宋体" w:hAnsi="宋体" w:cs="新宋体"/>
          <w:color w:val="auto"/>
        </w:rPr>
      </w:pPr>
      <w:r>
        <w:rPr>
          <w:rFonts w:hint="eastAsia" w:ascii="宋体" w:hAnsi="宋体" w:cs="新宋体"/>
          <w:color w:val="auto"/>
          <w:lang w:val="en-US" w:eastAsia="zh-CN"/>
        </w:rPr>
        <w:t>10</w:t>
      </w:r>
      <w:r>
        <w:rPr>
          <w:rFonts w:ascii="宋体" w:hAnsi="宋体" w:cs="新宋体"/>
          <w:color w:val="auto"/>
        </w:rPr>
        <w:t>.</w:t>
      </w:r>
      <w:r>
        <w:rPr>
          <w:rFonts w:hint="eastAsia" w:ascii="宋体" w:hAnsi="宋体" w:cs="新宋体"/>
          <w:color w:val="auto"/>
          <w:lang w:val="en-US" w:eastAsia="zh-CN"/>
        </w:rPr>
        <w:t>3</w:t>
      </w:r>
      <w:r>
        <w:rPr>
          <w:rFonts w:ascii="宋体" w:hAnsi="宋体" w:cs="新宋体"/>
          <w:color w:val="auto"/>
        </w:rPr>
        <w:t>.2</w:t>
      </w:r>
      <w:r>
        <w:rPr>
          <w:rFonts w:hint="eastAsia" w:ascii="宋体" w:hAnsi="宋体" w:cs="新宋体"/>
          <w:color w:val="auto"/>
        </w:rPr>
        <w:t>工程监理应做到：</w:t>
      </w:r>
    </w:p>
    <w:p>
      <w:pPr>
        <w:tabs>
          <w:tab w:val="left" w:pos="0"/>
        </w:tabs>
        <w:adjustRightInd w:val="0"/>
        <w:snapToGrid w:val="0"/>
        <w:rPr>
          <w:b/>
          <w:bCs/>
          <w:color w:val="auto"/>
        </w:rPr>
      </w:pPr>
      <w:r>
        <w:rPr>
          <w:rFonts w:hint="eastAsia" w:ascii="宋体" w:hAnsi="宋体" w:cs="新宋体"/>
          <w:color w:val="auto"/>
        </w:rPr>
        <w:t>执行有关项目建设的国家法律、法规、规范、标准和制度，履行监理合同规定的义务和职责；不得收受被监理单位的任何礼金；不得泄漏所监理项目各方认为需要保密的事项；遵守国家的法律和政府的有关条例、规定和办法等；坚持公正、公平、公开、独立地处理有关项目各方的争议；坚持科学的态度和实事求是的原则；在坚持按监理合同的规定向建设单位提供技术服务的同时，帮助被监理者完成所担负的建设任务。</w:t>
      </w:r>
      <w:bookmarkStart w:id="420" w:name="_Toc181362530"/>
      <w:bookmarkEnd w:id="420"/>
      <w:bookmarkStart w:id="421" w:name="_Toc181362529"/>
      <w:bookmarkEnd w:id="421"/>
      <w:bookmarkStart w:id="422" w:name="_Toc181361865"/>
      <w:bookmarkEnd w:id="422"/>
      <w:bookmarkStart w:id="423" w:name="_Toc181362532"/>
      <w:bookmarkEnd w:id="423"/>
      <w:bookmarkStart w:id="424" w:name="_Toc181361863"/>
      <w:bookmarkEnd w:id="424"/>
      <w:bookmarkStart w:id="425" w:name="_Toc181361866"/>
      <w:bookmarkEnd w:id="425"/>
      <w:bookmarkStart w:id="426" w:name="_Toc181361864"/>
      <w:bookmarkEnd w:id="426"/>
      <w:bookmarkStart w:id="427" w:name="_Toc181362531"/>
      <w:bookmarkEnd w:id="427"/>
      <w:bookmarkStart w:id="428" w:name="_Toc23762"/>
      <w:bookmarkStart w:id="429" w:name="_Toc24376"/>
      <w:bookmarkStart w:id="430" w:name="_Toc2121"/>
      <w:bookmarkStart w:id="431" w:name="_Toc16614"/>
      <w:bookmarkStart w:id="432" w:name="_Toc27309"/>
      <w:bookmarkStart w:id="433" w:name="_Toc4700"/>
      <w:bookmarkStart w:id="434" w:name="_Toc32412"/>
      <w:bookmarkStart w:id="435" w:name="_Toc3056"/>
      <w:bookmarkStart w:id="436" w:name="_Toc12931"/>
      <w:bookmarkStart w:id="437" w:name="_Toc8270"/>
      <w:bookmarkStart w:id="438" w:name="_Toc27899"/>
      <w:bookmarkStart w:id="439" w:name="_Toc13893"/>
      <w:bookmarkStart w:id="440" w:name="_Toc21007"/>
      <w:bookmarkStart w:id="441" w:name="_Toc3671"/>
    </w:p>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p>
      <w:pPr>
        <w:pStyle w:val="3"/>
        <w:numPr>
          <w:ilvl w:val="0"/>
          <w:numId w:val="3"/>
        </w:numPr>
        <w:adjustRightInd w:val="0"/>
        <w:spacing w:line="360" w:lineRule="auto"/>
        <w:rPr>
          <w:color w:val="auto"/>
          <w:sz w:val="28"/>
          <w:szCs w:val="28"/>
        </w:rPr>
      </w:pPr>
      <w:bookmarkStart w:id="442" w:name="_Toc181361869"/>
      <w:bookmarkStart w:id="443" w:name="_Toc181362535"/>
      <w:r>
        <w:rPr>
          <w:rFonts w:hint="eastAsia"/>
          <w:color w:val="auto"/>
          <w:sz w:val="28"/>
          <w:szCs w:val="28"/>
          <w:lang w:val="en-US" w:eastAsia="zh-CN"/>
        </w:rPr>
        <w:t>监理服务验收标准</w:t>
      </w:r>
    </w:p>
    <w:p>
      <w:pPr>
        <w:spacing w:line="480" w:lineRule="exact"/>
        <w:ind w:firstLine="120" w:firstLineChars="50"/>
        <w:rPr>
          <w:rFonts w:hint="eastAsia" w:ascii="宋体" w:hAnsi="宋体"/>
          <w:color w:val="auto"/>
          <w:sz w:val="24"/>
          <w:szCs w:val="24"/>
          <w:lang w:val="en-US" w:eastAsia="zh-CN"/>
        </w:rPr>
      </w:pPr>
      <w:r>
        <w:rPr>
          <w:rFonts w:hint="eastAsia" w:ascii="宋体" w:hAnsi="宋体"/>
          <w:color w:val="auto"/>
          <w:sz w:val="24"/>
          <w:szCs w:val="24"/>
          <w:lang w:val="en-US" w:eastAsia="zh-CN"/>
        </w:rPr>
        <w:t>11.1验收文档要求</w:t>
      </w:r>
    </w:p>
    <w:tbl>
      <w:tblPr>
        <w:tblStyle w:val="62"/>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499"/>
        <w:gridCol w:w="73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rPr>
        <w:tc>
          <w:tcPr>
            <w:tcW w:w="1499"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pPr>
              <w:keepNext w:val="0"/>
              <w:keepLines w:val="0"/>
              <w:widowControl/>
              <w:suppressLineNumbers w:val="0"/>
              <w:jc w:val="center"/>
              <w:rPr>
                <w:rFonts w:hint="default" w:ascii="Segoe UI" w:hAnsi="Segoe UI" w:eastAsia="Segoe UI" w:cs="Segoe UI"/>
                <w:b/>
                <w:bCs/>
                <w:i w:val="0"/>
                <w:iCs w:val="0"/>
                <w:caps w:val="0"/>
                <w:color w:val="auto"/>
                <w:spacing w:val="0"/>
                <w:sz w:val="24"/>
                <w:szCs w:val="24"/>
              </w:rPr>
            </w:pPr>
            <w:r>
              <w:rPr>
                <w:rFonts w:hint="default" w:ascii="Segoe UI" w:hAnsi="Segoe UI" w:eastAsia="Segoe UI" w:cs="Segoe UI"/>
                <w:b/>
                <w:bCs/>
                <w:i w:val="0"/>
                <w:iCs w:val="0"/>
                <w:caps w:val="0"/>
                <w:color w:val="auto"/>
                <w:spacing w:val="0"/>
                <w:kern w:val="0"/>
                <w:sz w:val="24"/>
                <w:szCs w:val="24"/>
                <w:lang w:val="en-US" w:eastAsia="zh-CN" w:bidi="ar"/>
              </w:rPr>
              <w:t>文件类型</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rPr>
                <w:rFonts w:hint="default" w:ascii="Segoe UI" w:hAnsi="Segoe UI" w:eastAsia="Segoe UI" w:cs="Segoe UI"/>
                <w:b/>
                <w:bCs/>
                <w:i w:val="0"/>
                <w:iCs w:val="0"/>
                <w:caps w:val="0"/>
                <w:color w:val="auto"/>
                <w:spacing w:val="0"/>
                <w:sz w:val="24"/>
                <w:szCs w:val="24"/>
              </w:rPr>
            </w:pPr>
            <w:r>
              <w:rPr>
                <w:rFonts w:hint="default" w:ascii="Segoe UI" w:hAnsi="Segoe UI" w:eastAsia="Segoe UI" w:cs="Segoe UI"/>
                <w:b/>
                <w:bCs/>
                <w:i w:val="0"/>
                <w:iCs w:val="0"/>
                <w:caps w:val="0"/>
                <w:color w:val="auto"/>
                <w:spacing w:val="0"/>
                <w:kern w:val="0"/>
                <w:sz w:val="24"/>
                <w:szCs w:val="24"/>
                <w:lang w:val="en-US" w:eastAsia="zh-CN" w:bidi="ar"/>
              </w:rPr>
              <w:t>内容要求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9"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pPr>
              <w:keepNext w:val="0"/>
              <w:keepLines w:val="0"/>
              <w:widowControl/>
              <w:suppressLineNumbers w:val="0"/>
              <w:spacing w:line="480" w:lineRule="exact"/>
              <w:ind w:firstLine="120" w:firstLineChars="50"/>
              <w:jc w:val="center"/>
              <w:rPr>
                <w:rFonts w:hint="default" w:ascii="宋体" w:hAnsi="宋体" w:eastAsia="宋体" w:cs="Times New Roman"/>
                <w:i w:val="0"/>
                <w:iCs w:val="0"/>
                <w:caps w:val="0"/>
                <w:color w:val="auto"/>
                <w:spacing w:val="0"/>
                <w:kern w:val="2"/>
                <w:sz w:val="24"/>
                <w:szCs w:val="24"/>
                <w:lang w:val="en-US" w:eastAsia="zh-CN" w:bidi="ar"/>
              </w:rPr>
            </w:pPr>
            <w:r>
              <w:rPr>
                <w:rFonts w:hint="eastAsia" w:ascii="宋体" w:hAnsi="宋体" w:cs="Times New Roman"/>
                <w:i w:val="0"/>
                <w:iCs w:val="0"/>
                <w:caps w:val="0"/>
                <w:color w:val="auto"/>
                <w:spacing w:val="0"/>
                <w:kern w:val="2"/>
                <w:sz w:val="24"/>
                <w:szCs w:val="24"/>
                <w:lang w:val="en-US" w:eastAsia="zh-CN" w:bidi="ar"/>
              </w:rPr>
              <w:t>报批文件</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7"/>
              <w:pageBreakBefore w:val="0"/>
              <w:numPr>
                <w:ilvl w:val="0"/>
                <w:numId w:val="0"/>
              </w:numPr>
              <w:tabs>
                <w:tab w:val="left" w:pos="640"/>
              </w:tabs>
              <w:kinsoku/>
              <w:wordWrap/>
              <w:overflowPunct/>
              <w:autoSpaceDE/>
              <w:autoSpaceDN/>
              <w:bidi w:val="0"/>
              <w:spacing w:line="360" w:lineRule="auto"/>
              <w:ind w:leftChars="0"/>
              <w:rPr>
                <w:rFonts w:hint="eastAsia" w:ascii="宋体" w:hAnsi="宋体" w:eastAsia="宋体" w:cs="Times New Roman"/>
                <w:i w:val="0"/>
                <w:iCs w:val="0"/>
                <w:caps w:val="0"/>
                <w:color w:val="auto"/>
                <w:spacing w:val="0"/>
                <w:kern w:val="2"/>
                <w:sz w:val="24"/>
                <w:szCs w:val="24"/>
                <w:lang w:val="en-US" w:eastAsia="zh-CN" w:bidi="ar"/>
              </w:rPr>
            </w:pPr>
            <w:r>
              <w:rPr>
                <w:rFonts w:hint="eastAsia" w:cs="新宋体"/>
                <w:color w:val="auto"/>
                <w:sz w:val="24"/>
                <w:szCs w:val="24"/>
                <w:highlight w:val="none"/>
                <w:lang w:val="en-US" w:eastAsia="zh-CN"/>
              </w:rPr>
              <w:t>监理规划、监理实施细则；设计交底和图纸会审会议纪要；施工组织设计、（专项）施工方案、应急救援预案、施工进度计划报审文件资料；分包单位资格报审文件资料；施工控制测量成果报验文件资料；总监理工程师任命书、工程开工令、暂停令、复工令、开工或复工报审文件资料；工程材料、设备、构配件报验文件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9"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kern w:val="2"/>
                <w:sz w:val="24"/>
                <w:szCs w:val="24"/>
                <w:lang w:val="en-US" w:eastAsia="zh-CN" w:bidi="ar"/>
              </w:rPr>
            </w:pPr>
            <w:r>
              <w:rPr>
                <w:rFonts w:hint="eastAsia" w:ascii="宋体" w:hAnsi="宋体" w:cs="Times New Roman"/>
                <w:i w:val="0"/>
                <w:iCs w:val="0"/>
                <w:caps w:val="0"/>
                <w:color w:val="auto"/>
                <w:spacing w:val="0"/>
                <w:kern w:val="2"/>
                <w:sz w:val="24"/>
                <w:szCs w:val="24"/>
                <w:lang w:val="en-US" w:eastAsia="zh-CN" w:bidi="ar"/>
              </w:rPr>
              <w:t>监理</w:t>
            </w:r>
            <w:r>
              <w:rPr>
                <w:rFonts w:hint="eastAsia" w:ascii="宋体" w:hAnsi="宋体" w:eastAsia="宋体" w:cs="Times New Roman"/>
                <w:i w:val="0"/>
                <w:iCs w:val="0"/>
                <w:caps w:val="0"/>
                <w:color w:val="auto"/>
                <w:spacing w:val="0"/>
                <w:kern w:val="2"/>
                <w:sz w:val="24"/>
                <w:szCs w:val="24"/>
                <w:lang w:val="en-US" w:eastAsia="zh-CN" w:bidi="ar"/>
              </w:rPr>
              <w:t>日志</w:t>
            </w:r>
          </w:p>
          <w:p>
            <w:pPr>
              <w:keepNext w:val="0"/>
              <w:keepLines w:val="0"/>
              <w:widowControl/>
              <w:suppressLineNumbers w:val="0"/>
              <w:spacing w:line="480" w:lineRule="exact"/>
              <w:ind w:firstLine="120" w:firstLineChars="50"/>
              <w:jc w:val="center"/>
              <w:rPr>
                <w:rFonts w:hint="default" w:ascii="宋体" w:hAnsi="宋体" w:eastAsia="宋体" w:cs="Times New Roman"/>
                <w:i w:val="0"/>
                <w:iCs w:val="0"/>
                <w:caps w:val="0"/>
                <w:color w:val="auto"/>
                <w:spacing w:val="0"/>
                <w:sz w:val="24"/>
                <w:szCs w:val="24"/>
                <w:lang w:val="en-US"/>
              </w:rPr>
            </w:pPr>
            <w:r>
              <w:rPr>
                <w:rFonts w:hint="eastAsia" w:ascii="宋体" w:hAnsi="宋体" w:cs="Times New Roman"/>
                <w:i w:val="0"/>
                <w:iCs w:val="0"/>
                <w:caps w:val="0"/>
                <w:color w:val="auto"/>
                <w:spacing w:val="0"/>
                <w:kern w:val="2"/>
                <w:sz w:val="24"/>
                <w:szCs w:val="24"/>
                <w:lang w:val="en-US" w:eastAsia="zh-CN" w:bidi="ar"/>
              </w:rPr>
              <w:t>会议纪要</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17"/>
              <w:pageBreakBefore w:val="0"/>
              <w:numPr>
                <w:ilvl w:val="0"/>
                <w:numId w:val="0"/>
              </w:numPr>
              <w:tabs>
                <w:tab w:val="left" w:pos="640"/>
              </w:tabs>
              <w:kinsoku/>
              <w:wordWrap/>
              <w:overflowPunct/>
              <w:autoSpaceDE/>
              <w:autoSpaceDN/>
              <w:bidi w:val="0"/>
              <w:spacing w:line="360" w:lineRule="auto"/>
              <w:ind w:leftChars="0"/>
              <w:rPr>
                <w:rFonts w:hint="default" w:ascii="宋体" w:hAnsi="宋体" w:eastAsia="宋体" w:cs="Times New Roman"/>
                <w:i w:val="0"/>
                <w:iCs w:val="0"/>
                <w:caps w:val="0"/>
                <w:color w:val="auto"/>
                <w:spacing w:val="0"/>
                <w:sz w:val="24"/>
                <w:szCs w:val="24"/>
                <w:lang w:val="en-US"/>
              </w:rPr>
            </w:pPr>
            <w:r>
              <w:rPr>
                <w:rFonts w:hint="eastAsia" w:cs="新宋体"/>
                <w:color w:val="auto"/>
                <w:sz w:val="24"/>
                <w:szCs w:val="24"/>
                <w:highlight w:val="none"/>
                <w:lang w:val="en-US" w:eastAsia="zh-CN"/>
              </w:rPr>
              <w:t>工地会议、监理会议、专题会议等会议纪要；监理月报、监理日志等资料。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9"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kern w:val="2"/>
                <w:sz w:val="24"/>
                <w:szCs w:val="24"/>
                <w:lang w:val="en-US" w:eastAsia="zh-CN" w:bidi="ar"/>
              </w:rPr>
            </w:pPr>
            <w:r>
              <w:rPr>
                <w:rFonts w:hint="eastAsia" w:ascii="宋体" w:hAnsi="宋体" w:eastAsia="宋体" w:cs="Times New Roman"/>
                <w:i w:val="0"/>
                <w:iCs w:val="0"/>
                <w:caps w:val="0"/>
                <w:color w:val="auto"/>
                <w:spacing w:val="0"/>
                <w:kern w:val="2"/>
                <w:sz w:val="24"/>
                <w:szCs w:val="24"/>
                <w:lang w:val="en-US" w:eastAsia="zh-CN" w:bidi="ar"/>
              </w:rPr>
              <w:t>质量评估</w:t>
            </w:r>
          </w:p>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报告</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80" w:lineRule="exact"/>
              <w:ind w:firstLine="120" w:firstLineChars="50"/>
              <w:jc w:val="left"/>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按分项工程分类，包含实测数据（如焊缝合格率、管道安装偏差）、整改闭环记录。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9"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试压及吹扫记录</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80" w:lineRule="exact"/>
              <w:ind w:firstLine="120" w:firstLineChars="50"/>
              <w:jc w:val="left"/>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包含试压压力、稳压时间、压降数据，监理方签字确认。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9"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kern w:val="2"/>
                <w:sz w:val="24"/>
                <w:szCs w:val="24"/>
                <w:lang w:val="en-US" w:eastAsia="zh-CN" w:bidi="ar"/>
              </w:rPr>
            </w:pPr>
            <w:r>
              <w:rPr>
                <w:rFonts w:hint="eastAsia" w:ascii="宋体" w:hAnsi="宋体" w:eastAsia="宋体" w:cs="Times New Roman"/>
                <w:i w:val="0"/>
                <w:iCs w:val="0"/>
                <w:caps w:val="0"/>
                <w:color w:val="auto"/>
                <w:spacing w:val="0"/>
                <w:kern w:val="2"/>
                <w:sz w:val="24"/>
                <w:szCs w:val="24"/>
                <w:lang w:val="en-US" w:eastAsia="zh-CN" w:bidi="ar"/>
              </w:rPr>
              <w:t>竣工图纸与</w:t>
            </w:r>
          </w:p>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设计变更单</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80" w:lineRule="exact"/>
              <w:ind w:firstLine="120" w:firstLineChars="50"/>
              <w:jc w:val="left"/>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图纸需加盖竣工图章，变更单需附业主、设计、监理三方签字。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1499" w:type="dxa"/>
            <w:tcBorders>
              <w:top w:val="single" w:color="auto" w:sz="4" w:space="0"/>
              <w:left w:val="single" w:color="auto" w:sz="4" w:space="0"/>
              <w:bottom w:val="single" w:color="auto" w:sz="4" w:space="0"/>
              <w:right w:val="single" w:color="auto" w:sz="4" w:space="0"/>
            </w:tcBorders>
            <w:shd w:val="clear" w:color="auto" w:fill="auto"/>
            <w:tcMar>
              <w:left w:w="0" w:type="dxa"/>
            </w:tcMar>
            <w:vAlign w:val="center"/>
          </w:tcPr>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kern w:val="2"/>
                <w:sz w:val="24"/>
                <w:szCs w:val="24"/>
                <w:lang w:val="en-US" w:eastAsia="zh-CN" w:bidi="ar"/>
              </w:rPr>
            </w:pPr>
            <w:r>
              <w:rPr>
                <w:rFonts w:hint="eastAsia" w:ascii="宋体" w:hAnsi="宋体" w:eastAsia="宋体" w:cs="Times New Roman"/>
                <w:i w:val="0"/>
                <w:iCs w:val="0"/>
                <w:caps w:val="0"/>
                <w:color w:val="auto"/>
                <w:spacing w:val="0"/>
                <w:kern w:val="2"/>
                <w:sz w:val="24"/>
                <w:szCs w:val="24"/>
                <w:lang w:val="en-US" w:eastAsia="zh-CN" w:bidi="ar"/>
              </w:rPr>
              <w:t>监理</w:t>
            </w:r>
          </w:p>
          <w:p>
            <w:pPr>
              <w:keepNext w:val="0"/>
              <w:keepLines w:val="0"/>
              <w:widowControl/>
              <w:suppressLineNumbers w:val="0"/>
              <w:spacing w:line="480" w:lineRule="exact"/>
              <w:ind w:firstLine="120" w:firstLineChars="50"/>
              <w:jc w:val="center"/>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总结报告</w:t>
            </w:r>
          </w:p>
        </w:tc>
        <w:tc>
          <w:tcPr>
            <w:tcW w:w="736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80" w:lineRule="exact"/>
              <w:ind w:firstLine="120" w:firstLineChars="50"/>
              <w:jc w:val="left"/>
              <w:rPr>
                <w:rFonts w:hint="eastAsia" w:ascii="宋体" w:hAnsi="宋体" w:eastAsia="宋体" w:cs="Times New Roman"/>
                <w:i w:val="0"/>
                <w:iCs w:val="0"/>
                <w:caps w:val="0"/>
                <w:color w:val="auto"/>
                <w:spacing w:val="0"/>
                <w:sz w:val="24"/>
                <w:szCs w:val="24"/>
              </w:rPr>
            </w:pPr>
            <w:r>
              <w:rPr>
                <w:rFonts w:hint="eastAsia" w:ascii="宋体" w:hAnsi="宋体" w:eastAsia="宋体" w:cs="Times New Roman"/>
                <w:i w:val="0"/>
                <w:iCs w:val="0"/>
                <w:caps w:val="0"/>
                <w:color w:val="auto"/>
                <w:spacing w:val="0"/>
                <w:kern w:val="2"/>
                <w:sz w:val="24"/>
                <w:szCs w:val="24"/>
                <w:lang w:val="en-US" w:eastAsia="zh-CN" w:bidi="ar"/>
              </w:rPr>
              <w:t>总结服务周期内质量控制、进度协调、安全管理成果，提出改进建议。</w:t>
            </w:r>
          </w:p>
        </w:tc>
      </w:tr>
    </w:tbl>
    <w:p>
      <w:pPr>
        <w:pStyle w:val="55"/>
        <w:keepNext w:val="0"/>
        <w:keepLines w:val="0"/>
        <w:widowControl/>
        <w:suppressLineNumbers w:val="0"/>
        <w:spacing w:before="0" w:beforeAutospacing="0" w:after="60" w:afterAutospacing="0"/>
        <w:ind w:left="0" w:right="0" w:firstLine="480" w:firstLineChars="200"/>
        <w:rPr>
          <w:rFonts w:hint="eastAsia" w:ascii="宋体" w:hAnsi="宋体" w:eastAsia="宋体" w:cs="Times New Roman"/>
          <w:i w:val="0"/>
          <w:iCs w:val="0"/>
          <w:caps w:val="0"/>
          <w:color w:val="auto"/>
          <w:spacing w:val="0"/>
          <w:kern w:val="2"/>
          <w:sz w:val="24"/>
          <w:szCs w:val="24"/>
        </w:rPr>
      </w:pPr>
      <w:r>
        <w:rPr>
          <w:rStyle w:val="64"/>
          <w:rFonts w:hint="eastAsia" w:ascii="宋体" w:hAnsi="宋体" w:eastAsia="宋体" w:cs="Times New Roman"/>
          <w:i w:val="0"/>
          <w:iCs w:val="0"/>
          <w:caps w:val="0"/>
          <w:color w:val="auto"/>
          <w:spacing w:val="0"/>
          <w:kern w:val="2"/>
          <w:sz w:val="24"/>
          <w:szCs w:val="24"/>
        </w:rPr>
        <w:t>存档要求</w:t>
      </w:r>
      <w:r>
        <w:rPr>
          <w:rFonts w:hint="eastAsia" w:ascii="宋体" w:hAnsi="宋体" w:eastAsia="宋体" w:cs="Times New Roman"/>
          <w:i w:val="0"/>
          <w:iCs w:val="0"/>
          <w:caps w:val="0"/>
          <w:color w:val="auto"/>
          <w:spacing w:val="0"/>
          <w:kern w:val="2"/>
          <w:sz w:val="24"/>
          <w:szCs w:val="24"/>
        </w:rPr>
        <w:t>：所有文档需纸质版（一式五份）及电子版（PDF/A格式）同步提交，电子文件按“项目名称-文档类型-日期”命名。</w:t>
      </w:r>
    </w:p>
    <w:p>
      <w:pPr>
        <w:pStyle w:val="3"/>
        <w:numPr>
          <w:ilvl w:val="0"/>
          <w:numId w:val="3"/>
        </w:numPr>
        <w:adjustRightInd w:val="0"/>
        <w:spacing w:line="360" w:lineRule="auto"/>
        <w:rPr>
          <w:color w:val="auto"/>
          <w:sz w:val="28"/>
          <w:szCs w:val="28"/>
        </w:rPr>
      </w:pPr>
      <w:r>
        <w:rPr>
          <w:rFonts w:hint="eastAsia"/>
          <w:color w:val="auto"/>
          <w:sz w:val="28"/>
          <w:szCs w:val="28"/>
        </w:rPr>
        <w:t>其他规定</w:t>
      </w:r>
      <w:bookmarkEnd w:id="442"/>
      <w:bookmarkEnd w:id="443"/>
    </w:p>
    <w:p>
      <w:pPr>
        <w:widowControl/>
        <w:snapToGrid w:val="0"/>
        <w:spacing w:after="120" w:afterLines="50"/>
        <w:jc w:val="left"/>
        <w:rPr>
          <w:rFonts w:ascii="宋体" w:hAnsi="宋体"/>
          <w:color w:val="auto"/>
        </w:rPr>
      </w:pPr>
      <w:r>
        <w:rPr>
          <w:rFonts w:ascii="宋体" w:hAnsi="宋体"/>
          <w:color w:val="auto"/>
        </w:rPr>
        <w:t>1</w:t>
      </w:r>
      <w:r>
        <w:rPr>
          <w:rFonts w:hint="eastAsia" w:ascii="宋体" w:hAnsi="宋体"/>
          <w:color w:val="auto"/>
          <w:lang w:val="en-US" w:eastAsia="zh-CN"/>
        </w:rPr>
        <w:t>2</w:t>
      </w:r>
      <w:r>
        <w:rPr>
          <w:rFonts w:ascii="宋体" w:hAnsi="宋体"/>
          <w:color w:val="auto"/>
        </w:rPr>
        <w:t>.1</w:t>
      </w:r>
      <w:r>
        <w:rPr>
          <w:rFonts w:hint="eastAsia" w:ascii="宋体" w:hAnsi="宋体"/>
          <w:color w:val="auto"/>
        </w:rPr>
        <w:t>本监理项目严禁违法转包，未经招标人同意不得分包，分包单位必须具备相应资质。</w:t>
      </w:r>
    </w:p>
    <w:p>
      <w:pPr>
        <w:pStyle w:val="5"/>
        <w:ind w:firstLine="0"/>
        <w:rPr>
          <w:rFonts w:ascii="Arial" w:hAnsi="Arial" w:cs="Arial"/>
          <w:b/>
          <w:bCs/>
          <w:color w:val="auto"/>
        </w:rPr>
      </w:pPr>
      <w:r>
        <w:rPr>
          <w:rFonts w:ascii="宋体" w:hAnsi="宋体"/>
          <w:color w:val="auto"/>
          <w:szCs w:val="24"/>
        </w:rPr>
        <w:t>1</w:t>
      </w:r>
      <w:r>
        <w:rPr>
          <w:rFonts w:hint="eastAsia" w:ascii="宋体" w:hAnsi="宋体"/>
          <w:color w:val="auto"/>
          <w:szCs w:val="24"/>
          <w:lang w:val="en-US" w:eastAsia="zh-CN"/>
        </w:rPr>
        <w:t>2</w:t>
      </w:r>
      <w:r>
        <w:rPr>
          <w:rFonts w:ascii="宋体" w:hAnsi="宋体"/>
          <w:color w:val="auto"/>
          <w:szCs w:val="24"/>
        </w:rPr>
        <w:t>.2</w:t>
      </w:r>
      <w:r>
        <w:rPr>
          <w:rFonts w:hint="eastAsia" w:ascii="宋体" w:hAnsi="宋体"/>
          <w:color w:val="auto"/>
          <w:szCs w:val="24"/>
        </w:rPr>
        <w:t>本《用户需求书》中未尽事宜，按《建设工程监理规范》(GB50319-2013)的相关条款进行。</w:t>
      </w:r>
    </w:p>
    <w:p>
      <w:pPr>
        <w:widowControl/>
        <w:snapToGrid w:val="0"/>
        <w:spacing w:after="120" w:afterLines="50"/>
        <w:jc w:val="left"/>
        <w:rPr>
          <w:rFonts w:ascii="宋体" w:hAnsi="宋体"/>
          <w:color w:val="auto"/>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3</w:t>
      </w:r>
      <w:r>
        <w:rPr>
          <w:rFonts w:hint="eastAsia" w:ascii="宋体" w:hAnsi="宋体"/>
          <w:color w:val="auto"/>
        </w:rPr>
        <w:t>自合同签订之日起至完成全部服务内容完成日止。未经书面同意，不得擅自将本项目转委托给第三方承担。</w:t>
      </w:r>
    </w:p>
    <w:p>
      <w:pPr>
        <w:widowControl/>
        <w:snapToGrid w:val="0"/>
        <w:spacing w:after="120" w:afterLines="50"/>
        <w:jc w:val="left"/>
        <w:rPr>
          <w:rFonts w:ascii="宋体" w:hAnsi="宋体"/>
          <w:color w:val="auto"/>
        </w:rPr>
      </w:pPr>
      <w:r>
        <w:rPr>
          <w:rFonts w:hint="eastAsia" w:ascii="宋体" w:hAnsi="宋体"/>
          <w:color w:val="auto"/>
        </w:rPr>
        <w:t>1</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4</w:t>
      </w:r>
      <w:r>
        <w:rPr>
          <w:rFonts w:hint="eastAsia" w:ascii="宋体" w:hAnsi="宋体"/>
          <w:color w:val="auto"/>
        </w:rPr>
        <w:t>未尽事宜按《建设项目全过程造价咨询规程》(CECA∕GC 4－2009)的相关条款执1</w:t>
      </w:r>
      <w:r>
        <w:rPr>
          <w:rFonts w:hint="eastAsia" w:ascii="宋体" w:hAnsi="宋体"/>
          <w:color w:val="auto"/>
          <w:lang w:val="en-US" w:eastAsia="zh-CN"/>
        </w:rPr>
        <w:t>2</w:t>
      </w:r>
      <w:r>
        <w:rPr>
          <w:rFonts w:hint="eastAsia" w:ascii="宋体" w:hAnsi="宋体"/>
          <w:color w:val="auto"/>
        </w:rPr>
        <w:t>.</w:t>
      </w:r>
      <w:r>
        <w:rPr>
          <w:rFonts w:hint="eastAsia" w:ascii="宋体" w:hAnsi="宋体"/>
          <w:color w:val="auto"/>
          <w:lang w:val="en-US" w:eastAsia="zh-CN"/>
        </w:rPr>
        <w:t>5</w:t>
      </w:r>
      <w:r>
        <w:rPr>
          <w:rFonts w:hint="eastAsia" w:ascii="宋体" w:hAnsi="宋体"/>
          <w:color w:val="auto"/>
        </w:rPr>
        <w:t>行任何关于项目的资料和信息，以及在参加设计联络会和合同执行过程中获得的资料和信息不得传达或泄露给第三方，有保密的义务。。</w:t>
      </w:r>
    </w:p>
    <w:p>
      <w:pPr>
        <w:pStyle w:val="3"/>
        <w:numPr>
          <w:ilvl w:val="0"/>
          <w:numId w:val="3"/>
        </w:numPr>
        <w:adjustRightInd w:val="0"/>
        <w:spacing w:line="360" w:lineRule="auto"/>
        <w:rPr>
          <w:rFonts w:hint="eastAsia" w:ascii="宋体" w:hAnsi="宋体"/>
          <w:b/>
          <w:bCs/>
          <w:color w:val="auto"/>
          <w:lang w:val="en-US" w:eastAsia="zh-CN"/>
        </w:rPr>
      </w:pPr>
      <w:bookmarkStart w:id="444" w:name="_Toc181361870"/>
      <w:bookmarkStart w:id="445" w:name="_Toc181362536"/>
      <w:r>
        <w:rPr>
          <w:rFonts w:hint="eastAsia"/>
          <w:color w:val="auto"/>
          <w:sz w:val="28"/>
          <w:szCs w:val="28"/>
        </w:rPr>
        <w:t>附则</w:t>
      </w:r>
      <w:bookmarkEnd w:id="444"/>
      <w:bookmarkEnd w:id="445"/>
      <w:r>
        <w:rPr>
          <w:rFonts w:hint="eastAsia" w:ascii="Times New Roman" w:hAnsi="Times New Roman" w:cs="Times New Roman"/>
          <w:color w:val="auto"/>
          <w:sz w:val="28"/>
          <w:szCs w:val="28"/>
          <w:lang w:eastAsia="zh-CN"/>
        </w:rPr>
        <w:t>——</w:t>
      </w:r>
      <w:r>
        <w:rPr>
          <w:rFonts w:hint="eastAsia" w:ascii="Times New Roman" w:hAnsi="Times New Roman" w:cs="Times New Roman"/>
          <w:color w:val="auto"/>
          <w:sz w:val="28"/>
          <w:szCs w:val="28"/>
          <w:lang w:val="en-US" w:eastAsia="zh-CN"/>
        </w:rPr>
        <w:t>现场管理要求</w:t>
      </w:r>
    </w:p>
    <w:p>
      <w:pPr>
        <w:pStyle w:val="239"/>
        <w:keepNext w:val="0"/>
        <w:keepLines w:val="0"/>
        <w:pageBreakBefore w:val="0"/>
        <w:kinsoku/>
        <w:wordWrap/>
        <w:overflowPunct/>
        <w:topLinePunct w:val="0"/>
        <w:autoSpaceDE/>
        <w:autoSpaceDN/>
        <w:bidi w:val="0"/>
        <w:adjustRightInd/>
        <w:snapToGrid/>
        <w:spacing w:line="360" w:lineRule="auto"/>
        <w:ind w:left="1"/>
        <w:textAlignment w:val="auto"/>
        <w:rPr>
          <w:rFonts w:hint="default" w:ascii="宋体" w:hAnsi="宋体" w:cs="宋体"/>
          <w:b/>
          <w:bCs/>
          <w:color w:val="auto"/>
          <w:kern w:val="2"/>
          <w:sz w:val="24"/>
          <w:szCs w:val="32"/>
          <w:highlight w:val="none"/>
          <w:lang w:val="en-US" w:eastAsia="zh-CN" w:bidi="ar-SA"/>
        </w:rPr>
      </w:pPr>
      <w:r>
        <w:rPr>
          <w:rFonts w:hint="eastAsia" w:ascii="宋体" w:hAnsi="宋体" w:cs="宋体"/>
          <w:b/>
          <w:bCs/>
          <w:color w:val="auto"/>
          <w:kern w:val="2"/>
          <w:sz w:val="24"/>
          <w:szCs w:val="32"/>
          <w:highlight w:val="none"/>
          <w:lang w:val="en-US" w:eastAsia="zh-CN" w:bidi="ar-SA"/>
        </w:rPr>
        <w:t>13.1单位及人员资料规定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13.1.1监理人及监理人人员必须取得相应等级的资质证书。</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13.1.2监理人人员应佩戴身份识别标识牌，注明工作单位、姓名、岗位、编号等基本信息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新宋体"/>
          <w:color w:val="auto"/>
          <w:kern w:val="0"/>
          <w:sz w:val="24"/>
          <w:szCs w:val="24"/>
          <w:highlight w:val="none"/>
          <w:lang w:val="en-US" w:eastAsia="zh-CN" w:bidi="ar-SA"/>
        </w:rPr>
      </w:pPr>
      <w:r>
        <w:rPr>
          <w:rFonts w:hint="eastAsia" w:ascii="宋体" w:hAnsi="宋体" w:eastAsia="宋体" w:cs="宋体"/>
          <w:b/>
          <w:bCs/>
          <w:color w:val="auto"/>
          <w:kern w:val="2"/>
          <w:sz w:val="24"/>
          <w:szCs w:val="32"/>
          <w:highlight w:val="none"/>
          <w:lang w:val="en-US" w:eastAsia="zh-CN" w:bidi="ar-SA"/>
        </w:rPr>
        <w:t>13.2监理人进场流程规定</w:t>
      </w:r>
      <w:r>
        <w:br w:type="textWrapping"/>
      </w:r>
      <w:r>
        <w:rPr>
          <w:rFonts w:hint="eastAsia" w:ascii="宋体" w:hAnsi="宋体" w:eastAsia="宋体" w:cs="新宋体"/>
          <w:color w:val="auto"/>
          <w:kern w:val="0"/>
          <w:sz w:val="24"/>
          <w:szCs w:val="24"/>
          <w:highlight w:val="none"/>
          <w:lang w:val="en-US" w:eastAsia="zh-CN" w:bidi="ar-SA"/>
        </w:rPr>
        <w:t>13.2.1监理人应在进场前一周，联系委托人工程指挥部沟通关于进场前相关工作准备，并收集进场前所需提供的资料。</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新宋体"/>
          <w:color w:val="auto"/>
          <w:kern w:val="0"/>
          <w:sz w:val="24"/>
          <w:szCs w:val="24"/>
          <w:highlight w:val="none"/>
          <w:lang w:val="en-US" w:eastAsia="zh-CN" w:bidi="ar-SA"/>
        </w:rPr>
      </w:pPr>
      <w:r>
        <w:rPr>
          <w:rFonts w:hint="eastAsia" w:ascii="宋体" w:hAnsi="宋体" w:eastAsia="宋体" w:cs="新宋体"/>
          <w:color w:val="auto"/>
          <w:kern w:val="0"/>
          <w:sz w:val="24"/>
          <w:szCs w:val="24"/>
          <w:highlight w:val="none"/>
          <w:lang w:val="en-US" w:eastAsia="zh-CN" w:bidi="ar-SA"/>
        </w:rPr>
        <w:t>13.2.2监理人进场前须满足以下条件方可进场：</w:t>
      </w:r>
    </w:p>
    <w:p>
      <w:pPr>
        <w:pStyle w:val="2"/>
        <w:keepNext w:val="0"/>
        <w:keepLines w:val="0"/>
        <w:pageBreakBefore w:val="0"/>
        <w:numPr>
          <w:ilvl w:val="0"/>
          <w:numId w:val="4"/>
        </w:numPr>
        <w:kinsoku/>
        <w:wordWrap/>
        <w:overflowPunct/>
        <w:topLinePunct w:val="0"/>
        <w:bidi w:val="0"/>
        <w:adjustRightInd/>
        <w:snapToGrid/>
        <w:spacing w:line="360" w:lineRule="auto"/>
        <w:textAlignment w:val="auto"/>
        <w:rPr>
          <w:rFonts w:hint="eastAsia" w:ascii="宋体" w:hAnsi="宋体" w:eastAsia="宋体" w:cs="新宋体"/>
          <w:color w:val="auto"/>
          <w:kern w:val="0"/>
          <w:sz w:val="24"/>
          <w:szCs w:val="24"/>
          <w:highlight w:val="none"/>
          <w:lang w:val="en-US" w:eastAsia="zh-CN" w:bidi="ar-SA"/>
        </w:rPr>
      </w:pPr>
      <w:r>
        <w:rPr>
          <w:rFonts w:hint="eastAsia" w:ascii="宋体" w:hAnsi="宋体" w:eastAsia="宋体" w:cs="新宋体"/>
          <w:color w:val="auto"/>
          <w:kern w:val="0"/>
          <w:sz w:val="24"/>
          <w:szCs w:val="24"/>
          <w:highlight w:val="none"/>
          <w:lang w:val="en-US" w:eastAsia="zh-CN" w:bidi="ar-SA"/>
        </w:rPr>
        <w:t>与委托人签订合同</w:t>
      </w:r>
      <w:bookmarkStart w:id="446" w:name="_GoBack"/>
      <w:bookmarkEnd w:id="446"/>
      <w:r>
        <w:rPr>
          <w:rFonts w:hint="eastAsia" w:ascii="宋体" w:hAnsi="宋体" w:eastAsia="宋体" w:cs="新宋体"/>
          <w:color w:val="auto"/>
          <w:kern w:val="0"/>
          <w:sz w:val="24"/>
          <w:szCs w:val="24"/>
          <w:highlight w:val="none"/>
          <w:lang w:val="en-US" w:eastAsia="zh-CN" w:bidi="ar-SA"/>
        </w:rPr>
        <w:t>；</w:t>
      </w:r>
    </w:p>
    <w:p>
      <w:pPr>
        <w:keepNext w:val="0"/>
        <w:keepLines w:val="0"/>
        <w:pageBreakBefore w:val="0"/>
        <w:widowControl/>
        <w:tabs>
          <w:tab w:val="left" w:pos="480"/>
        </w:tabs>
        <w:kinsoku/>
        <w:wordWrap/>
        <w:overflowPunct/>
        <w:topLinePunct w:val="0"/>
        <w:autoSpaceDE w:val="0"/>
        <w:autoSpaceDN w:val="0"/>
        <w:bidi w:val="0"/>
        <w:adjustRightInd/>
        <w:snapToGrid/>
        <w:spacing w:before="0" w:after="0" w:line="360" w:lineRule="auto"/>
        <w:ind w:left="0" w:right="0" w:firstLine="0"/>
        <w:jc w:val="left"/>
        <w:textAlignment w:val="auto"/>
        <w:rPr>
          <w:rFonts w:hint="eastAsia" w:ascii="宋体" w:hAnsi="宋体" w:eastAsia="宋体" w:cs="新宋体"/>
          <w:color w:val="auto"/>
          <w:kern w:val="0"/>
          <w:sz w:val="24"/>
          <w:szCs w:val="24"/>
          <w:highlight w:val="none"/>
          <w:lang w:val="en-US" w:eastAsia="zh-CN" w:bidi="ar-SA"/>
        </w:rPr>
      </w:pPr>
      <w:r>
        <w:rPr>
          <w:rFonts w:hint="eastAsia" w:ascii="宋体" w:hAnsi="宋体" w:cs="新宋体"/>
          <w:color w:val="auto"/>
          <w:kern w:val="0"/>
          <w:sz w:val="24"/>
          <w:szCs w:val="24"/>
          <w:highlight w:val="none"/>
          <w:lang w:val="en-US" w:eastAsia="zh-CN" w:bidi="ar-SA"/>
        </w:rPr>
        <w:t>（2）</w:t>
      </w:r>
      <w:r>
        <w:rPr>
          <w:rFonts w:hint="eastAsia" w:ascii="宋体" w:hAnsi="宋体" w:eastAsia="宋体" w:cs="新宋体"/>
          <w:color w:val="auto"/>
          <w:kern w:val="0"/>
          <w:sz w:val="24"/>
          <w:szCs w:val="24"/>
          <w:highlight w:val="none"/>
          <w:lang w:val="en-US" w:eastAsia="zh-CN" w:bidi="ar-SA"/>
        </w:rPr>
        <w:t>监理人需向委托人工程指挥部提供监理人管理人员花名册、资格上岗证复印件、人员身份证复印件、特种作业人员操作证复印件、《建筑工程团体伤害意外保险》购买证明。</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ascii="nH5FWf4k+SimSun" w:hAnsi="nH5FWf4k+SimSun" w:eastAsia="nH5FWf4k+SimSun"/>
          <w:color w:val="000000"/>
          <w:sz w:val="24"/>
        </w:rPr>
      </w:pPr>
      <w:r>
        <w:rPr>
          <w:rFonts w:hint="eastAsia" w:ascii="宋体" w:hAnsi="宋体" w:cs="新宋体"/>
          <w:color w:val="auto"/>
          <w:kern w:val="0"/>
          <w:sz w:val="24"/>
          <w:szCs w:val="24"/>
          <w:highlight w:val="none"/>
          <w:lang w:val="en-US" w:eastAsia="zh-CN" w:bidi="ar-SA"/>
        </w:rPr>
        <w:t>（3）</w:t>
      </w:r>
      <w:r>
        <w:rPr>
          <w:rFonts w:hint="eastAsia" w:ascii="宋体" w:hAnsi="宋体" w:eastAsia="宋体" w:cs="新宋体"/>
          <w:color w:val="auto"/>
          <w:kern w:val="0"/>
          <w:sz w:val="24"/>
          <w:szCs w:val="24"/>
          <w:highlight w:val="none"/>
          <w:lang w:val="en-US" w:eastAsia="zh-CN" w:bidi="ar-SA"/>
        </w:rPr>
        <w:t>向委托人工程指挥部提交项目管理人员的任命书及授权委托书。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新宋体"/>
          <w:color w:val="auto"/>
          <w:kern w:val="0"/>
          <w:sz w:val="24"/>
          <w:szCs w:val="24"/>
          <w:highlight w:val="none"/>
          <w:lang w:val="en-US" w:eastAsia="zh-CN" w:bidi="ar-SA"/>
        </w:rPr>
      </w:pPr>
      <w:r>
        <w:rPr>
          <w:rFonts w:hint="eastAsia" w:ascii="宋体" w:hAnsi="宋体" w:eastAsia="宋体" w:cs="新宋体"/>
          <w:color w:val="auto"/>
          <w:kern w:val="0"/>
          <w:sz w:val="24"/>
          <w:szCs w:val="24"/>
          <w:highlight w:val="none"/>
          <w:lang w:val="en-US" w:eastAsia="zh-CN" w:bidi="ar-SA"/>
        </w:rPr>
        <w:t>13.2.3监理人必须按照当地公安部门相关规定及现场相关流程组织人员进场：监理人提前两天提交人员信息申请表——委托人工程指挥部审核——公安部门审核——反馈至委托人工程指挥部——反馈至大门保安室——监理人组织进场。所有人员信息申报必须详细填写身份证号码及手机号码（必须是电子版本）。</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新宋体"/>
          <w:color w:val="auto"/>
          <w:kern w:val="0"/>
          <w:sz w:val="24"/>
          <w:szCs w:val="24"/>
          <w:highlight w:val="none"/>
          <w:lang w:val="en-US" w:eastAsia="zh-CN" w:bidi="ar-SA"/>
        </w:rPr>
      </w:pPr>
      <w:r>
        <w:rPr>
          <w:rFonts w:hint="eastAsia" w:ascii="宋体" w:hAnsi="宋体" w:eastAsia="宋体" w:cs="新宋体"/>
          <w:color w:val="auto"/>
          <w:kern w:val="0"/>
          <w:sz w:val="24"/>
          <w:szCs w:val="24"/>
          <w:highlight w:val="none"/>
          <w:lang w:val="en-US" w:eastAsia="zh-CN" w:bidi="ar-SA"/>
        </w:rPr>
        <w:t>13.2.4监理人未完成上述手续流程的不得安排人员入场，不得进入与施工相关的区域。当监理人发生违反规定的情况时，监理人承担因此所带来的一切不利后果，涉嫌违法犯罪的将依法移交到公安机关予以处理。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新宋体"/>
          <w:color w:val="auto"/>
          <w:kern w:val="0"/>
          <w:sz w:val="24"/>
          <w:szCs w:val="24"/>
          <w:highlight w:val="none"/>
          <w:lang w:val="en-US" w:eastAsia="zh-CN" w:bidi="ar-SA"/>
        </w:rPr>
      </w:pPr>
      <w:r>
        <w:rPr>
          <w:rFonts w:hint="eastAsia" w:ascii="宋体" w:hAnsi="宋体" w:eastAsia="宋体" w:cs="新宋体"/>
          <w:color w:val="auto"/>
          <w:kern w:val="0"/>
          <w:sz w:val="24"/>
          <w:szCs w:val="24"/>
          <w:highlight w:val="none"/>
          <w:lang w:val="en-US" w:eastAsia="zh-CN" w:bidi="ar-SA"/>
        </w:rPr>
        <w:t>13.2.5监理人严禁招用未成年（18周岁以下）或不满足现场作业安全要求的人员，若发现有此情况，委托人工程指挥部有权要求监理人将其责令辞退，如不予辞退将对监理人其作出相应的处罚。</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13.2.6为了规范现场安全管理，要求监理人必须做好目视化管理工作，所有人员必须统一工作服（或带单位标识的反光背心）及安全帽颜色（管理人员佩戴红色安全帽及标示背心、施工人员佩戴黄色安全帽、特种作业人员佩戴蓝色安全帽及安全管理人员佩戴白色安全帽，必须有明显区分）。</w:t>
      </w:r>
    </w:p>
    <w:p>
      <w:pPr>
        <w:pStyle w:val="2"/>
        <w:rPr>
          <w:rFonts w:hint="default" w:ascii="宋体" w:hAnsi="宋体" w:eastAsia="宋体" w:cs="宋体"/>
          <w:b/>
          <w:bCs/>
          <w:color w:val="auto"/>
          <w:kern w:val="2"/>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13.3安全生产责任制</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13.3.1监理人应建立健全安全生产管理体系，明确各类岗位人员的安全生产责任。企业安全生产管理目标和各岗位安全生产责任制度应装订成册，并严格执行委托人制定的各项SOP（标准化操作流程）</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13.3.2监理人应建立安全生产责任考核制度，并定期对责任目标和责任人实行考核和奖惩，考核必须有书面记录。</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13.3.3监理人专职安全生产管理人员应由企业委派。监理人专职安全生产管理人员配备必须符合相关法律法规要求。同时，监理人委派的专职安全生产管理人员必须主动接受委托人工程指挥部的培训及考核，考核结果不符合要求的，委托人有权要求监理人重新更换或增加安全生产管理人员。</w:t>
      </w:r>
    </w:p>
    <w:p>
      <w:pPr>
        <w:pStyle w:val="2"/>
        <w:rPr>
          <w:rFonts w:hint="eastAsia" w:ascii="宋体" w:hAnsi="宋体" w:eastAsia="宋体" w:cs="宋体"/>
          <w:b/>
          <w:bCs/>
          <w:color w:val="auto"/>
          <w:kern w:val="2"/>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13.4安全环境施工组织设计</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13.4.1监理人在审核各承包商施工组织设计(施工方案)时，必须根据工程项目特点和施工现场实际，严格审核并提出可行的审核意见，以便方案的有效实施。</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13.4.2施工组织设计、安全技术措施或安全专项施工方案按规定应当通过专家论证的，应监督承包商组织专家论证，通过后按上述程序办理签字手续后方可实施。</w:t>
      </w:r>
    </w:p>
    <w:p>
      <w:pPr>
        <w:pStyle w:val="2"/>
        <w:rPr>
          <w:rFonts w:hint="eastAsia" w:ascii="宋体" w:hAnsi="宋体" w:eastAsia="宋体" w:cs="宋体"/>
          <w:b/>
          <w:bCs/>
          <w:color w:val="auto"/>
          <w:kern w:val="2"/>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13.5</w:t>
      </w:r>
      <w:r>
        <w:rPr>
          <w:rFonts w:hint="eastAsia" w:ascii="宋体" w:hAnsi="宋体" w:cs="宋体"/>
          <w:b/>
          <w:bCs/>
          <w:color w:val="auto"/>
          <w:kern w:val="2"/>
          <w:sz w:val="24"/>
          <w:szCs w:val="32"/>
          <w:highlight w:val="none"/>
          <w:lang w:val="en-US" w:eastAsia="zh-CN" w:bidi="ar-SA"/>
        </w:rPr>
        <w:t xml:space="preserve"> </w:t>
      </w:r>
      <w:r>
        <w:rPr>
          <w:rFonts w:hint="eastAsia" w:ascii="宋体" w:hAnsi="宋体" w:eastAsia="宋体" w:cs="宋体"/>
          <w:b/>
          <w:bCs/>
          <w:color w:val="auto"/>
          <w:kern w:val="2"/>
          <w:sz w:val="24"/>
          <w:szCs w:val="32"/>
          <w:highlight w:val="none"/>
          <w:lang w:val="en-US" w:eastAsia="zh-CN" w:bidi="ar-SA"/>
        </w:rPr>
        <w:t>ESHS检查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13.5.1委托人工程指挥部组织的安全检查，监理人应根据现场检查规定的检查方式、时间、内容积极参加，对检查发现的问题及时上传至工程管理信息系统中并监督承包商整改闭环。</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13.5.2监理人应根据委托人工程指挥部要求，做好工程管理信息系统的上线使用工作，并按照现场管理要求据实做好人员资质报审、隐患整改、日常点检、作业票申请及点检、设备设施检查与验收等相关工作，努力确保各承包商隐患及时整改率不低于90%。</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13.5.3监理人和监理人工程项目部应建立定期安全检查制度，监理人公司级每月不应少于一次，监理人工程项目部每周不应少于一次，监理人专职安全生产管理人员应每天巡查。</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13.5.4监理人在检查过程中发现的问题应及时下发的通知单、联系单，承包商整改后应安排人员及时进行复核，发现重大安全隐患的，应要求承包商立即停止施工，进行整改。</w:t>
      </w:r>
    </w:p>
    <w:p>
      <w:pPr>
        <w:pStyle w:val="2"/>
        <w:rPr>
          <w:rFonts w:hint="default" w:ascii="宋体" w:hAnsi="宋体" w:eastAsia="宋体" w:cs="宋体"/>
          <w:b/>
          <w:bCs/>
          <w:color w:val="auto"/>
          <w:kern w:val="2"/>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13.6安全、环境及职业健康教育</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13.6.1监理人应建立安全生产教育培训制度，明确教育计划、教育岗位、教育人员、教育内容、教育时间等。</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13.6.2监理人人员应每年至少一次参加安全生产教育培训，培训考核不合格者，不得上岗。</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13.6.3监理人应按照国家相关规定对所属人员进行三级安全教育，未经教育培训或教育培训考核不合格的人员,不得上岗。</w:t>
      </w:r>
    </w:p>
    <w:p>
      <w:pPr>
        <w:pStyle w:val="2"/>
        <w:rPr>
          <w:rFonts w:hint="eastAsia" w:ascii="宋体" w:hAnsi="宋体" w:eastAsia="宋体" w:cs="宋体"/>
          <w:b/>
          <w:bCs/>
          <w:color w:val="auto"/>
          <w:kern w:val="2"/>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13.7环境、安全事件事故处理</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13.7.1处理施工现场各类环境、安全事件事故，要根据国家相关法律法规进行相应处置，开展救援。各工程现场严格执行《关于安全、环境事故事件管理规定》。监理人应根据建筑工程特点和施工实际情况，对施工现场易发生安全事故的部位和环节进行监督检查，发现问题及时督促承包商进行整改。</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13.7.2施工现场实行未遂事件、生产安全事故记录和报告制度。监理人应在安全例会上报每周各类环境、安全未遂事件；生产安全事故发生后，监理人应按照规定及时、如实向委托人工程指挥部报告。</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13.7.3如发生生产安全事故，监理人应监督承包商按照“四不放过”(事故原因调查不清不放过，事故责任不明不放过，事故责任者和群众未受到教育不放过，防范措施不落实不放过)原则及《生产安全事故报告和调查处理条例》的相关规定进行调查处理。</w:t>
      </w:r>
    </w:p>
    <w:p>
      <w:pPr>
        <w:pStyle w:val="2"/>
        <w:rPr>
          <w:rFonts w:hint="default" w:ascii="宋体" w:hAnsi="宋体" w:eastAsia="宋体" w:cs="宋体"/>
          <w:b/>
          <w:bCs/>
          <w:color w:val="auto"/>
          <w:kern w:val="2"/>
          <w:sz w:val="24"/>
          <w:szCs w:val="32"/>
          <w:highlight w:val="none"/>
          <w:lang w:val="en-US" w:eastAsia="zh-CN" w:bidi="ar-SA"/>
        </w:rPr>
      </w:pPr>
      <w:r>
        <w:rPr>
          <w:rFonts w:hint="eastAsia" w:ascii="宋体" w:hAnsi="宋体" w:eastAsia="宋体" w:cs="宋体"/>
          <w:b/>
          <w:bCs/>
          <w:color w:val="auto"/>
          <w:kern w:val="2"/>
          <w:sz w:val="24"/>
          <w:szCs w:val="32"/>
          <w:highlight w:val="none"/>
          <w:lang w:val="en-US" w:eastAsia="zh-CN" w:bidi="ar-SA"/>
        </w:rPr>
        <w:t>13.8应急预案</w:t>
      </w:r>
    </w:p>
    <w:p>
      <w:pPr>
        <w:pStyle w:val="2"/>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13.8.1监理人应监督承包商在工程开工前应编制应急预案。应急预案应按照要求至当地主管部门进行备案（如有）。督促各承包商每年应开展不少于两次的应急预案演练。</w:t>
      </w:r>
    </w:p>
    <w:p>
      <w:pPr>
        <w:pStyle w:val="5"/>
        <w:ind w:left="0" w:leftChars="0" w:firstLine="0" w:firstLineChars="0"/>
        <w:rPr>
          <w:rFonts w:hint="default" w:ascii="宋体" w:hAnsi="宋体"/>
          <w:color w:val="auto"/>
          <w:lang w:val="en-US" w:eastAsia="zh-CN"/>
        </w:rPr>
      </w:pPr>
      <w:r>
        <w:rPr>
          <w:rFonts w:hint="eastAsia" w:ascii="宋体" w:hAnsi="宋体" w:eastAsia="宋体" w:cs="宋体"/>
          <w:color w:val="auto"/>
          <w:kern w:val="2"/>
          <w:sz w:val="24"/>
          <w:szCs w:val="24"/>
          <w:lang w:val="en-US" w:eastAsia="zh-CN" w:bidi="ar-SA"/>
        </w:rPr>
        <w:t>13.8.2监理人应根据应急预案的要求。督促承包商配置必要的应急材料、设施设备等。当发生紧急情况时，应根据委托人工程指挥部要求及时启动预案。</w:t>
      </w:r>
    </w:p>
    <w:sectPr>
      <w:headerReference r:id="rId5" w:type="default"/>
      <w:footerReference r:id="rId6" w:type="default"/>
      <w:type w:val="nextColumn"/>
      <w:pgSz w:w="11906" w:h="16838"/>
      <w:pgMar w:top="1588" w:right="1474" w:bottom="1474" w:left="1588" w:header="851" w:footer="851" w:gutter="0"/>
      <w:pgBorders>
        <w:top w:val="none" w:sz="0" w:space="0"/>
        <w:left w:val="none" w:sz="0" w:space="0"/>
        <w:bottom w:val="none" w:sz="0" w:space="0"/>
        <w:right w:val="none" w:sz="0" w:space="0"/>
      </w:pgBorders>
      <w:cols w:space="425" w:num="1"/>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modern"/>
    <w:pitch w:val="default"/>
    <w:sig w:usb0="00000001" w:usb1="080E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Tahoma">
    <w:panose1 w:val="020B0604030504040204"/>
    <w:charset w:val="00"/>
    <w:family w:val="swiss"/>
    <w:pitch w:val="default"/>
    <w:sig w:usb0="E1002EFF" w:usb1="C000605B" w:usb2="00000029" w:usb3="00000000" w:csb0="200101FF" w:csb1="20280000"/>
  </w:font>
  <w:font w:name="MS Mincho">
    <w:panose1 w:val="02020609040205080304"/>
    <w:charset w:val="80"/>
    <w:family w:val="roman"/>
    <w:pitch w:val="default"/>
    <w:sig w:usb0="A00002BF" w:usb1="68C7FCFB" w:usb2="00000010" w:usb3="00000000" w:csb0="4002009F" w:csb1="DFD70000"/>
  </w:font>
  <w:font w:name="Times">
    <w:altName w:val="Times New Roman"/>
    <w:panose1 w:val="02020603050405020304"/>
    <w:charset w:val="00"/>
    <w:family w:val="roman"/>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五">
    <w:altName w:val="黑体"/>
    <w:panose1 w:val="00000000000000000000"/>
    <w:charset w:val="86"/>
    <w:family w:val="auto"/>
    <w:pitch w:val="default"/>
    <w:sig w:usb0="00000000" w:usb1="0000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新宋体">
    <w:panose1 w:val="02010609030101010101"/>
    <w:charset w:val="86"/>
    <w:family w:val="modern"/>
    <w:pitch w:val="default"/>
    <w:sig w:usb0="00000283" w:usb1="288F0000" w:usb2="00000006" w:usb3="00000000" w:csb0="00040001" w:csb1="00000000"/>
  </w:font>
  <w:font w:name="Segoe UI">
    <w:panose1 w:val="020B0502040204020203"/>
    <w:charset w:val="00"/>
    <w:family w:val="auto"/>
    <w:pitch w:val="default"/>
    <w:sig w:usb0="E4002EFF" w:usb1="C000E47F" w:usb2="00000009" w:usb3="00000000" w:csb0="200001FF" w:csb1="00000000"/>
  </w:font>
  <w:font w:name="nH5FWf4k+SimSun">
    <w:altName w:val="Microsoft YaHei UI"/>
    <w:panose1 w:val="02000503000000000000"/>
    <w:charset w:val="00"/>
    <w:family w:val="auto"/>
    <w:pitch w:val="default"/>
    <w:sig w:usb0="00000000" w:usb1="00000000" w:usb2="00000000" w:usb3="00000000" w:csb0="00040001" w:csb1="0000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02180327"/>
      <w:docPartObj>
        <w:docPartGallery w:val="autotext"/>
      </w:docPartObj>
    </w:sdtPr>
    <w:sdtContent>
      <w:p>
        <w:pPr>
          <w:pStyle w:val="38"/>
          <w:jc w:val="center"/>
        </w:pPr>
        <w:r>
          <w:fldChar w:fldCharType="begin"/>
        </w:r>
        <w:r>
          <w:instrText xml:space="preserve">PAGE   \* MERGEFORMAT</w:instrText>
        </w:r>
        <w:r>
          <w:fldChar w:fldCharType="separate"/>
        </w:r>
        <w:r>
          <w:rPr>
            <w:lang w:val="zh-CN"/>
          </w:rPr>
          <w:t>14</w:t>
        </w:r>
        <w:r>
          <w:fldChar w:fldCharType="end"/>
        </w:r>
      </w:p>
    </w:sdtContent>
  </w:sdt>
  <w:p>
    <w:pPr>
      <w:pStyle w:val="3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3EE085C"/>
    <w:multiLevelType w:val="singleLevel"/>
    <w:tmpl w:val="E3EE085C"/>
    <w:lvl w:ilvl="0" w:tentative="0">
      <w:start w:val="1"/>
      <w:numFmt w:val="decimal"/>
      <w:suff w:val="nothing"/>
      <w:lvlText w:val="（%1）"/>
      <w:lvlJc w:val="left"/>
    </w:lvl>
  </w:abstractNum>
  <w:abstractNum w:abstractNumId="1">
    <w:nsid w:val="29E148EF"/>
    <w:multiLevelType w:val="multilevel"/>
    <w:tmpl w:val="29E148EF"/>
    <w:lvl w:ilvl="0" w:tentative="0">
      <w:start w:val="3"/>
      <w:numFmt w:val="decimal"/>
      <w:lvlText w:val="%1."/>
      <w:lvlJc w:val="left"/>
      <w:pPr>
        <w:ind w:left="425" w:hanging="425"/>
      </w:pPr>
      <w:rPr>
        <w:rFonts w:hint="default"/>
      </w:rPr>
    </w:lvl>
    <w:lvl w:ilvl="1" w:tentative="0">
      <w:start w:val="3"/>
      <w:numFmt w:val="decimal"/>
      <w:isLgl/>
      <w:lvlText w:val="%1.%2"/>
      <w:lvlJc w:val="left"/>
      <w:pPr>
        <w:ind w:left="1065" w:hanging="1065"/>
      </w:pPr>
      <w:rPr>
        <w:rFonts w:hint="default"/>
      </w:rPr>
    </w:lvl>
    <w:lvl w:ilvl="2" w:tentative="0">
      <w:start w:val="10"/>
      <w:numFmt w:val="decimal"/>
      <w:isLgl/>
      <w:lvlText w:val="%1.%2.%3"/>
      <w:lvlJc w:val="left"/>
      <w:pPr>
        <w:ind w:left="1065" w:hanging="1065"/>
      </w:pPr>
      <w:rPr>
        <w:rFonts w:hint="default"/>
      </w:rPr>
    </w:lvl>
    <w:lvl w:ilvl="3" w:tentative="0">
      <w:start w:val="6"/>
      <w:numFmt w:val="decimal"/>
      <w:isLgl/>
      <w:lvlText w:val="%1.%2.%3.%4"/>
      <w:lvlJc w:val="left"/>
      <w:pPr>
        <w:ind w:left="1080" w:hanging="1080"/>
      </w:pPr>
      <w:rPr>
        <w:rFonts w:hint="default"/>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440" w:hanging="1440"/>
      </w:pPr>
      <w:rPr>
        <w:rFonts w:hint="default"/>
      </w:rPr>
    </w:lvl>
    <w:lvl w:ilvl="6" w:tentative="0">
      <w:start w:val="1"/>
      <w:numFmt w:val="decimal"/>
      <w:isLgl/>
      <w:lvlText w:val="%1.%2.%3.%4.%5.%6.%7"/>
      <w:lvlJc w:val="left"/>
      <w:pPr>
        <w:ind w:left="1800" w:hanging="1800"/>
      </w:pPr>
      <w:rPr>
        <w:rFonts w:hint="default"/>
      </w:rPr>
    </w:lvl>
    <w:lvl w:ilvl="7" w:tentative="0">
      <w:start w:val="1"/>
      <w:numFmt w:val="decimal"/>
      <w:isLgl/>
      <w:lvlText w:val="%1.%2.%3.%4.%5.%6.%7.%8"/>
      <w:lvlJc w:val="left"/>
      <w:pPr>
        <w:ind w:left="1800" w:hanging="1800"/>
      </w:pPr>
      <w:rPr>
        <w:rFonts w:hint="default"/>
      </w:rPr>
    </w:lvl>
    <w:lvl w:ilvl="8" w:tentative="0">
      <w:start w:val="1"/>
      <w:numFmt w:val="decimal"/>
      <w:isLgl/>
      <w:lvlText w:val="%1.%2.%3.%4.%5.%6.%7.%8.%9"/>
      <w:lvlJc w:val="left"/>
      <w:pPr>
        <w:ind w:left="2160" w:hanging="2160"/>
      </w:pPr>
      <w:rPr>
        <w:rFonts w:hint="default"/>
      </w:rPr>
    </w:lvl>
  </w:abstractNum>
  <w:abstractNum w:abstractNumId="2">
    <w:nsid w:val="4DCFF533"/>
    <w:multiLevelType w:val="singleLevel"/>
    <w:tmpl w:val="4DCFF533"/>
    <w:lvl w:ilvl="0" w:tentative="0">
      <w:start w:val="1"/>
      <w:numFmt w:val="decimal"/>
      <w:lvlText w:val="%1."/>
      <w:lvlJc w:val="left"/>
      <w:pPr>
        <w:ind w:left="425" w:hanging="425"/>
      </w:pPr>
      <w:rPr>
        <w:rFonts w:hint="default"/>
      </w:rPr>
    </w:lvl>
  </w:abstractNum>
  <w:abstractNum w:abstractNumId="3">
    <w:nsid w:val="72CB2D52"/>
    <w:multiLevelType w:val="multilevel"/>
    <w:tmpl w:val="72CB2D52"/>
    <w:lvl w:ilvl="0" w:tentative="0">
      <w:start w:val="1"/>
      <w:numFmt w:val="decimal"/>
      <w:pStyle w:val="58"/>
      <w:lvlText w:val="%1"/>
      <w:lvlJc w:val="left"/>
      <w:pPr>
        <w:ind w:left="425" w:hanging="425"/>
      </w:pPr>
      <w:rPr>
        <w:rFonts w:ascii="Times New Roman" w:hAnsi="Times New Roman" w:cs="Times New Roman"/>
        <w:b w:val="0"/>
        <w:bCs w:val="0"/>
        <w:i w:val="0"/>
        <w:iCs w:val="0"/>
        <w:caps w:val="0"/>
        <w:smallCaps w:val="0"/>
        <w:strike w:val="0"/>
        <w:dstrike w:val="0"/>
        <w:outline w:val="0"/>
        <w:shadow w:val="0"/>
        <w:emboss w:val="0"/>
        <w:imprint w:val="0"/>
        <w:vanish w:val="0"/>
        <w:color w:val="auto"/>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1" w:tentative="0">
      <w:start w:val="1"/>
      <w:numFmt w:val="decimal"/>
      <w:pStyle w:val="4"/>
      <w:suff w:val="space"/>
      <w:lvlText w:val="%1.%2"/>
      <w:lvlJc w:val="left"/>
      <w:pPr>
        <w:ind w:left="0" w:firstLine="0"/>
      </w:pPr>
      <w:rPr>
        <w:rFonts w:ascii="Times New Roman" w:hAnsi="Times New Roman" w:cs="Times New Roman"/>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rPr>
    </w:lvl>
    <w:lvl w:ilvl="2" w:tentative="0">
      <w:start w:val="1"/>
      <w:numFmt w:val="decimal"/>
      <w:pStyle w:val="6"/>
      <w:suff w:val="space"/>
      <w:lvlText w:val="%1.%2.%3"/>
      <w:lvlJc w:val="left"/>
      <w:pPr>
        <w:ind w:left="0" w:firstLine="0"/>
      </w:pPr>
      <w:rPr>
        <w:rFonts w:hint="eastAsia"/>
      </w:rPr>
    </w:lvl>
    <w:lvl w:ilvl="3" w:tentative="0">
      <w:start w:val="1"/>
      <w:numFmt w:val="decimal"/>
      <w:pStyle w:val="7"/>
      <w:suff w:val="space"/>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embedSystemFonts/>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dhODU4NzIxYjNlNjRjNDA5MmI0Mzk4NWJmOWJkMDkifQ=="/>
  </w:docVars>
  <w:rsids>
    <w:rsidRoot w:val="001C4BF3"/>
    <w:rsid w:val="00005AE1"/>
    <w:rsid w:val="00006879"/>
    <w:rsid w:val="00011941"/>
    <w:rsid w:val="00011AC4"/>
    <w:rsid w:val="00013061"/>
    <w:rsid w:val="00013FE0"/>
    <w:rsid w:val="00020A83"/>
    <w:rsid w:val="0002141A"/>
    <w:rsid w:val="0002327E"/>
    <w:rsid w:val="0002500C"/>
    <w:rsid w:val="000252E7"/>
    <w:rsid w:val="0002610A"/>
    <w:rsid w:val="00027245"/>
    <w:rsid w:val="000300FC"/>
    <w:rsid w:val="00030773"/>
    <w:rsid w:val="00032300"/>
    <w:rsid w:val="000375D0"/>
    <w:rsid w:val="00040332"/>
    <w:rsid w:val="0004197A"/>
    <w:rsid w:val="0004202E"/>
    <w:rsid w:val="00042A93"/>
    <w:rsid w:val="00042ACC"/>
    <w:rsid w:val="000443D4"/>
    <w:rsid w:val="00044EF8"/>
    <w:rsid w:val="000457A4"/>
    <w:rsid w:val="000467B9"/>
    <w:rsid w:val="00046C5A"/>
    <w:rsid w:val="00046F33"/>
    <w:rsid w:val="00050977"/>
    <w:rsid w:val="000534F1"/>
    <w:rsid w:val="00053A9E"/>
    <w:rsid w:val="000541EA"/>
    <w:rsid w:val="00054A1B"/>
    <w:rsid w:val="000555ED"/>
    <w:rsid w:val="00055872"/>
    <w:rsid w:val="0005782E"/>
    <w:rsid w:val="00063462"/>
    <w:rsid w:val="00063952"/>
    <w:rsid w:val="00063E66"/>
    <w:rsid w:val="000645AE"/>
    <w:rsid w:val="00067BD7"/>
    <w:rsid w:val="00070147"/>
    <w:rsid w:val="00072510"/>
    <w:rsid w:val="000762A0"/>
    <w:rsid w:val="000765ED"/>
    <w:rsid w:val="000811DA"/>
    <w:rsid w:val="00082298"/>
    <w:rsid w:val="00083524"/>
    <w:rsid w:val="00090772"/>
    <w:rsid w:val="00091F8C"/>
    <w:rsid w:val="00092945"/>
    <w:rsid w:val="00092C6B"/>
    <w:rsid w:val="00092CAA"/>
    <w:rsid w:val="00092D29"/>
    <w:rsid w:val="0009417F"/>
    <w:rsid w:val="000958A2"/>
    <w:rsid w:val="000A0719"/>
    <w:rsid w:val="000A1A9A"/>
    <w:rsid w:val="000A327B"/>
    <w:rsid w:val="000A41F5"/>
    <w:rsid w:val="000A7583"/>
    <w:rsid w:val="000B03B7"/>
    <w:rsid w:val="000B147E"/>
    <w:rsid w:val="000B1807"/>
    <w:rsid w:val="000B33D4"/>
    <w:rsid w:val="000B3A88"/>
    <w:rsid w:val="000B77FA"/>
    <w:rsid w:val="000C45C7"/>
    <w:rsid w:val="000C4639"/>
    <w:rsid w:val="000C6F21"/>
    <w:rsid w:val="000C7CB0"/>
    <w:rsid w:val="000D38D0"/>
    <w:rsid w:val="000D3C6C"/>
    <w:rsid w:val="000D3D17"/>
    <w:rsid w:val="000D4E84"/>
    <w:rsid w:val="000D54E9"/>
    <w:rsid w:val="000D6AB6"/>
    <w:rsid w:val="000D6F58"/>
    <w:rsid w:val="000E0108"/>
    <w:rsid w:val="000F12DF"/>
    <w:rsid w:val="000F443D"/>
    <w:rsid w:val="000F5E03"/>
    <w:rsid w:val="000F675A"/>
    <w:rsid w:val="000F6F2F"/>
    <w:rsid w:val="00100C20"/>
    <w:rsid w:val="00102337"/>
    <w:rsid w:val="00102C52"/>
    <w:rsid w:val="00103F35"/>
    <w:rsid w:val="00104A68"/>
    <w:rsid w:val="00111894"/>
    <w:rsid w:val="00111F2A"/>
    <w:rsid w:val="00112B44"/>
    <w:rsid w:val="00113A92"/>
    <w:rsid w:val="00114AC8"/>
    <w:rsid w:val="00120FC2"/>
    <w:rsid w:val="00122BC1"/>
    <w:rsid w:val="00122D7A"/>
    <w:rsid w:val="00125177"/>
    <w:rsid w:val="0012707F"/>
    <w:rsid w:val="0013080C"/>
    <w:rsid w:val="00131A54"/>
    <w:rsid w:val="0013253E"/>
    <w:rsid w:val="00134237"/>
    <w:rsid w:val="00135A7B"/>
    <w:rsid w:val="0013606F"/>
    <w:rsid w:val="00137004"/>
    <w:rsid w:val="001378C5"/>
    <w:rsid w:val="0014088B"/>
    <w:rsid w:val="00140D2A"/>
    <w:rsid w:val="00142B7F"/>
    <w:rsid w:val="00143E4B"/>
    <w:rsid w:val="00147D23"/>
    <w:rsid w:val="00150528"/>
    <w:rsid w:val="00150668"/>
    <w:rsid w:val="00152213"/>
    <w:rsid w:val="00155804"/>
    <w:rsid w:val="0015640B"/>
    <w:rsid w:val="001573E3"/>
    <w:rsid w:val="001603D4"/>
    <w:rsid w:val="00160C14"/>
    <w:rsid w:val="001625CC"/>
    <w:rsid w:val="00162FF3"/>
    <w:rsid w:val="001636F3"/>
    <w:rsid w:val="00163CA3"/>
    <w:rsid w:val="0016440A"/>
    <w:rsid w:val="00165136"/>
    <w:rsid w:val="0016528E"/>
    <w:rsid w:val="001653A6"/>
    <w:rsid w:val="00165939"/>
    <w:rsid w:val="00166028"/>
    <w:rsid w:val="00166C3B"/>
    <w:rsid w:val="00167078"/>
    <w:rsid w:val="00167997"/>
    <w:rsid w:val="00167BEF"/>
    <w:rsid w:val="00172884"/>
    <w:rsid w:val="00173C87"/>
    <w:rsid w:val="00175B7C"/>
    <w:rsid w:val="00180055"/>
    <w:rsid w:val="00181F0E"/>
    <w:rsid w:val="001827C2"/>
    <w:rsid w:val="00182A43"/>
    <w:rsid w:val="00182BA5"/>
    <w:rsid w:val="00184923"/>
    <w:rsid w:val="001871AF"/>
    <w:rsid w:val="001871D8"/>
    <w:rsid w:val="001922AA"/>
    <w:rsid w:val="00192675"/>
    <w:rsid w:val="001949D4"/>
    <w:rsid w:val="0019659C"/>
    <w:rsid w:val="001974C1"/>
    <w:rsid w:val="0019758D"/>
    <w:rsid w:val="001A0D12"/>
    <w:rsid w:val="001A2CF8"/>
    <w:rsid w:val="001A3511"/>
    <w:rsid w:val="001A394F"/>
    <w:rsid w:val="001A3A29"/>
    <w:rsid w:val="001B003C"/>
    <w:rsid w:val="001B04AD"/>
    <w:rsid w:val="001B0A7F"/>
    <w:rsid w:val="001B0D43"/>
    <w:rsid w:val="001B18BE"/>
    <w:rsid w:val="001B2956"/>
    <w:rsid w:val="001B3CDD"/>
    <w:rsid w:val="001B4861"/>
    <w:rsid w:val="001B70AB"/>
    <w:rsid w:val="001B7973"/>
    <w:rsid w:val="001C011C"/>
    <w:rsid w:val="001C19A3"/>
    <w:rsid w:val="001C250B"/>
    <w:rsid w:val="001C3D1D"/>
    <w:rsid w:val="001C4BF3"/>
    <w:rsid w:val="001C55A1"/>
    <w:rsid w:val="001C61CA"/>
    <w:rsid w:val="001C6FE6"/>
    <w:rsid w:val="001C73C7"/>
    <w:rsid w:val="001D0822"/>
    <w:rsid w:val="001D0F4C"/>
    <w:rsid w:val="001D1276"/>
    <w:rsid w:val="001D68FD"/>
    <w:rsid w:val="001E0236"/>
    <w:rsid w:val="001E2E29"/>
    <w:rsid w:val="001E4D79"/>
    <w:rsid w:val="001F1BDF"/>
    <w:rsid w:val="001F47D2"/>
    <w:rsid w:val="001F6DC0"/>
    <w:rsid w:val="001F7D5B"/>
    <w:rsid w:val="002004B5"/>
    <w:rsid w:val="00203295"/>
    <w:rsid w:val="00203B25"/>
    <w:rsid w:val="00203EDD"/>
    <w:rsid w:val="00203EE5"/>
    <w:rsid w:val="002047E6"/>
    <w:rsid w:val="00205F05"/>
    <w:rsid w:val="0020633E"/>
    <w:rsid w:val="00207F6A"/>
    <w:rsid w:val="002104C3"/>
    <w:rsid w:val="002115B5"/>
    <w:rsid w:val="002119B5"/>
    <w:rsid w:val="00211AB5"/>
    <w:rsid w:val="00214E80"/>
    <w:rsid w:val="0022186C"/>
    <w:rsid w:val="002227DE"/>
    <w:rsid w:val="00225B11"/>
    <w:rsid w:val="00227678"/>
    <w:rsid w:val="002309E2"/>
    <w:rsid w:val="0023287B"/>
    <w:rsid w:val="00232DB9"/>
    <w:rsid w:val="002355B9"/>
    <w:rsid w:val="00236A83"/>
    <w:rsid w:val="00241AD0"/>
    <w:rsid w:val="00244088"/>
    <w:rsid w:val="0024567F"/>
    <w:rsid w:val="002459F6"/>
    <w:rsid w:val="00252393"/>
    <w:rsid w:val="00252721"/>
    <w:rsid w:val="00255BA0"/>
    <w:rsid w:val="002565A0"/>
    <w:rsid w:val="00257F3D"/>
    <w:rsid w:val="00261698"/>
    <w:rsid w:val="00261729"/>
    <w:rsid w:val="0026228E"/>
    <w:rsid w:val="00262C79"/>
    <w:rsid w:val="002649F6"/>
    <w:rsid w:val="00265A18"/>
    <w:rsid w:val="00270642"/>
    <w:rsid w:val="00271919"/>
    <w:rsid w:val="0027286B"/>
    <w:rsid w:val="00272A6F"/>
    <w:rsid w:val="00272C26"/>
    <w:rsid w:val="0027457C"/>
    <w:rsid w:val="00274A8E"/>
    <w:rsid w:val="00274BC1"/>
    <w:rsid w:val="00274C14"/>
    <w:rsid w:val="00274C25"/>
    <w:rsid w:val="0028089E"/>
    <w:rsid w:val="00280B7A"/>
    <w:rsid w:val="002812A4"/>
    <w:rsid w:val="00282B92"/>
    <w:rsid w:val="002831D1"/>
    <w:rsid w:val="002837E1"/>
    <w:rsid w:val="0028593C"/>
    <w:rsid w:val="002868E5"/>
    <w:rsid w:val="002869CD"/>
    <w:rsid w:val="00286FB5"/>
    <w:rsid w:val="00293FC9"/>
    <w:rsid w:val="00295FF0"/>
    <w:rsid w:val="00296BE2"/>
    <w:rsid w:val="00297E67"/>
    <w:rsid w:val="002A00CA"/>
    <w:rsid w:val="002A015F"/>
    <w:rsid w:val="002A04DD"/>
    <w:rsid w:val="002A16E3"/>
    <w:rsid w:val="002A179D"/>
    <w:rsid w:val="002A1AE6"/>
    <w:rsid w:val="002A34ED"/>
    <w:rsid w:val="002A3569"/>
    <w:rsid w:val="002A58C1"/>
    <w:rsid w:val="002A68BE"/>
    <w:rsid w:val="002B2CD0"/>
    <w:rsid w:val="002B302B"/>
    <w:rsid w:val="002B3E73"/>
    <w:rsid w:val="002B612A"/>
    <w:rsid w:val="002B631C"/>
    <w:rsid w:val="002C0F22"/>
    <w:rsid w:val="002C373F"/>
    <w:rsid w:val="002C52E9"/>
    <w:rsid w:val="002C6E6C"/>
    <w:rsid w:val="002C7353"/>
    <w:rsid w:val="002D53C7"/>
    <w:rsid w:val="002D65D3"/>
    <w:rsid w:val="002E11D0"/>
    <w:rsid w:val="002E2731"/>
    <w:rsid w:val="002E3E57"/>
    <w:rsid w:val="002E530A"/>
    <w:rsid w:val="002E7B6B"/>
    <w:rsid w:val="002E7C17"/>
    <w:rsid w:val="002E7CA0"/>
    <w:rsid w:val="002F16D0"/>
    <w:rsid w:val="002F1F28"/>
    <w:rsid w:val="002F3A39"/>
    <w:rsid w:val="002F445A"/>
    <w:rsid w:val="002F50C3"/>
    <w:rsid w:val="002F7A04"/>
    <w:rsid w:val="0030240D"/>
    <w:rsid w:val="003024AE"/>
    <w:rsid w:val="00302811"/>
    <w:rsid w:val="0030408A"/>
    <w:rsid w:val="00305908"/>
    <w:rsid w:val="00307C2D"/>
    <w:rsid w:val="003110F2"/>
    <w:rsid w:val="0031501D"/>
    <w:rsid w:val="003150D8"/>
    <w:rsid w:val="00315AAE"/>
    <w:rsid w:val="00315FE3"/>
    <w:rsid w:val="003165EC"/>
    <w:rsid w:val="0032117E"/>
    <w:rsid w:val="0032372E"/>
    <w:rsid w:val="00325A4D"/>
    <w:rsid w:val="003260D9"/>
    <w:rsid w:val="0032672C"/>
    <w:rsid w:val="0032783E"/>
    <w:rsid w:val="003307DE"/>
    <w:rsid w:val="00332C74"/>
    <w:rsid w:val="00333A6C"/>
    <w:rsid w:val="00334F4A"/>
    <w:rsid w:val="003350E1"/>
    <w:rsid w:val="003351E2"/>
    <w:rsid w:val="0033746A"/>
    <w:rsid w:val="003409FB"/>
    <w:rsid w:val="003426CD"/>
    <w:rsid w:val="00344CA0"/>
    <w:rsid w:val="00346CA6"/>
    <w:rsid w:val="00350778"/>
    <w:rsid w:val="0035082D"/>
    <w:rsid w:val="00351222"/>
    <w:rsid w:val="00351EA9"/>
    <w:rsid w:val="003526F7"/>
    <w:rsid w:val="003549DE"/>
    <w:rsid w:val="003558F6"/>
    <w:rsid w:val="00361737"/>
    <w:rsid w:val="00362639"/>
    <w:rsid w:val="003633CC"/>
    <w:rsid w:val="0036411C"/>
    <w:rsid w:val="00364241"/>
    <w:rsid w:val="00364E29"/>
    <w:rsid w:val="00364E2E"/>
    <w:rsid w:val="0037112C"/>
    <w:rsid w:val="00371ED4"/>
    <w:rsid w:val="00372EA0"/>
    <w:rsid w:val="0037393A"/>
    <w:rsid w:val="003752E7"/>
    <w:rsid w:val="00376B02"/>
    <w:rsid w:val="00376D51"/>
    <w:rsid w:val="00380134"/>
    <w:rsid w:val="00380480"/>
    <w:rsid w:val="00381675"/>
    <w:rsid w:val="003823D7"/>
    <w:rsid w:val="00382E73"/>
    <w:rsid w:val="003830DA"/>
    <w:rsid w:val="003830F2"/>
    <w:rsid w:val="003835E8"/>
    <w:rsid w:val="00384C24"/>
    <w:rsid w:val="00384F7E"/>
    <w:rsid w:val="00385A48"/>
    <w:rsid w:val="00392F01"/>
    <w:rsid w:val="00393EC2"/>
    <w:rsid w:val="00395212"/>
    <w:rsid w:val="003975C7"/>
    <w:rsid w:val="003A1014"/>
    <w:rsid w:val="003A6509"/>
    <w:rsid w:val="003A6F18"/>
    <w:rsid w:val="003B06FE"/>
    <w:rsid w:val="003B0B97"/>
    <w:rsid w:val="003B0F1F"/>
    <w:rsid w:val="003B2885"/>
    <w:rsid w:val="003B3AE1"/>
    <w:rsid w:val="003B5693"/>
    <w:rsid w:val="003B70E6"/>
    <w:rsid w:val="003C1F16"/>
    <w:rsid w:val="003C2C30"/>
    <w:rsid w:val="003C5596"/>
    <w:rsid w:val="003C575A"/>
    <w:rsid w:val="003C5994"/>
    <w:rsid w:val="003C5B15"/>
    <w:rsid w:val="003C6D4D"/>
    <w:rsid w:val="003D0A7C"/>
    <w:rsid w:val="003D0BB4"/>
    <w:rsid w:val="003D190B"/>
    <w:rsid w:val="003D1EE7"/>
    <w:rsid w:val="003D3E20"/>
    <w:rsid w:val="003E0933"/>
    <w:rsid w:val="003E1543"/>
    <w:rsid w:val="003E2365"/>
    <w:rsid w:val="003E2A4F"/>
    <w:rsid w:val="003E3313"/>
    <w:rsid w:val="003E4DD4"/>
    <w:rsid w:val="003F1556"/>
    <w:rsid w:val="003F6368"/>
    <w:rsid w:val="003F74B0"/>
    <w:rsid w:val="00404B50"/>
    <w:rsid w:val="004059F7"/>
    <w:rsid w:val="00406799"/>
    <w:rsid w:val="004069D5"/>
    <w:rsid w:val="00407923"/>
    <w:rsid w:val="0041031B"/>
    <w:rsid w:val="00411116"/>
    <w:rsid w:val="004125FE"/>
    <w:rsid w:val="00412EE4"/>
    <w:rsid w:val="00413C0E"/>
    <w:rsid w:val="00415EF4"/>
    <w:rsid w:val="0042124B"/>
    <w:rsid w:val="00421903"/>
    <w:rsid w:val="00421CD0"/>
    <w:rsid w:val="004220A4"/>
    <w:rsid w:val="00423D4D"/>
    <w:rsid w:val="00423DFC"/>
    <w:rsid w:val="00426B3F"/>
    <w:rsid w:val="00431814"/>
    <w:rsid w:val="00432E64"/>
    <w:rsid w:val="00434A36"/>
    <w:rsid w:val="00434E31"/>
    <w:rsid w:val="0043571F"/>
    <w:rsid w:val="00436474"/>
    <w:rsid w:val="0044355E"/>
    <w:rsid w:val="00447531"/>
    <w:rsid w:val="004519C5"/>
    <w:rsid w:val="004522C5"/>
    <w:rsid w:val="00455CDC"/>
    <w:rsid w:val="00455FC1"/>
    <w:rsid w:val="0045658A"/>
    <w:rsid w:val="004617B2"/>
    <w:rsid w:val="0046537F"/>
    <w:rsid w:val="00465BE3"/>
    <w:rsid w:val="00465F58"/>
    <w:rsid w:val="00466102"/>
    <w:rsid w:val="004712D1"/>
    <w:rsid w:val="00471707"/>
    <w:rsid w:val="004720E2"/>
    <w:rsid w:val="0047231B"/>
    <w:rsid w:val="00472D37"/>
    <w:rsid w:val="0047365D"/>
    <w:rsid w:val="0047368C"/>
    <w:rsid w:val="00473C50"/>
    <w:rsid w:val="00485E6B"/>
    <w:rsid w:val="0048752E"/>
    <w:rsid w:val="00487863"/>
    <w:rsid w:val="004934D7"/>
    <w:rsid w:val="00494890"/>
    <w:rsid w:val="0049585C"/>
    <w:rsid w:val="00495950"/>
    <w:rsid w:val="00495F60"/>
    <w:rsid w:val="004A0325"/>
    <w:rsid w:val="004A0B5A"/>
    <w:rsid w:val="004A0E39"/>
    <w:rsid w:val="004A2462"/>
    <w:rsid w:val="004A3E21"/>
    <w:rsid w:val="004A4832"/>
    <w:rsid w:val="004A52F5"/>
    <w:rsid w:val="004B2BAB"/>
    <w:rsid w:val="004B2BE1"/>
    <w:rsid w:val="004B52AD"/>
    <w:rsid w:val="004B5BCF"/>
    <w:rsid w:val="004B754F"/>
    <w:rsid w:val="004B7C72"/>
    <w:rsid w:val="004C2F79"/>
    <w:rsid w:val="004C3053"/>
    <w:rsid w:val="004C3AEA"/>
    <w:rsid w:val="004C47F0"/>
    <w:rsid w:val="004C4946"/>
    <w:rsid w:val="004C77FC"/>
    <w:rsid w:val="004D04E5"/>
    <w:rsid w:val="004D09DE"/>
    <w:rsid w:val="004D0A1F"/>
    <w:rsid w:val="004D4AEE"/>
    <w:rsid w:val="004E30B0"/>
    <w:rsid w:val="004E4CF4"/>
    <w:rsid w:val="004E6781"/>
    <w:rsid w:val="004F0B74"/>
    <w:rsid w:val="004F2311"/>
    <w:rsid w:val="004F2667"/>
    <w:rsid w:val="004F2C15"/>
    <w:rsid w:val="004F424F"/>
    <w:rsid w:val="00501C7F"/>
    <w:rsid w:val="00502411"/>
    <w:rsid w:val="00506FBB"/>
    <w:rsid w:val="005100F0"/>
    <w:rsid w:val="00510530"/>
    <w:rsid w:val="00510FCF"/>
    <w:rsid w:val="00511160"/>
    <w:rsid w:val="0051299F"/>
    <w:rsid w:val="00512B4C"/>
    <w:rsid w:val="00513FFD"/>
    <w:rsid w:val="00514C64"/>
    <w:rsid w:val="00515623"/>
    <w:rsid w:val="00517881"/>
    <w:rsid w:val="00521963"/>
    <w:rsid w:val="00523EE9"/>
    <w:rsid w:val="00524797"/>
    <w:rsid w:val="00525438"/>
    <w:rsid w:val="00525BE5"/>
    <w:rsid w:val="005267DB"/>
    <w:rsid w:val="00527DC9"/>
    <w:rsid w:val="00530265"/>
    <w:rsid w:val="00530BE4"/>
    <w:rsid w:val="00530DF5"/>
    <w:rsid w:val="00532D77"/>
    <w:rsid w:val="005356B9"/>
    <w:rsid w:val="00541188"/>
    <w:rsid w:val="0054534C"/>
    <w:rsid w:val="00545F99"/>
    <w:rsid w:val="005461D6"/>
    <w:rsid w:val="00552783"/>
    <w:rsid w:val="00552EB9"/>
    <w:rsid w:val="005541F7"/>
    <w:rsid w:val="005542CA"/>
    <w:rsid w:val="0055571C"/>
    <w:rsid w:val="00557210"/>
    <w:rsid w:val="00560593"/>
    <w:rsid w:val="0056098C"/>
    <w:rsid w:val="0056116A"/>
    <w:rsid w:val="00563647"/>
    <w:rsid w:val="00567799"/>
    <w:rsid w:val="005707C1"/>
    <w:rsid w:val="005719C4"/>
    <w:rsid w:val="00572041"/>
    <w:rsid w:val="005720D0"/>
    <w:rsid w:val="00574564"/>
    <w:rsid w:val="0057544D"/>
    <w:rsid w:val="005770EF"/>
    <w:rsid w:val="00577557"/>
    <w:rsid w:val="0058010A"/>
    <w:rsid w:val="00582EAE"/>
    <w:rsid w:val="0058551A"/>
    <w:rsid w:val="0058565A"/>
    <w:rsid w:val="00591029"/>
    <w:rsid w:val="005921B2"/>
    <w:rsid w:val="00592DBD"/>
    <w:rsid w:val="00593F31"/>
    <w:rsid w:val="00595253"/>
    <w:rsid w:val="005954F4"/>
    <w:rsid w:val="00595D1F"/>
    <w:rsid w:val="00597839"/>
    <w:rsid w:val="005A33F4"/>
    <w:rsid w:val="005A407C"/>
    <w:rsid w:val="005A424C"/>
    <w:rsid w:val="005A51B1"/>
    <w:rsid w:val="005B05FE"/>
    <w:rsid w:val="005B1A2C"/>
    <w:rsid w:val="005B1CE0"/>
    <w:rsid w:val="005B3258"/>
    <w:rsid w:val="005B41B6"/>
    <w:rsid w:val="005C012E"/>
    <w:rsid w:val="005C0AE9"/>
    <w:rsid w:val="005C0E0B"/>
    <w:rsid w:val="005C155F"/>
    <w:rsid w:val="005C22CE"/>
    <w:rsid w:val="005C3023"/>
    <w:rsid w:val="005C35EC"/>
    <w:rsid w:val="005C3C46"/>
    <w:rsid w:val="005C55A0"/>
    <w:rsid w:val="005C5F8B"/>
    <w:rsid w:val="005C61FC"/>
    <w:rsid w:val="005C6912"/>
    <w:rsid w:val="005C6A1D"/>
    <w:rsid w:val="005C6F7C"/>
    <w:rsid w:val="005C74B2"/>
    <w:rsid w:val="005C7A8E"/>
    <w:rsid w:val="005C7F1E"/>
    <w:rsid w:val="005D1098"/>
    <w:rsid w:val="005D215A"/>
    <w:rsid w:val="005D352C"/>
    <w:rsid w:val="005D7079"/>
    <w:rsid w:val="005D7C8C"/>
    <w:rsid w:val="005D7F9E"/>
    <w:rsid w:val="005E0301"/>
    <w:rsid w:val="005E10D3"/>
    <w:rsid w:val="005E1EB2"/>
    <w:rsid w:val="005E2EDE"/>
    <w:rsid w:val="005E47FB"/>
    <w:rsid w:val="005E76A6"/>
    <w:rsid w:val="005F1C2D"/>
    <w:rsid w:val="005F2D2D"/>
    <w:rsid w:val="005F6A74"/>
    <w:rsid w:val="005F7CF5"/>
    <w:rsid w:val="00600013"/>
    <w:rsid w:val="00601EE0"/>
    <w:rsid w:val="0060366C"/>
    <w:rsid w:val="00605289"/>
    <w:rsid w:val="006105EF"/>
    <w:rsid w:val="0061479E"/>
    <w:rsid w:val="00614DA9"/>
    <w:rsid w:val="0061524E"/>
    <w:rsid w:val="006163EC"/>
    <w:rsid w:val="00620942"/>
    <w:rsid w:val="0062277B"/>
    <w:rsid w:val="00622C85"/>
    <w:rsid w:val="00622F0F"/>
    <w:rsid w:val="0062545A"/>
    <w:rsid w:val="0062636B"/>
    <w:rsid w:val="00627130"/>
    <w:rsid w:val="006271B1"/>
    <w:rsid w:val="00627282"/>
    <w:rsid w:val="006276AA"/>
    <w:rsid w:val="00630B8A"/>
    <w:rsid w:val="00631C62"/>
    <w:rsid w:val="00632BD2"/>
    <w:rsid w:val="00634161"/>
    <w:rsid w:val="0063592F"/>
    <w:rsid w:val="00635D1D"/>
    <w:rsid w:val="00636108"/>
    <w:rsid w:val="006373B2"/>
    <w:rsid w:val="00637838"/>
    <w:rsid w:val="006413AF"/>
    <w:rsid w:val="00641D49"/>
    <w:rsid w:val="00641DB4"/>
    <w:rsid w:val="006430AE"/>
    <w:rsid w:val="0064379B"/>
    <w:rsid w:val="0064511D"/>
    <w:rsid w:val="00646143"/>
    <w:rsid w:val="006465BE"/>
    <w:rsid w:val="0064665F"/>
    <w:rsid w:val="0065146C"/>
    <w:rsid w:val="0065398C"/>
    <w:rsid w:val="0065596B"/>
    <w:rsid w:val="0065673C"/>
    <w:rsid w:val="00657393"/>
    <w:rsid w:val="0066165A"/>
    <w:rsid w:val="0066416C"/>
    <w:rsid w:val="00667237"/>
    <w:rsid w:val="00671332"/>
    <w:rsid w:val="0067205B"/>
    <w:rsid w:val="00672D9F"/>
    <w:rsid w:val="006806B4"/>
    <w:rsid w:val="00681296"/>
    <w:rsid w:val="006828EA"/>
    <w:rsid w:val="00682B7E"/>
    <w:rsid w:val="00683155"/>
    <w:rsid w:val="00684FB0"/>
    <w:rsid w:val="00691609"/>
    <w:rsid w:val="006924BF"/>
    <w:rsid w:val="0069274A"/>
    <w:rsid w:val="006A145F"/>
    <w:rsid w:val="006A21FA"/>
    <w:rsid w:val="006A25FF"/>
    <w:rsid w:val="006A4730"/>
    <w:rsid w:val="006A4CE7"/>
    <w:rsid w:val="006A5E60"/>
    <w:rsid w:val="006A6517"/>
    <w:rsid w:val="006A6B75"/>
    <w:rsid w:val="006A6D38"/>
    <w:rsid w:val="006B1A5C"/>
    <w:rsid w:val="006B2140"/>
    <w:rsid w:val="006B2304"/>
    <w:rsid w:val="006B29E1"/>
    <w:rsid w:val="006B3102"/>
    <w:rsid w:val="006B3DC5"/>
    <w:rsid w:val="006B5FD3"/>
    <w:rsid w:val="006B6178"/>
    <w:rsid w:val="006B6F3A"/>
    <w:rsid w:val="006B73F4"/>
    <w:rsid w:val="006C00D2"/>
    <w:rsid w:val="006C1BFB"/>
    <w:rsid w:val="006C1CC5"/>
    <w:rsid w:val="006C1FA8"/>
    <w:rsid w:val="006C2709"/>
    <w:rsid w:val="006C2767"/>
    <w:rsid w:val="006C38D3"/>
    <w:rsid w:val="006C3E33"/>
    <w:rsid w:val="006C3EE4"/>
    <w:rsid w:val="006C51FC"/>
    <w:rsid w:val="006C64E2"/>
    <w:rsid w:val="006C6B72"/>
    <w:rsid w:val="006C7024"/>
    <w:rsid w:val="006C71AA"/>
    <w:rsid w:val="006C7F99"/>
    <w:rsid w:val="006D1DD9"/>
    <w:rsid w:val="006D4013"/>
    <w:rsid w:val="006D4CCE"/>
    <w:rsid w:val="006E0ADA"/>
    <w:rsid w:val="006E0EC6"/>
    <w:rsid w:val="006E158E"/>
    <w:rsid w:val="006E2207"/>
    <w:rsid w:val="006E2353"/>
    <w:rsid w:val="006E2CD5"/>
    <w:rsid w:val="006E2EA9"/>
    <w:rsid w:val="006E2FAF"/>
    <w:rsid w:val="006E3215"/>
    <w:rsid w:val="006E4F44"/>
    <w:rsid w:val="006E525E"/>
    <w:rsid w:val="006E672E"/>
    <w:rsid w:val="006E7C21"/>
    <w:rsid w:val="006E7C7F"/>
    <w:rsid w:val="006F0109"/>
    <w:rsid w:val="006F0B42"/>
    <w:rsid w:val="006F0E4A"/>
    <w:rsid w:val="006F1E3A"/>
    <w:rsid w:val="006F214E"/>
    <w:rsid w:val="007019ED"/>
    <w:rsid w:val="00701F52"/>
    <w:rsid w:val="007049B8"/>
    <w:rsid w:val="007054EC"/>
    <w:rsid w:val="00706542"/>
    <w:rsid w:val="007104E8"/>
    <w:rsid w:val="0071125A"/>
    <w:rsid w:val="00711B47"/>
    <w:rsid w:val="00711D3B"/>
    <w:rsid w:val="00711DAD"/>
    <w:rsid w:val="00712D72"/>
    <w:rsid w:val="00713BA4"/>
    <w:rsid w:val="007151DA"/>
    <w:rsid w:val="007204ED"/>
    <w:rsid w:val="00720C44"/>
    <w:rsid w:val="007303D3"/>
    <w:rsid w:val="00730649"/>
    <w:rsid w:val="00732961"/>
    <w:rsid w:val="00733E14"/>
    <w:rsid w:val="00733E72"/>
    <w:rsid w:val="00734FFB"/>
    <w:rsid w:val="007368A8"/>
    <w:rsid w:val="00737899"/>
    <w:rsid w:val="00737978"/>
    <w:rsid w:val="007406E9"/>
    <w:rsid w:val="007408F7"/>
    <w:rsid w:val="00741071"/>
    <w:rsid w:val="00741A20"/>
    <w:rsid w:val="00741B5A"/>
    <w:rsid w:val="00742BD1"/>
    <w:rsid w:val="00742DC2"/>
    <w:rsid w:val="00742FBD"/>
    <w:rsid w:val="007450B8"/>
    <w:rsid w:val="00745C25"/>
    <w:rsid w:val="00745C9A"/>
    <w:rsid w:val="00745FC6"/>
    <w:rsid w:val="00746790"/>
    <w:rsid w:val="007477CD"/>
    <w:rsid w:val="0075057A"/>
    <w:rsid w:val="0075064D"/>
    <w:rsid w:val="00750C8D"/>
    <w:rsid w:val="00751CCE"/>
    <w:rsid w:val="00752041"/>
    <w:rsid w:val="00752463"/>
    <w:rsid w:val="0075273A"/>
    <w:rsid w:val="00752E7F"/>
    <w:rsid w:val="00753F83"/>
    <w:rsid w:val="00754282"/>
    <w:rsid w:val="00755DAC"/>
    <w:rsid w:val="00756CB8"/>
    <w:rsid w:val="00757807"/>
    <w:rsid w:val="0076043F"/>
    <w:rsid w:val="00761DC4"/>
    <w:rsid w:val="00762ADF"/>
    <w:rsid w:val="0076421A"/>
    <w:rsid w:val="00764E1E"/>
    <w:rsid w:val="00766BF0"/>
    <w:rsid w:val="007679E8"/>
    <w:rsid w:val="00770253"/>
    <w:rsid w:val="007715B6"/>
    <w:rsid w:val="00772E13"/>
    <w:rsid w:val="00772FF0"/>
    <w:rsid w:val="00773A14"/>
    <w:rsid w:val="00774107"/>
    <w:rsid w:val="00774D87"/>
    <w:rsid w:val="0077675B"/>
    <w:rsid w:val="007804D2"/>
    <w:rsid w:val="00780792"/>
    <w:rsid w:val="00782069"/>
    <w:rsid w:val="007822DE"/>
    <w:rsid w:val="00783D52"/>
    <w:rsid w:val="00784231"/>
    <w:rsid w:val="00786CFE"/>
    <w:rsid w:val="007969EE"/>
    <w:rsid w:val="0079730F"/>
    <w:rsid w:val="007978E0"/>
    <w:rsid w:val="007A0B86"/>
    <w:rsid w:val="007A448B"/>
    <w:rsid w:val="007A45F6"/>
    <w:rsid w:val="007A4E01"/>
    <w:rsid w:val="007A6400"/>
    <w:rsid w:val="007A6EAD"/>
    <w:rsid w:val="007A7BA4"/>
    <w:rsid w:val="007B0AEF"/>
    <w:rsid w:val="007B58E8"/>
    <w:rsid w:val="007B714D"/>
    <w:rsid w:val="007C039E"/>
    <w:rsid w:val="007C0A2E"/>
    <w:rsid w:val="007C3194"/>
    <w:rsid w:val="007C7C47"/>
    <w:rsid w:val="007D04F0"/>
    <w:rsid w:val="007D15CA"/>
    <w:rsid w:val="007D1CD6"/>
    <w:rsid w:val="007D23B2"/>
    <w:rsid w:val="007D4484"/>
    <w:rsid w:val="007D4706"/>
    <w:rsid w:val="007D59B9"/>
    <w:rsid w:val="007D5C32"/>
    <w:rsid w:val="007D62C5"/>
    <w:rsid w:val="007D6E03"/>
    <w:rsid w:val="007D7947"/>
    <w:rsid w:val="007D7DAC"/>
    <w:rsid w:val="007E02D2"/>
    <w:rsid w:val="007E105D"/>
    <w:rsid w:val="007E3866"/>
    <w:rsid w:val="007E7656"/>
    <w:rsid w:val="007F12F7"/>
    <w:rsid w:val="007F2FFD"/>
    <w:rsid w:val="007F349C"/>
    <w:rsid w:val="007F58ED"/>
    <w:rsid w:val="007F6998"/>
    <w:rsid w:val="007F6CDB"/>
    <w:rsid w:val="008002E1"/>
    <w:rsid w:val="00801265"/>
    <w:rsid w:val="00801D02"/>
    <w:rsid w:val="00801E03"/>
    <w:rsid w:val="008035D7"/>
    <w:rsid w:val="00803A6A"/>
    <w:rsid w:val="00806031"/>
    <w:rsid w:val="00807BA8"/>
    <w:rsid w:val="008141B0"/>
    <w:rsid w:val="00814319"/>
    <w:rsid w:val="00815F6F"/>
    <w:rsid w:val="0081799D"/>
    <w:rsid w:val="00820749"/>
    <w:rsid w:val="00820F15"/>
    <w:rsid w:val="00821DCE"/>
    <w:rsid w:val="008220F9"/>
    <w:rsid w:val="008222CB"/>
    <w:rsid w:val="00823F86"/>
    <w:rsid w:val="00824C4A"/>
    <w:rsid w:val="00824FB8"/>
    <w:rsid w:val="00826AD8"/>
    <w:rsid w:val="00826D3A"/>
    <w:rsid w:val="0083181E"/>
    <w:rsid w:val="00831C6D"/>
    <w:rsid w:val="008340A4"/>
    <w:rsid w:val="0083438A"/>
    <w:rsid w:val="0083468C"/>
    <w:rsid w:val="008362C4"/>
    <w:rsid w:val="00836A0F"/>
    <w:rsid w:val="00837A23"/>
    <w:rsid w:val="00840CDD"/>
    <w:rsid w:val="008412DD"/>
    <w:rsid w:val="00842B93"/>
    <w:rsid w:val="00845A6E"/>
    <w:rsid w:val="008462D0"/>
    <w:rsid w:val="00846BC3"/>
    <w:rsid w:val="00847448"/>
    <w:rsid w:val="008537DD"/>
    <w:rsid w:val="008553B5"/>
    <w:rsid w:val="00855797"/>
    <w:rsid w:val="008574FE"/>
    <w:rsid w:val="0085755D"/>
    <w:rsid w:val="00860177"/>
    <w:rsid w:val="00861550"/>
    <w:rsid w:val="00861816"/>
    <w:rsid w:val="00864164"/>
    <w:rsid w:val="00866F8A"/>
    <w:rsid w:val="00870ACC"/>
    <w:rsid w:val="00871EBE"/>
    <w:rsid w:val="0087531C"/>
    <w:rsid w:val="00876B17"/>
    <w:rsid w:val="00877423"/>
    <w:rsid w:val="00880FF3"/>
    <w:rsid w:val="00881920"/>
    <w:rsid w:val="00884629"/>
    <w:rsid w:val="008909EA"/>
    <w:rsid w:val="00891AF7"/>
    <w:rsid w:val="00892896"/>
    <w:rsid w:val="00892BE2"/>
    <w:rsid w:val="00894B73"/>
    <w:rsid w:val="008964A8"/>
    <w:rsid w:val="00896C6F"/>
    <w:rsid w:val="00897319"/>
    <w:rsid w:val="008A16CA"/>
    <w:rsid w:val="008A1F99"/>
    <w:rsid w:val="008A2AD4"/>
    <w:rsid w:val="008A32EF"/>
    <w:rsid w:val="008A34C5"/>
    <w:rsid w:val="008A7328"/>
    <w:rsid w:val="008A7E78"/>
    <w:rsid w:val="008B01B5"/>
    <w:rsid w:val="008B0C0D"/>
    <w:rsid w:val="008B3545"/>
    <w:rsid w:val="008B3949"/>
    <w:rsid w:val="008B4F6A"/>
    <w:rsid w:val="008B76C2"/>
    <w:rsid w:val="008C06CF"/>
    <w:rsid w:val="008C0A89"/>
    <w:rsid w:val="008C1140"/>
    <w:rsid w:val="008C1C0B"/>
    <w:rsid w:val="008C26F2"/>
    <w:rsid w:val="008C6B08"/>
    <w:rsid w:val="008C7A86"/>
    <w:rsid w:val="008D02B8"/>
    <w:rsid w:val="008D0635"/>
    <w:rsid w:val="008D0B8B"/>
    <w:rsid w:val="008D1229"/>
    <w:rsid w:val="008D4531"/>
    <w:rsid w:val="008D4BC6"/>
    <w:rsid w:val="008D5C34"/>
    <w:rsid w:val="008D5DD3"/>
    <w:rsid w:val="008D730A"/>
    <w:rsid w:val="008E1AAB"/>
    <w:rsid w:val="008E342F"/>
    <w:rsid w:val="008E46CB"/>
    <w:rsid w:val="008E5CD8"/>
    <w:rsid w:val="008E68B0"/>
    <w:rsid w:val="008E7D5B"/>
    <w:rsid w:val="008F1459"/>
    <w:rsid w:val="008F2836"/>
    <w:rsid w:val="008F4D86"/>
    <w:rsid w:val="008F4EAB"/>
    <w:rsid w:val="008F5019"/>
    <w:rsid w:val="008F5A62"/>
    <w:rsid w:val="008F6B40"/>
    <w:rsid w:val="008F759C"/>
    <w:rsid w:val="008F7D72"/>
    <w:rsid w:val="00902386"/>
    <w:rsid w:val="0090266F"/>
    <w:rsid w:val="00903139"/>
    <w:rsid w:val="00904916"/>
    <w:rsid w:val="0091032B"/>
    <w:rsid w:val="00911F80"/>
    <w:rsid w:val="0091328F"/>
    <w:rsid w:val="00915160"/>
    <w:rsid w:val="009164CC"/>
    <w:rsid w:val="00917EC1"/>
    <w:rsid w:val="00922297"/>
    <w:rsid w:val="0092345A"/>
    <w:rsid w:val="00924429"/>
    <w:rsid w:val="00925F35"/>
    <w:rsid w:val="009265BA"/>
    <w:rsid w:val="00926B42"/>
    <w:rsid w:val="0093079C"/>
    <w:rsid w:val="0093083E"/>
    <w:rsid w:val="009339B8"/>
    <w:rsid w:val="00934FE0"/>
    <w:rsid w:val="00936793"/>
    <w:rsid w:val="00942AC8"/>
    <w:rsid w:val="0094372B"/>
    <w:rsid w:val="009448E4"/>
    <w:rsid w:val="00946E15"/>
    <w:rsid w:val="00947388"/>
    <w:rsid w:val="009475E9"/>
    <w:rsid w:val="00950A69"/>
    <w:rsid w:val="00951629"/>
    <w:rsid w:val="009525B1"/>
    <w:rsid w:val="00953ACF"/>
    <w:rsid w:val="00955E2F"/>
    <w:rsid w:val="00955FD0"/>
    <w:rsid w:val="00963BD7"/>
    <w:rsid w:val="009653B8"/>
    <w:rsid w:val="00973058"/>
    <w:rsid w:val="00973A77"/>
    <w:rsid w:val="00976298"/>
    <w:rsid w:val="009765D9"/>
    <w:rsid w:val="00980C06"/>
    <w:rsid w:val="00985686"/>
    <w:rsid w:val="00985692"/>
    <w:rsid w:val="00985DB9"/>
    <w:rsid w:val="009905F6"/>
    <w:rsid w:val="00990799"/>
    <w:rsid w:val="00990B9B"/>
    <w:rsid w:val="00991484"/>
    <w:rsid w:val="0099295F"/>
    <w:rsid w:val="00993F58"/>
    <w:rsid w:val="00994178"/>
    <w:rsid w:val="00994AF9"/>
    <w:rsid w:val="00995081"/>
    <w:rsid w:val="00996DF2"/>
    <w:rsid w:val="00997C40"/>
    <w:rsid w:val="009A0E26"/>
    <w:rsid w:val="009A13EA"/>
    <w:rsid w:val="009A3292"/>
    <w:rsid w:val="009A5226"/>
    <w:rsid w:val="009B532C"/>
    <w:rsid w:val="009B538B"/>
    <w:rsid w:val="009B5B1C"/>
    <w:rsid w:val="009B733E"/>
    <w:rsid w:val="009B76B9"/>
    <w:rsid w:val="009B7821"/>
    <w:rsid w:val="009C033B"/>
    <w:rsid w:val="009C387D"/>
    <w:rsid w:val="009C3A3B"/>
    <w:rsid w:val="009C4974"/>
    <w:rsid w:val="009C4B50"/>
    <w:rsid w:val="009C6EF9"/>
    <w:rsid w:val="009D55A4"/>
    <w:rsid w:val="009E0792"/>
    <w:rsid w:val="009E0C3E"/>
    <w:rsid w:val="009E0E5D"/>
    <w:rsid w:val="009E2230"/>
    <w:rsid w:val="009E25ED"/>
    <w:rsid w:val="009E35C9"/>
    <w:rsid w:val="009E3C10"/>
    <w:rsid w:val="009E4780"/>
    <w:rsid w:val="009F17B8"/>
    <w:rsid w:val="009F476A"/>
    <w:rsid w:val="009F4BA0"/>
    <w:rsid w:val="009F5BA6"/>
    <w:rsid w:val="00A00A0F"/>
    <w:rsid w:val="00A020E6"/>
    <w:rsid w:val="00A037CF"/>
    <w:rsid w:val="00A07E79"/>
    <w:rsid w:val="00A11ED1"/>
    <w:rsid w:val="00A136EA"/>
    <w:rsid w:val="00A1537F"/>
    <w:rsid w:val="00A17A9D"/>
    <w:rsid w:val="00A205B2"/>
    <w:rsid w:val="00A22E1F"/>
    <w:rsid w:val="00A22E85"/>
    <w:rsid w:val="00A25142"/>
    <w:rsid w:val="00A27304"/>
    <w:rsid w:val="00A30314"/>
    <w:rsid w:val="00A31413"/>
    <w:rsid w:val="00A31C38"/>
    <w:rsid w:val="00A37182"/>
    <w:rsid w:val="00A43A39"/>
    <w:rsid w:val="00A43B27"/>
    <w:rsid w:val="00A45487"/>
    <w:rsid w:val="00A47299"/>
    <w:rsid w:val="00A47D52"/>
    <w:rsid w:val="00A50730"/>
    <w:rsid w:val="00A56B91"/>
    <w:rsid w:val="00A56C5B"/>
    <w:rsid w:val="00A57F81"/>
    <w:rsid w:val="00A60E51"/>
    <w:rsid w:val="00A6102E"/>
    <w:rsid w:val="00A6119D"/>
    <w:rsid w:val="00A620E1"/>
    <w:rsid w:val="00A62ED0"/>
    <w:rsid w:val="00A63BED"/>
    <w:rsid w:val="00A70566"/>
    <w:rsid w:val="00A73D11"/>
    <w:rsid w:val="00A740A9"/>
    <w:rsid w:val="00A754AF"/>
    <w:rsid w:val="00A769E0"/>
    <w:rsid w:val="00A80596"/>
    <w:rsid w:val="00A8076A"/>
    <w:rsid w:val="00A81B4E"/>
    <w:rsid w:val="00A83782"/>
    <w:rsid w:val="00A90790"/>
    <w:rsid w:val="00A9096B"/>
    <w:rsid w:val="00A912CA"/>
    <w:rsid w:val="00A9480A"/>
    <w:rsid w:val="00A97A50"/>
    <w:rsid w:val="00AA1760"/>
    <w:rsid w:val="00AA211A"/>
    <w:rsid w:val="00AA3483"/>
    <w:rsid w:val="00AA3707"/>
    <w:rsid w:val="00AA3771"/>
    <w:rsid w:val="00AA3828"/>
    <w:rsid w:val="00AA3EE1"/>
    <w:rsid w:val="00AA41CA"/>
    <w:rsid w:val="00AA4EF0"/>
    <w:rsid w:val="00AA6095"/>
    <w:rsid w:val="00AA7129"/>
    <w:rsid w:val="00AA74E0"/>
    <w:rsid w:val="00AB267E"/>
    <w:rsid w:val="00AB5B53"/>
    <w:rsid w:val="00AB6823"/>
    <w:rsid w:val="00AB6982"/>
    <w:rsid w:val="00AB70ED"/>
    <w:rsid w:val="00AB7FEF"/>
    <w:rsid w:val="00AC0B02"/>
    <w:rsid w:val="00AC1097"/>
    <w:rsid w:val="00AC1145"/>
    <w:rsid w:val="00AC27E6"/>
    <w:rsid w:val="00AC69E5"/>
    <w:rsid w:val="00AD02F1"/>
    <w:rsid w:val="00AD0E58"/>
    <w:rsid w:val="00AD17A8"/>
    <w:rsid w:val="00AD35DB"/>
    <w:rsid w:val="00AD4DFA"/>
    <w:rsid w:val="00AE08B9"/>
    <w:rsid w:val="00AE2396"/>
    <w:rsid w:val="00AE32C7"/>
    <w:rsid w:val="00AE4072"/>
    <w:rsid w:val="00AE451F"/>
    <w:rsid w:val="00AE55B9"/>
    <w:rsid w:val="00AE6F6D"/>
    <w:rsid w:val="00AF3819"/>
    <w:rsid w:val="00AF4DBD"/>
    <w:rsid w:val="00AF4EEE"/>
    <w:rsid w:val="00AF6304"/>
    <w:rsid w:val="00B01F99"/>
    <w:rsid w:val="00B048E0"/>
    <w:rsid w:val="00B066E3"/>
    <w:rsid w:val="00B070EA"/>
    <w:rsid w:val="00B073D4"/>
    <w:rsid w:val="00B076B7"/>
    <w:rsid w:val="00B1105E"/>
    <w:rsid w:val="00B123F4"/>
    <w:rsid w:val="00B126A6"/>
    <w:rsid w:val="00B1550B"/>
    <w:rsid w:val="00B162A8"/>
    <w:rsid w:val="00B16BBF"/>
    <w:rsid w:val="00B17B48"/>
    <w:rsid w:val="00B20814"/>
    <w:rsid w:val="00B209C0"/>
    <w:rsid w:val="00B213BD"/>
    <w:rsid w:val="00B22677"/>
    <w:rsid w:val="00B24319"/>
    <w:rsid w:val="00B25AC9"/>
    <w:rsid w:val="00B25AE0"/>
    <w:rsid w:val="00B31A67"/>
    <w:rsid w:val="00B34051"/>
    <w:rsid w:val="00B3530E"/>
    <w:rsid w:val="00B35618"/>
    <w:rsid w:val="00B35E8C"/>
    <w:rsid w:val="00B35F12"/>
    <w:rsid w:val="00B36A3D"/>
    <w:rsid w:val="00B40B23"/>
    <w:rsid w:val="00B42265"/>
    <w:rsid w:val="00B42B49"/>
    <w:rsid w:val="00B4340D"/>
    <w:rsid w:val="00B44A1A"/>
    <w:rsid w:val="00B579B9"/>
    <w:rsid w:val="00B57AD9"/>
    <w:rsid w:val="00B57EBD"/>
    <w:rsid w:val="00B62562"/>
    <w:rsid w:val="00B63269"/>
    <w:rsid w:val="00B63ADE"/>
    <w:rsid w:val="00B649B2"/>
    <w:rsid w:val="00B6590C"/>
    <w:rsid w:val="00B65D82"/>
    <w:rsid w:val="00B67EFD"/>
    <w:rsid w:val="00B700EC"/>
    <w:rsid w:val="00B702FE"/>
    <w:rsid w:val="00B713B9"/>
    <w:rsid w:val="00B7166E"/>
    <w:rsid w:val="00B71730"/>
    <w:rsid w:val="00B71ACE"/>
    <w:rsid w:val="00B72114"/>
    <w:rsid w:val="00B7258A"/>
    <w:rsid w:val="00B72A91"/>
    <w:rsid w:val="00B72C21"/>
    <w:rsid w:val="00B7316C"/>
    <w:rsid w:val="00B736DB"/>
    <w:rsid w:val="00B74E8A"/>
    <w:rsid w:val="00B75828"/>
    <w:rsid w:val="00B762B1"/>
    <w:rsid w:val="00B80326"/>
    <w:rsid w:val="00B80A80"/>
    <w:rsid w:val="00B80B4C"/>
    <w:rsid w:val="00B80C1B"/>
    <w:rsid w:val="00B80E07"/>
    <w:rsid w:val="00B81449"/>
    <w:rsid w:val="00B82589"/>
    <w:rsid w:val="00B83530"/>
    <w:rsid w:val="00B83770"/>
    <w:rsid w:val="00B83E14"/>
    <w:rsid w:val="00B83FF7"/>
    <w:rsid w:val="00B856D6"/>
    <w:rsid w:val="00B904B1"/>
    <w:rsid w:val="00B90B21"/>
    <w:rsid w:val="00B91E34"/>
    <w:rsid w:val="00B92069"/>
    <w:rsid w:val="00B93DD2"/>
    <w:rsid w:val="00B95B50"/>
    <w:rsid w:val="00BA0948"/>
    <w:rsid w:val="00BA22B4"/>
    <w:rsid w:val="00BA3990"/>
    <w:rsid w:val="00BA4319"/>
    <w:rsid w:val="00BA4722"/>
    <w:rsid w:val="00BA543C"/>
    <w:rsid w:val="00BB0FDD"/>
    <w:rsid w:val="00BB254B"/>
    <w:rsid w:val="00BB2E37"/>
    <w:rsid w:val="00BB3A06"/>
    <w:rsid w:val="00BB494D"/>
    <w:rsid w:val="00BB59D2"/>
    <w:rsid w:val="00BB5AD6"/>
    <w:rsid w:val="00BB687B"/>
    <w:rsid w:val="00BB79B1"/>
    <w:rsid w:val="00BC3481"/>
    <w:rsid w:val="00BC3715"/>
    <w:rsid w:val="00BC4561"/>
    <w:rsid w:val="00BC7EF8"/>
    <w:rsid w:val="00BD28B5"/>
    <w:rsid w:val="00BD77C2"/>
    <w:rsid w:val="00BE2799"/>
    <w:rsid w:val="00BE2E8D"/>
    <w:rsid w:val="00BE429F"/>
    <w:rsid w:val="00BE5C2D"/>
    <w:rsid w:val="00BF1B6F"/>
    <w:rsid w:val="00BF7B48"/>
    <w:rsid w:val="00C0033B"/>
    <w:rsid w:val="00C00930"/>
    <w:rsid w:val="00C07D73"/>
    <w:rsid w:val="00C100B0"/>
    <w:rsid w:val="00C13873"/>
    <w:rsid w:val="00C14571"/>
    <w:rsid w:val="00C213B1"/>
    <w:rsid w:val="00C218D6"/>
    <w:rsid w:val="00C22078"/>
    <w:rsid w:val="00C224EB"/>
    <w:rsid w:val="00C249C9"/>
    <w:rsid w:val="00C267D3"/>
    <w:rsid w:val="00C269F3"/>
    <w:rsid w:val="00C26B5E"/>
    <w:rsid w:val="00C27BB0"/>
    <w:rsid w:val="00C31B14"/>
    <w:rsid w:val="00C40150"/>
    <w:rsid w:val="00C40487"/>
    <w:rsid w:val="00C40D2C"/>
    <w:rsid w:val="00C4109E"/>
    <w:rsid w:val="00C4290E"/>
    <w:rsid w:val="00C43233"/>
    <w:rsid w:val="00C4430E"/>
    <w:rsid w:val="00C4569F"/>
    <w:rsid w:val="00C46140"/>
    <w:rsid w:val="00C47937"/>
    <w:rsid w:val="00C47A04"/>
    <w:rsid w:val="00C506EE"/>
    <w:rsid w:val="00C50D91"/>
    <w:rsid w:val="00C512DB"/>
    <w:rsid w:val="00C51FB2"/>
    <w:rsid w:val="00C54CA0"/>
    <w:rsid w:val="00C553D8"/>
    <w:rsid w:val="00C55B74"/>
    <w:rsid w:val="00C61FA9"/>
    <w:rsid w:val="00C62EDE"/>
    <w:rsid w:val="00C64A32"/>
    <w:rsid w:val="00C65235"/>
    <w:rsid w:val="00C65AC9"/>
    <w:rsid w:val="00C6732D"/>
    <w:rsid w:val="00C67D30"/>
    <w:rsid w:val="00C67E3F"/>
    <w:rsid w:val="00C70184"/>
    <w:rsid w:val="00C705E8"/>
    <w:rsid w:val="00C70953"/>
    <w:rsid w:val="00C72AD2"/>
    <w:rsid w:val="00C75666"/>
    <w:rsid w:val="00C7650C"/>
    <w:rsid w:val="00C80074"/>
    <w:rsid w:val="00C852F9"/>
    <w:rsid w:val="00C858FD"/>
    <w:rsid w:val="00C865A2"/>
    <w:rsid w:val="00C87CD6"/>
    <w:rsid w:val="00C910B3"/>
    <w:rsid w:val="00C911F6"/>
    <w:rsid w:val="00C92143"/>
    <w:rsid w:val="00C92887"/>
    <w:rsid w:val="00C92A3D"/>
    <w:rsid w:val="00C930AF"/>
    <w:rsid w:val="00C93C7A"/>
    <w:rsid w:val="00C95A86"/>
    <w:rsid w:val="00C95B6A"/>
    <w:rsid w:val="00CA5C01"/>
    <w:rsid w:val="00CA5C67"/>
    <w:rsid w:val="00CB0E09"/>
    <w:rsid w:val="00CB166B"/>
    <w:rsid w:val="00CB3B34"/>
    <w:rsid w:val="00CB5672"/>
    <w:rsid w:val="00CB7D5E"/>
    <w:rsid w:val="00CB7E0A"/>
    <w:rsid w:val="00CC0F0D"/>
    <w:rsid w:val="00CC243F"/>
    <w:rsid w:val="00CC261C"/>
    <w:rsid w:val="00CC3CE6"/>
    <w:rsid w:val="00CC54A0"/>
    <w:rsid w:val="00CC552A"/>
    <w:rsid w:val="00CC7FD1"/>
    <w:rsid w:val="00CD05D2"/>
    <w:rsid w:val="00CD5572"/>
    <w:rsid w:val="00CD664B"/>
    <w:rsid w:val="00CD7EDC"/>
    <w:rsid w:val="00CE0086"/>
    <w:rsid w:val="00CE14A9"/>
    <w:rsid w:val="00CE1B84"/>
    <w:rsid w:val="00CE2646"/>
    <w:rsid w:val="00CF0CF6"/>
    <w:rsid w:val="00CF376B"/>
    <w:rsid w:val="00CF420A"/>
    <w:rsid w:val="00CF555C"/>
    <w:rsid w:val="00CF5B8F"/>
    <w:rsid w:val="00CF650B"/>
    <w:rsid w:val="00CF6F38"/>
    <w:rsid w:val="00D00972"/>
    <w:rsid w:val="00D021B9"/>
    <w:rsid w:val="00D04208"/>
    <w:rsid w:val="00D0490B"/>
    <w:rsid w:val="00D119A3"/>
    <w:rsid w:val="00D11F16"/>
    <w:rsid w:val="00D12644"/>
    <w:rsid w:val="00D126FD"/>
    <w:rsid w:val="00D16C0C"/>
    <w:rsid w:val="00D17473"/>
    <w:rsid w:val="00D20DA8"/>
    <w:rsid w:val="00D22242"/>
    <w:rsid w:val="00D2515C"/>
    <w:rsid w:val="00D256EB"/>
    <w:rsid w:val="00D25827"/>
    <w:rsid w:val="00D26991"/>
    <w:rsid w:val="00D31054"/>
    <w:rsid w:val="00D3266E"/>
    <w:rsid w:val="00D32DA5"/>
    <w:rsid w:val="00D32DD5"/>
    <w:rsid w:val="00D341E6"/>
    <w:rsid w:val="00D341F6"/>
    <w:rsid w:val="00D3582A"/>
    <w:rsid w:val="00D35DB1"/>
    <w:rsid w:val="00D37B62"/>
    <w:rsid w:val="00D400A7"/>
    <w:rsid w:val="00D40A9C"/>
    <w:rsid w:val="00D423AC"/>
    <w:rsid w:val="00D42583"/>
    <w:rsid w:val="00D42ABF"/>
    <w:rsid w:val="00D43080"/>
    <w:rsid w:val="00D4425C"/>
    <w:rsid w:val="00D46530"/>
    <w:rsid w:val="00D47668"/>
    <w:rsid w:val="00D476D7"/>
    <w:rsid w:val="00D47AB1"/>
    <w:rsid w:val="00D52A92"/>
    <w:rsid w:val="00D5580D"/>
    <w:rsid w:val="00D55C39"/>
    <w:rsid w:val="00D55D26"/>
    <w:rsid w:val="00D56BEC"/>
    <w:rsid w:val="00D57468"/>
    <w:rsid w:val="00D57924"/>
    <w:rsid w:val="00D610D8"/>
    <w:rsid w:val="00D61902"/>
    <w:rsid w:val="00D62475"/>
    <w:rsid w:val="00D64249"/>
    <w:rsid w:val="00D64746"/>
    <w:rsid w:val="00D64DC5"/>
    <w:rsid w:val="00D67589"/>
    <w:rsid w:val="00D67602"/>
    <w:rsid w:val="00D7051A"/>
    <w:rsid w:val="00D712AE"/>
    <w:rsid w:val="00D733AA"/>
    <w:rsid w:val="00D738E4"/>
    <w:rsid w:val="00D76072"/>
    <w:rsid w:val="00D767E5"/>
    <w:rsid w:val="00D774EC"/>
    <w:rsid w:val="00D77FBF"/>
    <w:rsid w:val="00D80ACA"/>
    <w:rsid w:val="00D8247E"/>
    <w:rsid w:val="00D824A3"/>
    <w:rsid w:val="00D82DC5"/>
    <w:rsid w:val="00D83F8F"/>
    <w:rsid w:val="00D85770"/>
    <w:rsid w:val="00D85BED"/>
    <w:rsid w:val="00D85FD9"/>
    <w:rsid w:val="00D8605F"/>
    <w:rsid w:val="00D90302"/>
    <w:rsid w:val="00D92D41"/>
    <w:rsid w:val="00D945A0"/>
    <w:rsid w:val="00D94EBC"/>
    <w:rsid w:val="00D961E4"/>
    <w:rsid w:val="00D968E8"/>
    <w:rsid w:val="00D96B34"/>
    <w:rsid w:val="00DA6AF9"/>
    <w:rsid w:val="00DB4F88"/>
    <w:rsid w:val="00DB5874"/>
    <w:rsid w:val="00DB5B10"/>
    <w:rsid w:val="00DC059B"/>
    <w:rsid w:val="00DC0E78"/>
    <w:rsid w:val="00DC195E"/>
    <w:rsid w:val="00DC43B5"/>
    <w:rsid w:val="00DC505A"/>
    <w:rsid w:val="00DC673F"/>
    <w:rsid w:val="00DC76BE"/>
    <w:rsid w:val="00DC792A"/>
    <w:rsid w:val="00DD002B"/>
    <w:rsid w:val="00DD3A98"/>
    <w:rsid w:val="00DD3C68"/>
    <w:rsid w:val="00DD4536"/>
    <w:rsid w:val="00DD53DC"/>
    <w:rsid w:val="00DE0FF5"/>
    <w:rsid w:val="00DE154C"/>
    <w:rsid w:val="00DE17BA"/>
    <w:rsid w:val="00DE20C0"/>
    <w:rsid w:val="00DE2A47"/>
    <w:rsid w:val="00DE3549"/>
    <w:rsid w:val="00DE3613"/>
    <w:rsid w:val="00DE62A7"/>
    <w:rsid w:val="00DE6FA0"/>
    <w:rsid w:val="00DE6FE2"/>
    <w:rsid w:val="00DE7377"/>
    <w:rsid w:val="00DF41D7"/>
    <w:rsid w:val="00DF645E"/>
    <w:rsid w:val="00DF6916"/>
    <w:rsid w:val="00E019BD"/>
    <w:rsid w:val="00E01FA1"/>
    <w:rsid w:val="00E03E3A"/>
    <w:rsid w:val="00E059FF"/>
    <w:rsid w:val="00E06673"/>
    <w:rsid w:val="00E10488"/>
    <w:rsid w:val="00E12138"/>
    <w:rsid w:val="00E12D2D"/>
    <w:rsid w:val="00E12D9F"/>
    <w:rsid w:val="00E13FC2"/>
    <w:rsid w:val="00E16BD6"/>
    <w:rsid w:val="00E16DAB"/>
    <w:rsid w:val="00E174BB"/>
    <w:rsid w:val="00E177D6"/>
    <w:rsid w:val="00E20345"/>
    <w:rsid w:val="00E227FA"/>
    <w:rsid w:val="00E23500"/>
    <w:rsid w:val="00E23720"/>
    <w:rsid w:val="00E264F8"/>
    <w:rsid w:val="00E270DA"/>
    <w:rsid w:val="00E32494"/>
    <w:rsid w:val="00E344AD"/>
    <w:rsid w:val="00E34EC7"/>
    <w:rsid w:val="00E35B1D"/>
    <w:rsid w:val="00E376CC"/>
    <w:rsid w:val="00E4017C"/>
    <w:rsid w:val="00E42BC6"/>
    <w:rsid w:val="00E43A16"/>
    <w:rsid w:val="00E43A81"/>
    <w:rsid w:val="00E45C05"/>
    <w:rsid w:val="00E46BB1"/>
    <w:rsid w:val="00E46BF0"/>
    <w:rsid w:val="00E46F31"/>
    <w:rsid w:val="00E50A69"/>
    <w:rsid w:val="00E544B6"/>
    <w:rsid w:val="00E549AB"/>
    <w:rsid w:val="00E567C1"/>
    <w:rsid w:val="00E66969"/>
    <w:rsid w:val="00E66B30"/>
    <w:rsid w:val="00E66BF7"/>
    <w:rsid w:val="00E70248"/>
    <w:rsid w:val="00E70ABA"/>
    <w:rsid w:val="00E70FA1"/>
    <w:rsid w:val="00E712FE"/>
    <w:rsid w:val="00E71AC2"/>
    <w:rsid w:val="00E72B92"/>
    <w:rsid w:val="00E72FAE"/>
    <w:rsid w:val="00E74453"/>
    <w:rsid w:val="00E74509"/>
    <w:rsid w:val="00E74EF5"/>
    <w:rsid w:val="00E76238"/>
    <w:rsid w:val="00E76BD3"/>
    <w:rsid w:val="00E775C9"/>
    <w:rsid w:val="00E8043D"/>
    <w:rsid w:val="00E8077E"/>
    <w:rsid w:val="00E808A4"/>
    <w:rsid w:val="00E80A0A"/>
    <w:rsid w:val="00E80B45"/>
    <w:rsid w:val="00E80F1A"/>
    <w:rsid w:val="00E8233F"/>
    <w:rsid w:val="00E8471F"/>
    <w:rsid w:val="00E849C3"/>
    <w:rsid w:val="00E85729"/>
    <w:rsid w:val="00E8650B"/>
    <w:rsid w:val="00E87026"/>
    <w:rsid w:val="00E87483"/>
    <w:rsid w:val="00E90188"/>
    <w:rsid w:val="00E905C5"/>
    <w:rsid w:val="00E91EDB"/>
    <w:rsid w:val="00E92BC7"/>
    <w:rsid w:val="00E93CE3"/>
    <w:rsid w:val="00E95B5D"/>
    <w:rsid w:val="00E95BA9"/>
    <w:rsid w:val="00E970C3"/>
    <w:rsid w:val="00E97E8A"/>
    <w:rsid w:val="00EA25AA"/>
    <w:rsid w:val="00EA2AA2"/>
    <w:rsid w:val="00EA3EB3"/>
    <w:rsid w:val="00EA7C44"/>
    <w:rsid w:val="00EB06D2"/>
    <w:rsid w:val="00EB2E4D"/>
    <w:rsid w:val="00EB3561"/>
    <w:rsid w:val="00EB6253"/>
    <w:rsid w:val="00EC0BB9"/>
    <w:rsid w:val="00EC2454"/>
    <w:rsid w:val="00EC3D24"/>
    <w:rsid w:val="00EC4587"/>
    <w:rsid w:val="00EC46E2"/>
    <w:rsid w:val="00EC4A71"/>
    <w:rsid w:val="00EC589C"/>
    <w:rsid w:val="00ED01B1"/>
    <w:rsid w:val="00ED22EA"/>
    <w:rsid w:val="00ED4141"/>
    <w:rsid w:val="00ED52BF"/>
    <w:rsid w:val="00ED6D05"/>
    <w:rsid w:val="00EE1B10"/>
    <w:rsid w:val="00EE21B9"/>
    <w:rsid w:val="00EE3588"/>
    <w:rsid w:val="00EE41E9"/>
    <w:rsid w:val="00EE5F39"/>
    <w:rsid w:val="00EE6917"/>
    <w:rsid w:val="00EE6ECB"/>
    <w:rsid w:val="00EE7D73"/>
    <w:rsid w:val="00EF1D6F"/>
    <w:rsid w:val="00EF3298"/>
    <w:rsid w:val="00EF403D"/>
    <w:rsid w:val="00EF4FC8"/>
    <w:rsid w:val="00EF5615"/>
    <w:rsid w:val="00EF7A99"/>
    <w:rsid w:val="00F03B52"/>
    <w:rsid w:val="00F040C5"/>
    <w:rsid w:val="00F110A8"/>
    <w:rsid w:val="00F1275E"/>
    <w:rsid w:val="00F12E10"/>
    <w:rsid w:val="00F13274"/>
    <w:rsid w:val="00F1354E"/>
    <w:rsid w:val="00F13679"/>
    <w:rsid w:val="00F14B64"/>
    <w:rsid w:val="00F1746D"/>
    <w:rsid w:val="00F20C9E"/>
    <w:rsid w:val="00F271A8"/>
    <w:rsid w:val="00F2745E"/>
    <w:rsid w:val="00F31CF1"/>
    <w:rsid w:val="00F32340"/>
    <w:rsid w:val="00F32FA7"/>
    <w:rsid w:val="00F3333D"/>
    <w:rsid w:val="00F33BA0"/>
    <w:rsid w:val="00F34688"/>
    <w:rsid w:val="00F35051"/>
    <w:rsid w:val="00F3540A"/>
    <w:rsid w:val="00F35833"/>
    <w:rsid w:val="00F35ECC"/>
    <w:rsid w:val="00F3640A"/>
    <w:rsid w:val="00F37A31"/>
    <w:rsid w:val="00F403D5"/>
    <w:rsid w:val="00F4128A"/>
    <w:rsid w:val="00F4341F"/>
    <w:rsid w:val="00F444BE"/>
    <w:rsid w:val="00F44B7B"/>
    <w:rsid w:val="00F5051D"/>
    <w:rsid w:val="00F5171A"/>
    <w:rsid w:val="00F519CA"/>
    <w:rsid w:val="00F573C5"/>
    <w:rsid w:val="00F575E2"/>
    <w:rsid w:val="00F6047F"/>
    <w:rsid w:val="00F62D89"/>
    <w:rsid w:val="00F65CB3"/>
    <w:rsid w:val="00F673F0"/>
    <w:rsid w:val="00F7002E"/>
    <w:rsid w:val="00F70CB6"/>
    <w:rsid w:val="00F715AB"/>
    <w:rsid w:val="00F7667A"/>
    <w:rsid w:val="00F76DCA"/>
    <w:rsid w:val="00F816AD"/>
    <w:rsid w:val="00F81981"/>
    <w:rsid w:val="00F83B5C"/>
    <w:rsid w:val="00F84D29"/>
    <w:rsid w:val="00F84D62"/>
    <w:rsid w:val="00F861A5"/>
    <w:rsid w:val="00F86F45"/>
    <w:rsid w:val="00F90193"/>
    <w:rsid w:val="00F90743"/>
    <w:rsid w:val="00F915A4"/>
    <w:rsid w:val="00F9205A"/>
    <w:rsid w:val="00F952B8"/>
    <w:rsid w:val="00F95E4E"/>
    <w:rsid w:val="00F96D26"/>
    <w:rsid w:val="00FA19D8"/>
    <w:rsid w:val="00FA1AFF"/>
    <w:rsid w:val="00FA2728"/>
    <w:rsid w:val="00FA3789"/>
    <w:rsid w:val="00FA40E8"/>
    <w:rsid w:val="00FB0727"/>
    <w:rsid w:val="00FB26C7"/>
    <w:rsid w:val="00FB37AA"/>
    <w:rsid w:val="00FB3960"/>
    <w:rsid w:val="00FB3C10"/>
    <w:rsid w:val="00FB48C6"/>
    <w:rsid w:val="00FB6616"/>
    <w:rsid w:val="00FB67C8"/>
    <w:rsid w:val="00FB7CBF"/>
    <w:rsid w:val="00FB7F48"/>
    <w:rsid w:val="00FC1C46"/>
    <w:rsid w:val="00FC2706"/>
    <w:rsid w:val="00FC4662"/>
    <w:rsid w:val="00FC4CBB"/>
    <w:rsid w:val="00FC5184"/>
    <w:rsid w:val="00FD087E"/>
    <w:rsid w:val="00FD0FFD"/>
    <w:rsid w:val="00FD160C"/>
    <w:rsid w:val="00FD354C"/>
    <w:rsid w:val="00FD7A54"/>
    <w:rsid w:val="00FD7E36"/>
    <w:rsid w:val="00FE0CCC"/>
    <w:rsid w:val="00FE47B3"/>
    <w:rsid w:val="00FE4EAB"/>
    <w:rsid w:val="00FE77A9"/>
    <w:rsid w:val="00FF0EA7"/>
    <w:rsid w:val="00FF1028"/>
    <w:rsid w:val="00FF1285"/>
    <w:rsid w:val="00FF4485"/>
    <w:rsid w:val="00FF4F2B"/>
    <w:rsid w:val="00FF6D4D"/>
    <w:rsid w:val="034945F2"/>
    <w:rsid w:val="04194CE4"/>
    <w:rsid w:val="069C2452"/>
    <w:rsid w:val="086070EC"/>
    <w:rsid w:val="0D7F4A1F"/>
    <w:rsid w:val="0DF3560A"/>
    <w:rsid w:val="117306F6"/>
    <w:rsid w:val="13A520D7"/>
    <w:rsid w:val="1C9D538F"/>
    <w:rsid w:val="21AB38CC"/>
    <w:rsid w:val="21F85727"/>
    <w:rsid w:val="224D56CD"/>
    <w:rsid w:val="22526BE8"/>
    <w:rsid w:val="238D5902"/>
    <w:rsid w:val="24863C7F"/>
    <w:rsid w:val="28F92B0C"/>
    <w:rsid w:val="32832006"/>
    <w:rsid w:val="365941B0"/>
    <w:rsid w:val="38190111"/>
    <w:rsid w:val="38242728"/>
    <w:rsid w:val="38E77255"/>
    <w:rsid w:val="39D4246E"/>
    <w:rsid w:val="3A977FAE"/>
    <w:rsid w:val="3F0A7160"/>
    <w:rsid w:val="3F610444"/>
    <w:rsid w:val="418625C5"/>
    <w:rsid w:val="44DB3436"/>
    <w:rsid w:val="4A5E0054"/>
    <w:rsid w:val="4D756682"/>
    <w:rsid w:val="55DA76F5"/>
    <w:rsid w:val="582D4C9F"/>
    <w:rsid w:val="593B0404"/>
    <w:rsid w:val="5CC22486"/>
    <w:rsid w:val="5CD56312"/>
    <w:rsid w:val="66B275CD"/>
    <w:rsid w:val="73007CCA"/>
    <w:rsid w:val="79140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name="index 2"/>
    <w:lsdException w:qFormat="1" w:unhideWhenUsed="0" w:uiPriority="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qFormat="1" w:unhideWhenUsed="0" w:uiPriority="0" w:semiHidden="0" w:name="List"/>
    <w:lsdException w:qFormat="1" w:unhideWhenUsed="0" w:uiPriority="0" w:semiHidden="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qFormat="1" w:unhideWhenUsed="0"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kern w:val="2"/>
      <w:sz w:val="24"/>
      <w:szCs w:val="24"/>
      <w:lang w:val="en-US" w:eastAsia="zh-CN" w:bidi="ar-SA"/>
    </w:rPr>
  </w:style>
  <w:style w:type="paragraph" w:styleId="3">
    <w:name w:val="heading 1"/>
    <w:basedOn w:val="1"/>
    <w:next w:val="1"/>
    <w:link w:val="212"/>
    <w:qFormat/>
    <w:uiPriority w:val="0"/>
    <w:pPr>
      <w:keepNext/>
      <w:keepLines/>
      <w:spacing w:before="120" w:after="120" w:line="578" w:lineRule="auto"/>
      <w:outlineLvl w:val="0"/>
    </w:pPr>
    <w:rPr>
      <w:b/>
      <w:bCs/>
      <w:kern w:val="44"/>
      <w:szCs w:val="44"/>
    </w:rPr>
  </w:style>
  <w:style w:type="paragraph" w:styleId="4">
    <w:name w:val="heading 2"/>
    <w:basedOn w:val="1"/>
    <w:next w:val="5"/>
    <w:link w:val="135"/>
    <w:qFormat/>
    <w:uiPriority w:val="0"/>
    <w:pPr>
      <w:keepNext/>
      <w:keepLines/>
      <w:numPr>
        <w:ilvl w:val="1"/>
        <w:numId w:val="1"/>
      </w:numPr>
      <w:outlineLvl w:val="1"/>
    </w:pPr>
    <w:rPr>
      <w:b/>
      <w:bCs/>
      <w:szCs w:val="32"/>
    </w:rPr>
  </w:style>
  <w:style w:type="paragraph" w:styleId="6">
    <w:name w:val="heading 3"/>
    <w:basedOn w:val="1"/>
    <w:next w:val="1"/>
    <w:link w:val="213"/>
    <w:qFormat/>
    <w:uiPriority w:val="0"/>
    <w:pPr>
      <w:keepNext/>
      <w:keepLines/>
      <w:numPr>
        <w:ilvl w:val="2"/>
        <w:numId w:val="1"/>
      </w:numPr>
      <w:adjustRightInd w:val="0"/>
      <w:snapToGrid w:val="0"/>
      <w:outlineLvl w:val="2"/>
    </w:pPr>
    <w:rPr>
      <w:bCs/>
      <w:iCs/>
      <w:color w:val="000000"/>
      <w:spacing w:val="6"/>
    </w:rPr>
  </w:style>
  <w:style w:type="paragraph" w:styleId="7">
    <w:name w:val="heading 4"/>
    <w:basedOn w:val="1"/>
    <w:next w:val="1"/>
    <w:link w:val="214"/>
    <w:qFormat/>
    <w:uiPriority w:val="0"/>
    <w:pPr>
      <w:keepNext/>
      <w:keepLines/>
      <w:numPr>
        <w:ilvl w:val="3"/>
        <w:numId w:val="1"/>
      </w:numPr>
      <w:outlineLvl w:val="3"/>
    </w:pPr>
    <w:rPr>
      <w:bCs/>
      <w:szCs w:val="28"/>
    </w:rPr>
  </w:style>
  <w:style w:type="paragraph" w:styleId="8">
    <w:name w:val="heading 5"/>
    <w:basedOn w:val="1"/>
    <w:next w:val="1"/>
    <w:link w:val="112"/>
    <w:qFormat/>
    <w:uiPriority w:val="0"/>
    <w:pPr>
      <w:adjustRightInd w:val="0"/>
      <w:spacing w:line="460" w:lineRule="exact"/>
      <w:jc w:val="left"/>
      <w:textAlignment w:val="baseline"/>
      <w:outlineLvl w:val="4"/>
    </w:pPr>
    <w:rPr>
      <w:kern w:val="0"/>
      <w:szCs w:val="20"/>
    </w:rPr>
  </w:style>
  <w:style w:type="paragraph" w:styleId="9">
    <w:name w:val="heading 6"/>
    <w:basedOn w:val="1"/>
    <w:next w:val="1"/>
    <w:link w:val="113"/>
    <w:qFormat/>
    <w:uiPriority w:val="0"/>
    <w:pPr>
      <w:adjustRightInd w:val="0"/>
      <w:spacing w:line="460" w:lineRule="exact"/>
      <w:jc w:val="left"/>
      <w:textAlignment w:val="baseline"/>
      <w:outlineLvl w:val="5"/>
    </w:pPr>
    <w:rPr>
      <w:kern w:val="0"/>
      <w:szCs w:val="20"/>
    </w:rPr>
  </w:style>
  <w:style w:type="paragraph" w:styleId="10">
    <w:name w:val="heading 7"/>
    <w:basedOn w:val="1"/>
    <w:next w:val="1"/>
    <w:link w:val="114"/>
    <w:qFormat/>
    <w:uiPriority w:val="0"/>
    <w:pPr>
      <w:adjustRightInd w:val="0"/>
      <w:spacing w:line="460" w:lineRule="exact"/>
      <w:jc w:val="left"/>
      <w:textAlignment w:val="baseline"/>
      <w:outlineLvl w:val="6"/>
    </w:pPr>
    <w:rPr>
      <w:kern w:val="0"/>
      <w:szCs w:val="20"/>
    </w:rPr>
  </w:style>
  <w:style w:type="paragraph" w:styleId="11">
    <w:name w:val="heading 8"/>
    <w:basedOn w:val="1"/>
    <w:next w:val="1"/>
    <w:link w:val="115"/>
    <w:qFormat/>
    <w:uiPriority w:val="0"/>
    <w:pPr>
      <w:adjustRightInd w:val="0"/>
      <w:spacing w:line="460" w:lineRule="exact"/>
      <w:jc w:val="left"/>
      <w:textAlignment w:val="baseline"/>
      <w:outlineLvl w:val="7"/>
    </w:pPr>
    <w:rPr>
      <w:kern w:val="0"/>
      <w:szCs w:val="20"/>
    </w:rPr>
  </w:style>
  <w:style w:type="paragraph" w:styleId="12">
    <w:name w:val="heading 9"/>
    <w:basedOn w:val="1"/>
    <w:next w:val="1"/>
    <w:link w:val="116"/>
    <w:qFormat/>
    <w:uiPriority w:val="0"/>
    <w:pPr>
      <w:keepNext/>
      <w:keepLines/>
      <w:adjustRightInd w:val="0"/>
      <w:spacing w:before="240" w:after="64" w:line="320" w:lineRule="atLeast"/>
      <w:jc w:val="left"/>
      <w:textAlignment w:val="baseline"/>
      <w:outlineLvl w:val="8"/>
    </w:pPr>
    <w:rPr>
      <w:rFonts w:ascii="Arial" w:hAnsi="Arial" w:eastAsia="黑体"/>
      <w:kern w:val="0"/>
      <w:szCs w:val="20"/>
    </w:rPr>
  </w:style>
  <w:style w:type="character" w:default="1" w:styleId="64">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qFormat/>
    <w:uiPriority w:val="0"/>
    <w:rPr>
      <w:rFonts w:ascii="Arial" w:hAnsi="Arial"/>
    </w:rPr>
  </w:style>
  <w:style w:type="paragraph" w:styleId="5">
    <w:name w:val="Normal Indent"/>
    <w:basedOn w:val="1"/>
    <w:qFormat/>
    <w:uiPriority w:val="0"/>
    <w:pPr>
      <w:adjustRightInd w:val="0"/>
      <w:snapToGrid w:val="0"/>
      <w:ind w:firstLine="420"/>
    </w:pPr>
    <w:rPr>
      <w:szCs w:val="20"/>
    </w:rPr>
  </w:style>
  <w:style w:type="paragraph" w:styleId="13">
    <w:name w:val="List 3"/>
    <w:basedOn w:val="1"/>
    <w:qFormat/>
    <w:uiPriority w:val="0"/>
    <w:pPr>
      <w:adjustRightInd w:val="0"/>
      <w:spacing w:before="120" w:after="120" w:line="360" w:lineRule="atLeast"/>
      <w:ind w:left="1260" w:hanging="420"/>
      <w:jc w:val="left"/>
      <w:textAlignment w:val="baseline"/>
    </w:pPr>
    <w:rPr>
      <w:kern w:val="0"/>
      <w:szCs w:val="20"/>
    </w:rPr>
  </w:style>
  <w:style w:type="paragraph" w:styleId="14">
    <w:name w:val="toc 7"/>
    <w:basedOn w:val="1"/>
    <w:next w:val="1"/>
    <w:qFormat/>
    <w:uiPriority w:val="0"/>
    <w:pPr>
      <w:ind w:left="1260"/>
      <w:jc w:val="left"/>
    </w:pPr>
    <w:rPr>
      <w:sz w:val="18"/>
      <w:szCs w:val="18"/>
    </w:rPr>
  </w:style>
  <w:style w:type="paragraph" w:styleId="15">
    <w:name w:val="index 8"/>
    <w:basedOn w:val="1"/>
    <w:next w:val="1"/>
    <w:qFormat/>
    <w:uiPriority w:val="0"/>
    <w:pPr>
      <w:ind w:left="1400" w:leftChars="1400"/>
    </w:pPr>
    <w:rPr>
      <w:szCs w:val="20"/>
    </w:rPr>
  </w:style>
  <w:style w:type="paragraph" w:styleId="16">
    <w:name w:val="E-mail Signature"/>
    <w:basedOn w:val="1"/>
    <w:link w:val="229"/>
    <w:semiHidden/>
    <w:qFormat/>
    <w:uiPriority w:val="0"/>
    <w:pPr>
      <w:spacing w:beforeLines="50" w:afterLines="50"/>
    </w:pPr>
  </w:style>
  <w:style w:type="paragraph" w:styleId="17">
    <w:name w:val="caption"/>
    <w:basedOn w:val="1"/>
    <w:next w:val="1"/>
    <w:qFormat/>
    <w:uiPriority w:val="0"/>
    <w:pPr>
      <w:spacing w:beforeLines="50" w:after="160"/>
      <w:jc w:val="center"/>
    </w:pPr>
    <w:rPr>
      <w:rFonts w:ascii="Arial" w:hAnsi="Arial" w:cs="Arial"/>
      <w:szCs w:val="20"/>
    </w:rPr>
  </w:style>
  <w:style w:type="paragraph" w:styleId="18">
    <w:name w:val="index 5"/>
    <w:basedOn w:val="1"/>
    <w:next w:val="1"/>
    <w:qFormat/>
    <w:uiPriority w:val="0"/>
    <w:pPr>
      <w:ind w:left="800" w:leftChars="800"/>
    </w:pPr>
    <w:rPr>
      <w:szCs w:val="20"/>
    </w:rPr>
  </w:style>
  <w:style w:type="paragraph" w:styleId="19">
    <w:name w:val="List Bullet"/>
    <w:basedOn w:val="1"/>
    <w:qFormat/>
    <w:uiPriority w:val="0"/>
    <w:pPr>
      <w:tabs>
        <w:tab w:val="left" w:pos="720"/>
      </w:tabs>
      <w:ind w:left="720" w:hanging="720"/>
    </w:pPr>
    <w:rPr>
      <w:szCs w:val="20"/>
    </w:rPr>
  </w:style>
  <w:style w:type="paragraph" w:styleId="20">
    <w:name w:val="Document Map"/>
    <w:basedOn w:val="1"/>
    <w:link w:val="228"/>
    <w:qFormat/>
    <w:uiPriority w:val="0"/>
    <w:pPr>
      <w:shd w:val="clear" w:color="auto" w:fill="000080"/>
    </w:pPr>
  </w:style>
  <w:style w:type="paragraph" w:styleId="21">
    <w:name w:val="annotation text"/>
    <w:basedOn w:val="1"/>
    <w:link w:val="123"/>
    <w:qFormat/>
    <w:uiPriority w:val="0"/>
    <w:pPr>
      <w:jc w:val="left"/>
    </w:pPr>
  </w:style>
  <w:style w:type="paragraph" w:styleId="22">
    <w:name w:val="index 6"/>
    <w:basedOn w:val="1"/>
    <w:next w:val="1"/>
    <w:qFormat/>
    <w:uiPriority w:val="0"/>
    <w:pPr>
      <w:ind w:left="1000" w:leftChars="1000"/>
    </w:pPr>
    <w:rPr>
      <w:szCs w:val="20"/>
    </w:rPr>
  </w:style>
  <w:style w:type="paragraph" w:styleId="23">
    <w:name w:val="Body Text 3"/>
    <w:basedOn w:val="1"/>
    <w:link w:val="141"/>
    <w:qFormat/>
    <w:uiPriority w:val="0"/>
    <w:rPr>
      <w:rFonts w:ascii="宋体" w:hAnsi="宋体"/>
      <w:sz w:val="32"/>
      <w:szCs w:val="20"/>
    </w:rPr>
  </w:style>
  <w:style w:type="paragraph" w:styleId="24">
    <w:name w:val="Closing"/>
    <w:basedOn w:val="1"/>
    <w:link w:val="171"/>
    <w:qFormat/>
    <w:uiPriority w:val="0"/>
    <w:pPr>
      <w:adjustRightInd w:val="0"/>
      <w:spacing w:line="360" w:lineRule="atLeast"/>
      <w:jc w:val="center"/>
      <w:textAlignment w:val="baseline"/>
    </w:pPr>
    <w:rPr>
      <w:spacing w:val="60"/>
      <w:kern w:val="0"/>
      <w:szCs w:val="20"/>
    </w:rPr>
  </w:style>
  <w:style w:type="paragraph" w:styleId="25">
    <w:name w:val="Body Text"/>
    <w:basedOn w:val="1"/>
    <w:link w:val="117"/>
    <w:qFormat/>
    <w:uiPriority w:val="0"/>
    <w:pPr>
      <w:spacing w:after="120"/>
    </w:pPr>
  </w:style>
  <w:style w:type="paragraph" w:styleId="26">
    <w:name w:val="Body Text Indent"/>
    <w:basedOn w:val="1"/>
    <w:link w:val="157"/>
    <w:qFormat/>
    <w:uiPriority w:val="0"/>
    <w:pPr>
      <w:spacing w:before="156" w:after="156"/>
      <w:ind w:firstLine="480"/>
    </w:pPr>
    <w:rPr>
      <w:rFonts w:ascii="宋体" w:hAnsi="宋体"/>
    </w:rPr>
  </w:style>
  <w:style w:type="paragraph" w:styleId="27">
    <w:name w:val="List 2"/>
    <w:basedOn w:val="1"/>
    <w:qFormat/>
    <w:uiPriority w:val="0"/>
    <w:pPr>
      <w:adjustRightInd w:val="0"/>
      <w:spacing w:before="120" w:after="120" w:line="360" w:lineRule="atLeast"/>
      <w:ind w:left="840" w:hanging="420"/>
      <w:jc w:val="left"/>
      <w:textAlignment w:val="baseline"/>
    </w:pPr>
    <w:rPr>
      <w:kern w:val="0"/>
      <w:szCs w:val="20"/>
    </w:rPr>
  </w:style>
  <w:style w:type="paragraph" w:styleId="28">
    <w:name w:val="Block Text"/>
    <w:basedOn w:val="1"/>
    <w:qFormat/>
    <w:uiPriority w:val="0"/>
    <w:pPr>
      <w:ind w:left="840" w:leftChars="400" w:right="40"/>
    </w:pPr>
    <w:rPr>
      <w:rFonts w:ascii="幼圆" w:eastAsia="幼圆"/>
      <w:szCs w:val="20"/>
    </w:rPr>
  </w:style>
  <w:style w:type="paragraph" w:styleId="29">
    <w:name w:val="index 4"/>
    <w:basedOn w:val="1"/>
    <w:next w:val="1"/>
    <w:qFormat/>
    <w:uiPriority w:val="0"/>
    <w:pPr>
      <w:ind w:left="600" w:leftChars="600"/>
    </w:pPr>
    <w:rPr>
      <w:szCs w:val="20"/>
    </w:rPr>
  </w:style>
  <w:style w:type="paragraph" w:styleId="30">
    <w:name w:val="toc 5"/>
    <w:basedOn w:val="1"/>
    <w:next w:val="1"/>
    <w:qFormat/>
    <w:uiPriority w:val="0"/>
    <w:pPr>
      <w:ind w:left="840"/>
      <w:jc w:val="left"/>
    </w:pPr>
    <w:rPr>
      <w:sz w:val="18"/>
      <w:szCs w:val="18"/>
    </w:rPr>
  </w:style>
  <w:style w:type="paragraph" w:styleId="31">
    <w:name w:val="toc 3"/>
    <w:basedOn w:val="1"/>
    <w:next w:val="1"/>
    <w:qFormat/>
    <w:uiPriority w:val="39"/>
    <w:pPr>
      <w:ind w:left="420"/>
      <w:jc w:val="left"/>
    </w:pPr>
    <w:rPr>
      <w:iCs/>
      <w:szCs w:val="20"/>
    </w:rPr>
  </w:style>
  <w:style w:type="paragraph" w:styleId="32">
    <w:name w:val="Plain Text"/>
    <w:basedOn w:val="1"/>
    <w:link w:val="132"/>
    <w:qFormat/>
    <w:uiPriority w:val="99"/>
    <w:pPr>
      <w:adjustRightInd w:val="0"/>
      <w:snapToGrid w:val="0"/>
      <w:jc w:val="left"/>
      <w:textAlignment w:val="baseline"/>
    </w:pPr>
    <w:rPr>
      <w:szCs w:val="20"/>
    </w:rPr>
  </w:style>
  <w:style w:type="paragraph" w:styleId="33">
    <w:name w:val="toc 8"/>
    <w:basedOn w:val="1"/>
    <w:next w:val="1"/>
    <w:qFormat/>
    <w:uiPriority w:val="0"/>
    <w:pPr>
      <w:ind w:left="1470"/>
      <w:jc w:val="left"/>
    </w:pPr>
    <w:rPr>
      <w:sz w:val="18"/>
      <w:szCs w:val="18"/>
    </w:rPr>
  </w:style>
  <w:style w:type="paragraph" w:styleId="34">
    <w:name w:val="index 3"/>
    <w:basedOn w:val="1"/>
    <w:next w:val="1"/>
    <w:semiHidden/>
    <w:qFormat/>
    <w:uiPriority w:val="0"/>
    <w:pPr>
      <w:ind w:left="400" w:leftChars="400"/>
    </w:pPr>
  </w:style>
  <w:style w:type="paragraph" w:styleId="35">
    <w:name w:val="Date"/>
    <w:basedOn w:val="1"/>
    <w:next w:val="1"/>
    <w:link w:val="224"/>
    <w:qFormat/>
    <w:uiPriority w:val="0"/>
    <w:pPr>
      <w:ind w:left="100" w:leftChars="2500"/>
    </w:pPr>
  </w:style>
  <w:style w:type="paragraph" w:styleId="36">
    <w:name w:val="Body Text Indent 2"/>
    <w:basedOn w:val="1"/>
    <w:link w:val="226"/>
    <w:qFormat/>
    <w:uiPriority w:val="0"/>
    <w:pPr>
      <w:ind w:left="992"/>
    </w:pPr>
  </w:style>
  <w:style w:type="paragraph" w:styleId="37">
    <w:name w:val="Balloon Text"/>
    <w:basedOn w:val="1"/>
    <w:link w:val="181"/>
    <w:qFormat/>
    <w:uiPriority w:val="0"/>
    <w:rPr>
      <w:sz w:val="18"/>
      <w:szCs w:val="18"/>
    </w:rPr>
  </w:style>
  <w:style w:type="paragraph" w:styleId="38">
    <w:name w:val="footer"/>
    <w:basedOn w:val="1"/>
    <w:link w:val="136"/>
    <w:qFormat/>
    <w:uiPriority w:val="99"/>
    <w:pPr>
      <w:tabs>
        <w:tab w:val="center" w:pos="4153"/>
        <w:tab w:val="right" w:pos="8306"/>
      </w:tabs>
      <w:snapToGrid w:val="0"/>
      <w:jc w:val="left"/>
    </w:pPr>
    <w:rPr>
      <w:sz w:val="18"/>
      <w:szCs w:val="18"/>
    </w:rPr>
  </w:style>
  <w:style w:type="paragraph" w:styleId="39">
    <w:name w:val="header"/>
    <w:basedOn w:val="1"/>
    <w:link w:val="178"/>
    <w:qFormat/>
    <w:uiPriority w:val="99"/>
    <w:pPr>
      <w:pBdr>
        <w:bottom w:val="single" w:color="auto" w:sz="6" w:space="1"/>
      </w:pBdr>
      <w:tabs>
        <w:tab w:val="center" w:pos="4153"/>
        <w:tab w:val="right" w:pos="8306"/>
      </w:tabs>
      <w:snapToGrid w:val="0"/>
      <w:jc w:val="center"/>
    </w:pPr>
    <w:rPr>
      <w:sz w:val="18"/>
      <w:szCs w:val="18"/>
    </w:rPr>
  </w:style>
  <w:style w:type="paragraph" w:styleId="40">
    <w:name w:val="toc 1"/>
    <w:basedOn w:val="1"/>
    <w:next w:val="1"/>
    <w:qFormat/>
    <w:uiPriority w:val="39"/>
    <w:pPr>
      <w:tabs>
        <w:tab w:val="left" w:pos="1050"/>
        <w:tab w:val="right" w:leader="dot" w:pos="8835"/>
      </w:tabs>
      <w:spacing w:before="120" w:after="120"/>
      <w:jc w:val="left"/>
    </w:pPr>
    <w:rPr>
      <w:bCs/>
      <w:caps/>
      <w:sz w:val="28"/>
      <w:szCs w:val="20"/>
    </w:rPr>
  </w:style>
  <w:style w:type="paragraph" w:styleId="41">
    <w:name w:val="toc 4"/>
    <w:basedOn w:val="1"/>
    <w:next w:val="1"/>
    <w:qFormat/>
    <w:uiPriority w:val="0"/>
    <w:pPr>
      <w:ind w:left="630"/>
      <w:jc w:val="left"/>
    </w:pPr>
    <w:rPr>
      <w:szCs w:val="18"/>
    </w:rPr>
  </w:style>
  <w:style w:type="paragraph" w:styleId="42">
    <w:name w:val="index heading"/>
    <w:basedOn w:val="1"/>
    <w:next w:val="43"/>
    <w:qFormat/>
    <w:uiPriority w:val="0"/>
    <w:rPr>
      <w:szCs w:val="20"/>
    </w:rPr>
  </w:style>
  <w:style w:type="paragraph" w:styleId="43">
    <w:name w:val="index 1"/>
    <w:basedOn w:val="1"/>
    <w:next w:val="1"/>
    <w:qFormat/>
    <w:uiPriority w:val="0"/>
  </w:style>
  <w:style w:type="paragraph" w:styleId="44">
    <w:name w:val="Subtitle"/>
    <w:basedOn w:val="1"/>
    <w:link w:val="140"/>
    <w:qFormat/>
    <w:uiPriority w:val="0"/>
    <w:pPr>
      <w:adjustRightInd w:val="0"/>
      <w:spacing w:after="60" w:line="360" w:lineRule="atLeast"/>
      <w:jc w:val="center"/>
      <w:textAlignment w:val="baseline"/>
    </w:pPr>
    <w:rPr>
      <w:rFonts w:ascii="Arial" w:hAnsi="Arial" w:eastAsia="黑体"/>
      <w:i/>
      <w:kern w:val="0"/>
      <w:szCs w:val="20"/>
    </w:rPr>
  </w:style>
  <w:style w:type="paragraph" w:styleId="45">
    <w:name w:val="List"/>
    <w:basedOn w:val="1"/>
    <w:qFormat/>
    <w:uiPriority w:val="0"/>
    <w:pPr>
      <w:ind w:left="420" w:hanging="420"/>
    </w:pPr>
    <w:rPr>
      <w:szCs w:val="21"/>
    </w:rPr>
  </w:style>
  <w:style w:type="paragraph" w:styleId="46">
    <w:name w:val="toc 6"/>
    <w:basedOn w:val="1"/>
    <w:next w:val="1"/>
    <w:qFormat/>
    <w:uiPriority w:val="0"/>
    <w:pPr>
      <w:ind w:left="1050"/>
      <w:jc w:val="left"/>
    </w:pPr>
    <w:rPr>
      <w:sz w:val="18"/>
      <w:szCs w:val="18"/>
    </w:rPr>
  </w:style>
  <w:style w:type="paragraph" w:styleId="47">
    <w:name w:val="Body Text Indent 3"/>
    <w:basedOn w:val="1"/>
    <w:link w:val="227"/>
    <w:qFormat/>
    <w:uiPriority w:val="0"/>
    <w:pPr>
      <w:spacing w:after="120"/>
      <w:ind w:left="420" w:leftChars="200"/>
    </w:pPr>
    <w:rPr>
      <w:sz w:val="16"/>
      <w:szCs w:val="16"/>
    </w:rPr>
  </w:style>
  <w:style w:type="paragraph" w:styleId="48">
    <w:name w:val="index 7"/>
    <w:basedOn w:val="1"/>
    <w:next w:val="1"/>
    <w:qFormat/>
    <w:uiPriority w:val="0"/>
    <w:pPr>
      <w:ind w:left="1200" w:leftChars="1200"/>
    </w:pPr>
    <w:rPr>
      <w:szCs w:val="20"/>
    </w:rPr>
  </w:style>
  <w:style w:type="paragraph" w:styleId="49">
    <w:name w:val="index 9"/>
    <w:basedOn w:val="1"/>
    <w:next w:val="1"/>
    <w:qFormat/>
    <w:uiPriority w:val="0"/>
    <w:pPr>
      <w:ind w:left="1600" w:leftChars="1600"/>
    </w:pPr>
    <w:rPr>
      <w:szCs w:val="20"/>
    </w:rPr>
  </w:style>
  <w:style w:type="paragraph" w:styleId="50">
    <w:name w:val="table of figures"/>
    <w:basedOn w:val="1"/>
    <w:next w:val="1"/>
    <w:qFormat/>
    <w:uiPriority w:val="0"/>
    <w:pPr>
      <w:ind w:left="200" w:leftChars="200" w:hanging="200" w:hangingChars="200"/>
    </w:pPr>
  </w:style>
  <w:style w:type="paragraph" w:styleId="51">
    <w:name w:val="toc 2"/>
    <w:basedOn w:val="1"/>
    <w:next w:val="1"/>
    <w:qFormat/>
    <w:uiPriority w:val="39"/>
    <w:pPr>
      <w:ind w:left="210"/>
      <w:jc w:val="left"/>
    </w:pPr>
    <w:rPr>
      <w:smallCaps/>
      <w:szCs w:val="20"/>
    </w:rPr>
  </w:style>
  <w:style w:type="paragraph" w:styleId="52">
    <w:name w:val="toc 9"/>
    <w:basedOn w:val="1"/>
    <w:next w:val="1"/>
    <w:qFormat/>
    <w:uiPriority w:val="0"/>
    <w:pPr>
      <w:ind w:left="1680"/>
      <w:jc w:val="left"/>
    </w:pPr>
    <w:rPr>
      <w:sz w:val="18"/>
      <w:szCs w:val="18"/>
    </w:rPr>
  </w:style>
  <w:style w:type="paragraph" w:styleId="53">
    <w:name w:val="Body Text 2"/>
    <w:basedOn w:val="1"/>
    <w:link w:val="225"/>
    <w:qFormat/>
    <w:uiPriority w:val="0"/>
    <w:pPr>
      <w:spacing w:after="120" w:line="480" w:lineRule="auto"/>
    </w:pPr>
  </w:style>
  <w:style w:type="paragraph" w:styleId="54">
    <w:name w:val="HTML Preformatted"/>
    <w:basedOn w:val="1"/>
    <w:link w:val="220"/>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MS Gothic" w:hAnsi="MS Gothic" w:eastAsia="MS Gothic"/>
      <w:kern w:val="0"/>
      <w:lang w:eastAsia="ja-JP"/>
    </w:rPr>
  </w:style>
  <w:style w:type="paragraph" w:styleId="55">
    <w:name w:val="Normal (Web)"/>
    <w:basedOn w:val="1"/>
    <w:qFormat/>
    <w:uiPriority w:val="0"/>
    <w:pPr>
      <w:widowControl/>
      <w:spacing w:before="100" w:beforeAutospacing="1" w:after="100" w:afterAutospacing="1"/>
      <w:jc w:val="left"/>
    </w:pPr>
    <w:rPr>
      <w:rFonts w:ascii="宋体" w:hAnsi="宋体"/>
      <w:color w:val="000000"/>
      <w:kern w:val="0"/>
      <w:sz w:val="18"/>
      <w:szCs w:val="20"/>
    </w:rPr>
  </w:style>
  <w:style w:type="paragraph" w:styleId="56">
    <w:name w:val="index 2"/>
    <w:basedOn w:val="1"/>
    <w:next w:val="1"/>
    <w:semiHidden/>
    <w:qFormat/>
    <w:uiPriority w:val="0"/>
    <w:pPr>
      <w:ind w:left="200" w:leftChars="200"/>
    </w:pPr>
  </w:style>
  <w:style w:type="paragraph" w:styleId="57">
    <w:name w:val="Title"/>
    <w:basedOn w:val="58"/>
    <w:qFormat/>
    <w:uiPriority w:val="0"/>
    <w:pPr>
      <w:ind w:left="0" w:firstLine="0"/>
      <w:jc w:val="left"/>
      <w:outlineLvl w:val="0"/>
    </w:pPr>
    <w:rPr>
      <w:rFonts w:ascii="Times New Roman" w:hAnsi="Times New Roman" w:cs="Arial"/>
      <w:bCs w:val="0"/>
      <w:sz w:val="28"/>
      <w:szCs w:val="32"/>
    </w:rPr>
  </w:style>
  <w:style w:type="paragraph" w:customStyle="1" w:styleId="58">
    <w:name w:val="标题1"/>
    <w:basedOn w:val="1"/>
    <w:qFormat/>
    <w:uiPriority w:val="0"/>
    <w:pPr>
      <w:numPr>
        <w:ilvl w:val="0"/>
        <w:numId w:val="1"/>
      </w:numPr>
    </w:pPr>
    <w:rPr>
      <w:rFonts w:ascii="宋体" w:hAnsi="宋体" w:cs="宋体"/>
      <w:b/>
      <w:bCs/>
      <w:szCs w:val="20"/>
    </w:rPr>
  </w:style>
  <w:style w:type="paragraph" w:styleId="59">
    <w:name w:val="annotation subject"/>
    <w:basedOn w:val="21"/>
    <w:next w:val="21"/>
    <w:link w:val="230"/>
    <w:qFormat/>
    <w:uiPriority w:val="0"/>
    <w:rPr>
      <w:b/>
      <w:bCs/>
    </w:rPr>
  </w:style>
  <w:style w:type="paragraph" w:styleId="60">
    <w:name w:val="Body Text First Indent"/>
    <w:basedOn w:val="25"/>
    <w:link w:val="118"/>
    <w:qFormat/>
    <w:uiPriority w:val="0"/>
    <w:pPr>
      <w:ind w:firstLine="420" w:firstLineChars="100"/>
    </w:pPr>
  </w:style>
  <w:style w:type="paragraph" w:styleId="61">
    <w:name w:val="Body Text First Indent 2"/>
    <w:basedOn w:val="26"/>
    <w:next w:val="1"/>
    <w:link w:val="158"/>
    <w:qFormat/>
    <w:uiPriority w:val="0"/>
    <w:pPr>
      <w:spacing w:before="0" w:after="120" w:line="240" w:lineRule="auto"/>
      <w:ind w:left="420" w:firstLine="210"/>
    </w:pPr>
    <w:rPr>
      <w:rFonts w:ascii="Times New Roman" w:hAnsi="Times New Roman"/>
      <w:szCs w:val="20"/>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5">
    <w:name w:val="Strong"/>
    <w:qFormat/>
    <w:uiPriority w:val="22"/>
    <w:rPr>
      <w:b/>
    </w:rPr>
  </w:style>
  <w:style w:type="character" w:styleId="66">
    <w:name w:val="page number"/>
    <w:basedOn w:val="64"/>
    <w:qFormat/>
    <w:uiPriority w:val="0"/>
  </w:style>
  <w:style w:type="character" w:styleId="67">
    <w:name w:val="FollowedHyperlink"/>
    <w:basedOn w:val="64"/>
    <w:semiHidden/>
    <w:unhideWhenUsed/>
    <w:qFormat/>
    <w:uiPriority w:val="99"/>
    <w:rPr>
      <w:color w:val="800080"/>
      <w:u w:val="single"/>
    </w:rPr>
  </w:style>
  <w:style w:type="character" w:styleId="68">
    <w:name w:val="Emphasis"/>
    <w:qFormat/>
    <w:uiPriority w:val="0"/>
    <w:rPr>
      <w:color w:val="CC0033"/>
    </w:rPr>
  </w:style>
  <w:style w:type="character" w:styleId="69">
    <w:name w:val="line number"/>
    <w:basedOn w:val="64"/>
    <w:qFormat/>
    <w:uiPriority w:val="0"/>
  </w:style>
  <w:style w:type="character" w:styleId="70">
    <w:name w:val="Hyperlink"/>
    <w:qFormat/>
    <w:uiPriority w:val="99"/>
    <w:rPr>
      <w:color w:val="0000FF"/>
      <w:u w:val="single"/>
    </w:rPr>
  </w:style>
  <w:style w:type="character" w:styleId="71">
    <w:name w:val="annotation reference"/>
    <w:qFormat/>
    <w:uiPriority w:val="0"/>
    <w:rPr>
      <w:sz w:val="21"/>
      <w:szCs w:val="21"/>
    </w:rPr>
  </w:style>
  <w:style w:type="paragraph" w:customStyle="1" w:styleId="72">
    <w:name w:val="样式1"/>
    <w:basedOn w:val="3"/>
    <w:qFormat/>
    <w:uiPriority w:val="0"/>
    <w:pPr>
      <w:spacing w:before="0" w:after="0"/>
    </w:pPr>
    <w:rPr>
      <w:bCs w:val="0"/>
      <w:szCs w:val="24"/>
    </w:rPr>
  </w:style>
  <w:style w:type="paragraph" w:customStyle="1" w:styleId="73">
    <w:name w:val="样式 宋体 小四 段前: 6 磅 段后: 6 磅"/>
    <w:basedOn w:val="1"/>
    <w:qFormat/>
    <w:uiPriority w:val="0"/>
    <w:pPr>
      <w:ind w:firstLine="480"/>
    </w:pPr>
    <w:rPr>
      <w:rFonts w:ascii="宋体" w:hAnsi="宋体" w:cs="宋体"/>
      <w:szCs w:val="20"/>
    </w:rPr>
  </w:style>
  <w:style w:type="paragraph" w:customStyle="1" w:styleId="74">
    <w:name w:val="样式 表格文字 Char + 段前: 0.5 行"/>
    <w:basedOn w:val="1"/>
    <w:qFormat/>
    <w:uiPriority w:val="0"/>
    <w:pPr>
      <w:spacing w:beforeLines="50"/>
      <w:jc w:val="center"/>
    </w:pPr>
    <w:rPr>
      <w:rFonts w:cs="宋体"/>
      <w:szCs w:val="20"/>
    </w:rPr>
  </w:style>
  <w:style w:type="paragraph" w:customStyle="1" w:styleId="75">
    <w:name w:val="正文1 Char Char Char"/>
    <w:basedOn w:val="1"/>
    <w:qFormat/>
    <w:uiPriority w:val="0"/>
    <w:pPr>
      <w:adjustRightInd w:val="0"/>
      <w:snapToGrid w:val="0"/>
    </w:pPr>
    <w:rPr>
      <w:szCs w:val="20"/>
    </w:rPr>
  </w:style>
  <w:style w:type="paragraph" w:customStyle="1" w:styleId="76">
    <w:name w:val="样式2"/>
    <w:basedOn w:val="4"/>
    <w:next w:val="5"/>
    <w:link w:val="276"/>
    <w:qFormat/>
    <w:uiPriority w:val="0"/>
    <w:pPr>
      <w:adjustRightInd w:val="0"/>
      <w:snapToGrid w:val="0"/>
    </w:pPr>
    <w:rPr>
      <w:bCs w:val="0"/>
      <w:szCs w:val="20"/>
    </w:rPr>
  </w:style>
  <w:style w:type="paragraph" w:customStyle="1" w:styleId="77">
    <w:name w:val="标题4"/>
    <w:basedOn w:val="7"/>
    <w:qFormat/>
    <w:uiPriority w:val="0"/>
    <w:pPr>
      <w:keepNext w:val="0"/>
      <w:keepLines w:val="0"/>
      <w:adjustRightInd w:val="0"/>
      <w:snapToGrid w:val="0"/>
      <w:spacing w:line="480" w:lineRule="atLeast"/>
      <w:ind w:firstLine="480"/>
      <w:textAlignment w:val="baseline"/>
    </w:pPr>
    <w:rPr>
      <w:bCs w:val="0"/>
      <w:color w:val="FF0000"/>
      <w:kern w:val="0"/>
      <w:szCs w:val="20"/>
    </w:rPr>
  </w:style>
  <w:style w:type="paragraph" w:customStyle="1" w:styleId="78">
    <w:name w:val="标题3"/>
    <w:basedOn w:val="1"/>
    <w:next w:val="5"/>
    <w:qFormat/>
    <w:uiPriority w:val="0"/>
    <w:pPr>
      <w:adjustRightInd w:val="0"/>
      <w:snapToGrid w:val="0"/>
      <w:spacing w:beforeLines="50" w:afterLines="50"/>
      <w:textAlignment w:val="baseline"/>
    </w:pPr>
    <w:rPr>
      <w:rFonts w:ascii="宋体" w:hAnsi="宋体"/>
      <w:kern w:val="0"/>
    </w:rPr>
  </w:style>
  <w:style w:type="paragraph" w:customStyle="1" w:styleId="79">
    <w:name w:val="正文1 Char Char"/>
    <w:basedOn w:val="1"/>
    <w:qFormat/>
    <w:uiPriority w:val="0"/>
    <w:pPr>
      <w:tabs>
        <w:tab w:val="left" w:pos="1440"/>
      </w:tabs>
      <w:adjustRightInd w:val="0"/>
      <w:snapToGrid w:val="0"/>
    </w:pPr>
    <w:rPr>
      <w:szCs w:val="20"/>
    </w:rPr>
  </w:style>
  <w:style w:type="paragraph" w:customStyle="1" w:styleId="80">
    <w:name w:val="标题2"/>
    <w:next w:val="1"/>
    <w:qFormat/>
    <w:uiPriority w:val="0"/>
    <w:pPr>
      <w:adjustRightInd w:val="0"/>
      <w:snapToGrid w:val="0"/>
      <w:textAlignment w:val="baseline"/>
    </w:pPr>
    <w:rPr>
      <w:rFonts w:ascii="Times New Roman" w:hAnsi="Times New Roman" w:eastAsia="宋体" w:cs="Times New Roman"/>
      <w:b/>
      <w:sz w:val="24"/>
      <w:lang w:val="en-US" w:eastAsia="zh-CN" w:bidi="ar-SA"/>
    </w:rPr>
  </w:style>
  <w:style w:type="paragraph" w:customStyle="1" w:styleId="81">
    <w:name w:val="正文3"/>
    <w:qFormat/>
    <w:uiPriority w:val="0"/>
    <w:pPr>
      <w:tabs>
        <w:tab w:val="left" w:pos="1440"/>
      </w:tabs>
      <w:spacing w:line="360" w:lineRule="auto"/>
      <w:ind w:left="1440" w:hanging="480"/>
    </w:pPr>
    <w:rPr>
      <w:rFonts w:ascii="Times New Roman" w:hAnsi="Times New Roman" w:eastAsia="宋体" w:cs="Times New Roman"/>
      <w:sz w:val="24"/>
      <w:lang w:val="en-US" w:eastAsia="zh-CN" w:bidi="ar-SA"/>
    </w:rPr>
  </w:style>
  <w:style w:type="paragraph" w:customStyle="1" w:styleId="82">
    <w:name w:val="ST20_1"/>
    <w:basedOn w:val="1"/>
    <w:next w:val="1"/>
    <w:qFormat/>
    <w:uiPriority w:val="0"/>
    <w:pPr>
      <w:keepNext/>
      <w:keepLines/>
      <w:tabs>
        <w:tab w:val="left" w:pos="425"/>
        <w:tab w:val="right" w:leader="dot" w:pos="8400"/>
      </w:tabs>
      <w:adjustRightInd w:val="0"/>
      <w:snapToGrid w:val="0"/>
      <w:spacing w:before="120" w:after="120" w:line="300" w:lineRule="auto"/>
      <w:ind w:left="425" w:hanging="425"/>
      <w:jc w:val="left"/>
    </w:pPr>
    <w:rPr>
      <w:rFonts w:ascii="Arial" w:hAnsi="Arial"/>
      <w:kern w:val="0"/>
      <w:szCs w:val="20"/>
    </w:rPr>
  </w:style>
  <w:style w:type="paragraph" w:customStyle="1" w:styleId="83">
    <w:name w:val="ST20-2"/>
    <w:basedOn w:val="1"/>
    <w:qFormat/>
    <w:uiPriority w:val="0"/>
    <w:pPr>
      <w:tabs>
        <w:tab w:val="left" w:pos="360"/>
        <w:tab w:val="left" w:pos="567"/>
      </w:tabs>
      <w:adjustRightInd w:val="0"/>
      <w:snapToGrid w:val="0"/>
      <w:spacing w:after="120" w:line="300" w:lineRule="auto"/>
      <w:ind w:left="1247" w:hanging="360"/>
    </w:pPr>
    <w:rPr>
      <w:rFonts w:ascii="宋体" w:hAnsi="Arial"/>
      <w:szCs w:val="20"/>
    </w:rPr>
  </w:style>
  <w:style w:type="paragraph" w:customStyle="1" w:styleId="84">
    <w:name w:val="杠"/>
    <w:basedOn w:val="5"/>
    <w:qFormat/>
    <w:uiPriority w:val="0"/>
    <w:pPr>
      <w:tabs>
        <w:tab w:val="left" w:pos="425"/>
      </w:tabs>
      <w:spacing w:before="120" w:line="300" w:lineRule="auto"/>
      <w:ind w:left="1559" w:hanging="420"/>
      <w:textAlignment w:val="baseline"/>
    </w:pPr>
    <w:rPr>
      <w:rFonts w:ascii="Arial" w:hAnsi="Arial"/>
    </w:rPr>
  </w:style>
  <w:style w:type="paragraph" w:customStyle="1" w:styleId="85">
    <w:name w:val="样式 标题 3标题 3 Char条标题1.1.1 Char Char Char Char Char Char Char Ch..."/>
    <w:basedOn w:val="78"/>
    <w:qFormat/>
    <w:uiPriority w:val="0"/>
    <w:pPr>
      <w:ind w:right="210"/>
    </w:pPr>
    <w:rPr>
      <w:rFonts w:cs="宋体"/>
      <w:b/>
      <w:iCs/>
      <w:szCs w:val="20"/>
    </w:rPr>
  </w:style>
  <w:style w:type="character" w:customStyle="1" w:styleId="86">
    <w:name w:val="标题 1 Char1"/>
    <w:qFormat/>
    <w:uiPriority w:val="0"/>
    <w:rPr>
      <w:rFonts w:eastAsia="宋体"/>
      <w:b/>
      <w:bCs/>
      <w:kern w:val="44"/>
      <w:sz w:val="24"/>
      <w:szCs w:val="44"/>
      <w:lang w:val="en-US" w:eastAsia="zh-CN" w:bidi="ar-SA"/>
    </w:rPr>
  </w:style>
  <w:style w:type="character" w:customStyle="1" w:styleId="87">
    <w:name w:val="标题 Char"/>
    <w:qFormat/>
    <w:uiPriority w:val="0"/>
    <w:rPr>
      <w:rFonts w:ascii="Arial" w:hAnsi="Arial" w:eastAsia="宋体" w:cs="Arial"/>
      <w:bCs/>
      <w:kern w:val="2"/>
      <w:sz w:val="24"/>
      <w:szCs w:val="32"/>
      <w:lang w:val="en-US" w:eastAsia="zh-CN" w:bidi="ar-SA"/>
    </w:rPr>
  </w:style>
  <w:style w:type="paragraph" w:customStyle="1" w:styleId="88">
    <w:name w:val="样式 标题 2标题 2 Char Char Char Char Char Char Char标题 2 Char + 宋体 ..."/>
    <w:basedOn w:val="4"/>
    <w:qFormat/>
    <w:uiPriority w:val="0"/>
    <w:pPr>
      <w:keepLines w:val="0"/>
      <w:spacing w:line="240" w:lineRule="auto"/>
    </w:pPr>
    <w:rPr>
      <w:rFonts w:ascii="宋体" w:hAnsi="宋体"/>
      <w:b w:val="0"/>
      <w:bCs w:val="0"/>
      <w:szCs w:val="24"/>
    </w:rPr>
  </w:style>
  <w:style w:type="paragraph" w:customStyle="1" w:styleId="89">
    <w:name w:val="样式 标题 3 + 宋体 小四 非加粗 段后: 7.8 磅 行距: 1.5 倍行距"/>
    <w:basedOn w:val="6"/>
    <w:qFormat/>
    <w:uiPriority w:val="0"/>
    <w:pPr>
      <w:keepLines w:val="0"/>
      <w:adjustRightInd/>
      <w:snapToGrid/>
      <w:spacing w:after="156"/>
    </w:pPr>
    <w:rPr>
      <w:rFonts w:ascii="宋体" w:hAnsi="宋体" w:cs="宋体"/>
      <w:b/>
      <w:bCs w:val="0"/>
      <w:iCs w:val="0"/>
      <w:color w:val="auto"/>
      <w:spacing w:val="0"/>
      <w:szCs w:val="20"/>
    </w:rPr>
  </w:style>
  <w:style w:type="character" w:customStyle="1" w:styleId="90">
    <w:name w:val="访问过的超链接1"/>
    <w:qFormat/>
    <w:uiPriority w:val="0"/>
    <w:rPr>
      <w:color w:val="800080"/>
      <w:u w:val="single"/>
    </w:rPr>
  </w:style>
  <w:style w:type="paragraph" w:customStyle="1" w:styleId="91">
    <w:name w:val="Char"/>
    <w:basedOn w:val="1"/>
    <w:link w:val="231"/>
    <w:qFormat/>
    <w:uiPriority w:val="0"/>
    <w:pPr>
      <w:widowControl/>
      <w:spacing w:beforeLines="50" w:afterLines="50" w:line="400" w:lineRule="exact"/>
      <w:jc w:val="center"/>
    </w:pPr>
    <w:rPr>
      <w:szCs w:val="20"/>
    </w:rPr>
  </w:style>
  <w:style w:type="paragraph" w:customStyle="1" w:styleId="92">
    <w:name w:val="Char Char Char Char Char Char Char Char Char Char Char Char Char Char Char Char"/>
    <w:basedOn w:val="1"/>
    <w:qFormat/>
    <w:uiPriority w:val="0"/>
    <w:rPr>
      <w:rFonts w:ascii="Tahoma" w:hAnsi="Tahoma"/>
    </w:rPr>
  </w:style>
  <w:style w:type="paragraph" w:customStyle="1" w:styleId="93">
    <w:name w:val="(文字) (文字)"/>
    <w:basedOn w:val="1"/>
    <w:qFormat/>
    <w:uiPriority w:val="0"/>
  </w:style>
  <w:style w:type="paragraph" w:customStyle="1" w:styleId="94">
    <w:name w:val="正文1"/>
    <w:basedOn w:val="1"/>
    <w:qFormat/>
    <w:uiPriority w:val="0"/>
    <w:rPr>
      <w:szCs w:val="20"/>
    </w:rPr>
  </w:style>
  <w:style w:type="paragraph" w:customStyle="1" w:styleId="95">
    <w:name w:val="样式 标题2 + 宋体 加粗"/>
    <w:basedOn w:val="80"/>
    <w:qFormat/>
    <w:uiPriority w:val="0"/>
    <w:pPr>
      <w:keepNext/>
      <w:keepLines/>
      <w:widowControl w:val="0"/>
      <w:spacing w:before="120" w:after="120"/>
      <w:jc w:val="both"/>
      <w:outlineLvl w:val="1"/>
    </w:pPr>
    <w:rPr>
      <w:rFonts w:ascii="宋体" w:hAnsi="宋体"/>
      <w:bCs/>
    </w:rPr>
  </w:style>
  <w:style w:type="character" w:customStyle="1" w:styleId="96">
    <w:name w:val="正文缩进 Char Char"/>
    <w:qFormat/>
    <w:uiPriority w:val="0"/>
    <w:rPr>
      <w:rFonts w:eastAsia="宋体"/>
      <w:kern w:val="2"/>
      <w:sz w:val="24"/>
      <w:lang w:val="en-US" w:eastAsia="zh-CN" w:bidi="ar-SA"/>
    </w:rPr>
  </w:style>
  <w:style w:type="paragraph" w:customStyle="1" w:styleId="97">
    <w:name w:val="样式 正文缩进正文缩进 Char正文缩进1 Char正文缩进1正文（首行缩进两字） Char正文缩进 Char Cha..."/>
    <w:basedOn w:val="5"/>
    <w:qFormat/>
    <w:uiPriority w:val="0"/>
    <w:pPr>
      <w:adjustRightInd/>
      <w:snapToGrid/>
      <w:spacing w:beforeLines="50"/>
      <w:ind w:firstLine="567"/>
      <w:jc w:val="left"/>
    </w:pPr>
    <w:rPr>
      <w:rFonts w:cs="宋体"/>
    </w:rPr>
  </w:style>
  <w:style w:type="character" w:customStyle="1" w:styleId="98">
    <w:name w:val="样式 表格文字 Char + 段前: 0.5 行 Char"/>
    <w:qFormat/>
    <w:uiPriority w:val="0"/>
    <w:rPr>
      <w:rFonts w:eastAsia="宋体" w:cs="宋体"/>
      <w:kern w:val="2"/>
      <w:sz w:val="24"/>
      <w:lang w:val="en-US" w:eastAsia="zh-CN" w:bidi="ar-SA"/>
    </w:rPr>
  </w:style>
  <w:style w:type="character" w:customStyle="1" w:styleId="99">
    <w:name w:val="样式 表格文字 Char + 段前: 0.5 行 Char Char"/>
    <w:qFormat/>
    <w:uiPriority w:val="0"/>
    <w:rPr>
      <w:rFonts w:eastAsia="宋体" w:cs="宋体"/>
      <w:kern w:val="2"/>
      <w:sz w:val="24"/>
      <w:lang w:val="en-US" w:eastAsia="zh-CN" w:bidi="ar-SA"/>
    </w:rPr>
  </w:style>
  <w:style w:type="paragraph" w:customStyle="1" w:styleId="100">
    <w:name w:val="Char Char Char1 Char Char Char Char"/>
    <w:basedOn w:val="1"/>
    <w:qFormat/>
    <w:uiPriority w:val="0"/>
  </w:style>
  <w:style w:type="paragraph" w:customStyle="1" w:styleId="101">
    <w:name w:val="cucd-0"/>
    <w:link w:val="102"/>
    <w:qFormat/>
    <w:uiPriority w:val="0"/>
    <w:pPr>
      <w:spacing w:line="360" w:lineRule="auto"/>
      <w:ind w:firstLine="480" w:firstLineChars="200"/>
    </w:pPr>
    <w:rPr>
      <w:rFonts w:ascii="Times New Roman" w:hAnsi="Times New Roman" w:eastAsia="宋体" w:cs="Times New Roman"/>
      <w:kern w:val="2"/>
      <w:sz w:val="24"/>
      <w:szCs w:val="24"/>
      <w:lang w:val="en-US" w:eastAsia="zh-CN" w:bidi="ar-SA"/>
    </w:rPr>
  </w:style>
  <w:style w:type="character" w:customStyle="1" w:styleId="102">
    <w:name w:val="cucd-0 Char"/>
    <w:link w:val="101"/>
    <w:qFormat/>
    <w:uiPriority w:val="0"/>
    <w:rPr>
      <w:kern w:val="2"/>
      <w:sz w:val="24"/>
      <w:szCs w:val="24"/>
      <w:lang w:val="en-US" w:eastAsia="zh-CN" w:bidi="ar-SA"/>
    </w:rPr>
  </w:style>
  <w:style w:type="table" w:customStyle="1" w:styleId="103">
    <w:name w:val="cucd-table"/>
    <w:basedOn w:val="62"/>
    <w:qFormat/>
    <w:uiPriority w:val="0"/>
    <w:pPr>
      <w:jc w:val="center"/>
    </w:pPr>
    <w:tblPr>
      <w:tblBorders>
        <w:top w:val="thinThickSmallGap" w:color="auto" w:sz="12" w:space="0"/>
        <w:left w:val="thinThickSmallGap" w:color="auto" w:sz="12" w:space="0"/>
        <w:bottom w:val="thickThinSmallGap" w:color="auto" w:sz="12" w:space="0"/>
        <w:right w:val="thickThinSmallGap" w:color="auto" w:sz="12" w:space="0"/>
        <w:insideH w:val="single" w:color="auto" w:sz="6" w:space="0"/>
        <w:insideV w:val="single" w:color="auto" w:sz="6" w:space="0"/>
      </w:tblBorders>
      <w:tblCellMar>
        <w:top w:w="0" w:type="dxa"/>
        <w:left w:w="108" w:type="dxa"/>
        <w:bottom w:w="0" w:type="dxa"/>
        <w:right w:w="108" w:type="dxa"/>
      </w:tblCellMar>
    </w:tblPr>
    <w:tcPr>
      <w:vAlign w:val="center"/>
    </w:tcPr>
    <w:tblStylePr w:type="firstRow">
      <w:rPr>
        <w:b/>
        <w:i w:val="0"/>
      </w:rPr>
      <w:tcPr>
        <w:tcBorders>
          <w:top w:val="thinThickSmallGap" w:color="auto" w:sz="12" w:space="0"/>
          <w:left w:val="thinThickSmallGap" w:color="auto" w:sz="12" w:space="0"/>
          <w:bottom w:val="single" w:color="auto" w:sz="4" w:space="0"/>
          <w:right w:val="thickThinSmallGap" w:color="auto" w:sz="12" w:space="0"/>
          <w:insideH w:val="single" w:sz="6" w:space="0"/>
          <w:insideV w:val="single" w:sz="6" w:space="0"/>
          <w:tl2br w:val="nil"/>
          <w:tr2bl w:val="nil"/>
        </w:tcBorders>
        <w:shd w:val="clear" w:color="auto" w:fill="D9D9D9"/>
      </w:tcPr>
    </w:tblStylePr>
  </w:style>
  <w:style w:type="paragraph" w:customStyle="1" w:styleId="104">
    <w:name w:val="cucd-TB-Head"/>
    <w:basedOn w:val="1"/>
    <w:next w:val="101"/>
    <w:link w:val="106"/>
    <w:qFormat/>
    <w:uiPriority w:val="0"/>
    <w:pPr>
      <w:spacing w:beforeLines="50" w:afterLines="50"/>
      <w:jc w:val="center"/>
    </w:pPr>
    <w:rPr>
      <w:rFonts w:eastAsia="黑体"/>
    </w:rPr>
  </w:style>
  <w:style w:type="paragraph" w:customStyle="1" w:styleId="105">
    <w:name w:val="cucd-TB"/>
    <w:link w:val="107"/>
    <w:qFormat/>
    <w:uiPriority w:val="0"/>
    <w:pPr>
      <w:spacing w:line="360" w:lineRule="auto"/>
      <w:jc w:val="center"/>
    </w:pPr>
    <w:rPr>
      <w:rFonts w:ascii="Times New Roman" w:hAnsi="Times New Roman" w:eastAsia="宋体" w:cs="Times New Roman"/>
      <w:kern w:val="2"/>
      <w:sz w:val="21"/>
      <w:szCs w:val="24"/>
      <w:lang w:val="en-US" w:eastAsia="zh-CN" w:bidi="ar-SA"/>
    </w:rPr>
  </w:style>
  <w:style w:type="character" w:customStyle="1" w:styleId="106">
    <w:name w:val="cucd-TB-Head Char"/>
    <w:link w:val="104"/>
    <w:qFormat/>
    <w:uiPriority w:val="0"/>
    <w:rPr>
      <w:rFonts w:eastAsia="黑体"/>
      <w:kern w:val="2"/>
      <w:sz w:val="24"/>
      <w:szCs w:val="24"/>
      <w:lang w:val="en-US" w:eastAsia="zh-CN" w:bidi="ar-SA"/>
    </w:rPr>
  </w:style>
  <w:style w:type="character" w:customStyle="1" w:styleId="107">
    <w:name w:val="cucd-TB Char"/>
    <w:link w:val="105"/>
    <w:qFormat/>
    <w:uiPriority w:val="0"/>
    <w:rPr>
      <w:kern w:val="2"/>
      <w:sz w:val="21"/>
      <w:szCs w:val="24"/>
      <w:lang w:val="en-US" w:eastAsia="zh-CN" w:bidi="ar-SA"/>
    </w:rPr>
  </w:style>
  <w:style w:type="paragraph" w:customStyle="1" w:styleId="108">
    <w:name w:val="Char1"/>
    <w:basedOn w:val="1"/>
    <w:qFormat/>
    <w:uiPriority w:val="0"/>
  </w:style>
  <w:style w:type="paragraph" w:customStyle="1" w:styleId="109">
    <w:name w:val="スタイル1"/>
    <w:basedOn w:val="1"/>
    <w:qFormat/>
    <w:uiPriority w:val="0"/>
    <w:pPr>
      <w:snapToGrid w:val="0"/>
      <w:spacing w:line="440" w:lineRule="atLeast"/>
    </w:pPr>
    <w:rPr>
      <w:rFonts w:eastAsia="MS Mincho"/>
      <w:lang w:eastAsia="ja-JP"/>
    </w:rPr>
  </w:style>
  <w:style w:type="paragraph" w:customStyle="1" w:styleId="110">
    <w:name w:val="（1）本文"/>
    <w:basedOn w:val="1"/>
    <w:qFormat/>
    <w:uiPriority w:val="0"/>
    <w:pPr>
      <w:ind w:left="400" w:leftChars="400" w:firstLine="100" w:firstLineChars="100"/>
    </w:pPr>
    <w:rPr>
      <w:rFonts w:ascii="MS Mincho" w:hAnsi="MS Mincho" w:eastAsia="MS Mincho"/>
      <w:lang w:eastAsia="ja-JP"/>
    </w:rPr>
  </w:style>
  <w:style w:type="paragraph" w:customStyle="1" w:styleId="111">
    <w:name w:val="(文字) (文字)1"/>
    <w:basedOn w:val="1"/>
    <w:qFormat/>
    <w:uiPriority w:val="0"/>
  </w:style>
  <w:style w:type="character" w:customStyle="1" w:styleId="112">
    <w:name w:val="标题 5 Char"/>
    <w:link w:val="8"/>
    <w:qFormat/>
    <w:uiPriority w:val="0"/>
    <w:rPr>
      <w:sz w:val="24"/>
    </w:rPr>
  </w:style>
  <w:style w:type="character" w:customStyle="1" w:styleId="113">
    <w:name w:val="标题 6 Char"/>
    <w:link w:val="9"/>
    <w:qFormat/>
    <w:uiPriority w:val="0"/>
    <w:rPr>
      <w:sz w:val="24"/>
    </w:rPr>
  </w:style>
  <w:style w:type="character" w:customStyle="1" w:styleId="114">
    <w:name w:val="标题 7 Char"/>
    <w:link w:val="10"/>
    <w:qFormat/>
    <w:uiPriority w:val="0"/>
    <w:rPr>
      <w:sz w:val="24"/>
    </w:rPr>
  </w:style>
  <w:style w:type="character" w:customStyle="1" w:styleId="115">
    <w:name w:val="标题 8 Char"/>
    <w:link w:val="11"/>
    <w:qFormat/>
    <w:uiPriority w:val="0"/>
    <w:rPr>
      <w:sz w:val="24"/>
    </w:rPr>
  </w:style>
  <w:style w:type="character" w:customStyle="1" w:styleId="116">
    <w:name w:val="标题 9 Char"/>
    <w:link w:val="12"/>
    <w:qFormat/>
    <w:uiPriority w:val="0"/>
    <w:rPr>
      <w:rFonts w:ascii="Arial" w:hAnsi="Arial" w:eastAsia="黑体"/>
      <w:sz w:val="24"/>
    </w:rPr>
  </w:style>
  <w:style w:type="character" w:customStyle="1" w:styleId="117">
    <w:name w:val="正文文本 Char"/>
    <w:link w:val="25"/>
    <w:qFormat/>
    <w:uiPriority w:val="0"/>
    <w:rPr>
      <w:kern w:val="2"/>
      <w:sz w:val="21"/>
      <w:szCs w:val="24"/>
    </w:rPr>
  </w:style>
  <w:style w:type="character" w:customStyle="1" w:styleId="118">
    <w:name w:val="正文首行缩进 Char"/>
    <w:basedOn w:val="117"/>
    <w:link w:val="60"/>
    <w:qFormat/>
    <w:uiPriority w:val="0"/>
    <w:rPr>
      <w:kern w:val="2"/>
      <w:sz w:val="21"/>
      <w:szCs w:val="24"/>
    </w:rPr>
  </w:style>
  <w:style w:type="paragraph" w:customStyle="1" w:styleId="119">
    <w:name w:val="样式 首行缩进:  2 字符"/>
    <w:basedOn w:val="1"/>
    <w:semiHidden/>
    <w:qFormat/>
    <w:uiPriority w:val="0"/>
    <w:pPr>
      <w:ind w:firstLine="420"/>
    </w:pPr>
    <w:rPr>
      <w:rFonts w:cs="宋体"/>
      <w:sz w:val="28"/>
      <w:szCs w:val="20"/>
    </w:rPr>
  </w:style>
  <w:style w:type="character" w:customStyle="1" w:styleId="120">
    <w:name w:val="standdate1"/>
    <w:qFormat/>
    <w:uiPriority w:val="0"/>
    <w:rPr>
      <w:rFonts w:ascii="黑体" w:hAnsi="Times New Roman" w:eastAsia="黑体"/>
      <w:color w:val="auto"/>
      <w:sz w:val="24"/>
      <w:u w:val="none"/>
    </w:rPr>
  </w:style>
  <w:style w:type="character" w:customStyle="1" w:styleId="121">
    <w:name w:val="标题 3 Char Char Char Char Char Char Char Char Char Char Char Char Char Char Char Char Char"/>
    <w:qFormat/>
    <w:uiPriority w:val="0"/>
    <w:rPr>
      <w:rFonts w:eastAsia="宋体"/>
      <w:b/>
      <w:sz w:val="32"/>
      <w:lang w:val="en-US" w:eastAsia="zh-CN"/>
    </w:rPr>
  </w:style>
  <w:style w:type="character" w:customStyle="1" w:styleId="122">
    <w:name w:val="style11"/>
    <w:qFormat/>
    <w:uiPriority w:val="0"/>
    <w:rPr>
      <w:b/>
      <w:color w:val="333333"/>
    </w:rPr>
  </w:style>
  <w:style w:type="character" w:customStyle="1" w:styleId="123">
    <w:name w:val="批注文字 Char"/>
    <w:link w:val="21"/>
    <w:qFormat/>
    <w:uiPriority w:val="0"/>
    <w:rPr>
      <w:kern w:val="2"/>
      <w:sz w:val="21"/>
      <w:szCs w:val="24"/>
    </w:rPr>
  </w:style>
  <w:style w:type="character" w:customStyle="1" w:styleId="124">
    <w:name w:val="cucd-2 Char"/>
    <w:link w:val="125"/>
    <w:qFormat/>
    <w:uiPriority w:val="0"/>
    <w:rPr>
      <w:rFonts w:eastAsia="黑体"/>
      <w:b/>
      <w:kern w:val="2"/>
      <w:sz w:val="30"/>
      <w:lang w:val="en-US" w:eastAsia="zh-CN" w:bidi="ar-SA"/>
    </w:rPr>
  </w:style>
  <w:style w:type="paragraph" w:customStyle="1" w:styleId="125">
    <w:name w:val="cucd-2"/>
    <w:next w:val="126"/>
    <w:link w:val="124"/>
    <w:qFormat/>
    <w:uiPriority w:val="0"/>
    <w:pPr>
      <w:tabs>
        <w:tab w:val="left" w:pos="-153"/>
        <w:tab w:val="left" w:pos="720"/>
      </w:tabs>
      <w:spacing w:line="360" w:lineRule="auto"/>
      <w:ind w:left="-153" w:hanging="567"/>
      <w:outlineLvl w:val="1"/>
    </w:pPr>
    <w:rPr>
      <w:rFonts w:ascii="Times New Roman" w:hAnsi="Times New Roman" w:eastAsia="黑体" w:cs="Times New Roman"/>
      <w:b/>
      <w:kern w:val="2"/>
      <w:sz w:val="30"/>
      <w:lang w:val="en-US" w:eastAsia="zh-CN" w:bidi="ar-SA"/>
    </w:rPr>
  </w:style>
  <w:style w:type="paragraph" w:customStyle="1" w:styleId="126">
    <w:name w:val="cucd-3"/>
    <w:next w:val="127"/>
    <w:link w:val="128"/>
    <w:qFormat/>
    <w:uiPriority w:val="0"/>
    <w:pPr>
      <w:tabs>
        <w:tab w:val="left" w:pos="0"/>
        <w:tab w:val="left" w:pos="720"/>
      </w:tabs>
      <w:spacing w:line="360" w:lineRule="auto"/>
      <w:ind w:left="720" w:hanging="720"/>
      <w:outlineLvl w:val="2"/>
    </w:pPr>
    <w:rPr>
      <w:rFonts w:ascii="Times New Roman" w:hAnsi="Times New Roman" w:eastAsia="宋体" w:cs="Times New Roman"/>
      <w:b/>
      <w:kern w:val="2"/>
      <w:sz w:val="28"/>
      <w:lang w:val="en-US" w:eastAsia="zh-CN" w:bidi="ar-SA"/>
    </w:rPr>
  </w:style>
  <w:style w:type="paragraph" w:customStyle="1" w:styleId="127">
    <w:name w:val="cucd-4"/>
    <w:next w:val="101"/>
    <w:link w:val="131"/>
    <w:qFormat/>
    <w:uiPriority w:val="0"/>
    <w:pPr>
      <w:tabs>
        <w:tab w:val="left" w:pos="720"/>
      </w:tabs>
      <w:spacing w:line="360" w:lineRule="auto"/>
      <w:ind w:left="720" w:hanging="720"/>
      <w:outlineLvl w:val="3"/>
    </w:pPr>
    <w:rPr>
      <w:rFonts w:ascii="Times New Roman" w:hAnsi="Times New Roman" w:eastAsia="宋体" w:cs="Times New Roman"/>
      <w:b/>
      <w:kern w:val="2"/>
      <w:sz w:val="24"/>
      <w:u w:val="single"/>
      <w:lang w:val="en-US" w:eastAsia="zh-CN" w:bidi="ar-SA"/>
    </w:rPr>
  </w:style>
  <w:style w:type="character" w:customStyle="1" w:styleId="128">
    <w:name w:val="cucd-3 Char"/>
    <w:link w:val="126"/>
    <w:qFormat/>
    <w:uiPriority w:val="0"/>
    <w:rPr>
      <w:b/>
      <w:kern w:val="2"/>
      <w:sz w:val="28"/>
      <w:lang w:val="en-US" w:eastAsia="zh-CN" w:bidi="ar-SA"/>
    </w:rPr>
  </w:style>
  <w:style w:type="character" w:customStyle="1" w:styleId="129">
    <w:name w:val="flNote Char"/>
    <w:link w:val="130"/>
    <w:qFormat/>
    <w:uiPriority w:val="0"/>
    <w:rPr>
      <w:rFonts w:ascii="Arial" w:eastAsia="黑体"/>
      <w:sz w:val="30"/>
    </w:rPr>
  </w:style>
  <w:style w:type="paragraph" w:customStyle="1" w:styleId="130">
    <w:name w:val="flNote"/>
    <w:basedOn w:val="1"/>
    <w:link w:val="129"/>
    <w:qFormat/>
    <w:uiPriority w:val="0"/>
    <w:pPr>
      <w:adjustRightInd w:val="0"/>
      <w:spacing w:before="320" w:after="160" w:line="360" w:lineRule="atLeast"/>
      <w:jc w:val="center"/>
      <w:textAlignment w:val="baseline"/>
    </w:pPr>
    <w:rPr>
      <w:rFonts w:ascii="Arial" w:eastAsia="黑体"/>
      <w:kern w:val="0"/>
      <w:sz w:val="30"/>
      <w:szCs w:val="20"/>
    </w:rPr>
  </w:style>
  <w:style w:type="character" w:customStyle="1" w:styleId="131">
    <w:name w:val="cucd-4 Char Char"/>
    <w:link w:val="127"/>
    <w:qFormat/>
    <w:uiPriority w:val="0"/>
    <w:rPr>
      <w:b/>
      <w:kern w:val="2"/>
      <w:sz w:val="24"/>
      <w:u w:val="single"/>
      <w:lang w:val="en-US" w:eastAsia="zh-CN" w:bidi="ar-SA"/>
    </w:rPr>
  </w:style>
  <w:style w:type="character" w:customStyle="1" w:styleId="132">
    <w:name w:val="纯文本 Char"/>
    <w:link w:val="32"/>
    <w:qFormat/>
    <w:uiPriority w:val="0"/>
    <w:rPr>
      <w:kern w:val="2"/>
      <w:sz w:val="24"/>
    </w:rPr>
  </w:style>
  <w:style w:type="character" w:customStyle="1" w:styleId="133">
    <w:name w:val="flName Char"/>
    <w:link w:val="134"/>
    <w:qFormat/>
    <w:uiPriority w:val="0"/>
    <w:rPr>
      <w:rFonts w:ascii="Arial" w:eastAsia="黑体"/>
      <w:sz w:val="32"/>
    </w:rPr>
  </w:style>
  <w:style w:type="paragraph" w:customStyle="1" w:styleId="134">
    <w:name w:val="flName"/>
    <w:basedOn w:val="130"/>
    <w:link w:val="133"/>
    <w:qFormat/>
    <w:uiPriority w:val="0"/>
    <w:rPr>
      <w:sz w:val="32"/>
    </w:rPr>
  </w:style>
  <w:style w:type="character" w:customStyle="1" w:styleId="135">
    <w:name w:val="标题 2 Char"/>
    <w:link w:val="4"/>
    <w:qFormat/>
    <w:uiPriority w:val="0"/>
    <w:rPr>
      <w:b/>
      <w:bCs/>
      <w:kern w:val="2"/>
      <w:sz w:val="24"/>
      <w:szCs w:val="32"/>
    </w:rPr>
  </w:style>
  <w:style w:type="character" w:customStyle="1" w:styleId="136">
    <w:name w:val="页脚 Char"/>
    <w:link w:val="38"/>
    <w:qFormat/>
    <w:uiPriority w:val="99"/>
    <w:rPr>
      <w:kern w:val="2"/>
      <w:sz w:val="18"/>
      <w:szCs w:val="18"/>
    </w:rPr>
  </w:style>
  <w:style w:type="character" w:customStyle="1" w:styleId="137">
    <w:name w:val="a1"/>
    <w:qFormat/>
    <w:uiPriority w:val="0"/>
    <w:rPr>
      <w:color w:val="000000"/>
    </w:rPr>
  </w:style>
  <w:style w:type="character" w:customStyle="1" w:styleId="138">
    <w:name w:val="Char Char"/>
    <w:link w:val="139"/>
    <w:qFormat/>
    <w:uiPriority w:val="0"/>
    <w:rPr>
      <w:b/>
      <w:kern w:val="44"/>
      <w:sz w:val="32"/>
    </w:rPr>
  </w:style>
  <w:style w:type="paragraph" w:customStyle="1" w:styleId="139">
    <w:name w:val="Char2"/>
    <w:basedOn w:val="1"/>
    <w:link w:val="138"/>
    <w:qFormat/>
    <w:uiPriority w:val="0"/>
    <w:pPr>
      <w:adjustRightInd w:val="0"/>
      <w:snapToGrid w:val="0"/>
      <w:ind w:firstLine="466"/>
      <w:textAlignment w:val="baseline"/>
    </w:pPr>
    <w:rPr>
      <w:b/>
      <w:kern w:val="44"/>
      <w:sz w:val="32"/>
      <w:szCs w:val="20"/>
    </w:rPr>
  </w:style>
  <w:style w:type="character" w:customStyle="1" w:styleId="140">
    <w:name w:val="副标题 Char"/>
    <w:link w:val="44"/>
    <w:qFormat/>
    <w:uiPriority w:val="0"/>
    <w:rPr>
      <w:rFonts w:ascii="Arial" w:hAnsi="Arial" w:eastAsia="黑体"/>
      <w:i/>
      <w:sz w:val="24"/>
    </w:rPr>
  </w:style>
  <w:style w:type="character" w:customStyle="1" w:styleId="141">
    <w:name w:val="正文文本 3 Char"/>
    <w:link w:val="23"/>
    <w:qFormat/>
    <w:uiPriority w:val="0"/>
    <w:rPr>
      <w:rFonts w:ascii="宋体" w:hAnsi="宋体"/>
      <w:kern w:val="2"/>
      <w:sz w:val="32"/>
    </w:rPr>
  </w:style>
  <w:style w:type="paragraph" w:customStyle="1" w:styleId="142">
    <w:name w:val="xl40"/>
    <w:basedOn w:val="1"/>
    <w:qFormat/>
    <w:uiPriority w:val="0"/>
    <w:pPr>
      <w:widowControl/>
      <w:spacing w:before="100" w:beforeAutospacing="1" w:after="100" w:afterAutospacing="1"/>
      <w:jc w:val="right"/>
    </w:pPr>
    <w:rPr>
      <w:rFonts w:ascii="宋体" w:hAnsi="宋体"/>
      <w:kern w:val="0"/>
      <w:szCs w:val="20"/>
    </w:rPr>
  </w:style>
  <w:style w:type="paragraph" w:customStyle="1" w:styleId="143">
    <w:name w:val="(1)"/>
    <w:basedOn w:val="1"/>
    <w:qFormat/>
    <w:uiPriority w:val="0"/>
    <w:pPr>
      <w:tabs>
        <w:tab w:val="left" w:pos="573"/>
      </w:tabs>
      <w:adjustRightInd w:val="0"/>
      <w:snapToGrid w:val="0"/>
      <w:spacing w:before="80" w:after="100"/>
      <w:ind w:firstLine="420"/>
      <w:textAlignment w:val="baseline"/>
    </w:pPr>
    <w:rPr>
      <w:rFonts w:ascii="Arial" w:hAnsi="Arial"/>
      <w:kern w:val="44"/>
      <w:szCs w:val="20"/>
    </w:rPr>
  </w:style>
  <w:style w:type="paragraph" w:customStyle="1" w:styleId="144">
    <w:name w:val="默认段落字体 Para Char Char Char Char"/>
    <w:basedOn w:val="1"/>
    <w:qFormat/>
    <w:uiPriority w:val="0"/>
    <w:rPr>
      <w:szCs w:val="20"/>
    </w:rPr>
  </w:style>
  <w:style w:type="paragraph" w:customStyle="1" w:styleId="145">
    <w:name w:val="cucd-B"/>
    <w:next w:val="101"/>
    <w:qFormat/>
    <w:uiPriority w:val="0"/>
    <w:pPr>
      <w:spacing w:line="360" w:lineRule="auto"/>
      <w:outlineLvl w:val="1"/>
    </w:pPr>
    <w:rPr>
      <w:rFonts w:ascii="Times New Roman" w:hAnsi="Times New Roman" w:eastAsia="黑体" w:cs="Times New Roman"/>
      <w:kern w:val="2"/>
      <w:sz w:val="30"/>
      <w:lang w:val="en-US" w:eastAsia="zh-CN" w:bidi="ar-SA"/>
    </w:rPr>
  </w:style>
  <w:style w:type="paragraph" w:customStyle="1" w:styleId="146">
    <w:name w:val="Char4"/>
    <w:basedOn w:val="1"/>
    <w:qFormat/>
    <w:uiPriority w:val="0"/>
    <w:rPr>
      <w:szCs w:val="20"/>
    </w:rPr>
  </w:style>
  <w:style w:type="paragraph" w:customStyle="1" w:styleId="147">
    <w:name w:val="样式 标题 2 + 段前: 0.5 行 段后: 0.5 行"/>
    <w:basedOn w:val="4"/>
    <w:qFormat/>
    <w:uiPriority w:val="0"/>
    <w:pPr>
      <w:spacing w:beforeLines="50" w:afterLines="50" w:line="300" w:lineRule="auto"/>
    </w:pPr>
    <w:rPr>
      <w:bCs w:val="0"/>
      <w:kern w:val="0"/>
      <w:szCs w:val="20"/>
    </w:rPr>
  </w:style>
  <w:style w:type="paragraph" w:customStyle="1" w:styleId="148">
    <w:name w:val="È±Ê¡ÎÄ±¾"/>
    <w:basedOn w:val="1"/>
    <w:qFormat/>
    <w:uiPriority w:val="0"/>
    <w:pPr>
      <w:widowControl/>
      <w:overflowPunct w:val="0"/>
      <w:autoSpaceDE w:val="0"/>
      <w:autoSpaceDN w:val="0"/>
      <w:adjustRightInd w:val="0"/>
      <w:jc w:val="left"/>
      <w:textAlignment w:val="baseline"/>
    </w:pPr>
    <w:rPr>
      <w:kern w:val="0"/>
      <w:szCs w:val="20"/>
    </w:rPr>
  </w:style>
  <w:style w:type="paragraph" w:customStyle="1" w:styleId="149">
    <w:name w:val="cucd-A"/>
    <w:next w:val="101"/>
    <w:qFormat/>
    <w:uiPriority w:val="0"/>
    <w:pPr>
      <w:pageBreakBefore/>
      <w:spacing w:beforeLines="100" w:afterLines="50" w:line="360" w:lineRule="auto"/>
      <w:jc w:val="center"/>
      <w:outlineLvl w:val="0"/>
    </w:pPr>
    <w:rPr>
      <w:rFonts w:ascii="Times New Roman" w:hAnsi="Times New Roman" w:eastAsia="黑体" w:cs="Times New Roman"/>
      <w:b/>
      <w:kern w:val="2"/>
      <w:sz w:val="36"/>
      <w:lang w:val="en-US" w:eastAsia="zh-CN" w:bidi="ar-SA"/>
    </w:rPr>
  </w:style>
  <w:style w:type="paragraph" w:customStyle="1" w:styleId="150">
    <w:name w:val="样式11"/>
    <w:basedOn w:val="151"/>
    <w:qFormat/>
    <w:uiPriority w:val="0"/>
    <w:pPr>
      <w:tabs>
        <w:tab w:val="left" w:pos="-165"/>
        <w:tab w:val="left" w:pos="87"/>
        <w:tab w:val="left" w:pos="720"/>
      </w:tabs>
      <w:ind w:left="0" w:firstLine="0"/>
      <w:jc w:val="left"/>
    </w:pPr>
  </w:style>
  <w:style w:type="paragraph" w:customStyle="1" w:styleId="151">
    <w:name w:val="样式3"/>
    <w:basedOn w:val="1"/>
    <w:qFormat/>
    <w:uiPriority w:val="0"/>
    <w:pPr>
      <w:tabs>
        <w:tab w:val="left" w:pos="87"/>
        <w:tab w:val="left" w:pos="720"/>
      </w:tabs>
      <w:spacing w:line="600" w:lineRule="exact"/>
      <w:ind w:left="767" w:hanging="767"/>
    </w:pPr>
    <w:rPr>
      <w:rFonts w:ascii="宋体" w:hAnsi="宋体"/>
      <w:szCs w:val="20"/>
    </w:rPr>
  </w:style>
  <w:style w:type="paragraph" w:customStyle="1" w:styleId="152">
    <w:name w:val="样式 标题 3 + 段前: 7.8 磅 段后: 0.5 行 行距: 多倍行距 1.25 字行"/>
    <w:basedOn w:val="6"/>
    <w:qFormat/>
    <w:uiPriority w:val="0"/>
    <w:pPr>
      <w:adjustRightInd/>
      <w:snapToGrid/>
      <w:spacing w:beforeLines="50" w:afterLines="50" w:line="300" w:lineRule="auto"/>
    </w:pPr>
    <w:rPr>
      <w:bCs w:val="0"/>
      <w:iCs w:val="0"/>
      <w:color w:val="auto"/>
      <w:spacing w:val="0"/>
      <w:szCs w:val="20"/>
    </w:rPr>
  </w:style>
  <w:style w:type="paragraph" w:customStyle="1" w:styleId="153">
    <w:name w:val="正文文字1"/>
    <w:basedOn w:val="25"/>
    <w:qFormat/>
    <w:uiPriority w:val="0"/>
    <w:pPr>
      <w:adjustRightInd w:val="0"/>
      <w:spacing w:after="0" w:line="360" w:lineRule="atLeast"/>
      <w:ind w:left="72" w:leftChars="30" w:right="30" w:rightChars="30"/>
      <w:textAlignment w:val="baseline"/>
    </w:pPr>
    <w:rPr>
      <w:kern w:val="0"/>
      <w:szCs w:val="20"/>
    </w:rPr>
  </w:style>
  <w:style w:type="paragraph" w:customStyle="1" w:styleId="154">
    <w:name w:val="标题后正文"/>
    <w:basedOn w:val="1"/>
    <w:qFormat/>
    <w:uiPriority w:val="0"/>
    <w:pPr>
      <w:adjustRightInd w:val="0"/>
      <w:textAlignment w:val="baseline"/>
    </w:pPr>
    <w:rPr>
      <w:snapToGrid w:val="0"/>
      <w:kern w:val="28"/>
      <w:szCs w:val="20"/>
    </w:rPr>
  </w:style>
  <w:style w:type="paragraph" w:customStyle="1" w:styleId="155">
    <w:name w:val="cucd-C"/>
    <w:next w:val="101"/>
    <w:qFormat/>
    <w:uiPriority w:val="0"/>
    <w:pPr>
      <w:spacing w:line="360" w:lineRule="auto"/>
      <w:outlineLvl w:val="2"/>
    </w:pPr>
    <w:rPr>
      <w:rFonts w:ascii="Times New Roman" w:hAnsi="Times New Roman" w:eastAsia="宋体" w:cs="Times New Roman"/>
      <w:b/>
      <w:kern w:val="2"/>
      <w:sz w:val="28"/>
      <w:lang w:val="en-US" w:eastAsia="zh-CN" w:bidi="ar-SA"/>
    </w:rPr>
  </w:style>
  <w:style w:type="paragraph" w:customStyle="1" w:styleId="156">
    <w:name w:val="flType"/>
    <w:basedOn w:val="134"/>
    <w:qFormat/>
    <w:uiPriority w:val="0"/>
    <w:pPr>
      <w:spacing w:before="560" w:after="120"/>
    </w:pPr>
    <w:rPr>
      <w:sz w:val="28"/>
    </w:rPr>
  </w:style>
  <w:style w:type="character" w:customStyle="1" w:styleId="157">
    <w:name w:val="正文文本缩进 Char"/>
    <w:link w:val="26"/>
    <w:qFormat/>
    <w:uiPriority w:val="0"/>
    <w:rPr>
      <w:rFonts w:ascii="宋体" w:hAnsi="宋体"/>
      <w:kern w:val="2"/>
      <w:sz w:val="24"/>
      <w:szCs w:val="24"/>
    </w:rPr>
  </w:style>
  <w:style w:type="character" w:customStyle="1" w:styleId="158">
    <w:name w:val="正文首行缩进 2 Char"/>
    <w:basedOn w:val="157"/>
    <w:link w:val="61"/>
    <w:qFormat/>
    <w:uiPriority w:val="0"/>
    <w:rPr>
      <w:rFonts w:ascii="宋体" w:hAnsi="宋体"/>
      <w:kern w:val="2"/>
      <w:sz w:val="24"/>
      <w:szCs w:val="24"/>
    </w:rPr>
  </w:style>
  <w:style w:type="paragraph" w:customStyle="1" w:styleId="159">
    <w:name w:val="Aufzählung"/>
    <w:basedOn w:val="1"/>
    <w:qFormat/>
    <w:uiPriority w:val="0"/>
    <w:pPr>
      <w:widowControl/>
      <w:spacing w:after="60"/>
    </w:pPr>
    <w:rPr>
      <w:rFonts w:ascii="Times" w:hAnsi="Times"/>
      <w:kern w:val="0"/>
      <w:szCs w:val="20"/>
      <w:lang w:val="de-DE" w:eastAsia="en-US"/>
    </w:rPr>
  </w:style>
  <w:style w:type="paragraph" w:customStyle="1" w:styleId="160">
    <w:name w:val="Char Char Char Char"/>
    <w:basedOn w:val="1"/>
    <w:qFormat/>
    <w:uiPriority w:val="0"/>
    <w:rPr>
      <w:szCs w:val="20"/>
    </w:rPr>
  </w:style>
  <w:style w:type="paragraph" w:customStyle="1" w:styleId="161">
    <w:name w:val="表格"/>
    <w:basedOn w:val="1"/>
    <w:qFormat/>
    <w:uiPriority w:val="0"/>
    <w:pPr>
      <w:spacing w:line="0" w:lineRule="atLeast"/>
      <w:jc w:val="left"/>
    </w:pPr>
    <w:rPr>
      <w:szCs w:val="20"/>
    </w:rPr>
  </w:style>
  <w:style w:type="paragraph" w:customStyle="1" w:styleId="162">
    <w:name w:val="不缩进"/>
    <w:basedOn w:val="1"/>
    <w:qFormat/>
    <w:uiPriority w:val="0"/>
    <w:pPr>
      <w:autoSpaceDE w:val="0"/>
      <w:autoSpaceDN w:val="0"/>
      <w:adjustRightInd w:val="0"/>
      <w:spacing w:before="100" w:after="100" w:line="240" w:lineRule="atLeast"/>
      <w:jc w:val="center"/>
      <w:textAlignment w:val="baseline"/>
    </w:pPr>
    <w:rPr>
      <w:rFonts w:ascii="宋体"/>
      <w:kern w:val="0"/>
      <w:szCs w:val="20"/>
    </w:rPr>
  </w:style>
  <w:style w:type="paragraph" w:customStyle="1" w:styleId="163">
    <w:name w:val="cucd-1"/>
    <w:next w:val="125"/>
    <w:qFormat/>
    <w:uiPriority w:val="0"/>
    <w:pPr>
      <w:spacing w:beforeLines="100" w:afterLines="50" w:line="360" w:lineRule="auto"/>
      <w:jc w:val="both"/>
      <w:outlineLvl w:val="0"/>
    </w:pPr>
    <w:rPr>
      <w:rFonts w:ascii="Times New Roman" w:hAnsi="Times New Roman" w:eastAsia="黑体" w:cs="Times New Roman"/>
      <w:b/>
      <w:kern w:val="2"/>
      <w:sz w:val="36"/>
      <w:lang w:val="en-US" w:eastAsia="zh-CN" w:bidi="ar-SA"/>
    </w:rPr>
  </w:style>
  <w:style w:type="paragraph" w:customStyle="1" w:styleId="164">
    <w:name w:val="Char Char Char Char Char Char Char Char Char Char"/>
    <w:basedOn w:val="1"/>
    <w:qFormat/>
    <w:uiPriority w:val="0"/>
    <w:rPr>
      <w:szCs w:val="20"/>
    </w:rPr>
  </w:style>
  <w:style w:type="paragraph" w:customStyle="1" w:styleId="165">
    <w:name w:val="standdate"/>
    <w:basedOn w:val="38"/>
    <w:qFormat/>
    <w:uiPriority w:val="0"/>
    <w:pPr>
      <w:pBdr>
        <w:top w:val="single" w:color="auto" w:sz="6" w:space="7"/>
      </w:pBdr>
      <w:tabs>
        <w:tab w:val="clear" w:pos="4153"/>
        <w:tab w:val="clear" w:pos="8306"/>
      </w:tabs>
      <w:adjustRightInd w:val="0"/>
      <w:snapToGrid/>
      <w:spacing w:line="240" w:lineRule="atLeast"/>
      <w:ind w:left="255" w:right="255"/>
      <w:jc w:val="center"/>
      <w:textAlignment w:val="center"/>
    </w:pPr>
    <w:rPr>
      <w:rFonts w:ascii="黑体" w:eastAsia="黑体"/>
      <w:b/>
      <w:spacing w:val="-4"/>
      <w:kern w:val="0"/>
      <w:sz w:val="21"/>
      <w:szCs w:val="20"/>
    </w:rPr>
  </w:style>
  <w:style w:type="paragraph" w:customStyle="1" w:styleId="166">
    <w:name w:val="样式 标题 2 + 宋体"/>
    <w:basedOn w:val="4"/>
    <w:qFormat/>
    <w:uiPriority w:val="0"/>
    <w:pPr>
      <w:spacing w:before="260" w:after="260" w:line="240" w:lineRule="auto"/>
    </w:pPr>
    <w:rPr>
      <w:rFonts w:ascii="宋体" w:hAnsi="宋体"/>
      <w:bCs w:val="0"/>
      <w:kern w:val="0"/>
      <w:sz w:val="30"/>
      <w:szCs w:val="20"/>
    </w:rPr>
  </w:style>
  <w:style w:type="paragraph" w:customStyle="1" w:styleId="167">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68">
    <w:name w:val="Default Text"/>
    <w:basedOn w:val="1"/>
    <w:qFormat/>
    <w:uiPriority w:val="0"/>
    <w:pPr>
      <w:widowControl/>
      <w:overflowPunct w:val="0"/>
      <w:autoSpaceDE w:val="0"/>
      <w:autoSpaceDN w:val="0"/>
      <w:adjustRightInd w:val="0"/>
      <w:jc w:val="left"/>
      <w:textAlignment w:val="baseline"/>
    </w:pPr>
    <w:rPr>
      <w:kern w:val="0"/>
      <w:szCs w:val="20"/>
    </w:rPr>
  </w:style>
  <w:style w:type="paragraph" w:customStyle="1" w:styleId="169">
    <w:name w:val="正文文字3"/>
    <w:basedOn w:val="25"/>
    <w:qFormat/>
    <w:uiPriority w:val="0"/>
    <w:pPr>
      <w:adjustRightInd w:val="0"/>
      <w:spacing w:after="0" w:line="360" w:lineRule="atLeast"/>
      <w:ind w:left="72" w:leftChars="30" w:right="30" w:rightChars="30"/>
      <w:textAlignment w:val="baseline"/>
    </w:pPr>
    <w:rPr>
      <w:kern w:val="0"/>
      <w:szCs w:val="20"/>
    </w:rPr>
  </w:style>
  <w:style w:type="paragraph" w:customStyle="1" w:styleId="170">
    <w:name w:val="样式 标题 1 + 宋体 二号 加粗"/>
    <w:basedOn w:val="3"/>
    <w:qFormat/>
    <w:uiPriority w:val="0"/>
    <w:pPr>
      <w:keepLines w:val="0"/>
      <w:spacing w:before="0" w:after="0" w:line="240" w:lineRule="auto"/>
    </w:pPr>
    <w:rPr>
      <w:rFonts w:ascii="宋体" w:hAnsi="宋体"/>
      <w:bCs w:val="0"/>
      <w:kern w:val="2"/>
      <w:sz w:val="36"/>
      <w:szCs w:val="20"/>
    </w:rPr>
  </w:style>
  <w:style w:type="character" w:customStyle="1" w:styleId="171">
    <w:name w:val="结束语 Char"/>
    <w:link w:val="24"/>
    <w:qFormat/>
    <w:uiPriority w:val="0"/>
    <w:rPr>
      <w:spacing w:val="60"/>
      <w:sz w:val="24"/>
    </w:rPr>
  </w:style>
  <w:style w:type="paragraph" w:customStyle="1" w:styleId="172">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 w:type="paragraph" w:customStyle="1" w:styleId="173">
    <w:name w:val="默认段落字体 Para Char"/>
    <w:basedOn w:val="1"/>
    <w:qFormat/>
    <w:uiPriority w:val="0"/>
    <w:rPr>
      <w:szCs w:val="20"/>
    </w:rPr>
  </w:style>
  <w:style w:type="paragraph" w:customStyle="1" w:styleId="174">
    <w:name w:val="正文报告"/>
    <w:basedOn w:val="1"/>
    <w:qFormat/>
    <w:uiPriority w:val="0"/>
    <w:pPr>
      <w:tabs>
        <w:tab w:val="left" w:pos="510"/>
      </w:tabs>
      <w:adjustRightInd w:val="0"/>
      <w:spacing w:line="460" w:lineRule="exact"/>
      <w:ind w:firstLine="482"/>
      <w:textAlignment w:val="baseline"/>
    </w:pPr>
    <w:rPr>
      <w:kern w:val="0"/>
      <w:szCs w:val="20"/>
    </w:rPr>
  </w:style>
  <w:style w:type="paragraph" w:customStyle="1" w:styleId="175">
    <w:name w:val="cucd-D"/>
    <w:next w:val="101"/>
    <w:qFormat/>
    <w:uiPriority w:val="0"/>
    <w:pPr>
      <w:spacing w:line="360" w:lineRule="auto"/>
      <w:outlineLvl w:val="3"/>
    </w:pPr>
    <w:rPr>
      <w:rFonts w:ascii="Times New Roman" w:hAnsi="Times New Roman" w:eastAsia="宋体" w:cs="Times New Roman"/>
      <w:b/>
      <w:kern w:val="2"/>
      <w:sz w:val="24"/>
      <w:lang w:val="en-US" w:eastAsia="zh-CN" w:bidi="ar-SA"/>
    </w:rPr>
  </w:style>
  <w:style w:type="paragraph" w:customStyle="1" w:styleId="176">
    <w:name w:val="样式 (西文) Arial (中文) 宋体 两端对齐 加宽量  0.6 磅 行距: 1.5 倍行距 首行缩进:  2 ..."/>
    <w:basedOn w:val="1"/>
    <w:qFormat/>
    <w:uiPriority w:val="0"/>
    <w:pPr>
      <w:adjustRightInd w:val="0"/>
      <w:ind w:firstLine="528"/>
      <w:textAlignment w:val="baseline"/>
    </w:pPr>
    <w:rPr>
      <w:rFonts w:ascii="Arial" w:hAnsi="Arial" w:eastAsia="仿宋_GB2312"/>
      <w:spacing w:val="12"/>
      <w:szCs w:val="20"/>
      <w:lang w:eastAsia="zh-TW"/>
    </w:rPr>
  </w:style>
  <w:style w:type="paragraph" w:customStyle="1" w:styleId="177">
    <w:name w:val="正文文字2"/>
    <w:basedOn w:val="25"/>
    <w:qFormat/>
    <w:uiPriority w:val="0"/>
    <w:pPr>
      <w:adjustRightInd w:val="0"/>
      <w:spacing w:after="60" w:line="360" w:lineRule="atLeast"/>
      <w:ind w:left="72" w:leftChars="30" w:right="30" w:rightChars="30"/>
      <w:jc w:val="center"/>
      <w:textAlignment w:val="baseline"/>
    </w:pPr>
    <w:rPr>
      <w:rFonts w:ascii="Arial" w:eastAsia="黑体"/>
      <w:kern w:val="0"/>
      <w:szCs w:val="20"/>
    </w:rPr>
  </w:style>
  <w:style w:type="character" w:customStyle="1" w:styleId="178">
    <w:name w:val="页眉 Char"/>
    <w:link w:val="39"/>
    <w:qFormat/>
    <w:uiPriority w:val="99"/>
    <w:rPr>
      <w:kern w:val="2"/>
      <w:sz w:val="18"/>
      <w:szCs w:val="18"/>
    </w:rPr>
  </w:style>
  <w:style w:type="paragraph" w:customStyle="1" w:styleId="179">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character" w:customStyle="1" w:styleId="180">
    <w:name w:val="sh141"/>
    <w:qFormat/>
    <w:uiPriority w:val="0"/>
    <w:rPr>
      <w:color w:val="2B2B2B"/>
      <w:sz w:val="19"/>
      <w:szCs w:val="19"/>
    </w:rPr>
  </w:style>
  <w:style w:type="character" w:customStyle="1" w:styleId="181">
    <w:name w:val="批注框文本 Char"/>
    <w:link w:val="37"/>
    <w:qFormat/>
    <w:uiPriority w:val="0"/>
    <w:rPr>
      <w:kern w:val="2"/>
      <w:sz w:val="18"/>
      <w:szCs w:val="18"/>
    </w:rPr>
  </w:style>
  <w:style w:type="character" w:customStyle="1" w:styleId="182">
    <w:name w:val="样式 标题 2 Char"/>
    <w:qFormat/>
    <w:uiPriority w:val="0"/>
    <w:rPr>
      <w:rFonts w:ascii="Arial" w:hAnsi="Arial" w:eastAsia="宋体"/>
      <w:b/>
      <w:bCs/>
      <w:kern w:val="44"/>
      <w:sz w:val="32"/>
      <w:szCs w:val="32"/>
      <w:lang w:val="en-US" w:eastAsia="zh-CN" w:bidi="ar-SA"/>
    </w:rPr>
  </w:style>
  <w:style w:type="paragraph" w:customStyle="1" w:styleId="183">
    <w:name w:val="Char Char Char Char2"/>
    <w:basedOn w:val="1"/>
    <w:qFormat/>
    <w:uiPriority w:val="0"/>
    <w:pPr>
      <w:adjustRightInd w:val="0"/>
      <w:spacing w:before="120" w:after="120"/>
    </w:pPr>
    <w:rPr>
      <w:kern w:val="0"/>
      <w:szCs w:val="20"/>
    </w:rPr>
  </w:style>
  <w:style w:type="paragraph" w:customStyle="1" w:styleId="184">
    <w:name w:val="ttt"/>
    <w:basedOn w:val="1"/>
    <w:qFormat/>
    <w:uiPriority w:val="0"/>
    <w:pPr>
      <w:autoSpaceDE w:val="0"/>
      <w:autoSpaceDN w:val="0"/>
      <w:adjustRightInd w:val="0"/>
      <w:spacing w:before="120" w:after="120"/>
      <w:ind w:left="1202" w:hanging="1202"/>
      <w:jc w:val="left"/>
      <w:textAlignment w:val="baseline"/>
    </w:pPr>
    <w:rPr>
      <w:rFonts w:ascii="宋体"/>
      <w:kern w:val="0"/>
      <w:szCs w:val="20"/>
    </w:rPr>
  </w:style>
  <w:style w:type="paragraph" w:customStyle="1" w:styleId="185">
    <w:name w:val="Style5"/>
    <w:basedOn w:val="1"/>
    <w:next w:val="8"/>
    <w:qFormat/>
    <w:uiPriority w:val="0"/>
    <w:pPr>
      <w:widowControl/>
      <w:tabs>
        <w:tab w:val="left" w:pos="360"/>
      </w:tabs>
      <w:spacing w:before="120" w:after="120" w:line="400" w:lineRule="atLeast"/>
      <w:jc w:val="left"/>
    </w:pPr>
    <w:rPr>
      <w:b/>
      <w:i/>
      <w:kern w:val="0"/>
      <w:szCs w:val="20"/>
      <w:lang w:val="en-GB"/>
    </w:rPr>
  </w:style>
  <w:style w:type="paragraph" w:customStyle="1" w:styleId="186">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87">
    <w:name w:val="TAB"/>
    <w:basedOn w:val="1"/>
    <w:qFormat/>
    <w:uiPriority w:val="0"/>
    <w:pPr>
      <w:widowControl/>
      <w:tabs>
        <w:tab w:val="left" w:pos="720"/>
        <w:tab w:val="left" w:pos="1440"/>
        <w:tab w:val="right" w:leader="dot" w:pos="6840"/>
        <w:tab w:val="right" w:pos="8640"/>
      </w:tabs>
      <w:spacing w:before="120" w:after="120"/>
    </w:pPr>
    <w:rPr>
      <w:rFonts w:eastAsia="MS Mincho"/>
      <w:kern w:val="0"/>
      <w:szCs w:val="20"/>
    </w:rPr>
  </w:style>
  <w:style w:type="paragraph" w:customStyle="1" w:styleId="188">
    <w:name w:val="样式 标题 1 + 小四 两端对齐"/>
    <w:basedOn w:val="3"/>
    <w:qFormat/>
    <w:uiPriority w:val="0"/>
    <w:pPr>
      <w:keepLines w:val="0"/>
      <w:tabs>
        <w:tab w:val="left" w:pos="1440"/>
      </w:tabs>
      <w:overflowPunct w:val="0"/>
      <w:topLinePunct/>
      <w:autoSpaceDE w:val="0"/>
      <w:autoSpaceDN w:val="0"/>
      <w:adjustRightInd w:val="0"/>
      <w:spacing w:before="340" w:after="330" w:line="360" w:lineRule="auto"/>
      <w:ind w:left="1440" w:hanging="600"/>
      <w:textAlignment w:val="baseline"/>
    </w:pPr>
    <w:rPr>
      <w:rFonts w:ascii="Arial" w:hAnsi="Arial" w:cs="宋体"/>
      <w:spacing w:val="10"/>
      <w:kern w:val="0"/>
      <w:szCs w:val="24"/>
      <w:lang w:bidi="he-IL"/>
    </w:rPr>
  </w:style>
  <w:style w:type="paragraph" w:customStyle="1" w:styleId="189">
    <w:name w:val="Char Char Char Char Char Char"/>
    <w:basedOn w:val="1"/>
    <w:qFormat/>
    <w:uiPriority w:val="0"/>
    <w:pPr>
      <w:spacing w:before="120" w:after="120"/>
    </w:pPr>
  </w:style>
  <w:style w:type="paragraph" w:customStyle="1" w:styleId="190">
    <w:name w:val="1 Char"/>
    <w:basedOn w:val="1"/>
    <w:qFormat/>
    <w:uiPriority w:val="0"/>
    <w:pPr>
      <w:spacing w:before="120" w:after="120"/>
    </w:pPr>
  </w:style>
  <w:style w:type="paragraph" w:customStyle="1" w:styleId="191">
    <w:name w:val="Char Char Char Char Char Char2"/>
    <w:basedOn w:val="1"/>
    <w:qFormat/>
    <w:uiPriority w:val="0"/>
    <w:pPr>
      <w:spacing w:before="120" w:after="120"/>
    </w:pPr>
  </w:style>
  <w:style w:type="paragraph" w:customStyle="1" w:styleId="192">
    <w:name w:val="默认段落字体 Para Char Char Char Char Char Char Char"/>
    <w:basedOn w:val="1"/>
    <w:qFormat/>
    <w:uiPriority w:val="0"/>
    <w:pPr>
      <w:spacing w:before="120" w:after="120"/>
    </w:pPr>
  </w:style>
  <w:style w:type="paragraph" w:customStyle="1" w:styleId="193">
    <w:name w:val="样式 首行缩进:  0.83 厘米"/>
    <w:basedOn w:val="1"/>
    <w:qFormat/>
    <w:uiPriority w:val="0"/>
    <w:pPr>
      <w:spacing w:before="120" w:after="120" w:line="300" w:lineRule="auto"/>
      <w:ind w:firstLine="471"/>
      <w:jc w:val="left"/>
    </w:pPr>
    <w:rPr>
      <w:rFonts w:cs="宋体"/>
      <w:szCs w:val="20"/>
    </w:rPr>
  </w:style>
  <w:style w:type="paragraph" w:customStyle="1" w:styleId="194">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6">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197">
    <w:name w:val="Char Char Char Char Char Char Char Char Char Char Char Char"/>
    <w:basedOn w:val="1"/>
    <w:qFormat/>
    <w:uiPriority w:val="0"/>
    <w:pPr>
      <w:adjustRightInd w:val="0"/>
      <w:spacing w:before="120" w:after="120"/>
    </w:pPr>
    <w:rPr>
      <w:kern w:val="0"/>
      <w:szCs w:val="20"/>
    </w:rPr>
  </w:style>
  <w:style w:type="paragraph" w:customStyle="1" w:styleId="198">
    <w:name w:val="样式 首行缩进:  0.85 厘米"/>
    <w:basedOn w:val="1"/>
    <w:qFormat/>
    <w:uiPriority w:val="0"/>
    <w:pPr>
      <w:adjustRightInd w:val="0"/>
      <w:spacing w:before="120" w:after="120" w:line="300" w:lineRule="auto"/>
      <w:textAlignment w:val="baseline"/>
    </w:pPr>
    <w:rPr>
      <w:rFonts w:cs="宋体"/>
      <w:szCs w:val="20"/>
    </w:rPr>
  </w:style>
  <w:style w:type="paragraph" w:customStyle="1" w:styleId="199">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0">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201">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2">
    <w:name w:val="Char12"/>
    <w:basedOn w:val="1"/>
    <w:qFormat/>
    <w:uiPriority w:val="0"/>
    <w:pPr>
      <w:adjustRightInd w:val="0"/>
      <w:spacing w:before="120" w:after="120" w:line="360" w:lineRule="atLeast"/>
      <w:jc w:val="left"/>
    </w:pPr>
    <w:rPr>
      <w:kern w:val="0"/>
    </w:rPr>
  </w:style>
  <w:style w:type="paragraph" w:customStyle="1" w:styleId="203">
    <w:name w:val="Header Signature"/>
    <w:basedOn w:val="1"/>
    <w:qFormat/>
    <w:uiPriority w:val="0"/>
    <w:pPr>
      <w:widowControl/>
      <w:overflowPunct w:val="0"/>
      <w:autoSpaceDE w:val="0"/>
      <w:autoSpaceDN w:val="0"/>
      <w:adjustRightInd w:val="0"/>
      <w:spacing w:before="120" w:after="120"/>
      <w:ind w:left="5040"/>
      <w:jc w:val="left"/>
      <w:textAlignment w:val="baseline"/>
    </w:pPr>
    <w:rPr>
      <w:rFonts w:ascii="Arial" w:hAnsi="Arial"/>
      <w:b/>
      <w:i/>
      <w:spacing w:val="-10"/>
      <w:kern w:val="0"/>
      <w:sz w:val="22"/>
      <w:szCs w:val="20"/>
    </w:rPr>
  </w:style>
  <w:style w:type="paragraph" w:customStyle="1" w:styleId="204">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customStyle="1" w:styleId="205">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szCs w:val="20"/>
    </w:rPr>
  </w:style>
  <w:style w:type="paragraph" w:styleId="206">
    <w:name w:val="List Paragraph"/>
    <w:basedOn w:val="1"/>
    <w:qFormat/>
    <w:uiPriority w:val="34"/>
    <w:pPr>
      <w:spacing w:before="120" w:after="120"/>
    </w:pPr>
  </w:style>
  <w:style w:type="paragraph" w:customStyle="1" w:styleId="207">
    <w:name w:val="1)-"/>
    <w:basedOn w:val="1"/>
    <w:qFormat/>
    <w:uiPriority w:val="0"/>
    <w:pPr>
      <w:adjustRightInd w:val="0"/>
      <w:snapToGrid w:val="0"/>
      <w:spacing w:afterLines="30" w:line="380" w:lineRule="atLeast"/>
    </w:pPr>
    <w:rPr>
      <w:rFonts w:ascii="宋体" w:hAnsi="宋体"/>
      <w:bCs/>
      <w:color w:val="000000"/>
    </w:rPr>
  </w:style>
  <w:style w:type="paragraph" w:customStyle="1" w:styleId="208">
    <w:name w:val="1-"/>
    <w:basedOn w:val="1"/>
    <w:qFormat/>
    <w:uiPriority w:val="0"/>
    <w:pPr>
      <w:tabs>
        <w:tab w:val="left" w:pos="567"/>
      </w:tabs>
      <w:adjustRightInd w:val="0"/>
      <w:snapToGrid w:val="0"/>
      <w:spacing w:afterLines="30" w:line="380" w:lineRule="atLeast"/>
      <w:ind w:left="567" w:hanging="567"/>
    </w:pPr>
    <w:rPr>
      <w:rFonts w:ascii="宋体" w:hAnsi="宋体"/>
      <w:color w:val="000000"/>
    </w:rPr>
  </w:style>
  <w:style w:type="paragraph" w:customStyle="1" w:styleId="209">
    <w:name w:val="1)-內文‧"/>
    <w:basedOn w:val="1"/>
    <w:qFormat/>
    <w:uiPriority w:val="0"/>
    <w:pPr>
      <w:tabs>
        <w:tab w:val="left" w:pos="360"/>
        <w:tab w:val="left" w:pos="851"/>
        <w:tab w:val="left" w:pos="1843"/>
      </w:tabs>
      <w:adjustRightInd w:val="0"/>
      <w:snapToGrid w:val="0"/>
      <w:spacing w:afterLines="30" w:line="380" w:lineRule="atLeast"/>
      <w:ind w:left="1843" w:hanging="425"/>
    </w:pPr>
    <w:rPr>
      <w:spacing w:val="10"/>
    </w:rPr>
  </w:style>
  <w:style w:type="character" w:customStyle="1" w:styleId="210">
    <w:name w:val="cucd-0 Char Char"/>
    <w:qFormat/>
    <w:uiPriority w:val="0"/>
    <w:rPr>
      <w:kern w:val="2"/>
      <w:sz w:val="24"/>
      <w:szCs w:val="24"/>
      <w:lang w:val="en-US" w:eastAsia="zh-CN" w:bidi="ar-SA"/>
    </w:rPr>
  </w:style>
  <w:style w:type="character" w:customStyle="1" w:styleId="211">
    <w:name w:val="cucd-3 Char Char"/>
    <w:qFormat/>
    <w:uiPriority w:val="0"/>
    <w:rPr>
      <w:rFonts w:ascii="宋体" w:hAnsi="宋体"/>
      <w:b/>
      <w:kern w:val="2"/>
      <w:sz w:val="24"/>
      <w:szCs w:val="24"/>
      <w:lang w:val="en-US" w:eastAsia="zh-CN" w:bidi="ar-SA"/>
    </w:rPr>
  </w:style>
  <w:style w:type="character" w:customStyle="1" w:styleId="212">
    <w:name w:val="标题 1 Char"/>
    <w:link w:val="3"/>
    <w:qFormat/>
    <w:uiPriority w:val="0"/>
    <w:rPr>
      <w:b/>
      <w:bCs/>
      <w:kern w:val="44"/>
      <w:sz w:val="24"/>
      <w:szCs w:val="44"/>
    </w:rPr>
  </w:style>
  <w:style w:type="character" w:customStyle="1" w:styleId="213">
    <w:name w:val="标题 3 Char"/>
    <w:link w:val="6"/>
    <w:qFormat/>
    <w:uiPriority w:val="0"/>
    <w:rPr>
      <w:bCs/>
      <w:iCs/>
      <w:color w:val="000000"/>
      <w:spacing w:val="6"/>
      <w:kern w:val="2"/>
      <w:sz w:val="24"/>
      <w:szCs w:val="24"/>
    </w:rPr>
  </w:style>
  <w:style w:type="character" w:customStyle="1" w:styleId="214">
    <w:name w:val="标题 4 Char"/>
    <w:link w:val="7"/>
    <w:qFormat/>
    <w:uiPriority w:val="0"/>
    <w:rPr>
      <w:bCs/>
      <w:kern w:val="2"/>
      <w:sz w:val="24"/>
      <w:szCs w:val="28"/>
    </w:rPr>
  </w:style>
  <w:style w:type="character" w:customStyle="1" w:styleId="215">
    <w:name w:val="标题 2 Char1"/>
    <w:semiHidden/>
    <w:qFormat/>
    <w:uiPriority w:val="0"/>
    <w:rPr>
      <w:rFonts w:ascii="Cambria" w:hAnsi="Cambria" w:eastAsia="宋体" w:cs="Times New Roman"/>
      <w:b/>
      <w:bCs/>
      <w:kern w:val="2"/>
      <w:sz w:val="32"/>
      <w:szCs w:val="32"/>
    </w:rPr>
  </w:style>
  <w:style w:type="character" w:customStyle="1" w:styleId="216">
    <w:name w:val="标题 3 Char1"/>
    <w:semiHidden/>
    <w:qFormat/>
    <w:uiPriority w:val="0"/>
    <w:rPr>
      <w:b/>
      <w:bCs/>
      <w:kern w:val="2"/>
      <w:sz w:val="32"/>
      <w:szCs w:val="32"/>
    </w:rPr>
  </w:style>
  <w:style w:type="character" w:customStyle="1" w:styleId="217">
    <w:name w:val="标题 4 Char1"/>
    <w:semiHidden/>
    <w:qFormat/>
    <w:uiPriority w:val="0"/>
    <w:rPr>
      <w:rFonts w:ascii="Cambria" w:hAnsi="Cambria" w:eastAsia="宋体" w:cs="Times New Roman"/>
      <w:b/>
      <w:bCs/>
      <w:kern w:val="2"/>
      <w:sz w:val="28"/>
      <w:szCs w:val="28"/>
    </w:rPr>
  </w:style>
  <w:style w:type="character" w:customStyle="1" w:styleId="218">
    <w:name w:val="标题 5 Char1"/>
    <w:semiHidden/>
    <w:qFormat/>
    <w:uiPriority w:val="0"/>
    <w:rPr>
      <w:b/>
      <w:bCs/>
      <w:kern w:val="2"/>
      <w:sz w:val="28"/>
      <w:szCs w:val="28"/>
    </w:rPr>
  </w:style>
  <w:style w:type="character" w:customStyle="1" w:styleId="219">
    <w:name w:val="标题 6 Char2"/>
    <w:semiHidden/>
    <w:qFormat/>
    <w:uiPriority w:val="0"/>
    <w:rPr>
      <w:rFonts w:ascii="Cambria" w:hAnsi="Cambria" w:eastAsia="宋体" w:cs="Times New Roman"/>
      <w:b/>
      <w:bCs/>
      <w:kern w:val="2"/>
      <w:sz w:val="24"/>
      <w:szCs w:val="24"/>
    </w:rPr>
  </w:style>
  <w:style w:type="character" w:customStyle="1" w:styleId="220">
    <w:name w:val="HTML 预设格式 Char"/>
    <w:link w:val="54"/>
    <w:qFormat/>
    <w:uiPriority w:val="0"/>
    <w:rPr>
      <w:rFonts w:ascii="MS Gothic" w:hAnsi="MS Gothic" w:eastAsia="MS Gothic" w:cs="MS Gothic"/>
      <w:sz w:val="24"/>
      <w:szCs w:val="24"/>
      <w:lang w:eastAsia="ja-JP"/>
    </w:rPr>
  </w:style>
  <w:style w:type="character" w:customStyle="1" w:styleId="221">
    <w:name w:val="标题 7 Char1"/>
    <w:semiHidden/>
    <w:qFormat/>
    <w:uiPriority w:val="0"/>
    <w:rPr>
      <w:b/>
      <w:bCs/>
      <w:kern w:val="2"/>
      <w:sz w:val="24"/>
      <w:szCs w:val="24"/>
    </w:rPr>
  </w:style>
  <w:style w:type="character" w:customStyle="1" w:styleId="222">
    <w:name w:val="标题 8 Char1"/>
    <w:semiHidden/>
    <w:qFormat/>
    <w:uiPriority w:val="0"/>
    <w:rPr>
      <w:rFonts w:ascii="Cambria" w:hAnsi="Cambria" w:eastAsia="宋体" w:cs="Times New Roman"/>
      <w:kern w:val="2"/>
      <w:sz w:val="24"/>
      <w:szCs w:val="24"/>
    </w:rPr>
  </w:style>
  <w:style w:type="character" w:customStyle="1" w:styleId="223">
    <w:name w:val="标题 9 Char1"/>
    <w:semiHidden/>
    <w:qFormat/>
    <w:uiPriority w:val="0"/>
    <w:rPr>
      <w:rFonts w:ascii="Cambria" w:hAnsi="Cambria" w:eastAsia="宋体" w:cs="Times New Roman"/>
      <w:kern w:val="2"/>
      <w:sz w:val="21"/>
      <w:szCs w:val="21"/>
    </w:rPr>
  </w:style>
  <w:style w:type="character" w:customStyle="1" w:styleId="224">
    <w:name w:val="日期 Char"/>
    <w:link w:val="35"/>
    <w:qFormat/>
    <w:uiPriority w:val="0"/>
    <w:rPr>
      <w:kern w:val="2"/>
      <w:sz w:val="21"/>
      <w:szCs w:val="24"/>
    </w:rPr>
  </w:style>
  <w:style w:type="character" w:customStyle="1" w:styleId="225">
    <w:name w:val="正文文本 2 Char"/>
    <w:link w:val="53"/>
    <w:qFormat/>
    <w:uiPriority w:val="0"/>
    <w:rPr>
      <w:kern w:val="2"/>
      <w:sz w:val="21"/>
      <w:szCs w:val="24"/>
    </w:rPr>
  </w:style>
  <w:style w:type="character" w:customStyle="1" w:styleId="226">
    <w:name w:val="正文文本缩进 2 Char"/>
    <w:link w:val="36"/>
    <w:qFormat/>
    <w:uiPriority w:val="0"/>
    <w:rPr>
      <w:kern w:val="2"/>
      <w:sz w:val="24"/>
      <w:szCs w:val="24"/>
    </w:rPr>
  </w:style>
  <w:style w:type="character" w:customStyle="1" w:styleId="227">
    <w:name w:val="正文文本缩进 3 Char"/>
    <w:link w:val="47"/>
    <w:qFormat/>
    <w:uiPriority w:val="0"/>
    <w:rPr>
      <w:kern w:val="2"/>
      <w:sz w:val="16"/>
      <w:szCs w:val="16"/>
    </w:rPr>
  </w:style>
  <w:style w:type="character" w:customStyle="1" w:styleId="228">
    <w:name w:val="文档结构图 Char"/>
    <w:link w:val="20"/>
    <w:qFormat/>
    <w:uiPriority w:val="0"/>
    <w:rPr>
      <w:kern w:val="2"/>
      <w:sz w:val="21"/>
      <w:szCs w:val="24"/>
      <w:shd w:val="clear" w:color="auto" w:fill="000080"/>
    </w:rPr>
  </w:style>
  <w:style w:type="character" w:customStyle="1" w:styleId="229">
    <w:name w:val="电子邮件签名 Char"/>
    <w:link w:val="16"/>
    <w:semiHidden/>
    <w:qFormat/>
    <w:uiPriority w:val="0"/>
    <w:rPr>
      <w:kern w:val="2"/>
      <w:sz w:val="24"/>
      <w:szCs w:val="24"/>
    </w:rPr>
  </w:style>
  <w:style w:type="character" w:customStyle="1" w:styleId="230">
    <w:name w:val="批注主题 Char"/>
    <w:link w:val="59"/>
    <w:qFormat/>
    <w:uiPriority w:val="0"/>
    <w:rPr>
      <w:b/>
      <w:bCs/>
      <w:kern w:val="2"/>
      <w:sz w:val="21"/>
      <w:szCs w:val="24"/>
    </w:rPr>
  </w:style>
  <w:style w:type="character" w:customStyle="1" w:styleId="231">
    <w:name w:val="Char Char2"/>
    <w:link w:val="91"/>
    <w:qFormat/>
    <w:locked/>
    <w:uiPriority w:val="0"/>
    <w:rPr>
      <w:kern w:val="2"/>
      <w:sz w:val="24"/>
    </w:rPr>
  </w:style>
  <w:style w:type="paragraph" w:customStyle="1" w:styleId="232">
    <w:name w:val="Char Char Char1 Char Char Char Char1"/>
    <w:basedOn w:val="1"/>
    <w:qFormat/>
    <w:uiPriority w:val="0"/>
  </w:style>
  <w:style w:type="paragraph" w:customStyle="1" w:styleId="233">
    <w:name w:val="Char41"/>
    <w:basedOn w:val="1"/>
    <w:qFormat/>
    <w:uiPriority w:val="0"/>
    <w:rPr>
      <w:szCs w:val="20"/>
    </w:rPr>
  </w:style>
  <w:style w:type="paragraph" w:customStyle="1" w:styleId="234">
    <w:name w:val="Char Char Char Char Char Char Char Char Char Char1"/>
    <w:basedOn w:val="1"/>
    <w:qFormat/>
    <w:uiPriority w:val="0"/>
    <w:rPr>
      <w:szCs w:val="20"/>
    </w:rPr>
  </w:style>
  <w:style w:type="paragraph" w:customStyle="1" w:styleId="235">
    <w:name w:val="1 Char1"/>
    <w:basedOn w:val="1"/>
    <w:qFormat/>
    <w:uiPriority w:val="0"/>
    <w:pPr>
      <w:spacing w:before="120" w:after="120"/>
    </w:pPr>
  </w:style>
  <w:style w:type="paragraph" w:customStyle="1" w:styleId="236">
    <w:name w:val="Char Char Char Char Char Char Char Char Char Char Char Char1"/>
    <w:basedOn w:val="1"/>
    <w:qFormat/>
    <w:uiPriority w:val="0"/>
    <w:pPr>
      <w:adjustRightInd w:val="0"/>
      <w:spacing w:before="120" w:after="120"/>
    </w:pPr>
    <w:rPr>
      <w:kern w:val="0"/>
      <w:szCs w:val="20"/>
    </w:rPr>
  </w:style>
  <w:style w:type="paragraph" w:customStyle="1" w:styleId="237">
    <w:name w:val="样式 标题 1 + 段前: 0.5 行"/>
    <w:basedOn w:val="3"/>
    <w:qFormat/>
    <w:uiPriority w:val="0"/>
    <w:pPr>
      <w:tabs>
        <w:tab w:val="left" w:pos="240"/>
      </w:tabs>
      <w:adjustRightInd w:val="0"/>
      <w:spacing w:beforeLines="50" w:after="0" w:line="360" w:lineRule="auto"/>
      <w:jc w:val="left"/>
    </w:pPr>
    <w:rPr>
      <w:rFonts w:cs="宋体"/>
      <w:szCs w:val="20"/>
    </w:rPr>
  </w:style>
  <w:style w:type="character" w:customStyle="1" w:styleId="238">
    <w:name w:val="p0 Char"/>
    <w:link w:val="239"/>
    <w:qFormat/>
    <w:locked/>
    <w:uiPriority w:val="0"/>
    <w:rPr>
      <w:kern w:val="2"/>
      <w:sz w:val="32"/>
    </w:rPr>
  </w:style>
  <w:style w:type="paragraph" w:customStyle="1" w:styleId="239">
    <w:name w:val="p0"/>
    <w:basedOn w:val="1"/>
    <w:link w:val="238"/>
    <w:qFormat/>
    <w:uiPriority w:val="0"/>
    <w:pPr>
      <w:widowControl/>
    </w:pPr>
    <w:rPr>
      <w:sz w:val="32"/>
      <w:szCs w:val="20"/>
    </w:rPr>
  </w:style>
  <w:style w:type="paragraph" w:customStyle="1" w:styleId="240">
    <w:name w:val="标准样式"/>
    <w:qFormat/>
    <w:uiPriority w:val="0"/>
    <w:pPr>
      <w:widowControl w:val="0"/>
      <w:spacing w:line="600" w:lineRule="exact"/>
      <w:ind w:firstLine="200" w:firstLineChars="200"/>
      <w:jc w:val="both"/>
    </w:pPr>
    <w:rPr>
      <w:rFonts w:ascii="Times New Roman" w:hAnsi="Times New Roman" w:eastAsia="宋体" w:cs="Times New Roman"/>
      <w:sz w:val="28"/>
      <w:lang w:val="en-US" w:eastAsia="zh-CN" w:bidi="ar-SA"/>
    </w:rPr>
  </w:style>
  <w:style w:type="character" w:customStyle="1" w:styleId="241">
    <w:name w:val="原文22"/>
    <w:qFormat/>
    <w:uiPriority w:val="0"/>
    <w:rPr>
      <w:rFonts w:ascii="Times New Roman" w:hAnsi="Times New Roman" w:eastAsia="宋体"/>
      <w:color w:val="0000FF"/>
      <w:kern w:val="22"/>
      <w:sz w:val="22"/>
    </w:rPr>
  </w:style>
  <w:style w:type="character" w:customStyle="1" w:styleId="242">
    <w:name w:val="不同e"/>
    <w:qFormat/>
    <w:uiPriority w:val="0"/>
    <w:rPr>
      <w:rFonts w:ascii="宋体" w:hAnsi="宋体" w:eastAsia="宋体"/>
      <w:color w:val="FF0000"/>
      <w:kern w:val="22"/>
      <w:sz w:val="22"/>
    </w:rPr>
  </w:style>
  <w:style w:type="character" w:customStyle="1" w:styleId="243">
    <w:name w:val="下标e"/>
    <w:qFormat/>
    <w:uiPriority w:val="0"/>
    <w:rPr>
      <w:rFonts w:ascii="宋体" w:hAnsi="宋体" w:eastAsia="宋体"/>
      <w:color w:val="FF00FF"/>
      <w:kern w:val="22"/>
      <w:sz w:val="22"/>
      <w:vertAlign w:val="subscript"/>
    </w:rPr>
  </w:style>
  <w:style w:type="character" w:customStyle="1" w:styleId="244">
    <w:name w:val="上标e"/>
    <w:qFormat/>
    <w:uiPriority w:val="0"/>
    <w:rPr>
      <w:rFonts w:ascii="宋体" w:hAnsi="宋体" w:eastAsia="宋体"/>
      <w:color w:val="FF00FF"/>
      <w:kern w:val="22"/>
      <w:sz w:val="22"/>
      <w:vertAlign w:val="superscript"/>
    </w:rPr>
  </w:style>
  <w:style w:type="paragraph" w:customStyle="1" w:styleId="245">
    <w:name w:val="正文文本 21"/>
    <w:basedOn w:val="1"/>
    <w:qFormat/>
    <w:uiPriority w:val="0"/>
    <w:pPr>
      <w:adjustRightInd w:val="0"/>
      <w:spacing w:line="400" w:lineRule="exact"/>
      <w:ind w:firstLine="567"/>
      <w:jc w:val="left"/>
      <w:textAlignment w:val="baseline"/>
    </w:pPr>
    <w:rPr>
      <w:rFonts w:ascii="仿宋_GB2312"/>
      <w:color w:val="000000"/>
      <w:spacing w:val="20"/>
      <w:kern w:val="28"/>
      <w:szCs w:val="20"/>
    </w:rPr>
  </w:style>
  <w:style w:type="paragraph" w:customStyle="1" w:styleId="246">
    <w:name w:val="tll"/>
    <w:basedOn w:val="1"/>
    <w:qFormat/>
    <w:uiPriority w:val="0"/>
    <w:pPr>
      <w:autoSpaceDE w:val="0"/>
      <w:autoSpaceDN w:val="0"/>
      <w:adjustRightInd w:val="0"/>
      <w:jc w:val="left"/>
      <w:textAlignment w:val="baseline"/>
    </w:pPr>
    <w:rPr>
      <w:rFonts w:ascii="仿宋_GB2312" w:hAnsi="Arial" w:eastAsia="仿宋_GB2312"/>
      <w:kern w:val="0"/>
      <w:szCs w:val="20"/>
    </w:rPr>
  </w:style>
  <w:style w:type="character" w:customStyle="1" w:styleId="247">
    <w:name w:val="标题2 Char"/>
    <w:qFormat/>
    <w:uiPriority w:val="0"/>
    <w:rPr>
      <w:rFonts w:ascii="Arial" w:hAnsi="Arial" w:eastAsia="宋体"/>
      <w:b/>
      <w:bCs/>
      <w:kern w:val="2"/>
      <w:sz w:val="24"/>
      <w:szCs w:val="32"/>
      <w:lang w:val="en-US" w:eastAsia="zh-CN" w:bidi="ar-SA"/>
    </w:rPr>
  </w:style>
  <w:style w:type="paragraph" w:customStyle="1" w:styleId="248">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249">
    <w:name w:val="附件"/>
    <w:basedOn w:val="1"/>
    <w:qFormat/>
    <w:uiPriority w:val="0"/>
    <w:pPr>
      <w:adjustRightInd w:val="0"/>
      <w:spacing w:before="120" w:after="60"/>
      <w:jc w:val="center"/>
      <w:textAlignment w:val="center"/>
    </w:pPr>
    <w:rPr>
      <w:rFonts w:ascii="黑体" w:eastAsia="黑体"/>
      <w:b/>
      <w:kern w:val="0"/>
      <w:sz w:val="32"/>
      <w:szCs w:val="32"/>
    </w:rPr>
  </w:style>
  <w:style w:type="paragraph" w:customStyle="1" w:styleId="250">
    <w:name w:val="我的正文格式"/>
    <w:basedOn w:val="1"/>
    <w:next w:val="1"/>
    <w:qFormat/>
    <w:uiPriority w:val="0"/>
    <w:pPr>
      <w:snapToGrid w:val="0"/>
    </w:pPr>
    <w:rPr>
      <w:kern w:val="16"/>
    </w:rPr>
  </w:style>
  <w:style w:type="paragraph" w:customStyle="1" w:styleId="251">
    <w:name w:val="xl22"/>
    <w:basedOn w:val="1"/>
    <w:qFormat/>
    <w:uiPriority w:val="0"/>
    <w:pPr>
      <w:widowControl/>
      <w:spacing w:before="100" w:beforeAutospacing="1" w:after="100" w:afterAutospacing="1"/>
      <w:jc w:val="center"/>
    </w:pPr>
    <w:rPr>
      <w:rFonts w:ascii="宋体" w:hAnsi="宋体"/>
      <w:kern w:val="0"/>
    </w:rPr>
  </w:style>
  <w:style w:type="paragraph" w:customStyle="1" w:styleId="252">
    <w:name w:val="2"/>
    <w:basedOn w:val="1"/>
    <w:next w:val="5"/>
    <w:qFormat/>
    <w:uiPriority w:val="0"/>
    <w:pPr>
      <w:spacing w:before="60" w:after="60" w:line="240" w:lineRule="atLeast"/>
      <w:ind w:firstLine="510"/>
    </w:pPr>
    <w:rPr>
      <w:szCs w:val="20"/>
    </w:rPr>
  </w:style>
  <w:style w:type="paragraph" w:customStyle="1" w:styleId="253">
    <w:name w:val="日期1"/>
    <w:basedOn w:val="1"/>
    <w:next w:val="1"/>
    <w:qFormat/>
    <w:uiPriority w:val="0"/>
    <w:pPr>
      <w:adjustRightInd w:val="0"/>
      <w:textAlignment w:val="baseline"/>
    </w:pPr>
    <w:rPr>
      <w:sz w:val="28"/>
      <w:szCs w:val="20"/>
    </w:rPr>
  </w:style>
  <w:style w:type="paragraph" w:customStyle="1" w:styleId="254">
    <w:name w:val="xl49"/>
    <w:basedOn w:val="1"/>
    <w:qFormat/>
    <w:uiPriority w:val="0"/>
    <w:pPr>
      <w:widowControl/>
      <w:spacing w:before="100" w:after="100"/>
      <w:jc w:val="center"/>
      <w:textAlignment w:val="center"/>
    </w:pPr>
    <w:rPr>
      <w:rFonts w:ascii="宋体" w:hAnsi="宋体"/>
      <w:kern w:val="0"/>
      <w:szCs w:val="20"/>
    </w:rPr>
  </w:style>
  <w:style w:type="paragraph" w:customStyle="1" w:styleId="255">
    <w:name w:val="表格文字"/>
    <w:qFormat/>
    <w:uiPriority w:val="0"/>
    <w:pPr>
      <w:widowControl w:val="0"/>
      <w:autoSpaceDE w:val="0"/>
      <w:autoSpaceDN w:val="0"/>
      <w:adjustRightInd w:val="0"/>
      <w:jc w:val="both"/>
    </w:pPr>
    <w:rPr>
      <w:rFonts w:ascii="Times New Roman" w:hAnsi="Times New Roman" w:eastAsia="宋体" w:cs="Times New Roman"/>
      <w:color w:val="000000"/>
      <w:lang w:val="en-US" w:eastAsia="zh-CN" w:bidi="ar-SA"/>
    </w:rPr>
  </w:style>
  <w:style w:type="paragraph" w:customStyle="1" w:styleId="256">
    <w:name w:val="表格侧编号"/>
    <w:next w:val="1"/>
    <w:qFormat/>
    <w:uiPriority w:val="0"/>
    <w:pPr>
      <w:widowControl w:val="0"/>
      <w:adjustRightInd w:val="0"/>
      <w:snapToGrid w:val="0"/>
      <w:jc w:val="center"/>
      <w:textAlignment w:val="baseline"/>
    </w:pPr>
    <w:rPr>
      <w:rFonts w:ascii="宋体" w:hAnsi="Times New Roman" w:eastAsia="宋体" w:cs="Times New Roman"/>
      <w:sz w:val="24"/>
      <w:lang w:val="en-US" w:eastAsia="zh-CN" w:bidi="ar-SA"/>
    </w:rPr>
  </w:style>
  <w:style w:type="paragraph" w:customStyle="1" w:styleId="257">
    <w:name w:val="K01"/>
    <w:basedOn w:val="1"/>
    <w:qFormat/>
    <w:uiPriority w:val="0"/>
    <w:pPr>
      <w:widowControl/>
      <w:autoSpaceDE w:val="0"/>
      <w:autoSpaceDN w:val="0"/>
      <w:adjustRightInd w:val="0"/>
      <w:spacing w:line="480" w:lineRule="atLeast"/>
      <w:ind w:left="840" w:hanging="360"/>
      <w:jc w:val="left"/>
      <w:textAlignment w:val="bottom"/>
    </w:pPr>
    <w:rPr>
      <w:rFonts w:ascii="宋体"/>
      <w:kern w:val="0"/>
      <w:szCs w:val="20"/>
    </w:rPr>
  </w:style>
  <w:style w:type="paragraph" w:customStyle="1" w:styleId="258">
    <w:name w:val="font5"/>
    <w:basedOn w:val="1"/>
    <w:qFormat/>
    <w:uiPriority w:val="0"/>
    <w:pPr>
      <w:widowControl/>
      <w:spacing w:before="100" w:beforeAutospacing="1" w:after="100" w:afterAutospacing="1"/>
      <w:jc w:val="left"/>
    </w:pPr>
    <w:rPr>
      <w:rFonts w:hint="eastAsia" w:ascii="宋体" w:hAnsi="宋体"/>
      <w:kern w:val="0"/>
    </w:rPr>
  </w:style>
  <w:style w:type="paragraph" w:customStyle="1" w:styleId="259">
    <w:name w:val="Fliestext/Aufz."/>
    <w:basedOn w:val="1"/>
    <w:qFormat/>
    <w:uiPriority w:val="0"/>
    <w:pPr>
      <w:widowControl/>
      <w:overflowPunct w:val="0"/>
      <w:autoSpaceDE w:val="0"/>
      <w:autoSpaceDN w:val="0"/>
      <w:adjustRightInd w:val="0"/>
      <w:spacing w:after="120"/>
      <w:textAlignment w:val="baseline"/>
    </w:pPr>
    <w:rPr>
      <w:rFonts w:ascii="Arial" w:hAnsi="Arial" w:eastAsia="MS Mincho"/>
      <w:kern w:val="0"/>
      <w:sz w:val="22"/>
      <w:szCs w:val="20"/>
      <w:lang w:val="de-DE" w:eastAsia="ja-JP"/>
    </w:rPr>
  </w:style>
  <w:style w:type="character" w:customStyle="1" w:styleId="260">
    <w:name w:val="复选框"/>
    <w:qFormat/>
    <w:uiPriority w:val="0"/>
    <w:rPr>
      <w:spacing w:val="0"/>
      <w:sz w:val="22"/>
      <w:lang w:eastAsia="zh-CN"/>
    </w:rPr>
  </w:style>
  <w:style w:type="paragraph" w:customStyle="1" w:styleId="261">
    <w:name w:val="复选框1"/>
    <w:basedOn w:val="1"/>
    <w:qFormat/>
    <w:uiPriority w:val="0"/>
    <w:pPr>
      <w:widowControl/>
      <w:spacing w:before="360" w:after="360"/>
      <w:jc w:val="left"/>
    </w:pPr>
    <w:rPr>
      <w:kern w:val="0"/>
      <w:sz w:val="20"/>
      <w:szCs w:val="20"/>
    </w:rPr>
  </w:style>
  <w:style w:type="paragraph" w:customStyle="1" w:styleId="262">
    <w:name w:val="纯文本1"/>
    <w:basedOn w:val="1"/>
    <w:qFormat/>
    <w:uiPriority w:val="0"/>
    <w:pPr>
      <w:adjustRightInd w:val="0"/>
      <w:textAlignment w:val="baseline"/>
    </w:pPr>
    <w:rPr>
      <w:rFonts w:ascii="宋体"/>
      <w:kern w:val="0"/>
      <w:szCs w:val="20"/>
    </w:rPr>
  </w:style>
  <w:style w:type="paragraph" w:customStyle="1" w:styleId="263">
    <w:name w:val="四级标题"/>
    <w:basedOn w:val="35"/>
    <w:qFormat/>
    <w:uiPriority w:val="0"/>
    <w:pPr>
      <w:ind w:left="0" w:leftChars="0"/>
    </w:pPr>
    <w:rPr>
      <w:rFonts w:eastAsia="黑体"/>
      <w:szCs w:val="20"/>
    </w:rPr>
  </w:style>
  <w:style w:type="paragraph" w:customStyle="1" w:styleId="264">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65">
    <w:name w:val="font7"/>
    <w:basedOn w:val="1"/>
    <w:qFormat/>
    <w:uiPriority w:val="0"/>
    <w:pPr>
      <w:widowControl/>
      <w:spacing w:before="100" w:beforeAutospacing="1" w:after="100" w:afterAutospacing="1"/>
      <w:jc w:val="left"/>
    </w:pPr>
    <w:rPr>
      <w:kern w:val="0"/>
    </w:rPr>
  </w:style>
  <w:style w:type="paragraph" w:customStyle="1" w:styleId="266">
    <w:name w:val="xl3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kern w:val="0"/>
      <w:sz w:val="18"/>
      <w:szCs w:val="18"/>
    </w:rPr>
  </w:style>
  <w:style w:type="paragraph" w:customStyle="1" w:styleId="267">
    <w:name w:val="xl33"/>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Arial Unicode MS"/>
      <w:b/>
      <w:bCs/>
      <w:kern w:val="0"/>
      <w:sz w:val="18"/>
      <w:szCs w:val="18"/>
    </w:rPr>
  </w:style>
  <w:style w:type="paragraph" w:customStyle="1" w:styleId="268">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eastAsia="Arial Unicode MS"/>
      <w:b/>
      <w:bCs/>
      <w:kern w:val="0"/>
      <w:sz w:val="18"/>
      <w:szCs w:val="18"/>
    </w:rPr>
  </w:style>
  <w:style w:type="paragraph" w:customStyle="1" w:styleId="269">
    <w:name w:val="表名"/>
    <w:basedOn w:val="1"/>
    <w:qFormat/>
    <w:uiPriority w:val="0"/>
    <w:pPr>
      <w:overflowPunct w:val="0"/>
      <w:spacing w:before="120"/>
      <w:jc w:val="center"/>
      <w:textAlignment w:val="baseline"/>
    </w:pPr>
    <w:rPr>
      <w:rFonts w:ascii="Arial" w:hAnsi="Arial" w:eastAsia="黑体"/>
      <w:szCs w:val="20"/>
    </w:rPr>
  </w:style>
  <w:style w:type="paragraph" w:customStyle="1" w:styleId="270">
    <w:name w:val="正文文字缩进 2"/>
    <w:basedOn w:val="1"/>
    <w:qFormat/>
    <w:uiPriority w:val="0"/>
    <w:pPr>
      <w:adjustRightInd w:val="0"/>
      <w:ind w:firstLine="480"/>
      <w:jc w:val="left"/>
      <w:textAlignment w:val="baseline"/>
    </w:pPr>
    <w:rPr>
      <w:kern w:val="0"/>
    </w:rPr>
  </w:style>
  <w:style w:type="paragraph" w:customStyle="1" w:styleId="271">
    <w:name w:val="正文文字 2"/>
    <w:basedOn w:val="1"/>
    <w:qFormat/>
    <w:uiPriority w:val="0"/>
    <w:pPr>
      <w:snapToGrid w:val="0"/>
    </w:pPr>
    <w:rPr>
      <w:color w:val="000000"/>
    </w:rPr>
  </w:style>
  <w:style w:type="paragraph" w:customStyle="1" w:styleId="272">
    <w:name w:val="Char1 Char Char Char"/>
    <w:basedOn w:val="1"/>
    <w:qFormat/>
    <w:uiPriority w:val="0"/>
    <w:pPr>
      <w:adjustRightInd w:val="0"/>
    </w:pPr>
    <w:rPr>
      <w:kern w:val="0"/>
      <w:szCs w:val="20"/>
    </w:rPr>
  </w:style>
  <w:style w:type="paragraph" w:customStyle="1" w:styleId="273">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274">
    <w:name w:val="Char Char Char Char Char Char Char Char Char"/>
    <w:basedOn w:val="1"/>
    <w:qFormat/>
    <w:uiPriority w:val="0"/>
    <w:rPr>
      <w:rFonts w:ascii="宋体" w:hAnsi="宋体" w:cs="宋体"/>
    </w:rPr>
  </w:style>
  <w:style w:type="paragraph" w:customStyle="1" w:styleId="275">
    <w:name w:val="Char Char1"/>
    <w:basedOn w:val="1"/>
    <w:qFormat/>
    <w:uiPriority w:val="0"/>
  </w:style>
  <w:style w:type="character" w:customStyle="1" w:styleId="276">
    <w:name w:val="样式2 Char"/>
    <w:basedOn w:val="64"/>
    <w:link w:val="76"/>
    <w:qFormat/>
    <w:uiPriority w:val="0"/>
    <w:rPr>
      <w:b/>
      <w:kern w:val="2"/>
      <w:sz w:val="24"/>
    </w:rPr>
  </w:style>
  <w:style w:type="paragraph" w:customStyle="1" w:styleId="277">
    <w:name w:val="Char Char Char Char1"/>
    <w:basedOn w:val="1"/>
    <w:qFormat/>
    <w:uiPriority w:val="0"/>
    <w:pPr>
      <w:adjustRightInd w:val="0"/>
    </w:pPr>
    <w:rPr>
      <w:kern w:val="0"/>
      <w:szCs w:val="20"/>
    </w:rPr>
  </w:style>
  <w:style w:type="paragraph" w:customStyle="1" w:styleId="278">
    <w:name w:val="正文文本 31"/>
    <w:basedOn w:val="1"/>
    <w:qFormat/>
    <w:uiPriority w:val="0"/>
    <w:pPr>
      <w:adjustRightInd w:val="0"/>
      <w:jc w:val="center"/>
      <w:textAlignment w:val="baseline"/>
    </w:pPr>
    <w:rPr>
      <w:rFonts w:ascii="宋体"/>
      <w:b/>
      <w:color w:val="FF0000"/>
      <w:kern w:val="0"/>
      <w:szCs w:val="20"/>
      <w:u w:val="single"/>
    </w:rPr>
  </w:style>
  <w:style w:type="paragraph" w:customStyle="1" w:styleId="279">
    <w:name w:val="Char Char Char Char Char Char1"/>
    <w:basedOn w:val="1"/>
    <w:qFormat/>
    <w:uiPriority w:val="0"/>
    <w:pPr>
      <w:adjustRightInd w:val="0"/>
      <w:spacing w:line="360" w:lineRule="atLeast"/>
      <w:jc w:val="left"/>
      <w:textAlignment w:val="baseline"/>
    </w:pPr>
    <w:rPr>
      <w:kern w:val="0"/>
    </w:rPr>
  </w:style>
  <w:style w:type="paragraph" w:customStyle="1" w:styleId="280">
    <w:name w:val="Char11"/>
    <w:basedOn w:val="1"/>
    <w:qFormat/>
    <w:uiPriority w:val="0"/>
  </w:style>
  <w:style w:type="character" w:customStyle="1" w:styleId="281">
    <w:name w:val="页眉 Char1"/>
    <w:qFormat/>
    <w:uiPriority w:val="0"/>
    <w:rPr>
      <w:sz w:val="18"/>
    </w:rPr>
  </w:style>
  <w:style w:type="paragraph" w:customStyle="1" w:styleId="282">
    <w:name w:val="111"/>
    <w:basedOn w:val="1"/>
    <w:link w:val="283"/>
    <w:qFormat/>
    <w:uiPriority w:val="0"/>
    <w:pPr>
      <w:widowControl/>
      <w:spacing w:beforeLines="50" w:afterLines="50" w:line="300" w:lineRule="auto"/>
      <w:ind w:firstLine="540" w:firstLineChars="225"/>
      <w:jc w:val="left"/>
    </w:pPr>
    <w:rPr>
      <w:rFonts w:ascii="宋体" w:hAnsi="宋体"/>
      <w:snapToGrid w:val="0"/>
      <w:kern w:val="0"/>
    </w:rPr>
  </w:style>
  <w:style w:type="character" w:customStyle="1" w:styleId="283">
    <w:name w:val="111 Char"/>
    <w:link w:val="282"/>
    <w:qFormat/>
    <w:uiPriority w:val="0"/>
    <w:rPr>
      <w:rFonts w:ascii="宋体" w:hAnsi="宋体"/>
      <w:snapToGrid w:val="0"/>
      <w:sz w:val="24"/>
      <w:szCs w:val="24"/>
    </w:rPr>
  </w:style>
  <w:style w:type="paragraph" w:customStyle="1" w:styleId="284">
    <w:name w:val="font8"/>
    <w:basedOn w:val="1"/>
    <w:qFormat/>
    <w:uiPriority w:val="0"/>
    <w:pPr>
      <w:widowControl/>
      <w:spacing w:before="100" w:beforeAutospacing="1" w:after="100" w:afterAutospacing="1"/>
      <w:jc w:val="left"/>
    </w:pPr>
    <w:rPr>
      <w:b/>
      <w:bCs/>
      <w:kern w:val="0"/>
      <w:sz w:val="18"/>
      <w:szCs w:val="18"/>
    </w:rPr>
  </w:style>
  <w:style w:type="paragraph" w:customStyle="1" w:styleId="285">
    <w:name w:val="xl64"/>
    <w:basedOn w:val="1"/>
    <w:qFormat/>
    <w:uiPriority w:val="0"/>
    <w:pPr>
      <w:widowControl/>
      <w:spacing w:before="100" w:beforeAutospacing="1" w:after="100" w:afterAutospacing="1"/>
      <w:jc w:val="left"/>
      <w:textAlignment w:val="center"/>
    </w:pPr>
    <w:rPr>
      <w:rFonts w:ascii="宋体" w:hAnsi="宋体" w:cs="宋体"/>
      <w:kern w:val="0"/>
    </w:rPr>
  </w:style>
  <w:style w:type="paragraph" w:customStyle="1" w:styleId="286">
    <w:name w:val="xl65"/>
    <w:basedOn w:val="1"/>
    <w:qFormat/>
    <w:uiPriority w:val="0"/>
    <w:pPr>
      <w:widowControl/>
      <w:spacing w:before="100" w:beforeAutospacing="1" w:after="100" w:afterAutospacing="1"/>
      <w:jc w:val="center"/>
      <w:textAlignment w:val="center"/>
    </w:pPr>
    <w:rPr>
      <w:kern w:val="0"/>
    </w:rPr>
  </w:style>
  <w:style w:type="paragraph" w:customStyle="1" w:styleId="287">
    <w:name w:val="xl66"/>
    <w:basedOn w:val="1"/>
    <w:qFormat/>
    <w:uiPriority w:val="0"/>
    <w:pPr>
      <w:widowControl/>
      <w:spacing w:before="100" w:beforeAutospacing="1" w:after="100" w:afterAutospacing="1"/>
      <w:jc w:val="center"/>
      <w:textAlignment w:val="center"/>
    </w:pPr>
    <w:rPr>
      <w:rFonts w:ascii="宋体" w:hAnsi="宋体" w:cs="宋体"/>
      <w:kern w:val="0"/>
    </w:rPr>
  </w:style>
  <w:style w:type="paragraph" w:customStyle="1" w:styleId="288">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8"/>
      <w:szCs w:val="18"/>
    </w:rPr>
  </w:style>
  <w:style w:type="paragraph" w:customStyle="1" w:styleId="289">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90">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91">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92">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8"/>
      <w:szCs w:val="18"/>
    </w:rPr>
  </w:style>
  <w:style w:type="paragraph" w:customStyle="1" w:styleId="293">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8"/>
      <w:szCs w:val="18"/>
    </w:rPr>
  </w:style>
  <w:style w:type="paragraph" w:customStyle="1" w:styleId="294">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295">
    <w:name w:val="xl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96">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97">
    <w:name w:val="xl7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98">
    <w:name w:val="xl7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299">
    <w:name w:val="xl78"/>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28"/>
      <w:szCs w:val="28"/>
    </w:rPr>
  </w:style>
  <w:style w:type="paragraph" w:customStyle="1" w:styleId="300">
    <w:name w:val="xl79"/>
    <w:basedOn w:val="1"/>
    <w:qFormat/>
    <w:uiPriority w:val="0"/>
    <w:pPr>
      <w:widowControl/>
      <w:pBdr>
        <w:bottom w:val="single" w:color="auto" w:sz="4" w:space="0"/>
      </w:pBdr>
      <w:spacing w:before="100" w:beforeAutospacing="1" w:after="100" w:afterAutospacing="1"/>
      <w:jc w:val="center"/>
      <w:textAlignment w:val="center"/>
    </w:pPr>
    <w:rPr>
      <w:rFonts w:ascii="宋体" w:hAnsi="宋体" w:cs="宋体"/>
      <w:b/>
      <w:bCs/>
      <w:kern w:val="0"/>
      <w:sz w:val="36"/>
      <w:szCs w:val="36"/>
    </w:rPr>
  </w:style>
  <w:style w:type="paragraph" w:customStyle="1" w:styleId="301">
    <w:name w:val="xl8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02">
    <w:name w:val="xl8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03">
    <w:name w:val="xl82"/>
    <w:basedOn w:val="1"/>
    <w:qFormat/>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b/>
      <w:bCs/>
      <w:kern w:val="0"/>
      <w:sz w:val="18"/>
      <w:szCs w:val="18"/>
    </w:rPr>
  </w:style>
  <w:style w:type="paragraph" w:customStyle="1" w:styleId="304">
    <w:name w:val="xl83"/>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rPr>
  </w:style>
  <w:style w:type="paragraph" w:customStyle="1" w:styleId="305">
    <w:name w:val="xl8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306">
    <w:name w:val="xl8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18"/>
      <w:szCs w:val="18"/>
    </w:rPr>
  </w:style>
  <w:style w:type="paragraph" w:customStyle="1" w:styleId="307">
    <w:name w:val="xl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paragraph" w:customStyle="1" w:styleId="308">
    <w:name w:val="xl8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rPr>
  </w:style>
  <w:style w:type="character" w:customStyle="1" w:styleId="309">
    <w:name w:val="aa正文 Char"/>
    <w:link w:val="310"/>
    <w:qFormat/>
    <w:uiPriority w:val="0"/>
    <w:rPr>
      <w:rFonts w:ascii="宋体" w:hAnsi="宋体" w:eastAsia="Times New Roman"/>
      <w:snapToGrid w:val="0"/>
      <w:sz w:val="24"/>
      <w:szCs w:val="44"/>
      <w:lang w:val="zh-CN"/>
    </w:rPr>
  </w:style>
  <w:style w:type="paragraph" w:customStyle="1" w:styleId="310">
    <w:name w:val="aa正文"/>
    <w:basedOn w:val="1"/>
    <w:link w:val="309"/>
    <w:qFormat/>
    <w:uiPriority w:val="0"/>
    <w:pPr>
      <w:tabs>
        <w:tab w:val="left" w:pos="276"/>
        <w:tab w:val="left" w:pos="534"/>
      </w:tabs>
      <w:overflowPunct w:val="0"/>
      <w:topLinePunct/>
      <w:adjustRightInd w:val="0"/>
      <w:snapToGrid w:val="0"/>
      <w:spacing w:line="480" w:lineRule="exact"/>
    </w:pPr>
    <w:rPr>
      <w:rFonts w:ascii="宋体" w:hAnsi="宋体" w:eastAsia="Times New Roman"/>
      <w:snapToGrid w:val="0"/>
      <w:kern w:val="0"/>
      <w:szCs w:val="44"/>
      <w:lang w:val="zh-CN"/>
    </w:rPr>
  </w:style>
  <w:style w:type="character" w:customStyle="1" w:styleId="311">
    <w:name w:val="font81"/>
    <w:basedOn w:val="64"/>
    <w:qFormat/>
    <w:uiPriority w:val="0"/>
    <w:rPr>
      <w:rFonts w:hint="eastAsia" w:ascii="宋体" w:hAnsi="宋体" w:eastAsia="宋体" w:cs="宋体"/>
      <w:color w:val="000000"/>
      <w:sz w:val="20"/>
      <w:szCs w:val="20"/>
      <w:u w:val="none"/>
    </w:rPr>
  </w:style>
  <w:style w:type="character" w:customStyle="1" w:styleId="312">
    <w:name w:val="font61"/>
    <w:basedOn w:val="64"/>
    <w:qFormat/>
    <w:uiPriority w:val="0"/>
    <w:rPr>
      <w:rFonts w:hint="eastAsia" w:ascii="宋体" w:hAnsi="宋体" w:eastAsia="宋体" w:cs="宋体"/>
      <w:color w:val="0000FF"/>
      <w:sz w:val="20"/>
      <w:szCs w:val="20"/>
      <w:u w:val="none"/>
      <w:vertAlign w:val="subscript"/>
    </w:rPr>
  </w:style>
  <w:style w:type="character" w:customStyle="1" w:styleId="313">
    <w:name w:val="font112"/>
    <w:basedOn w:val="64"/>
    <w:qFormat/>
    <w:uiPriority w:val="0"/>
    <w:rPr>
      <w:rFonts w:hint="eastAsia" w:ascii="宋体" w:hAnsi="宋体" w:eastAsia="宋体" w:cs="宋体"/>
      <w:color w:val="0000FF"/>
      <w:sz w:val="20"/>
      <w:szCs w:val="20"/>
      <w:u w:val="none"/>
    </w:rPr>
  </w:style>
  <w:style w:type="paragraph" w:customStyle="1" w:styleId="314">
    <w:name w:val="列出段落1"/>
    <w:basedOn w:val="1"/>
    <w:qFormat/>
    <w:uiPriority w:val="34"/>
    <w:pPr>
      <w:ind w:firstLine="420" w:firstLineChars="200"/>
    </w:pPr>
    <w:rPr>
      <w:rFonts w:ascii="Calibri" w:hAnsi="Calibri"/>
      <w:szCs w:val="22"/>
    </w:rPr>
  </w:style>
  <w:style w:type="paragraph" w:customStyle="1" w:styleId="315">
    <w:name w:val="WPSOffice手动目录 1"/>
    <w:qFormat/>
    <w:uiPriority w:val="0"/>
    <w:rPr>
      <w:rFonts w:ascii="Times New Roman" w:hAnsi="Times New Roman" w:eastAsia="宋体" w:cs="Times New Roman"/>
      <w:lang w:val="en-US" w:eastAsia="zh-CN" w:bidi="ar-SA"/>
    </w:rPr>
  </w:style>
  <w:style w:type="paragraph" w:customStyle="1" w:styleId="316">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17">
    <w:name w:val="p16"/>
    <w:basedOn w:val="1"/>
    <w:qFormat/>
    <w:uiPriority w:val="0"/>
    <w:pPr>
      <w:widowControl/>
      <w:jc w:val="left"/>
    </w:pPr>
    <w:rPr>
      <w:rFonts w:ascii="宋体" w:hAnsi="宋体" w:cs="宋体"/>
      <w:kern w:val="0"/>
      <w:sz w:val="21"/>
      <w:szCs w:val="21"/>
    </w:rPr>
  </w:style>
  <w:style w:type="paragraph" w:customStyle="1" w:styleId="318">
    <w:name w:val="p17"/>
    <w:basedOn w:val="1"/>
    <w:qFormat/>
    <w:uiPriority w:val="0"/>
    <w:pPr>
      <w:widowControl/>
      <w:ind w:left="181" w:firstLine="420"/>
    </w:pPr>
    <w:rPr>
      <w:rFonts w:ascii="Calibri" w:hAnsi="Calibri" w:cs="宋体"/>
      <w:kern w:val="0"/>
    </w:rPr>
  </w:style>
  <w:style w:type="paragraph" w:customStyle="1" w:styleId="319">
    <w:name w:val="Revision"/>
    <w:hidden/>
    <w:unhideWhenUsed/>
    <w:qFormat/>
    <w:uiPriority w:val="99"/>
    <w:rPr>
      <w:rFonts w:ascii="Times New Roman" w:hAnsi="Times New Roman"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327840-8D53-4634-8863-B75B171673FD}">
  <ds:schemaRefs/>
</ds:datastoreItem>
</file>

<file path=customXml/itemProps2.xml><?xml version="1.0" encoding="utf-8"?>
<ds:datastoreItem xmlns:ds="http://schemas.openxmlformats.org/officeDocument/2006/customXml" ds:itemID="{7DD223CE-4489-4F4B-A2E9-5E4F3AB81BC6}">
  <ds:schemaRefs/>
</ds:datastoreItem>
</file>

<file path=docProps/app.xml><?xml version="1.0" encoding="utf-8"?>
<Properties xmlns="http://schemas.openxmlformats.org/officeDocument/2006/extended-properties" xmlns:vt="http://schemas.openxmlformats.org/officeDocument/2006/docPropsVTypes">
  <Template>Normal</Template>
  <Company>shjec</Company>
  <Pages>22</Pages>
  <Words>12423</Words>
  <Characters>13941</Characters>
  <Lines>113</Lines>
  <Paragraphs>32</Paragraphs>
  <TotalTime>2</TotalTime>
  <ScaleCrop>false</ScaleCrop>
  <LinksUpToDate>false</LinksUpToDate>
  <CharactersWithSpaces>14066</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2020-03-26T07:31:00Z</dcterms:created>
  <dc:creator>sunny</dc:creator>
  <cp:lastModifiedBy>心悦</cp:lastModifiedBy>
  <cp:lastPrinted>2025-03-25T00:36:00Z</cp:lastPrinted>
  <dcterms:modified xsi:type="dcterms:W3CDTF">2025-03-28T02:42:05Z</dcterms:modified>
  <dc:title>附件2   第一部分 项目概述   第二部分 技术规格</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6DB65FF1C9434934BBEF2185901E0FBE_13</vt:lpwstr>
  </property>
  <property fmtid="{D5CDD505-2E9C-101B-9397-08002B2CF9AE}" pid="4" name="KSOTemplateDocerSaveRecord">
    <vt:lpwstr>eyJoZGlkIjoiMjdmZTcyMThkMjAwN2UyN2E1YTBlNWRkZDQ5OGRkNmEiLCJ1c2VySWQiOiIxNjAxMzk4MzY1In0=</vt:lpwstr>
  </property>
</Properties>
</file>