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8E674">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rPr>
      </w:pPr>
      <w:bookmarkStart w:id="0" w:name="_GoBack"/>
      <w:bookmarkEnd w:id="0"/>
      <w:r>
        <w:rPr>
          <w:rFonts w:hint="eastAsia" w:ascii="方正小标宋简体" w:hAnsi="方正小标宋简体" w:eastAsia="方正小标宋简体" w:cs="方正小标宋简体"/>
          <w:b w:val="0"/>
          <w:bCs/>
          <w:sz w:val="44"/>
          <w:szCs w:val="44"/>
        </w:rPr>
        <w:t>环南昆山—罗浮山县镇村高质量发展引领区</w:t>
      </w:r>
    </w:p>
    <w:p w14:paraId="2BE76A4A">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b/>
          <w:sz w:val="30"/>
          <w:szCs w:val="30"/>
        </w:rPr>
      </w:pPr>
      <w:r>
        <w:rPr>
          <w:rFonts w:hint="eastAsia" w:ascii="方正小标宋简体" w:hAnsi="方正小标宋简体" w:eastAsia="方正小标宋简体" w:cs="方正小标宋简体"/>
          <w:b w:val="0"/>
          <w:bCs/>
          <w:sz w:val="44"/>
          <w:szCs w:val="44"/>
        </w:rPr>
        <w:t>正果驿站</w:t>
      </w:r>
      <w:r>
        <w:rPr>
          <w:rFonts w:hint="eastAsia" w:ascii="方正小标宋简体" w:hAnsi="方正小标宋简体" w:eastAsia="方正小标宋简体" w:cs="方正小标宋简体"/>
          <w:b w:val="0"/>
          <w:bCs/>
          <w:sz w:val="44"/>
          <w:szCs w:val="44"/>
          <w:lang w:eastAsia="zh-CN"/>
        </w:rPr>
        <w:t>文化</w:t>
      </w:r>
      <w:r>
        <w:rPr>
          <w:rFonts w:hint="eastAsia" w:ascii="方正小标宋简体" w:hAnsi="方正小标宋简体" w:eastAsia="方正小标宋简体" w:cs="方正小标宋简体"/>
          <w:b w:val="0"/>
          <w:bCs/>
          <w:sz w:val="44"/>
          <w:szCs w:val="44"/>
        </w:rPr>
        <w:t>展厅展陈大纲</w:t>
      </w:r>
    </w:p>
    <w:p w14:paraId="5BA5A942">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楷体_GB2312" w:hAnsi="楷体_GB2312" w:eastAsia="楷体_GB2312" w:cs="楷体_GB2312"/>
          <w:b w:val="0"/>
          <w:bCs/>
          <w:color w:val="000000" w:themeColor="text1"/>
          <w:sz w:val="32"/>
          <w:szCs w:val="32"/>
          <w:lang w:eastAsia="zh-CN"/>
          <w14:textFill>
            <w14:solidFill>
              <w14:schemeClr w14:val="tx1"/>
            </w14:solidFill>
          </w14:textFill>
        </w:rPr>
      </w:pPr>
      <w:r>
        <w:rPr>
          <w:rFonts w:hint="eastAsia" w:ascii="楷体_GB2312" w:hAnsi="楷体_GB2312" w:eastAsia="楷体_GB2312" w:cs="楷体_GB2312"/>
          <w:b w:val="0"/>
          <w:bCs/>
          <w:color w:val="000000" w:themeColor="text1"/>
          <w:sz w:val="32"/>
          <w:szCs w:val="32"/>
          <w:lang w:eastAsia="zh-CN"/>
          <w14:textFill>
            <w14:solidFill>
              <w14:schemeClr w14:val="tx1"/>
            </w14:solidFill>
          </w14:textFill>
        </w:rPr>
        <w:t>（初稿）</w:t>
      </w:r>
    </w:p>
    <w:p w14:paraId="0D8C2811">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_GB2312" w:hAnsi="仿宋_GB2312" w:eastAsia="仿宋_GB2312" w:cs="仿宋_GB2312"/>
          <w:b/>
          <w:color w:val="000000" w:themeColor="text1"/>
          <w:sz w:val="32"/>
          <w:szCs w:val="32"/>
          <w14:textFill>
            <w14:solidFill>
              <w14:schemeClr w14:val="tx1"/>
            </w14:solidFill>
          </w14:textFill>
        </w:rPr>
      </w:pPr>
    </w:p>
    <w:p w14:paraId="272102A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展览名称：环南昆山—罗浮山县镇村高质量发展引领区正果驿站文化展览。</w:t>
      </w:r>
    </w:p>
    <w:p w14:paraId="40A9FB6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展览定位：运用既简朴又生动的展陈设计手法与多媒体互动装置的结合整体展示增城经济文化发展，打造环南昆山—罗浮山县镇村高质量发展引领区对外展示窗口。</w:t>
      </w:r>
    </w:p>
    <w:p w14:paraId="2F445B0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总体布局：一楼为序厅、两个篇章、尾声，二楼为展陈成品。</w:t>
      </w:r>
    </w:p>
    <w:p w14:paraId="05BD469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t>一、</w:t>
      </w:r>
      <w:r>
        <w:rPr>
          <w:rFonts w:hint="eastAsia" w:ascii="黑体" w:hAnsi="黑体" w:eastAsia="黑体" w:cs="黑体"/>
          <w:b w:val="0"/>
          <w:bCs/>
          <w:color w:val="000000" w:themeColor="text1"/>
          <w:sz w:val="32"/>
          <w:szCs w:val="32"/>
          <w14:textFill>
            <w14:solidFill>
              <w14:schemeClr w14:val="tx1"/>
            </w14:solidFill>
          </w14:textFill>
        </w:rPr>
        <w:t>序</w:t>
      </w:r>
      <w:r>
        <w:rPr>
          <w:rFonts w:hint="eastAsia" w:ascii="黑体" w:hAnsi="黑体" w:eastAsia="黑体" w:cs="黑体"/>
          <w:b w:val="0"/>
          <w:bCs/>
          <w:color w:val="000000" w:themeColor="text1"/>
          <w:sz w:val="32"/>
          <w:szCs w:val="32"/>
          <w:lang w:eastAsia="zh-CN"/>
          <w14:textFill>
            <w14:solidFill>
              <w14:schemeClr w14:val="tx1"/>
            </w14:solidFill>
          </w14:textFill>
        </w:rPr>
        <w:t>厅</w:t>
      </w:r>
    </w:p>
    <w:p w14:paraId="248CFBD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序言。</w:t>
      </w:r>
    </w:p>
    <w:p w14:paraId="271121F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t>二、走进环“两山”</w:t>
      </w:r>
    </w:p>
    <w:p w14:paraId="3246BBDB">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t>（一）整体介绍</w:t>
      </w:r>
    </w:p>
    <w:p w14:paraId="494244BA">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b w:val="0"/>
          <w:bCs/>
          <w:color w:val="auto"/>
          <w:kern w:val="2"/>
          <w:sz w:val="32"/>
          <w:szCs w:val="32"/>
          <w:shd w:val="clear" w:color="auto" w:fill="FFFFFF"/>
          <w:lang w:val="en-US" w:eastAsia="zh-CN" w:bidi="ar-SA"/>
        </w:rPr>
      </w:pPr>
      <w:r>
        <w:rPr>
          <w:rFonts w:hint="eastAsia" w:ascii="仿宋_GB2312" w:hAnsi="仿宋_GB2312" w:eastAsia="仿宋_GB2312" w:cs="仿宋_GB2312"/>
          <w:b w:val="0"/>
          <w:bCs/>
          <w:color w:val="auto"/>
          <w:kern w:val="2"/>
          <w:sz w:val="32"/>
          <w:szCs w:val="32"/>
          <w:shd w:val="clear" w:color="auto" w:fill="FFFFFF"/>
          <w:lang w:val="en-US" w:eastAsia="zh-CN" w:bidi="ar-SA"/>
        </w:rPr>
        <w:t>省、市“环南昆山—罗浮山”县镇村高质量发展引领区工作规划及工作成效。</w:t>
      </w:r>
    </w:p>
    <w:p w14:paraId="752A351D">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t>（二）增城篇</w:t>
      </w:r>
    </w:p>
    <w:p w14:paraId="07E1BA23">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t>1.增城区关于环“两山”工作</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举措</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整体介绍（含正果</w:t>
      </w:r>
      <w:r>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t>镇、</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派潭镇、小楼镇、增江街、荔城街、朱村街）</w:t>
      </w:r>
      <w:r>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t>；</w:t>
      </w:r>
    </w:p>
    <w:p w14:paraId="46A8376C">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eastAsia="仿宋_GB2312"/>
          <w:lang w:val="en-US" w:eastAsia="zh-CN"/>
        </w:rPr>
      </w:pPr>
      <w:r>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t>2.</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正果</w:t>
      </w:r>
      <w:r>
        <w:rPr>
          <w:rFonts w:hint="eastAsia" w:ascii="仿宋_GB2312" w:hAnsi="仿宋_GB2312" w:eastAsia="仿宋_GB2312" w:cs="仿宋_GB2312"/>
          <w:b w:val="0"/>
          <w:bCs/>
          <w:color w:val="000000" w:themeColor="text1"/>
          <w:kern w:val="2"/>
          <w:sz w:val="32"/>
          <w:szCs w:val="32"/>
          <w:shd w:val="clear" w:color="auto" w:fill="FFFFFF"/>
          <w:lang w:val="en-US" w:eastAsia="zh-CN" w:bidi="ar-SA"/>
          <w14:textFill>
            <w14:solidFill>
              <w14:schemeClr w14:val="tx1"/>
            </w14:solidFill>
          </w14:textFill>
        </w:rPr>
        <w:t>镇关于环“两山”工作</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举措及打造的典型案例</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p>
    <w:p w14:paraId="1178B0D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t>三、聚焦增城区</w:t>
      </w:r>
    </w:p>
    <w:p w14:paraId="30BF2F0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（一）增城区简介</w:t>
      </w:r>
    </w:p>
    <w:p w14:paraId="369E6D3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1.历史沿革：历史时间轴；</w:t>
      </w:r>
    </w:p>
    <w:p w14:paraId="7530B2D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2.经济发展：产业风貌、营商环境、科技创新。</w:t>
      </w:r>
    </w:p>
    <w:p w14:paraId="23862E2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（二）增城文旅</w:t>
      </w:r>
    </w:p>
    <w:p w14:paraId="0BC6A83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1.增城历史文化资源：甘泉文化、菊坡文化、仙姑文化、丝苗文化、挂绿文化、菜心文化等；历史文化名人，历史建筑，文物，非物质文化遗产等；</w:t>
      </w:r>
    </w:p>
    <w:p w14:paraId="2837EE3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2.增城文旅名片：“游增城，享小闲”“文艺增城”“影梦成增”“跟着赛事来增城旅行”；</w:t>
      </w:r>
    </w:p>
    <w:p w14:paraId="64C3446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default"/>
          <w:lang w:val="en-US"/>
        </w:rPr>
      </w:pP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3.正果镇：正果文化、历史故事；正果IP创意设计。</w:t>
      </w:r>
    </w:p>
    <w:p w14:paraId="10425C8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t>四、尾声</w:t>
      </w:r>
    </w:p>
    <w:p w14:paraId="0FF6F421">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pP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总结语。</w:t>
      </w:r>
    </w:p>
    <w:p w14:paraId="154571E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t>五、展陈成品</w:t>
      </w:r>
    </w:p>
    <w:p w14:paraId="46D93CC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（一）增城区</w:t>
      </w:r>
    </w:p>
    <w:p w14:paraId="79D672D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1.</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名优特产：</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国家地理标志保护产品（迟菜心、丝苗米、荔枝、凉粉草等）、“增城十三吃”“增城十宝”等。</w:t>
      </w:r>
    </w:p>
    <w:p w14:paraId="6E501F9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2.</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非遗文创：</w:t>
      </w: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技艺类（榄雕、剪纸、篆刻、灰塑等）、习俗类</w:t>
      </w: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（畲族拜祖公图、开笔礼、乞巧节等）、</w:t>
      </w: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表演类</w:t>
      </w: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（舞貔貅、舞火狗、舞春牛、广东汉乐等）。</w:t>
      </w:r>
    </w:p>
    <w:p w14:paraId="19BAC483">
      <w:pPr>
        <w:pStyle w:val="2"/>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left"/>
        <w:textAlignment w:val="auto"/>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（二）正果镇</w:t>
      </w:r>
    </w:p>
    <w:p w14:paraId="0E9E7F3F">
      <w:pPr>
        <w:pStyle w:val="2"/>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left"/>
        <w:textAlignment w:val="auto"/>
        <w:rPr>
          <w:rFonts w:hint="eastAsia"/>
          <w:lang w:eastAsia="zh-CN"/>
        </w:rPr>
      </w:pP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名优特产、非遗文创等。</w:t>
      </w:r>
    </w:p>
    <w:sectPr>
      <w:footerReference r:id="rId3" w:type="default"/>
      <w:pgSz w:w="11906" w:h="16838"/>
      <w:pgMar w:top="1587" w:right="1474" w:bottom="147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803070505020304"/>
    <w:charset w:val="86"/>
    <w:family w:val="auto"/>
    <w:pitch w:val="default"/>
    <w:sig w:usb0="E0002AEF" w:usb1="C0007841"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302020204030204"/>
    <w:charset w:val="00"/>
    <w:family w:val="swiss"/>
    <w:pitch w:val="default"/>
    <w:sig w:usb0="E4002EFF" w:usb1="C200247B" w:usb2="00000009" w:usb3="00000000" w:csb0="200001FF" w:csb1="00000000"/>
  </w:font>
  <w:font w:name="方正小标宋简体">
    <w:altName w:val="方正小标宋_GBK"/>
    <w:panose1 w:val="03000509000000000000"/>
    <w:charset w:val="86"/>
    <w:family w:val="auto"/>
    <w:pitch w:val="default"/>
    <w:sig w:usb0="00000000" w:usb1="00000000" w:usb2="00000000" w:usb3="00000000" w:csb0="00040000" w:csb1="00000000"/>
  </w:font>
  <w:font w:name="楷体_GB2312">
    <w:altName w:val="汉仪楷体简"/>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8797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A55932">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EA55932">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0B38E3"/>
    <w:rsid w:val="027B0918"/>
    <w:rsid w:val="05A8450E"/>
    <w:rsid w:val="1408365E"/>
    <w:rsid w:val="15CE5790"/>
    <w:rsid w:val="1B9079CE"/>
    <w:rsid w:val="200B38E3"/>
    <w:rsid w:val="30590063"/>
    <w:rsid w:val="43AB20C9"/>
    <w:rsid w:val="46242FDD"/>
    <w:rsid w:val="53EF1AC3"/>
    <w:rsid w:val="75C5221E"/>
    <w:rsid w:val="79955265"/>
    <w:rsid w:val="7E97312C"/>
    <w:rsid w:val="F5FA3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ind w:left="420" w:leftChars="200"/>
    </w:pPr>
  </w:style>
  <w:style w:type="paragraph" w:styleId="4">
    <w:name w:val="Normal Indent"/>
    <w:basedOn w:val="1"/>
    <w:next w:val="5"/>
    <w:unhideWhenUsed/>
    <w:qFormat/>
    <w:uiPriority w:val="99"/>
    <w:pPr>
      <w:ind w:firstLine="420" w:firstLineChars="200"/>
    </w:pPr>
  </w:style>
  <w:style w:type="paragraph" w:styleId="5">
    <w:name w:val="toc 4"/>
    <w:basedOn w:val="1"/>
    <w:next w:val="1"/>
    <w:qFormat/>
    <w:uiPriority w:val="0"/>
    <w:pPr>
      <w:ind w:left="1260" w:leftChars="6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397</Words>
  <Characters>402</Characters>
  <Lines>0</Lines>
  <Paragraphs>0</Paragraphs>
  <TotalTime>1</TotalTime>
  <ScaleCrop>false</ScaleCrop>
  <LinksUpToDate>false</LinksUpToDate>
  <CharactersWithSpaces>404</CharactersWithSpaces>
  <Application>WPS Office_6.9.0.8865_F1E327BC-269C-435d-A152-05C5408002CA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2025-01-13T09:32:00Z</dcterms:created>
  <dc:creator>Administrator</dc:creator>
  <cp:lastModifiedBy>黄某某</cp:lastModifiedBy>
  <cp:lastPrinted>2025-01-17T14:22:00Z</cp:lastPrinted>
  <dcterms:modified xsi:type="dcterms:W3CDTF">2025-03-04T13:21:30Z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2052-6.9.0.8865</vt:lpwstr>
  </property>
  <property fmtid="{D5CDD505-2E9C-101B-9397-08002B2CF9AE}" pid="3" name="ICV">
    <vt:lpwstr>31542503FB00D879DA8DC6679FB680C5_43</vt:lpwstr>
  </property>
</Properties>
</file>