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6A2F45">
      <w:pPr>
        <w:rPr>
          <w:color w:val="000000"/>
        </w:rPr>
      </w:pPr>
    </w:p>
    <w:p w14:paraId="13900150">
      <w:pPr>
        <w:pStyle w:val="35"/>
        <w:ind w:firstLine="758"/>
        <w:rPr>
          <w:color w:val="000000"/>
        </w:rPr>
      </w:pPr>
    </w:p>
    <w:p w14:paraId="5F704A4F">
      <w:pPr>
        <w:pStyle w:val="17"/>
        <w:ind w:firstLine="0" w:firstLineChars="0"/>
        <w:rPr>
          <w:color w:val="000000"/>
        </w:rPr>
      </w:pPr>
      <w:r>
        <w:rPr>
          <w:color w:val="000000"/>
        </w:rPr>
        <w:t>广州市白云区螺涌村、松南村、松北村城中村改造</w:t>
      </w:r>
      <w:r>
        <w:rPr>
          <w:rFonts w:hint="eastAsia"/>
          <w:color w:val="000000"/>
        </w:rPr>
        <w:t>项目</w:t>
      </w:r>
    </w:p>
    <w:p w14:paraId="62962EF2">
      <w:pPr>
        <w:pStyle w:val="17"/>
        <w:ind w:firstLine="0" w:firstLineChars="0"/>
        <w:rPr>
          <w:color w:val="000000"/>
        </w:rPr>
      </w:pPr>
      <w:r>
        <w:rPr>
          <w:rFonts w:hint="eastAsia"/>
          <w:color w:val="000000"/>
        </w:rPr>
        <w:t>AB3802042安置地块项目勘察初步设计任务书</w:t>
      </w:r>
    </w:p>
    <w:p w14:paraId="6F9A6961">
      <w:pPr>
        <w:rPr>
          <w:color w:val="000000"/>
        </w:rPr>
      </w:pPr>
    </w:p>
    <w:p w14:paraId="54880EE0">
      <w:pPr>
        <w:rPr>
          <w:color w:val="000000"/>
        </w:rPr>
      </w:pPr>
    </w:p>
    <w:p w14:paraId="6CB3C691">
      <w:pPr>
        <w:rPr>
          <w:color w:val="000000"/>
        </w:rPr>
      </w:pPr>
    </w:p>
    <w:p w14:paraId="334B0ACB">
      <w:pPr>
        <w:rPr>
          <w:color w:val="000000"/>
        </w:rPr>
      </w:pPr>
    </w:p>
    <w:p w14:paraId="01A3593E">
      <w:pPr>
        <w:rPr>
          <w:color w:val="000000"/>
        </w:rPr>
      </w:pPr>
    </w:p>
    <w:p w14:paraId="67E666B8">
      <w:pPr>
        <w:rPr>
          <w:color w:val="000000"/>
        </w:rPr>
      </w:pPr>
    </w:p>
    <w:p w14:paraId="0F646BFF">
      <w:pPr>
        <w:rPr>
          <w:color w:val="000000"/>
        </w:rPr>
      </w:pPr>
    </w:p>
    <w:p w14:paraId="65C3514E">
      <w:pPr>
        <w:rPr>
          <w:color w:val="000000"/>
        </w:rPr>
      </w:pPr>
    </w:p>
    <w:p w14:paraId="4E9DD501">
      <w:pPr>
        <w:rPr>
          <w:color w:val="000000"/>
        </w:rPr>
      </w:pPr>
    </w:p>
    <w:p w14:paraId="463958FA">
      <w:pPr>
        <w:rPr>
          <w:color w:val="000000"/>
        </w:rPr>
      </w:pPr>
    </w:p>
    <w:p w14:paraId="746FE210">
      <w:pPr>
        <w:rPr>
          <w:color w:val="000000"/>
        </w:rPr>
      </w:pPr>
    </w:p>
    <w:p w14:paraId="2F4720B9">
      <w:pPr>
        <w:rPr>
          <w:color w:val="000000"/>
        </w:rPr>
      </w:pPr>
    </w:p>
    <w:p w14:paraId="3FE950CF">
      <w:pPr>
        <w:rPr>
          <w:color w:val="000000"/>
        </w:rPr>
      </w:pPr>
    </w:p>
    <w:p w14:paraId="16399193">
      <w:pPr>
        <w:rPr>
          <w:color w:val="000000"/>
        </w:rPr>
      </w:pPr>
    </w:p>
    <w:p w14:paraId="445339BA">
      <w:pPr>
        <w:rPr>
          <w:color w:val="000000"/>
        </w:rPr>
      </w:pPr>
    </w:p>
    <w:p w14:paraId="310664CF">
      <w:pPr>
        <w:rPr>
          <w:color w:val="000000"/>
        </w:rPr>
      </w:pPr>
    </w:p>
    <w:p w14:paraId="33CEB76B">
      <w:pPr>
        <w:rPr>
          <w:color w:val="000000"/>
        </w:rPr>
      </w:pPr>
    </w:p>
    <w:p w14:paraId="4327C150">
      <w:pPr>
        <w:rPr>
          <w:color w:val="000000"/>
        </w:rPr>
      </w:pPr>
    </w:p>
    <w:p w14:paraId="718C9A24">
      <w:pPr>
        <w:rPr>
          <w:color w:val="000000"/>
        </w:rPr>
      </w:pPr>
    </w:p>
    <w:p w14:paraId="717688B9">
      <w:pPr>
        <w:jc w:val="center"/>
        <w:rPr>
          <w:color w:val="000000"/>
        </w:rPr>
      </w:pPr>
      <w:r>
        <w:rPr>
          <w:rFonts w:hint="eastAsia"/>
          <w:color w:val="000000"/>
        </w:rPr>
        <w:t>2</w:t>
      </w:r>
      <w:r>
        <w:rPr>
          <w:color w:val="000000"/>
        </w:rPr>
        <w:t>02</w:t>
      </w:r>
      <w:r>
        <w:rPr>
          <w:rFonts w:hint="eastAsia"/>
          <w:color w:val="000000"/>
        </w:rPr>
        <w:t>5年0</w:t>
      </w:r>
      <w:r>
        <w:rPr>
          <w:color w:val="000000"/>
        </w:rPr>
        <w:t>3</w:t>
      </w:r>
      <w:r>
        <w:rPr>
          <w:rFonts w:hint="eastAsia"/>
          <w:color w:val="000000"/>
        </w:rPr>
        <w:t>月</w:t>
      </w:r>
    </w:p>
    <w:p w14:paraId="7E1D356D">
      <w:pPr>
        <w:jc w:val="cente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p>
    <w:p w14:paraId="2AE18E04">
      <w:pPr>
        <w:pStyle w:val="17"/>
        <w:ind w:firstLine="0" w:firstLineChars="0"/>
        <w:rPr>
          <w:color w:val="000000"/>
          <w:highlight w:val="none"/>
        </w:rPr>
      </w:pPr>
      <w:r>
        <w:rPr>
          <w:rFonts w:hint="eastAsia"/>
          <w:color w:val="000000"/>
          <w:highlight w:val="none"/>
        </w:rPr>
        <w:t>前言</w:t>
      </w:r>
    </w:p>
    <w:p w14:paraId="4AAD00A3">
      <w:pPr>
        <w:rPr>
          <w:color w:val="000000"/>
          <w:highlight w:val="none"/>
        </w:rPr>
      </w:pPr>
      <w:r>
        <w:rPr>
          <w:rFonts w:hint="eastAsia"/>
          <w:color w:val="000000"/>
          <w:highlight w:val="none"/>
        </w:rPr>
        <w:t>罗冲围片区西临珠江西航道，东邻广州白云站，北承白云湖数字科技城，南接白鹅潭商务区。项目总占地面积</w:t>
      </w:r>
      <w:r>
        <w:rPr>
          <w:color w:val="000000"/>
          <w:highlight w:val="none"/>
        </w:rPr>
        <w:t>22.8平方公里，现状建设总量2641万平方米，现状人口约60万人。</w:t>
      </w:r>
      <w:r>
        <w:rPr>
          <w:rFonts w:hint="eastAsia"/>
          <w:color w:val="000000"/>
          <w:highlight w:val="none"/>
        </w:rPr>
        <w:t>作为广州市城中村改造四大重点片区之一，罗冲围片区今年将抓紧AB3802042地块的开工建设，补齐白云站西片配套设施，提升核心枢纽及周边区域产业能级；将打通华为研发中心周边发展纵深空间，带动珠江西岸高质量发展。</w:t>
      </w:r>
    </w:p>
    <w:p w14:paraId="357157B7">
      <w:pPr>
        <w:rPr>
          <w:color w:val="000000"/>
          <w:highlight w:val="none"/>
        </w:rPr>
      </w:pPr>
      <w:r>
        <w:rPr>
          <w:color w:val="000000"/>
          <w:highlight w:val="none"/>
        </w:rPr>
        <w:t>广州市白云区螺涌村、松南村、松北村城中村改造项目</w:t>
      </w:r>
      <w:r>
        <w:rPr>
          <w:rFonts w:hint="eastAsia"/>
          <w:color w:val="000000"/>
          <w:highlight w:val="none"/>
        </w:rPr>
        <w:t>AB3802042</w:t>
      </w:r>
      <w:bookmarkStart w:id="0" w:name="_Hlk169854026"/>
      <w:r>
        <w:rPr>
          <w:rFonts w:hint="eastAsia"/>
          <w:color w:val="000000"/>
          <w:highlight w:val="none"/>
        </w:rPr>
        <w:t>地块项目</w:t>
      </w:r>
      <w:bookmarkEnd w:id="0"/>
      <w:r>
        <w:rPr>
          <w:rFonts w:hint="eastAsia"/>
          <w:color w:val="000000"/>
          <w:highlight w:val="none"/>
        </w:rPr>
        <w:t>建设包括住宅，停车场，配套设施等，针对本项目建设内容较多、建设时间短的特点，从规范、合理、经济统一的角度出发编制了本设计任务书。</w:t>
      </w:r>
    </w:p>
    <w:p w14:paraId="6F3C69D6">
      <w:pPr>
        <w:rPr>
          <w:color w:val="000000"/>
          <w:highlight w:val="none"/>
        </w:rPr>
      </w:pPr>
      <w:r>
        <w:rPr>
          <w:rFonts w:hint="eastAsia"/>
          <w:color w:val="000000"/>
          <w:highlight w:val="none"/>
        </w:rPr>
        <w:t>本设计任务书的主要技术内容包括基坑设计、房屋建筑设计、市政设计、概算编制等。</w:t>
      </w:r>
    </w:p>
    <w:p w14:paraId="507C4D30">
      <w:pPr>
        <w:rPr>
          <w:color w:val="000000"/>
          <w:highlight w:val="none"/>
        </w:rPr>
      </w:pPr>
    </w:p>
    <w:p w14:paraId="4BDBEC4E">
      <w:pPr>
        <w:rPr>
          <w:color w:val="000000"/>
          <w:highlight w:val="none"/>
        </w:rPr>
      </w:pPr>
    </w:p>
    <w:p w14:paraId="224FB014">
      <w:pPr>
        <w:rPr>
          <w:color w:val="000000"/>
          <w:highlight w:val="none"/>
        </w:rPr>
      </w:pPr>
    </w:p>
    <w:p w14:paraId="7EB25B53">
      <w:pPr>
        <w:rPr>
          <w:color w:val="000000"/>
          <w:highlight w:val="none"/>
        </w:rPr>
      </w:pPr>
    </w:p>
    <w:p w14:paraId="7125A602">
      <w:pPr>
        <w:rPr>
          <w:color w:val="000000"/>
          <w:highlight w:val="none"/>
        </w:rPr>
      </w:pPr>
    </w:p>
    <w:p w14:paraId="48A27E28">
      <w:pPr>
        <w:rPr>
          <w:color w:val="000000"/>
          <w:highlight w:val="none"/>
        </w:rPr>
      </w:pPr>
    </w:p>
    <w:p w14:paraId="65532C63">
      <w:pPr>
        <w:rPr>
          <w:color w:val="000000"/>
          <w:highlight w:val="none"/>
        </w:rPr>
      </w:pPr>
    </w:p>
    <w:p w14:paraId="1FE18F65">
      <w:pPr>
        <w:rPr>
          <w:color w:val="000000"/>
          <w:highlight w:val="none"/>
        </w:rPr>
      </w:pPr>
    </w:p>
    <w:p w14:paraId="6660D548">
      <w:pPr>
        <w:rPr>
          <w:color w:val="000000"/>
          <w:highlight w:val="none"/>
        </w:rPr>
      </w:pPr>
    </w:p>
    <w:p w14:paraId="6E481C75">
      <w:pPr>
        <w:rPr>
          <w:color w:val="000000"/>
          <w:highlight w:val="none"/>
        </w:rPr>
      </w:pPr>
    </w:p>
    <w:p w14:paraId="355E4A1E">
      <w:pPr>
        <w:rPr>
          <w:color w:val="000000"/>
          <w:highlight w:val="none"/>
        </w:rPr>
      </w:pPr>
    </w:p>
    <w:p w14:paraId="000F53F3">
      <w:pPr>
        <w:rPr>
          <w:color w:val="000000"/>
          <w:highlight w:val="none"/>
        </w:rPr>
      </w:pPr>
    </w:p>
    <w:p w14:paraId="56FE02A0">
      <w:pPr>
        <w:rPr>
          <w:color w:val="000000"/>
          <w:highlight w:val="none"/>
        </w:rPr>
      </w:pPr>
    </w:p>
    <w:p w14:paraId="4FA877C8">
      <w:pPr>
        <w:rPr>
          <w:color w:val="000000"/>
          <w:highlight w:val="none"/>
        </w:rPr>
      </w:pPr>
    </w:p>
    <w:p w14:paraId="7EB2883D">
      <w:pPr>
        <w:rPr>
          <w:color w:val="000000"/>
          <w:highlight w:val="none"/>
        </w:rPr>
      </w:pPr>
      <w:r>
        <w:rPr>
          <w:color w:val="000000"/>
          <w:highlight w:val="none"/>
        </w:rPr>
        <w:br w:type="page"/>
      </w:r>
    </w:p>
    <w:p w14:paraId="51AE572E">
      <w:pPr>
        <w:ind w:firstLine="853"/>
        <w:jc w:val="center"/>
        <w:rPr>
          <w:rFonts w:ascii="黑体" w:hAnsi="黑体" w:eastAsia="黑体"/>
          <w:b/>
          <w:bCs/>
          <w:color w:val="000000"/>
          <w:sz w:val="36"/>
          <w:szCs w:val="36"/>
          <w:highlight w:val="none"/>
        </w:rPr>
      </w:pPr>
      <w:r>
        <w:rPr>
          <w:rFonts w:hint="eastAsia" w:ascii="黑体" w:hAnsi="黑体" w:eastAsia="黑体"/>
          <w:b/>
          <w:bCs/>
          <w:color w:val="000000"/>
          <w:sz w:val="36"/>
          <w:szCs w:val="36"/>
          <w:highlight w:val="none"/>
        </w:rPr>
        <w:t>目  录</w:t>
      </w:r>
    </w:p>
    <w:p w14:paraId="2AA7F648">
      <w:pPr>
        <w:pStyle w:val="27"/>
        <w:tabs>
          <w:tab w:val="left" w:pos="1818"/>
          <w:tab w:val="right" w:leader="dot" w:pos="8296"/>
        </w:tabs>
        <w:ind w:firstLine="755"/>
        <w:rPr>
          <w:rFonts w:asciiTheme="minorHAnsi" w:hAnsiTheme="minorHAnsi" w:eastAsiaTheme="minorEastAsia"/>
          <w:color w:val="000000"/>
          <w:sz w:val="21"/>
          <w:szCs w:val="22"/>
          <w:highlight w:val="none"/>
        </w:rPr>
      </w:pPr>
      <w:bookmarkStart w:id="1" w:name="_Toc176857808"/>
      <w:r>
        <w:rPr>
          <w:color w:val="000000"/>
          <w:sz w:val="32"/>
          <w:highlight w:val="none"/>
        </w:rPr>
        <w:fldChar w:fldCharType="begin"/>
      </w:r>
      <w:r>
        <w:rPr>
          <w:color w:val="000000"/>
          <w:sz w:val="32"/>
          <w:highlight w:val="none"/>
        </w:rPr>
        <w:instrText xml:space="preserve"> TOC \o "1-2" \h \z \u </w:instrText>
      </w:r>
      <w:r>
        <w:rPr>
          <w:color w:val="000000"/>
          <w:sz w:val="32"/>
          <w:highlight w:val="none"/>
        </w:rPr>
        <w:fldChar w:fldCharType="separate"/>
      </w:r>
      <w:r>
        <w:rPr>
          <w:highlight w:val="none"/>
        </w:rPr>
        <w:fldChar w:fldCharType="begin"/>
      </w:r>
      <w:r>
        <w:rPr>
          <w:highlight w:val="none"/>
        </w:rPr>
        <w:instrText xml:space="preserve"> HYPERLINK \l "_Toc75504380" </w:instrText>
      </w:r>
      <w:r>
        <w:rPr>
          <w:highlight w:val="none"/>
        </w:rPr>
        <w:fldChar w:fldCharType="separate"/>
      </w:r>
      <w:r>
        <w:rPr>
          <w:rStyle w:val="45"/>
          <w:color w:val="000000"/>
          <w:highlight w:val="none"/>
        </w:rPr>
        <w:t>第1章</w:t>
      </w:r>
      <w:r>
        <w:rPr>
          <w:rFonts w:asciiTheme="minorHAnsi" w:hAnsiTheme="minorHAnsi" w:eastAsiaTheme="minorEastAsia"/>
          <w:color w:val="000000"/>
          <w:sz w:val="21"/>
          <w:szCs w:val="22"/>
          <w:highlight w:val="none"/>
        </w:rPr>
        <w:tab/>
      </w:r>
      <w:r>
        <w:rPr>
          <w:rStyle w:val="45"/>
          <w:color w:val="000000"/>
          <w:highlight w:val="none"/>
        </w:rPr>
        <w:t>项目概况</w:t>
      </w:r>
      <w:r>
        <w:rPr>
          <w:color w:val="000000"/>
          <w:highlight w:val="none"/>
        </w:rPr>
        <w:tab/>
      </w:r>
      <w:r>
        <w:rPr>
          <w:color w:val="000000"/>
          <w:highlight w:val="none"/>
        </w:rPr>
        <w:fldChar w:fldCharType="begin"/>
      </w:r>
      <w:r>
        <w:rPr>
          <w:color w:val="000000"/>
          <w:highlight w:val="none"/>
        </w:rPr>
        <w:instrText xml:space="preserve"> PAGEREF _Toc75504380 \h </w:instrText>
      </w:r>
      <w:r>
        <w:rPr>
          <w:color w:val="000000"/>
          <w:highlight w:val="none"/>
        </w:rPr>
        <w:fldChar w:fldCharType="separate"/>
      </w:r>
      <w:r>
        <w:rPr>
          <w:color w:val="000000"/>
          <w:highlight w:val="none"/>
        </w:rPr>
        <w:t>3</w:t>
      </w:r>
      <w:r>
        <w:rPr>
          <w:color w:val="000000"/>
          <w:highlight w:val="none"/>
        </w:rPr>
        <w:fldChar w:fldCharType="end"/>
      </w:r>
      <w:r>
        <w:rPr>
          <w:color w:val="000000"/>
          <w:highlight w:val="none"/>
        </w:rPr>
        <w:fldChar w:fldCharType="end"/>
      </w:r>
    </w:p>
    <w:p w14:paraId="53186B3A">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"_Toc75504381" </w:instrText>
      </w:r>
      <w:r>
        <w:rPr>
          <w:highlight w:val="none"/>
        </w:rPr>
        <w:fldChar w:fldCharType="separate"/>
      </w:r>
      <w:r>
        <w:rPr>
          <w:rStyle w:val="45"/>
          <w:rFonts w:asciiTheme="minorEastAsia" w:hAnsiTheme="minorEastAsia"/>
          <w:color w:val="000000"/>
          <w:highlight w:val="none"/>
        </w:rPr>
        <w:t>1.1</w:t>
      </w:r>
      <w:r>
        <w:rPr>
          <w:rFonts w:asciiTheme="minorHAnsi" w:hAnsiTheme="minorHAnsi" w:eastAsiaTheme="minorEastAsia"/>
          <w:sz w:val="21"/>
          <w:szCs w:val="22"/>
          <w:highlight w:val="none"/>
        </w:rPr>
        <w:tab/>
      </w:r>
      <w:r>
        <w:rPr>
          <w:rStyle w:val="45"/>
          <w:color w:val="000000"/>
          <w:highlight w:val="none"/>
        </w:rPr>
        <w:t>项目基本信息</w:t>
      </w:r>
      <w:r>
        <w:rPr>
          <w:highlight w:val="none"/>
        </w:rPr>
        <w:tab/>
      </w:r>
      <w:r>
        <w:rPr>
          <w:highlight w:val="none"/>
        </w:rPr>
        <w:fldChar w:fldCharType="begin"/>
      </w:r>
      <w:r>
        <w:rPr>
          <w:highlight w:val="none"/>
        </w:rPr>
        <w:instrText xml:space="preserve"> PAGEREF _Toc75504381 \h </w:instrText>
      </w:r>
      <w:r>
        <w:rPr>
          <w:highlight w:val="none"/>
        </w:rPr>
        <w:fldChar w:fldCharType="separate"/>
      </w:r>
      <w:r>
        <w:rPr>
          <w:highlight w:val="none"/>
        </w:rPr>
        <w:t>3</w:t>
      </w:r>
      <w:r>
        <w:rPr>
          <w:highlight w:val="none"/>
        </w:rPr>
        <w:fldChar w:fldCharType="end"/>
      </w:r>
      <w:r>
        <w:rPr>
          <w:highlight w:val="none"/>
        </w:rPr>
        <w:fldChar w:fldCharType="end"/>
      </w:r>
    </w:p>
    <w:p w14:paraId="1D9AEA41">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"_Toc75504382" </w:instrText>
      </w:r>
      <w:r>
        <w:rPr>
          <w:highlight w:val="none"/>
        </w:rPr>
        <w:fldChar w:fldCharType="separate"/>
      </w:r>
      <w:r>
        <w:rPr>
          <w:rStyle w:val="45"/>
          <w:rFonts w:asciiTheme="minorEastAsia" w:hAnsiTheme="minorEastAsia"/>
          <w:color w:val="000000"/>
          <w:highlight w:val="none"/>
        </w:rPr>
        <w:t>1.2</w:t>
      </w:r>
      <w:r>
        <w:rPr>
          <w:rFonts w:asciiTheme="minorHAnsi" w:hAnsiTheme="minorHAnsi" w:eastAsiaTheme="minorEastAsia"/>
          <w:sz w:val="21"/>
          <w:szCs w:val="22"/>
          <w:highlight w:val="none"/>
        </w:rPr>
        <w:tab/>
      </w:r>
      <w:r>
        <w:rPr>
          <w:rStyle w:val="45"/>
          <w:color w:val="000000"/>
          <w:highlight w:val="none"/>
        </w:rPr>
        <w:t>项目建设范围及勘察设计范围</w:t>
      </w:r>
      <w:r>
        <w:rPr>
          <w:highlight w:val="none"/>
        </w:rPr>
        <w:tab/>
      </w:r>
      <w:r>
        <w:rPr>
          <w:highlight w:val="none"/>
        </w:rPr>
        <w:fldChar w:fldCharType="begin"/>
      </w:r>
      <w:r>
        <w:rPr>
          <w:highlight w:val="none"/>
        </w:rPr>
        <w:instrText xml:space="preserve"> PAGEREF _Toc75504382 \h </w:instrText>
      </w:r>
      <w:r>
        <w:rPr>
          <w:highlight w:val="none"/>
        </w:rPr>
        <w:fldChar w:fldCharType="separate"/>
      </w:r>
      <w:r>
        <w:rPr>
          <w:highlight w:val="none"/>
        </w:rPr>
        <w:t>12</w:t>
      </w:r>
      <w:r>
        <w:rPr>
          <w:highlight w:val="none"/>
        </w:rPr>
        <w:fldChar w:fldCharType="end"/>
      </w:r>
      <w:r>
        <w:rPr>
          <w:highlight w:val="none"/>
        </w:rPr>
        <w:fldChar w:fldCharType="end"/>
      </w:r>
    </w:p>
    <w:p w14:paraId="676252FC">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"_Toc75504383" </w:instrText>
      </w:r>
      <w:r>
        <w:rPr>
          <w:highlight w:val="none"/>
        </w:rPr>
        <w:fldChar w:fldCharType="separate"/>
      </w:r>
      <w:r>
        <w:rPr>
          <w:rStyle w:val="45"/>
          <w:rFonts w:asciiTheme="minorEastAsia" w:hAnsiTheme="minorEastAsia"/>
          <w:color w:val="000000"/>
          <w:highlight w:val="none"/>
        </w:rPr>
        <w:t>1.3</w:t>
      </w:r>
      <w:r>
        <w:rPr>
          <w:rFonts w:asciiTheme="minorHAnsi" w:hAnsiTheme="minorHAnsi" w:eastAsiaTheme="minorEastAsia"/>
          <w:sz w:val="21"/>
          <w:szCs w:val="22"/>
          <w:highlight w:val="none"/>
        </w:rPr>
        <w:tab/>
      </w:r>
      <w:r>
        <w:rPr>
          <w:rStyle w:val="45"/>
          <w:color w:val="000000"/>
          <w:highlight w:val="none"/>
        </w:rPr>
        <w:t>建设用地现状情况</w:t>
      </w:r>
      <w:r>
        <w:rPr>
          <w:highlight w:val="none"/>
        </w:rPr>
        <w:tab/>
      </w:r>
      <w:r>
        <w:rPr>
          <w:highlight w:val="none"/>
        </w:rPr>
        <w:fldChar w:fldCharType="begin"/>
      </w:r>
      <w:r>
        <w:rPr>
          <w:highlight w:val="none"/>
        </w:rPr>
        <w:instrText xml:space="preserve"> PAGEREF _Toc75504383 \h </w:instrText>
      </w:r>
      <w:r>
        <w:rPr>
          <w:highlight w:val="none"/>
        </w:rPr>
        <w:fldChar w:fldCharType="separate"/>
      </w:r>
      <w:r>
        <w:rPr>
          <w:highlight w:val="none"/>
        </w:rPr>
        <w:t>14</w:t>
      </w:r>
      <w:r>
        <w:rPr>
          <w:highlight w:val="none"/>
        </w:rPr>
        <w:fldChar w:fldCharType="end"/>
      </w:r>
      <w:r>
        <w:rPr>
          <w:highlight w:val="none"/>
        </w:rPr>
        <w:fldChar w:fldCharType="end"/>
      </w:r>
    </w:p>
    <w:p w14:paraId="4D15FDF6">
      <w:pPr>
        <w:pStyle w:val="27"/>
        <w:tabs>
          <w:tab w:val="left" w:pos="1818"/>
          <w:tab w:val="right" w:leader="dot" w:pos="8296"/>
        </w:tabs>
        <w:ind w:firstLine="708"/>
        <w:rPr>
          <w:rFonts w:asciiTheme="minorHAnsi" w:hAnsiTheme="minorHAnsi" w:eastAsiaTheme="minorEastAsia"/>
          <w:color w:val="000000"/>
          <w:sz w:val="21"/>
          <w:szCs w:val="22"/>
          <w:highlight w:val="none"/>
        </w:rPr>
      </w:pPr>
      <w:r>
        <w:rPr>
          <w:highlight w:val="none"/>
        </w:rPr>
        <w:fldChar w:fldCharType="begin"/>
      </w:r>
      <w:r>
        <w:rPr>
          <w:highlight w:val="none"/>
        </w:rPr>
        <w:instrText xml:space="preserve"> HYPERLINK \l "_Toc75504384" </w:instrText>
      </w:r>
      <w:r>
        <w:rPr>
          <w:highlight w:val="none"/>
        </w:rPr>
        <w:fldChar w:fldCharType="separate"/>
      </w:r>
      <w:r>
        <w:rPr>
          <w:rStyle w:val="45"/>
          <w:color w:val="000000"/>
          <w:highlight w:val="none"/>
        </w:rPr>
        <w:t>第2章</w:t>
      </w:r>
      <w:r>
        <w:rPr>
          <w:rFonts w:asciiTheme="minorHAnsi" w:hAnsiTheme="minorHAnsi" w:eastAsiaTheme="minorEastAsia"/>
          <w:color w:val="000000"/>
          <w:sz w:val="21"/>
          <w:szCs w:val="22"/>
          <w:highlight w:val="none"/>
        </w:rPr>
        <w:tab/>
      </w:r>
      <w:r>
        <w:rPr>
          <w:rStyle w:val="45"/>
          <w:color w:val="000000"/>
          <w:highlight w:val="none"/>
        </w:rPr>
        <w:t>设计原则及设计内容</w:t>
      </w:r>
      <w:r>
        <w:rPr>
          <w:color w:val="000000"/>
          <w:highlight w:val="none"/>
        </w:rPr>
        <w:tab/>
      </w:r>
      <w:r>
        <w:rPr>
          <w:color w:val="000000"/>
          <w:highlight w:val="none"/>
        </w:rPr>
        <w:fldChar w:fldCharType="begin"/>
      </w:r>
      <w:r>
        <w:rPr>
          <w:color w:val="000000"/>
          <w:highlight w:val="none"/>
        </w:rPr>
        <w:instrText xml:space="preserve"> PAGEREF _Toc75504384 \h </w:instrText>
      </w:r>
      <w:r>
        <w:rPr>
          <w:color w:val="000000"/>
          <w:highlight w:val="none"/>
        </w:rPr>
        <w:fldChar w:fldCharType="separate"/>
      </w:r>
      <w:r>
        <w:rPr>
          <w:color w:val="000000"/>
          <w:highlight w:val="none"/>
        </w:rPr>
        <w:t>16</w:t>
      </w:r>
      <w:r>
        <w:rPr>
          <w:color w:val="000000"/>
          <w:highlight w:val="none"/>
        </w:rPr>
        <w:fldChar w:fldCharType="end"/>
      </w:r>
      <w:r>
        <w:rPr>
          <w:color w:val="000000"/>
          <w:highlight w:val="none"/>
        </w:rPr>
        <w:fldChar w:fldCharType="end"/>
      </w:r>
    </w:p>
    <w:p w14:paraId="151D9BCD">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"_Toc75504385" </w:instrText>
      </w:r>
      <w:r>
        <w:rPr>
          <w:highlight w:val="none"/>
        </w:rPr>
        <w:fldChar w:fldCharType="separate"/>
      </w:r>
      <w:r>
        <w:rPr>
          <w:rStyle w:val="45"/>
          <w:rFonts w:asciiTheme="minorEastAsia" w:hAnsiTheme="minorEastAsia"/>
          <w:color w:val="000000"/>
          <w:highlight w:val="none"/>
        </w:rPr>
        <w:t>2.1</w:t>
      </w:r>
      <w:r>
        <w:rPr>
          <w:rFonts w:asciiTheme="minorHAnsi" w:hAnsiTheme="minorHAnsi" w:eastAsiaTheme="minorEastAsia"/>
          <w:sz w:val="21"/>
          <w:szCs w:val="22"/>
          <w:highlight w:val="none"/>
        </w:rPr>
        <w:tab/>
      </w:r>
      <w:r>
        <w:rPr>
          <w:rStyle w:val="45"/>
          <w:color w:val="000000"/>
          <w:highlight w:val="none"/>
        </w:rPr>
        <w:t>设计原则</w:t>
      </w:r>
      <w:r>
        <w:rPr>
          <w:highlight w:val="none"/>
        </w:rPr>
        <w:tab/>
      </w:r>
      <w:r>
        <w:rPr>
          <w:highlight w:val="none"/>
        </w:rPr>
        <w:fldChar w:fldCharType="begin"/>
      </w:r>
      <w:r>
        <w:rPr>
          <w:highlight w:val="none"/>
        </w:rPr>
        <w:instrText xml:space="preserve"> PAGEREF _Toc75504385 \h </w:instrText>
      </w:r>
      <w:r>
        <w:rPr>
          <w:highlight w:val="none"/>
        </w:rPr>
        <w:fldChar w:fldCharType="separate"/>
      </w:r>
      <w:r>
        <w:rPr>
          <w:highlight w:val="none"/>
        </w:rPr>
        <w:t>16</w:t>
      </w:r>
      <w:r>
        <w:rPr>
          <w:highlight w:val="none"/>
        </w:rPr>
        <w:fldChar w:fldCharType="end"/>
      </w:r>
      <w:r>
        <w:rPr>
          <w:highlight w:val="none"/>
        </w:rPr>
        <w:fldChar w:fldCharType="end"/>
      </w:r>
    </w:p>
    <w:p w14:paraId="675E3D86">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"_Toc75504386" </w:instrText>
      </w:r>
      <w:r>
        <w:rPr>
          <w:highlight w:val="none"/>
        </w:rPr>
        <w:fldChar w:fldCharType="separate"/>
      </w:r>
      <w:r>
        <w:rPr>
          <w:rStyle w:val="45"/>
          <w:rFonts w:asciiTheme="minorEastAsia" w:hAnsiTheme="minorEastAsia"/>
          <w:color w:val="000000"/>
          <w:highlight w:val="none"/>
        </w:rPr>
        <w:t>2.2</w:t>
      </w:r>
      <w:r>
        <w:rPr>
          <w:rFonts w:asciiTheme="minorHAnsi" w:hAnsiTheme="minorHAnsi" w:eastAsiaTheme="minorEastAsia"/>
          <w:sz w:val="21"/>
          <w:szCs w:val="22"/>
          <w:highlight w:val="none"/>
        </w:rPr>
        <w:tab/>
      </w:r>
      <w:r>
        <w:rPr>
          <w:rStyle w:val="45"/>
          <w:color w:val="000000"/>
          <w:highlight w:val="none"/>
        </w:rPr>
        <w:t>勘察设计内容</w:t>
      </w:r>
      <w:r>
        <w:rPr>
          <w:highlight w:val="none"/>
        </w:rPr>
        <w:tab/>
      </w:r>
      <w:r>
        <w:rPr>
          <w:highlight w:val="none"/>
        </w:rPr>
        <w:fldChar w:fldCharType="begin"/>
      </w:r>
      <w:r>
        <w:rPr>
          <w:highlight w:val="none"/>
        </w:rPr>
        <w:instrText xml:space="preserve"> PAGEREF _Toc75504386 \h </w:instrText>
      </w:r>
      <w:r>
        <w:rPr>
          <w:highlight w:val="none"/>
        </w:rPr>
        <w:fldChar w:fldCharType="separate"/>
      </w:r>
      <w:r>
        <w:rPr>
          <w:highlight w:val="none"/>
        </w:rPr>
        <w:t>18</w:t>
      </w:r>
      <w:r>
        <w:rPr>
          <w:highlight w:val="none"/>
        </w:rPr>
        <w:fldChar w:fldCharType="end"/>
      </w:r>
      <w:r>
        <w:rPr>
          <w:highlight w:val="none"/>
        </w:rPr>
        <w:fldChar w:fldCharType="end"/>
      </w:r>
    </w:p>
    <w:p w14:paraId="70423CFB">
      <w:pPr>
        <w:pStyle w:val="27"/>
        <w:tabs>
          <w:tab w:val="left" w:pos="1818"/>
          <w:tab w:val="right" w:leader="dot" w:pos="8296"/>
        </w:tabs>
        <w:ind w:firstLine="708"/>
        <w:rPr>
          <w:rFonts w:asciiTheme="minorHAnsi" w:hAnsiTheme="minorHAnsi" w:eastAsiaTheme="minorEastAsia"/>
          <w:color w:val="000000"/>
          <w:sz w:val="21"/>
          <w:szCs w:val="22"/>
          <w:highlight w:val="none"/>
        </w:rPr>
      </w:pPr>
      <w:r>
        <w:rPr>
          <w:highlight w:val="none"/>
        </w:rPr>
        <w:fldChar w:fldCharType="begin"/>
      </w:r>
      <w:r>
        <w:rPr>
          <w:highlight w:val="none"/>
        </w:rPr>
        <w:instrText xml:space="preserve"> HYPERLINK \l "_Toc75504387" </w:instrText>
      </w:r>
      <w:r>
        <w:rPr>
          <w:highlight w:val="none"/>
        </w:rPr>
        <w:fldChar w:fldCharType="separate"/>
      </w:r>
      <w:r>
        <w:rPr>
          <w:rStyle w:val="45"/>
          <w:color w:val="000000"/>
          <w:highlight w:val="none"/>
        </w:rPr>
        <w:t>第3章</w:t>
      </w:r>
      <w:r>
        <w:rPr>
          <w:rFonts w:asciiTheme="minorHAnsi" w:hAnsiTheme="minorHAnsi" w:eastAsiaTheme="minorEastAsia"/>
          <w:color w:val="000000"/>
          <w:sz w:val="21"/>
          <w:szCs w:val="22"/>
          <w:highlight w:val="none"/>
        </w:rPr>
        <w:tab/>
      </w:r>
      <w:r>
        <w:rPr>
          <w:rStyle w:val="45"/>
          <w:color w:val="000000"/>
          <w:highlight w:val="none"/>
        </w:rPr>
        <w:t>勘察设计要求</w:t>
      </w:r>
      <w:r>
        <w:rPr>
          <w:color w:val="000000"/>
          <w:highlight w:val="none"/>
        </w:rPr>
        <w:tab/>
      </w:r>
      <w:r>
        <w:rPr>
          <w:color w:val="000000"/>
          <w:highlight w:val="none"/>
        </w:rPr>
        <w:fldChar w:fldCharType="begin"/>
      </w:r>
      <w:r>
        <w:rPr>
          <w:color w:val="000000"/>
          <w:highlight w:val="none"/>
        </w:rPr>
        <w:instrText xml:space="preserve"> PAGEREF _Toc75504387 \h </w:instrText>
      </w:r>
      <w:r>
        <w:rPr>
          <w:color w:val="000000"/>
          <w:highlight w:val="none"/>
        </w:rPr>
        <w:fldChar w:fldCharType="separate"/>
      </w:r>
      <w:r>
        <w:rPr>
          <w:color w:val="000000"/>
          <w:highlight w:val="none"/>
        </w:rPr>
        <w:t>23</w:t>
      </w:r>
      <w:r>
        <w:rPr>
          <w:color w:val="000000"/>
          <w:highlight w:val="none"/>
        </w:rPr>
        <w:fldChar w:fldCharType="end"/>
      </w:r>
      <w:r>
        <w:rPr>
          <w:color w:val="000000"/>
          <w:highlight w:val="none"/>
        </w:rPr>
        <w:fldChar w:fldCharType="end"/>
      </w:r>
    </w:p>
    <w:p w14:paraId="34A11167">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"_Toc75504388" </w:instrText>
      </w:r>
      <w:r>
        <w:rPr>
          <w:highlight w:val="none"/>
        </w:rPr>
        <w:fldChar w:fldCharType="separate"/>
      </w:r>
      <w:r>
        <w:rPr>
          <w:rStyle w:val="45"/>
          <w:rFonts w:asciiTheme="minorEastAsia" w:hAnsiTheme="minorEastAsia"/>
          <w:color w:val="000000"/>
          <w:highlight w:val="none"/>
        </w:rPr>
        <w:t>3.1</w:t>
      </w:r>
      <w:r>
        <w:rPr>
          <w:rFonts w:asciiTheme="minorHAnsi" w:hAnsiTheme="minorHAnsi" w:eastAsiaTheme="minorEastAsia"/>
          <w:sz w:val="21"/>
          <w:szCs w:val="22"/>
          <w:highlight w:val="none"/>
        </w:rPr>
        <w:tab/>
      </w:r>
      <w:r>
        <w:rPr>
          <w:rStyle w:val="45"/>
          <w:color w:val="000000"/>
          <w:highlight w:val="none"/>
        </w:rPr>
        <w:t>勘察设计总体要求</w:t>
      </w:r>
      <w:r>
        <w:rPr>
          <w:highlight w:val="none"/>
        </w:rPr>
        <w:tab/>
      </w:r>
      <w:r>
        <w:rPr>
          <w:highlight w:val="none"/>
        </w:rPr>
        <w:fldChar w:fldCharType="begin"/>
      </w:r>
      <w:r>
        <w:rPr>
          <w:highlight w:val="none"/>
        </w:rPr>
        <w:instrText xml:space="preserve"> PAGEREF _Toc75504388 \h </w:instrText>
      </w:r>
      <w:r>
        <w:rPr>
          <w:highlight w:val="none"/>
        </w:rPr>
        <w:fldChar w:fldCharType="separate"/>
      </w:r>
      <w:r>
        <w:rPr>
          <w:highlight w:val="none"/>
        </w:rPr>
        <w:t>23</w:t>
      </w:r>
      <w:r>
        <w:rPr>
          <w:highlight w:val="none"/>
        </w:rPr>
        <w:fldChar w:fldCharType="end"/>
      </w:r>
      <w:r>
        <w:rPr>
          <w:highlight w:val="none"/>
        </w:rPr>
        <w:fldChar w:fldCharType="end"/>
      </w:r>
    </w:p>
    <w:p w14:paraId="25B0BC1A">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"_Toc75504389" </w:instrText>
      </w:r>
      <w:r>
        <w:rPr>
          <w:highlight w:val="none"/>
        </w:rPr>
        <w:fldChar w:fldCharType="separate"/>
      </w:r>
      <w:r>
        <w:rPr>
          <w:rStyle w:val="45"/>
          <w:rFonts w:asciiTheme="minorEastAsia" w:hAnsiTheme="minorEastAsia"/>
          <w:color w:val="000000"/>
          <w:highlight w:val="none"/>
        </w:rPr>
        <w:t>3.2</w:t>
      </w:r>
      <w:r>
        <w:rPr>
          <w:rFonts w:asciiTheme="minorHAnsi" w:hAnsiTheme="minorHAnsi" w:eastAsiaTheme="minorEastAsia"/>
          <w:sz w:val="21"/>
          <w:szCs w:val="22"/>
          <w:highlight w:val="none"/>
        </w:rPr>
        <w:tab/>
      </w:r>
      <w:r>
        <w:rPr>
          <w:rStyle w:val="45"/>
          <w:color w:val="000000"/>
          <w:highlight w:val="none"/>
        </w:rPr>
        <w:t>勘察工作要求</w:t>
      </w:r>
      <w:r>
        <w:rPr>
          <w:highlight w:val="none"/>
        </w:rPr>
        <w:tab/>
      </w:r>
      <w:r>
        <w:rPr>
          <w:highlight w:val="none"/>
        </w:rPr>
        <w:fldChar w:fldCharType="begin"/>
      </w:r>
      <w:r>
        <w:rPr>
          <w:highlight w:val="none"/>
        </w:rPr>
        <w:instrText xml:space="preserve"> PAGEREF _Toc75504389 \h </w:instrText>
      </w:r>
      <w:r>
        <w:rPr>
          <w:highlight w:val="none"/>
        </w:rPr>
        <w:fldChar w:fldCharType="separate"/>
      </w:r>
      <w:r>
        <w:rPr>
          <w:highlight w:val="none"/>
        </w:rPr>
        <w:t>23</w:t>
      </w:r>
      <w:r>
        <w:rPr>
          <w:highlight w:val="none"/>
        </w:rPr>
        <w:fldChar w:fldCharType="end"/>
      </w:r>
      <w:r>
        <w:rPr>
          <w:highlight w:val="none"/>
        </w:rPr>
        <w:fldChar w:fldCharType="end"/>
      </w:r>
    </w:p>
    <w:p w14:paraId="30D88B63">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"_Toc75504390" </w:instrText>
      </w:r>
      <w:r>
        <w:rPr>
          <w:highlight w:val="none"/>
        </w:rPr>
        <w:fldChar w:fldCharType="separate"/>
      </w:r>
      <w:r>
        <w:rPr>
          <w:rStyle w:val="45"/>
          <w:rFonts w:asciiTheme="minorEastAsia" w:hAnsiTheme="minorEastAsia"/>
          <w:color w:val="000000"/>
          <w:highlight w:val="none"/>
        </w:rPr>
        <w:t>3.3</w:t>
      </w:r>
      <w:r>
        <w:rPr>
          <w:rFonts w:asciiTheme="minorHAnsi" w:hAnsiTheme="minorHAnsi" w:eastAsiaTheme="minorEastAsia"/>
          <w:sz w:val="21"/>
          <w:szCs w:val="22"/>
          <w:highlight w:val="none"/>
        </w:rPr>
        <w:tab/>
      </w:r>
      <w:r>
        <w:rPr>
          <w:rStyle w:val="45"/>
          <w:color w:val="000000"/>
          <w:highlight w:val="none"/>
        </w:rPr>
        <w:t>设计工作要求</w:t>
      </w:r>
      <w:r>
        <w:rPr>
          <w:highlight w:val="none"/>
        </w:rPr>
        <w:tab/>
      </w:r>
      <w:r>
        <w:rPr>
          <w:highlight w:val="none"/>
        </w:rPr>
        <w:fldChar w:fldCharType="begin"/>
      </w:r>
      <w:r>
        <w:rPr>
          <w:highlight w:val="none"/>
        </w:rPr>
        <w:instrText xml:space="preserve"> PAGEREF _Toc75504390 \h </w:instrText>
      </w:r>
      <w:r>
        <w:rPr>
          <w:highlight w:val="none"/>
        </w:rPr>
        <w:fldChar w:fldCharType="separate"/>
      </w:r>
      <w:r>
        <w:rPr>
          <w:highlight w:val="none"/>
        </w:rPr>
        <w:t>24</w:t>
      </w:r>
      <w:r>
        <w:rPr>
          <w:highlight w:val="none"/>
        </w:rPr>
        <w:fldChar w:fldCharType="end"/>
      </w:r>
      <w:r>
        <w:rPr>
          <w:highlight w:val="none"/>
        </w:rPr>
        <w:fldChar w:fldCharType="end"/>
      </w:r>
    </w:p>
    <w:p w14:paraId="2C84D7C3">
      <w:pPr>
        <w:pStyle w:val="27"/>
        <w:tabs>
          <w:tab w:val="left" w:pos="1818"/>
          <w:tab w:val="right" w:leader="dot" w:pos="8296"/>
        </w:tabs>
        <w:ind w:firstLine="708"/>
        <w:rPr>
          <w:rFonts w:asciiTheme="minorHAnsi" w:hAnsiTheme="minorHAnsi" w:eastAsiaTheme="minorEastAsia"/>
          <w:color w:val="000000"/>
          <w:sz w:val="21"/>
          <w:szCs w:val="22"/>
          <w:highlight w:val="none"/>
        </w:rPr>
      </w:pPr>
      <w:r>
        <w:rPr>
          <w:highlight w:val="none"/>
        </w:rPr>
        <w:fldChar w:fldCharType="begin"/>
      </w:r>
      <w:r>
        <w:rPr>
          <w:highlight w:val="none"/>
        </w:rPr>
        <w:instrText xml:space="preserve"> HYPERLINK \l "_Toc75504391" </w:instrText>
      </w:r>
      <w:r>
        <w:rPr>
          <w:highlight w:val="none"/>
        </w:rPr>
        <w:fldChar w:fldCharType="separate"/>
      </w:r>
      <w:r>
        <w:rPr>
          <w:rStyle w:val="45"/>
          <w:color w:val="000000"/>
          <w:highlight w:val="none"/>
        </w:rPr>
        <w:t>第4章</w:t>
      </w:r>
      <w:r>
        <w:rPr>
          <w:rFonts w:asciiTheme="minorHAnsi" w:hAnsiTheme="minorHAnsi" w:eastAsiaTheme="minorEastAsia"/>
          <w:color w:val="000000"/>
          <w:sz w:val="21"/>
          <w:szCs w:val="22"/>
          <w:highlight w:val="none"/>
        </w:rPr>
        <w:tab/>
      </w:r>
      <w:r>
        <w:rPr>
          <w:rStyle w:val="45"/>
          <w:color w:val="000000"/>
          <w:highlight w:val="none"/>
        </w:rPr>
        <w:t>勘察设计人员组织管理要求</w:t>
      </w:r>
      <w:r>
        <w:rPr>
          <w:color w:val="000000"/>
          <w:highlight w:val="none"/>
        </w:rPr>
        <w:tab/>
      </w:r>
      <w:r>
        <w:rPr>
          <w:color w:val="000000"/>
          <w:highlight w:val="none"/>
        </w:rPr>
        <w:fldChar w:fldCharType="begin"/>
      </w:r>
      <w:r>
        <w:rPr>
          <w:color w:val="000000"/>
          <w:highlight w:val="none"/>
        </w:rPr>
        <w:instrText xml:space="preserve"> PAGEREF _Toc75504391 \h </w:instrText>
      </w:r>
      <w:r>
        <w:rPr>
          <w:color w:val="000000"/>
          <w:highlight w:val="none"/>
        </w:rPr>
        <w:fldChar w:fldCharType="separate"/>
      </w:r>
      <w:r>
        <w:rPr>
          <w:color w:val="000000"/>
          <w:highlight w:val="none"/>
        </w:rPr>
        <w:t>47</w:t>
      </w:r>
      <w:r>
        <w:rPr>
          <w:color w:val="000000"/>
          <w:highlight w:val="none"/>
        </w:rPr>
        <w:fldChar w:fldCharType="end"/>
      </w:r>
      <w:r>
        <w:rPr>
          <w:color w:val="000000"/>
          <w:highlight w:val="none"/>
        </w:rPr>
        <w:fldChar w:fldCharType="end"/>
      </w:r>
    </w:p>
    <w:p w14:paraId="5C133028">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"_Toc75504392" </w:instrText>
      </w:r>
      <w:r>
        <w:rPr>
          <w:highlight w:val="none"/>
        </w:rPr>
        <w:fldChar w:fldCharType="separate"/>
      </w:r>
      <w:r>
        <w:rPr>
          <w:rStyle w:val="45"/>
          <w:rFonts w:asciiTheme="minorEastAsia" w:hAnsiTheme="minorEastAsia"/>
          <w:color w:val="000000"/>
          <w:highlight w:val="none"/>
        </w:rPr>
        <w:t>4.1</w:t>
      </w:r>
      <w:r>
        <w:rPr>
          <w:rFonts w:asciiTheme="minorHAnsi" w:hAnsiTheme="minorHAnsi" w:eastAsiaTheme="minorEastAsia"/>
          <w:sz w:val="21"/>
          <w:szCs w:val="22"/>
          <w:highlight w:val="none"/>
        </w:rPr>
        <w:tab/>
      </w:r>
      <w:r>
        <w:rPr>
          <w:rStyle w:val="45"/>
          <w:color w:val="000000"/>
          <w:highlight w:val="none"/>
        </w:rPr>
        <w:t>设计人员组织管理</w:t>
      </w:r>
      <w:r>
        <w:rPr>
          <w:highlight w:val="none"/>
        </w:rPr>
        <w:tab/>
      </w:r>
      <w:r>
        <w:rPr>
          <w:highlight w:val="none"/>
        </w:rPr>
        <w:fldChar w:fldCharType="begin"/>
      </w:r>
      <w:r>
        <w:rPr>
          <w:highlight w:val="none"/>
        </w:rPr>
        <w:instrText xml:space="preserve"> PAGEREF _Toc75504392 \h </w:instrText>
      </w:r>
      <w:r>
        <w:rPr>
          <w:highlight w:val="none"/>
        </w:rPr>
        <w:fldChar w:fldCharType="separate"/>
      </w:r>
      <w:r>
        <w:rPr>
          <w:highlight w:val="none"/>
        </w:rPr>
        <w:t>47</w:t>
      </w:r>
      <w:r>
        <w:rPr>
          <w:highlight w:val="none"/>
        </w:rPr>
        <w:fldChar w:fldCharType="end"/>
      </w:r>
      <w:r>
        <w:rPr>
          <w:highlight w:val="none"/>
        </w:rPr>
        <w:fldChar w:fldCharType="end"/>
      </w:r>
    </w:p>
    <w:p w14:paraId="7DC4B70D">
      <w:pPr>
        <w:pStyle w:val="27"/>
        <w:tabs>
          <w:tab w:val="left" w:pos="1818"/>
          <w:tab w:val="right" w:leader="dot" w:pos="8296"/>
        </w:tabs>
        <w:ind w:firstLine="708"/>
        <w:rPr>
          <w:rFonts w:asciiTheme="minorHAnsi" w:hAnsiTheme="minorHAnsi" w:eastAsiaTheme="minorEastAsia"/>
          <w:color w:val="000000"/>
          <w:sz w:val="21"/>
          <w:szCs w:val="22"/>
          <w:highlight w:val="none"/>
        </w:rPr>
      </w:pPr>
      <w:r>
        <w:rPr>
          <w:highlight w:val="none"/>
        </w:rPr>
        <w:fldChar w:fldCharType="begin"/>
      </w:r>
      <w:r>
        <w:rPr>
          <w:highlight w:val="none"/>
        </w:rPr>
        <w:instrText xml:space="preserve"> HYPERLINK \l "_Toc75504393" </w:instrText>
      </w:r>
      <w:r>
        <w:rPr>
          <w:highlight w:val="none"/>
        </w:rPr>
        <w:fldChar w:fldCharType="separate"/>
      </w:r>
      <w:r>
        <w:rPr>
          <w:rStyle w:val="45"/>
          <w:color w:val="000000"/>
          <w:highlight w:val="none"/>
        </w:rPr>
        <w:t>第5章</w:t>
      </w:r>
      <w:r>
        <w:rPr>
          <w:rFonts w:asciiTheme="minorHAnsi" w:hAnsiTheme="minorHAnsi" w:eastAsiaTheme="minorEastAsia"/>
          <w:color w:val="000000"/>
          <w:sz w:val="21"/>
          <w:szCs w:val="22"/>
          <w:highlight w:val="none"/>
        </w:rPr>
        <w:tab/>
      </w:r>
      <w:r>
        <w:rPr>
          <w:rStyle w:val="45"/>
          <w:color w:val="000000"/>
          <w:highlight w:val="none"/>
        </w:rPr>
        <w:t>勘察设计成果提交要求</w:t>
      </w:r>
      <w:r>
        <w:rPr>
          <w:color w:val="000000"/>
          <w:highlight w:val="none"/>
        </w:rPr>
        <w:tab/>
      </w:r>
      <w:r>
        <w:rPr>
          <w:color w:val="000000"/>
          <w:highlight w:val="none"/>
        </w:rPr>
        <w:fldChar w:fldCharType="begin"/>
      </w:r>
      <w:r>
        <w:rPr>
          <w:color w:val="000000"/>
          <w:highlight w:val="none"/>
        </w:rPr>
        <w:instrText xml:space="preserve"> PAGEREF _Toc75504393 \h </w:instrText>
      </w:r>
      <w:r>
        <w:rPr>
          <w:color w:val="000000"/>
          <w:highlight w:val="none"/>
        </w:rPr>
        <w:fldChar w:fldCharType="separate"/>
      </w:r>
      <w:r>
        <w:rPr>
          <w:color w:val="000000"/>
          <w:highlight w:val="none"/>
        </w:rPr>
        <w:t>48</w:t>
      </w:r>
      <w:r>
        <w:rPr>
          <w:color w:val="000000"/>
          <w:highlight w:val="none"/>
        </w:rPr>
        <w:fldChar w:fldCharType="end"/>
      </w:r>
      <w:r>
        <w:rPr>
          <w:color w:val="000000"/>
          <w:highlight w:val="none"/>
        </w:rPr>
        <w:fldChar w:fldCharType="end"/>
      </w:r>
    </w:p>
    <w:p w14:paraId="0603A0F1">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"_Toc75504394" </w:instrText>
      </w:r>
      <w:r>
        <w:rPr>
          <w:highlight w:val="none"/>
        </w:rPr>
        <w:fldChar w:fldCharType="separate"/>
      </w:r>
      <w:r>
        <w:rPr>
          <w:rStyle w:val="45"/>
          <w:rFonts w:asciiTheme="minorEastAsia" w:hAnsiTheme="minorEastAsia"/>
          <w:color w:val="000000"/>
          <w:highlight w:val="none"/>
        </w:rPr>
        <w:t>5.1</w:t>
      </w:r>
      <w:r>
        <w:rPr>
          <w:rFonts w:asciiTheme="minorHAnsi" w:hAnsiTheme="minorHAnsi" w:eastAsiaTheme="minorEastAsia"/>
          <w:sz w:val="21"/>
          <w:szCs w:val="22"/>
          <w:highlight w:val="none"/>
        </w:rPr>
        <w:tab/>
      </w:r>
      <w:r>
        <w:rPr>
          <w:rStyle w:val="45"/>
          <w:color w:val="000000"/>
          <w:highlight w:val="none"/>
        </w:rPr>
        <w:t>通用要求</w:t>
      </w:r>
      <w:r>
        <w:rPr>
          <w:highlight w:val="none"/>
        </w:rPr>
        <w:tab/>
      </w:r>
      <w:r>
        <w:rPr>
          <w:highlight w:val="none"/>
        </w:rPr>
        <w:fldChar w:fldCharType="begin"/>
      </w:r>
      <w:r>
        <w:rPr>
          <w:highlight w:val="none"/>
        </w:rPr>
        <w:instrText xml:space="preserve"> PAGEREF _Toc75504394 \h </w:instrText>
      </w:r>
      <w:r>
        <w:rPr>
          <w:highlight w:val="none"/>
        </w:rPr>
        <w:fldChar w:fldCharType="separate"/>
      </w:r>
      <w:r>
        <w:rPr>
          <w:highlight w:val="none"/>
        </w:rPr>
        <w:t>48</w:t>
      </w:r>
      <w:r>
        <w:rPr>
          <w:highlight w:val="none"/>
        </w:rPr>
        <w:fldChar w:fldCharType="end"/>
      </w:r>
      <w:r>
        <w:rPr>
          <w:highlight w:val="none"/>
        </w:rPr>
        <w:fldChar w:fldCharType="end"/>
      </w:r>
    </w:p>
    <w:p w14:paraId="4B2E96C1">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"_Toc75504395" </w:instrText>
      </w:r>
      <w:r>
        <w:rPr>
          <w:highlight w:val="none"/>
        </w:rPr>
        <w:fldChar w:fldCharType="separate"/>
      </w:r>
      <w:r>
        <w:rPr>
          <w:rStyle w:val="45"/>
          <w:rFonts w:asciiTheme="minorEastAsia" w:hAnsiTheme="minorEastAsia"/>
          <w:color w:val="000000"/>
          <w:highlight w:val="none"/>
        </w:rPr>
        <w:t>5.2</w:t>
      </w:r>
      <w:r>
        <w:rPr>
          <w:rFonts w:asciiTheme="minorHAnsi" w:hAnsiTheme="minorHAnsi" w:eastAsiaTheme="minorEastAsia"/>
          <w:sz w:val="21"/>
          <w:szCs w:val="22"/>
          <w:highlight w:val="none"/>
        </w:rPr>
        <w:tab/>
      </w:r>
      <w:r>
        <w:rPr>
          <w:rStyle w:val="45"/>
          <w:color w:val="000000"/>
          <w:highlight w:val="none"/>
        </w:rPr>
        <w:t>设计成果要求</w:t>
      </w:r>
      <w:r>
        <w:rPr>
          <w:highlight w:val="none"/>
        </w:rPr>
        <w:tab/>
      </w:r>
      <w:r>
        <w:rPr>
          <w:highlight w:val="none"/>
        </w:rPr>
        <w:fldChar w:fldCharType="begin"/>
      </w:r>
      <w:r>
        <w:rPr>
          <w:highlight w:val="none"/>
        </w:rPr>
        <w:instrText xml:space="preserve"> PAGEREF _Toc75504395 \h </w:instrText>
      </w:r>
      <w:r>
        <w:rPr>
          <w:highlight w:val="none"/>
        </w:rPr>
        <w:fldChar w:fldCharType="separate"/>
      </w:r>
      <w:r>
        <w:rPr>
          <w:highlight w:val="none"/>
        </w:rPr>
        <w:t>48</w:t>
      </w:r>
      <w:r>
        <w:rPr>
          <w:highlight w:val="none"/>
        </w:rPr>
        <w:fldChar w:fldCharType="end"/>
      </w:r>
      <w:r>
        <w:rPr>
          <w:highlight w:val="none"/>
        </w:rPr>
        <w:fldChar w:fldCharType="end"/>
      </w:r>
    </w:p>
    <w:p w14:paraId="79CF8C9C">
      <w:pPr>
        <w:pStyle w:val="31"/>
        <w:rPr>
          <w:rFonts w:asciiTheme="minorHAnsi" w:hAnsiTheme="minorHAnsi" w:eastAsiaTheme="minorEastAsia"/>
          <w:sz w:val="21"/>
          <w:szCs w:val="22"/>
          <w:highlight w:val="none"/>
        </w:rPr>
      </w:pPr>
      <w:r>
        <w:rPr>
          <w:highlight w:val="none"/>
        </w:rPr>
        <w:fldChar w:fldCharType="begin"/>
      </w:r>
      <w:r>
        <w:rPr>
          <w:highlight w:val="none"/>
        </w:rPr>
        <w:instrText xml:space="preserve"> HYPERLINK \l "_Toc75504396" </w:instrText>
      </w:r>
      <w:r>
        <w:rPr>
          <w:highlight w:val="none"/>
        </w:rPr>
        <w:fldChar w:fldCharType="separate"/>
      </w:r>
      <w:r>
        <w:rPr>
          <w:rStyle w:val="45"/>
          <w:rFonts w:asciiTheme="minorEastAsia" w:hAnsiTheme="minorEastAsia"/>
          <w:color w:val="000000"/>
          <w:highlight w:val="none"/>
        </w:rPr>
        <w:t>5.3</w:t>
      </w:r>
      <w:r>
        <w:rPr>
          <w:rFonts w:asciiTheme="minorHAnsi" w:hAnsiTheme="minorHAnsi" w:eastAsiaTheme="minorEastAsia"/>
          <w:sz w:val="21"/>
          <w:szCs w:val="22"/>
          <w:highlight w:val="none"/>
        </w:rPr>
        <w:tab/>
      </w:r>
      <w:r>
        <w:rPr>
          <w:rStyle w:val="45"/>
          <w:color w:val="000000"/>
          <w:highlight w:val="none"/>
        </w:rPr>
        <w:t>提交设计资料要求</w:t>
      </w:r>
      <w:r>
        <w:rPr>
          <w:highlight w:val="none"/>
        </w:rPr>
        <w:tab/>
      </w:r>
      <w:r>
        <w:rPr>
          <w:highlight w:val="none"/>
        </w:rPr>
        <w:fldChar w:fldCharType="begin"/>
      </w:r>
      <w:r>
        <w:rPr>
          <w:highlight w:val="none"/>
        </w:rPr>
        <w:instrText xml:space="preserve"> PAGEREF _Toc75504396 \h </w:instrText>
      </w:r>
      <w:r>
        <w:rPr>
          <w:highlight w:val="none"/>
        </w:rPr>
        <w:fldChar w:fldCharType="separate"/>
      </w:r>
      <w:r>
        <w:rPr>
          <w:highlight w:val="none"/>
        </w:rPr>
        <w:t>50</w:t>
      </w:r>
      <w:r>
        <w:rPr>
          <w:highlight w:val="none"/>
        </w:rPr>
        <w:fldChar w:fldCharType="end"/>
      </w:r>
      <w:r>
        <w:rPr>
          <w:highlight w:val="none"/>
        </w:rPr>
        <w:fldChar w:fldCharType="end"/>
      </w:r>
    </w:p>
    <w:p w14:paraId="4A9D280D">
      <w:pPr>
        <w:pStyle w:val="27"/>
        <w:tabs>
          <w:tab w:val="left" w:pos="1818"/>
          <w:tab w:val="right" w:leader="dot" w:pos="8296"/>
        </w:tabs>
        <w:ind w:firstLine="708"/>
        <w:rPr>
          <w:rFonts w:asciiTheme="minorHAnsi" w:hAnsiTheme="minorHAnsi" w:eastAsiaTheme="minorEastAsia"/>
          <w:color w:val="000000"/>
          <w:sz w:val="21"/>
          <w:szCs w:val="22"/>
          <w:highlight w:val="none"/>
        </w:rPr>
      </w:pPr>
      <w:r>
        <w:rPr>
          <w:highlight w:val="none"/>
        </w:rPr>
        <w:fldChar w:fldCharType="begin"/>
      </w:r>
      <w:r>
        <w:rPr>
          <w:highlight w:val="none"/>
        </w:rPr>
        <w:instrText xml:space="preserve"> HYPERLINK \l "_Toc75504397" </w:instrText>
      </w:r>
      <w:r>
        <w:rPr>
          <w:highlight w:val="none"/>
        </w:rPr>
        <w:fldChar w:fldCharType="separate"/>
      </w:r>
      <w:r>
        <w:rPr>
          <w:rStyle w:val="45"/>
          <w:color w:val="000000"/>
          <w:highlight w:val="none"/>
        </w:rPr>
        <w:t>第6章</w:t>
      </w:r>
      <w:r>
        <w:rPr>
          <w:rFonts w:asciiTheme="minorHAnsi" w:hAnsiTheme="minorHAnsi" w:eastAsiaTheme="minorEastAsia"/>
          <w:color w:val="000000"/>
          <w:sz w:val="21"/>
          <w:szCs w:val="22"/>
          <w:highlight w:val="none"/>
        </w:rPr>
        <w:tab/>
      </w:r>
      <w:r>
        <w:rPr>
          <w:rStyle w:val="45"/>
          <w:color w:val="000000"/>
          <w:highlight w:val="none"/>
        </w:rPr>
        <w:t>附则</w:t>
      </w:r>
      <w:r>
        <w:rPr>
          <w:color w:val="000000"/>
          <w:highlight w:val="none"/>
        </w:rPr>
        <w:tab/>
      </w:r>
      <w:r>
        <w:rPr>
          <w:color w:val="000000"/>
          <w:highlight w:val="none"/>
        </w:rPr>
        <w:fldChar w:fldCharType="begin"/>
      </w:r>
      <w:r>
        <w:rPr>
          <w:color w:val="000000"/>
          <w:highlight w:val="none"/>
        </w:rPr>
        <w:instrText xml:space="preserve"> PAGEREF _Toc75504397 \h </w:instrText>
      </w:r>
      <w:r>
        <w:rPr>
          <w:color w:val="000000"/>
          <w:highlight w:val="none"/>
        </w:rPr>
        <w:fldChar w:fldCharType="separate"/>
      </w:r>
      <w:r>
        <w:rPr>
          <w:color w:val="000000"/>
          <w:highlight w:val="none"/>
        </w:rPr>
        <w:t>53</w:t>
      </w:r>
      <w:r>
        <w:rPr>
          <w:color w:val="000000"/>
          <w:highlight w:val="none"/>
        </w:rPr>
        <w:fldChar w:fldCharType="end"/>
      </w:r>
      <w:r>
        <w:rPr>
          <w:color w:val="000000"/>
          <w:highlight w:val="none"/>
        </w:rPr>
        <w:fldChar w:fldCharType="end"/>
      </w:r>
    </w:p>
    <w:p w14:paraId="1F75C25D">
      <w:pPr>
        <w:rPr>
          <w:color w:val="000000"/>
          <w:highlight w:val="none"/>
        </w:rPr>
      </w:pPr>
      <w:r>
        <w:rPr>
          <w:color w:val="000000"/>
          <w:highlight w:val="none"/>
        </w:rPr>
        <w:fldChar w:fldCharType="end"/>
      </w:r>
    </w:p>
    <w:p w14:paraId="439FADF1">
      <w:pPr>
        <w:rPr>
          <w:highlight w:val="none"/>
        </w:rPr>
        <w:sectPr>
          <w:footerReference r:id="rId11" w:type="default"/>
          <w:pgSz w:w="11906" w:h="16838"/>
          <w:pgMar w:top="1440" w:right="1800" w:bottom="1440" w:left="1800" w:header="851" w:footer="992" w:gutter="0"/>
          <w:pgNumType w:start="1"/>
          <w:cols w:space="720" w:num="1"/>
          <w:docGrid w:type="lines" w:linePitch="312" w:charSpace="0"/>
        </w:sectPr>
      </w:pPr>
    </w:p>
    <w:bookmarkEnd w:id="1"/>
    <w:p w14:paraId="5369D250">
      <w:pPr>
        <w:pStyle w:val="2"/>
        <w:rPr>
          <w:color w:val="000000"/>
          <w:highlight w:val="none"/>
        </w:rPr>
      </w:pPr>
      <w:bookmarkStart w:id="2" w:name="_Toc75504380"/>
      <w:r>
        <w:rPr>
          <w:color w:val="000000"/>
          <w:highlight w:val="none"/>
        </w:rPr>
        <w:t>项目概况</w:t>
      </w:r>
      <w:bookmarkEnd w:id="2"/>
    </w:p>
    <w:p w14:paraId="0473957B">
      <w:pPr>
        <w:pStyle w:val="3"/>
        <w:rPr>
          <w:color w:val="000000"/>
          <w:highlight w:val="none"/>
        </w:rPr>
      </w:pPr>
      <w:bookmarkStart w:id="3" w:name="_Toc75504381"/>
      <w:r>
        <w:rPr>
          <w:color w:val="000000"/>
          <w:highlight w:val="none"/>
        </w:rPr>
        <w:t>项目基本信息</w:t>
      </w:r>
      <w:bookmarkEnd w:id="3"/>
    </w:p>
    <w:p w14:paraId="68E2D823">
      <w:pPr>
        <w:pStyle w:val="4"/>
        <w:rPr>
          <w:color w:val="000000"/>
          <w:highlight w:val="none"/>
        </w:rPr>
      </w:pPr>
      <w:r>
        <w:rPr>
          <w:color w:val="000000"/>
          <w:highlight w:val="none"/>
        </w:rPr>
        <w:t>项目名称</w:t>
      </w:r>
    </w:p>
    <w:p w14:paraId="46F142BA">
      <w:pPr>
        <w:rPr>
          <w:color w:val="000000"/>
          <w:highlight w:val="none"/>
        </w:rPr>
      </w:pPr>
      <w:r>
        <w:rPr>
          <w:color w:val="000000"/>
          <w:highlight w:val="none"/>
        </w:rPr>
        <w:t>广州市白云区螺涌村、松南村、松北村城中村改造项目</w:t>
      </w:r>
      <w:r>
        <w:rPr>
          <w:rFonts w:hint="eastAsia"/>
          <w:color w:val="000000"/>
          <w:highlight w:val="none"/>
        </w:rPr>
        <w:t>AB3802042地块项目</w:t>
      </w:r>
    </w:p>
    <w:p w14:paraId="57B888A0">
      <w:pPr>
        <w:pStyle w:val="4"/>
        <w:rPr>
          <w:color w:val="000000"/>
          <w:highlight w:val="none"/>
        </w:rPr>
      </w:pPr>
      <w:r>
        <w:rPr>
          <w:color w:val="000000"/>
          <w:highlight w:val="none"/>
        </w:rPr>
        <w:t>项目位置</w:t>
      </w:r>
    </w:p>
    <w:p w14:paraId="4FB43E8B">
      <w:pPr>
        <w:rPr>
          <w:rFonts w:ascii="Times New Roman" w:hAnsi="Times New Roman" w:cs="Times New Roman"/>
          <w:color w:val="000000"/>
          <w:highlight w:val="none"/>
        </w:rPr>
      </w:pPr>
      <w:r>
        <w:rPr>
          <w:color w:val="000000"/>
          <w:highlight w:val="none"/>
        </w:rPr>
        <w:t>广州市</w:t>
      </w:r>
      <w:r>
        <w:rPr>
          <w:rFonts w:hint="eastAsia"/>
          <w:color w:val="000000"/>
          <w:highlight w:val="none"/>
        </w:rPr>
        <w:t>白云</w:t>
      </w:r>
      <w:r>
        <w:rPr>
          <w:color w:val="000000"/>
          <w:highlight w:val="none"/>
        </w:rPr>
        <w:t>区</w:t>
      </w:r>
      <w:r>
        <w:rPr>
          <w:rFonts w:hint="eastAsia"/>
          <w:color w:val="000000"/>
          <w:highlight w:val="none"/>
        </w:rPr>
        <w:t>松溪街道</w:t>
      </w:r>
      <w:r>
        <w:rPr>
          <w:rFonts w:hint="eastAsia"/>
          <w:color w:val="000000" w:themeColor="text1"/>
          <w:highlight w:val="none"/>
          <w14:textFill>
            <w14:solidFill>
              <w14:schemeClr w14:val="tx1"/>
            </w14:solidFill>
          </w14:textFill>
        </w:rPr>
        <w:t>，螺涌公园南侧，规划九路东侧,</w:t>
      </w:r>
      <w:r>
        <w:rPr>
          <w:rFonts w:hint="eastAsia"/>
          <w:highlight w:val="none"/>
        </w:rPr>
        <w:t xml:space="preserve"> </w:t>
      </w:r>
      <w:r>
        <w:rPr>
          <w:rFonts w:hint="eastAsia"/>
          <w:color w:val="000000" w:themeColor="text1"/>
          <w:highlight w:val="none"/>
          <w14:textFill>
            <w14:solidFill>
              <w14:schemeClr w14:val="tx1"/>
            </w14:solidFill>
          </w14:textFill>
        </w:rPr>
        <w:t>在广州市白云区螺涌村、松南村、松北村城中村改造项目实施范围内。</w:t>
      </w:r>
    </w:p>
    <w:p w14:paraId="73E9FB06">
      <w:pPr>
        <w:pStyle w:val="4"/>
        <w:rPr>
          <w:color w:val="000000"/>
          <w:highlight w:val="none"/>
        </w:rPr>
      </w:pPr>
      <w:r>
        <w:rPr>
          <w:color w:val="000000"/>
          <w:highlight w:val="none"/>
        </w:rPr>
        <w:t>项目建设单位</w:t>
      </w:r>
    </w:p>
    <w:p w14:paraId="5F780FDE">
      <w:pPr>
        <w:rPr>
          <w:color w:val="000000"/>
          <w:highlight w:val="none"/>
        </w:rPr>
      </w:pPr>
      <w:r>
        <w:rPr>
          <w:color w:val="000000"/>
          <w:highlight w:val="none"/>
        </w:rPr>
        <w:t>广州湾区新岸城市开发投资有限公司</w:t>
      </w:r>
    </w:p>
    <w:p w14:paraId="5FA4FE99">
      <w:pPr>
        <w:pStyle w:val="4"/>
        <w:rPr>
          <w:color w:val="000000"/>
          <w:highlight w:val="none"/>
        </w:rPr>
      </w:pPr>
      <w:r>
        <w:rPr>
          <w:color w:val="000000"/>
          <w:highlight w:val="none"/>
        </w:rPr>
        <w:t>项目背景</w:t>
      </w:r>
    </w:p>
    <w:p w14:paraId="18BB465E">
      <w:pPr>
        <w:rPr>
          <w:color w:val="000000"/>
          <w:highlight w:val="none"/>
        </w:rPr>
      </w:pPr>
      <w:r>
        <w:rPr>
          <w:rFonts w:hint="eastAsia"/>
          <w:color w:val="000000"/>
          <w:highlight w:val="none"/>
        </w:rPr>
        <w:t>作为广州市城中村改造四大重点片区之一，罗冲围片区今年将抓紧AB3802042地块开工建设，项目将打通华为研发中心周边发展纵深空间，带动珠江西岸高质量发展。广州湾区新岸城市开发投资有限公司开展</w:t>
      </w:r>
      <w:r>
        <w:rPr>
          <w:color w:val="000000"/>
          <w:highlight w:val="none"/>
        </w:rPr>
        <w:t>广州市白云区螺涌村、松南村、松北村城中村改造项目</w:t>
      </w:r>
      <w:r>
        <w:rPr>
          <w:rFonts w:hint="eastAsia"/>
          <w:color w:val="000000"/>
          <w:highlight w:val="none"/>
        </w:rPr>
        <w:t>AB3802042地块项目及周边建设工作。</w:t>
      </w:r>
    </w:p>
    <w:p w14:paraId="314FD872">
      <w:pPr>
        <w:pStyle w:val="4"/>
        <w:rPr>
          <w:color w:val="000000"/>
          <w:highlight w:val="none"/>
        </w:rPr>
      </w:pPr>
      <w:r>
        <w:rPr>
          <w:color w:val="000000"/>
          <w:highlight w:val="none"/>
        </w:rPr>
        <w:t>项目建设的重要性</w:t>
      </w:r>
    </w:p>
    <w:p w14:paraId="311126DE">
      <w:pPr>
        <w:rPr>
          <w:color w:val="000000"/>
          <w:highlight w:val="none"/>
        </w:rPr>
      </w:pPr>
      <w:r>
        <w:rPr>
          <w:rFonts w:hint="eastAsia"/>
          <w:color w:val="000000"/>
          <w:highlight w:val="none"/>
        </w:rPr>
        <w:t>新一轮城中村改造不再是单一的市场行为，而是一股自上而下的经济发展驱动力量，需充分借助政府的统筹协调力量，优化城中村改造审批流程，有效解决审批难、周期长等问题。</w:t>
      </w:r>
    </w:p>
    <w:p w14:paraId="6C3EA60E">
      <w:pPr>
        <w:rPr>
          <w:color w:val="000000"/>
          <w:highlight w:val="none"/>
        </w:rPr>
      </w:pPr>
      <w:r>
        <w:rPr>
          <w:rFonts w:hint="eastAsia"/>
          <w:color w:val="000000"/>
          <w:highlight w:val="none"/>
        </w:rPr>
        <w:t>在罗冲围项目，改造主体编制松溪和潭村片区的做地方案、城中村改造方案、单元详细规划</w:t>
      </w:r>
      <w:r>
        <w:rPr>
          <w:color w:val="000000"/>
          <w:highlight w:val="none"/>
        </w:rPr>
        <w:t>(控规)方案，共计输出60多项技术成果，最终形成了符合城中村改造要求、规划指标合理、改造成本可平衡、分期实施可执行的方案。</w:t>
      </w:r>
    </w:p>
    <w:p w14:paraId="15C00D6C">
      <w:pPr>
        <w:pStyle w:val="4"/>
        <w:rPr>
          <w:color w:val="000000"/>
          <w:highlight w:val="none"/>
        </w:rPr>
      </w:pPr>
      <w:r>
        <w:rPr>
          <w:color w:val="000000"/>
          <w:highlight w:val="none"/>
        </w:rPr>
        <w:t>项目建设规模</w:t>
      </w:r>
    </w:p>
    <w:p w14:paraId="4176E378">
      <w:pPr>
        <w:rPr>
          <w:b/>
          <w:color w:val="000000"/>
          <w:highlight w:val="none"/>
        </w:rPr>
      </w:pPr>
      <w:r>
        <w:rPr>
          <w:rFonts w:hint="eastAsia"/>
          <w:color w:val="000000"/>
          <w:highlight w:val="none"/>
        </w:rPr>
        <w:t>广州市白云区螺涌村、松南村、松北村城中村改造项目AB3802042安置地块项目建设总用地面积</w:t>
      </w:r>
      <w:r>
        <w:rPr>
          <w:color w:val="000000"/>
          <w:highlight w:val="none"/>
        </w:rPr>
        <w:t>25,762m²</w:t>
      </w:r>
      <w:r>
        <w:rPr>
          <w:rFonts w:hint="eastAsia"/>
          <w:color w:val="000000"/>
          <w:highlight w:val="none"/>
        </w:rPr>
        <w:t>（其中：住宅用地面积</w:t>
      </w:r>
      <w:r>
        <w:rPr>
          <w:color w:val="000000"/>
          <w:highlight w:val="none"/>
        </w:rPr>
        <w:t>19,689㎡</w:t>
      </w:r>
      <w:r>
        <w:rPr>
          <w:rFonts w:hint="eastAsia" w:cs="(使用中文字体)"/>
          <w:highlight w:val="none"/>
        </w:rPr>
        <w:t>（层数大于30层）</w:t>
      </w:r>
      <w:r>
        <w:rPr>
          <w:color w:val="000000"/>
          <w:highlight w:val="none"/>
        </w:rPr>
        <w:t>、道路用地面积</w:t>
      </w:r>
      <w:r>
        <w:rPr>
          <w:rFonts w:cs="(使用中文字体)"/>
          <w:highlight w:val="none"/>
        </w:rPr>
        <w:t>3</w:t>
      </w:r>
      <w:r>
        <w:rPr>
          <w:rFonts w:hint="eastAsia" w:cs="(使用中文字体)"/>
          <w:highlight w:val="none"/>
        </w:rPr>
        <w:t>,</w:t>
      </w:r>
      <w:r>
        <w:rPr>
          <w:rFonts w:cs="(使用中文字体)"/>
          <w:highlight w:val="none"/>
        </w:rPr>
        <w:t>484</w:t>
      </w:r>
      <w:r>
        <w:rPr>
          <w:color w:val="000000"/>
          <w:highlight w:val="none"/>
        </w:rPr>
        <w:t>㎡、绿化用地面积</w:t>
      </w:r>
      <w:r>
        <w:rPr>
          <w:rFonts w:hint="eastAsia" w:cs="(使用中文字体)"/>
          <w:highlight w:val="none"/>
        </w:rPr>
        <w:t>2,5</w:t>
      </w:r>
      <w:r>
        <w:rPr>
          <w:rFonts w:cs="(使用中文字体)"/>
          <w:highlight w:val="none"/>
        </w:rPr>
        <w:t>89</w:t>
      </w:r>
      <w:r>
        <w:rPr>
          <w:color w:val="000000"/>
          <w:highlight w:val="none"/>
        </w:rPr>
        <w:t>㎡</w:t>
      </w:r>
      <w:r>
        <w:rPr>
          <w:rFonts w:hint="eastAsia"/>
          <w:color w:val="000000"/>
          <w:highlight w:val="none"/>
        </w:rPr>
        <w:t>），</w:t>
      </w:r>
      <w:r>
        <w:rPr>
          <w:rFonts w:hint="eastAsia"/>
          <w:highlight w:val="none"/>
        </w:rPr>
        <w:t>总建筑</w:t>
      </w:r>
      <w:r>
        <w:rPr>
          <w:color w:val="000000"/>
          <w:highlight w:val="none"/>
        </w:rPr>
        <w:t>面积</w:t>
      </w:r>
      <w:r>
        <w:rPr>
          <w:rFonts w:hint="eastAsia"/>
          <w:color w:val="000000"/>
          <w:highlight w:val="none"/>
        </w:rPr>
        <w:t>暂定</w:t>
      </w:r>
      <w:r>
        <w:rPr>
          <w:color w:val="000000"/>
          <w:highlight w:val="none"/>
        </w:rPr>
        <w:t>135,603</w:t>
      </w:r>
      <w:r>
        <w:rPr>
          <w:rFonts w:hint="eastAsia"/>
          <w:color w:val="000000"/>
          <w:highlight w:val="none"/>
        </w:rPr>
        <w:t>㎡</w:t>
      </w:r>
      <w:r>
        <w:rPr>
          <w:color w:val="000000"/>
          <w:highlight w:val="none"/>
        </w:rPr>
        <w:t>，地块容积率4.8，</w:t>
      </w:r>
      <w:r>
        <w:rPr>
          <w:rFonts w:hint="eastAsia"/>
          <w:color w:val="000000"/>
          <w:highlight w:val="none"/>
        </w:rPr>
        <w:t>计容面积</w:t>
      </w:r>
      <w:r>
        <w:rPr>
          <w:color w:val="000000"/>
          <w:highlight w:val="none"/>
        </w:rPr>
        <w:t>94,507</w:t>
      </w:r>
      <w:r>
        <w:rPr>
          <w:rFonts w:hint="eastAsia"/>
          <w:color w:val="000000"/>
          <w:highlight w:val="none"/>
        </w:rPr>
        <w:t>㎡。</w:t>
      </w:r>
      <w:r>
        <w:rPr>
          <w:rFonts w:hint="eastAsia"/>
          <w:b/>
          <w:color w:val="000000"/>
          <w:highlight w:val="none"/>
        </w:rPr>
        <w:t>（</w:t>
      </w:r>
      <w:r>
        <w:rPr>
          <w:b/>
          <w:color w:val="000000"/>
          <w:highlight w:val="none"/>
        </w:rPr>
        <w:t>注：以上数据以最终控规审批方案为准。）</w:t>
      </w:r>
    </w:p>
    <w:p w14:paraId="1305ED14">
      <w:pPr>
        <w:ind w:firstLine="480" w:firstLineChars="200"/>
        <w:rPr>
          <w:color w:val="000000"/>
          <w:highlight w:val="none"/>
        </w:rPr>
      </w:pPr>
      <w:r>
        <w:rPr>
          <w:rFonts w:hint="eastAsia"/>
          <w:color w:val="000000"/>
          <w:highlight w:val="none"/>
        </w:rPr>
        <w:t>项目同步建设市政道路，</w:t>
      </w:r>
      <w:r>
        <w:rPr>
          <w:color w:val="000000"/>
          <w:highlight w:val="none"/>
        </w:rPr>
        <w:t xml:space="preserve"> </w:t>
      </w:r>
      <w:r>
        <w:rPr>
          <w:rFonts w:hint="eastAsia"/>
          <w:color w:val="000000"/>
          <w:highlight w:val="none"/>
        </w:rPr>
        <w:t>建设内容包含道路工程、给排水工程、交通工程、绿化工程、照明工程、电力管沟、通信管沟、防护绿地景观提升等。</w:t>
      </w:r>
    </w:p>
    <w:p w14:paraId="0EAF22E0">
      <w:pPr>
        <w:spacing w:line="240" w:lineRule="auto"/>
        <w:jc w:val="center"/>
        <w:rPr>
          <w:color w:val="000000"/>
          <w:highlight w:val="none"/>
        </w:rPr>
      </w:pPr>
    </w:p>
    <w:p w14:paraId="2EFBB57E">
      <w:pPr>
        <w:pStyle w:val="4"/>
        <w:rPr>
          <w:color w:val="000000"/>
          <w:highlight w:val="none"/>
        </w:rPr>
      </w:pPr>
      <w:r>
        <w:rPr>
          <w:color w:val="000000"/>
          <w:highlight w:val="none"/>
        </w:rPr>
        <w:t>项目建设依据</w:t>
      </w:r>
    </w:p>
    <w:p w14:paraId="23F835B8">
      <w:pPr>
        <w:pStyle w:val="6"/>
        <w:numPr>
          <w:ilvl w:val="0"/>
          <w:numId w:val="3"/>
        </w:numPr>
        <w:ind w:firstLineChars="0"/>
        <w:rPr>
          <w:color w:val="000000"/>
          <w:highlight w:val="none"/>
        </w:rPr>
      </w:pPr>
      <w:r>
        <w:rPr>
          <w:color w:val="000000"/>
          <w:highlight w:val="none"/>
        </w:rPr>
        <w:t>现行法律法规</w:t>
      </w:r>
    </w:p>
    <w:p w14:paraId="07074176">
      <w:pPr>
        <w:ind w:left="566" w:firstLine="0" w:firstLineChars="0"/>
        <w:rPr>
          <w:color w:val="000000"/>
          <w:highlight w:val="none"/>
        </w:rPr>
      </w:pPr>
      <w:r>
        <w:rPr>
          <w:rFonts w:hint="eastAsia"/>
          <w:color w:val="000000"/>
          <w:highlight w:val="none"/>
        </w:rPr>
        <w:t>（</w:t>
      </w:r>
      <w:r>
        <w:rPr>
          <w:color w:val="000000"/>
          <w:highlight w:val="none"/>
        </w:rPr>
        <w:t>1）</w:t>
      </w:r>
      <w:r>
        <w:rPr>
          <w:color w:val="000000"/>
          <w:highlight w:val="none"/>
        </w:rPr>
        <w:tab/>
      </w:r>
      <w:r>
        <w:rPr>
          <w:color w:val="000000"/>
          <w:highlight w:val="none"/>
        </w:rPr>
        <w:t>国家及省市颁布的相关法律、法规、规定</w:t>
      </w:r>
    </w:p>
    <w:p w14:paraId="1836D5F3">
      <w:pPr>
        <w:rPr>
          <w:color w:val="000000"/>
          <w:highlight w:val="none"/>
        </w:rPr>
      </w:pPr>
      <w:r>
        <w:rPr>
          <w:color w:val="000000"/>
          <w:highlight w:val="none"/>
        </w:rPr>
        <w:t>2．现行技术标准与规范</w:t>
      </w:r>
    </w:p>
    <w:p w14:paraId="3D0A61C4">
      <w:pPr>
        <w:pStyle w:val="6"/>
        <w:numPr>
          <w:ilvl w:val="0"/>
          <w:numId w:val="4"/>
        </w:numPr>
        <w:ind w:left="0" w:firstLine="564" w:firstLineChars="235"/>
        <w:rPr>
          <w:rFonts w:ascii="微软雅黑" w:hAnsi="微软雅黑" w:eastAsia="微软雅黑"/>
          <w:color w:val="000000"/>
          <w:szCs w:val="21"/>
          <w:highlight w:val="none"/>
        </w:rPr>
      </w:pPr>
      <w:r>
        <w:rPr>
          <w:color w:val="000000"/>
          <w:highlight w:val="none"/>
        </w:rPr>
        <w:t>《广州市城市规划管理技术标准与准则》—建筑工程规划管理篇/修建性详细规划篇/市政规划篇（2005年12月）</w:t>
      </w:r>
    </w:p>
    <w:p w14:paraId="60A65DF7">
      <w:pPr>
        <w:pStyle w:val="6"/>
        <w:numPr>
          <w:ilvl w:val="0"/>
          <w:numId w:val="4"/>
        </w:numPr>
        <w:ind w:left="0" w:firstLine="564" w:firstLineChars="235"/>
        <w:rPr>
          <w:rFonts w:ascii="微软雅黑" w:hAnsi="微软雅黑" w:eastAsia="微软雅黑"/>
          <w:color w:val="000000"/>
          <w:szCs w:val="21"/>
          <w:highlight w:val="none"/>
        </w:rPr>
      </w:pPr>
      <w:r>
        <w:rPr>
          <w:color w:val="000000"/>
          <w:highlight w:val="none"/>
        </w:rPr>
        <w:t>《广州市城乡规划技术规定》</w:t>
      </w:r>
    </w:p>
    <w:p w14:paraId="6668C14D">
      <w:pPr>
        <w:pStyle w:val="6"/>
        <w:numPr>
          <w:ilvl w:val="0"/>
          <w:numId w:val="4"/>
        </w:numPr>
        <w:ind w:left="0" w:firstLine="564" w:firstLineChars="235"/>
        <w:rPr>
          <w:rFonts w:ascii="微软雅黑" w:hAnsi="微软雅黑" w:eastAsia="微软雅黑"/>
          <w:color w:val="000000"/>
          <w:szCs w:val="21"/>
          <w:highlight w:val="none"/>
        </w:rPr>
      </w:pPr>
      <w:r>
        <w:rPr>
          <w:color w:val="000000"/>
          <w:highlight w:val="none"/>
        </w:rPr>
        <w:t>各专业相关规范</w:t>
      </w:r>
      <w:r>
        <w:rPr>
          <w:rFonts w:hint="eastAsia"/>
          <w:color w:val="000000"/>
          <w:highlight w:val="none"/>
        </w:rPr>
        <w:t>:</w:t>
      </w:r>
    </w:p>
    <w:p w14:paraId="76542351">
      <w:pPr>
        <w:pStyle w:val="6"/>
        <w:numPr>
          <w:ilvl w:val="0"/>
          <w:numId w:val="5"/>
        </w:numPr>
        <w:ind w:firstLineChars="0"/>
        <w:rPr>
          <w:color w:val="000000"/>
          <w:highlight w:val="none"/>
        </w:rPr>
      </w:pPr>
      <w:r>
        <w:rPr>
          <w:rFonts w:hint="eastAsia"/>
          <w:color w:val="000000"/>
          <w:highlight w:val="none"/>
        </w:rPr>
        <w:t>建筑专业:</w:t>
      </w:r>
    </w:p>
    <w:p w14:paraId="784AD50A">
      <w:pPr>
        <w:pStyle w:val="6"/>
        <w:ind w:left="984" w:firstLine="0" w:firstLineChars="0"/>
        <w:rPr>
          <w:color w:val="000000"/>
          <w:highlight w:val="none"/>
        </w:rPr>
      </w:pPr>
      <w:r>
        <w:rPr>
          <w:rFonts w:hint="eastAsia"/>
          <w:color w:val="000000"/>
          <w:highlight w:val="none"/>
        </w:rPr>
        <w:t>《工程建设标准强制性条文》房屋建筑部分</w:t>
      </w:r>
      <w:r>
        <w:rPr>
          <w:color w:val="000000"/>
          <w:highlight w:val="none"/>
        </w:rPr>
        <w:t xml:space="preserve"> （2013年版）</w:t>
      </w:r>
    </w:p>
    <w:p w14:paraId="1F9D21F2">
      <w:pPr>
        <w:pStyle w:val="6"/>
        <w:ind w:left="984" w:firstLine="0" w:firstLineChars="0"/>
        <w:rPr>
          <w:color w:val="000000"/>
          <w:highlight w:val="none"/>
        </w:rPr>
      </w:pPr>
      <w:r>
        <w:rPr>
          <w:rFonts w:hint="eastAsia"/>
          <w:color w:val="000000"/>
          <w:highlight w:val="none"/>
        </w:rPr>
        <w:t>《民用建筑设计统一标准》</w:t>
      </w:r>
      <w:r>
        <w:rPr>
          <w:color w:val="000000"/>
          <w:highlight w:val="none"/>
        </w:rPr>
        <w:t xml:space="preserve"> GB 50352-2019</w:t>
      </w:r>
    </w:p>
    <w:p w14:paraId="589BD9C7">
      <w:pPr>
        <w:pStyle w:val="6"/>
        <w:ind w:left="984" w:firstLine="0" w:firstLineChars="0"/>
        <w:rPr>
          <w:color w:val="000000"/>
          <w:highlight w:val="none"/>
        </w:rPr>
      </w:pPr>
      <w:r>
        <w:rPr>
          <w:rFonts w:hint="eastAsia"/>
          <w:color w:val="000000"/>
          <w:highlight w:val="none"/>
        </w:rPr>
        <w:t>《城市居住区规划设计规范》</w:t>
      </w:r>
      <w:r>
        <w:rPr>
          <w:color w:val="000000"/>
          <w:highlight w:val="none"/>
        </w:rPr>
        <w:t xml:space="preserve"> GB 50180-2018</w:t>
      </w:r>
    </w:p>
    <w:p w14:paraId="7EEE96D5">
      <w:pPr>
        <w:pStyle w:val="6"/>
        <w:ind w:left="984" w:firstLine="0" w:firstLineChars="0"/>
        <w:rPr>
          <w:color w:val="000000"/>
          <w:highlight w:val="none"/>
        </w:rPr>
      </w:pPr>
      <w:r>
        <w:rPr>
          <w:rFonts w:hint="eastAsia"/>
          <w:color w:val="000000"/>
          <w:highlight w:val="none"/>
        </w:rPr>
        <w:t>《无障碍设计规范》</w:t>
      </w:r>
      <w:r>
        <w:rPr>
          <w:color w:val="000000"/>
          <w:highlight w:val="none"/>
        </w:rPr>
        <w:t xml:space="preserve"> GB 50763-2012</w:t>
      </w:r>
    </w:p>
    <w:p w14:paraId="3FEB465B">
      <w:pPr>
        <w:pStyle w:val="6"/>
        <w:ind w:left="984" w:firstLine="0" w:firstLineChars="0"/>
        <w:rPr>
          <w:color w:val="000000"/>
          <w:highlight w:val="none"/>
        </w:rPr>
      </w:pPr>
      <w:r>
        <w:rPr>
          <w:rFonts w:hint="eastAsia"/>
          <w:color w:val="000000"/>
          <w:highlight w:val="none"/>
        </w:rPr>
        <w:t>《建筑玻璃应用技术规程》</w:t>
      </w:r>
      <w:r>
        <w:rPr>
          <w:color w:val="000000"/>
          <w:highlight w:val="none"/>
        </w:rPr>
        <w:t xml:space="preserve"> JGJ 113-2015</w:t>
      </w:r>
    </w:p>
    <w:p w14:paraId="34922B96">
      <w:pPr>
        <w:pStyle w:val="6"/>
        <w:ind w:left="984" w:firstLine="0" w:firstLineChars="0"/>
        <w:rPr>
          <w:color w:val="000000"/>
          <w:highlight w:val="none"/>
        </w:rPr>
      </w:pPr>
      <w:r>
        <w:rPr>
          <w:rFonts w:hint="eastAsia"/>
          <w:color w:val="000000"/>
          <w:highlight w:val="none"/>
        </w:rPr>
        <w:t>《民用建筑工程室内环境污染控制规范》</w:t>
      </w:r>
      <w:r>
        <w:rPr>
          <w:color w:val="000000"/>
          <w:highlight w:val="none"/>
        </w:rPr>
        <w:t xml:space="preserve"> GB 50325-2020</w:t>
      </w:r>
    </w:p>
    <w:p w14:paraId="484676E6">
      <w:pPr>
        <w:pStyle w:val="6"/>
        <w:ind w:left="984" w:firstLine="0" w:firstLineChars="0"/>
        <w:rPr>
          <w:color w:val="000000"/>
          <w:highlight w:val="none"/>
        </w:rPr>
      </w:pPr>
      <w:r>
        <w:rPr>
          <w:rFonts w:hint="eastAsia"/>
          <w:color w:val="000000"/>
          <w:highlight w:val="none"/>
        </w:rPr>
        <w:t>《夏热冬暖地区居住建筑节能设计标准》</w:t>
      </w:r>
      <w:r>
        <w:rPr>
          <w:color w:val="000000"/>
          <w:highlight w:val="none"/>
        </w:rPr>
        <w:t xml:space="preserve"> JGJ 75-2012</w:t>
      </w:r>
    </w:p>
    <w:p w14:paraId="6742F5B3">
      <w:pPr>
        <w:pStyle w:val="6"/>
        <w:ind w:left="984" w:firstLine="0" w:firstLineChars="0"/>
        <w:rPr>
          <w:color w:val="000000"/>
          <w:highlight w:val="none"/>
        </w:rPr>
      </w:pPr>
      <w:r>
        <w:rPr>
          <w:rFonts w:hint="eastAsia"/>
          <w:color w:val="000000"/>
          <w:highlight w:val="none"/>
        </w:rPr>
        <w:t>《建筑与市政工程无障碍通用规范》</w:t>
      </w:r>
      <w:r>
        <w:rPr>
          <w:color w:val="000000"/>
          <w:highlight w:val="none"/>
        </w:rPr>
        <w:t>GB 55019-2021</w:t>
      </w:r>
    </w:p>
    <w:p w14:paraId="240A9AD2">
      <w:pPr>
        <w:pStyle w:val="6"/>
        <w:ind w:left="984" w:firstLine="0" w:firstLineChars="0"/>
        <w:rPr>
          <w:color w:val="000000"/>
          <w:highlight w:val="none"/>
        </w:rPr>
      </w:pPr>
      <w:r>
        <w:rPr>
          <w:rFonts w:hint="eastAsia"/>
          <w:color w:val="000000"/>
          <w:highlight w:val="none"/>
        </w:rPr>
        <w:t>《公共建筑节能设计标准》</w:t>
      </w:r>
      <w:r>
        <w:rPr>
          <w:color w:val="000000"/>
          <w:highlight w:val="none"/>
        </w:rPr>
        <w:t xml:space="preserve"> GB 50189-2015</w:t>
      </w:r>
    </w:p>
    <w:p w14:paraId="3A166AB2">
      <w:pPr>
        <w:pStyle w:val="6"/>
        <w:ind w:left="984" w:firstLine="0" w:firstLineChars="0"/>
        <w:rPr>
          <w:color w:val="000000"/>
          <w:highlight w:val="none"/>
        </w:rPr>
      </w:pPr>
      <w:r>
        <w:rPr>
          <w:rFonts w:hint="eastAsia"/>
          <w:color w:val="000000"/>
          <w:highlight w:val="none"/>
        </w:rPr>
        <w:t>《广东省公共建筑节能设计标准》</w:t>
      </w:r>
      <w:r>
        <w:rPr>
          <w:color w:val="000000"/>
          <w:highlight w:val="none"/>
        </w:rPr>
        <w:t xml:space="preserve"> DBJ 15-51-2020</w:t>
      </w:r>
    </w:p>
    <w:p w14:paraId="119BCB4A">
      <w:pPr>
        <w:pStyle w:val="6"/>
        <w:ind w:left="984" w:firstLine="0" w:firstLineChars="0"/>
        <w:rPr>
          <w:color w:val="000000"/>
          <w:highlight w:val="none"/>
        </w:rPr>
      </w:pPr>
      <w:r>
        <w:rPr>
          <w:rFonts w:hint="eastAsia"/>
          <w:color w:val="000000"/>
          <w:highlight w:val="none"/>
        </w:rPr>
        <w:t>《广东省居住建筑节能设计标准》</w:t>
      </w:r>
      <w:r>
        <w:rPr>
          <w:color w:val="000000"/>
          <w:highlight w:val="none"/>
        </w:rPr>
        <w:t xml:space="preserve"> DBJ 15-133-2018</w:t>
      </w:r>
    </w:p>
    <w:p w14:paraId="26C9C3C5">
      <w:pPr>
        <w:pStyle w:val="6"/>
        <w:ind w:left="984" w:firstLine="0" w:firstLineChars="0"/>
        <w:rPr>
          <w:color w:val="000000"/>
          <w:highlight w:val="none"/>
        </w:rPr>
      </w:pPr>
      <w:r>
        <w:rPr>
          <w:rFonts w:hint="eastAsia"/>
          <w:color w:val="000000"/>
          <w:highlight w:val="none"/>
        </w:rPr>
        <w:t>《建筑设计防火规范》</w:t>
      </w:r>
      <w:r>
        <w:rPr>
          <w:color w:val="000000"/>
          <w:highlight w:val="none"/>
        </w:rPr>
        <w:t xml:space="preserve"> GB 50016-2014（2018年版）</w:t>
      </w:r>
    </w:p>
    <w:p w14:paraId="34BF3522">
      <w:pPr>
        <w:pStyle w:val="6"/>
        <w:ind w:left="984" w:firstLine="0" w:firstLineChars="0"/>
        <w:rPr>
          <w:color w:val="000000"/>
          <w:highlight w:val="none"/>
        </w:rPr>
      </w:pPr>
      <w:r>
        <w:rPr>
          <w:rFonts w:hint="eastAsia"/>
          <w:color w:val="000000"/>
          <w:highlight w:val="none"/>
        </w:rPr>
        <w:t>《汽车库、修车库、停车场设计防火规范》</w:t>
      </w:r>
      <w:r>
        <w:rPr>
          <w:color w:val="000000"/>
          <w:highlight w:val="none"/>
        </w:rPr>
        <w:t xml:space="preserve"> GB 50067—2014</w:t>
      </w:r>
    </w:p>
    <w:p w14:paraId="179F2F7D">
      <w:pPr>
        <w:pStyle w:val="6"/>
        <w:ind w:left="984" w:firstLine="0" w:firstLineChars="0"/>
        <w:rPr>
          <w:color w:val="000000"/>
          <w:highlight w:val="none"/>
        </w:rPr>
      </w:pPr>
      <w:r>
        <w:rPr>
          <w:rFonts w:hint="eastAsia"/>
          <w:color w:val="000000"/>
          <w:highlight w:val="none"/>
        </w:rPr>
        <w:t>《商店建筑设计规范》</w:t>
      </w:r>
      <w:r>
        <w:rPr>
          <w:color w:val="000000"/>
          <w:highlight w:val="none"/>
        </w:rPr>
        <w:t xml:space="preserve"> JGJ 48-2014</w:t>
      </w:r>
    </w:p>
    <w:p w14:paraId="538B350B">
      <w:pPr>
        <w:pStyle w:val="6"/>
        <w:ind w:left="984" w:firstLine="0" w:firstLineChars="0"/>
        <w:rPr>
          <w:color w:val="000000"/>
          <w:highlight w:val="none"/>
        </w:rPr>
      </w:pPr>
      <w:r>
        <w:rPr>
          <w:rFonts w:hint="eastAsia"/>
          <w:color w:val="000000"/>
          <w:highlight w:val="none"/>
        </w:rPr>
        <w:t>《饮食建筑设计规范》</w:t>
      </w:r>
      <w:r>
        <w:rPr>
          <w:color w:val="000000"/>
          <w:highlight w:val="none"/>
        </w:rPr>
        <w:t xml:space="preserve"> JGJ 64-2017</w:t>
      </w:r>
    </w:p>
    <w:p w14:paraId="10317964">
      <w:pPr>
        <w:pStyle w:val="6"/>
        <w:ind w:left="984" w:firstLine="0" w:firstLineChars="0"/>
        <w:rPr>
          <w:color w:val="000000"/>
          <w:highlight w:val="none"/>
        </w:rPr>
      </w:pPr>
      <w:r>
        <w:rPr>
          <w:rFonts w:hint="eastAsia"/>
          <w:color w:val="000000"/>
          <w:highlight w:val="none"/>
        </w:rPr>
        <w:t>《住宅建筑规范》</w:t>
      </w:r>
      <w:r>
        <w:rPr>
          <w:color w:val="000000"/>
          <w:highlight w:val="none"/>
        </w:rPr>
        <w:t xml:space="preserve"> GB 50368-2005</w:t>
      </w:r>
    </w:p>
    <w:p w14:paraId="69250D51">
      <w:pPr>
        <w:pStyle w:val="6"/>
        <w:ind w:left="984" w:firstLine="0" w:firstLineChars="0"/>
        <w:rPr>
          <w:color w:val="000000"/>
          <w:highlight w:val="none"/>
        </w:rPr>
      </w:pPr>
      <w:r>
        <w:rPr>
          <w:rFonts w:hint="eastAsia"/>
          <w:color w:val="000000"/>
          <w:highlight w:val="none"/>
        </w:rPr>
        <w:t>《住宅设计规范》</w:t>
      </w:r>
      <w:r>
        <w:rPr>
          <w:color w:val="000000"/>
          <w:highlight w:val="none"/>
        </w:rPr>
        <w:t xml:space="preserve"> GB 50096—2011  </w:t>
      </w:r>
    </w:p>
    <w:p w14:paraId="612A8F6B">
      <w:pPr>
        <w:pStyle w:val="6"/>
        <w:ind w:left="984" w:firstLine="0" w:firstLineChars="0"/>
        <w:rPr>
          <w:color w:val="000000"/>
          <w:highlight w:val="none"/>
        </w:rPr>
      </w:pPr>
      <w:r>
        <w:rPr>
          <w:rFonts w:hint="eastAsia"/>
          <w:color w:val="000000"/>
          <w:highlight w:val="none"/>
        </w:rPr>
        <w:t>《屋面工程技术规范》</w:t>
      </w:r>
      <w:r>
        <w:rPr>
          <w:color w:val="000000"/>
          <w:highlight w:val="none"/>
        </w:rPr>
        <w:t xml:space="preserve"> GB 50345-2012</w:t>
      </w:r>
    </w:p>
    <w:p w14:paraId="18F5DFEB">
      <w:pPr>
        <w:pStyle w:val="6"/>
        <w:ind w:left="984" w:firstLine="0" w:firstLineChars="0"/>
        <w:rPr>
          <w:color w:val="000000"/>
          <w:highlight w:val="none"/>
        </w:rPr>
      </w:pPr>
      <w:r>
        <w:rPr>
          <w:rFonts w:hint="eastAsia"/>
          <w:color w:val="000000"/>
          <w:highlight w:val="none"/>
        </w:rPr>
        <w:t>《住宅室内防水工程技术规范》</w:t>
      </w:r>
      <w:r>
        <w:rPr>
          <w:color w:val="000000"/>
          <w:highlight w:val="none"/>
        </w:rPr>
        <w:t xml:space="preserve"> JGJ 298—2013</w:t>
      </w:r>
    </w:p>
    <w:p w14:paraId="54B95724">
      <w:pPr>
        <w:pStyle w:val="6"/>
        <w:ind w:left="984" w:firstLine="0" w:firstLineChars="0"/>
        <w:rPr>
          <w:color w:val="000000"/>
          <w:highlight w:val="none"/>
        </w:rPr>
      </w:pPr>
      <w:r>
        <w:rPr>
          <w:rFonts w:hint="eastAsia"/>
          <w:color w:val="000000"/>
          <w:highlight w:val="none"/>
        </w:rPr>
        <w:t>《建筑防护栏杆技术标准》</w:t>
      </w:r>
      <w:r>
        <w:rPr>
          <w:color w:val="000000"/>
          <w:highlight w:val="none"/>
        </w:rPr>
        <w:t xml:space="preserve"> JGJ／T 470-2019</w:t>
      </w:r>
    </w:p>
    <w:p w14:paraId="35504E8B">
      <w:pPr>
        <w:pStyle w:val="6"/>
        <w:ind w:left="984" w:firstLine="0" w:firstLineChars="0"/>
        <w:rPr>
          <w:color w:val="000000"/>
          <w:highlight w:val="none"/>
        </w:rPr>
      </w:pPr>
      <w:r>
        <w:rPr>
          <w:rFonts w:hint="eastAsia"/>
          <w:color w:val="000000"/>
          <w:highlight w:val="none"/>
        </w:rPr>
        <w:t>《建筑遮阳工程技术规范》</w:t>
      </w:r>
      <w:r>
        <w:rPr>
          <w:color w:val="000000"/>
          <w:highlight w:val="none"/>
        </w:rPr>
        <w:t xml:space="preserve"> JGJ 237-2011</w:t>
      </w:r>
    </w:p>
    <w:p w14:paraId="2711A9F6">
      <w:pPr>
        <w:pStyle w:val="6"/>
        <w:ind w:left="984" w:firstLine="0" w:firstLineChars="0"/>
        <w:rPr>
          <w:color w:val="000000"/>
          <w:highlight w:val="none"/>
        </w:rPr>
      </w:pPr>
      <w:r>
        <w:rPr>
          <w:rFonts w:hint="eastAsia"/>
          <w:color w:val="000000"/>
          <w:highlight w:val="none"/>
        </w:rPr>
        <w:t>《广州市绿化条例》（</w:t>
      </w:r>
      <w:r>
        <w:rPr>
          <w:color w:val="000000"/>
          <w:highlight w:val="none"/>
        </w:rPr>
        <w:t>2012年7月版本，广州项目需选用）</w:t>
      </w:r>
    </w:p>
    <w:p w14:paraId="7A44E627">
      <w:pPr>
        <w:pStyle w:val="6"/>
        <w:ind w:left="984" w:firstLine="0" w:firstLineChars="0"/>
        <w:rPr>
          <w:color w:val="000000"/>
          <w:highlight w:val="none"/>
        </w:rPr>
      </w:pPr>
      <w:r>
        <w:rPr>
          <w:rFonts w:hint="eastAsia"/>
          <w:color w:val="000000"/>
          <w:highlight w:val="none"/>
        </w:rPr>
        <w:t>广东省《建筑防水工程技术规程》</w:t>
      </w:r>
      <w:r>
        <w:rPr>
          <w:color w:val="000000"/>
          <w:highlight w:val="none"/>
        </w:rPr>
        <w:t xml:space="preserve"> DBJ 15-19-2020</w:t>
      </w:r>
    </w:p>
    <w:p w14:paraId="79A0A09A">
      <w:pPr>
        <w:pStyle w:val="6"/>
        <w:numPr>
          <w:ilvl w:val="0"/>
          <w:numId w:val="5"/>
        </w:numPr>
        <w:ind w:firstLineChars="0"/>
        <w:rPr>
          <w:color w:val="000000"/>
          <w:highlight w:val="none"/>
        </w:rPr>
      </w:pPr>
      <w:r>
        <w:rPr>
          <w:rFonts w:hint="eastAsia"/>
          <w:color w:val="000000"/>
          <w:highlight w:val="none"/>
        </w:rPr>
        <w:t>结构专业：</w:t>
      </w:r>
    </w:p>
    <w:p w14:paraId="3309397F">
      <w:pPr>
        <w:pStyle w:val="6"/>
        <w:ind w:left="984" w:firstLine="0" w:firstLineChars="0"/>
        <w:rPr>
          <w:color w:val="000000"/>
          <w:highlight w:val="none"/>
        </w:rPr>
      </w:pPr>
      <w:r>
        <w:rPr>
          <w:rFonts w:hint="eastAsia"/>
          <w:color w:val="000000"/>
          <w:highlight w:val="none"/>
        </w:rPr>
        <w:t>《工程结构通用规范》</w:t>
      </w:r>
      <w:r>
        <w:rPr>
          <w:color w:val="000000"/>
          <w:highlight w:val="none"/>
        </w:rPr>
        <w:t xml:space="preserve">           GB55001-2021</w:t>
      </w:r>
    </w:p>
    <w:p w14:paraId="34092E76">
      <w:pPr>
        <w:pStyle w:val="6"/>
        <w:ind w:left="984" w:firstLine="0" w:firstLineChars="0"/>
        <w:rPr>
          <w:color w:val="000000"/>
          <w:highlight w:val="none"/>
        </w:rPr>
      </w:pPr>
      <w:r>
        <w:rPr>
          <w:rFonts w:hint="eastAsia"/>
          <w:color w:val="000000"/>
          <w:highlight w:val="none"/>
        </w:rPr>
        <w:t>《建筑与市政工程抗震通用规范》</w:t>
      </w:r>
      <w:r>
        <w:rPr>
          <w:color w:val="000000"/>
          <w:highlight w:val="none"/>
        </w:rPr>
        <w:t xml:space="preserve"> GB55002-2021</w:t>
      </w:r>
    </w:p>
    <w:p w14:paraId="6B518576">
      <w:pPr>
        <w:pStyle w:val="6"/>
        <w:ind w:left="984" w:firstLine="0" w:firstLineChars="0"/>
        <w:rPr>
          <w:color w:val="000000"/>
          <w:highlight w:val="none"/>
        </w:rPr>
      </w:pPr>
      <w:r>
        <w:rPr>
          <w:rFonts w:hint="eastAsia"/>
          <w:color w:val="000000"/>
          <w:highlight w:val="none"/>
        </w:rPr>
        <w:t>《建筑与市政地基基础通用规范》</w:t>
      </w:r>
      <w:r>
        <w:rPr>
          <w:color w:val="000000"/>
          <w:highlight w:val="none"/>
        </w:rPr>
        <w:t xml:space="preserve">   GB55003-2021</w:t>
      </w:r>
    </w:p>
    <w:p w14:paraId="4AD7CEA4">
      <w:pPr>
        <w:pStyle w:val="6"/>
        <w:ind w:left="984" w:firstLine="0" w:firstLineChars="0"/>
        <w:rPr>
          <w:color w:val="000000"/>
          <w:highlight w:val="none"/>
        </w:rPr>
      </w:pPr>
      <w:r>
        <w:rPr>
          <w:rFonts w:hint="eastAsia"/>
          <w:color w:val="000000"/>
          <w:highlight w:val="none"/>
        </w:rPr>
        <w:t>《砌体结构通用规范》</w:t>
      </w:r>
      <w:r>
        <w:rPr>
          <w:color w:val="000000"/>
          <w:highlight w:val="none"/>
        </w:rPr>
        <w:t xml:space="preserve">           GB55007-2021</w:t>
      </w:r>
    </w:p>
    <w:p w14:paraId="07CC697B">
      <w:pPr>
        <w:pStyle w:val="6"/>
        <w:ind w:left="984" w:firstLine="0" w:firstLineChars="0"/>
        <w:rPr>
          <w:color w:val="000000"/>
          <w:highlight w:val="none"/>
        </w:rPr>
      </w:pPr>
      <w:r>
        <w:rPr>
          <w:rFonts w:hint="eastAsia"/>
          <w:color w:val="000000"/>
          <w:highlight w:val="none"/>
        </w:rPr>
        <w:t>《混凝土结构通用规范》</w:t>
      </w:r>
      <w:r>
        <w:rPr>
          <w:color w:val="000000"/>
          <w:highlight w:val="none"/>
        </w:rPr>
        <w:t xml:space="preserve">         GB55008-2021</w:t>
      </w:r>
    </w:p>
    <w:p w14:paraId="449ABA3F">
      <w:pPr>
        <w:pStyle w:val="6"/>
        <w:ind w:left="984" w:firstLine="0" w:firstLineChars="0"/>
        <w:rPr>
          <w:color w:val="000000"/>
          <w:highlight w:val="none"/>
        </w:rPr>
      </w:pPr>
      <w:r>
        <w:rPr>
          <w:rFonts w:hint="eastAsia"/>
          <w:color w:val="000000"/>
          <w:highlight w:val="none"/>
        </w:rPr>
        <w:t>《工程勘察通用规范》</w:t>
      </w:r>
      <w:r>
        <w:rPr>
          <w:color w:val="000000"/>
          <w:highlight w:val="none"/>
        </w:rPr>
        <w:t xml:space="preserve">             GB55017-2021</w:t>
      </w:r>
    </w:p>
    <w:p w14:paraId="5DE6520E">
      <w:pPr>
        <w:pStyle w:val="6"/>
        <w:ind w:left="984" w:firstLine="0" w:firstLineChars="0"/>
        <w:rPr>
          <w:color w:val="000000"/>
          <w:highlight w:val="none"/>
        </w:rPr>
      </w:pPr>
      <w:r>
        <w:rPr>
          <w:rFonts w:hint="eastAsia"/>
          <w:color w:val="000000"/>
          <w:highlight w:val="none"/>
        </w:rPr>
        <w:t>《工程测量通用规范》</w:t>
      </w:r>
      <w:r>
        <w:rPr>
          <w:color w:val="000000"/>
          <w:highlight w:val="none"/>
        </w:rPr>
        <w:t xml:space="preserve">           GB55018-2021</w:t>
      </w:r>
    </w:p>
    <w:p w14:paraId="399FF709">
      <w:pPr>
        <w:pStyle w:val="6"/>
        <w:ind w:left="984" w:firstLine="0" w:firstLineChars="0"/>
        <w:rPr>
          <w:color w:val="000000"/>
          <w:highlight w:val="none"/>
        </w:rPr>
      </w:pPr>
      <w:r>
        <w:rPr>
          <w:rFonts w:hint="eastAsia"/>
          <w:color w:val="000000"/>
          <w:highlight w:val="none"/>
        </w:rPr>
        <w:t>《建筑与市政工程防水通用规范》</w:t>
      </w:r>
      <w:r>
        <w:rPr>
          <w:color w:val="000000"/>
          <w:highlight w:val="none"/>
        </w:rPr>
        <w:t xml:space="preserve"> GB55030-2022</w:t>
      </w:r>
    </w:p>
    <w:p w14:paraId="630ECD06">
      <w:pPr>
        <w:pStyle w:val="6"/>
        <w:ind w:left="984" w:firstLine="0" w:firstLineChars="0"/>
        <w:rPr>
          <w:color w:val="000000"/>
          <w:highlight w:val="none"/>
        </w:rPr>
      </w:pPr>
      <w:r>
        <w:rPr>
          <w:rFonts w:hint="eastAsia"/>
          <w:color w:val="000000"/>
          <w:highlight w:val="none"/>
        </w:rPr>
        <w:t>《建筑结构可靠性设计统一标准》</w:t>
      </w:r>
      <w:r>
        <w:rPr>
          <w:color w:val="000000"/>
          <w:highlight w:val="none"/>
        </w:rPr>
        <w:t xml:space="preserve"> GB50068-2018</w:t>
      </w:r>
    </w:p>
    <w:p w14:paraId="44988237">
      <w:pPr>
        <w:pStyle w:val="6"/>
        <w:ind w:left="984" w:firstLine="0" w:firstLineChars="0"/>
        <w:rPr>
          <w:color w:val="000000"/>
          <w:highlight w:val="none"/>
        </w:rPr>
      </w:pPr>
      <w:r>
        <w:rPr>
          <w:rFonts w:hint="eastAsia"/>
          <w:color w:val="000000"/>
          <w:highlight w:val="none"/>
        </w:rPr>
        <w:t>《建筑工程抗震设防分类标准》</w:t>
      </w:r>
      <w:r>
        <w:rPr>
          <w:color w:val="000000"/>
          <w:highlight w:val="none"/>
        </w:rPr>
        <w:t xml:space="preserve">     GB50223-2008</w:t>
      </w:r>
    </w:p>
    <w:p w14:paraId="75C2276A">
      <w:pPr>
        <w:pStyle w:val="6"/>
        <w:ind w:left="984" w:firstLine="0" w:firstLineChars="0"/>
        <w:rPr>
          <w:color w:val="000000"/>
          <w:highlight w:val="none"/>
        </w:rPr>
      </w:pPr>
      <w:r>
        <w:rPr>
          <w:rFonts w:hint="eastAsia"/>
          <w:color w:val="000000"/>
          <w:highlight w:val="none"/>
        </w:rPr>
        <w:t>《建筑结构荷载规范》</w:t>
      </w:r>
      <w:r>
        <w:rPr>
          <w:color w:val="000000"/>
          <w:highlight w:val="none"/>
        </w:rPr>
        <w:t xml:space="preserve">           GB50009-2012</w:t>
      </w:r>
    </w:p>
    <w:p w14:paraId="4993168F">
      <w:pPr>
        <w:pStyle w:val="6"/>
        <w:ind w:left="984" w:firstLine="0" w:firstLineChars="0"/>
        <w:rPr>
          <w:color w:val="000000"/>
          <w:highlight w:val="none"/>
        </w:rPr>
      </w:pPr>
      <w:r>
        <w:rPr>
          <w:rFonts w:hint="eastAsia"/>
          <w:color w:val="000000"/>
          <w:highlight w:val="none"/>
        </w:rPr>
        <w:t>《建筑抗震设计规范》</w:t>
      </w:r>
      <w:r>
        <w:rPr>
          <w:color w:val="000000"/>
          <w:highlight w:val="none"/>
        </w:rPr>
        <w:t xml:space="preserve">  GB50011-2010(2016版)</w:t>
      </w:r>
    </w:p>
    <w:p w14:paraId="48134626">
      <w:pPr>
        <w:pStyle w:val="6"/>
        <w:ind w:left="984" w:firstLine="0" w:firstLineChars="0"/>
        <w:rPr>
          <w:color w:val="000000"/>
          <w:highlight w:val="none"/>
        </w:rPr>
      </w:pPr>
      <w:r>
        <w:rPr>
          <w:rFonts w:hint="eastAsia"/>
          <w:color w:val="000000"/>
          <w:highlight w:val="none"/>
        </w:rPr>
        <w:t>《高层建筑混凝土结构技术规程》</w:t>
      </w:r>
      <w:r>
        <w:rPr>
          <w:color w:val="000000"/>
          <w:highlight w:val="none"/>
        </w:rPr>
        <w:t xml:space="preserve">      JGJ3-2010</w:t>
      </w:r>
    </w:p>
    <w:p w14:paraId="560AAC51">
      <w:pPr>
        <w:pStyle w:val="6"/>
        <w:ind w:left="984" w:firstLine="0" w:firstLineChars="0"/>
        <w:rPr>
          <w:color w:val="000000"/>
          <w:highlight w:val="none"/>
        </w:rPr>
      </w:pPr>
      <w:r>
        <w:rPr>
          <w:rFonts w:hint="eastAsia"/>
          <w:color w:val="000000"/>
          <w:highlight w:val="none"/>
        </w:rPr>
        <w:t>《混凝土结构设计规范》</w:t>
      </w:r>
      <w:r>
        <w:rPr>
          <w:color w:val="000000"/>
          <w:highlight w:val="none"/>
        </w:rPr>
        <w:t>GB50010-2010(2015版)</w:t>
      </w:r>
    </w:p>
    <w:p w14:paraId="3E48ACF4">
      <w:pPr>
        <w:pStyle w:val="6"/>
        <w:ind w:left="984" w:firstLine="0" w:firstLineChars="0"/>
        <w:rPr>
          <w:color w:val="000000"/>
          <w:highlight w:val="none"/>
        </w:rPr>
      </w:pPr>
      <w:r>
        <w:rPr>
          <w:rFonts w:hint="eastAsia"/>
          <w:color w:val="000000"/>
          <w:highlight w:val="none"/>
        </w:rPr>
        <w:t>《砌体结构设计规范》</w:t>
      </w:r>
      <w:r>
        <w:rPr>
          <w:color w:val="000000"/>
          <w:highlight w:val="none"/>
        </w:rPr>
        <w:t xml:space="preserve">           GB50003-2011</w:t>
      </w:r>
    </w:p>
    <w:p w14:paraId="71D02414">
      <w:pPr>
        <w:pStyle w:val="6"/>
        <w:ind w:left="984" w:firstLine="0" w:firstLineChars="0"/>
        <w:rPr>
          <w:color w:val="000000"/>
          <w:highlight w:val="none"/>
        </w:rPr>
      </w:pPr>
      <w:r>
        <w:rPr>
          <w:rFonts w:hint="eastAsia"/>
          <w:color w:val="000000"/>
          <w:highlight w:val="none"/>
        </w:rPr>
        <w:t>《建筑地基基础设计规范》</w:t>
      </w:r>
      <w:r>
        <w:rPr>
          <w:color w:val="000000"/>
          <w:highlight w:val="none"/>
        </w:rPr>
        <w:t xml:space="preserve">       GB50007-2011</w:t>
      </w:r>
    </w:p>
    <w:p w14:paraId="2500FDAA">
      <w:pPr>
        <w:pStyle w:val="6"/>
        <w:ind w:left="984" w:firstLine="0" w:firstLineChars="0"/>
        <w:rPr>
          <w:color w:val="000000"/>
          <w:highlight w:val="none"/>
        </w:rPr>
      </w:pPr>
      <w:r>
        <w:rPr>
          <w:rFonts w:hint="eastAsia"/>
          <w:color w:val="000000"/>
          <w:highlight w:val="none"/>
        </w:rPr>
        <w:t>《建筑桩基技术规范》</w:t>
      </w:r>
      <w:r>
        <w:rPr>
          <w:color w:val="000000"/>
          <w:highlight w:val="none"/>
        </w:rPr>
        <w:t xml:space="preserve">               JGJ94-2008</w:t>
      </w:r>
    </w:p>
    <w:p w14:paraId="1F8AC630">
      <w:pPr>
        <w:pStyle w:val="6"/>
        <w:ind w:left="984" w:firstLine="0" w:firstLineChars="0"/>
        <w:rPr>
          <w:color w:val="000000"/>
          <w:highlight w:val="none"/>
        </w:rPr>
      </w:pPr>
      <w:r>
        <w:rPr>
          <w:rFonts w:hint="eastAsia"/>
          <w:color w:val="000000"/>
          <w:highlight w:val="none"/>
        </w:rPr>
        <w:t>《建筑地基处理技术规范》</w:t>
      </w:r>
      <w:r>
        <w:rPr>
          <w:color w:val="000000"/>
          <w:highlight w:val="none"/>
        </w:rPr>
        <w:t xml:space="preserve">             JGJ79-2012</w:t>
      </w:r>
    </w:p>
    <w:p w14:paraId="191B1941">
      <w:pPr>
        <w:pStyle w:val="6"/>
        <w:ind w:left="984" w:firstLine="0" w:firstLineChars="0"/>
        <w:rPr>
          <w:color w:val="000000"/>
          <w:highlight w:val="none"/>
        </w:rPr>
      </w:pPr>
      <w:r>
        <w:rPr>
          <w:rFonts w:hint="eastAsia"/>
          <w:color w:val="000000"/>
          <w:highlight w:val="none"/>
        </w:rPr>
        <w:t>《地下工程防水技术规范》</w:t>
      </w:r>
      <w:r>
        <w:rPr>
          <w:color w:val="000000"/>
          <w:highlight w:val="none"/>
        </w:rPr>
        <w:t xml:space="preserve">       GB50108-2008</w:t>
      </w:r>
    </w:p>
    <w:p w14:paraId="2447C1A0">
      <w:pPr>
        <w:pStyle w:val="6"/>
        <w:ind w:left="984" w:firstLine="0" w:firstLineChars="0"/>
        <w:rPr>
          <w:color w:val="000000"/>
          <w:highlight w:val="none"/>
        </w:rPr>
      </w:pPr>
      <w:r>
        <w:rPr>
          <w:rFonts w:hint="eastAsia"/>
          <w:color w:val="000000"/>
          <w:highlight w:val="none"/>
        </w:rPr>
        <w:t>《建筑工程抗浮技术标准》</w:t>
      </w:r>
      <w:r>
        <w:rPr>
          <w:color w:val="000000"/>
          <w:highlight w:val="none"/>
        </w:rPr>
        <w:t xml:space="preserve">         JGJ476-2019</w:t>
      </w:r>
    </w:p>
    <w:p w14:paraId="2E0C4B88">
      <w:pPr>
        <w:pStyle w:val="6"/>
        <w:ind w:left="984" w:firstLine="0" w:firstLineChars="0"/>
        <w:rPr>
          <w:color w:val="000000"/>
          <w:highlight w:val="none"/>
        </w:rPr>
      </w:pPr>
      <w:r>
        <w:rPr>
          <w:rFonts w:hint="eastAsia"/>
          <w:color w:val="000000"/>
          <w:highlight w:val="none"/>
        </w:rPr>
        <w:t>《混凝土结构耐久性设计标准》</w:t>
      </w:r>
      <w:r>
        <w:rPr>
          <w:color w:val="000000"/>
          <w:highlight w:val="none"/>
        </w:rPr>
        <w:t>GB/T50476-2019</w:t>
      </w:r>
    </w:p>
    <w:p w14:paraId="137FA90E">
      <w:pPr>
        <w:pStyle w:val="6"/>
        <w:ind w:left="984" w:firstLine="0" w:firstLineChars="0"/>
        <w:rPr>
          <w:color w:val="000000"/>
          <w:highlight w:val="none"/>
        </w:rPr>
      </w:pPr>
      <w:r>
        <w:rPr>
          <w:rFonts w:hint="eastAsia"/>
          <w:color w:val="000000"/>
          <w:highlight w:val="none"/>
        </w:rPr>
        <w:t>《建筑变形测量规范》</w:t>
      </w:r>
      <w:r>
        <w:rPr>
          <w:color w:val="000000"/>
          <w:highlight w:val="none"/>
        </w:rPr>
        <w:t xml:space="preserve">                JGJ8-2016</w:t>
      </w:r>
    </w:p>
    <w:p w14:paraId="4734C7B6">
      <w:pPr>
        <w:pStyle w:val="6"/>
        <w:ind w:left="984" w:firstLine="0" w:firstLineChars="0"/>
        <w:rPr>
          <w:color w:val="000000"/>
          <w:highlight w:val="none"/>
        </w:rPr>
      </w:pPr>
      <w:r>
        <w:rPr>
          <w:rFonts w:hint="eastAsia"/>
          <w:color w:val="000000"/>
          <w:highlight w:val="none"/>
        </w:rPr>
        <w:t>《建筑结构荷载规范》</w:t>
      </w:r>
      <w:r>
        <w:rPr>
          <w:color w:val="000000"/>
          <w:highlight w:val="none"/>
        </w:rPr>
        <w:t xml:space="preserve">        DBJ15-101-2014</w:t>
      </w:r>
    </w:p>
    <w:p w14:paraId="24F4B6AA">
      <w:pPr>
        <w:pStyle w:val="6"/>
        <w:ind w:left="984" w:firstLine="0" w:firstLineChars="0"/>
        <w:rPr>
          <w:color w:val="000000"/>
          <w:highlight w:val="none"/>
        </w:rPr>
      </w:pPr>
      <w:r>
        <w:rPr>
          <w:rFonts w:hint="eastAsia"/>
          <w:color w:val="000000"/>
          <w:highlight w:val="none"/>
        </w:rPr>
        <w:t>《高层建筑混凝土结构技术规程》</w:t>
      </w:r>
      <w:r>
        <w:rPr>
          <w:color w:val="000000"/>
          <w:highlight w:val="none"/>
        </w:rPr>
        <w:t>DBJ15-92-2021</w:t>
      </w:r>
    </w:p>
    <w:p w14:paraId="57463A4F">
      <w:pPr>
        <w:pStyle w:val="6"/>
        <w:ind w:left="984" w:firstLine="0" w:firstLineChars="0"/>
        <w:rPr>
          <w:color w:val="000000"/>
          <w:highlight w:val="none"/>
        </w:rPr>
      </w:pPr>
      <w:r>
        <w:rPr>
          <w:rFonts w:hint="eastAsia"/>
          <w:color w:val="000000"/>
          <w:highlight w:val="none"/>
        </w:rPr>
        <w:t>《建筑地基基础设计规范》</w:t>
      </w:r>
      <w:r>
        <w:rPr>
          <w:color w:val="000000"/>
          <w:highlight w:val="none"/>
        </w:rPr>
        <w:t xml:space="preserve">     DBJ15-31-2016</w:t>
      </w:r>
    </w:p>
    <w:p w14:paraId="209AFDAB">
      <w:pPr>
        <w:pStyle w:val="6"/>
        <w:numPr>
          <w:ilvl w:val="0"/>
          <w:numId w:val="5"/>
        </w:numPr>
        <w:ind w:firstLineChars="0"/>
        <w:rPr>
          <w:color w:val="000000"/>
          <w:highlight w:val="none"/>
        </w:rPr>
      </w:pPr>
      <w:r>
        <w:rPr>
          <w:rFonts w:hint="eastAsia"/>
          <w:color w:val="000000"/>
          <w:highlight w:val="none"/>
        </w:rPr>
        <w:t>给排水专业：</w:t>
      </w:r>
    </w:p>
    <w:p w14:paraId="370AF01C">
      <w:pPr>
        <w:pStyle w:val="6"/>
        <w:ind w:left="984" w:firstLine="0" w:firstLineChars="0"/>
        <w:rPr>
          <w:color w:val="000000"/>
          <w:highlight w:val="none"/>
        </w:rPr>
      </w:pPr>
      <w:r>
        <w:rPr>
          <w:color w:val="000000"/>
          <w:highlight w:val="none"/>
        </w:rPr>
        <w:t>《城镇给水排水技术规范》(GB50788-2012）</w:t>
      </w:r>
    </w:p>
    <w:p w14:paraId="738EDD83">
      <w:pPr>
        <w:pStyle w:val="6"/>
        <w:ind w:left="984" w:firstLine="0" w:firstLineChars="0"/>
        <w:rPr>
          <w:color w:val="000000"/>
          <w:highlight w:val="none"/>
        </w:rPr>
      </w:pPr>
      <w:r>
        <w:rPr>
          <w:color w:val="000000"/>
          <w:highlight w:val="none"/>
        </w:rPr>
        <w:t>《建筑给水排水设计标准》(GB 50015-2019)</w:t>
      </w:r>
    </w:p>
    <w:p w14:paraId="23108C4C">
      <w:pPr>
        <w:pStyle w:val="6"/>
        <w:ind w:left="984" w:firstLine="0" w:firstLineChars="0"/>
        <w:rPr>
          <w:color w:val="000000"/>
          <w:highlight w:val="none"/>
        </w:rPr>
      </w:pPr>
      <w:r>
        <w:rPr>
          <w:color w:val="000000"/>
          <w:highlight w:val="none"/>
        </w:rPr>
        <w:t>《住宅建筑规范》(GB 50368-2005)</w:t>
      </w:r>
    </w:p>
    <w:p w14:paraId="79B25095">
      <w:pPr>
        <w:pStyle w:val="6"/>
        <w:ind w:left="984" w:firstLine="0" w:firstLineChars="0"/>
        <w:rPr>
          <w:color w:val="000000"/>
          <w:highlight w:val="none"/>
        </w:rPr>
      </w:pPr>
      <w:r>
        <w:rPr>
          <w:color w:val="000000"/>
          <w:highlight w:val="none"/>
        </w:rPr>
        <w:t>《室外给水设计标准》(GB50013-2018)</w:t>
      </w:r>
    </w:p>
    <w:p w14:paraId="77A1DED6">
      <w:pPr>
        <w:pStyle w:val="6"/>
        <w:ind w:left="984" w:firstLine="0" w:firstLineChars="0"/>
        <w:rPr>
          <w:color w:val="000000"/>
          <w:highlight w:val="none"/>
        </w:rPr>
      </w:pPr>
      <w:r>
        <w:rPr>
          <w:color w:val="000000"/>
          <w:highlight w:val="none"/>
        </w:rPr>
        <w:t>《室外排水设计标准》 (GB50014-2021)</w:t>
      </w:r>
    </w:p>
    <w:p w14:paraId="0ED78A55">
      <w:pPr>
        <w:pStyle w:val="6"/>
        <w:ind w:left="984" w:firstLine="0" w:firstLineChars="0"/>
        <w:rPr>
          <w:color w:val="000000"/>
          <w:highlight w:val="none"/>
        </w:rPr>
      </w:pPr>
      <w:r>
        <w:rPr>
          <w:color w:val="000000"/>
          <w:highlight w:val="none"/>
        </w:rPr>
        <w:t>《人民防空地下室设计规范》 (GB50038-2005)</w:t>
      </w:r>
    </w:p>
    <w:p w14:paraId="59207877">
      <w:pPr>
        <w:pStyle w:val="6"/>
        <w:ind w:left="984" w:firstLine="0" w:firstLineChars="0"/>
        <w:rPr>
          <w:color w:val="000000"/>
          <w:highlight w:val="none"/>
        </w:rPr>
      </w:pPr>
      <w:r>
        <w:rPr>
          <w:color w:val="000000"/>
          <w:highlight w:val="none"/>
        </w:rPr>
        <w:t>《二次供水工程技术规程》（CJJ140-2010）</w:t>
      </w:r>
    </w:p>
    <w:p w14:paraId="68240FCE">
      <w:pPr>
        <w:pStyle w:val="6"/>
        <w:ind w:left="984" w:firstLine="0" w:firstLineChars="0"/>
        <w:rPr>
          <w:color w:val="000000"/>
          <w:highlight w:val="none"/>
        </w:rPr>
      </w:pPr>
      <w:r>
        <w:rPr>
          <w:color w:val="000000"/>
          <w:highlight w:val="none"/>
        </w:rPr>
        <w:t>《二次供水设施卫生规范》(GB17051-1997）</w:t>
      </w:r>
    </w:p>
    <w:p w14:paraId="7D50A3B6">
      <w:pPr>
        <w:pStyle w:val="6"/>
        <w:ind w:left="984" w:firstLine="0" w:firstLineChars="0"/>
        <w:rPr>
          <w:color w:val="000000"/>
          <w:highlight w:val="none"/>
        </w:rPr>
      </w:pPr>
      <w:r>
        <w:rPr>
          <w:color w:val="000000"/>
          <w:highlight w:val="none"/>
        </w:rPr>
        <w:t>《民用建筑节水设计标准》(GB50555-2010)</w:t>
      </w:r>
    </w:p>
    <w:p w14:paraId="2D40EF30">
      <w:pPr>
        <w:pStyle w:val="6"/>
        <w:ind w:left="984" w:firstLine="0" w:firstLineChars="0"/>
        <w:rPr>
          <w:color w:val="000000"/>
          <w:highlight w:val="none"/>
        </w:rPr>
      </w:pPr>
      <w:r>
        <w:rPr>
          <w:color w:val="000000"/>
          <w:highlight w:val="none"/>
        </w:rPr>
        <w:t>《建筑屋面雨水排水系统技术规程》(CJJ142-2014)</w:t>
      </w:r>
    </w:p>
    <w:p w14:paraId="2697C9E9">
      <w:pPr>
        <w:pStyle w:val="6"/>
        <w:ind w:left="984" w:firstLine="0" w:firstLineChars="0"/>
        <w:rPr>
          <w:color w:val="000000"/>
          <w:highlight w:val="none"/>
        </w:rPr>
      </w:pPr>
      <w:r>
        <w:rPr>
          <w:color w:val="000000"/>
          <w:highlight w:val="none"/>
        </w:rPr>
        <w:t>《建筑抗震设计规范》GB50011-2010（2016年版）</w:t>
      </w:r>
    </w:p>
    <w:p w14:paraId="00893E1D">
      <w:pPr>
        <w:pStyle w:val="6"/>
        <w:ind w:left="984" w:firstLine="0" w:firstLineChars="0"/>
        <w:rPr>
          <w:color w:val="000000"/>
          <w:highlight w:val="none"/>
        </w:rPr>
      </w:pPr>
      <w:r>
        <w:rPr>
          <w:color w:val="000000"/>
          <w:highlight w:val="none"/>
        </w:rPr>
        <w:t>《建筑机电工程抗震设计规范》(GB50981-2014)</w:t>
      </w:r>
    </w:p>
    <w:p w14:paraId="3ADC8125">
      <w:pPr>
        <w:pStyle w:val="6"/>
        <w:ind w:left="984" w:firstLine="0" w:firstLineChars="0"/>
        <w:rPr>
          <w:color w:val="000000"/>
          <w:highlight w:val="none"/>
        </w:rPr>
      </w:pPr>
      <w:r>
        <w:rPr>
          <w:color w:val="000000"/>
          <w:highlight w:val="none"/>
        </w:rPr>
        <w:t>《民用建筑设计统一标准》（GB50352-2019)</w:t>
      </w:r>
    </w:p>
    <w:p w14:paraId="54FDFA01">
      <w:pPr>
        <w:pStyle w:val="6"/>
        <w:ind w:left="984" w:firstLine="0" w:firstLineChars="0"/>
        <w:rPr>
          <w:color w:val="000000"/>
          <w:highlight w:val="none"/>
        </w:rPr>
      </w:pPr>
      <w:r>
        <w:rPr>
          <w:color w:val="000000"/>
          <w:highlight w:val="none"/>
        </w:rPr>
        <w:t>《风机、压缩机、泵安装工程施工及验收规范》GB50275-2010</w:t>
      </w:r>
    </w:p>
    <w:p w14:paraId="404A0ED6">
      <w:pPr>
        <w:pStyle w:val="6"/>
        <w:ind w:left="984" w:firstLine="0" w:firstLineChars="0"/>
        <w:rPr>
          <w:color w:val="000000"/>
          <w:highlight w:val="none"/>
        </w:rPr>
      </w:pPr>
      <w:r>
        <w:rPr>
          <w:color w:val="000000"/>
          <w:highlight w:val="none"/>
        </w:rPr>
        <w:t>《建筑给水排水及采暖工程施工质量验收规范》(GB50242-2002)</w:t>
      </w:r>
    </w:p>
    <w:p w14:paraId="4A0D96BD">
      <w:pPr>
        <w:pStyle w:val="6"/>
        <w:ind w:left="984" w:firstLine="0" w:firstLineChars="0"/>
        <w:rPr>
          <w:color w:val="000000"/>
          <w:highlight w:val="none"/>
        </w:rPr>
      </w:pPr>
      <w:r>
        <w:rPr>
          <w:color w:val="000000"/>
          <w:highlight w:val="none"/>
        </w:rPr>
        <w:t>《建筑给水排水及节水通用规范》(GB55020-2021)</w:t>
      </w:r>
    </w:p>
    <w:p w14:paraId="3A351E11">
      <w:pPr>
        <w:pStyle w:val="6"/>
        <w:ind w:left="984" w:firstLine="0" w:firstLineChars="0"/>
        <w:rPr>
          <w:color w:val="000000"/>
          <w:highlight w:val="none"/>
        </w:rPr>
      </w:pPr>
      <w:r>
        <w:rPr>
          <w:color w:val="000000"/>
          <w:highlight w:val="none"/>
        </w:rPr>
        <w:t>《建筑节能与可再生能源利用通用规范 》(GB55015-2021 )</w:t>
      </w:r>
    </w:p>
    <w:p w14:paraId="7FD328F6">
      <w:pPr>
        <w:pStyle w:val="6"/>
        <w:ind w:left="984" w:firstLine="0" w:firstLineChars="0"/>
        <w:rPr>
          <w:color w:val="000000"/>
          <w:highlight w:val="none"/>
        </w:rPr>
      </w:pPr>
      <w:r>
        <w:rPr>
          <w:color w:val="000000"/>
          <w:highlight w:val="none"/>
        </w:rPr>
        <w:t>《建筑与市政工程无障碍通用规范》(GB55019-2021 )</w:t>
      </w:r>
    </w:p>
    <w:p w14:paraId="254CF792">
      <w:pPr>
        <w:pStyle w:val="6"/>
        <w:ind w:left="984" w:firstLine="0" w:firstLineChars="0"/>
        <w:rPr>
          <w:color w:val="000000"/>
          <w:highlight w:val="none"/>
        </w:rPr>
      </w:pPr>
      <w:r>
        <w:rPr>
          <w:color w:val="000000"/>
          <w:highlight w:val="none"/>
        </w:rPr>
        <w:t>《建筑给水排水制图标准》(GB/T50106-2010)</w:t>
      </w:r>
    </w:p>
    <w:p w14:paraId="6F6987FC">
      <w:pPr>
        <w:pStyle w:val="6"/>
        <w:ind w:left="984" w:firstLine="0" w:firstLineChars="0"/>
        <w:rPr>
          <w:color w:val="000000"/>
          <w:highlight w:val="none"/>
        </w:rPr>
      </w:pPr>
      <w:r>
        <w:rPr>
          <w:color w:val="000000"/>
          <w:highlight w:val="none"/>
        </w:rPr>
        <w:t>《生活饮用水卫生标准》》(GB5749-2006)</w:t>
      </w:r>
    </w:p>
    <w:p w14:paraId="7444F9DC">
      <w:pPr>
        <w:pStyle w:val="6"/>
        <w:numPr>
          <w:ilvl w:val="0"/>
          <w:numId w:val="5"/>
        </w:numPr>
        <w:ind w:firstLineChars="0"/>
        <w:rPr>
          <w:color w:val="000000"/>
          <w:highlight w:val="none"/>
        </w:rPr>
      </w:pPr>
      <w:r>
        <w:rPr>
          <w:rFonts w:hint="eastAsia"/>
          <w:color w:val="000000"/>
          <w:highlight w:val="none"/>
        </w:rPr>
        <w:t>电气专业：</w:t>
      </w:r>
    </w:p>
    <w:p w14:paraId="415FC7AC">
      <w:pPr>
        <w:pStyle w:val="6"/>
        <w:ind w:left="984" w:firstLine="0" w:firstLineChars="0"/>
        <w:rPr>
          <w:color w:val="000000"/>
          <w:highlight w:val="none"/>
        </w:rPr>
      </w:pPr>
      <w:r>
        <w:rPr>
          <w:color w:val="000000"/>
          <w:highlight w:val="none"/>
        </w:rPr>
        <w:t>《民用建筑电气设计标准》GB 51348-2019；</w:t>
      </w:r>
    </w:p>
    <w:p w14:paraId="761AD3D7">
      <w:pPr>
        <w:pStyle w:val="6"/>
        <w:ind w:left="984" w:firstLine="0" w:firstLineChars="0"/>
        <w:rPr>
          <w:color w:val="000000"/>
          <w:highlight w:val="none"/>
        </w:rPr>
      </w:pPr>
      <w:r>
        <w:rPr>
          <w:color w:val="000000"/>
          <w:highlight w:val="none"/>
        </w:rPr>
        <w:t>《消防应急照明和疏散指示系统技术标准》GB 51309-2018；</w:t>
      </w:r>
    </w:p>
    <w:p w14:paraId="5262A478">
      <w:pPr>
        <w:pStyle w:val="6"/>
        <w:ind w:left="984" w:firstLine="0" w:firstLineChars="0"/>
        <w:rPr>
          <w:color w:val="000000"/>
          <w:highlight w:val="none"/>
        </w:rPr>
      </w:pPr>
      <w:r>
        <w:rPr>
          <w:color w:val="000000"/>
          <w:highlight w:val="none"/>
        </w:rPr>
        <w:t>《建筑设计防火规范》GB 50016-2014（2018年版）；</w:t>
      </w:r>
    </w:p>
    <w:p w14:paraId="29F80090">
      <w:pPr>
        <w:pStyle w:val="6"/>
        <w:ind w:left="984" w:firstLine="0" w:firstLineChars="0"/>
        <w:rPr>
          <w:color w:val="000000"/>
          <w:highlight w:val="none"/>
        </w:rPr>
      </w:pPr>
      <w:r>
        <w:rPr>
          <w:color w:val="000000"/>
          <w:highlight w:val="none"/>
        </w:rPr>
        <w:t>《火灾自动报警系统设计规范》GB 50116-2013；</w:t>
      </w:r>
    </w:p>
    <w:p w14:paraId="30D397C7">
      <w:pPr>
        <w:pStyle w:val="6"/>
        <w:ind w:left="984" w:firstLine="0" w:firstLineChars="0"/>
        <w:rPr>
          <w:color w:val="000000"/>
          <w:highlight w:val="none"/>
        </w:rPr>
      </w:pPr>
      <w:r>
        <w:rPr>
          <w:color w:val="000000"/>
          <w:highlight w:val="none"/>
        </w:rPr>
        <w:t>（5）《火灾自动报警系统施工及验收标准》GB 50166-2019；</w:t>
      </w:r>
    </w:p>
    <w:p w14:paraId="4B4498EF">
      <w:pPr>
        <w:pStyle w:val="6"/>
        <w:ind w:left="984" w:firstLine="0" w:firstLineChars="0"/>
        <w:rPr>
          <w:color w:val="000000"/>
          <w:highlight w:val="none"/>
        </w:rPr>
      </w:pPr>
      <w:r>
        <w:rPr>
          <w:color w:val="000000"/>
          <w:highlight w:val="none"/>
        </w:rPr>
        <w:t>（6）《建筑电气与智能化通用规范》GB 55024-2022；</w:t>
      </w:r>
    </w:p>
    <w:p w14:paraId="32C262CB">
      <w:pPr>
        <w:pStyle w:val="6"/>
        <w:ind w:left="984" w:firstLine="0" w:firstLineChars="0"/>
        <w:rPr>
          <w:color w:val="000000"/>
          <w:highlight w:val="none"/>
        </w:rPr>
      </w:pPr>
      <w:r>
        <w:rPr>
          <w:color w:val="000000"/>
          <w:highlight w:val="none"/>
        </w:rPr>
        <w:t>《气体灭火系统设计规范》GB 50370-2005；</w:t>
      </w:r>
    </w:p>
    <w:p w14:paraId="326CA687">
      <w:pPr>
        <w:pStyle w:val="6"/>
        <w:ind w:left="984" w:firstLine="0" w:firstLineChars="0"/>
        <w:rPr>
          <w:color w:val="000000"/>
          <w:highlight w:val="none"/>
        </w:rPr>
      </w:pPr>
      <w:r>
        <w:rPr>
          <w:color w:val="000000"/>
          <w:highlight w:val="none"/>
        </w:rPr>
        <w:t>《消防给水及消火栓系统技术规范》GB 50974-2014；</w:t>
      </w:r>
    </w:p>
    <w:p w14:paraId="3E2D8D91">
      <w:pPr>
        <w:pStyle w:val="6"/>
        <w:ind w:left="984" w:firstLine="0" w:firstLineChars="0"/>
        <w:rPr>
          <w:color w:val="000000"/>
          <w:highlight w:val="none"/>
        </w:rPr>
      </w:pPr>
      <w:r>
        <w:rPr>
          <w:color w:val="000000"/>
          <w:highlight w:val="none"/>
        </w:rPr>
        <w:t>《自动喷水灭火系统设计规范》GB 50084-2017；</w:t>
      </w:r>
    </w:p>
    <w:p w14:paraId="26AF5051">
      <w:pPr>
        <w:pStyle w:val="6"/>
        <w:ind w:left="984" w:firstLine="0" w:firstLineChars="0"/>
        <w:rPr>
          <w:color w:val="000000"/>
          <w:highlight w:val="none"/>
        </w:rPr>
      </w:pPr>
      <w:r>
        <w:rPr>
          <w:color w:val="000000"/>
          <w:highlight w:val="none"/>
        </w:rPr>
        <w:t>《建筑防烟排烟系统技术标准》GB 51251-2017；</w:t>
      </w:r>
    </w:p>
    <w:p w14:paraId="2CC93B38">
      <w:pPr>
        <w:pStyle w:val="6"/>
        <w:ind w:left="984" w:firstLine="0" w:firstLineChars="0"/>
        <w:rPr>
          <w:color w:val="000000"/>
          <w:highlight w:val="none"/>
        </w:rPr>
      </w:pPr>
      <w:r>
        <w:rPr>
          <w:color w:val="000000"/>
          <w:highlight w:val="none"/>
        </w:rPr>
        <w:t>《建筑防火通用规范》GB 55037-2022；</w:t>
      </w:r>
    </w:p>
    <w:p w14:paraId="25092356">
      <w:pPr>
        <w:pStyle w:val="6"/>
        <w:ind w:left="984" w:firstLine="0" w:firstLineChars="0"/>
        <w:rPr>
          <w:color w:val="000000"/>
          <w:highlight w:val="none"/>
        </w:rPr>
      </w:pPr>
      <w:r>
        <w:rPr>
          <w:color w:val="000000"/>
          <w:highlight w:val="none"/>
        </w:rPr>
        <w:t>《消防设施通用规范》GB 55036-2022；</w:t>
      </w:r>
    </w:p>
    <w:p w14:paraId="077C80D2">
      <w:pPr>
        <w:pStyle w:val="6"/>
        <w:ind w:left="984" w:firstLine="0" w:firstLineChars="0"/>
        <w:rPr>
          <w:color w:val="000000"/>
          <w:highlight w:val="none"/>
        </w:rPr>
      </w:pPr>
      <w:r>
        <w:rPr>
          <w:rFonts w:hint="eastAsia"/>
          <w:color w:val="000000"/>
          <w:highlight w:val="none"/>
        </w:rPr>
        <w:t>《民用建筑电气设计规范》（</w:t>
      </w:r>
      <w:r>
        <w:rPr>
          <w:color w:val="000000"/>
          <w:highlight w:val="none"/>
        </w:rPr>
        <w:t>GB 51348-2019）</w:t>
      </w:r>
    </w:p>
    <w:p w14:paraId="27E1900C">
      <w:pPr>
        <w:pStyle w:val="6"/>
        <w:ind w:left="984" w:firstLine="0" w:firstLineChars="0"/>
        <w:rPr>
          <w:color w:val="000000"/>
          <w:highlight w:val="none"/>
        </w:rPr>
      </w:pPr>
      <w:r>
        <w:rPr>
          <w:rFonts w:hint="eastAsia"/>
          <w:color w:val="000000"/>
          <w:highlight w:val="none"/>
        </w:rPr>
        <w:t>《电子信息系统机房设计规范》（</w:t>
      </w:r>
      <w:r>
        <w:rPr>
          <w:color w:val="000000"/>
          <w:highlight w:val="none"/>
        </w:rPr>
        <w:t xml:space="preserve">GB50174-2008） </w:t>
      </w:r>
    </w:p>
    <w:p w14:paraId="6A3031E9">
      <w:pPr>
        <w:pStyle w:val="6"/>
        <w:ind w:left="984" w:firstLine="0" w:firstLineChars="0"/>
        <w:rPr>
          <w:color w:val="000000"/>
          <w:highlight w:val="none"/>
        </w:rPr>
      </w:pPr>
      <w:r>
        <w:rPr>
          <w:rFonts w:hint="eastAsia"/>
          <w:color w:val="000000"/>
          <w:highlight w:val="none"/>
        </w:rPr>
        <w:t>《民用闭路监视系统工程技术规范》（</w:t>
      </w:r>
      <w:r>
        <w:rPr>
          <w:color w:val="000000"/>
          <w:highlight w:val="none"/>
        </w:rPr>
        <w:t>GB50198-2011）</w:t>
      </w:r>
    </w:p>
    <w:p w14:paraId="0BC9F76B">
      <w:pPr>
        <w:pStyle w:val="6"/>
        <w:ind w:left="984" w:firstLine="0" w:firstLineChars="0"/>
        <w:rPr>
          <w:color w:val="000000"/>
          <w:highlight w:val="none"/>
        </w:rPr>
      </w:pPr>
      <w:r>
        <w:rPr>
          <w:rFonts w:hint="eastAsia"/>
          <w:color w:val="000000"/>
          <w:highlight w:val="none"/>
        </w:rPr>
        <w:t>《有线电视系统工程技术规范》（</w:t>
      </w:r>
      <w:r>
        <w:rPr>
          <w:color w:val="000000"/>
          <w:highlight w:val="none"/>
        </w:rPr>
        <w:t>GB50200-94）</w:t>
      </w:r>
    </w:p>
    <w:p w14:paraId="490DF8D6">
      <w:pPr>
        <w:pStyle w:val="6"/>
        <w:ind w:left="984" w:firstLine="0" w:firstLineChars="0"/>
        <w:rPr>
          <w:color w:val="000000"/>
          <w:highlight w:val="none"/>
        </w:rPr>
      </w:pPr>
      <w:r>
        <w:rPr>
          <w:rFonts w:hint="eastAsia"/>
          <w:color w:val="000000"/>
          <w:highlight w:val="none"/>
        </w:rPr>
        <w:t>《综合布线系统工程设计规范》（</w:t>
      </w:r>
      <w:r>
        <w:rPr>
          <w:color w:val="000000"/>
          <w:highlight w:val="none"/>
        </w:rPr>
        <w:t>GB50311-2016）</w:t>
      </w:r>
    </w:p>
    <w:p w14:paraId="0B7CEEA5">
      <w:pPr>
        <w:pStyle w:val="6"/>
        <w:ind w:left="984" w:firstLine="0" w:firstLineChars="0"/>
        <w:rPr>
          <w:color w:val="000000"/>
          <w:highlight w:val="none"/>
        </w:rPr>
      </w:pPr>
      <w:r>
        <w:rPr>
          <w:rFonts w:hint="eastAsia"/>
          <w:color w:val="000000"/>
          <w:highlight w:val="none"/>
        </w:rPr>
        <w:t>《综合布线系统工程验收规范》（</w:t>
      </w:r>
      <w:r>
        <w:rPr>
          <w:color w:val="000000"/>
          <w:highlight w:val="none"/>
        </w:rPr>
        <w:t>GB/T 50312-2016）</w:t>
      </w:r>
    </w:p>
    <w:p w14:paraId="4A40952B">
      <w:pPr>
        <w:pStyle w:val="6"/>
        <w:ind w:left="984" w:firstLine="0" w:firstLineChars="0"/>
        <w:rPr>
          <w:color w:val="000000"/>
          <w:highlight w:val="none"/>
        </w:rPr>
      </w:pPr>
      <w:r>
        <w:rPr>
          <w:rFonts w:hint="eastAsia"/>
          <w:color w:val="000000"/>
          <w:highlight w:val="none"/>
        </w:rPr>
        <w:t>《建筑物电子信息系统防雷技术规范》（</w:t>
      </w:r>
      <w:r>
        <w:rPr>
          <w:color w:val="000000"/>
          <w:highlight w:val="none"/>
        </w:rPr>
        <w:t>GB50343-2012）</w:t>
      </w:r>
    </w:p>
    <w:p w14:paraId="7DDE655F">
      <w:pPr>
        <w:pStyle w:val="6"/>
        <w:ind w:left="984" w:firstLine="0" w:firstLineChars="0"/>
        <w:rPr>
          <w:color w:val="000000"/>
          <w:highlight w:val="none"/>
        </w:rPr>
      </w:pPr>
      <w:r>
        <w:rPr>
          <w:rFonts w:hint="eastAsia"/>
          <w:color w:val="000000"/>
          <w:highlight w:val="none"/>
        </w:rPr>
        <w:t>《安全防范工程技术规范》（</w:t>
      </w:r>
      <w:r>
        <w:rPr>
          <w:color w:val="000000"/>
          <w:highlight w:val="none"/>
        </w:rPr>
        <w:t>GB50348-2018）</w:t>
      </w:r>
    </w:p>
    <w:p w14:paraId="16691E87">
      <w:pPr>
        <w:pStyle w:val="6"/>
        <w:ind w:left="984" w:firstLine="0" w:firstLineChars="0"/>
        <w:rPr>
          <w:color w:val="000000"/>
          <w:highlight w:val="none"/>
        </w:rPr>
      </w:pPr>
      <w:r>
        <w:rPr>
          <w:rFonts w:hint="eastAsia"/>
          <w:color w:val="000000"/>
          <w:highlight w:val="none"/>
        </w:rPr>
        <w:t>《入侵报警系统工程设计规范》（</w:t>
      </w:r>
      <w:r>
        <w:rPr>
          <w:color w:val="000000"/>
          <w:highlight w:val="none"/>
        </w:rPr>
        <w:t>GB 50394-2007）</w:t>
      </w:r>
    </w:p>
    <w:p w14:paraId="36D7E6A7">
      <w:pPr>
        <w:pStyle w:val="6"/>
        <w:ind w:left="984" w:firstLine="0" w:firstLineChars="0"/>
        <w:rPr>
          <w:color w:val="000000"/>
          <w:highlight w:val="none"/>
        </w:rPr>
      </w:pPr>
      <w:r>
        <w:rPr>
          <w:rFonts w:hint="eastAsia"/>
          <w:color w:val="000000"/>
          <w:highlight w:val="none"/>
        </w:rPr>
        <w:t>《视频安防监控系统工程设计规范》（</w:t>
      </w:r>
      <w:r>
        <w:rPr>
          <w:color w:val="000000"/>
          <w:highlight w:val="none"/>
        </w:rPr>
        <w:t>GB 50395-2007）</w:t>
      </w:r>
    </w:p>
    <w:p w14:paraId="4FC9867F">
      <w:pPr>
        <w:pStyle w:val="6"/>
        <w:ind w:left="984" w:firstLine="0" w:firstLineChars="0"/>
        <w:rPr>
          <w:color w:val="000000"/>
          <w:highlight w:val="none"/>
        </w:rPr>
      </w:pPr>
      <w:r>
        <w:rPr>
          <w:rFonts w:hint="eastAsia"/>
          <w:color w:val="000000"/>
          <w:highlight w:val="none"/>
        </w:rPr>
        <w:t>《视频安防监控系统工程设计规范》（</w:t>
      </w:r>
      <w:r>
        <w:rPr>
          <w:color w:val="000000"/>
          <w:highlight w:val="none"/>
        </w:rPr>
        <w:t>GB 50395-2007）</w:t>
      </w:r>
    </w:p>
    <w:p w14:paraId="203E2CB7">
      <w:pPr>
        <w:pStyle w:val="6"/>
        <w:ind w:left="984" w:firstLine="0" w:firstLineChars="0"/>
        <w:rPr>
          <w:color w:val="000000"/>
          <w:highlight w:val="none"/>
        </w:rPr>
      </w:pPr>
      <w:r>
        <w:rPr>
          <w:rFonts w:hint="eastAsia"/>
          <w:color w:val="000000"/>
          <w:highlight w:val="none"/>
        </w:rPr>
        <w:t>《出入口控制系统工程设计规范》（</w:t>
      </w:r>
      <w:r>
        <w:rPr>
          <w:color w:val="000000"/>
          <w:highlight w:val="none"/>
        </w:rPr>
        <w:t>GB 50396-2007）</w:t>
      </w:r>
    </w:p>
    <w:p w14:paraId="65DC143E">
      <w:pPr>
        <w:pStyle w:val="6"/>
        <w:ind w:left="984" w:firstLine="0" w:firstLineChars="0"/>
        <w:rPr>
          <w:color w:val="000000"/>
          <w:highlight w:val="none"/>
        </w:rPr>
      </w:pPr>
      <w:r>
        <w:rPr>
          <w:rFonts w:hint="eastAsia"/>
          <w:color w:val="000000"/>
          <w:highlight w:val="none"/>
        </w:rPr>
        <w:t>《智能建筑设计标准》（</w:t>
      </w:r>
      <w:r>
        <w:rPr>
          <w:color w:val="000000"/>
          <w:highlight w:val="none"/>
        </w:rPr>
        <w:t>GB50314-2015）</w:t>
      </w:r>
    </w:p>
    <w:p w14:paraId="3382A356">
      <w:pPr>
        <w:pStyle w:val="6"/>
        <w:ind w:left="984" w:firstLine="0" w:firstLineChars="0"/>
        <w:rPr>
          <w:color w:val="000000"/>
          <w:highlight w:val="none"/>
        </w:rPr>
      </w:pPr>
      <w:r>
        <w:rPr>
          <w:rFonts w:hint="eastAsia"/>
          <w:color w:val="000000"/>
          <w:highlight w:val="none"/>
        </w:rPr>
        <w:t>《住宅区和住宅建筑内光纤到户通信设施工程设计规范》（</w:t>
      </w:r>
      <w:r>
        <w:rPr>
          <w:color w:val="000000"/>
          <w:highlight w:val="none"/>
        </w:rPr>
        <w:t>GB50846-2012）</w:t>
      </w:r>
    </w:p>
    <w:p w14:paraId="6DD733B6">
      <w:pPr>
        <w:pStyle w:val="6"/>
        <w:ind w:left="984" w:firstLine="0" w:firstLineChars="0"/>
        <w:rPr>
          <w:color w:val="000000"/>
          <w:highlight w:val="none"/>
        </w:rPr>
      </w:pPr>
      <w:r>
        <w:rPr>
          <w:rFonts w:hint="eastAsia"/>
          <w:color w:val="000000"/>
          <w:highlight w:val="none"/>
        </w:rPr>
        <w:t>《建筑电气与智能化通用规范》（</w:t>
      </w:r>
      <w:r>
        <w:rPr>
          <w:color w:val="000000"/>
          <w:highlight w:val="none"/>
        </w:rPr>
        <w:t>GB 55024-2022）</w:t>
      </w:r>
    </w:p>
    <w:p w14:paraId="45F72D3F">
      <w:pPr>
        <w:pStyle w:val="6"/>
        <w:ind w:left="984" w:firstLine="0" w:firstLineChars="0"/>
        <w:rPr>
          <w:color w:val="000000"/>
          <w:highlight w:val="none"/>
        </w:rPr>
      </w:pPr>
      <w:r>
        <w:rPr>
          <w:rFonts w:hint="eastAsia"/>
          <w:color w:val="000000"/>
          <w:highlight w:val="none"/>
        </w:rPr>
        <w:t>《安全防范工程通用规范》</w:t>
      </w:r>
      <w:r>
        <w:rPr>
          <w:color w:val="000000"/>
          <w:highlight w:val="none"/>
        </w:rPr>
        <w:t>GB 55029-2022</w:t>
      </w:r>
    </w:p>
    <w:p w14:paraId="43B4100F">
      <w:pPr>
        <w:pStyle w:val="6"/>
        <w:numPr>
          <w:ilvl w:val="0"/>
          <w:numId w:val="5"/>
        </w:numPr>
        <w:ind w:firstLineChars="0"/>
        <w:rPr>
          <w:color w:val="000000"/>
          <w:highlight w:val="none"/>
        </w:rPr>
      </w:pPr>
      <w:r>
        <w:rPr>
          <w:rFonts w:hint="eastAsia"/>
          <w:color w:val="000000"/>
          <w:highlight w:val="none"/>
        </w:rPr>
        <w:t>暖通专业：</w:t>
      </w:r>
    </w:p>
    <w:p w14:paraId="263FFB78">
      <w:pPr>
        <w:pStyle w:val="6"/>
        <w:ind w:left="984" w:firstLine="0" w:firstLineChars="0"/>
        <w:rPr>
          <w:color w:val="000000"/>
          <w:highlight w:val="none"/>
        </w:rPr>
      </w:pPr>
      <w:r>
        <w:rPr>
          <w:rFonts w:hint="eastAsia"/>
          <w:color w:val="000000"/>
          <w:highlight w:val="none"/>
        </w:rPr>
        <w:t>《民用建筑供暖通风与空气调节设计规范》（G</w:t>
      </w:r>
      <w:r>
        <w:rPr>
          <w:color w:val="000000"/>
          <w:highlight w:val="none"/>
        </w:rPr>
        <w:t>B 50736-2012</w:t>
      </w:r>
      <w:r>
        <w:rPr>
          <w:rFonts w:hint="eastAsia"/>
          <w:color w:val="000000"/>
          <w:highlight w:val="none"/>
        </w:rPr>
        <w:t>）</w:t>
      </w:r>
    </w:p>
    <w:p w14:paraId="4ED8C302">
      <w:pPr>
        <w:pStyle w:val="6"/>
        <w:ind w:left="984" w:firstLine="0" w:firstLineChars="0"/>
        <w:rPr>
          <w:color w:val="000000"/>
          <w:highlight w:val="none"/>
        </w:rPr>
      </w:pPr>
      <w:r>
        <w:rPr>
          <w:rFonts w:hint="eastAsia"/>
          <w:color w:val="000000"/>
          <w:highlight w:val="none"/>
        </w:rPr>
        <w:t>《建筑防烟排烟系统技术标准》(</w:t>
      </w:r>
      <w:r>
        <w:rPr>
          <w:color w:val="000000"/>
          <w:highlight w:val="none"/>
        </w:rPr>
        <w:t>GB 51251-2017)</w:t>
      </w:r>
    </w:p>
    <w:p w14:paraId="7B06227A">
      <w:pPr>
        <w:pStyle w:val="6"/>
        <w:ind w:left="984" w:firstLine="0" w:firstLineChars="0"/>
        <w:rPr>
          <w:color w:val="000000"/>
          <w:highlight w:val="none"/>
        </w:rPr>
      </w:pPr>
      <w:r>
        <w:rPr>
          <w:rFonts w:hint="eastAsia"/>
          <w:color w:val="000000"/>
          <w:highlight w:val="none"/>
        </w:rPr>
        <w:t>《民用建筑隔声设计规范》(</w:t>
      </w:r>
      <w:r>
        <w:rPr>
          <w:color w:val="000000"/>
          <w:highlight w:val="none"/>
        </w:rPr>
        <w:t>GB 50118-2010)</w:t>
      </w:r>
    </w:p>
    <w:p w14:paraId="47E47659">
      <w:pPr>
        <w:pStyle w:val="6"/>
        <w:ind w:left="984" w:firstLine="0" w:firstLineChars="0"/>
        <w:rPr>
          <w:color w:val="000000"/>
          <w:highlight w:val="none"/>
        </w:rPr>
      </w:pPr>
      <w:r>
        <w:rPr>
          <w:rFonts w:hint="eastAsia"/>
          <w:color w:val="000000"/>
          <w:highlight w:val="none"/>
        </w:rPr>
        <w:t>《声环境质量标准》(</w:t>
      </w:r>
      <w:r>
        <w:rPr>
          <w:color w:val="000000"/>
          <w:highlight w:val="none"/>
        </w:rPr>
        <w:t>GB 3096-2008)</w:t>
      </w:r>
    </w:p>
    <w:p w14:paraId="66091883">
      <w:pPr>
        <w:pStyle w:val="6"/>
        <w:ind w:left="984" w:firstLine="0" w:firstLineChars="0"/>
        <w:rPr>
          <w:color w:val="000000"/>
          <w:highlight w:val="none"/>
        </w:rPr>
      </w:pPr>
      <w:r>
        <w:rPr>
          <w:rFonts w:hint="eastAsia"/>
          <w:color w:val="000000"/>
          <w:highlight w:val="none"/>
        </w:rPr>
        <w:t>《室内空气质量标准》(</w:t>
      </w:r>
      <w:r>
        <w:rPr>
          <w:color w:val="000000"/>
          <w:highlight w:val="none"/>
        </w:rPr>
        <w:t>GB/T 18883-2022)</w:t>
      </w:r>
    </w:p>
    <w:p w14:paraId="51FD62CE">
      <w:pPr>
        <w:pStyle w:val="6"/>
        <w:ind w:left="984" w:firstLine="0" w:firstLineChars="0"/>
        <w:rPr>
          <w:color w:val="000000"/>
          <w:highlight w:val="none"/>
        </w:rPr>
      </w:pPr>
      <w:r>
        <w:rPr>
          <w:rFonts w:hint="eastAsia"/>
          <w:color w:val="000000"/>
          <w:highlight w:val="none"/>
        </w:rPr>
        <w:t>《绿色建筑评价标准》(</w:t>
      </w:r>
      <w:r>
        <w:rPr>
          <w:color w:val="000000"/>
          <w:highlight w:val="none"/>
        </w:rPr>
        <w:t>GB/T 50378-2019)</w:t>
      </w:r>
    </w:p>
    <w:p w14:paraId="54CF7512">
      <w:pPr>
        <w:pStyle w:val="6"/>
        <w:ind w:left="984" w:firstLine="0" w:firstLineChars="0"/>
        <w:rPr>
          <w:color w:val="000000"/>
          <w:highlight w:val="none"/>
        </w:rPr>
      </w:pPr>
      <w:r>
        <w:rPr>
          <w:rFonts w:hint="eastAsia"/>
          <w:color w:val="000000"/>
          <w:highlight w:val="none"/>
        </w:rPr>
        <w:t>《建筑节能与可再生能源利用通用规范》(</w:t>
      </w:r>
      <w:r>
        <w:rPr>
          <w:color w:val="000000"/>
          <w:highlight w:val="none"/>
        </w:rPr>
        <w:t>GB 55015-2021)</w:t>
      </w:r>
    </w:p>
    <w:p w14:paraId="5D431BC8">
      <w:pPr>
        <w:pStyle w:val="6"/>
        <w:ind w:left="984" w:firstLine="0" w:firstLineChars="0"/>
        <w:rPr>
          <w:color w:val="000000"/>
          <w:highlight w:val="none"/>
        </w:rPr>
      </w:pPr>
      <w:r>
        <w:rPr>
          <w:rFonts w:hint="eastAsia"/>
          <w:color w:val="000000"/>
          <w:highlight w:val="none"/>
        </w:rPr>
        <w:t>《住宅新风系统技术标准》(J</w:t>
      </w:r>
      <w:r>
        <w:rPr>
          <w:color w:val="000000"/>
          <w:highlight w:val="none"/>
        </w:rPr>
        <w:t>GJ/T 440-2018)</w:t>
      </w:r>
    </w:p>
    <w:p w14:paraId="5D51F6F3">
      <w:pPr>
        <w:pStyle w:val="6"/>
        <w:ind w:left="984" w:firstLine="0" w:firstLineChars="0"/>
        <w:rPr>
          <w:color w:val="000000"/>
          <w:highlight w:val="none"/>
        </w:rPr>
      </w:pPr>
      <w:r>
        <w:rPr>
          <w:rFonts w:hint="eastAsia"/>
          <w:color w:val="000000"/>
          <w:highlight w:val="none"/>
        </w:rPr>
        <w:t>《住宅排气管道系统工程技术标准》(J</w:t>
      </w:r>
      <w:r>
        <w:rPr>
          <w:color w:val="000000"/>
          <w:highlight w:val="none"/>
        </w:rPr>
        <w:t>GJ/T 455-2018)</w:t>
      </w:r>
    </w:p>
    <w:p w14:paraId="1982B062">
      <w:pPr>
        <w:pStyle w:val="6"/>
        <w:ind w:left="984" w:firstLine="0" w:firstLineChars="0"/>
        <w:rPr>
          <w:color w:val="000000"/>
          <w:highlight w:val="none"/>
        </w:rPr>
      </w:pPr>
      <w:r>
        <w:rPr>
          <w:rFonts w:hint="eastAsia"/>
          <w:color w:val="000000"/>
          <w:highlight w:val="none"/>
        </w:rPr>
        <w:t>《广东省绿色建筑设计规范》(D</w:t>
      </w:r>
      <w:r>
        <w:rPr>
          <w:color w:val="000000"/>
          <w:highlight w:val="none"/>
        </w:rPr>
        <w:t>BJ/T 15-201-2020)</w:t>
      </w:r>
    </w:p>
    <w:p w14:paraId="195C6E3B">
      <w:pPr>
        <w:pStyle w:val="6"/>
        <w:ind w:firstLine="480"/>
        <w:rPr>
          <w:color w:val="000000"/>
          <w:highlight w:val="none"/>
        </w:rPr>
      </w:pPr>
      <w:r>
        <w:rPr>
          <w:rFonts w:hint="eastAsia"/>
          <w:color w:val="000000"/>
          <w:highlight w:val="none"/>
        </w:rPr>
        <w:t>6）道路专业：</w:t>
      </w:r>
    </w:p>
    <w:p w14:paraId="53748F85">
      <w:pPr>
        <w:pStyle w:val="6"/>
        <w:ind w:left="984" w:firstLine="0" w:firstLineChars="0"/>
        <w:rPr>
          <w:color w:val="000000"/>
          <w:highlight w:val="none"/>
        </w:rPr>
      </w:pPr>
      <w:r>
        <w:rPr>
          <w:rFonts w:hint="eastAsia"/>
          <w:color w:val="000000"/>
          <w:highlight w:val="none"/>
        </w:rPr>
        <w:t>《城市道路工程设计规范》 （CJJ37-2012（2016版））</w:t>
      </w:r>
    </w:p>
    <w:p w14:paraId="7A6EE5F8">
      <w:pPr>
        <w:pStyle w:val="6"/>
        <w:ind w:left="984" w:firstLine="0" w:firstLineChars="0"/>
        <w:rPr>
          <w:color w:val="000000"/>
          <w:highlight w:val="none"/>
        </w:rPr>
      </w:pPr>
      <w:r>
        <w:rPr>
          <w:rFonts w:hint="eastAsia"/>
          <w:color w:val="000000"/>
          <w:highlight w:val="none"/>
        </w:rPr>
        <w:t>《城市道路路线设计规范》 （CJJ193-2012）</w:t>
      </w:r>
    </w:p>
    <w:p w14:paraId="4CB05290">
      <w:pPr>
        <w:pStyle w:val="6"/>
        <w:ind w:left="984" w:firstLine="0" w:firstLineChars="0"/>
        <w:rPr>
          <w:color w:val="000000"/>
          <w:highlight w:val="none"/>
        </w:rPr>
      </w:pPr>
      <w:r>
        <w:rPr>
          <w:rFonts w:hint="eastAsia"/>
          <w:color w:val="000000"/>
          <w:highlight w:val="none"/>
        </w:rPr>
        <w:t>《城市道路交叉口设计规程》 （CJJ152-2010）</w:t>
      </w:r>
    </w:p>
    <w:p w14:paraId="0767CC83">
      <w:pPr>
        <w:pStyle w:val="6"/>
        <w:ind w:left="984" w:firstLine="0" w:firstLineChars="0"/>
        <w:rPr>
          <w:color w:val="000000"/>
          <w:highlight w:val="none"/>
        </w:rPr>
      </w:pPr>
      <w:r>
        <w:rPr>
          <w:rFonts w:hint="eastAsia"/>
          <w:color w:val="000000"/>
          <w:highlight w:val="none"/>
        </w:rPr>
        <w:t>《城市道路交叉口规划规范》 （GB50647-2011）</w:t>
      </w:r>
    </w:p>
    <w:p w14:paraId="61C020A3">
      <w:pPr>
        <w:pStyle w:val="6"/>
        <w:ind w:left="984" w:firstLine="0" w:firstLineChars="0"/>
        <w:rPr>
          <w:color w:val="000000"/>
          <w:highlight w:val="none"/>
        </w:rPr>
      </w:pPr>
      <w:r>
        <w:rPr>
          <w:rFonts w:hint="eastAsia"/>
          <w:color w:val="000000"/>
          <w:highlight w:val="none"/>
        </w:rPr>
        <w:t>《城镇道路路面设计规范》 （CJJ169-2012）</w:t>
      </w:r>
    </w:p>
    <w:p w14:paraId="4EE03682">
      <w:pPr>
        <w:pStyle w:val="6"/>
        <w:ind w:left="984" w:firstLine="0" w:firstLineChars="0"/>
        <w:rPr>
          <w:color w:val="000000"/>
          <w:highlight w:val="none"/>
        </w:rPr>
      </w:pPr>
      <w:r>
        <w:rPr>
          <w:rFonts w:hint="eastAsia"/>
          <w:color w:val="000000"/>
          <w:highlight w:val="none"/>
        </w:rPr>
        <w:t>《公路沥青路面设计规范》 （JTG D50-2017）</w:t>
      </w:r>
    </w:p>
    <w:p w14:paraId="28B252A6">
      <w:pPr>
        <w:pStyle w:val="6"/>
        <w:ind w:left="984" w:firstLine="0" w:firstLineChars="0"/>
        <w:rPr>
          <w:color w:val="000000"/>
          <w:highlight w:val="none"/>
        </w:rPr>
      </w:pPr>
      <w:r>
        <w:rPr>
          <w:rFonts w:hint="eastAsia"/>
          <w:color w:val="000000"/>
          <w:highlight w:val="none"/>
        </w:rPr>
        <w:t>《公路路面基层施工技术细则》 （JTG/T F20-2015）</w:t>
      </w:r>
    </w:p>
    <w:p w14:paraId="016B8642">
      <w:pPr>
        <w:pStyle w:val="6"/>
        <w:ind w:left="984" w:firstLine="0" w:firstLineChars="0"/>
        <w:rPr>
          <w:color w:val="000000"/>
          <w:highlight w:val="none"/>
        </w:rPr>
      </w:pPr>
      <w:r>
        <w:rPr>
          <w:rFonts w:hint="eastAsia"/>
          <w:color w:val="000000"/>
          <w:highlight w:val="none"/>
        </w:rPr>
        <w:t>《城市道路路基设计规范》 （CJJ194-2013）</w:t>
      </w:r>
    </w:p>
    <w:p w14:paraId="54F23C81">
      <w:pPr>
        <w:pStyle w:val="6"/>
        <w:ind w:left="984" w:firstLine="0" w:firstLineChars="0"/>
        <w:rPr>
          <w:color w:val="000000"/>
          <w:highlight w:val="none"/>
        </w:rPr>
      </w:pPr>
      <w:r>
        <w:rPr>
          <w:rFonts w:hint="eastAsia"/>
          <w:color w:val="000000"/>
          <w:highlight w:val="none"/>
        </w:rPr>
        <w:t>《建筑地基处理技术规范》 （JGJ79-2012）</w:t>
      </w:r>
    </w:p>
    <w:p w14:paraId="50B72FE6">
      <w:pPr>
        <w:pStyle w:val="6"/>
        <w:ind w:left="984" w:firstLine="0" w:firstLineChars="0"/>
        <w:rPr>
          <w:color w:val="000000"/>
          <w:highlight w:val="none"/>
        </w:rPr>
      </w:pPr>
      <w:r>
        <w:rPr>
          <w:rFonts w:hint="eastAsia"/>
          <w:color w:val="000000"/>
          <w:highlight w:val="none"/>
        </w:rPr>
        <w:t>《公路软土地基路堤设计与施工技术细则》 （JTG/TD31-2013）</w:t>
      </w:r>
    </w:p>
    <w:p w14:paraId="199AF152">
      <w:pPr>
        <w:pStyle w:val="6"/>
        <w:ind w:left="984" w:firstLine="0" w:firstLineChars="0"/>
        <w:rPr>
          <w:color w:val="000000"/>
          <w:highlight w:val="none"/>
        </w:rPr>
      </w:pPr>
      <w:r>
        <w:rPr>
          <w:rFonts w:hint="eastAsia"/>
          <w:color w:val="000000"/>
          <w:highlight w:val="none"/>
        </w:rPr>
        <w:t>《建筑边坡工程技术规范》 （GB/T 50330-2013）</w:t>
      </w:r>
    </w:p>
    <w:p w14:paraId="328BC13B">
      <w:pPr>
        <w:pStyle w:val="6"/>
        <w:ind w:left="984" w:firstLine="0" w:firstLineChars="0"/>
        <w:rPr>
          <w:color w:val="000000"/>
          <w:highlight w:val="none"/>
        </w:rPr>
      </w:pPr>
      <w:r>
        <w:rPr>
          <w:rFonts w:hint="eastAsia"/>
          <w:color w:val="000000"/>
          <w:highlight w:val="none"/>
        </w:rPr>
        <w:t>《无障碍设计规范》 （GB50763-2012）</w:t>
      </w:r>
    </w:p>
    <w:p w14:paraId="1A669F0A">
      <w:pPr>
        <w:pStyle w:val="6"/>
        <w:ind w:left="984" w:firstLine="0" w:firstLineChars="0"/>
        <w:rPr>
          <w:color w:val="000000"/>
          <w:highlight w:val="none"/>
        </w:rPr>
      </w:pPr>
      <w:r>
        <w:rPr>
          <w:rFonts w:hint="eastAsia"/>
          <w:color w:val="000000"/>
          <w:highlight w:val="none"/>
        </w:rPr>
        <w:t>《城镇道路工程施工与质量验收规范》 （CJJ1-2008）</w:t>
      </w:r>
    </w:p>
    <w:p w14:paraId="77E6BDF1">
      <w:pPr>
        <w:pStyle w:val="6"/>
        <w:ind w:left="984" w:firstLine="0" w:firstLineChars="0"/>
        <w:rPr>
          <w:color w:val="000000"/>
          <w:highlight w:val="none"/>
        </w:rPr>
      </w:pPr>
      <w:r>
        <w:rPr>
          <w:rFonts w:hint="eastAsia"/>
          <w:color w:val="000000"/>
          <w:highlight w:val="none"/>
        </w:rPr>
        <w:t>《工程建设标准强制性条文》（城镇建设部分2013年版）</w:t>
      </w:r>
    </w:p>
    <w:p w14:paraId="002C2896">
      <w:pPr>
        <w:pStyle w:val="6"/>
        <w:ind w:left="984" w:firstLine="0" w:firstLineChars="0"/>
        <w:rPr>
          <w:color w:val="000000"/>
          <w:highlight w:val="none"/>
        </w:rPr>
      </w:pPr>
      <w:r>
        <w:rPr>
          <w:rFonts w:hint="eastAsia"/>
          <w:color w:val="000000"/>
          <w:highlight w:val="none"/>
        </w:rPr>
        <w:t>《城市道路交通工程项目规范》 （GB55011-2021）</w:t>
      </w:r>
    </w:p>
    <w:p w14:paraId="718E1036">
      <w:pPr>
        <w:pStyle w:val="6"/>
        <w:ind w:left="984" w:firstLine="0" w:firstLineChars="0"/>
        <w:rPr>
          <w:color w:val="000000"/>
          <w:highlight w:val="none"/>
        </w:rPr>
      </w:pPr>
      <w:r>
        <w:rPr>
          <w:rFonts w:hint="eastAsia"/>
          <w:color w:val="000000"/>
          <w:highlight w:val="none"/>
        </w:rPr>
        <w:t>《城市道路工程技术规范》 （GB51286-2018）</w:t>
      </w:r>
    </w:p>
    <w:p w14:paraId="03F287AA">
      <w:pPr>
        <w:pStyle w:val="6"/>
        <w:ind w:firstLine="480"/>
        <w:rPr>
          <w:color w:val="000000"/>
          <w:highlight w:val="none"/>
        </w:rPr>
      </w:pPr>
      <w:r>
        <w:rPr>
          <w:rFonts w:hint="eastAsia"/>
          <w:color w:val="000000"/>
          <w:highlight w:val="none"/>
        </w:rPr>
        <w:t>7）桥梁专业：</w:t>
      </w:r>
    </w:p>
    <w:p w14:paraId="2FF5132D">
      <w:pPr>
        <w:pStyle w:val="6"/>
        <w:ind w:left="984" w:firstLine="0" w:firstLineChars="0"/>
        <w:rPr>
          <w:color w:val="000000"/>
          <w:highlight w:val="none"/>
        </w:rPr>
      </w:pPr>
      <w:r>
        <w:rPr>
          <w:rFonts w:hint="eastAsia"/>
          <w:color w:val="000000"/>
          <w:highlight w:val="none"/>
        </w:rPr>
        <w:t>《公路工程技术标准》(JTG B01-2014)</w:t>
      </w:r>
    </w:p>
    <w:p w14:paraId="39C462EA">
      <w:pPr>
        <w:pStyle w:val="6"/>
        <w:ind w:left="984" w:firstLine="0" w:firstLineChars="0"/>
        <w:rPr>
          <w:color w:val="000000"/>
          <w:highlight w:val="none"/>
        </w:rPr>
      </w:pPr>
      <w:r>
        <w:rPr>
          <w:rFonts w:hint="eastAsia"/>
          <w:color w:val="000000"/>
          <w:highlight w:val="none"/>
        </w:rPr>
        <w:t xml:space="preserve">    《城市桥梁设计规范》(CJJ 11-2011)（2019版）</w:t>
      </w:r>
    </w:p>
    <w:p w14:paraId="57A34F8A">
      <w:pPr>
        <w:pStyle w:val="6"/>
        <w:ind w:left="984" w:firstLine="0" w:firstLineChars="0"/>
        <w:rPr>
          <w:color w:val="000000"/>
          <w:highlight w:val="none"/>
        </w:rPr>
      </w:pPr>
      <w:r>
        <w:rPr>
          <w:rFonts w:hint="eastAsia"/>
          <w:color w:val="000000"/>
          <w:highlight w:val="none"/>
        </w:rPr>
        <w:t xml:space="preserve">    《城市桥梁抗震设计规范》 (CJJ 166-2011)</w:t>
      </w:r>
    </w:p>
    <w:p w14:paraId="6ADBFBB3">
      <w:pPr>
        <w:pStyle w:val="6"/>
        <w:ind w:left="984" w:firstLine="0" w:firstLineChars="0"/>
        <w:rPr>
          <w:color w:val="000000"/>
          <w:highlight w:val="none"/>
        </w:rPr>
      </w:pPr>
      <w:r>
        <w:rPr>
          <w:rFonts w:hint="eastAsia"/>
          <w:color w:val="000000"/>
          <w:highlight w:val="none"/>
        </w:rPr>
        <w:t xml:space="preserve">    《公路桥梁抗震设计规范》(JTGT 2231-01-2020)</w:t>
      </w:r>
    </w:p>
    <w:p w14:paraId="345AA2B4">
      <w:pPr>
        <w:pStyle w:val="6"/>
        <w:ind w:left="984" w:firstLine="0" w:firstLineChars="0"/>
        <w:rPr>
          <w:color w:val="000000"/>
          <w:highlight w:val="none"/>
        </w:rPr>
      </w:pPr>
      <w:r>
        <w:rPr>
          <w:rFonts w:hint="eastAsia"/>
          <w:color w:val="000000"/>
          <w:highlight w:val="none"/>
        </w:rPr>
        <w:t xml:space="preserve">    《公路桥涵设计通用规范》(JTG D60-2015)</w:t>
      </w:r>
    </w:p>
    <w:p w14:paraId="1455AD18">
      <w:pPr>
        <w:pStyle w:val="6"/>
        <w:ind w:left="984" w:firstLine="0" w:firstLineChars="0"/>
        <w:rPr>
          <w:color w:val="000000"/>
          <w:highlight w:val="none"/>
        </w:rPr>
      </w:pPr>
      <w:r>
        <w:rPr>
          <w:rFonts w:hint="eastAsia"/>
          <w:color w:val="000000"/>
          <w:highlight w:val="none"/>
        </w:rPr>
        <w:t xml:space="preserve">    《公路钢筋混凝土及预应力混凝土桥涵设计规范》(JTG 3362-2018)</w:t>
      </w:r>
    </w:p>
    <w:p w14:paraId="7B27E093">
      <w:pPr>
        <w:pStyle w:val="6"/>
        <w:ind w:left="984" w:firstLine="0" w:firstLineChars="0"/>
        <w:rPr>
          <w:color w:val="000000"/>
          <w:highlight w:val="none"/>
        </w:rPr>
      </w:pPr>
      <w:r>
        <w:rPr>
          <w:rFonts w:hint="eastAsia"/>
          <w:color w:val="000000"/>
          <w:highlight w:val="none"/>
        </w:rPr>
        <w:t xml:space="preserve">    《公路桥涵地基与基础设计规范》(JTG 3363-2019)</w:t>
      </w:r>
    </w:p>
    <w:p w14:paraId="2B5546FD">
      <w:pPr>
        <w:pStyle w:val="6"/>
        <w:ind w:left="984" w:firstLine="0" w:firstLineChars="0"/>
        <w:rPr>
          <w:color w:val="000000"/>
          <w:highlight w:val="none"/>
        </w:rPr>
      </w:pPr>
      <w:r>
        <w:rPr>
          <w:rFonts w:hint="eastAsia"/>
          <w:color w:val="000000"/>
          <w:highlight w:val="none"/>
        </w:rPr>
        <w:t xml:space="preserve">   《公路桥梁板式橡胶支座》(JTT 4-2019)</w:t>
      </w:r>
    </w:p>
    <w:p w14:paraId="6E822E6B">
      <w:pPr>
        <w:pStyle w:val="6"/>
        <w:ind w:left="984" w:firstLine="0" w:firstLineChars="0"/>
        <w:rPr>
          <w:color w:val="000000"/>
          <w:highlight w:val="none"/>
        </w:rPr>
      </w:pPr>
      <w:r>
        <w:rPr>
          <w:rFonts w:hint="eastAsia"/>
          <w:color w:val="000000"/>
          <w:highlight w:val="none"/>
        </w:rPr>
        <w:t xml:space="preserve">    《公路桥梁伸缩装置通用技术条件》（JT/T 327-2016）</w:t>
      </w:r>
    </w:p>
    <w:p w14:paraId="414102B1">
      <w:pPr>
        <w:pStyle w:val="6"/>
        <w:ind w:left="984" w:firstLine="0" w:firstLineChars="0"/>
        <w:rPr>
          <w:color w:val="000000"/>
          <w:highlight w:val="none"/>
        </w:rPr>
      </w:pPr>
      <w:r>
        <w:rPr>
          <w:rFonts w:hint="eastAsia"/>
          <w:color w:val="000000"/>
          <w:highlight w:val="none"/>
        </w:rPr>
        <w:t xml:space="preserve">    《混凝土灌注桩用钢薄壁声测管》(GB/T 31438-2015) </w:t>
      </w:r>
    </w:p>
    <w:p w14:paraId="2E074CB1">
      <w:pPr>
        <w:pStyle w:val="6"/>
        <w:ind w:left="984" w:firstLine="0" w:firstLineChars="0"/>
        <w:rPr>
          <w:color w:val="000000"/>
          <w:highlight w:val="none"/>
        </w:rPr>
      </w:pPr>
      <w:r>
        <w:rPr>
          <w:rFonts w:hint="eastAsia"/>
          <w:color w:val="000000"/>
          <w:highlight w:val="none"/>
        </w:rPr>
        <w:t xml:space="preserve">    《公路桥涵施工技术规范》(JTG/T 3650-2020)</w:t>
      </w:r>
    </w:p>
    <w:p w14:paraId="195B57F1">
      <w:pPr>
        <w:pStyle w:val="6"/>
        <w:ind w:left="984" w:firstLine="0" w:firstLineChars="0"/>
        <w:rPr>
          <w:color w:val="000000"/>
          <w:highlight w:val="none"/>
        </w:rPr>
      </w:pPr>
      <w:r>
        <w:rPr>
          <w:rFonts w:hint="eastAsia"/>
          <w:color w:val="000000"/>
          <w:highlight w:val="none"/>
        </w:rPr>
        <w:t xml:space="preserve">    《城市桥梁工程施工与质量验收规范》（CJJ 2-2008）</w:t>
      </w:r>
    </w:p>
    <w:p w14:paraId="4424CFCF">
      <w:pPr>
        <w:pStyle w:val="6"/>
        <w:ind w:left="984" w:firstLine="0" w:firstLineChars="0"/>
        <w:rPr>
          <w:color w:val="000000"/>
          <w:highlight w:val="none"/>
        </w:rPr>
      </w:pPr>
      <w:r>
        <w:rPr>
          <w:rFonts w:hint="eastAsia"/>
          <w:color w:val="000000"/>
          <w:highlight w:val="none"/>
        </w:rPr>
        <w:t xml:space="preserve">    《公路工程混凝土结构耐久性设计规范》（JTG/T 3310-2019 ）</w:t>
      </w:r>
    </w:p>
    <w:p w14:paraId="4523853B">
      <w:pPr>
        <w:pStyle w:val="6"/>
        <w:ind w:left="984" w:firstLine="0" w:firstLineChars="0"/>
        <w:rPr>
          <w:color w:val="000000"/>
          <w:highlight w:val="none"/>
        </w:rPr>
      </w:pPr>
      <w:r>
        <w:rPr>
          <w:rFonts w:hint="eastAsia"/>
          <w:color w:val="000000"/>
          <w:highlight w:val="none"/>
        </w:rPr>
        <w:t xml:space="preserve">    《钢结构焊接规范》（GB 50661-2011）</w:t>
      </w:r>
    </w:p>
    <w:p w14:paraId="0AD73815">
      <w:pPr>
        <w:pStyle w:val="6"/>
        <w:ind w:left="984" w:firstLine="0" w:firstLineChars="0"/>
        <w:rPr>
          <w:color w:val="0000FF"/>
          <w:highlight w:val="none"/>
        </w:rPr>
      </w:pPr>
      <w:r>
        <w:rPr>
          <w:rFonts w:hint="eastAsia"/>
          <w:color w:val="000000"/>
          <w:highlight w:val="none"/>
        </w:rPr>
        <w:t>《公路工程质量检验评定标准 第一册 土建工程》（JTG F80/1-2017）</w:t>
      </w:r>
    </w:p>
    <w:p w14:paraId="7BD80CDF">
      <w:pPr>
        <w:pStyle w:val="6"/>
        <w:ind w:firstLine="480"/>
        <w:rPr>
          <w:color w:val="000000"/>
          <w:highlight w:val="none"/>
        </w:rPr>
      </w:pPr>
      <w:r>
        <w:rPr>
          <w:rFonts w:hint="eastAsia"/>
          <w:color w:val="000000"/>
          <w:highlight w:val="none"/>
        </w:rPr>
        <w:t>8）交通专业：</w:t>
      </w:r>
    </w:p>
    <w:p w14:paraId="6872D2DA">
      <w:pPr>
        <w:pStyle w:val="6"/>
        <w:ind w:left="984" w:firstLine="0" w:firstLineChars="0"/>
        <w:rPr>
          <w:color w:val="000000"/>
          <w:highlight w:val="none"/>
        </w:rPr>
      </w:pPr>
      <w:r>
        <w:rPr>
          <w:rFonts w:hint="eastAsia"/>
          <w:color w:val="000000"/>
          <w:highlight w:val="none"/>
        </w:rPr>
        <w:t>《城市道路交通工程项目规范》 GB55011-2021</w:t>
      </w:r>
    </w:p>
    <w:p w14:paraId="0AF5CEDE">
      <w:pPr>
        <w:pStyle w:val="6"/>
        <w:ind w:left="984" w:firstLine="0" w:firstLineChars="0"/>
        <w:rPr>
          <w:color w:val="000000"/>
          <w:highlight w:val="none"/>
        </w:rPr>
      </w:pPr>
      <w:r>
        <w:rPr>
          <w:rFonts w:hint="eastAsia"/>
          <w:color w:val="000000"/>
          <w:highlight w:val="none"/>
        </w:rPr>
        <w:t>《城市道路交通标志和标线设置规范》  GB 51038-2015</w:t>
      </w:r>
    </w:p>
    <w:p w14:paraId="4236E207">
      <w:pPr>
        <w:pStyle w:val="6"/>
        <w:ind w:left="984" w:firstLine="0" w:firstLineChars="0"/>
        <w:rPr>
          <w:color w:val="000000"/>
          <w:highlight w:val="none"/>
        </w:rPr>
      </w:pPr>
      <w:r>
        <w:rPr>
          <w:rFonts w:hint="eastAsia"/>
          <w:color w:val="000000"/>
          <w:highlight w:val="none"/>
        </w:rPr>
        <w:t>《道路交通标志和标线 第1部分：总则》  GB 5768.1-2009</w:t>
      </w:r>
    </w:p>
    <w:p w14:paraId="45781902">
      <w:pPr>
        <w:pStyle w:val="6"/>
        <w:ind w:left="984" w:firstLine="0" w:firstLineChars="0"/>
        <w:rPr>
          <w:color w:val="000000"/>
          <w:highlight w:val="none"/>
        </w:rPr>
      </w:pPr>
      <w:r>
        <w:rPr>
          <w:rFonts w:hint="eastAsia"/>
          <w:color w:val="000000"/>
          <w:highlight w:val="none"/>
        </w:rPr>
        <w:t>《道路交通标志和标线 第2部分：道路交通标志》  GB 5768.2-2022</w:t>
      </w:r>
    </w:p>
    <w:p w14:paraId="2FEC74D5">
      <w:pPr>
        <w:pStyle w:val="6"/>
        <w:ind w:left="984" w:firstLine="0" w:firstLineChars="0"/>
        <w:rPr>
          <w:color w:val="000000"/>
          <w:highlight w:val="none"/>
        </w:rPr>
      </w:pPr>
      <w:r>
        <w:rPr>
          <w:rFonts w:hint="eastAsia"/>
          <w:color w:val="000000"/>
          <w:highlight w:val="none"/>
        </w:rPr>
        <w:t>《道路交通标志和标线 第3部分：道路交通标线》  GB 5768.3-2009</w:t>
      </w:r>
    </w:p>
    <w:p w14:paraId="3992C180">
      <w:pPr>
        <w:pStyle w:val="6"/>
        <w:ind w:left="984" w:firstLine="0" w:firstLineChars="0"/>
        <w:rPr>
          <w:color w:val="000000"/>
          <w:highlight w:val="none"/>
        </w:rPr>
      </w:pPr>
      <w:r>
        <w:rPr>
          <w:rFonts w:hint="eastAsia"/>
          <w:color w:val="000000"/>
          <w:highlight w:val="none"/>
        </w:rPr>
        <w:t>《道路交通标志和标线 第4部分：作业区》  GB 5768.4-2017</w:t>
      </w:r>
    </w:p>
    <w:p w14:paraId="6015FDEB">
      <w:pPr>
        <w:pStyle w:val="6"/>
        <w:ind w:left="984" w:firstLine="0" w:firstLineChars="0"/>
        <w:rPr>
          <w:color w:val="000000"/>
          <w:highlight w:val="none"/>
        </w:rPr>
      </w:pPr>
      <w:r>
        <w:rPr>
          <w:rFonts w:hint="eastAsia"/>
          <w:color w:val="000000"/>
          <w:highlight w:val="none"/>
        </w:rPr>
        <w:t>《道路交通标志和标线 第5部分：限制速度》  GB 5768.5-2017</w:t>
      </w:r>
    </w:p>
    <w:p w14:paraId="2DF579FA">
      <w:pPr>
        <w:pStyle w:val="6"/>
        <w:ind w:left="984" w:firstLine="0" w:firstLineChars="0"/>
        <w:rPr>
          <w:color w:val="000000"/>
          <w:highlight w:val="none"/>
        </w:rPr>
      </w:pPr>
      <w:r>
        <w:rPr>
          <w:rFonts w:hint="eastAsia"/>
          <w:color w:val="000000"/>
          <w:highlight w:val="none"/>
        </w:rPr>
        <w:t>《道路交通标志和标线 第7部分：非机动车和行人》  GB 5768.7-2018</w:t>
      </w:r>
    </w:p>
    <w:p w14:paraId="10855A2C">
      <w:pPr>
        <w:pStyle w:val="6"/>
        <w:ind w:left="984" w:firstLine="0" w:firstLineChars="0"/>
        <w:rPr>
          <w:color w:val="000000"/>
          <w:highlight w:val="none"/>
        </w:rPr>
      </w:pPr>
      <w:r>
        <w:rPr>
          <w:rFonts w:hint="eastAsia"/>
          <w:color w:val="000000"/>
          <w:highlight w:val="none"/>
        </w:rPr>
        <w:t>《城市道路交通设施设计规范（2019年版）》  GB 50688-2011</w:t>
      </w:r>
    </w:p>
    <w:p w14:paraId="5A3E56C7">
      <w:pPr>
        <w:pStyle w:val="6"/>
        <w:ind w:left="984" w:firstLine="0" w:firstLineChars="0"/>
        <w:rPr>
          <w:color w:val="000000"/>
          <w:highlight w:val="none"/>
        </w:rPr>
      </w:pPr>
      <w:r>
        <w:rPr>
          <w:rFonts w:hint="eastAsia"/>
          <w:color w:val="000000"/>
          <w:highlight w:val="none"/>
        </w:rPr>
        <w:t>《道路交通标志板及支撑件》  GB/T 23827-2021</w:t>
      </w:r>
    </w:p>
    <w:p w14:paraId="018EC100">
      <w:pPr>
        <w:pStyle w:val="6"/>
        <w:ind w:left="984" w:firstLine="0" w:firstLineChars="0"/>
        <w:rPr>
          <w:color w:val="000000"/>
          <w:highlight w:val="none"/>
        </w:rPr>
      </w:pPr>
      <w:r>
        <w:rPr>
          <w:rFonts w:hint="eastAsia"/>
          <w:color w:val="000000"/>
          <w:highlight w:val="none"/>
        </w:rPr>
        <w:t>《道路交通反光膜》  GB/T 18833-2012</w:t>
      </w:r>
    </w:p>
    <w:p w14:paraId="5D087414">
      <w:pPr>
        <w:pStyle w:val="6"/>
        <w:ind w:left="984" w:firstLine="0" w:firstLineChars="0"/>
        <w:rPr>
          <w:color w:val="000000"/>
          <w:highlight w:val="none"/>
        </w:rPr>
      </w:pPr>
      <w:r>
        <w:rPr>
          <w:rFonts w:hint="eastAsia"/>
          <w:color w:val="000000"/>
          <w:highlight w:val="none"/>
        </w:rPr>
        <w:t>《公路临时性交通标志》  GB/T 28651-2012</w:t>
      </w:r>
    </w:p>
    <w:p w14:paraId="673C94EB">
      <w:pPr>
        <w:pStyle w:val="6"/>
        <w:ind w:left="984" w:firstLine="0" w:firstLineChars="0"/>
        <w:rPr>
          <w:color w:val="000000"/>
          <w:highlight w:val="none"/>
        </w:rPr>
      </w:pPr>
      <w:r>
        <w:rPr>
          <w:rFonts w:hint="eastAsia"/>
          <w:color w:val="000000"/>
          <w:highlight w:val="none"/>
        </w:rPr>
        <w:t>《公路交通标志和标线设置规范》  JTG D82-2009</w:t>
      </w:r>
    </w:p>
    <w:p w14:paraId="76D417D6">
      <w:pPr>
        <w:pStyle w:val="6"/>
        <w:ind w:left="984" w:firstLine="0" w:firstLineChars="0"/>
        <w:rPr>
          <w:color w:val="000000"/>
          <w:highlight w:val="none"/>
        </w:rPr>
      </w:pPr>
      <w:r>
        <w:rPr>
          <w:rFonts w:hint="eastAsia"/>
          <w:color w:val="000000"/>
          <w:highlight w:val="none"/>
        </w:rPr>
        <w:t>《道路交通标志编码》  GB/T 30699-2014</w:t>
      </w:r>
    </w:p>
    <w:p w14:paraId="39A10739">
      <w:pPr>
        <w:pStyle w:val="6"/>
        <w:ind w:left="984" w:firstLine="0" w:firstLineChars="0"/>
        <w:rPr>
          <w:color w:val="000000"/>
          <w:highlight w:val="none"/>
        </w:rPr>
      </w:pPr>
      <w:r>
        <w:rPr>
          <w:rFonts w:hint="eastAsia"/>
          <w:color w:val="000000"/>
          <w:highlight w:val="none"/>
        </w:rPr>
        <w:t>《路面标线涂料》  JT/T 280-2004</w:t>
      </w:r>
    </w:p>
    <w:p w14:paraId="4559C70A">
      <w:pPr>
        <w:pStyle w:val="6"/>
        <w:ind w:left="984" w:firstLine="0" w:firstLineChars="0"/>
        <w:rPr>
          <w:color w:val="000000"/>
          <w:highlight w:val="none"/>
        </w:rPr>
      </w:pPr>
      <w:r>
        <w:rPr>
          <w:rFonts w:hint="eastAsia"/>
          <w:color w:val="000000"/>
          <w:highlight w:val="none"/>
        </w:rPr>
        <w:t>《路面标线用玻璃珠》  GB/T 24722-2020</w:t>
      </w:r>
    </w:p>
    <w:p w14:paraId="2A00E354">
      <w:pPr>
        <w:pStyle w:val="6"/>
        <w:ind w:left="984" w:firstLine="0" w:firstLineChars="0"/>
        <w:rPr>
          <w:color w:val="000000"/>
          <w:highlight w:val="none"/>
        </w:rPr>
      </w:pPr>
      <w:r>
        <w:rPr>
          <w:rFonts w:hint="eastAsia"/>
          <w:color w:val="000000"/>
          <w:highlight w:val="none"/>
        </w:rPr>
        <w:t>《道路交通标线质量要求和检测方法》GB/T 16311-2009</w:t>
      </w:r>
    </w:p>
    <w:p w14:paraId="54344921">
      <w:pPr>
        <w:pStyle w:val="120"/>
        <w:ind w:left="480" w:leftChars="200" w:firstLine="480"/>
        <w:rPr>
          <w:rFonts w:ascii="宋体" w:hAnsi="宋体"/>
          <w:color w:val="000000"/>
          <w:highlight w:val="none"/>
        </w:rPr>
      </w:pPr>
      <w:r>
        <w:rPr>
          <w:rFonts w:hint="eastAsia" w:ascii="宋体" w:hAnsi="宋体"/>
          <w:color w:val="000000"/>
          <w:highlight w:val="none"/>
        </w:rPr>
        <w:t>《道路交通标志版及支撑件》GB/T 23827-2021</w:t>
      </w:r>
    </w:p>
    <w:p w14:paraId="29E60913">
      <w:pPr>
        <w:pStyle w:val="120"/>
        <w:ind w:left="480" w:leftChars="200" w:firstLine="480"/>
        <w:rPr>
          <w:rFonts w:ascii="宋体" w:hAnsi="宋体"/>
          <w:color w:val="000000"/>
          <w:highlight w:val="none"/>
        </w:rPr>
      </w:pPr>
      <w:r>
        <w:rPr>
          <w:rFonts w:hint="eastAsia" w:ascii="宋体" w:hAnsi="宋体"/>
          <w:color w:val="000000"/>
          <w:highlight w:val="none"/>
        </w:rPr>
        <w:t>广州市交通委员会《广州市道路交通指路标志系统设计技术指引（修订）2013年9月》</w:t>
      </w:r>
    </w:p>
    <w:p w14:paraId="61212991">
      <w:pPr>
        <w:pStyle w:val="120"/>
        <w:ind w:left="480" w:leftChars="200" w:firstLine="480"/>
        <w:rPr>
          <w:rFonts w:ascii="宋体" w:hAnsi="宋体"/>
          <w:color w:val="000000"/>
          <w:highlight w:val="none"/>
        </w:rPr>
      </w:pPr>
      <w:r>
        <w:rPr>
          <w:rFonts w:hint="eastAsia" w:ascii="宋体" w:hAnsi="宋体"/>
          <w:color w:val="000000"/>
          <w:highlight w:val="none"/>
        </w:rPr>
        <w:t>广州市公安局交警支队《广州市城市道路交通管理设施设计技术指引（第一分册 非电类交通管理设施部分）2014年12月》</w:t>
      </w:r>
    </w:p>
    <w:p w14:paraId="5C2FF64C">
      <w:pPr>
        <w:pStyle w:val="120"/>
        <w:ind w:left="480" w:leftChars="200" w:firstLine="480"/>
        <w:rPr>
          <w:rFonts w:ascii="宋体" w:hAnsi="宋体"/>
          <w:color w:val="000000"/>
          <w:highlight w:val="none"/>
        </w:rPr>
      </w:pPr>
      <w:r>
        <w:rPr>
          <w:rFonts w:hint="eastAsia" w:ascii="宋体" w:hAnsi="宋体"/>
          <w:color w:val="000000"/>
          <w:highlight w:val="none"/>
        </w:rPr>
        <w:t>广州市公安局交警支队《广州市城市道路交通管理设施设计技术指引（第二分册 电子类交通管理设施部分）2014年12月》</w:t>
      </w:r>
    </w:p>
    <w:p w14:paraId="09BB679F">
      <w:pPr>
        <w:pStyle w:val="120"/>
        <w:ind w:left="480" w:leftChars="200" w:firstLine="480"/>
        <w:rPr>
          <w:rFonts w:ascii="宋体" w:hAnsi="宋体"/>
          <w:color w:val="000000"/>
          <w:highlight w:val="none"/>
        </w:rPr>
      </w:pPr>
      <w:r>
        <w:rPr>
          <w:rFonts w:hint="eastAsia" w:ascii="宋体" w:hAnsi="宋体"/>
          <w:color w:val="000000"/>
          <w:highlight w:val="none"/>
        </w:rPr>
        <w:t>广州市住房和城乡建设委员会《广州市重点区域道路交通标识系统（完善）设计指引》（2017年5月）</w:t>
      </w:r>
    </w:p>
    <w:p w14:paraId="3FA0CCEF">
      <w:pPr>
        <w:pStyle w:val="120"/>
        <w:ind w:left="480" w:leftChars="200" w:firstLine="480"/>
        <w:rPr>
          <w:rFonts w:ascii="宋体" w:hAnsi="宋体"/>
          <w:color w:val="000000"/>
          <w:highlight w:val="none"/>
        </w:rPr>
      </w:pPr>
      <w:r>
        <w:rPr>
          <w:rFonts w:hint="eastAsia" w:ascii="宋体" w:hAnsi="宋体"/>
          <w:color w:val="000000"/>
          <w:highlight w:val="none"/>
        </w:rPr>
        <w:t>广东省交通运输厅《广东省交通运输厅关于印发广东省高速公路网路线命名和编号规则（2017年修订版）的通知》  粤交规【2017】201号</w:t>
      </w:r>
    </w:p>
    <w:p w14:paraId="114A4B5B">
      <w:pPr>
        <w:pStyle w:val="120"/>
        <w:ind w:left="480" w:leftChars="200" w:firstLine="480"/>
        <w:rPr>
          <w:rFonts w:ascii="宋体" w:hAnsi="宋体"/>
          <w:color w:val="000000"/>
          <w:highlight w:val="none"/>
        </w:rPr>
      </w:pPr>
      <w:r>
        <w:rPr>
          <w:rFonts w:hint="eastAsia" w:ascii="宋体" w:hAnsi="宋体"/>
          <w:color w:val="000000"/>
          <w:highlight w:val="none"/>
        </w:rPr>
        <w:t>广州市社会治安视频监控系统建设领导小组办公室《广州市公共安全与管理智能视频系统总体设计方案（2017-2020年）》</w:t>
      </w:r>
    </w:p>
    <w:p w14:paraId="5C6F918A">
      <w:pPr>
        <w:pStyle w:val="120"/>
        <w:ind w:firstLine="960" w:firstLineChars="400"/>
        <w:rPr>
          <w:rFonts w:ascii="宋体" w:hAnsi="宋体"/>
          <w:color w:val="000000"/>
          <w:highlight w:val="none"/>
        </w:rPr>
      </w:pPr>
      <w:r>
        <w:rPr>
          <w:rFonts w:hint="eastAsia" w:ascii="宋体" w:hAnsi="宋体"/>
          <w:color w:val="000000"/>
          <w:highlight w:val="none"/>
        </w:rPr>
        <w:t>《广州市非机动车道改造提升技术指引》 广州市交通运输局 2022.01</w:t>
      </w:r>
    </w:p>
    <w:p w14:paraId="5259B300">
      <w:pPr>
        <w:pStyle w:val="6"/>
        <w:ind w:left="564" w:firstLine="0" w:firstLineChars="0"/>
        <w:rPr>
          <w:color w:val="000000"/>
          <w:highlight w:val="none"/>
        </w:rPr>
      </w:pPr>
      <w:r>
        <w:rPr>
          <w:rFonts w:hint="eastAsia"/>
          <w:color w:val="000000"/>
          <w:highlight w:val="none"/>
        </w:rPr>
        <w:t>9）电力管沟专业：</w:t>
      </w:r>
    </w:p>
    <w:p w14:paraId="61E2D697">
      <w:pPr>
        <w:pStyle w:val="120"/>
        <w:ind w:firstLine="960" w:firstLineChars="400"/>
        <w:rPr>
          <w:rFonts w:ascii="宋体" w:hAnsi="宋体"/>
          <w:color w:val="000000"/>
          <w:highlight w:val="none"/>
        </w:rPr>
      </w:pPr>
      <w:r>
        <w:rPr>
          <w:rFonts w:hint="eastAsia" w:ascii="宋体" w:hAnsi="宋体"/>
          <w:color w:val="000000"/>
          <w:highlight w:val="none"/>
        </w:rPr>
        <w:t>《砌体结构设计规范》（GB 50003-2011）</w:t>
      </w:r>
    </w:p>
    <w:p w14:paraId="00ADD30C">
      <w:pPr>
        <w:pStyle w:val="120"/>
        <w:ind w:firstLine="960" w:firstLineChars="400"/>
        <w:rPr>
          <w:rFonts w:ascii="宋体" w:hAnsi="宋体"/>
          <w:color w:val="000000"/>
          <w:highlight w:val="none"/>
        </w:rPr>
      </w:pPr>
      <w:r>
        <w:rPr>
          <w:rFonts w:hint="eastAsia" w:ascii="宋体" w:hAnsi="宋体"/>
          <w:color w:val="000000"/>
          <w:highlight w:val="none"/>
        </w:rPr>
        <w:t>《混凝土结构设计规范》（2015年版）（GB 50010-2010）</w:t>
      </w:r>
    </w:p>
    <w:p w14:paraId="340D1E84">
      <w:pPr>
        <w:pStyle w:val="120"/>
        <w:ind w:firstLine="960" w:firstLineChars="400"/>
        <w:rPr>
          <w:rFonts w:ascii="宋体" w:hAnsi="宋体"/>
          <w:color w:val="000000"/>
          <w:highlight w:val="none"/>
        </w:rPr>
      </w:pPr>
      <w:r>
        <w:rPr>
          <w:rFonts w:hint="eastAsia" w:ascii="宋体" w:hAnsi="宋体"/>
          <w:color w:val="000000"/>
          <w:highlight w:val="none"/>
        </w:rPr>
        <w:t>《建筑抗震设计规范》）（GB50011-2010（2016年版）</w:t>
      </w:r>
    </w:p>
    <w:p w14:paraId="03C8AD04">
      <w:pPr>
        <w:pStyle w:val="120"/>
        <w:ind w:firstLine="960" w:firstLineChars="400"/>
        <w:rPr>
          <w:rFonts w:ascii="宋体" w:hAnsi="宋体"/>
          <w:color w:val="000000"/>
          <w:highlight w:val="none"/>
        </w:rPr>
      </w:pPr>
      <w:r>
        <w:rPr>
          <w:rFonts w:hint="eastAsia" w:ascii="宋体" w:hAnsi="宋体"/>
          <w:color w:val="000000"/>
          <w:highlight w:val="none"/>
        </w:rPr>
        <w:t>《混凝土结构工程施工质量验收规范》（GB 50204-2015）</w:t>
      </w:r>
    </w:p>
    <w:p w14:paraId="27824B76">
      <w:pPr>
        <w:pStyle w:val="120"/>
        <w:ind w:firstLine="960" w:firstLineChars="400"/>
        <w:rPr>
          <w:rFonts w:ascii="宋体" w:hAnsi="宋体"/>
          <w:color w:val="000000"/>
          <w:highlight w:val="none"/>
        </w:rPr>
      </w:pPr>
      <w:r>
        <w:rPr>
          <w:rFonts w:hint="eastAsia" w:ascii="宋体" w:hAnsi="宋体"/>
          <w:color w:val="000000"/>
          <w:highlight w:val="none"/>
        </w:rPr>
        <w:t>《电力工程电缆设计规范》（GB 50217-2018）</w:t>
      </w:r>
    </w:p>
    <w:p w14:paraId="3463BD8D">
      <w:pPr>
        <w:pStyle w:val="120"/>
        <w:ind w:firstLine="960" w:firstLineChars="400"/>
        <w:rPr>
          <w:rFonts w:ascii="宋体" w:hAnsi="宋体"/>
          <w:color w:val="000000"/>
          <w:highlight w:val="none"/>
        </w:rPr>
      </w:pPr>
      <w:r>
        <w:rPr>
          <w:rFonts w:hint="eastAsia" w:ascii="宋体" w:hAnsi="宋体"/>
          <w:color w:val="000000"/>
          <w:highlight w:val="none"/>
        </w:rPr>
        <w:t>《建筑工程施工质量验收统一标准》（GB 50300-2013）</w:t>
      </w:r>
    </w:p>
    <w:p w14:paraId="36242477">
      <w:pPr>
        <w:pStyle w:val="120"/>
        <w:ind w:firstLine="960" w:firstLineChars="400"/>
        <w:rPr>
          <w:rFonts w:ascii="宋体" w:hAnsi="宋体"/>
          <w:color w:val="000000"/>
          <w:highlight w:val="none"/>
        </w:rPr>
      </w:pPr>
      <w:r>
        <w:rPr>
          <w:rFonts w:hint="eastAsia" w:ascii="宋体" w:hAnsi="宋体"/>
          <w:color w:val="000000"/>
          <w:highlight w:val="none"/>
        </w:rPr>
        <w:t>《城市电力电缆线路设计技术规定》DL/T 5221-2016</w:t>
      </w:r>
    </w:p>
    <w:p w14:paraId="08F9895F">
      <w:pPr>
        <w:pStyle w:val="120"/>
        <w:ind w:firstLine="960" w:firstLineChars="400"/>
        <w:rPr>
          <w:rFonts w:ascii="宋体" w:hAnsi="宋体"/>
          <w:color w:val="000000"/>
          <w:highlight w:val="none"/>
        </w:rPr>
      </w:pPr>
      <w:r>
        <w:rPr>
          <w:rFonts w:hint="eastAsia" w:ascii="宋体" w:hAnsi="宋体"/>
          <w:color w:val="000000"/>
          <w:highlight w:val="none"/>
        </w:rPr>
        <w:t>《建筑地基处理技术规范》（JGJ 79-2012）</w:t>
      </w:r>
    </w:p>
    <w:p w14:paraId="614DBB62">
      <w:pPr>
        <w:pStyle w:val="120"/>
        <w:ind w:firstLine="960" w:firstLineChars="400"/>
        <w:rPr>
          <w:rFonts w:ascii="宋体" w:hAnsi="宋体"/>
          <w:color w:val="000000"/>
          <w:highlight w:val="none"/>
        </w:rPr>
      </w:pPr>
      <w:r>
        <w:rPr>
          <w:rFonts w:hint="eastAsia" w:ascii="宋体" w:hAnsi="宋体"/>
          <w:color w:val="000000"/>
          <w:highlight w:val="none"/>
        </w:rPr>
        <w:t>《公路桥涵设计通用规范》（JTG D60-2015）</w:t>
      </w:r>
    </w:p>
    <w:p w14:paraId="170FD2E2">
      <w:pPr>
        <w:pStyle w:val="120"/>
        <w:ind w:firstLine="960" w:firstLineChars="400"/>
        <w:rPr>
          <w:rFonts w:ascii="宋体" w:hAnsi="宋体"/>
          <w:color w:val="000000"/>
          <w:highlight w:val="none"/>
        </w:rPr>
      </w:pPr>
      <w:r>
        <w:rPr>
          <w:rFonts w:hint="eastAsia" w:ascii="宋体" w:hAnsi="宋体"/>
          <w:color w:val="000000"/>
          <w:highlight w:val="none"/>
        </w:rPr>
        <w:t>《电力电缆线路运行规程》（DL/T 1253-2013）</w:t>
      </w:r>
    </w:p>
    <w:p w14:paraId="14BC3EA1">
      <w:pPr>
        <w:pStyle w:val="120"/>
        <w:ind w:firstLine="960" w:firstLineChars="400"/>
        <w:rPr>
          <w:rFonts w:ascii="宋体" w:hAnsi="宋体"/>
          <w:color w:val="000000"/>
          <w:highlight w:val="none"/>
        </w:rPr>
      </w:pPr>
      <w:r>
        <w:rPr>
          <w:rFonts w:hint="eastAsia" w:ascii="宋体" w:hAnsi="宋体"/>
          <w:color w:val="000000"/>
          <w:highlight w:val="none"/>
        </w:rPr>
        <w:t>《城市工程管线综合规划规范》 （GB 50289-2016）</w:t>
      </w:r>
    </w:p>
    <w:p w14:paraId="2F9C1059">
      <w:pPr>
        <w:pStyle w:val="120"/>
        <w:ind w:firstLine="960" w:firstLineChars="400"/>
        <w:rPr>
          <w:rFonts w:ascii="宋体" w:hAnsi="宋体"/>
          <w:color w:val="000000"/>
          <w:highlight w:val="none"/>
        </w:rPr>
      </w:pPr>
      <w:r>
        <w:rPr>
          <w:rFonts w:hint="eastAsia" w:ascii="宋体" w:hAnsi="宋体"/>
          <w:color w:val="000000"/>
          <w:highlight w:val="none"/>
        </w:rPr>
        <w:t>《城市电力规划规范》 （GB/T 50293-2014）</w:t>
      </w:r>
    </w:p>
    <w:p w14:paraId="568E245A">
      <w:pPr>
        <w:pStyle w:val="120"/>
        <w:ind w:firstLine="960" w:firstLineChars="400"/>
        <w:rPr>
          <w:rFonts w:ascii="宋体" w:hAnsi="宋体"/>
          <w:color w:val="000000"/>
          <w:highlight w:val="none"/>
        </w:rPr>
      </w:pPr>
      <w:r>
        <w:rPr>
          <w:rFonts w:hint="eastAsia" w:ascii="宋体" w:hAnsi="宋体"/>
          <w:color w:val="000000"/>
          <w:highlight w:val="none"/>
        </w:rPr>
        <w:t>《砌体结构工程施工质量验收规范》(GB 50203-2011)</w:t>
      </w:r>
    </w:p>
    <w:p w14:paraId="31814F49">
      <w:pPr>
        <w:pStyle w:val="6"/>
        <w:ind w:left="564" w:firstLine="0" w:firstLineChars="0"/>
        <w:rPr>
          <w:color w:val="000000"/>
          <w:highlight w:val="none"/>
        </w:rPr>
      </w:pPr>
      <w:r>
        <w:rPr>
          <w:rFonts w:hint="eastAsia"/>
          <w:color w:val="000000"/>
          <w:highlight w:val="none"/>
        </w:rPr>
        <w:t>10）通信管沟专业：</w:t>
      </w:r>
    </w:p>
    <w:p w14:paraId="07CF1E23">
      <w:pPr>
        <w:pStyle w:val="120"/>
        <w:ind w:firstLine="960" w:firstLineChars="400"/>
        <w:rPr>
          <w:rFonts w:ascii="宋体" w:hAnsi="宋体"/>
          <w:color w:val="000000"/>
          <w:highlight w:val="none"/>
        </w:rPr>
      </w:pPr>
      <w:r>
        <w:rPr>
          <w:rFonts w:hint="eastAsia" w:ascii="宋体" w:hAnsi="宋体"/>
          <w:color w:val="000000"/>
          <w:highlight w:val="none"/>
        </w:rPr>
        <w:t>《通信管道与通道工程设计规范》（GB 50373-2006）；</w:t>
      </w:r>
    </w:p>
    <w:p w14:paraId="542C587A">
      <w:pPr>
        <w:pStyle w:val="120"/>
        <w:ind w:firstLine="960" w:firstLineChars="400"/>
        <w:rPr>
          <w:rFonts w:ascii="宋体" w:hAnsi="宋体"/>
          <w:color w:val="000000"/>
          <w:highlight w:val="none"/>
        </w:rPr>
      </w:pPr>
      <w:r>
        <w:rPr>
          <w:rFonts w:hint="eastAsia" w:ascii="宋体" w:hAnsi="宋体"/>
          <w:color w:val="000000"/>
          <w:highlight w:val="none"/>
        </w:rPr>
        <w:t>《通信管道工程施工及验收规范》（GB 50374-2006）；</w:t>
      </w:r>
    </w:p>
    <w:p w14:paraId="0A4CA600">
      <w:pPr>
        <w:pStyle w:val="120"/>
        <w:ind w:firstLine="960" w:firstLineChars="400"/>
        <w:rPr>
          <w:rFonts w:ascii="宋体" w:hAnsi="宋体"/>
          <w:color w:val="000000"/>
          <w:highlight w:val="none"/>
        </w:rPr>
      </w:pPr>
      <w:r>
        <w:rPr>
          <w:rFonts w:hint="eastAsia" w:ascii="宋体" w:hAnsi="宋体"/>
          <w:color w:val="000000"/>
          <w:highlight w:val="none"/>
        </w:rPr>
        <w:t>《建筑设计防火规范》（GB50016-2014）；</w:t>
      </w:r>
    </w:p>
    <w:p w14:paraId="1121EB91">
      <w:pPr>
        <w:pStyle w:val="120"/>
        <w:ind w:firstLine="960" w:firstLineChars="400"/>
        <w:rPr>
          <w:rFonts w:ascii="宋体" w:hAnsi="宋体"/>
          <w:color w:val="000000"/>
          <w:highlight w:val="none"/>
        </w:rPr>
      </w:pPr>
      <w:r>
        <w:rPr>
          <w:rFonts w:hint="eastAsia" w:ascii="宋体" w:hAnsi="宋体"/>
          <w:color w:val="000000"/>
          <w:highlight w:val="none"/>
        </w:rPr>
        <w:t>《建筑施工场界环境噪声排放标准》（GB 12523-2011）；</w:t>
      </w:r>
    </w:p>
    <w:p w14:paraId="2B03871E">
      <w:pPr>
        <w:pStyle w:val="120"/>
        <w:ind w:firstLine="960" w:firstLineChars="400"/>
        <w:rPr>
          <w:rFonts w:ascii="宋体" w:hAnsi="宋体"/>
          <w:color w:val="000000"/>
          <w:highlight w:val="none"/>
        </w:rPr>
      </w:pPr>
      <w:r>
        <w:rPr>
          <w:rFonts w:hint="eastAsia" w:ascii="宋体" w:hAnsi="宋体"/>
          <w:color w:val="000000"/>
          <w:highlight w:val="none"/>
        </w:rPr>
        <w:t>《电信工程制图与图形符号规定》（YD/T 5015-2015）；</w:t>
      </w:r>
    </w:p>
    <w:p w14:paraId="1FF17DDA">
      <w:pPr>
        <w:pStyle w:val="120"/>
        <w:ind w:firstLine="960" w:firstLineChars="400"/>
        <w:rPr>
          <w:rFonts w:ascii="宋体" w:hAnsi="宋体"/>
          <w:color w:val="000000"/>
          <w:highlight w:val="none"/>
        </w:rPr>
      </w:pPr>
      <w:r>
        <w:rPr>
          <w:rFonts w:hint="eastAsia" w:ascii="宋体" w:hAnsi="宋体"/>
          <w:color w:val="000000"/>
          <w:highlight w:val="none"/>
        </w:rPr>
        <w:t>《通信电缆配线管道图集》（YD5062-1998）</w:t>
      </w:r>
    </w:p>
    <w:p w14:paraId="60EEC993">
      <w:pPr>
        <w:pStyle w:val="120"/>
        <w:ind w:firstLine="960" w:firstLineChars="400"/>
        <w:rPr>
          <w:rFonts w:ascii="宋体" w:hAnsi="宋体"/>
          <w:color w:val="000000"/>
          <w:highlight w:val="none"/>
        </w:rPr>
      </w:pPr>
      <w:r>
        <w:rPr>
          <w:rFonts w:hint="eastAsia" w:ascii="宋体" w:hAnsi="宋体"/>
          <w:color w:val="000000"/>
          <w:highlight w:val="none"/>
        </w:rPr>
        <w:t>《通信管道人孔和手孔图集》（YD5178-2017）</w:t>
      </w:r>
    </w:p>
    <w:p w14:paraId="6D8B4482">
      <w:pPr>
        <w:pStyle w:val="120"/>
        <w:ind w:firstLine="480"/>
        <w:rPr>
          <w:rFonts w:ascii="宋体" w:hAnsi="宋体"/>
          <w:color w:val="000000"/>
          <w:highlight w:val="none"/>
        </w:rPr>
      </w:pPr>
      <w:r>
        <w:rPr>
          <w:rFonts w:hint="eastAsia" w:ascii="宋体" w:hAnsi="宋体"/>
          <w:color w:val="000000"/>
          <w:highlight w:val="none"/>
        </w:rPr>
        <w:t>11）绿化专业：</w:t>
      </w:r>
    </w:p>
    <w:p w14:paraId="0F34A47F">
      <w:pPr>
        <w:pStyle w:val="120"/>
        <w:ind w:firstLine="960" w:firstLineChars="400"/>
        <w:rPr>
          <w:rFonts w:ascii="宋体" w:hAnsi="宋体"/>
          <w:color w:val="000000"/>
          <w:highlight w:val="none"/>
        </w:rPr>
      </w:pPr>
      <w:r>
        <w:rPr>
          <w:rFonts w:hint="eastAsia" w:ascii="宋体" w:hAnsi="宋体"/>
          <w:color w:val="000000"/>
          <w:highlight w:val="none"/>
        </w:rPr>
        <w:t>《城市道路绿化规划与设计规范》CJJ75-97</w:t>
      </w:r>
    </w:p>
    <w:p w14:paraId="64DD6B6D">
      <w:pPr>
        <w:pStyle w:val="120"/>
        <w:ind w:firstLine="960" w:firstLineChars="400"/>
        <w:rPr>
          <w:rFonts w:ascii="宋体" w:hAnsi="宋体"/>
          <w:color w:val="000000"/>
          <w:highlight w:val="none"/>
        </w:rPr>
      </w:pPr>
      <w:r>
        <w:rPr>
          <w:rFonts w:hint="eastAsia" w:ascii="宋体" w:hAnsi="宋体"/>
          <w:color w:val="000000"/>
          <w:highlight w:val="none"/>
        </w:rPr>
        <w:t>《城市道路工程设计规范》CJJ37-2012(2016年版)</w:t>
      </w:r>
    </w:p>
    <w:p w14:paraId="120B43DC">
      <w:pPr>
        <w:pStyle w:val="120"/>
        <w:ind w:firstLine="960" w:firstLineChars="400"/>
        <w:rPr>
          <w:rFonts w:ascii="宋体" w:hAnsi="宋体"/>
          <w:color w:val="000000"/>
          <w:highlight w:val="none"/>
        </w:rPr>
      </w:pPr>
      <w:r>
        <w:rPr>
          <w:rFonts w:hint="eastAsia" w:ascii="宋体" w:hAnsi="宋体"/>
          <w:color w:val="000000"/>
          <w:highlight w:val="none"/>
        </w:rPr>
        <w:t>《园林绿化工程项目规范》GB55014-2021</w:t>
      </w:r>
    </w:p>
    <w:p w14:paraId="17F9182B">
      <w:pPr>
        <w:pStyle w:val="120"/>
        <w:ind w:firstLine="960" w:firstLineChars="400"/>
        <w:rPr>
          <w:rFonts w:ascii="宋体" w:hAnsi="宋体"/>
          <w:color w:val="000000"/>
          <w:highlight w:val="none"/>
        </w:rPr>
      </w:pPr>
      <w:r>
        <w:rPr>
          <w:rFonts w:hint="eastAsia" w:ascii="宋体" w:hAnsi="宋体"/>
          <w:color w:val="000000"/>
          <w:highlight w:val="none"/>
        </w:rPr>
        <w:t>《园林绿化工程施工及验收规范》CJJ82-2012</w:t>
      </w:r>
    </w:p>
    <w:p w14:paraId="4C475467">
      <w:pPr>
        <w:pStyle w:val="120"/>
        <w:ind w:firstLine="960" w:firstLineChars="400"/>
        <w:rPr>
          <w:rFonts w:ascii="宋体" w:hAnsi="宋体"/>
          <w:color w:val="000000"/>
          <w:highlight w:val="none"/>
        </w:rPr>
      </w:pPr>
      <w:r>
        <w:rPr>
          <w:rFonts w:hint="eastAsia" w:ascii="宋体" w:hAnsi="宋体"/>
          <w:color w:val="000000"/>
          <w:highlight w:val="none"/>
        </w:rPr>
        <w:t>《广州绿化条例》2022年修订</w:t>
      </w:r>
    </w:p>
    <w:p w14:paraId="065B6E1D">
      <w:pPr>
        <w:pStyle w:val="120"/>
        <w:ind w:firstLine="960" w:firstLineChars="400"/>
        <w:rPr>
          <w:rFonts w:ascii="宋体" w:hAnsi="宋体"/>
          <w:color w:val="000000"/>
          <w:highlight w:val="none"/>
        </w:rPr>
      </w:pPr>
      <w:r>
        <w:rPr>
          <w:rFonts w:hint="eastAsia" w:ascii="宋体" w:hAnsi="宋体"/>
          <w:color w:val="000000"/>
          <w:highlight w:val="none"/>
        </w:rPr>
        <w:t>《城市绿地设计规范》GB50420-2007(2016年版)</w:t>
      </w:r>
    </w:p>
    <w:p w14:paraId="3BC6FA22">
      <w:pPr>
        <w:pStyle w:val="120"/>
        <w:ind w:firstLine="960" w:firstLineChars="400"/>
        <w:rPr>
          <w:rFonts w:ascii="宋体" w:hAnsi="宋体"/>
          <w:color w:val="000000"/>
          <w:highlight w:val="none"/>
        </w:rPr>
      </w:pPr>
      <w:r>
        <w:rPr>
          <w:rFonts w:hint="eastAsia" w:ascii="宋体" w:hAnsi="宋体"/>
          <w:color w:val="000000"/>
          <w:highlight w:val="none"/>
        </w:rPr>
        <w:t>《风景园林制图标准》CJJ/T 67-2015</w:t>
      </w:r>
    </w:p>
    <w:p w14:paraId="1633E5E4">
      <w:pPr>
        <w:pStyle w:val="120"/>
        <w:ind w:firstLine="960" w:firstLineChars="400"/>
        <w:rPr>
          <w:rFonts w:ascii="宋体" w:hAnsi="宋体"/>
          <w:color w:val="000000"/>
          <w:highlight w:val="none"/>
        </w:rPr>
      </w:pPr>
      <w:r>
        <w:rPr>
          <w:rFonts w:hint="eastAsia" w:ascii="宋体" w:hAnsi="宋体"/>
          <w:color w:val="000000"/>
          <w:highlight w:val="none"/>
        </w:rPr>
        <w:t>《绿化种植土壤》CJ/T340-2016</w:t>
      </w:r>
    </w:p>
    <w:p w14:paraId="1B60382F">
      <w:pPr>
        <w:pStyle w:val="120"/>
        <w:ind w:firstLine="480"/>
        <w:rPr>
          <w:rFonts w:ascii="宋体" w:hAnsi="宋体"/>
          <w:color w:val="000000"/>
          <w:highlight w:val="none"/>
        </w:rPr>
      </w:pPr>
      <w:r>
        <w:rPr>
          <w:rFonts w:hint="eastAsia" w:ascii="宋体" w:hAnsi="宋体"/>
          <w:color w:val="000000"/>
          <w:highlight w:val="none"/>
        </w:rPr>
        <w:t>12）照明专业：</w:t>
      </w:r>
    </w:p>
    <w:p w14:paraId="31ACD40F">
      <w:pPr>
        <w:pStyle w:val="120"/>
        <w:ind w:firstLine="960" w:firstLineChars="400"/>
        <w:rPr>
          <w:rFonts w:ascii="宋体" w:hAnsi="宋体"/>
          <w:color w:val="000000"/>
          <w:highlight w:val="none"/>
        </w:rPr>
      </w:pPr>
      <w:r>
        <w:rPr>
          <w:rFonts w:hint="eastAsia" w:ascii="宋体" w:hAnsi="宋体"/>
          <w:color w:val="000000"/>
          <w:highlight w:val="none"/>
        </w:rPr>
        <w:t>广东省推广使用LED照明产品实施方案的通知-粤府函[2012]113号文件；</w:t>
      </w:r>
    </w:p>
    <w:p w14:paraId="7CD64061">
      <w:pPr>
        <w:pStyle w:val="120"/>
        <w:ind w:firstLine="960" w:firstLineChars="400"/>
        <w:rPr>
          <w:rFonts w:ascii="宋体" w:hAnsi="宋体"/>
          <w:color w:val="000000"/>
          <w:highlight w:val="none"/>
        </w:rPr>
      </w:pPr>
      <w:r>
        <w:rPr>
          <w:rFonts w:hint="eastAsia" w:ascii="宋体" w:hAnsi="宋体"/>
          <w:color w:val="000000"/>
          <w:highlight w:val="none"/>
        </w:rPr>
        <w:t>《低压配电设计规范》(GB 50054-2011)；</w:t>
      </w:r>
    </w:p>
    <w:p w14:paraId="685F0080">
      <w:pPr>
        <w:pStyle w:val="120"/>
        <w:ind w:firstLine="960" w:firstLineChars="400"/>
        <w:rPr>
          <w:rFonts w:ascii="宋体" w:hAnsi="宋体"/>
          <w:color w:val="000000"/>
          <w:highlight w:val="none"/>
        </w:rPr>
      </w:pPr>
      <w:r>
        <w:rPr>
          <w:rFonts w:hint="eastAsia" w:ascii="宋体" w:hAnsi="宋体"/>
          <w:color w:val="000000"/>
          <w:highlight w:val="none"/>
        </w:rPr>
        <w:t>《供配电系统设计规范》(GB 50052-2009)；</w:t>
      </w:r>
    </w:p>
    <w:p w14:paraId="366E8440">
      <w:pPr>
        <w:pStyle w:val="120"/>
        <w:ind w:firstLine="960" w:firstLineChars="400"/>
        <w:rPr>
          <w:rFonts w:ascii="宋体" w:hAnsi="宋体"/>
          <w:color w:val="000000"/>
          <w:highlight w:val="none"/>
        </w:rPr>
      </w:pPr>
      <w:r>
        <w:rPr>
          <w:rFonts w:hint="eastAsia" w:ascii="宋体" w:hAnsi="宋体"/>
          <w:color w:val="000000"/>
          <w:highlight w:val="none"/>
        </w:rPr>
        <w:t>《城市道路照明设计标准》（CJJ45-2015）；</w:t>
      </w:r>
    </w:p>
    <w:p w14:paraId="01AB8E5C">
      <w:pPr>
        <w:pStyle w:val="120"/>
        <w:ind w:firstLine="960" w:firstLineChars="400"/>
        <w:rPr>
          <w:rFonts w:ascii="宋体" w:hAnsi="宋体"/>
          <w:color w:val="000000"/>
          <w:highlight w:val="none"/>
        </w:rPr>
      </w:pPr>
      <w:r>
        <w:rPr>
          <w:rFonts w:hint="eastAsia" w:ascii="宋体" w:hAnsi="宋体"/>
          <w:color w:val="000000"/>
          <w:highlight w:val="none"/>
        </w:rPr>
        <w:t>《城市道路照明工程施工及验收规程》 （CJJ 89-2012）；</w:t>
      </w:r>
    </w:p>
    <w:p w14:paraId="29AB1176">
      <w:pPr>
        <w:pStyle w:val="120"/>
        <w:ind w:firstLine="960" w:firstLineChars="400"/>
        <w:rPr>
          <w:rFonts w:ascii="宋体" w:hAnsi="宋体"/>
          <w:color w:val="000000"/>
          <w:highlight w:val="none"/>
        </w:rPr>
      </w:pPr>
      <w:r>
        <w:rPr>
          <w:rFonts w:hint="eastAsia" w:ascii="宋体" w:hAnsi="宋体"/>
          <w:color w:val="000000"/>
          <w:highlight w:val="none"/>
        </w:rPr>
        <w:t>《交流电气装置的接地设计规范》（GB/T50065-2011)；</w:t>
      </w:r>
    </w:p>
    <w:p w14:paraId="36F2C440">
      <w:pPr>
        <w:pStyle w:val="120"/>
        <w:ind w:firstLine="960" w:firstLineChars="400"/>
        <w:rPr>
          <w:rFonts w:ascii="宋体" w:hAnsi="宋体"/>
          <w:color w:val="000000"/>
          <w:highlight w:val="none"/>
        </w:rPr>
      </w:pPr>
      <w:r>
        <w:rPr>
          <w:rFonts w:hint="eastAsia" w:ascii="宋体" w:hAnsi="宋体"/>
          <w:color w:val="000000"/>
          <w:highlight w:val="none"/>
        </w:rPr>
        <w:t>《道路照明用LED灯性能要求》(GB_T24907-2010)；</w:t>
      </w:r>
    </w:p>
    <w:p w14:paraId="6EB5DC25">
      <w:pPr>
        <w:pStyle w:val="120"/>
        <w:ind w:firstLine="960" w:firstLineChars="400"/>
        <w:rPr>
          <w:rFonts w:ascii="宋体" w:hAnsi="宋体"/>
          <w:color w:val="000000"/>
          <w:highlight w:val="none"/>
        </w:rPr>
      </w:pPr>
      <w:r>
        <w:rPr>
          <w:rFonts w:hint="eastAsia" w:ascii="宋体" w:hAnsi="宋体"/>
          <w:color w:val="000000"/>
          <w:highlight w:val="none"/>
        </w:rPr>
        <w:t>《电力工程电缆设计标准》(GB 50217-2018)；</w:t>
      </w:r>
    </w:p>
    <w:p w14:paraId="4BE1CBA4">
      <w:pPr>
        <w:pStyle w:val="120"/>
        <w:ind w:firstLine="960" w:firstLineChars="400"/>
        <w:rPr>
          <w:rFonts w:ascii="宋体" w:hAnsi="宋体"/>
          <w:color w:val="000000"/>
          <w:highlight w:val="none"/>
        </w:rPr>
      </w:pPr>
      <w:r>
        <w:rPr>
          <w:rFonts w:hint="eastAsia" w:ascii="宋体" w:hAnsi="宋体"/>
          <w:color w:val="000000"/>
          <w:highlight w:val="none"/>
        </w:rPr>
        <w:t>《LED城市道路照明应用技术要求》(GB/T 31832-2015)；</w:t>
      </w:r>
    </w:p>
    <w:p w14:paraId="5D8C20BE">
      <w:pPr>
        <w:pStyle w:val="120"/>
        <w:ind w:firstLine="960" w:firstLineChars="400"/>
        <w:rPr>
          <w:color w:val="000000"/>
          <w:highlight w:val="none"/>
        </w:rPr>
      </w:pPr>
      <w:r>
        <w:rPr>
          <w:rFonts w:hint="eastAsia" w:ascii="宋体" w:hAnsi="宋体"/>
          <w:color w:val="000000"/>
          <w:highlight w:val="none"/>
        </w:rPr>
        <w:t>《桥梁防雷技术规范》(GB/T31067-2014)；</w:t>
      </w:r>
    </w:p>
    <w:p w14:paraId="00DCCD4A">
      <w:pPr>
        <w:ind w:firstLine="564" w:firstLineChars="235"/>
        <w:rPr>
          <w:color w:val="000000"/>
          <w:highlight w:val="none"/>
        </w:rPr>
      </w:pPr>
      <w:r>
        <w:rPr>
          <w:color w:val="000000"/>
          <w:highlight w:val="none"/>
        </w:rPr>
        <w:t>3．相关文件</w:t>
      </w:r>
    </w:p>
    <w:p w14:paraId="443AA044">
      <w:pPr>
        <w:pStyle w:val="6"/>
        <w:numPr>
          <w:ilvl w:val="0"/>
          <w:numId w:val="6"/>
        </w:numPr>
        <w:ind w:left="0" w:firstLine="564" w:firstLineChars="235"/>
        <w:rPr>
          <w:rFonts w:ascii="微软雅黑" w:hAnsi="微软雅黑" w:eastAsia="微软雅黑"/>
          <w:color w:val="000000"/>
          <w:szCs w:val="21"/>
          <w:highlight w:val="none"/>
        </w:rPr>
      </w:pPr>
      <w:r>
        <w:rPr>
          <w:rFonts w:hint="eastAsia"/>
          <w:color w:val="000000"/>
          <w:highlight w:val="none"/>
        </w:rPr>
        <w:t>广州罗冲围安置区</w:t>
      </w:r>
      <w:r>
        <w:rPr>
          <w:color w:val="000000"/>
          <w:highlight w:val="none"/>
        </w:rPr>
        <w:t>控制性详细规划修改、</w:t>
      </w:r>
      <w:r>
        <w:rPr>
          <w:rFonts w:hint="eastAsia"/>
          <w:color w:val="000000"/>
          <w:highlight w:val="none"/>
        </w:rPr>
        <w:t>广州罗冲围安置区</w:t>
      </w:r>
      <w:r>
        <w:rPr>
          <w:color w:val="000000"/>
          <w:highlight w:val="none"/>
        </w:rPr>
        <w:t>控制性详细规划修编、</w:t>
      </w:r>
      <w:r>
        <w:rPr>
          <w:rFonts w:hint="eastAsia"/>
          <w:color w:val="000000"/>
          <w:highlight w:val="none"/>
        </w:rPr>
        <w:t>广州罗冲围安置区</w:t>
      </w:r>
      <w:r>
        <w:rPr>
          <w:color w:val="000000"/>
          <w:highlight w:val="none"/>
        </w:rPr>
        <w:t>及留用地控制性详细规划调整征求意见稿</w:t>
      </w:r>
    </w:p>
    <w:p w14:paraId="0B1A54D6">
      <w:pPr>
        <w:pStyle w:val="6"/>
        <w:ind w:firstLine="0" w:firstLineChars="0"/>
        <w:rPr>
          <w:color w:val="000000"/>
          <w:highlight w:val="none"/>
        </w:rPr>
      </w:pPr>
    </w:p>
    <w:p w14:paraId="36266DB0">
      <w:pPr>
        <w:pStyle w:val="3"/>
        <w:rPr>
          <w:color w:val="000000"/>
          <w:highlight w:val="none"/>
        </w:rPr>
      </w:pPr>
      <w:bookmarkStart w:id="4" w:name="_Toc75504382"/>
      <w:r>
        <w:rPr>
          <w:color w:val="000000"/>
          <w:highlight w:val="none"/>
        </w:rPr>
        <w:t>项目建设范围及勘察设计范围</w:t>
      </w:r>
      <w:bookmarkEnd w:id="4"/>
    </w:p>
    <w:p w14:paraId="7DC07D83">
      <w:pPr>
        <w:pStyle w:val="4"/>
        <w:rPr>
          <w:highlight w:val="none"/>
        </w:rPr>
      </w:pPr>
      <w:r>
        <w:rPr>
          <w:color w:val="000000"/>
          <w:highlight w:val="none"/>
        </w:rPr>
        <w:t>项目建设范围</w:t>
      </w:r>
    </w:p>
    <w:p w14:paraId="76615130">
      <w:pPr>
        <w:rPr>
          <w:color w:val="000000"/>
          <w:highlight w:val="none"/>
        </w:rPr>
      </w:pPr>
      <w:r>
        <w:rPr>
          <w:rFonts w:hint="eastAsia"/>
          <w:color w:val="000000"/>
          <w:highlight w:val="none"/>
        </w:rPr>
        <w:t>本项目建设范围，包含了AB3802042地块以及新建的规划道路用地、绿化用地。（详见附图1范围）。</w:t>
      </w:r>
    </w:p>
    <w:p w14:paraId="69BDFA2A">
      <w:pPr>
        <w:ind w:firstLine="0" w:firstLineChars="0"/>
        <w:jc w:val="center"/>
        <w:rPr>
          <w:color w:val="000000"/>
          <w:highlight w:val="none"/>
        </w:rPr>
      </w:pPr>
      <w:r>
        <w:rPr>
          <w:rFonts w:ascii="Times New Roman" w:hAnsi="Times New Roman" w:eastAsia="Times New Roman" w:cs="Times New Roman"/>
          <w:snapToGrid w:val="0"/>
          <w:color w:val="000000"/>
          <w:w w:val="0"/>
          <w:kern w:val="0"/>
          <w:sz w:val="0"/>
          <w:szCs w:val="0"/>
          <w:highlight w:val="none"/>
          <w:u w:color="000000"/>
          <w:shd w:val="clear" w:color="000000" w:fill="000000"/>
          <w:lang w:val="zh-CN" w:bidi="zh-CN"/>
        </w:rPr>
        <w:t xml:space="preserve"> </w:t>
      </w:r>
      <w:r>
        <w:rPr>
          <w:rFonts w:ascii="Times New Roman" w:hAnsi="Times New Roman" w:eastAsia="Times New Roman" w:cs="Times New Roman"/>
          <w:snapToGrid w:val="0"/>
          <w:color w:val="000000"/>
          <w:w w:val="0"/>
          <w:kern w:val="0"/>
          <w:sz w:val="0"/>
          <w:szCs w:val="0"/>
          <w:highlight w:val="none"/>
          <w:u w:color="000000"/>
          <w:shd w:val="clear" w:color="000000" w:fill="000000"/>
          <w:lang w:val="zh-CN" w:bidi="zh-CN"/>
        </w:rPr>
        <w:drawing>
          <wp:inline distT="0" distB="0" distL="0" distR="0">
            <wp:extent cx="3505200" cy="3852545"/>
            <wp:effectExtent l="0" t="0" r="0" b="0"/>
            <wp:docPr id="1" name="图片 1" descr="D:\WeChat Files\abckenren\FileStorage\Temp\47d1dae70858c3b1ee0d1e4cb7a90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WeChat Files\abckenren\FileStorage\Temp\47d1dae70858c3b1ee0d1e4cb7a905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505200" cy="3852545"/>
                    </a:xfrm>
                    <a:prstGeom prst="rect">
                      <a:avLst/>
                    </a:prstGeom>
                    <a:noFill/>
                    <a:ln>
                      <a:noFill/>
                    </a:ln>
                  </pic:spPr>
                </pic:pic>
              </a:graphicData>
            </a:graphic>
          </wp:inline>
        </w:drawing>
      </w:r>
    </w:p>
    <w:p w14:paraId="30C8840C">
      <w:pPr>
        <w:ind w:firstLine="0" w:firstLineChars="0"/>
        <w:jc w:val="center"/>
        <w:rPr>
          <w:color w:val="000000"/>
          <w:highlight w:val="none"/>
        </w:rPr>
      </w:pPr>
      <w:r>
        <w:rPr>
          <w:rFonts w:hint="eastAsia"/>
          <w:color w:val="000000"/>
          <w:sz w:val="21"/>
          <w:szCs w:val="21"/>
          <w:highlight w:val="none"/>
        </w:rPr>
        <w:t xml:space="preserve">附图1 </w:t>
      </w:r>
      <w:r>
        <w:rPr>
          <w:color w:val="000000"/>
          <w:sz w:val="21"/>
          <w:szCs w:val="21"/>
          <w:highlight w:val="none"/>
        </w:rPr>
        <w:t>本项目</w:t>
      </w:r>
      <w:r>
        <w:rPr>
          <w:rFonts w:hint="eastAsia"/>
          <w:color w:val="000000"/>
          <w:sz w:val="21"/>
          <w:szCs w:val="21"/>
          <w:highlight w:val="none"/>
        </w:rPr>
        <w:t>地块界限</w:t>
      </w:r>
      <w:r>
        <w:rPr>
          <w:color w:val="000000"/>
          <w:sz w:val="21"/>
          <w:szCs w:val="21"/>
          <w:highlight w:val="none"/>
        </w:rPr>
        <w:t>示意图</w:t>
      </w:r>
      <w:r>
        <w:rPr>
          <w:rFonts w:hint="eastAsia"/>
          <w:color w:val="000000"/>
          <w:sz w:val="21"/>
          <w:szCs w:val="21"/>
          <w:highlight w:val="none"/>
        </w:rPr>
        <w:t>，具体以政府批复为准</w:t>
      </w:r>
    </w:p>
    <w:p w14:paraId="758F0E1D">
      <w:pPr>
        <w:jc w:val="center"/>
        <w:rPr>
          <w:color w:val="000000"/>
          <w:highlight w:val="none"/>
        </w:rPr>
      </w:pPr>
    </w:p>
    <w:p w14:paraId="13812533">
      <w:pPr>
        <w:jc w:val="center"/>
        <w:rPr>
          <w:color w:val="000000"/>
          <w:highlight w:val="none"/>
        </w:rPr>
      </w:pPr>
    </w:p>
    <w:p w14:paraId="7CA27232">
      <w:pPr>
        <w:pStyle w:val="4"/>
        <w:rPr>
          <w:color w:val="000000"/>
          <w:highlight w:val="none"/>
        </w:rPr>
      </w:pPr>
      <w:r>
        <w:rPr>
          <w:color w:val="000000"/>
          <w:highlight w:val="none"/>
        </w:rPr>
        <w:t>项目勘察设计范围</w:t>
      </w:r>
    </w:p>
    <w:p w14:paraId="27616AB9">
      <w:pPr>
        <w:rPr>
          <w:color w:val="000000"/>
          <w:highlight w:val="none"/>
        </w:rPr>
      </w:pPr>
      <w:r>
        <w:rPr>
          <w:rFonts w:hint="eastAsia"/>
          <w:color w:val="000000"/>
          <w:highlight w:val="none"/>
        </w:rPr>
        <w:t>设计范围包括：标段内的全部初步设计阶段设计，设计深度需满足政府主管部门初步设计报批深度的要求，包括场地的基坑支护设计、地基及软基处理设计、市政设计、建筑方案设计、概算编制（含方案设计估算、初步设计概算）、因政策变化或相应外部条件改变带来的相应设计工作、总控协调工作（如有）、与本项目初步设计阶段相关的设计等工作。</w:t>
      </w:r>
    </w:p>
    <w:p w14:paraId="7C6D636B">
      <w:pPr>
        <w:rPr>
          <w:color w:val="000000"/>
          <w:highlight w:val="none"/>
        </w:rPr>
      </w:pPr>
      <w:r>
        <w:rPr>
          <w:rFonts w:hint="eastAsia"/>
          <w:color w:val="000000"/>
          <w:highlight w:val="none"/>
        </w:rPr>
        <w:t>勘察工作范围包括：本项目规划红线图范围内所须的所有勘察工作，暂估地质勘察工程量约</w:t>
      </w:r>
      <w:r>
        <w:rPr>
          <w:color w:val="000000"/>
          <w:highlight w:val="none"/>
        </w:rPr>
        <w:t>5070m(最终工程量以实际发生为准)</w:t>
      </w:r>
      <w:r>
        <w:rPr>
          <w:rFonts w:hint="eastAsia"/>
          <w:color w:val="000000"/>
          <w:highlight w:val="none"/>
        </w:rPr>
        <w:t>，包括但不限于勘察大纲、岩土工程勘察、详细勘察等工作。</w:t>
      </w:r>
    </w:p>
    <w:p w14:paraId="69F7A535">
      <w:pPr>
        <w:rPr>
          <w:rFonts w:ascii="微软雅黑" w:hAnsi="微软雅黑" w:eastAsia="微软雅黑"/>
          <w:color w:val="000000"/>
          <w:szCs w:val="21"/>
          <w:highlight w:val="none"/>
        </w:rPr>
      </w:pPr>
    </w:p>
    <w:p w14:paraId="6ABC9909">
      <w:pPr>
        <w:pStyle w:val="3"/>
        <w:rPr>
          <w:color w:val="000000"/>
          <w:highlight w:val="none"/>
        </w:rPr>
      </w:pPr>
      <w:bookmarkStart w:id="5" w:name="_Toc75504383"/>
      <w:r>
        <w:rPr>
          <w:color w:val="000000"/>
          <w:highlight w:val="none"/>
        </w:rPr>
        <w:t>建设用地现状情况</w:t>
      </w:r>
      <w:bookmarkEnd w:id="5"/>
    </w:p>
    <w:p w14:paraId="43CB340C">
      <w:pPr>
        <w:pStyle w:val="4"/>
        <w:rPr>
          <w:color w:val="000000"/>
          <w:highlight w:val="none"/>
        </w:rPr>
      </w:pPr>
      <w:r>
        <w:rPr>
          <w:color w:val="000000"/>
          <w:highlight w:val="none"/>
        </w:rPr>
        <w:t>场地条件</w:t>
      </w:r>
    </w:p>
    <w:p w14:paraId="654EB1BB">
      <w:pPr>
        <w:rPr>
          <w:color w:val="000000"/>
          <w:highlight w:val="none"/>
        </w:rPr>
      </w:pPr>
      <w:r>
        <w:rPr>
          <w:color w:val="000000"/>
          <w:highlight w:val="none"/>
        </w:rPr>
        <w:t>本项目选址位于广州市</w:t>
      </w:r>
      <w:r>
        <w:rPr>
          <w:rFonts w:hint="eastAsia"/>
          <w:color w:val="000000"/>
          <w:highlight w:val="none"/>
        </w:rPr>
        <w:t>白云</w:t>
      </w:r>
      <w:r>
        <w:rPr>
          <w:color w:val="000000"/>
          <w:highlight w:val="none"/>
        </w:rPr>
        <w:t>区</w:t>
      </w:r>
      <w:r>
        <w:rPr>
          <w:rFonts w:hint="eastAsia"/>
          <w:color w:val="000000"/>
          <w:highlight w:val="none"/>
        </w:rPr>
        <w:t>松溪街道，螺涌公园南侧，规划九路东侧</w:t>
      </w:r>
      <w:r>
        <w:rPr>
          <w:color w:val="000000"/>
          <w:highlight w:val="none"/>
        </w:rPr>
        <w:t>，项目选址交通便利，符合项目建设的选址要求。</w:t>
      </w:r>
    </w:p>
    <w:p w14:paraId="139C3EA8">
      <w:pPr>
        <w:pStyle w:val="4"/>
        <w:rPr>
          <w:color w:val="000000"/>
          <w:highlight w:val="none"/>
        </w:rPr>
      </w:pPr>
      <w:r>
        <w:rPr>
          <w:color w:val="000000"/>
          <w:highlight w:val="none"/>
        </w:rPr>
        <w:t>气候条件</w:t>
      </w:r>
    </w:p>
    <w:p w14:paraId="2A0D1C09">
      <w:pPr>
        <w:ind w:firstLine="480" w:firstLineChars="200"/>
        <w:rPr>
          <w:color w:val="000000"/>
          <w:highlight w:val="none"/>
        </w:rPr>
      </w:pPr>
      <w:r>
        <w:rPr>
          <w:rFonts w:hint="eastAsia"/>
          <w:color w:val="000000"/>
          <w:highlight w:val="none"/>
        </w:rPr>
        <w:t>白云区</w:t>
      </w:r>
      <w:bookmarkStart w:id="6" w:name="_Hlk74756655"/>
      <w:r>
        <w:rPr>
          <w:rFonts w:hint="eastAsia"/>
          <w:color w:val="000000"/>
          <w:highlight w:val="none"/>
        </w:rPr>
        <w:t>境内的河流属珠江水系。因受地势影响，河流多从东北流向西南，从东流向西或从北流向南，分别流入珠江、白坭河、流溪河，也有少数经天河区流入东江。主要河流有流溪河、白坭河、珠江（西航道）以及南岗河等。</w:t>
      </w:r>
    </w:p>
    <w:p w14:paraId="600CC9B9">
      <w:pPr>
        <w:ind w:firstLine="480" w:firstLineChars="200"/>
        <w:rPr>
          <w:color w:val="000000"/>
          <w:highlight w:val="none"/>
        </w:rPr>
      </w:pPr>
      <w:r>
        <w:rPr>
          <w:rFonts w:hint="eastAsia"/>
          <w:color w:val="000000"/>
          <w:highlight w:val="none"/>
        </w:rPr>
        <w:t>白云区地处北回归线以南，属南亚热带季风气候区，季风环流盛行。冬季处于大陆高压东南边缘，多吹来自大陆的偏北风，因有南岭等山脉作屏障，阻隔北方南下寒潮，又可使冷空气锋面停滞，形成阴雨，故冬季不致严寒干燥。夏季主要受太平洋高压影响，多吹来自海洋的偏南风，因南岭山脉及区内东北高、西南低的地形特点，可截留大量水蒸气上升成雨，故夏季不至于酷热。</w:t>
      </w:r>
    </w:p>
    <w:p w14:paraId="2FF066CB">
      <w:pPr>
        <w:rPr>
          <w:rFonts w:ascii="微软雅黑" w:hAnsi="微软雅黑" w:eastAsia="微软雅黑"/>
          <w:color w:val="000000"/>
          <w:szCs w:val="21"/>
          <w:highlight w:val="none"/>
        </w:rPr>
      </w:pPr>
      <w:r>
        <w:rPr>
          <w:rFonts w:hint="eastAsia"/>
          <w:color w:val="000000"/>
          <w:highlight w:val="none"/>
        </w:rPr>
        <w:t>热量丰富，雨量充沛，霜雪稀少，四季分明，春夏之间多暴雨，夏秋之间多台风。年平均气温</w:t>
      </w:r>
      <w:r>
        <w:rPr>
          <w:color w:val="000000"/>
          <w:highlight w:val="none"/>
        </w:rPr>
        <w:t>21.8℃；7月，平均气温28.4℃，极端最高气温38.1℃；1月，平均气温13.3℃，极端最低为0℃；无霜期达345天；年降雨量1694毫米，4月至9月雨量占82.1%</w:t>
      </w:r>
      <w:bookmarkEnd w:id="6"/>
      <w:r>
        <w:rPr>
          <w:color w:val="000000"/>
          <w:highlight w:val="none"/>
        </w:rPr>
        <w:t>。</w:t>
      </w:r>
    </w:p>
    <w:p w14:paraId="5EDBD951">
      <w:pPr>
        <w:pStyle w:val="4"/>
        <w:rPr>
          <w:color w:val="000000"/>
          <w:highlight w:val="none"/>
        </w:rPr>
      </w:pPr>
      <w:r>
        <w:rPr>
          <w:rFonts w:hint="eastAsia"/>
          <w:color w:val="000000"/>
          <w:highlight w:val="none"/>
        </w:rPr>
        <w:t>地质条件</w:t>
      </w:r>
    </w:p>
    <w:p w14:paraId="16C1C195">
      <w:pPr>
        <w:pStyle w:val="31"/>
        <w:ind w:firstLine="480" w:firstLineChars="200"/>
        <w:rPr>
          <w:sz w:val="24"/>
          <w:highlight w:val="none"/>
        </w:rPr>
      </w:pPr>
      <w:bookmarkStart w:id="7" w:name="_Hlk74756690"/>
      <w:r>
        <w:rPr>
          <w:sz w:val="24"/>
          <w:highlight w:val="none"/>
        </w:rPr>
        <w:t>白云区位于粤中低山与珠江三角洲平原的过渡地带。地势北部与东北部高，西部和南部低。大致以广从断裂带和瘦狗岭断裂带为界，广从断裂带以东，瘦狗岭断裂带以北，是白云山—萝岗低山丘陵地区，中有山间冲积平原点缀，如南岗河冲积而成的萝岗洞，金坑河冲积而成的穗丰、兴丰两个小盆地，良田坑冲积而成的白米洞，凤尾坑冲积而成的九佛洞等。广从断裂以西，主要是流溪河冲积平原和珠江三角洲平原。</w:t>
      </w:r>
    </w:p>
    <w:p w14:paraId="0AF3E777">
      <w:pPr>
        <w:rPr>
          <w:color w:val="000000"/>
          <w:highlight w:val="none"/>
        </w:rPr>
      </w:pPr>
      <w:r>
        <w:rPr>
          <w:color w:val="000000"/>
          <w:highlight w:val="none"/>
        </w:rPr>
        <w:t>北部及东北部以低山为主，谷深，坡陡，基岩是坚硬的、块状的变质岩和花岗岩。在低山的边缘地带，如新广从公路东侧、旧广从公路大源以南两侧，展布着一系列丘陵，其基岩是抗风化力较弱的中粗粒花岗岩，故山顶浑圆，山坡平缓，在丘陵区的南部边缘，沿瘦狗岭断裂走向是一片带状的台地，区境内西起王圣堂，依次是走马岗、桂花岗，接天河区境的横枝岗、瘦狗岭、下元岗，一直延伸到区境萝岗的火村、刘村。白云山西麓，是丘陵与山前平原相接地带，并展布着一系列北东向的山前洼地和台地，与冲积平原相间，组成了流溪河波状平原</w:t>
      </w:r>
      <w:bookmarkEnd w:id="7"/>
      <w:r>
        <w:rPr>
          <w:color w:val="000000"/>
          <w:highlight w:val="none"/>
        </w:rPr>
        <w:t>。</w:t>
      </w:r>
    </w:p>
    <w:p w14:paraId="7CEE3B7C">
      <w:pPr>
        <w:pStyle w:val="4"/>
        <w:rPr>
          <w:color w:val="000000"/>
          <w:highlight w:val="none"/>
        </w:rPr>
      </w:pPr>
      <w:r>
        <w:rPr>
          <w:color w:val="000000"/>
          <w:highlight w:val="none"/>
        </w:rPr>
        <w:t>市政条件</w:t>
      </w:r>
    </w:p>
    <w:p w14:paraId="4DF25565">
      <w:pPr>
        <w:rPr>
          <w:color w:val="000000"/>
          <w:highlight w:val="none"/>
        </w:rPr>
      </w:pPr>
      <w:r>
        <w:rPr>
          <w:color w:val="000000"/>
          <w:highlight w:val="none"/>
        </w:rPr>
        <w:t>项目周边给水、排水、供电、燃气等市政公用设施管网需考虑重新接驳使用。</w:t>
      </w:r>
    </w:p>
    <w:p w14:paraId="299859C7">
      <w:pPr>
        <w:pStyle w:val="5"/>
        <w:rPr>
          <w:rFonts w:ascii="微软雅黑" w:hAnsi="微软雅黑" w:eastAsia="微软雅黑"/>
          <w:color w:val="000000"/>
          <w:szCs w:val="21"/>
          <w:highlight w:val="none"/>
        </w:rPr>
      </w:pPr>
      <w:r>
        <w:rPr>
          <w:rFonts w:hint="eastAsia"/>
          <w:color w:val="000000"/>
          <w:highlight w:val="none"/>
        </w:rPr>
        <w:t>给水现状</w:t>
      </w:r>
    </w:p>
    <w:p w14:paraId="49506E2D">
      <w:pPr>
        <w:rPr>
          <w:color w:val="000000"/>
          <w:highlight w:val="none"/>
        </w:rPr>
      </w:pPr>
      <w:r>
        <w:rPr>
          <w:rFonts w:hint="eastAsia"/>
          <w:color w:val="000000"/>
          <w:highlight w:val="none"/>
        </w:rPr>
        <w:t>暂无</w:t>
      </w:r>
      <w:r>
        <w:rPr>
          <w:color w:val="000000"/>
          <w:highlight w:val="none"/>
        </w:rPr>
        <w:t>。</w:t>
      </w:r>
    </w:p>
    <w:p w14:paraId="1B16AD2B">
      <w:pPr>
        <w:pStyle w:val="5"/>
        <w:rPr>
          <w:color w:val="000000"/>
          <w:highlight w:val="none"/>
        </w:rPr>
      </w:pPr>
      <w:r>
        <w:rPr>
          <w:rFonts w:hint="eastAsia"/>
          <w:color w:val="000000"/>
          <w:highlight w:val="none"/>
        </w:rPr>
        <w:t>排水现状</w:t>
      </w:r>
    </w:p>
    <w:p w14:paraId="0C547F1C">
      <w:pPr>
        <w:rPr>
          <w:rFonts w:ascii="微软雅黑" w:hAnsi="微软雅黑" w:eastAsia="微软雅黑"/>
          <w:color w:val="000000"/>
          <w:szCs w:val="21"/>
          <w:highlight w:val="none"/>
        </w:rPr>
      </w:pPr>
      <w:r>
        <w:rPr>
          <w:rFonts w:hint="eastAsia"/>
          <w:color w:val="000000"/>
          <w:highlight w:val="none"/>
        </w:rPr>
        <w:t>暂无</w:t>
      </w:r>
      <w:r>
        <w:rPr>
          <w:color w:val="000000"/>
          <w:highlight w:val="none"/>
        </w:rPr>
        <w:t>。</w:t>
      </w:r>
    </w:p>
    <w:p w14:paraId="1D0814D4">
      <w:pPr>
        <w:pStyle w:val="5"/>
        <w:rPr>
          <w:rFonts w:ascii="微软雅黑" w:hAnsi="微软雅黑" w:eastAsia="微软雅黑"/>
          <w:color w:val="000000"/>
          <w:szCs w:val="21"/>
          <w:highlight w:val="none"/>
        </w:rPr>
      </w:pPr>
      <w:r>
        <w:rPr>
          <w:rFonts w:hint="eastAsia"/>
          <w:color w:val="000000"/>
          <w:highlight w:val="none"/>
        </w:rPr>
        <w:t>排水体制</w:t>
      </w:r>
    </w:p>
    <w:p w14:paraId="79813C5E">
      <w:pPr>
        <w:rPr>
          <w:rFonts w:ascii="微软雅黑" w:hAnsi="微软雅黑" w:eastAsia="微软雅黑"/>
          <w:color w:val="000000"/>
          <w:szCs w:val="21"/>
          <w:highlight w:val="none"/>
        </w:rPr>
      </w:pPr>
      <w:r>
        <w:rPr>
          <w:color w:val="000000"/>
          <w:highlight w:val="none"/>
        </w:rPr>
        <w:t>按照环境保护要求，同时根据污水体制的优缺点比较及根据城市规划,本地区属新区建设,采用分流制作为本项目的排水体制。</w:t>
      </w:r>
    </w:p>
    <w:p w14:paraId="5339D696">
      <w:pPr>
        <w:pStyle w:val="5"/>
        <w:rPr>
          <w:rFonts w:ascii="微软雅黑" w:hAnsi="微软雅黑" w:eastAsia="微软雅黑"/>
          <w:color w:val="000000"/>
          <w:szCs w:val="21"/>
          <w:highlight w:val="none"/>
        </w:rPr>
      </w:pPr>
      <w:r>
        <w:rPr>
          <w:rFonts w:hint="eastAsia"/>
          <w:color w:val="000000"/>
          <w:highlight w:val="none"/>
        </w:rPr>
        <w:t>电力现状以及规划</w:t>
      </w:r>
    </w:p>
    <w:p w14:paraId="5E4DC7D5">
      <w:pPr>
        <w:rPr>
          <w:color w:val="000000"/>
          <w:highlight w:val="none"/>
        </w:rPr>
      </w:pPr>
      <w:r>
        <w:rPr>
          <w:rFonts w:hint="eastAsia"/>
          <w:color w:val="000000"/>
          <w:highlight w:val="none"/>
        </w:rPr>
        <w:t>暂无</w:t>
      </w:r>
      <w:r>
        <w:rPr>
          <w:color w:val="000000"/>
          <w:highlight w:val="none"/>
        </w:rPr>
        <w:t>。</w:t>
      </w:r>
    </w:p>
    <w:p w14:paraId="39F6D275">
      <w:pPr>
        <w:pStyle w:val="5"/>
        <w:rPr>
          <w:color w:val="000000"/>
          <w:highlight w:val="none"/>
        </w:rPr>
      </w:pPr>
      <w:r>
        <w:rPr>
          <w:rFonts w:hint="eastAsia"/>
          <w:color w:val="000000"/>
          <w:highlight w:val="none"/>
        </w:rPr>
        <w:t>燃气现状</w:t>
      </w:r>
    </w:p>
    <w:p w14:paraId="782ABF8D">
      <w:pPr>
        <w:rPr>
          <w:color w:val="000000"/>
          <w:highlight w:val="none"/>
        </w:rPr>
      </w:pPr>
      <w:r>
        <w:rPr>
          <w:rFonts w:hint="eastAsia"/>
          <w:color w:val="000000"/>
          <w:highlight w:val="none"/>
        </w:rPr>
        <w:t>暂无</w:t>
      </w:r>
      <w:r>
        <w:rPr>
          <w:color w:val="000000"/>
          <w:highlight w:val="none"/>
        </w:rPr>
        <w:t>。</w:t>
      </w:r>
      <w:r>
        <w:rPr>
          <w:color w:val="000000"/>
          <w:highlight w:val="none"/>
        </w:rPr>
        <w:br w:type="page"/>
      </w:r>
    </w:p>
    <w:p w14:paraId="79F73036">
      <w:pPr>
        <w:rPr>
          <w:color w:val="000000"/>
          <w:highlight w:val="none"/>
        </w:rPr>
      </w:pPr>
    </w:p>
    <w:p w14:paraId="77189183">
      <w:pPr>
        <w:pStyle w:val="2"/>
        <w:rPr>
          <w:color w:val="000000"/>
          <w:highlight w:val="none"/>
        </w:rPr>
      </w:pPr>
      <w:bookmarkStart w:id="8" w:name="_Toc75504384"/>
      <w:r>
        <w:rPr>
          <w:color w:val="000000"/>
          <w:highlight w:val="none"/>
        </w:rPr>
        <w:t>设计原则及设计内容</w:t>
      </w:r>
      <w:bookmarkEnd w:id="8"/>
    </w:p>
    <w:p w14:paraId="18FB0722">
      <w:pPr>
        <w:ind w:firstLine="480" w:firstLineChars="200"/>
        <w:rPr>
          <w:color w:val="000000"/>
          <w:highlight w:val="none"/>
        </w:rPr>
      </w:pPr>
      <w:r>
        <w:rPr>
          <w:rFonts w:hint="eastAsia"/>
          <w:color w:val="000000"/>
          <w:highlight w:val="none"/>
        </w:rPr>
        <w:t>本项目是为解决</w:t>
      </w:r>
      <w:r>
        <w:rPr>
          <w:color w:val="000000"/>
          <w:highlight w:val="none"/>
        </w:rPr>
        <w:t>广州市白云区螺涌村、松南村、松北村城中村改造项目</w:t>
      </w:r>
      <w:r>
        <w:rPr>
          <w:rFonts w:hint="eastAsia"/>
          <w:color w:val="000000"/>
          <w:highlight w:val="none"/>
        </w:rPr>
        <w:t>AB3802042地块建设周边受影响居民的居住问题而建设的安置区。建设应坚持遵循安全可靠、经济实用、资源节约、环境友好和适度创新的原则，充分考虑原村落宗族居住习惯和居住行为、住宅使用功能与空间的组合，以满足安置家庭的基本居住生活需求，合理确定套型结构。同时体现“以人为本”的设计原则，创造安全、方便、健康、紧凑、和谐的人居环境，并合理采用成熟可靠的新技术、新材料、新工艺，符合国家有关技术标准、规范，达到节地、节能、节水、节材和环境保护的目标要求。</w:t>
      </w:r>
    </w:p>
    <w:p w14:paraId="37F6B0CD">
      <w:pPr>
        <w:pStyle w:val="3"/>
        <w:rPr>
          <w:color w:val="000000"/>
          <w:highlight w:val="none"/>
        </w:rPr>
      </w:pPr>
      <w:bookmarkStart w:id="9" w:name="_Toc75504385"/>
      <w:r>
        <w:rPr>
          <w:color w:val="000000"/>
          <w:highlight w:val="none"/>
        </w:rPr>
        <w:t>设计原则</w:t>
      </w:r>
      <w:bookmarkEnd w:id="9"/>
    </w:p>
    <w:p w14:paraId="6C68C15D">
      <w:pPr>
        <w:pStyle w:val="4"/>
        <w:rPr>
          <w:color w:val="000000"/>
          <w:highlight w:val="none"/>
        </w:rPr>
      </w:pPr>
      <w:r>
        <w:rPr>
          <w:color w:val="000000"/>
          <w:highlight w:val="none"/>
        </w:rPr>
        <w:t>限额设计原则</w:t>
      </w:r>
    </w:p>
    <w:p w14:paraId="118D5A17">
      <w:pPr>
        <w:rPr>
          <w:color w:val="000000"/>
          <w:highlight w:val="none"/>
        </w:rPr>
      </w:pPr>
      <w:r>
        <w:rPr>
          <w:color w:val="000000"/>
          <w:highlight w:val="none"/>
        </w:rPr>
        <w:t>设计单位应按照政府固定资产投资应当坚持估算控制概算，概算控制预算，预算控制决算的原则，执行《广州市政府投资管理条例》、《广州市财政投资评审监督管理办法》做好限额设计。</w:t>
      </w:r>
    </w:p>
    <w:p w14:paraId="06AC3ECA">
      <w:pPr>
        <w:rPr>
          <w:color w:val="000000"/>
          <w:highlight w:val="none"/>
        </w:rPr>
      </w:pPr>
      <w:r>
        <w:rPr>
          <w:color w:val="000000"/>
          <w:highlight w:val="none"/>
        </w:rPr>
        <w:t>应做到初步设计成果的编制提交要与初步设计概算的编制提交同步进行，做到项目立项和可行性研究报告批复的建设事项与勘察设计成果及项目概算编制事项应相互统一。</w:t>
      </w:r>
    </w:p>
    <w:p w14:paraId="202CE900">
      <w:pPr>
        <w:pStyle w:val="4"/>
        <w:rPr>
          <w:color w:val="000000"/>
          <w:highlight w:val="none"/>
        </w:rPr>
      </w:pPr>
      <w:r>
        <w:rPr>
          <w:color w:val="000000"/>
          <w:highlight w:val="none"/>
        </w:rPr>
        <w:t>满足规范标准原则</w:t>
      </w:r>
    </w:p>
    <w:p w14:paraId="36001233">
      <w:pPr>
        <w:rPr>
          <w:color w:val="000000"/>
          <w:highlight w:val="none"/>
        </w:rPr>
      </w:pPr>
      <w:r>
        <w:rPr>
          <w:color w:val="000000"/>
          <w:highlight w:val="none"/>
        </w:rPr>
        <w:t>应参考相关规范的要求，并满足国家现行相关设计的规范标准的要求及设计行业相关技术规范条文的要求，严格执行国家工程建设标准强制性条文。</w:t>
      </w:r>
    </w:p>
    <w:p w14:paraId="44973C5F">
      <w:pPr>
        <w:pStyle w:val="4"/>
        <w:rPr>
          <w:color w:val="000000"/>
          <w:highlight w:val="none"/>
        </w:rPr>
      </w:pPr>
      <w:r>
        <w:rPr>
          <w:color w:val="000000"/>
          <w:highlight w:val="none"/>
        </w:rPr>
        <w:t>绿色生态原则</w:t>
      </w:r>
    </w:p>
    <w:p w14:paraId="4709115E">
      <w:pPr>
        <w:rPr>
          <w:color w:val="000000"/>
          <w:highlight w:val="none"/>
        </w:rPr>
      </w:pPr>
      <w:r>
        <w:rPr>
          <w:color w:val="000000"/>
          <w:highlight w:val="none"/>
        </w:rPr>
        <w:t>广州市属亚热带季风气候。规划与建筑设计应充分考虑广州市的气候特征，充分利用自然通风，合理控制直接照射室内的阳光，体现生态思想和节能观念。同时设计要体现可持续发展的理念。</w:t>
      </w:r>
    </w:p>
    <w:p w14:paraId="718A3CED">
      <w:pPr>
        <w:rPr>
          <w:color w:val="000000"/>
          <w:highlight w:val="none"/>
        </w:rPr>
      </w:pPr>
      <w:r>
        <w:rPr>
          <w:color w:val="000000"/>
          <w:highlight w:val="none"/>
        </w:rPr>
        <w:t>项目应按绿色建筑标准进行规划设计，积极采用低碳、绿色、环保技术措施。</w:t>
      </w:r>
    </w:p>
    <w:p w14:paraId="2137D261">
      <w:pPr>
        <w:pStyle w:val="4"/>
        <w:rPr>
          <w:color w:val="000000"/>
          <w:highlight w:val="none"/>
        </w:rPr>
      </w:pPr>
      <w:r>
        <w:rPr>
          <w:color w:val="000000"/>
          <w:highlight w:val="none"/>
        </w:rPr>
        <w:t>经济合理美观原则</w:t>
      </w:r>
    </w:p>
    <w:p w14:paraId="05CB3AA7">
      <w:pPr>
        <w:rPr>
          <w:color w:val="000000"/>
          <w:highlight w:val="none"/>
        </w:rPr>
      </w:pPr>
      <w:r>
        <w:rPr>
          <w:color w:val="000000"/>
          <w:highlight w:val="none"/>
        </w:rPr>
        <w:t>在保证方案的可实施和可操作性前提下，设计中需要定量分析的设计内容，应通过计算，用数据说明其技术经济的合理性。同时应提供各阶段技术经济分析资料，以力求各阶段设计成果能充分体现设计优化的原则。</w:t>
      </w:r>
    </w:p>
    <w:p w14:paraId="21EC11B7">
      <w:pPr>
        <w:pStyle w:val="4"/>
        <w:rPr>
          <w:rFonts w:ascii="微软雅黑" w:hAnsi="微软雅黑" w:eastAsia="微软雅黑"/>
          <w:color w:val="000000"/>
          <w:szCs w:val="21"/>
          <w:highlight w:val="none"/>
        </w:rPr>
      </w:pPr>
      <w:r>
        <w:rPr>
          <w:color w:val="000000"/>
          <w:highlight w:val="none"/>
        </w:rPr>
        <w:t>体现现代居住形式与传统文化习俗并存的要求</w:t>
      </w:r>
    </w:p>
    <w:p w14:paraId="74D1AA78">
      <w:pPr>
        <w:rPr>
          <w:rFonts w:ascii="微软雅黑" w:hAnsi="微软雅黑" w:eastAsia="微软雅黑"/>
          <w:color w:val="000000"/>
          <w:szCs w:val="21"/>
          <w:highlight w:val="none"/>
        </w:rPr>
      </w:pPr>
      <w:r>
        <w:rPr>
          <w:color w:val="000000"/>
          <w:highlight w:val="none"/>
        </w:rPr>
        <w:t>设计应注重保留原有村落宗族居住习惯，尊重村民生活方式，延续原有的文化氛围，满足原住地村民文化传承的需要（如考虑当地祠堂、牌楼的移建或者新建，并融入新方案的设计中）。设计应既满足现代居住区的功能需要，提升原住地村民的居住品质，同时应注重原住地村民生活方式及民风民俗、文化传统的传承和延续。</w:t>
      </w:r>
    </w:p>
    <w:p w14:paraId="48FB3C2D">
      <w:pPr>
        <w:pStyle w:val="4"/>
        <w:rPr>
          <w:rFonts w:ascii="微软雅黑" w:hAnsi="微软雅黑" w:eastAsia="微软雅黑"/>
          <w:color w:val="000000"/>
          <w:szCs w:val="21"/>
          <w:highlight w:val="none"/>
        </w:rPr>
      </w:pPr>
      <w:r>
        <w:rPr>
          <w:color w:val="000000"/>
          <w:highlight w:val="none"/>
        </w:rPr>
        <w:t>满足就近安置与村民自治的要求</w:t>
      </w:r>
    </w:p>
    <w:p w14:paraId="520E0ED7">
      <w:pPr>
        <w:rPr>
          <w:rFonts w:ascii="微软雅黑" w:hAnsi="微软雅黑" w:eastAsia="微软雅黑"/>
          <w:color w:val="000000"/>
          <w:szCs w:val="21"/>
          <w:highlight w:val="none"/>
        </w:rPr>
      </w:pPr>
      <w:r>
        <w:rPr>
          <w:color w:val="000000"/>
          <w:highlight w:val="none"/>
        </w:rPr>
        <w:t>规划设计的组团布局应结合原村落原宗室安置原则，充分满足原住地村民同村、同族整体安置的要求。各组团应既有统一性，同时又有识别性；既独立又彼此联系，满足同村村民自治的需要，同时鼓励不同自然村村民之间的来往。</w:t>
      </w:r>
    </w:p>
    <w:p w14:paraId="0BDC8310">
      <w:pPr>
        <w:pStyle w:val="4"/>
        <w:rPr>
          <w:rFonts w:ascii="微软雅黑" w:hAnsi="微软雅黑" w:eastAsia="微软雅黑"/>
          <w:color w:val="000000"/>
          <w:szCs w:val="21"/>
          <w:highlight w:val="none"/>
        </w:rPr>
      </w:pPr>
      <w:r>
        <w:rPr>
          <w:color w:val="000000"/>
          <w:highlight w:val="none"/>
        </w:rPr>
        <w:t>体现“集约高效、统筹兼顾、统一布局”的理念</w:t>
      </w:r>
    </w:p>
    <w:p w14:paraId="615D38D6">
      <w:pPr>
        <w:rPr>
          <w:rFonts w:ascii="微软雅黑" w:hAnsi="微软雅黑" w:eastAsia="微软雅黑"/>
          <w:color w:val="000000"/>
          <w:szCs w:val="21"/>
          <w:highlight w:val="none"/>
        </w:rPr>
      </w:pPr>
      <w:r>
        <w:rPr>
          <w:color w:val="000000"/>
          <w:highlight w:val="none"/>
        </w:rPr>
        <w:t>1、项目建设必须体现“集约高效、统筹兼顾、统一布局”理念，将公建配套、停车等系统化进行考虑与设计。</w:t>
      </w:r>
    </w:p>
    <w:p w14:paraId="314649F8">
      <w:pPr>
        <w:rPr>
          <w:rFonts w:ascii="微软雅黑" w:hAnsi="微软雅黑" w:eastAsia="微软雅黑"/>
          <w:color w:val="000000"/>
          <w:szCs w:val="21"/>
          <w:highlight w:val="none"/>
        </w:rPr>
      </w:pPr>
      <w:r>
        <w:rPr>
          <w:color w:val="000000"/>
          <w:highlight w:val="none"/>
        </w:rPr>
        <w:t>2、配套公建的配建水平，必须与居住人口规模相对应，满足用地规划条件要求。并应与住宅同步规划、同步建设和同时投入使用。</w:t>
      </w:r>
    </w:p>
    <w:p w14:paraId="5520EAF0">
      <w:pPr>
        <w:rPr>
          <w:rFonts w:ascii="微软雅黑" w:hAnsi="微软雅黑" w:eastAsia="微软雅黑"/>
          <w:color w:val="000000"/>
          <w:szCs w:val="21"/>
          <w:highlight w:val="none"/>
        </w:rPr>
      </w:pPr>
      <w:r>
        <w:rPr>
          <w:color w:val="000000"/>
          <w:highlight w:val="none"/>
        </w:rPr>
        <w:t>3、公建配套宜集中布置，应结合原住地村民集聚活动的需要设置集中的有一定规模的社区综合服务中心（其中包括物业管理用房），满足居民基本公建配套和市政公用设施配置要求。</w:t>
      </w:r>
    </w:p>
    <w:p w14:paraId="16198884">
      <w:pPr>
        <w:rPr>
          <w:rFonts w:ascii="微软雅黑" w:hAnsi="微软雅黑" w:eastAsia="微软雅黑"/>
          <w:color w:val="000000"/>
          <w:szCs w:val="21"/>
          <w:highlight w:val="none"/>
        </w:rPr>
      </w:pPr>
      <w:r>
        <w:rPr>
          <w:color w:val="000000"/>
          <w:highlight w:val="none"/>
        </w:rPr>
        <w:t>4、本项目为限额设计，宜本着节约投资的原则，要求依据建设和技术资料合理选择、运用技术经济多方案比选等技术手段，科学分析、系统考虑，不断优化设计方案。</w:t>
      </w:r>
    </w:p>
    <w:p w14:paraId="64A06945">
      <w:pPr>
        <w:rPr>
          <w:rFonts w:ascii="微软雅黑" w:hAnsi="微软雅黑" w:eastAsia="微软雅黑"/>
          <w:color w:val="000000"/>
          <w:szCs w:val="21"/>
          <w:highlight w:val="none"/>
        </w:rPr>
      </w:pPr>
      <w:r>
        <w:rPr>
          <w:color w:val="000000"/>
          <w:highlight w:val="none"/>
        </w:rPr>
        <w:t>5、小区组团应考虑回迁村民自住和出租的需要，结合不同面积标准的户型，组团布局适当分区，方便管理。</w:t>
      </w:r>
    </w:p>
    <w:p w14:paraId="0703D510">
      <w:pPr>
        <w:pStyle w:val="4"/>
        <w:rPr>
          <w:rFonts w:ascii="微软雅黑" w:hAnsi="微软雅黑" w:eastAsia="微软雅黑"/>
          <w:color w:val="000000"/>
          <w:szCs w:val="21"/>
          <w:highlight w:val="none"/>
        </w:rPr>
      </w:pPr>
      <w:r>
        <w:rPr>
          <w:color w:val="000000"/>
          <w:highlight w:val="none"/>
        </w:rPr>
        <w:t>体现“绿色节能、生态宜居”的设计理念</w:t>
      </w:r>
    </w:p>
    <w:p w14:paraId="3EEED42D">
      <w:pPr>
        <w:rPr>
          <w:rFonts w:ascii="微软雅黑" w:hAnsi="微软雅黑" w:eastAsia="微软雅黑"/>
          <w:color w:val="000000"/>
          <w:szCs w:val="21"/>
          <w:highlight w:val="none"/>
        </w:rPr>
      </w:pPr>
      <w:r>
        <w:rPr>
          <w:color w:val="000000"/>
          <w:highlight w:val="none"/>
        </w:rPr>
        <w:t>项目应按绿色建筑标准进行规划设计，积极采用低碳、绿色、环保技术措施。</w:t>
      </w:r>
    </w:p>
    <w:p w14:paraId="21AF7E65">
      <w:pPr>
        <w:pStyle w:val="3"/>
        <w:rPr>
          <w:color w:val="000000"/>
          <w:highlight w:val="none"/>
        </w:rPr>
      </w:pPr>
      <w:bookmarkStart w:id="10" w:name="_Toc75504386"/>
      <w:r>
        <w:rPr>
          <w:color w:val="000000"/>
          <w:highlight w:val="none"/>
        </w:rPr>
        <w:t>勘察设计内容</w:t>
      </w:r>
      <w:bookmarkEnd w:id="10"/>
    </w:p>
    <w:p w14:paraId="54EB119B">
      <w:pPr>
        <w:rPr>
          <w:color w:val="000000"/>
          <w:highlight w:val="none"/>
        </w:rPr>
      </w:pPr>
      <w:r>
        <w:rPr>
          <w:rFonts w:hint="eastAsia"/>
          <w:color w:val="000000"/>
          <w:highlight w:val="none"/>
        </w:rPr>
        <w:t>总体勘察设计范围包括：标段内的全部勘察工作、初步设计工作，设计深度需满足政府主管部门初步设计报批深度的要求，包括场地的岩土工程、地质勘查、基坑支护设计、地基及软基处理设计、修建性详细规划设计、市政设计、建筑方案设计、初步设计、概算编制（含方案设计估算、初步设计概算）、因政策变化或相应外部条件改变带来的相应设计工作、总控协调工作（如有）、与本项目初步设计阶段相关的勘察设计等工作。</w:t>
      </w:r>
    </w:p>
    <w:p w14:paraId="7F7E7955">
      <w:pPr>
        <w:rPr>
          <w:color w:val="000000"/>
          <w:kern w:val="0"/>
          <w:highlight w:val="none"/>
        </w:rPr>
      </w:pPr>
      <w:r>
        <w:rPr>
          <w:color w:val="000000"/>
          <w:highlight w:val="none"/>
        </w:rPr>
        <w:t>此部分内容设选项按标准化模式设置，标注“√”的选项即为本项目采用，标注“×”的选项为本项目不采用。</w:t>
      </w:r>
      <w:r>
        <w:rPr>
          <w:color w:val="000000"/>
          <w:kern w:val="0"/>
          <w:highlight w:val="none"/>
        </w:rPr>
        <w:t>包括但不限于以下内容：</w:t>
      </w:r>
    </w:p>
    <w:p w14:paraId="5102494D">
      <w:pPr>
        <w:ind w:firstLine="425"/>
        <w:rPr>
          <w:highlight w:val="none"/>
        </w:rPr>
      </w:pPr>
      <w:r>
        <w:rPr>
          <w:sz w:val="18"/>
          <w:szCs w:val="18"/>
          <w:highlight w:val="none"/>
        </w:rPr>
        <w:t>√</w:t>
      </w:r>
      <w:r>
        <w:rPr>
          <w:highlight w:val="none"/>
        </w:rPr>
        <w:t>（1）</w:t>
      </w:r>
      <w:r>
        <w:rPr>
          <w:rFonts w:hint="eastAsia"/>
          <w:highlight w:val="none"/>
        </w:rPr>
        <w:t>规划用地红线外（管线）所涉及建设内容的全部勘察：完成地下、地上物探成果报告，收集周边地下、地上管线、建筑物、构筑物相关资料，编制项目前期摸查报告；进行初步勘察、详细勘察和初测、定测、测绘等实施工作，编制勘探、测量技术文件，编制勘探、土洞溶洞探测等相关总图；负责协调和配合相关主管部门对相关工作成果进行审批，直至获得批复</w:t>
      </w:r>
      <w:r>
        <w:rPr>
          <w:highlight w:val="none"/>
        </w:rPr>
        <w:t>。</w:t>
      </w:r>
    </w:p>
    <w:p w14:paraId="11E9CC0C">
      <w:pPr>
        <w:ind w:firstLine="425"/>
        <w:rPr>
          <w:highlight w:val="none"/>
        </w:rPr>
      </w:pPr>
      <w:r>
        <w:rPr>
          <w:sz w:val="18"/>
          <w:szCs w:val="18"/>
          <w:highlight w:val="none"/>
        </w:rPr>
        <w:t>√</w:t>
      </w:r>
      <w:r>
        <w:rPr>
          <w:highlight w:val="none"/>
        </w:rPr>
        <w:t>（2）方案修改及完善：根据现行</w:t>
      </w:r>
      <w:r>
        <w:rPr>
          <w:highlight w:val="none"/>
          <w:u w:val="single"/>
        </w:rPr>
        <w:t>《建筑工程设计文件编制深度规定》、《市政公用工程设计文件编制深度规定》</w:t>
      </w:r>
      <w:r>
        <w:rPr>
          <w:highlight w:val="none"/>
        </w:rPr>
        <w:t>中关于方案设计应达到的设计深度要求，同时根据专家评审意见及有关职能部门提出的修改意见，对甲方选定的设计方案进行修改和完善。</w:t>
      </w:r>
    </w:p>
    <w:p w14:paraId="216BDAE6">
      <w:pPr>
        <w:ind w:firstLine="425"/>
        <w:rPr>
          <w:kern w:val="0"/>
          <w:highlight w:val="none"/>
        </w:rPr>
      </w:pPr>
      <w:r>
        <w:rPr>
          <w:kern w:val="0"/>
          <w:sz w:val="18"/>
          <w:szCs w:val="18"/>
          <w:highlight w:val="none"/>
        </w:rPr>
        <w:t>√</w:t>
      </w:r>
      <w:r>
        <w:rPr>
          <w:kern w:val="0"/>
          <w:highlight w:val="none"/>
        </w:rPr>
        <w:t>（3）总平面规划方案设计：</w:t>
      </w:r>
      <w:r>
        <w:rPr>
          <w:highlight w:val="none"/>
        </w:rPr>
        <w:t>建设区域内修建性详细规划的设计：本项目用地红线范围内总平面及竖向规划设计、管线综合设计、建筑布局、交通组织、景观绿化、环境保护等。</w:t>
      </w:r>
    </w:p>
    <w:p w14:paraId="223E5E8F">
      <w:pPr>
        <w:ind w:firstLine="425"/>
        <w:rPr>
          <w:kern w:val="0"/>
          <w:highlight w:val="none"/>
        </w:rPr>
      </w:pPr>
      <w:r>
        <w:rPr>
          <w:kern w:val="0"/>
          <w:sz w:val="18"/>
          <w:szCs w:val="18"/>
          <w:highlight w:val="none"/>
        </w:rPr>
        <w:t>√</w:t>
      </w:r>
      <w:r>
        <w:rPr>
          <w:kern w:val="0"/>
          <w:highlight w:val="none"/>
        </w:rPr>
        <w:t>（4）室外市政、园林工程设计：</w:t>
      </w:r>
      <w:r>
        <w:rPr>
          <w:highlight w:val="none"/>
        </w:rPr>
        <w:t>包括本项目用地红线范围内的市政道路、供电、供水、</w:t>
      </w:r>
      <w:r>
        <w:rPr>
          <w:rFonts w:hint="eastAsia"/>
          <w:highlight w:val="none"/>
        </w:rPr>
        <w:t>通信、</w:t>
      </w:r>
      <w:r>
        <w:rPr>
          <w:highlight w:val="none"/>
        </w:rPr>
        <w:t>排水、</w:t>
      </w:r>
      <w:r>
        <w:rPr>
          <w:rFonts w:hint="eastAsia"/>
          <w:highlight w:val="none"/>
        </w:rPr>
        <w:t>防护绿地及退缩绿地景观提升</w:t>
      </w:r>
      <w:r>
        <w:rPr>
          <w:highlight w:val="none"/>
        </w:rPr>
        <w:t>等工程设计，以及各种管线综合平衡设计（含配合市政管线接口对接）等</w:t>
      </w:r>
      <w:r>
        <w:rPr>
          <w:kern w:val="0"/>
          <w:highlight w:val="none"/>
        </w:rPr>
        <w:t>。</w:t>
      </w:r>
    </w:p>
    <w:p w14:paraId="33DD8ECF">
      <w:pPr>
        <w:ind w:firstLine="425"/>
        <w:rPr>
          <w:rFonts w:ascii="微软雅黑" w:hAnsi="微软雅黑" w:eastAsia="微软雅黑"/>
          <w:szCs w:val="21"/>
          <w:highlight w:val="none"/>
        </w:rPr>
      </w:pPr>
      <w:r>
        <w:rPr>
          <w:kern w:val="0"/>
          <w:sz w:val="18"/>
          <w:szCs w:val="18"/>
          <w:highlight w:val="none"/>
        </w:rPr>
        <w:t>√</w:t>
      </w:r>
      <w:r>
        <w:rPr>
          <w:kern w:val="0"/>
          <w:highlight w:val="none"/>
        </w:rPr>
        <w:t>（5）建筑设计：本项目合同范围内的建筑设计，</w:t>
      </w:r>
      <w:r>
        <w:rPr>
          <w:highlight w:val="none"/>
        </w:rPr>
        <w:t>包括但不限于提供主体建筑与附属建筑各层平面图，建筑四个方向立面图、主要剖面图、功能区域设计、交通组织图、外立面装修及室内装修图、效果图、构造做法、新技术做法。</w:t>
      </w:r>
    </w:p>
    <w:p w14:paraId="15C8348D">
      <w:pPr>
        <w:ind w:firstLine="425"/>
        <w:rPr>
          <w:highlight w:val="none"/>
        </w:rPr>
      </w:pPr>
      <w:r>
        <w:rPr>
          <w:sz w:val="18"/>
          <w:szCs w:val="18"/>
          <w:highlight w:val="none"/>
        </w:rPr>
        <w:t>√</w:t>
      </w:r>
      <w:r>
        <w:rPr>
          <w:highlight w:val="none"/>
        </w:rPr>
        <w:t>（6）结构设计：本项目合同范围内建筑体的结构设计、基坑支护设计、挡土墙护坡、幕墙等装修工程的结构设计，包括总平面范围内主体、附属的结构设计、装修工程的结构设计与验算、室外工程及构筑物的结构设计等。</w:t>
      </w:r>
    </w:p>
    <w:p w14:paraId="1C54E50C">
      <w:pPr>
        <w:ind w:firstLine="425"/>
        <w:rPr>
          <w:kern w:val="0"/>
          <w:highlight w:val="none"/>
        </w:rPr>
      </w:pPr>
      <w:r>
        <w:rPr>
          <w:kern w:val="0"/>
          <w:sz w:val="18"/>
          <w:szCs w:val="18"/>
          <w:highlight w:val="none"/>
        </w:rPr>
        <w:t>√</w:t>
      </w:r>
      <w:r>
        <w:rPr>
          <w:kern w:val="0"/>
          <w:highlight w:val="none"/>
        </w:rPr>
        <w:t>（7）电气设计：</w:t>
      </w:r>
      <w:r>
        <w:rPr>
          <w:highlight w:val="none"/>
        </w:rPr>
        <w:t>包括红线范围内的变配电系统、应急电源供电系统、电力系统、照明系统（含室内普通照明、室外景观照明及智能照明控制）、消防自动报警系统、建筑物防雷、接地系统及安全措施，并配合完成红线范围内管线综合平衡设计。</w:t>
      </w:r>
    </w:p>
    <w:p w14:paraId="0BFD296D">
      <w:pPr>
        <w:ind w:firstLine="425"/>
        <w:rPr>
          <w:highlight w:val="none"/>
        </w:rPr>
      </w:pPr>
      <w:r>
        <w:rPr>
          <w:sz w:val="18"/>
          <w:szCs w:val="18"/>
          <w:highlight w:val="none"/>
        </w:rPr>
        <w:t>√</w:t>
      </w:r>
      <w:r>
        <w:rPr>
          <w:highlight w:val="none"/>
        </w:rPr>
        <w:t>（8）智能化系统设计：</w:t>
      </w:r>
    </w:p>
    <w:p w14:paraId="429167A9">
      <w:pPr>
        <w:ind w:firstLine="425"/>
        <w:rPr>
          <w:highlight w:val="none"/>
        </w:rPr>
      </w:pPr>
      <w:r>
        <w:rPr>
          <w:sz w:val="18"/>
          <w:szCs w:val="18"/>
          <w:highlight w:val="none"/>
        </w:rPr>
        <w:t>√</w:t>
      </w:r>
      <w:r>
        <w:rPr>
          <w:highlight w:val="none"/>
        </w:rPr>
        <w:t xml:space="preserve">  1）通信网络系统：包括计算机网络系统、电话（语音）网络系统、有线电视系统、公共广播及消防广播系统、无线上网系统；综合布线；信息导引及发布系统；</w:t>
      </w:r>
    </w:p>
    <w:p w14:paraId="601F22AB">
      <w:pPr>
        <w:ind w:firstLine="360" w:firstLineChars="200"/>
        <w:rPr>
          <w:highlight w:val="none"/>
        </w:rPr>
      </w:pPr>
      <w:r>
        <w:rPr>
          <w:sz w:val="18"/>
          <w:szCs w:val="18"/>
          <w:highlight w:val="none"/>
        </w:rPr>
        <w:t>√</w:t>
      </w:r>
      <w:r>
        <w:rPr>
          <w:highlight w:val="none"/>
        </w:rPr>
        <w:t xml:space="preserve">  2）建筑设备监控系统；</w:t>
      </w:r>
    </w:p>
    <w:p w14:paraId="31F3EC79">
      <w:pPr>
        <w:ind w:firstLine="349" w:firstLineChars="194"/>
        <w:rPr>
          <w:highlight w:val="none"/>
        </w:rPr>
      </w:pPr>
      <w:r>
        <w:rPr>
          <w:sz w:val="18"/>
          <w:szCs w:val="18"/>
          <w:highlight w:val="none"/>
        </w:rPr>
        <w:t>√</w:t>
      </w:r>
      <w:r>
        <w:rPr>
          <w:highlight w:val="none"/>
        </w:rPr>
        <w:t xml:space="preserve">  3）安全防范系统（访客对讲、紧急求助报警装置等）；闭路电视监控系统、出入口控制系统、停车场管理系统；</w:t>
      </w:r>
    </w:p>
    <w:p w14:paraId="1861896C">
      <w:pPr>
        <w:ind w:firstLine="425"/>
        <w:rPr>
          <w:highlight w:val="none"/>
        </w:rPr>
      </w:pPr>
      <w:r>
        <w:rPr>
          <w:sz w:val="18"/>
          <w:szCs w:val="18"/>
          <w:highlight w:val="none"/>
        </w:rPr>
        <w:t>√</w:t>
      </w:r>
      <w:r>
        <w:rPr>
          <w:highlight w:val="none"/>
        </w:rPr>
        <w:t xml:space="preserve">  4）智能化系统集成；</w:t>
      </w:r>
    </w:p>
    <w:p w14:paraId="473C6949">
      <w:pPr>
        <w:ind w:firstLine="425"/>
        <w:rPr>
          <w:highlight w:val="none"/>
        </w:rPr>
      </w:pPr>
      <w:r>
        <w:rPr>
          <w:sz w:val="18"/>
          <w:szCs w:val="18"/>
          <w:highlight w:val="none"/>
        </w:rPr>
        <w:t>√</w:t>
      </w:r>
      <w:r>
        <w:rPr>
          <w:highlight w:val="none"/>
        </w:rPr>
        <w:t xml:space="preserve">  5）弱电防雷系统；</w:t>
      </w:r>
    </w:p>
    <w:p w14:paraId="494F50D6">
      <w:pPr>
        <w:ind w:firstLine="425"/>
        <w:rPr>
          <w:highlight w:val="none"/>
        </w:rPr>
      </w:pPr>
      <w:r>
        <w:rPr>
          <w:sz w:val="18"/>
          <w:szCs w:val="18"/>
          <w:highlight w:val="none"/>
        </w:rPr>
        <w:t>√</w:t>
      </w:r>
      <w:r>
        <w:rPr>
          <w:highlight w:val="none"/>
        </w:rPr>
        <w:t xml:space="preserve">  6）机房工程；</w:t>
      </w:r>
    </w:p>
    <w:p w14:paraId="16A1D6F0">
      <w:pPr>
        <w:ind w:firstLine="425"/>
        <w:rPr>
          <w:highlight w:val="none"/>
        </w:rPr>
      </w:pPr>
      <w:r>
        <w:rPr>
          <w:sz w:val="18"/>
          <w:szCs w:val="18"/>
          <w:highlight w:val="none"/>
        </w:rPr>
        <w:t>√</w:t>
      </w:r>
      <w:r>
        <w:rPr>
          <w:highlight w:val="none"/>
        </w:rPr>
        <w:t xml:space="preserve">  7）监控中心。</w:t>
      </w:r>
    </w:p>
    <w:p w14:paraId="25C4C842">
      <w:pPr>
        <w:ind w:firstLine="425"/>
        <w:rPr>
          <w:highlight w:val="none"/>
        </w:rPr>
      </w:pPr>
      <w:r>
        <w:rPr>
          <w:sz w:val="18"/>
          <w:szCs w:val="18"/>
          <w:highlight w:val="none"/>
        </w:rPr>
        <w:t>√</w:t>
      </w:r>
      <w:r>
        <w:rPr>
          <w:highlight w:val="none"/>
        </w:rPr>
        <w:t>（9）给排水设计（含外水接入、接出部分，需设计接至主管部门指定接口）：建筑给水、排水系统设计（包含直饮水供水系统）、用地内与市政管线接驳等设计、雨污水收集、处理与回用系统。</w:t>
      </w:r>
    </w:p>
    <w:p w14:paraId="2DD96A15">
      <w:pPr>
        <w:ind w:firstLine="425"/>
        <w:rPr>
          <w:highlight w:val="none"/>
        </w:rPr>
      </w:pPr>
      <w:r>
        <w:rPr>
          <w:sz w:val="18"/>
          <w:szCs w:val="18"/>
          <w:highlight w:val="none"/>
        </w:rPr>
        <w:t>√</w:t>
      </w:r>
      <w:r>
        <w:rPr>
          <w:highlight w:val="none"/>
        </w:rPr>
        <w:t>（10）空调通风设计：包括不限于建筑物内部通风系统</w:t>
      </w:r>
      <w:r>
        <w:rPr>
          <w:rFonts w:hint="eastAsia"/>
          <w:highlight w:val="none"/>
        </w:rPr>
        <w:t>、防排烟系统</w:t>
      </w:r>
      <w:r>
        <w:rPr>
          <w:highlight w:val="none"/>
        </w:rPr>
        <w:t>、建筑物内部空气调节系统、集中供冷供热系统等的设计。</w:t>
      </w:r>
    </w:p>
    <w:p w14:paraId="1AC19466">
      <w:pPr>
        <w:ind w:firstLine="425"/>
        <w:rPr>
          <w:highlight w:val="none"/>
        </w:rPr>
      </w:pPr>
      <w:r>
        <w:rPr>
          <w:sz w:val="18"/>
          <w:szCs w:val="18"/>
          <w:highlight w:val="none"/>
        </w:rPr>
        <w:t>√</w:t>
      </w:r>
      <w:r>
        <w:rPr>
          <w:highlight w:val="none"/>
        </w:rPr>
        <w:t>（11）消防设计：消火栓系统、自动喷淋系统、气体灭火系统、防排烟系统、火灾自动报警及联动控制系统。</w:t>
      </w:r>
    </w:p>
    <w:p w14:paraId="3E6DBA62">
      <w:pPr>
        <w:rPr>
          <w:highlight w:val="none"/>
        </w:rPr>
      </w:pPr>
      <w:r>
        <w:rPr>
          <w:rFonts w:hint="eastAsia"/>
          <w:highlight w:val="none"/>
        </w:rPr>
        <w:t>包括红线范围内给水排水系统；消火栓系统；自动喷水灭火系统；灭火器配置；气体灭火系统；雨水收集、处理与回用系统。</w:t>
      </w:r>
    </w:p>
    <w:p w14:paraId="17F2A6CE">
      <w:pPr>
        <w:ind w:firstLine="425"/>
        <w:rPr>
          <w:highlight w:val="none"/>
        </w:rPr>
      </w:pPr>
      <w:r>
        <w:rPr>
          <w:sz w:val="18"/>
          <w:szCs w:val="18"/>
          <w:highlight w:val="none"/>
        </w:rPr>
        <w:t>√</w:t>
      </w:r>
      <w:r>
        <w:rPr>
          <w:highlight w:val="none"/>
        </w:rPr>
        <w:t>（12）电梯工程设计与相关配合。</w:t>
      </w:r>
    </w:p>
    <w:p w14:paraId="1D332A9D">
      <w:pPr>
        <w:ind w:firstLine="425"/>
        <w:rPr>
          <w:kern w:val="0"/>
          <w:highlight w:val="none"/>
        </w:rPr>
      </w:pPr>
      <w:r>
        <w:rPr>
          <w:kern w:val="0"/>
          <w:sz w:val="18"/>
          <w:szCs w:val="18"/>
          <w:highlight w:val="none"/>
        </w:rPr>
        <w:t>√</w:t>
      </w:r>
      <w:r>
        <w:rPr>
          <w:kern w:val="0"/>
          <w:highlight w:val="none"/>
        </w:rPr>
        <w:t>（13）市政专业设计，</w:t>
      </w:r>
      <w:r>
        <w:rPr>
          <w:highlight w:val="none"/>
        </w:rPr>
        <w:t>包括本项目用地红线范围内市政路涉及的道路</w:t>
      </w:r>
      <w:r>
        <w:rPr>
          <w:rFonts w:hint="eastAsia"/>
          <w:highlight w:val="none"/>
        </w:rPr>
        <w:t>工程</w:t>
      </w:r>
      <w:r>
        <w:rPr>
          <w:highlight w:val="none"/>
        </w:rPr>
        <w:t>、桥梁</w:t>
      </w:r>
      <w:r>
        <w:rPr>
          <w:rFonts w:hint="eastAsia"/>
          <w:highlight w:val="none"/>
        </w:rPr>
        <w:t>（若有）</w:t>
      </w:r>
      <w:r>
        <w:rPr>
          <w:highlight w:val="none"/>
        </w:rPr>
        <w:t>、交通、给排水、照明、</w:t>
      </w:r>
      <w:r>
        <w:rPr>
          <w:rFonts w:hint="eastAsia"/>
          <w:highlight w:val="none"/>
        </w:rPr>
        <w:t>绿化（含防护绿地及退缩绿地景观提升）、电力、通信</w:t>
      </w:r>
      <w:r>
        <w:rPr>
          <w:highlight w:val="none"/>
        </w:rPr>
        <w:t>等工程设计，以及</w:t>
      </w:r>
      <w:r>
        <w:rPr>
          <w:rFonts w:hint="eastAsia"/>
          <w:highlight w:val="none"/>
        </w:rPr>
        <w:t>配合</w:t>
      </w:r>
      <w:r>
        <w:rPr>
          <w:highlight w:val="none"/>
        </w:rPr>
        <w:t>各种管线综合平衡设计（含配合市政管线接口对接）等</w:t>
      </w:r>
      <w:r>
        <w:rPr>
          <w:kern w:val="0"/>
          <w:highlight w:val="none"/>
        </w:rPr>
        <w:t>。</w:t>
      </w:r>
    </w:p>
    <w:p w14:paraId="47C75B0A">
      <w:pPr>
        <w:ind w:firstLine="425"/>
        <w:rPr>
          <w:highlight w:val="none"/>
        </w:rPr>
      </w:pPr>
      <w:r>
        <w:rPr>
          <w:sz w:val="18"/>
          <w:szCs w:val="18"/>
          <w:highlight w:val="none"/>
        </w:rPr>
        <w:t>√</w:t>
      </w:r>
      <w:r>
        <w:rPr>
          <w:highlight w:val="none"/>
        </w:rPr>
        <w:t>（14）按照项目的灯光、声学等特殊工艺设计要求进行建筑、结构及其配套设备专业的设计与相关配合。</w:t>
      </w:r>
    </w:p>
    <w:p w14:paraId="0D23B9C2">
      <w:pPr>
        <w:ind w:firstLine="425"/>
        <w:rPr>
          <w:highlight w:val="none"/>
        </w:rPr>
      </w:pPr>
      <w:r>
        <w:rPr>
          <w:sz w:val="18"/>
          <w:szCs w:val="18"/>
          <w:highlight w:val="none"/>
        </w:rPr>
        <w:t>√</w:t>
      </w:r>
      <w:r>
        <w:rPr>
          <w:highlight w:val="none"/>
        </w:rPr>
        <w:t>（15）管线综合平衡设计：各种专业设备、系统的管线在建筑物内、外的路由平衡设计。建筑物内、外的管线综合平衡设计以专篇形式提交。</w:t>
      </w:r>
    </w:p>
    <w:p w14:paraId="6BD3098C">
      <w:pPr>
        <w:ind w:firstLine="425"/>
        <w:rPr>
          <w:highlight w:val="none"/>
        </w:rPr>
      </w:pPr>
      <w:r>
        <w:rPr>
          <w:sz w:val="18"/>
          <w:szCs w:val="18"/>
          <w:highlight w:val="none"/>
        </w:rPr>
        <w:t>√</w:t>
      </w:r>
      <w:r>
        <w:rPr>
          <w:highlight w:val="none"/>
        </w:rPr>
        <w:t>（16）设备选型意见：就拟采用的专用机电设备、专用电子设备（如大屏幕显示系统、广播音响系统等）的选型于施工图设计开始前向甲方提出书面意见并提供相关设备的技术参数规格书，但不设计专用设备。</w:t>
      </w:r>
    </w:p>
    <w:p w14:paraId="1102EE5A">
      <w:pPr>
        <w:ind w:firstLine="425"/>
        <w:rPr>
          <w:highlight w:val="none"/>
        </w:rPr>
      </w:pPr>
      <w:r>
        <w:rPr>
          <w:sz w:val="18"/>
          <w:szCs w:val="18"/>
          <w:highlight w:val="none"/>
        </w:rPr>
        <w:t>√</w:t>
      </w:r>
      <w:r>
        <w:rPr>
          <w:highlight w:val="none"/>
        </w:rPr>
        <w:t>（17）建筑节能、绿色建筑设计，以及新技术应用的研究和设计。</w:t>
      </w:r>
    </w:p>
    <w:p w14:paraId="286B25FA">
      <w:pPr>
        <w:ind w:firstLine="425"/>
        <w:rPr>
          <w:highlight w:val="none"/>
        </w:rPr>
      </w:pPr>
      <w:r>
        <w:rPr>
          <w:sz w:val="18"/>
          <w:szCs w:val="18"/>
          <w:highlight w:val="none"/>
        </w:rPr>
        <w:t>√</w:t>
      </w:r>
      <w:r>
        <w:rPr>
          <w:highlight w:val="none"/>
        </w:rPr>
        <w:t>（</w:t>
      </w:r>
      <w:r>
        <w:rPr>
          <w:rFonts w:hint="eastAsia"/>
          <w:highlight w:val="none"/>
        </w:rPr>
        <w:t>18</w:t>
      </w:r>
      <w:r>
        <w:rPr>
          <w:highlight w:val="none"/>
        </w:rPr>
        <w:t>）编制</w:t>
      </w:r>
      <w:r>
        <w:rPr>
          <w:rFonts w:hint="eastAsia"/>
          <w:highlight w:val="none"/>
        </w:rPr>
        <w:t>安置地块</w:t>
      </w:r>
      <w:r>
        <w:rPr>
          <w:highlight w:val="none"/>
        </w:rPr>
        <w:t>初步设计概算。</w:t>
      </w:r>
    </w:p>
    <w:p w14:paraId="03ECF394">
      <w:pPr>
        <w:ind w:firstLine="425"/>
        <w:rPr>
          <w:highlight w:val="none"/>
        </w:rPr>
      </w:pPr>
      <w:r>
        <w:rPr>
          <w:sz w:val="18"/>
          <w:szCs w:val="18"/>
          <w:highlight w:val="none"/>
        </w:rPr>
        <w:t>√</w:t>
      </w:r>
      <w:r>
        <w:rPr>
          <w:rFonts w:hint="eastAsia"/>
          <w:highlight w:val="none"/>
        </w:rPr>
        <w:t>（19）编制安置地块周边市政道路及配套初步设计概算。</w:t>
      </w:r>
    </w:p>
    <w:p w14:paraId="2240206A">
      <w:pPr>
        <w:ind w:firstLine="425"/>
        <w:rPr>
          <w:highlight w:val="none"/>
        </w:rPr>
      </w:pPr>
      <w:r>
        <w:rPr>
          <w:sz w:val="18"/>
          <w:szCs w:val="18"/>
          <w:highlight w:val="none"/>
        </w:rPr>
        <w:t>√</w:t>
      </w:r>
      <w:r>
        <w:rPr>
          <w:highlight w:val="none"/>
        </w:rPr>
        <w:t>（</w:t>
      </w:r>
      <w:r>
        <w:rPr>
          <w:rFonts w:hint="eastAsia"/>
          <w:highlight w:val="none"/>
        </w:rPr>
        <w:t>20</w:t>
      </w:r>
      <w:r>
        <w:rPr>
          <w:highlight w:val="none"/>
        </w:rPr>
        <w:t>）在规划红线范围内，乙方应保证按规划及建筑功能要求、配套设施要求完成本合同工程造价中包含的全部项目的专业专项勘察、</w:t>
      </w:r>
      <w:r>
        <w:rPr>
          <w:rFonts w:hint="eastAsia"/>
          <w:highlight w:val="none"/>
        </w:rPr>
        <w:t>初步</w:t>
      </w:r>
      <w:r>
        <w:rPr>
          <w:highlight w:val="none"/>
        </w:rPr>
        <w:t>设计。</w:t>
      </w:r>
    </w:p>
    <w:p w14:paraId="25B76A9C">
      <w:pPr>
        <w:ind w:firstLine="425"/>
        <w:rPr>
          <w:highlight w:val="none"/>
        </w:rPr>
      </w:pPr>
      <w:r>
        <w:rPr>
          <w:sz w:val="18"/>
          <w:szCs w:val="18"/>
          <w:highlight w:val="none"/>
        </w:rPr>
        <w:t>√</w:t>
      </w:r>
      <w:r>
        <w:rPr>
          <w:highlight w:val="none"/>
        </w:rPr>
        <w:t>（2</w:t>
      </w:r>
      <w:r>
        <w:rPr>
          <w:rFonts w:hint="eastAsia"/>
          <w:highlight w:val="none"/>
        </w:rPr>
        <w:t>1</w:t>
      </w:r>
      <w:r>
        <w:rPr>
          <w:highlight w:val="none"/>
        </w:rPr>
        <w:t>）对于专项分包勘察、设计文件，须由乙方及专项分包单位人员校核并会签盖章确认。专项分包</w:t>
      </w:r>
      <w:r>
        <w:rPr>
          <w:rFonts w:hint="eastAsia"/>
          <w:highlight w:val="none"/>
        </w:rPr>
        <w:t>初步</w:t>
      </w:r>
      <w:r>
        <w:rPr>
          <w:highlight w:val="none"/>
        </w:rPr>
        <w:t>设计文件中，需设计人校核确认的部分由设计人及专项分包方人员进行会签并盖章确认。设计人应配合</w:t>
      </w:r>
      <w:r>
        <w:rPr>
          <w:rFonts w:hint="eastAsia"/>
          <w:highlight w:val="none"/>
        </w:rPr>
        <w:t>专项分包初步</w:t>
      </w:r>
      <w:r>
        <w:rPr>
          <w:highlight w:val="none"/>
        </w:rPr>
        <w:t>设计单位出图。对于有设计资质的</w:t>
      </w:r>
      <w:r>
        <w:rPr>
          <w:rFonts w:hint="eastAsia"/>
          <w:highlight w:val="none"/>
        </w:rPr>
        <w:t>初步设计</w:t>
      </w:r>
      <w:r>
        <w:rPr>
          <w:highlight w:val="none"/>
        </w:rPr>
        <w:t>单位，对其设计文件进行设计协调和按建设方要求办理审核确认手续；对于没有设计资质的</w:t>
      </w:r>
      <w:r>
        <w:rPr>
          <w:rFonts w:hint="eastAsia"/>
          <w:highlight w:val="none"/>
        </w:rPr>
        <w:t>初步设计</w:t>
      </w:r>
      <w:r>
        <w:rPr>
          <w:highlight w:val="none"/>
        </w:rPr>
        <w:t>单位，在完成深化设计后需套设计人单位图签出图，</w:t>
      </w:r>
      <w:r>
        <w:rPr>
          <w:rFonts w:hint="eastAsia"/>
          <w:highlight w:val="none"/>
        </w:rPr>
        <w:t>初步</w:t>
      </w:r>
      <w:r>
        <w:rPr>
          <w:highlight w:val="none"/>
        </w:rPr>
        <w:t>设计单位必须盖章确认。</w:t>
      </w:r>
    </w:p>
    <w:p w14:paraId="18BF2402">
      <w:pPr>
        <w:ind w:firstLine="425"/>
        <w:rPr>
          <w:highlight w:val="none"/>
        </w:rPr>
      </w:pPr>
      <w:r>
        <w:rPr>
          <w:sz w:val="18"/>
          <w:szCs w:val="18"/>
          <w:highlight w:val="none"/>
        </w:rPr>
        <w:t>√</w:t>
      </w:r>
      <w:r>
        <w:rPr>
          <w:highlight w:val="none"/>
        </w:rPr>
        <w:t>（2</w:t>
      </w:r>
      <w:r>
        <w:rPr>
          <w:rFonts w:hint="eastAsia"/>
          <w:highlight w:val="none"/>
        </w:rPr>
        <w:t>2</w:t>
      </w:r>
      <w:r>
        <w:rPr>
          <w:highlight w:val="none"/>
        </w:rPr>
        <w:t>）提供主要设备材料表及技术要求书，配合甲方的招标工作。</w:t>
      </w:r>
    </w:p>
    <w:p w14:paraId="7EAAFFA2">
      <w:pPr>
        <w:rPr>
          <w:highlight w:val="none"/>
        </w:rPr>
      </w:pPr>
      <w:r>
        <w:rPr>
          <w:highlight w:val="none"/>
        </w:rPr>
        <w:t>地震评估、环境评估、防雷评估、风洞试验、振动台试验、点试验、消防性能化分析及有关专项试验、研究与论证不在乙方设计范畴内，但乙方应配合甲方工作。</w:t>
      </w:r>
    </w:p>
    <w:p w14:paraId="7C459D94">
      <w:pPr>
        <w:ind w:firstLine="425"/>
        <w:rPr>
          <w:highlight w:val="none"/>
        </w:rPr>
      </w:pPr>
      <w:r>
        <w:rPr>
          <w:sz w:val="18"/>
          <w:szCs w:val="18"/>
          <w:highlight w:val="none"/>
        </w:rPr>
        <w:t>√</w:t>
      </w:r>
      <w:r>
        <w:rPr>
          <w:highlight w:val="none"/>
        </w:rPr>
        <w:t>（2</w:t>
      </w:r>
      <w:r>
        <w:rPr>
          <w:rFonts w:hint="eastAsia"/>
          <w:highlight w:val="none"/>
        </w:rPr>
        <w:t>3</w:t>
      </w:r>
      <w:r>
        <w:rPr>
          <w:highlight w:val="none"/>
        </w:rPr>
        <w:t>）幕墙工程</w:t>
      </w:r>
      <w:r>
        <w:rPr>
          <w:highlight w:val="none"/>
          <w:u w:val="single"/>
        </w:rPr>
        <w:t>（如有）。</w:t>
      </w:r>
    </w:p>
    <w:p w14:paraId="426A248B">
      <w:pPr>
        <w:ind w:firstLine="425"/>
        <w:rPr>
          <w:highlight w:val="none"/>
        </w:rPr>
      </w:pPr>
      <w:r>
        <w:rPr>
          <w:kern w:val="0"/>
          <w:sz w:val="18"/>
          <w:szCs w:val="18"/>
          <w:highlight w:val="none"/>
        </w:rPr>
        <w:t>√</w:t>
      </w:r>
      <w:r>
        <w:rPr>
          <w:kern w:val="0"/>
          <w:highlight w:val="none"/>
        </w:rPr>
        <w:t>（2</w:t>
      </w:r>
      <w:r>
        <w:rPr>
          <w:rFonts w:hint="eastAsia"/>
          <w:kern w:val="0"/>
          <w:highlight w:val="none"/>
        </w:rPr>
        <w:t>4</w:t>
      </w:r>
      <w:r>
        <w:rPr>
          <w:kern w:val="0"/>
          <w:highlight w:val="none"/>
        </w:rPr>
        <w:t>）</w:t>
      </w:r>
      <w:r>
        <w:rPr>
          <w:highlight w:val="none"/>
        </w:rPr>
        <w:t>环保工程设计</w:t>
      </w:r>
      <w:r>
        <w:rPr>
          <w:highlight w:val="none"/>
          <w:u w:val="single"/>
        </w:rPr>
        <w:t>（如有）</w:t>
      </w:r>
      <w:r>
        <w:rPr>
          <w:highlight w:val="none"/>
        </w:rPr>
        <w:t>。</w:t>
      </w:r>
    </w:p>
    <w:p w14:paraId="04156895">
      <w:pPr>
        <w:ind w:firstLine="425"/>
        <w:rPr>
          <w:highlight w:val="none"/>
        </w:rPr>
      </w:pPr>
      <w:r>
        <w:rPr>
          <w:sz w:val="18"/>
          <w:szCs w:val="18"/>
          <w:highlight w:val="none"/>
        </w:rPr>
        <w:t>√</w:t>
      </w:r>
      <w:r>
        <w:rPr>
          <w:highlight w:val="none"/>
        </w:rPr>
        <w:t>（2</w:t>
      </w:r>
      <w:r>
        <w:rPr>
          <w:rFonts w:hint="eastAsia"/>
          <w:highlight w:val="none"/>
        </w:rPr>
        <w:t>5</w:t>
      </w:r>
      <w:r>
        <w:rPr>
          <w:highlight w:val="none"/>
        </w:rPr>
        <w:t>）防雷设计。</w:t>
      </w:r>
    </w:p>
    <w:p w14:paraId="34CF4EDA">
      <w:pPr>
        <w:ind w:firstLine="425"/>
        <w:rPr>
          <w:kern w:val="0"/>
          <w:highlight w:val="none"/>
        </w:rPr>
      </w:pPr>
      <w:r>
        <w:rPr>
          <w:kern w:val="0"/>
          <w:sz w:val="18"/>
          <w:szCs w:val="18"/>
          <w:highlight w:val="none"/>
        </w:rPr>
        <w:t>√</w:t>
      </w:r>
      <w:r>
        <w:rPr>
          <w:kern w:val="0"/>
          <w:highlight w:val="none"/>
        </w:rPr>
        <w:t>（2</w:t>
      </w:r>
      <w:r>
        <w:rPr>
          <w:rFonts w:hint="eastAsia"/>
          <w:kern w:val="0"/>
          <w:highlight w:val="none"/>
        </w:rPr>
        <w:t>6</w:t>
      </w:r>
      <w:r>
        <w:rPr>
          <w:kern w:val="0"/>
          <w:highlight w:val="none"/>
        </w:rPr>
        <w:t>）</w:t>
      </w:r>
      <w:r>
        <w:rPr>
          <w:highlight w:val="none"/>
        </w:rPr>
        <w:t>标识导引系统设计</w:t>
      </w:r>
      <w:r>
        <w:rPr>
          <w:kern w:val="0"/>
          <w:highlight w:val="none"/>
        </w:rPr>
        <w:t>。</w:t>
      </w:r>
    </w:p>
    <w:p w14:paraId="09C689A6">
      <w:pPr>
        <w:ind w:firstLine="425"/>
        <w:rPr>
          <w:highlight w:val="none"/>
        </w:rPr>
      </w:pPr>
      <w:r>
        <w:rPr>
          <w:sz w:val="18"/>
          <w:szCs w:val="18"/>
          <w:highlight w:val="none"/>
        </w:rPr>
        <w:t>√</w:t>
      </w:r>
      <w:r>
        <w:rPr>
          <w:highlight w:val="none"/>
        </w:rPr>
        <w:t>（2</w:t>
      </w:r>
      <w:r>
        <w:rPr>
          <w:rFonts w:hint="eastAsia"/>
          <w:highlight w:val="none"/>
        </w:rPr>
        <w:t>7</w:t>
      </w:r>
      <w:r>
        <w:rPr>
          <w:highlight w:val="none"/>
        </w:rPr>
        <w:t>）</w:t>
      </w:r>
      <w:r>
        <w:rPr>
          <w:rFonts w:hint="eastAsia"/>
          <w:highlight w:val="none"/>
        </w:rPr>
        <w:t>基坑专业设计</w:t>
      </w:r>
      <w:r>
        <w:rPr>
          <w:highlight w:val="none"/>
        </w:rPr>
        <w:t>。</w:t>
      </w:r>
    </w:p>
    <w:p w14:paraId="62EFD872">
      <w:pPr>
        <w:ind w:firstLine="425"/>
        <w:rPr>
          <w:highlight w:val="none"/>
        </w:rPr>
      </w:pPr>
      <w:r>
        <w:rPr>
          <w:sz w:val="18"/>
          <w:szCs w:val="18"/>
          <w:highlight w:val="none"/>
        </w:rPr>
        <w:t>√</w:t>
      </w:r>
      <w:r>
        <w:rPr>
          <w:highlight w:val="none"/>
        </w:rPr>
        <w:t>（2</w:t>
      </w:r>
      <w:r>
        <w:rPr>
          <w:rFonts w:hint="eastAsia"/>
          <w:highlight w:val="none"/>
        </w:rPr>
        <w:t>8</w:t>
      </w:r>
      <w:r>
        <w:rPr>
          <w:highlight w:val="none"/>
        </w:rPr>
        <w:t>）人防工程设计。</w:t>
      </w:r>
    </w:p>
    <w:p w14:paraId="08900657">
      <w:pPr>
        <w:ind w:firstLine="425"/>
        <w:rPr>
          <w:highlight w:val="none"/>
        </w:rPr>
      </w:pPr>
      <w:r>
        <w:rPr>
          <w:sz w:val="18"/>
          <w:szCs w:val="18"/>
          <w:highlight w:val="none"/>
        </w:rPr>
        <w:t>√</w:t>
      </w:r>
      <w:r>
        <w:rPr>
          <w:highlight w:val="none"/>
        </w:rPr>
        <w:t>（</w:t>
      </w:r>
      <w:r>
        <w:rPr>
          <w:rFonts w:hint="eastAsia"/>
          <w:highlight w:val="none"/>
        </w:rPr>
        <w:t>29</w:t>
      </w:r>
      <w:r>
        <w:rPr>
          <w:highlight w:val="none"/>
        </w:rPr>
        <w:t>）燃气工程设计</w:t>
      </w:r>
      <w:r>
        <w:rPr>
          <w:highlight w:val="none"/>
          <w:u w:val="single"/>
        </w:rPr>
        <w:t>（如有）</w:t>
      </w:r>
      <w:r>
        <w:rPr>
          <w:highlight w:val="none"/>
        </w:rPr>
        <w:t>。</w:t>
      </w:r>
    </w:p>
    <w:p w14:paraId="2C3942E4">
      <w:pPr>
        <w:ind w:firstLine="425"/>
        <w:rPr>
          <w:highlight w:val="none"/>
        </w:rPr>
      </w:pPr>
      <w:r>
        <w:rPr>
          <w:sz w:val="18"/>
          <w:szCs w:val="18"/>
          <w:highlight w:val="none"/>
        </w:rPr>
        <w:t>√</w:t>
      </w:r>
      <w:r>
        <w:rPr>
          <w:highlight w:val="none"/>
        </w:rPr>
        <w:t>（3</w:t>
      </w:r>
      <w:r>
        <w:rPr>
          <w:rFonts w:hint="eastAsia"/>
          <w:highlight w:val="none"/>
        </w:rPr>
        <w:t>0</w:t>
      </w:r>
      <w:r>
        <w:rPr>
          <w:highlight w:val="none"/>
        </w:rPr>
        <w:t>）绿色建筑设计。</w:t>
      </w:r>
    </w:p>
    <w:p w14:paraId="20DBF63F">
      <w:pPr>
        <w:ind w:firstLine="425"/>
        <w:rPr>
          <w:highlight w:val="none"/>
        </w:rPr>
      </w:pPr>
      <w:r>
        <w:rPr>
          <w:sz w:val="18"/>
          <w:szCs w:val="18"/>
          <w:highlight w:val="none"/>
        </w:rPr>
        <w:t>√</w:t>
      </w:r>
      <w:r>
        <w:rPr>
          <w:highlight w:val="none"/>
        </w:rPr>
        <w:t>（3</w:t>
      </w:r>
      <w:r>
        <w:rPr>
          <w:rFonts w:hint="eastAsia"/>
          <w:highlight w:val="none"/>
        </w:rPr>
        <w:t>1</w:t>
      </w:r>
      <w:r>
        <w:rPr>
          <w:highlight w:val="none"/>
        </w:rPr>
        <w:t>）海绵城市等专业设计。</w:t>
      </w:r>
    </w:p>
    <w:p w14:paraId="4C6CD360">
      <w:pPr>
        <w:ind w:firstLine="425"/>
        <w:rPr>
          <w:kern w:val="0"/>
          <w:highlight w:val="none"/>
        </w:rPr>
      </w:pPr>
      <w:r>
        <w:rPr>
          <w:sz w:val="18"/>
          <w:szCs w:val="18"/>
          <w:highlight w:val="none"/>
        </w:rPr>
        <w:t>√</w:t>
      </w:r>
      <w:r>
        <w:rPr>
          <w:highlight w:val="none"/>
        </w:rPr>
        <w:t>（3</w:t>
      </w:r>
      <w:r>
        <w:rPr>
          <w:rFonts w:hint="eastAsia"/>
          <w:highlight w:val="none"/>
        </w:rPr>
        <w:t>2</w:t>
      </w:r>
      <w:r>
        <w:rPr>
          <w:highlight w:val="none"/>
        </w:rPr>
        <w:t>）装配式专项</w:t>
      </w:r>
      <w:r>
        <w:rPr>
          <w:rFonts w:hint="eastAsia"/>
          <w:highlight w:val="none"/>
        </w:rPr>
        <w:t>初步</w:t>
      </w:r>
      <w:r>
        <w:rPr>
          <w:highlight w:val="none"/>
        </w:rPr>
        <w:t>设计。</w:t>
      </w:r>
    </w:p>
    <w:p w14:paraId="1A517B2D">
      <w:pPr>
        <w:ind w:firstLine="425"/>
        <w:rPr>
          <w:rFonts w:ascii="微软雅黑" w:hAnsi="微软雅黑" w:eastAsia="微软雅黑"/>
          <w:szCs w:val="21"/>
          <w:highlight w:val="none"/>
        </w:rPr>
      </w:pPr>
      <w:r>
        <w:rPr>
          <w:kern w:val="0"/>
          <w:sz w:val="18"/>
          <w:szCs w:val="18"/>
          <w:highlight w:val="none"/>
        </w:rPr>
        <w:t>√</w:t>
      </w:r>
      <w:r>
        <w:rPr>
          <w:kern w:val="0"/>
          <w:highlight w:val="none"/>
        </w:rPr>
        <w:t>（</w:t>
      </w:r>
      <w:r>
        <w:rPr>
          <w:highlight w:val="none"/>
        </w:rPr>
        <w:t>3</w:t>
      </w:r>
      <w:r>
        <w:rPr>
          <w:rFonts w:hint="eastAsia"/>
          <w:highlight w:val="none"/>
        </w:rPr>
        <w:t>3</w:t>
      </w:r>
      <w:r>
        <w:rPr>
          <w:kern w:val="0"/>
          <w:highlight w:val="none"/>
        </w:rPr>
        <w:t>）</w:t>
      </w:r>
      <w:r>
        <w:rPr>
          <w:highlight w:val="none"/>
        </w:rPr>
        <w:t>现场指导和配合服务（设计阶段根据工程建设的需要及建设方的要求确定服务时间）。</w:t>
      </w:r>
    </w:p>
    <w:p w14:paraId="60B2A53E">
      <w:pPr>
        <w:ind w:firstLine="425"/>
        <w:rPr>
          <w:highlight w:val="none"/>
        </w:rPr>
      </w:pPr>
      <w:r>
        <w:rPr>
          <w:kern w:val="0"/>
          <w:sz w:val="18"/>
          <w:szCs w:val="18"/>
          <w:highlight w:val="none"/>
        </w:rPr>
        <w:t>√</w:t>
      </w:r>
      <w:r>
        <w:rPr>
          <w:kern w:val="0"/>
          <w:highlight w:val="none"/>
        </w:rPr>
        <w:t>（</w:t>
      </w:r>
      <w:r>
        <w:rPr>
          <w:highlight w:val="none"/>
        </w:rPr>
        <w:t>3</w:t>
      </w:r>
      <w:r>
        <w:rPr>
          <w:rFonts w:hint="eastAsia"/>
          <w:highlight w:val="none"/>
        </w:rPr>
        <w:t>4</w:t>
      </w:r>
      <w:r>
        <w:rPr>
          <w:kern w:val="0"/>
          <w:highlight w:val="none"/>
        </w:rPr>
        <w:t>）</w:t>
      </w:r>
      <w:r>
        <w:rPr>
          <w:highlight w:val="none"/>
        </w:rPr>
        <w:t>向政府主管部门进行报建手续及相关协调工作（包括建筑方案审查、初步设计评审等）。</w:t>
      </w:r>
    </w:p>
    <w:p w14:paraId="4BA1D012">
      <w:pPr>
        <w:ind w:firstLine="425"/>
        <w:rPr>
          <w:rFonts w:ascii="微软雅黑" w:hAnsi="微软雅黑" w:eastAsia="微软雅黑"/>
          <w:szCs w:val="21"/>
          <w:highlight w:val="none"/>
        </w:rPr>
      </w:pPr>
      <w:r>
        <w:rPr>
          <w:kern w:val="0"/>
          <w:sz w:val="18"/>
          <w:szCs w:val="18"/>
          <w:highlight w:val="none"/>
        </w:rPr>
        <w:t>√</w:t>
      </w:r>
      <w:r>
        <w:rPr>
          <w:kern w:val="0"/>
          <w:highlight w:val="none"/>
        </w:rPr>
        <w:t>（</w:t>
      </w:r>
      <w:r>
        <w:rPr>
          <w:highlight w:val="none"/>
        </w:rPr>
        <w:t>3</w:t>
      </w:r>
      <w:r>
        <w:rPr>
          <w:rFonts w:hint="eastAsia"/>
          <w:highlight w:val="none"/>
        </w:rPr>
        <w:t>5</w:t>
      </w:r>
      <w:r>
        <w:rPr>
          <w:kern w:val="0"/>
          <w:highlight w:val="none"/>
        </w:rPr>
        <w:t>）</w:t>
      </w:r>
      <w:r>
        <w:rPr>
          <w:rFonts w:hint="eastAsia"/>
          <w:kern w:val="0"/>
          <w:highlight w:val="none"/>
        </w:rPr>
        <w:t>本项目需</w:t>
      </w:r>
      <w:r>
        <w:rPr>
          <w:rFonts w:hint="eastAsia"/>
          <w:highlight w:val="none"/>
        </w:rPr>
        <w:t>采用BIM正向设计完成。</w:t>
      </w:r>
    </w:p>
    <w:p w14:paraId="07D16A1A">
      <w:pPr>
        <w:ind w:firstLine="425"/>
        <w:rPr>
          <w:rFonts w:ascii="微软雅黑" w:hAnsi="微软雅黑" w:eastAsia="微软雅黑"/>
          <w:szCs w:val="21"/>
          <w:highlight w:val="none"/>
        </w:rPr>
      </w:pPr>
      <w:r>
        <w:rPr>
          <w:kern w:val="0"/>
          <w:sz w:val="18"/>
          <w:szCs w:val="18"/>
          <w:highlight w:val="none"/>
        </w:rPr>
        <w:t>√</w:t>
      </w:r>
      <w:r>
        <w:rPr>
          <w:kern w:val="0"/>
          <w:highlight w:val="none"/>
        </w:rPr>
        <w:t>（</w:t>
      </w:r>
      <w:r>
        <w:rPr>
          <w:highlight w:val="none"/>
        </w:rPr>
        <w:t>3</w:t>
      </w:r>
      <w:r>
        <w:rPr>
          <w:rFonts w:hint="eastAsia"/>
          <w:highlight w:val="none"/>
        </w:rPr>
        <w:t>6</w:t>
      </w:r>
      <w:r>
        <w:rPr>
          <w:kern w:val="0"/>
          <w:highlight w:val="none"/>
        </w:rPr>
        <w:t>）</w:t>
      </w:r>
      <w:r>
        <w:rPr>
          <w:highlight w:val="none"/>
        </w:rPr>
        <w:t>招标文件及合同约定的其他设计、服务工作。</w:t>
      </w:r>
    </w:p>
    <w:p w14:paraId="44DCD774">
      <w:pPr>
        <w:ind w:firstLine="425"/>
        <w:rPr>
          <w:rFonts w:ascii="微软雅黑" w:hAnsi="微软雅黑" w:eastAsia="微软雅黑"/>
          <w:szCs w:val="21"/>
          <w:highlight w:val="none"/>
        </w:rPr>
      </w:pPr>
      <w:r>
        <w:rPr>
          <w:kern w:val="0"/>
          <w:sz w:val="18"/>
          <w:szCs w:val="18"/>
          <w:highlight w:val="none"/>
        </w:rPr>
        <w:t>√</w:t>
      </w:r>
      <w:r>
        <w:rPr>
          <w:kern w:val="0"/>
          <w:highlight w:val="none"/>
        </w:rPr>
        <w:t>（</w:t>
      </w:r>
      <w:r>
        <w:rPr>
          <w:highlight w:val="none"/>
        </w:rPr>
        <w:t>3</w:t>
      </w:r>
      <w:r>
        <w:rPr>
          <w:rFonts w:hint="eastAsia"/>
          <w:highlight w:val="none"/>
        </w:rPr>
        <w:t>7</w:t>
      </w:r>
      <w:r>
        <w:rPr>
          <w:kern w:val="0"/>
          <w:highlight w:val="none"/>
        </w:rPr>
        <w:t>）</w:t>
      </w:r>
      <w:r>
        <w:rPr>
          <w:highlight w:val="none"/>
        </w:rPr>
        <w:t>因政策变化或相应外部条件改变带来的相应设计工作。包括但不限于：文保专项设计、</w:t>
      </w:r>
      <w:r>
        <w:rPr>
          <w:rFonts w:hint="eastAsia"/>
          <w:highlight w:val="none"/>
        </w:rPr>
        <w:t>配合“新城建”工作</w:t>
      </w:r>
      <w:r>
        <w:rPr>
          <w:highlight w:val="none"/>
        </w:rPr>
        <w:t>等</w:t>
      </w:r>
      <w:r>
        <w:rPr>
          <w:highlight w:val="none"/>
          <w:u w:val="single"/>
        </w:rPr>
        <w:t>（如有）</w:t>
      </w:r>
      <w:r>
        <w:rPr>
          <w:highlight w:val="none"/>
        </w:rPr>
        <w:t>。</w:t>
      </w:r>
    </w:p>
    <w:p w14:paraId="78E71C6D">
      <w:pPr>
        <w:ind w:firstLine="425"/>
        <w:rPr>
          <w:rFonts w:ascii="微软雅黑" w:hAnsi="微软雅黑" w:eastAsia="微软雅黑"/>
          <w:szCs w:val="21"/>
          <w:highlight w:val="none"/>
        </w:rPr>
      </w:pPr>
      <w:r>
        <w:rPr>
          <w:kern w:val="0"/>
          <w:sz w:val="18"/>
          <w:szCs w:val="18"/>
          <w:highlight w:val="none"/>
        </w:rPr>
        <w:t>√</w:t>
      </w:r>
      <w:r>
        <w:rPr>
          <w:kern w:val="0"/>
          <w:highlight w:val="none"/>
        </w:rPr>
        <w:t>（</w:t>
      </w:r>
      <w:r>
        <w:rPr>
          <w:highlight w:val="none"/>
        </w:rPr>
        <w:t>3</w:t>
      </w:r>
      <w:r>
        <w:rPr>
          <w:rFonts w:hint="eastAsia"/>
          <w:highlight w:val="none"/>
        </w:rPr>
        <w:t>8</w:t>
      </w:r>
      <w:r>
        <w:rPr>
          <w:kern w:val="0"/>
          <w:highlight w:val="none"/>
        </w:rPr>
        <w:t>）</w:t>
      </w:r>
      <w:r>
        <w:rPr>
          <w:highlight w:val="none"/>
        </w:rPr>
        <w:t>总控协调工作</w:t>
      </w:r>
      <w:r>
        <w:rPr>
          <w:rFonts w:hint="eastAsia"/>
          <w:highlight w:val="none"/>
        </w:rPr>
        <w:t>（如有）</w:t>
      </w:r>
      <w:r>
        <w:rPr>
          <w:highlight w:val="none"/>
        </w:rPr>
        <w:t>。本项目实施过程中总控协调工作，负责项目各标段内外部衔接及相关工作，包括但不限于以下内容：</w:t>
      </w:r>
    </w:p>
    <w:p w14:paraId="72CA4ECA">
      <w:pPr>
        <w:rPr>
          <w:rFonts w:ascii="微软雅黑" w:hAnsi="微软雅黑" w:eastAsia="微软雅黑"/>
          <w:szCs w:val="21"/>
          <w:highlight w:val="none"/>
        </w:rPr>
      </w:pPr>
      <w:r>
        <w:rPr>
          <w:highlight w:val="none"/>
        </w:rPr>
        <w:t>1）协调组织各标段投标人研究建设项目的总体设计方案。</w:t>
      </w:r>
    </w:p>
    <w:p w14:paraId="0693CB48">
      <w:pPr>
        <w:rPr>
          <w:rFonts w:ascii="微软雅黑" w:hAnsi="微软雅黑" w:eastAsia="微软雅黑"/>
          <w:szCs w:val="21"/>
          <w:highlight w:val="none"/>
        </w:rPr>
      </w:pPr>
      <w:r>
        <w:rPr>
          <w:highlight w:val="none"/>
        </w:rPr>
        <w:t>2）配合招标人确定本项目统一的工程设计标准、深度和要求。</w:t>
      </w:r>
    </w:p>
    <w:p w14:paraId="66203A86">
      <w:pPr>
        <w:rPr>
          <w:rFonts w:ascii="微软雅黑" w:hAnsi="微软雅黑" w:eastAsia="微软雅黑"/>
          <w:szCs w:val="21"/>
          <w:highlight w:val="none"/>
        </w:rPr>
      </w:pPr>
      <w:r>
        <w:rPr>
          <w:highlight w:val="none"/>
        </w:rPr>
        <w:t>3）组织协调各标段投标人完成修详规工作及编制建设项目工程设计总说明、总图、总概算书。</w:t>
      </w:r>
    </w:p>
    <w:p w14:paraId="42800A4A">
      <w:pPr>
        <w:rPr>
          <w:rFonts w:ascii="微软雅黑" w:hAnsi="微软雅黑" w:eastAsia="微软雅黑"/>
          <w:szCs w:val="21"/>
          <w:highlight w:val="none"/>
        </w:rPr>
      </w:pPr>
      <w:r>
        <w:rPr>
          <w:highlight w:val="none"/>
        </w:rPr>
        <w:t>4）协调工程设计进度，组织各投标人按照要求提交工程设计文件。</w:t>
      </w:r>
    </w:p>
    <w:p w14:paraId="51FAD9B4">
      <w:pPr>
        <w:rPr>
          <w:rFonts w:ascii="微软雅黑" w:hAnsi="微软雅黑" w:eastAsia="微软雅黑"/>
          <w:szCs w:val="21"/>
          <w:highlight w:val="none"/>
        </w:rPr>
      </w:pPr>
      <w:r>
        <w:rPr>
          <w:highlight w:val="none"/>
        </w:rPr>
        <w:t>5）协调组织各投标人开展BIM正向设计，按照统一标准及要求提交成果。</w:t>
      </w:r>
    </w:p>
    <w:p w14:paraId="6E560544">
      <w:pPr>
        <w:rPr>
          <w:rFonts w:ascii="微软雅黑" w:hAnsi="微软雅黑" w:eastAsia="微软雅黑"/>
          <w:szCs w:val="21"/>
          <w:highlight w:val="none"/>
        </w:rPr>
      </w:pPr>
      <w:r>
        <w:rPr>
          <w:highlight w:val="none"/>
        </w:rPr>
        <w:t>6）其他设计协调工作：在设计过程中招标人认为有需要应由投标人所做的管理、协调工作。</w:t>
      </w:r>
    </w:p>
    <w:p w14:paraId="1324FF93">
      <w:pPr>
        <w:ind w:firstLine="425"/>
        <w:rPr>
          <w:highlight w:val="none"/>
        </w:rPr>
      </w:pPr>
      <w:r>
        <w:rPr>
          <w:kern w:val="0"/>
          <w:sz w:val="18"/>
          <w:szCs w:val="18"/>
          <w:highlight w:val="none"/>
        </w:rPr>
        <w:t>√</w:t>
      </w:r>
      <w:r>
        <w:rPr>
          <w:highlight w:val="none"/>
        </w:rPr>
        <w:t>（</w:t>
      </w:r>
      <w:r>
        <w:rPr>
          <w:rFonts w:hint="eastAsia"/>
          <w:highlight w:val="none"/>
        </w:rPr>
        <w:t>39</w:t>
      </w:r>
      <w:r>
        <w:rPr>
          <w:highlight w:val="none"/>
        </w:rPr>
        <w:t>）各投标人在本项目中须至少取得一项省级或以上勘察设计评奖并于项目前期建立创优管理架构，制定创优质量目标、管理制度，向招标人报送创优工作计划方案</w:t>
      </w:r>
      <w:r>
        <w:rPr>
          <w:highlight w:val="none"/>
          <w:u w:val="single"/>
        </w:rPr>
        <w:t>（如有）</w:t>
      </w:r>
      <w:r>
        <w:rPr>
          <w:highlight w:val="none"/>
        </w:rPr>
        <w:t>。</w:t>
      </w:r>
    </w:p>
    <w:p w14:paraId="2E784D8C">
      <w:pPr>
        <w:ind w:firstLine="425"/>
        <w:rPr>
          <w:kern w:val="0"/>
          <w:highlight w:val="none"/>
        </w:rPr>
      </w:pPr>
      <w:r>
        <w:rPr>
          <w:kern w:val="0"/>
          <w:sz w:val="18"/>
          <w:szCs w:val="18"/>
          <w:highlight w:val="none"/>
        </w:rPr>
        <w:t>√</w:t>
      </w:r>
      <w:r>
        <w:rPr>
          <w:kern w:val="0"/>
          <w:highlight w:val="none"/>
        </w:rPr>
        <w:t>（4</w:t>
      </w:r>
      <w:r>
        <w:rPr>
          <w:rFonts w:hint="eastAsia"/>
          <w:kern w:val="0"/>
          <w:highlight w:val="none"/>
        </w:rPr>
        <w:t>0</w:t>
      </w:r>
      <w:r>
        <w:rPr>
          <w:kern w:val="0"/>
          <w:highlight w:val="none"/>
        </w:rPr>
        <w:t>）</w:t>
      </w:r>
      <w:r>
        <w:rPr>
          <w:highlight w:val="none"/>
        </w:rPr>
        <w:t>与本项目</w:t>
      </w:r>
      <w:r>
        <w:rPr>
          <w:rFonts w:hint="eastAsia"/>
          <w:highlight w:val="none"/>
        </w:rPr>
        <w:t>初步设计阶段</w:t>
      </w:r>
      <w:r>
        <w:rPr>
          <w:highlight w:val="none"/>
        </w:rPr>
        <w:t>相关的勘察设计等工作</w:t>
      </w:r>
      <w:r>
        <w:rPr>
          <w:kern w:val="0"/>
          <w:highlight w:val="none"/>
        </w:rPr>
        <w:t>。</w:t>
      </w:r>
    </w:p>
    <w:p w14:paraId="3B81BE97">
      <w:pPr>
        <w:rPr>
          <w:color w:val="000000"/>
          <w:kern w:val="0"/>
          <w:highlight w:val="none"/>
        </w:rPr>
      </w:pPr>
      <w:r>
        <w:rPr>
          <w:highlight w:val="none"/>
        </w:rPr>
        <w:t>勘察设计全过程的勘察、方案设计、总平面规划方案设计、初步设计各阶段各专业的具体设计内容和界面划分以及报批报审配合等服务工作按勘察设计合同执行。</w:t>
      </w:r>
    </w:p>
    <w:p w14:paraId="21AD0A9E">
      <w:pPr>
        <w:rPr>
          <w:kern w:val="0"/>
          <w:highlight w:val="none"/>
        </w:rPr>
      </w:pPr>
      <w:r>
        <w:rPr>
          <w:rFonts w:hint="eastAsia"/>
          <w:highlight w:val="none"/>
        </w:rPr>
        <w:t>√（</w:t>
      </w:r>
      <w:r>
        <w:rPr>
          <w:highlight w:val="none"/>
        </w:rPr>
        <w:t>4</w:t>
      </w:r>
      <w:r>
        <w:rPr>
          <w:rFonts w:hint="eastAsia"/>
          <w:highlight w:val="none"/>
        </w:rPr>
        <w:t>1）模块化建筑设计（若有）。</w:t>
      </w:r>
    </w:p>
    <w:p w14:paraId="1CAB5E99">
      <w:pPr>
        <w:rPr>
          <w:kern w:val="0"/>
          <w:highlight w:val="none"/>
        </w:rPr>
      </w:pPr>
      <w:r>
        <w:rPr>
          <w:rFonts w:hint="eastAsia"/>
          <w:kern w:val="0"/>
          <w:highlight w:val="none"/>
        </w:rPr>
        <w:t>√（</w:t>
      </w:r>
      <w:r>
        <w:rPr>
          <w:kern w:val="0"/>
          <w:highlight w:val="none"/>
        </w:rPr>
        <w:t>4</w:t>
      </w:r>
      <w:r>
        <w:rPr>
          <w:rFonts w:hint="eastAsia"/>
          <w:kern w:val="0"/>
          <w:highlight w:val="none"/>
        </w:rPr>
        <w:t>2</w:t>
      </w:r>
      <w:r>
        <w:rPr>
          <w:kern w:val="0"/>
          <w:highlight w:val="none"/>
        </w:rPr>
        <w:t>）</w:t>
      </w:r>
      <w:r>
        <w:rPr>
          <w:rFonts w:hint="eastAsia"/>
          <w:kern w:val="0"/>
          <w:highlight w:val="none"/>
        </w:rPr>
        <w:t>项目</w:t>
      </w:r>
      <w:r>
        <w:rPr>
          <w:kern w:val="0"/>
          <w:highlight w:val="none"/>
        </w:rPr>
        <w:t>周边环境设计</w:t>
      </w:r>
      <w:r>
        <w:rPr>
          <w:highlight w:val="none"/>
          <w:u w:val="single"/>
        </w:rPr>
        <w:t>（</w:t>
      </w:r>
      <w:r>
        <w:rPr>
          <w:rFonts w:hint="eastAsia"/>
          <w:highlight w:val="none"/>
        </w:rPr>
        <w:t>若有</w:t>
      </w:r>
      <w:r>
        <w:rPr>
          <w:highlight w:val="none"/>
          <w:u w:val="single"/>
        </w:rPr>
        <w:t>）</w:t>
      </w:r>
      <w:r>
        <w:rPr>
          <w:kern w:val="0"/>
          <w:highlight w:val="none"/>
        </w:rPr>
        <w:t>。</w:t>
      </w:r>
    </w:p>
    <w:p w14:paraId="1A5C5E8C">
      <w:pPr>
        <w:rPr>
          <w:kern w:val="0"/>
          <w:highlight w:val="none"/>
        </w:rPr>
      </w:pPr>
      <w:r>
        <w:rPr>
          <w:rFonts w:hint="eastAsia"/>
          <w:kern w:val="0"/>
          <w:highlight w:val="none"/>
        </w:rPr>
        <w:t>√（</w:t>
      </w:r>
      <w:r>
        <w:rPr>
          <w:kern w:val="0"/>
          <w:highlight w:val="none"/>
        </w:rPr>
        <w:t>4</w:t>
      </w:r>
      <w:r>
        <w:rPr>
          <w:rFonts w:hint="eastAsia"/>
          <w:kern w:val="0"/>
          <w:highlight w:val="none"/>
        </w:rPr>
        <w:t>3</w:t>
      </w:r>
      <w:r>
        <w:rPr>
          <w:kern w:val="0"/>
          <w:highlight w:val="none"/>
        </w:rPr>
        <w:t>）通信室分系统设计</w:t>
      </w:r>
      <w:r>
        <w:rPr>
          <w:rFonts w:hint="eastAsia"/>
          <w:highlight w:val="none"/>
        </w:rPr>
        <w:t>若有</w:t>
      </w:r>
      <w:r>
        <w:rPr>
          <w:kern w:val="0"/>
          <w:highlight w:val="none"/>
        </w:rPr>
        <w:t>。</w:t>
      </w:r>
    </w:p>
    <w:p w14:paraId="5BBC91E2">
      <w:pPr>
        <w:rPr>
          <w:kern w:val="0"/>
          <w:highlight w:val="none"/>
        </w:rPr>
      </w:pPr>
      <w:r>
        <w:rPr>
          <w:rFonts w:hint="eastAsia"/>
          <w:kern w:val="0"/>
          <w:highlight w:val="none"/>
        </w:rPr>
        <w:t>√（</w:t>
      </w:r>
      <w:r>
        <w:rPr>
          <w:kern w:val="0"/>
          <w:highlight w:val="none"/>
        </w:rPr>
        <w:t>4</w:t>
      </w:r>
      <w:r>
        <w:rPr>
          <w:rFonts w:hint="eastAsia"/>
          <w:kern w:val="0"/>
          <w:highlight w:val="none"/>
        </w:rPr>
        <w:t>4</w:t>
      </w:r>
      <w:r>
        <w:rPr>
          <w:kern w:val="0"/>
          <w:highlight w:val="none"/>
        </w:rPr>
        <w:t>）</w:t>
      </w:r>
      <w:r>
        <w:rPr>
          <w:rFonts w:hint="eastAsia"/>
          <w:kern w:val="0"/>
          <w:highlight w:val="none"/>
        </w:rPr>
        <w:t>精装修</w:t>
      </w:r>
      <w:r>
        <w:rPr>
          <w:kern w:val="0"/>
          <w:highlight w:val="none"/>
        </w:rPr>
        <w:t>设计</w:t>
      </w:r>
      <w:r>
        <w:rPr>
          <w:rFonts w:hint="eastAsia"/>
          <w:highlight w:val="none"/>
        </w:rPr>
        <w:t>若有</w:t>
      </w:r>
      <w:r>
        <w:rPr>
          <w:kern w:val="0"/>
          <w:highlight w:val="none"/>
        </w:rPr>
        <w:t>。</w:t>
      </w:r>
    </w:p>
    <w:p w14:paraId="476C7A90">
      <w:pPr>
        <w:rPr>
          <w:kern w:val="0"/>
          <w:highlight w:val="none"/>
        </w:rPr>
      </w:pPr>
      <w:r>
        <w:rPr>
          <w:rFonts w:hint="eastAsia"/>
          <w:kern w:val="0"/>
          <w:highlight w:val="none"/>
        </w:rPr>
        <w:t>√（</w:t>
      </w:r>
      <w:r>
        <w:rPr>
          <w:kern w:val="0"/>
          <w:highlight w:val="none"/>
        </w:rPr>
        <w:t>4</w:t>
      </w:r>
      <w:r>
        <w:rPr>
          <w:rFonts w:hint="eastAsia"/>
          <w:kern w:val="0"/>
          <w:highlight w:val="none"/>
        </w:rPr>
        <w:t>5</w:t>
      </w:r>
      <w:r>
        <w:rPr>
          <w:kern w:val="0"/>
          <w:highlight w:val="none"/>
        </w:rPr>
        <w:t>）</w:t>
      </w:r>
      <w:r>
        <w:rPr>
          <w:rFonts w:hint="eastAsia"/>
          <w:kern w:val="0"/>
          <w:highlight w:val="none"/>
        </w:rPr>
        <w:t>园林景观</w:t>
      </w:r>
      <w:r>
        <w:rPr>
          <w:kern w:val="0"/>
          <w:highlight w:val="none"/>
        </w:rPr>
        <w:t>设计</w:t>
      </w:r>
      <w:r>
        <w:rPr>
          <w:rFonts w:hint="eastAsia"/>
          <w:highlight w:val="none"/>
        </w:rPr>
        <w:t>若有</w:t>
      </w:r>
      <w:r>
        <w:rPr>
          <w:kern w:val="0"/>
          <w:highlight w:val="none"/>
        </w:rPr>
        <w:t>。</w:t>
      </w:r>
    </w:p>
    <w:p w14:paraId="65457506">
      <w:pPr>
        <w:rPr>
          <w:color w:val="000000"/>
          <w:kern w:val="0"/>
          <w:highlight w:val="none"/>
        </w:rPr>
      </w:pPr>
      <w:r>
        <w:rPr>
          <w:rFonts w:hint="eastAsia"/>
          <w:color w:val="000000"/>
          <w:kern w:val="0"/>
          <w:highlight w:val="none"/>
        </w:rPr>
        <w:t>√（</w:t>
      </w:r>
      <w:r>
        <w:rPr>
          <w:color w:val="000000"/>
          <w:kern w:val="0"/>
          <w:highlight w:val="none"/>
        </w:rPr>
        <w:t>4</w:t>
      </w:r>
      <w:r>
        <w:rPr>
          <w:rFonts w:hint="eastAsia"/>
          <w:color w:val="000000"/>
          <w:kern w:val="0"/>
          <w:highlight w:val="none"/>
        </w:rPr>
        <w:t>6</w:t>
      </w:r>
      <w:r>
        <w:rPr>
          <w:color w:val="000000"/>
          <w:kern w:val="0"/>
          <w:highlight w:val="none"/>
        </w:rPr>
        <w:t>）</w:t>
      </w:r>
      <w:r>
        <w:rPr>
          <w:rFonts w:hint="eastAsia"/>
          <w:color w:val="000000"/>
          <w:kern w:val="0"/>
          <w:highlight w:val="none"/>
        </w:rPr>
        <w:t>项目的外水外电（从市政接驳点到项目红线范围内）</w:t>
      </w:r>
      <w:r>
        <w:rPr>
          <w:rFonts w:hint="eastAsia"/>
          <w:highlight w:val="none"/>
        </w:rPr>
        <w:t>若有。</w:t>
      </w:r>
    </w:p>
    <w:p w14:paraId="50C3473D">
      <w:pP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本次</w:t>
      </w:r>
      <w:r>
        <w:rPr>
          <w:color w:val="000000" w:themeColor="text1"/>
          <w:highlight w:val="none"/>
          <w14:textFill>
            <w14:solidFill>
              <w14:schemeClr w14:val="tx1"/>
            </w14:solidFill>
          </w14:textFill>
        </w:rPr>
        <w:t>工程</w:t>
      </w:r>
      <w:r>
        <w:rPr>
          <w:rFonts w:hint="eastAsia"/>
          <w:color w:val="000000" w:themeColor="text1"/>
          <w:highlight w:val="none"/>
          <w14:textFill>
            <w14:solidFill>
              <w14:schemeClr w14:val="tx1"/>
            </w14:solidFill>
          </w14:textFill>
        </w:rPr>
        <w:t>应</w:t>
      </w:r>
      <w:r>
        <w:rPr>
          <w:color w:val="000000" w:themeColor="text1"/>
          <w:highlight w:val="none"/>
          <w14:textFill>
            <w14:solidFill>
              <w14:schemeClr w14:val="tx1"/>
            </w14:solidFill>
          </w14:textFill>
        </w:rPr>
        <w:t>包含全部项目的专业专项勘察、</w:t>
      </w:r>
      <w:r>
        <w:rPr>
          <w:rFonts w:hint="eastAsia"/>
          <w:color w:val="000000" w:themeColor="text1"/>
          <w:highlight w:val="none"/>
          <w14:textFill>
            <w14:solidFill>
              <w14:schemeClr w14:val="tx1"/>
            </w14:solidFill>
          </w14:textFill>
        </w:rPr>
        <w:t>初步</w:t>
      </w:r>
      <w:r>
        <w:rPr>
          <w:color w:val="000000" w:themeColor="text1"/>
          <w:highlight w:val="none"/>
          <w14:textFill>
            <w14:solidFill>
              <w14:schemeClr w14:val="tx1"/>
            </w14:solidFill>
          </w14:textFill>
        </w:rPr>
        <w:t>设计</w:t>
      </w:r>
      <w:r>
        <w:rPr>
          <w:rFonts w:hint="eastAsia"/>
          <w:color w:val="000000" w:themeColor="text1"/>
          <w:highlight w:val="none"/>
          <w14:textFill>
            <w14:solidFill>
              <w14:schemeClr w14:val="tx1"/>
            </w14:solidFill>
          </w14:textFill>
        </w:rPr>
        <w:t>，所有设计合同内容应与项目概算批复内容范围为准。（包含但不限于此）。</w:t>
      </w:r>
    </w:p>
    <w:p w14:paraId="34D3FAD5">
      <w:pPr>
        <w:rPr>
          <w:kern w:val="0"/>
          <w:highlight w:val="none"/>
        </w:rPr>
      </w:pPr>
    </w:p>
    <w:p w14:paraId="7237A531">
      <w:pPr>
        <w:rPr>
          <w:kern w:val="0"/>
          <w:highlight w:val="none"/>
        </w:rPr>
      </w:pPr>
    </w:p>
    <w:p w14:paraId="07929263">
      <w:pPr>
        <w:rPr>
          <w:kern w:val="0"/>
          <w:highlight w:val="none"/>
        </w:rPr>
      </w:pPr>
    </w:p>
    <w:p w14:paraId="736845C9">
      <w:pPr>
        <w:rPr>
          <w:color w:val="000000"/>
          <w:kern w:val="0"/>
          <w:highlight w:val="none"/>
        </w:rPr>
      </w:pPr>
    </w:p>
    <w:p w14:paraId="639BAC4F">
      <w:pPr>
        <w:rPr>
          <w:color w:val="000000"/>
          <w:kern w:val="0"/>
          <w:highlight w:val="none"/>
        </w:rPr>
      </w:pPr>
    </w:p>
    <w:p w14:paraId="0E9C4FB6">
      <w:pPr>
        <w:rPr>
          <w:color w:val="000000"/>
          <w:kern w:val="0"/>
          <w:highlight w:val="none"/>
        </w:rPr>
      </w:pPr>
    </w:p>
    <w:p w14:paraId="05B69B94">
      <w:pPr>
        <w:rPr>
          <w:color w:val="000000"/>
          <w:kern w:val="0"/>
          <w:highlight w:val="none"/>
        </w:rPr>
      </w:pPr>
    </w:p>
    <w:p w14:paraId="041DEDFD">
      <w:pPr>
        <w:rPr>
          <w:color w:val="000000"/>
          <w:kern w:val="0"/>
          <w:highlight w:val="none"/>
        </w:rPr>
      </w:pPr>
    </w:p>
    <w:p w14:paraId="359DB514">
      <w:pPr>
        <w:rPr>
          <w:color w:val="000000"/>
          <w:kern w:val="0"/>
          <w:highlight w:val="none"/>
        </w:rPr>
      </w:pPr>
    </w:p>
    <w:p w14:paraId="7FCFB5F3">
      <w:pPr>
        <w:rPr>
          <w:color w:val="000000"/>
          <w:kern w:val="0"/>
          <w:highlight w:val="none"/>
        </w:rPr>
      </w:pPr>
    </w:p>
    <w:p w14:paraId="1C2283C4">
      <w:pPr>
        <w:rPr>
          <w:color w:val="000000"/>
          <w:kern w:val="0"/>
          <w:highlight w:val="none"/>
        </w:rPr>
      </w:pPr>
    </w:p>
    <w:p w14:paraId="15CDA9A9">
      <w:pPr>
        <w:rPr>
          <w:color w:val="000000"/>
          <w:kern w:val="0"/>
          <w:highlight w:val="none"/>
        </w:rPr>
      </w:pPr>
    </w:p>
    <w:p w14:paraId="021B11EF">
      <w:pPr>
        <w:rPr>
          <w:color w:val="000000"/>
          <w:kern w:val="0"/>
          <w:highlight w:val="none"/>
        </w:rPr>
      </w:pPr>
    </w:p>
    <w:p w14:paraId="283933F7">
      <w:pPr>
        <w:rPr>
          <w:color w:val="000000"/>
          <w:kern w:val="0"/>
          <w:highlight w:val="none"/>
        </w:rPr>
      </w:pPr>
    </w:p>
    <w:p w14:paraId="6332100E">
      <w:pPr>
        <w:rPr>
          <w:color w:val="000000"/>
          <w:kern w:val="0"/>
          <w:highlight w:val="none"/>
        </w:rPr>
      </w:pPr>
    </w:p>
    <w:p w14:paraId="23D61C13">
      <w:pPr>
        <w:rPr>
          <w:color w:val="000000"/>
          <w:kern w:val="0"/>
          <w:highlight w:val="none"/>
        </w:rPr>
      </w:pPr>
    </w:p>
    <w:p w14:paraId="4638C5DB">
      <w:pPr>
        <w:pStyle w:val="2"/>
        <w:rPr>
          <w:color w:val="000000"/>
          <w:highlight w:val="none"/>
        </w:rPr>
      </w:pPr>
      <w:bookmarkStart w:id="11" w:name="_Toc75504387"/>
      <w:r>
        <w:rPr>
          <w:color w:val="000000"/>
          <w:highlight w:val="none"/>
        </w:rPr>
        <w:t>勘察设计要求</w:t>
      </w:r>
      <w:bookmarkEnd w:id="11"/>
    </w:p>
    <w:p w14:paraId="578B0501">
      <w:pPr>
        <w:pStyle w:val="3"/>
        <w:rPr>
          <w:color w:val="000000"/>
          <w:highlight w:val="none"/>
        </w:rPr>
      </w:pPr>
      <w:bookmarkStart w:id="12" w:name="_Toc75504388"/>
      <w:r>
        <w:rPr>
          <w:color w:val="000000"/>
          <w:highlight w:val="none"/>
        </w:rPr>
        <w:t>勘察设计总体要求</w:t>
      </w:r>
      <w:bookmarkEnd w:id="12"/>
    </w:p>
    <w:p w14:paraId="45B60F80">
      <w:pPr>
        <w:rPr>
          <w:color w:val="000000"/>
          <w:highlight w:val="none"/>
        </w:rPr>
      </w:pPr>
      <w:r>
        <w:rPr>
          <w:rFonts w:hint="eastAsia"/>
          <w:color w:val="000000"/>
          <w:highlight w:val="none"/>
        </w:rPr>
        <w:t>乙方</w:t>
      </w:r>
      <w:r>
        <w:rPr>
          <w:color w:val="000000"/>
          <w:highlight w:val="none"/>
        </w:rPr>
        <w:t>遵循现行法律法规和规范标准，根据</w:t>
      </w:r>
      <w:r>
        <w:rPr>
          <w:rFonts w:hint="eastAsia"/>
          <w:color w:val="000000"/>
          <w:highlight w:val="none"/>
        </w:rPr>
        <w:t>勘察设计任务书</w:t>
      </w:r>
      <w:r>
        <w:rPr>
          <w:color w:val="000000"/>
          <w:highlight w:val="none"/>
        </w:rPr>
        <w:t>，按照</w:t>
      </w:r>
      <w:r>
        <w:rPr>
          <w:rFonts w:hint="eastAsia"/>
          <w:color w:val="000000"/>
          <w:highlight w:val="none"/>
        </w:rPr>
        <w:t>甲方</w:t>
      </w:r>
      <w:r>
        <w:rPr>
          <w:color w:val="000000"/>
          <w:highlight w:val="none"/>
        </w:rPr>
        <w:t>的设计管理要求进行勘察设计工作。项目立项及可行性研究报告批复的建设事项、内容、标准和要求，应与初步设计成果以及概算编制的事项、内容等要相统一。初步设计与概算要同步完成、同步提交。</w:t>
      </w:r>
    </w:p>
    <w:p w14:paraId="70108B1D">
      <w:pPr>
        <w:rPr>
          <w:color w:val="000000"/>
          <w:highlight w:val="none"/>
        </w:rPr>
      </w:pPr>
      <w:r>
        <w:rPr>
          <w:rFonts w:hint="eastAsia"/>
          <w:color w:val="000000"/>
          <w:highlight w:val="none"/>
        </w:rPr>
        <w:t>乙方</w:t>
      </w:r>
      <w:r>
        <w:rPr>
          <w:color w:val="000000"/>
          <w:highlight w:val="none"/>
        </w:rPr>
        <w:t>除了落实</w:t>
      </w:r>
      <w:r>
        <w:rPr>
          <w:rFonts w:hint="eastAsia"/>
          <w:color w:val="000000"/>
          <w:highlight w:val="none"/>
        </w:rPr>
        <w:t>本任务书</w:t>
      </w:r>
      <w:r>
        <w:rPr>
          <w:color w:val="000000"/>
          <w:highlight w:val="none"/>
        </w:rPr>
        <w:t>中的甲方需求外，还需要落实以下勘察设计及造价各专业要求。</w:t>
      </w:r>
    </w:p>
    <w:p w14:paraId="173F2FAF">
      <w:pPr>
        <w:pStyle w:val="3"/>
        <w:rPr>
          <w:color w:val="000000"/>
          <w:highlight w:val="none"/>
        </w:rPr>
      </w:pPr>
      <w:bookmarkStart w:id="13" w:name="_Toc75504389"/>
      <w:r>
        <w:rPr>
          <w:color w:val="000000"/>
          <w:highlight w:val="none"/>
        </w:rPr>
        <w:t>勘察工作要求</w:t>
      </w:r>
      <w:bookmarkEnd w:id="13"/>
    </w:p>
    <w:p w14:paraId="606D086A">
      <w:pPr>
        <w:rPr>
          <w:color w:val="000000"/>
          <w:highlight w:val="none"/>
        </w:rPr>
      </w:pPr>
      <w:r>
        <w:rPr>
          <w:color w:val="000000"/>
          <w:highlight w:val="none"/>
        </w:rPr>
        <w:t>各阶段</w:t>
      </w:r>
      <w:r>
        <w:rPr>
          <w:rFonts w:hint="eastAsia"/>
          <w:color w:val="000000"/>
          <w:highlight w:val="none"/>
        </w:rPr>
        <w:t>的勘察工作除遵照勘察设计合同、现行法律法规和规范标准、政府有关部门的规定和审批意见等有关规定等外，还需要做到招标人提出的下列设计要求（包括并不限于）：</w:t>
      </w:r>
    </w:p>
    <w:p w14:paraId="26338256">
      <w:pPr>
        <w:rPr>
          <w:color w:val="000000"/>
          <w:highlight w:val="none"/>
        </w:rPr>
      </w:pPr>
      <w:r>
        <w:rPr>
          <w:rFonts w:hint="eastAsia"/>
          <w:color w:val="000000"/>
          <w:highlight w:val="none"/>
        </w:rPr>
        <w:t>1．地质勘察阶段包括初勘、详勘阶段，各阶段地质勘察内容与要求执行《岩土工程勘察规范》（GB50021-2001）及国家现行有关标准、规范，建设单位勘察管理办法的规定。</w:t>
      </w:r>
    </w:p>
    <w:p w14:paraId="6C335F46">
      <w:pPr>
        <w:rPr>
          <w:color w:val="000000"/>
          <w:highlight w:val="none"/>
        </w:rPr>
      </w:pPr>
      <w:r>
        <w:rPr>
          <w:rFonts w:hint="eastAsia"/>
          <w:color w:val="000000"/>
          <w:highlight w:val="none"/>
        </w:rPr>
        <w:t>2．设计单位需对勘察成果予以分析，提出是否需要验证的建议和意见。</w:t>
      </w:r>
    </w:p>
    <w:p w14:paraId="404E6B78">
      <w:pPr>
        <w:rPr>
          <w:color w:val="000000"/>
          <w:highlight w:val="none"/>
        </w:rPr>
      </w:pPr>
      <w:r>
        <w:rPr>
          <w:rFonts w:hint="eastAsia"/>
          <w:color w:val="000000"/>
          <w:highlight w:val="none"/>
        </w:rPr>
        <w:t>3．针对项目场地采用的勘察技术方案（包括勘察手段、方法、工艺及原位测试、土工试验等），提出本次勘察工作的难点及建议。</w:t>
      </w:r>
    </w:p>
    <w:p w14:paraId="49292294">
      <w:pPr>
        <w:rPr>
          <w:color w:val="000000"/>
          <w:highlight w:val="none"/>
        </w:rPr>
      </w:pPr>
      <w:r>
        <w:rPr>
          <w:rFonts w:hint="eastAsia"/>
          <w:color w:val="000000"/>
          <w:highlight w:val="none"/>
        </w:rPr>
        <w:t>4．满足设计工期要求，如果延误工期，严格按照合同专用条款的约定承担违约责任。</w:t>
      </w:r>
    </w:p>
    <w:p w14:paraId="45BF3743">
      <w:pPr>
        <w:rPr>
          <w:color w:val="000000"/>
          <w:highlight w:val="none"/>
        </w:rPr>
      </w:pPr>
      <w:r>
        <w:rPr>
          <w:rFonts w:hint="eastAsia"/>
          <w:color w:val="000000"/>
          <w:highlight w:val="none"/>
        </w:rPr>
        <w:t>5．勘察设计单位应当按照《广东省建设工程勘察设计管理条例》和相关标准开展勘察设计工作，应当建立和健全勘察设计质量保证体系，建立完善的勘察报告和设计文件的内部审查制度，加强勘察设计全过程的质量控制，明确各阶段的责任人。</w:t>
      </w:r>
    </w:p>
    <w:p w14:paraId="64B09AB7">
      <w:pPr>
        <w:rPr>
          <w:color w:val="000000"/>
          <w:highlight w:val="none"/>
        </w:rPr>
      </w:pPr>
      <w:r>
        <w:rPr>
          <w:rFonts w:hint="eastAsia"/>
          <w:color w:val="000000"/>
          <w:highlight w:val="none"/>
        </w:rPr>
        <w:t>6.本项目如有存在祖坟情况，勘察钻探作业中考虑祖坟区域不得开挖情况。</w:t>
      </w:r>
    </w:p>
    <w:p w14:paraId="3B7327B2">
      <w:pPr>
        <w:rPr>
          <w:color w:val="000000"/>
          <w:highlight w:val="none"/>
        </w:rPr>
      </w:pPr>
      <w:r>
        <w:rPr>
          <w:color w:val="000000"/>
          <w:highlight w:val="none"/>
        </w:rPr>
        <w:t>7.本次勘察任务以包干的形式完成，对于勘察过程中出现的相关问题由勘察单位主导解决，包括不限于借用场地勘探，相关费用已包含在综合单价中。</w:t>
      </w:r>
    </w:p>
    <w:p w14:paraId="727E9C6B">
      <w:pPr>
        <w:pStyle w:val="3"/>
        <w:rPr>
          <w:color w:val="000000"/>
          <w:highlight w:val="none"/>
        </w:rPr>
      </w:pPr>
      <w:bookmarkStart w:id="14" w:name="_Toc75504390"/>
      <w:r>
        <w:rPr>
          <w:color w:val="000000"/>
          <w:highlight w:val="none"/>
        </w:rPr>
        <w:t>设计工作要求</w:t>
      </w:r>
      <w:bookmarkEnd w:id="14"/>
    </w:p>
    <w:p w14:paraId="7635583E">
      <w:pPr>
        <w:rPr>
          <w:color w:val="000000"/>
          <w:highlight w:val="none"/>
        </w:rPr>
      </w:pPr>
      <w:r>
        <w:rPr>
          <w:color w:val="000000"/>
          <w:highlight w:val="none"/>
        </w:rPr>
        <w:t>各阶段的设计工作除遵照勘察设计合同、项目建议书、现行法律法规和规范标准、政府有关部门的规定和审批意见等有关规定等外，还需要做到招标人提出的下列设计要求（包括并不限于）。</w:t>
      </w:r>
    </w:p>
    <w:p w14:paraId="188D02C6">
      <w:pPr>
        <w:pStyle w:val="4"/>
        <w:rPr>
          <w:color w:val="000000"/>
          <w:highlight w:val="none"/>
        </w:rPr>
      </w:pPr>
      <w:r>
        <w:rPr>
          <w:color w:val="000000"/>
          <w:highlight w:val="none"/>
        </w:rPr>
        <w:t>规划设计要求</w:t>
      </w:r>
    </w:p>
    <w:p w14:paraId="4DCB1385">
      <w:pPr>
        <w:pStyle w:val="5"/>
        <w:rPr>
          <w:color w:val="000000"/>
          <w:highlight w:val="none"/>
        </w:rPr>
      </w:pPr>
      <w:bookmarkStart w:id="15" w:name="_Toc64660066"/>
      <w:r>
        <w:rPr>
          <w:rFonts w:hint="eastAsia"/>
          <w:color w:val="000000"/>
          <w:highlight w:val="none"/>
        </w:rPr>
        <w:t>规划原则及用地布局</w:t>
      </w:r>
      <w:bookmarkEnd w:id="15"/>
    </w:p>
    <w:p w14:paraId="3A97D506">
      <w:pPr>
        <w:ind w:firstLine="480" w:firstLineChars="200"/>
        <w:rPr>
          <w:color w:val="000000"/>
          <w:highlight w:val="none"/>
        </w:rPr>
      </w:pPr>
      <w:r>
        <w:rPr>
          <w:rFonts w:hint="eastAsia"/>
          <w:color w:val="000000"/>
          <w:highlight w:val="none"/>
        </w:rPr>
        <w:t>1、居住区规划应符合国家相关规划设计规范及法律、法规要求，同时还要符合广州市城市总体规划、分区规划、控制性详细规划的要求，应充分利用城市基础设施与公共资源，集约利用土地资源。规划设计涉及到文物、公安消防、环保、卫生、防洪排涝、电力、交通地质灾害等问题应符合各专项规划要求。</w:t>
      </w:r>
      <w:r>
        <w:rPr>
          <w:color w:val="000000"/>
          <w:highlight w:val="none"/>
        </w:rPr>
        <w:t xml:space="preserve"> </w:t>
      </w:r>
    </w:p>
    <w:p w14:paraId="2787EEEA">
      <w:pPr>
        <w:ind w:firstLine="480" w:firstLineChars="200"/>
        <w:rPr>
          <w:color w:val="000000"/>
          <w:highlight w:val="none"/>
        </w:rPr>
      </w:pPr>
      <w:r>
        <w:rPr>
          <w:rFonts w:hint="eastAsia"/>
          <w:color w:val="000000"/>
          <w:highlight w:val="none"/>
        </w:rPr>
        <w:t>2、居住区内建筑规划布局应能形成良好的日照、采光、通风等条件，应充分考虑广州市的气候特征，体现岭南建筑的特点和风貌。</w:t>
      </w:r>
    </w:p>
    <w:p w14:paraId="32003FF2">
      <w:pPr>
        <w:ind w:firstLine="480" w:firstLineChars="200"/>
        <w:rPr>
          <w:color w:val="000000"/>
          <w:highlight w:val="none"/>
        </w:rPr>
      </w:pPr>
      <w:r>
        <w:rPr>
          <w:rFonts w:hint="eastAsia"/>
          <w:color w:val="000000"/>
          <w:highlight w:val="none"/>
        </w:rPr>
        <w:t>3、居住区规划应体现</w:t>
      </w:r>
      <w:r>
        <w:rPr>
          <w:color w:val="000000"/>
          <w:highlight w:val="none"/>
        </w:rPr>
        <w:t>“</w:t>
      </w:r>
      <w:r>
        <w:rPr>
          <w:rFonts w:hint="eastAsia"/>
          <w:color w:val="000000"/>
          <w:highlight w:val="none"/>
        </w:rPr>
        <w:t>绿色节能、生态宜居</w:t>
      </w:r>
      <w:r>
        <w:rPr>
          <w:color w:val="000000"/>
          <w:highlight w:val="none"/>
        </w:rPr>
        <w:t>”</w:t>
      </w:r>
      <w:r>
        <w:rPr>
          <w:rFonts w:hint="eastAsia"/>
          <w:color w:val="000000"/>
          <w:highlight w:val="none"/>
        </w:rPr>
        <w:t>的设计理念。本项目按国家绿色建筑评价标准一星绿色建筑标准规划设计。</w:t>
      </w:r>
      <w:r>
        <w:rPr>
          <w:color w:val="000000"/>
          <w:highlight w:val="none"/>
        </w:rPr>
        <w:t xml:space="preserve"> </w:t>
      </w:r>
    </w:p>
    <w:p w14:paraId="46354913">
      <w:pPr>
        <w:ind w:firstLine="480" w:firstLineChars="200"/>
        <w:rPr>
          <w:color w:val="000000"/>
          <w:highlight w:val="none"/>
        </w:rPr>
      </w:pPr>
      <w:r>
        <w:rPr>
          <w:rFonts w:hint="eastAsia"/>
          <w:color w:val="000000"/>
          <w:highlight w:val="none"/>
        </w:rPr>
        <w:t>4、居住区的建筑间距、道路宽度和绿地率应遵循集约节约用地的原则，应充分利用土地，容积率可按相应区域控制指标的上限取值。在总投资规模内合理控制工程造价，并考虑在投入使用后节约运作成本。</w:t>
      </w:r>
      <w:r>
        <w:rPr>
          <w:color w:val="000000"/>
          <w:highlight w:val="none"/>
        </w:rPr>
        <w:t xml:space="preserve"> </w:t>
      </w:r>
    </w:p>
    <w:p w14:paraId="400F9592">
      <w:pPr>
        <w:ind w:firstLine="480" w:firstLineChars="200"/>
        <w:rPr>
          <w:color w:val="000000"/>
          <w:highlight w:val="none"/>
        </w:rPr>
      </w:pPr>
      <w:r>
        <w:rPr>
          <w:rFonts w:hint="eastAsia"/>
          <w:color w:val="000000"/>
          <w:highlight w:val="none"/>
        </w:rPr>
        <w:t>5、项目建设必须体现</w:t>
      </w:r>
      <w:r>
        <w:rPr>
          <w:color w:val="000000"/>
          <w:highlight w:val="none"/>
        </w:rPr>
        <w:t>“</w:t>
      </w:r>
      <w:r>
        <w:rPr>
          <w:rFonts w:hint="eastAsia"/>
          <w:color w:val="000000"/>
          <w:highlight w:val="none"/>
        </w:rPr>
        <w:t>集约高效、统筹兼顾、统一布局</w:t>
      </w:r>
      <w:r>
        <w:rPr>
          <w:color w:val="000000"/>
          <w:highlight w:val="none"/>
        </w:rPr>
        <w:t>”</w:t>
      </w:r>
      <w:r>
        <w:rPr>
          <w:rFonts w:hint="eastAsia"/>
          <w:color w:val="000000"/>
          <w:highlight w:val="none"/>
        </w:rPr>
        <w:t>理念，将公建配套、停车等系统统一设计。</w:t>
      </w:r>
      <w:r>
        <w:rPr>
          <w:color w:val="000000"/>
          <w:highlight w:val="none"/>
        </w:rPr>
        <w:t xml:space="preserve"> </w:t>
      </w:r>
    </w:p>
    <w:p w14:paraId="7E17A095">
      <w:pPr>
        <w:ind w:firstLine="480" w:firstLineChars="200"/>
        <w:rPr>
          <w:color w:val="000000"/>
          <w:highlight w:val="none"/>
        </w:rPr>
      </w:pPr>
      <w:r>
        <w:rPr>
          <w:rFonts w:hint="eastAsia"/>
          <w:color w:val="000000"/>
          <w:highlight w:val="none"/>
        </w:rPr>
        <w:t>6、规划应结合绿色建筑生态理念，降低热岛效应，适度利用再生能源。</w:t>
      </w:r>
      <w:r>
        <w:rPr>
          <w:color w:val="000000"/>
          <w:highlight w:val="none"/>
        </w:rPr>
        <w:t xml:space="preserve"> </w:t>
      </w:r>
    </w:p>
    <w:p w14:paraId="1B776874">
      <w:pPr>
        <w:ind w:firstLine="480" w:firstLineChars="200"/>
        <w:rPr>
          <w:color w:val="000000"/>
          <w:highlight w:val="none"/>
        </w:rPr>
      </w:pPr>
      <w:r>
        <w:rPr>
          <w:rFonts w:hint="eastAsia"/>
          <w:color w:val="000000"/>
          <w:highlight w:val="none"/>
        </w:rPr>
        <w:t>7、住宅单体及总体布局应尽可能保证相同户型的均好性。</w:t>
      </w:r>
      <w:r>
        <w:rPr>
          <w:color w:val="000000"/>
          <w:highlight w:val="none"/>
        </w:rPr>
        <w:t xml:space="preserve"> </w:t>
      </w:r>
    </w:p>
    <w:p w14:paraId="4C2CC3FD">
      <w:pPr>
        <w:pStyle w:val="5"/>
        <w:rPr>
          <w:color w:val="000000"/>
          <w:highlight w:val="none"/>
        </w:rPr>
      </w:pPr>
      <w:bookmarkStart w:id="16" w:name="_Toc64660067"/>
      <w:r>
        <w:rPr>
          <w:color w:val="000000"/>
          <w:highlight w:val="none"/>
        </w:rPr>
        <w:t>总图设计原则</w:t>
      </w:r>
      <w:bookmarkEnd w:id="16"/>
    </w:p>
    <w:p w14:paraId="0BBCECA4">
      <w:pPr>
        <w:ind w:firstLine="480" w:firstLineChars="200"/>
        <w:rPr>
          <w:color w:val="000000"/>
          <w:highlight w:val="none"/>
        </w:rPr>
      </w:pPr>
      <w:r>
        <w:rPr>
          <w:rFonts w:hint="eastAsia"/>
          <w:color w:val="000000"/>
          <w:highlight w:val="none"/>
        </w:rPr>
        <w:t>1、建筑必须按照规划设计要点的用地界线、控制高度、间距及开口天井等规划要求进行设计，并满足</w:t>
      </w:r>
      <w:r>
        <w:rPr>
          <w:color w:val="000000"/>
          <w:highlight w:val="none"/>
        </w:rPr>
        <w:t>《广州市城乡规划技术规定》</w:t>
      </w:r>
      <w:r>
        <w:rPr>
          <w:rFonts w:hint="eastAsia"/>
          <w:color w:val="000000"/>
          <w:highlight w:val="none"/>
        </w:rPr>
        <w:t>相关要求。</w:t>
      </w:r>
      <w:r>
        <w:rPr>
          <w:color w:val="000000"/>
          <w:highlight w:val="none"/>
        </w:rPr>
        <w:t xml:space="preserve"> </w:t>
      </w:r>
    </w:p>
    <w:p w14:paraId="45980135">
      <w:pPr>
        <w:ind w:firstLine="480" w:firstLineChars="200"/>
        <w:rPr>
          <w:color w:val="000000"/>
          <w:highlight w:val="none"/>
        </w:rPr>
      </w:pPr>
      <w:r>
        <w:rPr>
          <w:rFonts w:hint="eastAsia"/>
          <w:color w:val="000000"/>
          <w:highlight w:val="none"/>
        </w:rPr>
        <w:t>2、规划组团布局要体现以自然村落聚居为设计单元的原则，其出入口、公建配套和小区管理应按村落布置。</w:t>
      </w:r>
      <w:r>
        <w:rPr>
          <w:color w:val="000000"/>
          <w:highlight w:val="none"/>
        </w:rPr>
        <w:t xml:space="preserve"> </w:t>
      </w:r>
    </w:p>
    <w:p w14:paraId="5A319FEF">
      <w:pPr>
        <w:ind w:firstLine="480" w:firstLineChars="200"/>
        <w:rPr>
          <w:color w:val="000000"/>
          <w:highlight w:val="none"/>
        </w:rPr>
      </w:pPr>
      <w:r>
        <w:rPr>
          <w:rFonts w:hint="eastAsia"/>
          <w:color w:val="000000"/>
          <w:highlight w:val="none"/>
        </w:rPr>
        <w:t>3、居住区交通组织应便捷、经济、合理组织人流和车流，有利安全防卫，道路网络层次适当，架构清晰，衔接合理。主要出入口、公共交通组织及公共服务设施应考虑无障碍设计。</w:t>
      </w:r>
      <w:r>
        <w:rPr>
          <w:color w:val="000000"/>
          <w:highlight w:val="none"/>
        </w:rPr>
        <w:t xml:space="preserve"> </w:t>
      </w:r>
    </w:p>
    <w:p w14:paraId="0110863A">
      <w:pPr>
        <w:ind w:firstLine="480" w:firstLineChars="200"/>
        <w:rPr>
          <w:color w:val="000000"/>
          <w:highlight w:val="none"/>
        </w:rPr>
      </w:pPr>
      <w:r>
        <w:rPr>
          <w:rFonts w:hint="eastAsia"/>
          <w:color w:val="000000"/>
          <w:highlight w:val="none"/>
        </w:rPr>
        <w:t>4、</w:t>
      </w:r>
      <w:r>
        <w:rPr>
          <w:color w:val="000000"/>
          <w:highlight w:val="none"/>
        </w:rPr>
        <w:t xml:space="preserve">设置与居民人口相对应的公共活动中心，综合考虑公共活动场地与步行系统的设置，注重塑造有利于居民交流的公共活动空间。 </w:t>
      </w:r>
    </w:p>
    <w:p w14:paraId="6B778B64">
      <w:pPr>
        <w:ind w:firstLine="480" w:firstLineChars="200"/>
        <w:rPr>
          <w:color w:val="000000"/>
          <w:highlight w:val="none"/>
        </w:rPr>
      </w:pPr>
      <w:r>
        <w:rPr>
          <w:rFonts w:hint="eastAsia"/>
          <w:color w:val="000000"/>
          <w:highlight w:val="none"/>
        </w:rPr>
        <w:t>5、</w:t>
      </w:r>
      <w:r>
        <w:rPr>
          <w:color w:val="000000"/>
          <w:highlight w:val="none"/>
        </w:rPr>
        <w:t xml:space="preserve">应充分利用地形、地貌和环境，合理布置住宅组团和绿化景观，丰富空间，美化环境，体现地方特色，体现实用性，同时应注重景观的均好性。 </w:t>
      </w:r>
    </w:p>
    <w:p w14:paraId="0A217991">
      <w:pPr>
        <w:ind w:firstLine="480" w:firstLineChars="200"/>
        <w:rPr>
          <w:color w:val="000000"/>
          <w:highlight w:val="none"/>
        </w:rPr>
      </w:pPr>
      <w:r>
        <w:rPr>
          <w:rFonts w:hint="eastAsia"/>
          <w:color w:val="000000"/>
          <w:highlight w:val="none"/>
        </w:rPr>
        <w:t>6、</w:t>
      </w:r>
      <w:r>
        <w:rPr>
          <w:color w:val="000000"/>
          <w:highlight w:val="none"/>
        </w:rPr>
        <w:t xml:space="preserve">建筑间距、道路宽度和绿地率应遵循集约节约用地的原则，应充分利用土地，容积率可按相应区域控制指标的上限取值。 </w:t>
      </w:r>
    </w:p>
    <w:p w14:paraId="555AD8A0">
      <w:pPr>
        <w:ind w:firstLine="480" w:firstLineChars="200"/>
        <w:rPr>
          <w:color w:val="000000"/>
          <w:highlight w:val="none"/>
        </w:rPr>
      </w:pPr>
      <w:r>
        <w:rPr>
          <w:rFonts w:hint="eastAsia"/>
          <w:color w:val="000000"/>
          <w:highlight w:val="none"/>
        </w:rPr>
        <w:t>7、</w:t>
      </w:r>
      <w:r>
        <w:rPr>
          <w:color w:val="000000"/>
          <w:highlight w:val="none"/>
        </w:rPr>
        <w:t xml:space="preserve">地下室顶板覆土的厚度在设计中应考虑植物生长的最小土层厚度。集中绿地部分覆土厚度建议不小于 1.5m，需种植高大乔木处应局部加大至 2.0m深。地下室顶板覆土种植应增设疏水排水系统。 </w:t>
      </w:r>
    </w:p>
    <w:p w14:paraId="52F0B35E">
      <w:pPr>
        <w:ind w:firstLine="480" w:firstLineChars="200"/>
        <w:rPr>
          <w:color w:val="000000"/>
          <w:highlight w:val="none"/>
        </w:rPr>
      </w:pPr>
      <w:r>
        <w:rPr>
          <w:rFonts w:hint="eastAsia"/>
          <w:color w:val="000000"/>
          <w:highlight w:val="none"/>
        </w:rPr>
        <w:t>8、</w:t>
      </w:r>
      <w:r>
        <w:rPr>
          <w:color w:val="000000"/>
          <w:highlight w:val="none"/>
        </w:rPr>
        <w:t xml:space="preserve">合理设置公共服务设施，避免烟气、粉尘及噪声对居民的污染和干扰。 </w:t>
      </w:r>
    </w:p>
    <w:p w14:paraId="6A6BAF71">
      <w:pPr>
        <w:pStyle w:val="5"/>
        <w:rPr>
          <w:color w:val="000000"/>
          <w:highlight w:val="none"/>
        </w:rPr>
      </w:pPr>
      <w:bookmarkStart w:id="17" w:name="_Toc64660068"/>
      <w:r>
        <w:rPr>
          <w:color w:val="000000"/>
          <w:highlight w:val="none"/>
        </w:rPr>
        <w:t>空间组织和景观特色要求</w:t>
      </w:r>
      <w:bookmarkEnd w:id="17"/>
      <w:r>
        <w:rPr>
          <w:color w:val="000000"/>
          <w:highlight w:val="none"/>
        </w:rPr>
        <w:t xml:space="preserve"> </w:t>
      </w:r>
    </w:p>
    <w:p w14:paraId="6C1864F2">
      <w:pPr>
        <w:ind w:firstLine="480" w:firstLineChars="200"/>
        <w:rPr>
          <w:color w:val="000000"/>
          <w:highlight w:val="none"/>
        </w:rPr>
      </w:pPr>
      <w:r>
        <w:rPr>
          <w:rFonts w:hint="eastAsia"/>
          <w:color w:val="000000"/>
          <w:highlight w:val="none"/>
        </w:rPr>
        <w:t>1、规划布局和建筑设计应体现岭南建筑的特色，与周边环境相协调。应根据地块条件合理选取住宅单体形式，宜通过不同高度和不同类型的建筑组合，进行合理布局及环境设计，形成丰富多变的组团空间。</w:t>
      </w:r>
      <w:r>
        <w:rPr>
          <w:color w:val="000000"/>
          <w:highlight w:val="none"/>
        </w:rPr>
        <w:t xml:space="preserve"> </w:t>
      </w:r>
    </w:p>
    <w:p w14:paraId="507CD84C">
      <w:pPr>
        <w:ind w:firstLine="480" w:firstLineChars="200"/>
        <w:rPr>
          <w:color w:val="000000"/>
          <w:highlight w:val="none"/>
        </w:rPr>
      </w:pPr>
      <w:r>
        <w:rPr>
          <w:rFonts w:hint="eastAsia"/>
          <w:color w:val="000000"/>
          <w:highlight w:val="none"/>
        </w:rPr>
        <w:t>2、建筑风格应结合所在地域的气候特性和绿色建筑要求，尽量减少无功能作用的造型装饰构件。建筑构件与建筑空间、建筑造型进行一体化设计，既作为立面设计的元素，又起到遮阳隔热、通风降温的作用。</w:t>
      </w:r>
      <w:r>
        <w:rPr>
          <w:color w:val="000000"/>
          <w:highlight w:val="none"/>
        </w:rPr>
        <w:t xml:space="preserve"> </w:t>
      </w:r>
    </w:p>
    <w:p w14:paraId="51587096">
      <w:pPr>
        <w:ind w:firstLine="480" w:firstLineChars="200"/>
        <w:rPr>
          <w:color w:val="000000"/>
          <w:highlight w:val="none"/>
        </w:rPr>
      </w:pPr>
      <w:r>
        <w:rPr>
          <w:rFonts w:hint="eastAsia"/>
          <w:color w:val="000000"/>
          <w:highlight w:val="none"/>
        </w:rPr>
        <w:t>3、宜结合架空层、风雨连廊布置有岭南特色的园林环境空间，商业及其他临街的服务网点宜设置骑楼街，使居住区内住宅与主要公建配套设施连接形成风雨无阻的步行系统。</w:t>
      </w:r>
      <w:r>
        <w:rPr>
          <w:color w:val="000000"/>
          <w:highlight w:val="none"/>
        </w:rPr>
        <w:t xml:space="preserve"> </w:t>
      </w:r>
    </w:p>
    <w:p w14:paraId="44E8993E">
      <w:pPr>
        <w:ind w:firstLine="480" w:firstLineChars="200"/>
        <w:rPr>
          <w:color w:val="000000"/>
          <w:highlight w:val="none"/>
        </w:rPr>
      </w:pPr>
      <w:r>
        <w:rPr>
          <w:rFonts w:hint="eastAsia"/>
          <w:color w:val="000000"/>
          <w:highlight w:val="none"/>
        </w:rPr>
        <w:t>4、建筑造型宜简洁大方，富有时代气息，适当借鉴岭南建筑与亚热带建筑手法，提取具有岭南地域特色的设计元素，赋予建筑形态以可识别性，强化建筑的地域性。</w:t>
      </w:r>
      <w:r>
        <w:rPr>
          <w:color w:val="000000"/>
          <w:highlight w:val="none"/>
        </w:rPr>
        <w:t xml:space="preserve"> </w:t>
      </w:r>
    </w:p>
    <w:p w14:paraId="41E7FDB7">
      <w:pPr>
        <w:ind w:firstLine="480" w:firstLineChars="200"/>
        <w:rPr>
          <w:color w:val="000000"/>
          <w:highlight w:val="none"/>
        </w:rPr>
      </w:pPr>
      <w:r>
        <w:rPr>
          <w:rFonts w:hint="eastAsia"/>
          <w:color w:val="000000"/>
          <w:highlight w:val="none"/>
        </w:rPr>
        <w:t>5、独立的配套公建其建筑设计风格应与居住建筑协调，同时又要有自身的特色，以适度变化的建筑色彩和文化内涵，丰富居住区的整体效果。</w:t>
      </w:r>
      <w:r>
        <w:rPr>
          <w:color w:val="000000"/>
          <w:highlight w:val="none"/>
        </w:rPr>
        <w:t xml:space="preserve"> </w:t>
      </w:r>
    </w:p>
    <w:p w14:paraId="6F1C3827">
      <w:pPr>
        <w:pStyle w:val="5"/>
        <w:rPr>
          <w:rFonts w:hAnsi="Times New Roman"/>
          <w:color w:val="000000"/>
          <w:highlight w:val="none"/>
        </w:rPr>
      </w:pPr>
      <w:bookmarkStart w:id="18" w:name="_Toc64660069"/>
      <w:r>
        <w:rPr>
          <w:color w:val="000000"/>
          <w:highlight w:val="none"/>
        </w:rPr>
        <w:t>公共配套服务设施</w:t>
      </w:r>
      <w:bookmarkEnd w:id="18"/>
      <w:r>
        <w:rPr>
          <w:rFonts w:hAnsi="Times New Roman"/>
          <w:color w:val="000000"/>
          <w:highlight w:val="none"/>
        </w:rPr>
        <w:t xml:space="preserve"> </w:t>
      </w:r>
    </w:p>
    <w:p w14:paraId="6FF936BD">
      <w:pPr>
        <w:ind w:firstLine="480" w:firstLineChars="200"/>
        <w:rPr>
          <w:color w:val="000000"/>
          <w:highlight w:val="none"/>
        </w:rPr>
      </w:pPr>
      <w:r>
        <w:rPr>
          <w:rFonts w:hint="eastAsia"/>
          <w:color w:val="000000"/>
          <w:highlight w:val="none"/>
        </w:rPr>
        <w:t>1、配套公建的配建水平，应与居住人口规模相对应，公共服务设施布点应与居住区规划结构相适应。</w:t>
      </w:r>
      <w:r>
        <w:rPr>
          <w:color w:val="000000"/>
          <w:highlight w:val="none"/>
        </w:rPr>
        <w:t xml:space="preserve"> </w:t>
      </w:r>
    </w:p>
    <w:p w14:paraId="5C2B70B4">
      <w:pPr>
        <w:ind w:firstLine="480" w:firstLineChars="200"/>
        <w:rPr>
          <w:color w:val="000000"/>
          <w:highlight w:val="none"/>
        </w:rPr>
      </w:pPr>
      <w:r>
        <w:rPr>
          <w:rFonts w:hint="eastAsia"/>
          <w:color w:val="000000"/>
          <w:highlight w:val="none"/>
        </w:rPr>
        <w:t>2、</w:t>
      </w:r>
      <w:r>
        <w:rPr>
          <w:color w:val="000000"/>
          <w:highlight w:val="none"/>
        </w:rPr>
        <w:t xml:space="preserve">餐饮等，对住户卫生及噪声干扰较大的公建配套用房，不应直接布置在住宅楼标准层的投影范围内。 </w:t>
      </w:r>
    </w:p>
    <w:p w14:paraId="425BD442">
      <w:pPr>
        <w:ind w:firstLine="480" w:firstLineChars="200"/>
        <w:rPr>
          <w:color w:val="000000"/>
          <w:highlight w:val="none"/>
        </w:rPr>
      </w:pPr>
      <w:r>
        <w:rPr>
          <w:rFonts w:hint="eastAsia"/>
          <w:color w:val="000000"/>
          <w:highlight w:val="none"/>
        </w:rPr>
        <w:t>3、</w:t>
      </w:r>
      <w:r>
        <w:rPr>
          <w:color w:val="000000"/>
          <w:highlight w:val="none"/>
        </w:rPr>
        <w:t xml:space="preserve">配套公建应与住宅同步规划、设计，同步建设和同时投入使用。 </w:t>
      </w:r>
    </w:p>
    <w:p w14:paraId="5FFCFF2F">
      <w:pPr>
        <w:ind w:firstLine="480" w:firstLineChars="200"/>
        <w:rPr>
          <w:color w:val="000000"/>
          <w:highlight w:val="none"/>
        </w:rPr>
      </w:pPr>
      <w:r>
        <w:rPr>
          <w:rFonts w:hint="eastAsia"/>
          <w:color w:val="000000"/>
          <w:highlight w:val="none"/>
        </w:rPr>
        <w:t>4、</w:t>
      </w:r>
      <w:r>
        <w:rPr>
          <w:color w:val="000000"/>
          <w:highlight w:val="none"/>
        </w:rPr>
        <w:t xml:space="preserve">停车场设置原则： </w:t>
      </w:r>
    </w:p>
    <w:p w14:paraId="6D63594D">
      <w:pPr>
        <w:ind w:firstLine="480" w:firstLineChars="200"/>
        <w:rPr>
          <w:color w:val="000000"/>
          <w:highlight w:val="none"/>
        </w:rPr>
      </w:pPr>
      <w:r>
        <w:rPr>
          <w:rFonts w:hint="eastAsia"/>
          <w:color w:val="000000"/>
          <w:highlight w:val="none"/>
        </w:rPr>
        <w:t>4.1、</w:t>
      </w:r>
      <w:r>
        <w:rPr>
          <w:color w:val="000000"/>
          <w:highlight w:val="none"/>
        </w:rPr>
        <w:t>居住小区停车场设置应满足各组团人车分流的要求</w:t>
      </w:r>
      <w:r>
        <w:rPr>
          <w:rFonts w:hint="eastAsia"/>
          <w:color w:val="000000"/>
          <w:highlight w:val="none"/>
        </w:rPr>
        <w:t>；</w:t>
      </w:r>
    </w:p>
    <w:p w14:paraId="1FDF54DD">
      <w:pPr>
        <w:ind w:firstLine="480" w:firstLineChars="200"/>
        <w:rPr>
          <w:color w:val="000000"/>
          <w:highlight w:val="none"/>
        </w:rPr>
      </w:pPr>
      <w:r>
        <w:rPr>
          <w:rFonts w:hint="eastAsia"/>
          <w:color w:val="000000"/>
          <w:highlight w:val="none"/>
        </w:rPr>
        <w:t>4.2、</w:t>
      </w:r>
      <w:r>
        <w:rPr>
          <w:color w:val="000000"/>
          <w:highlight w:val="none"/>
        </w:rPr>
        <w:t>车位宜按照“地下停车设计”的原则设置；</w:t>
      </w:r>
    </w:p>
    <w:p w14:paraId="18BE47B1">
      <w:pPr>
        <w:ind w:firstLine="480" w:firstLineChars="200"/>
        <w:rPr>
          <w:color w:val="000000"/>
          <w:highlight w:val="none"/>
        </w:rPr>
      </w:pPr>
      <w:r>
        <w:rPr>
          <w:rFonts w:hint="eastAsia"/>
          <w:color w:val="000000"/>
          <w:highlight w:val="none"/>
        </w:rPr>
        <w:t>5、在车位满足规划配置要求的情况下，</w:t>
      </w:r>
      <w:r>
        <w:rPr>
          <w:color w:val="000000"/>
          <w:highlight w:val="none"/>
        </w:rPr>
        <w:t>应结合地块地形条件布置地下车库和设备房</w:t>
      </w:r>
      <w:r>
        <w:rPr>
          <w:rFonts w:hint="eastAsia"/>
          <w:color w:val="000000"/>
          <w:highlight w:val="none"/>
        </w:rPr>
        <w:t>，以降低工程造价。</w:t>
      </w:r>
      <w:r>
        <w:rPr>
          <w:color w:val="000000"/>
          <w:highlight w:val="none"/>
        </w:rPr>
        <w:t xml:space="preserve"> </w:t>
      </w:r>
    </w:p>
    <w:p w14:paraId="67C7B999">
      <w:pPr>
        <w:ind w:firstLine="480" w:firstLineChars="200"/>
        <w:rPr>
          <w:color w:val="000000"/>
          <w:highlight w:val="none"/>
        </w:rPr>
      </w:pPr>
      <w:r>
        <w:rPr>
          <w:rFonts w:hint="eastAsia"/>
          <w:color w:val="000000"/>
          <w:highlight w:val="none"/>
        </w:rPr>
        <w:t>6、公共厕所宜设置于人流集中处，应设置独立化粪池排污系统，并在公共厕所周边的主干道和主要出入口设置引导标志，方便市民如厕；附属式公共厕所应不影响主体建筑的功能，并设置直通室外的单独出入口。</w:t>
      </w:r>
      <w:r>
        <w:rPr>
          <w:color w:val="000000"/>
          <w:highlight w:val="none"/>
        </w:rPr>
        <w:t xml:space="preserve"> </w:t>
      </w:r>
    </w:p>
    <w:p w14:paraId="7D4D2B6E">
      <w:pPr>
        <w:ind w:firstLine="480" w:firstLineChars="200"/>
        <w:rPr>
          <w:color w:val="000000"/>
          <w:highlight w:val="none"/>
        </w:rPr>
      </w:pPr>
      <w:r>
        <w:rPr>
          <w:rFonts w:hint="eastAsia"/>
          <w:color w:val="000000"/>
          <w:highlight w:val="none"/>
        </w:rPr>
        <w:t>7、垃圾收集站、垃圾压缩站应独立用地，周边绿化隔离带宽度不应小于</w:t>
      </w:r>
      <w:r>
        <w:rPr>
          <w:color w:val="000000"/>
          <w:highlight w:val="none"/>
        </w:rPr>
        <w:t xml:space="preserve"> 3m</w:t>
      </w:r>
      <w:r>
        <w:rPr>
          <w:rFonts w:hint="eastAsia"/>
          <w:color w:val="000000"/>
          <w:highlight w:val="none"/>
        </w:rPr>
        <w:t>，与住宅的距离不宜小于</w:t>
      </w:r>
      <w:r>
        <w:rPr>
          <w:color w:val="000000"/>
          <w:highlight w:val="none"/>
        </w:rPr>
        <w:t>14m</w:t>
      </w:r>
      <w:r>
        <w:rPr>
          <w:rFonts w:hint="eastAsia"/>
          <w:color w:val="000000"/>
          <w:highlight w:val="none"/>
        </w:rPr>
        <w:t>，且宜利用假山等绿化措施对垃圾收集站、垃圾压缩站进行遮蔽设计；垃圾收集站宜与环卫工人休息场所、环卫工具房合设，服务半径不宜超过</w:t>
      </w:r>
      <w:r>
        <w:rPr>
          <w:color w:val="000000"/>
          <w:highlight w:val="none"/>
        </w:rPr>
        <w:t xml:space="preserve"> 800m</w:t>
      </w:r>
      <w:r>
        <w:rPr>
          <w:rFonts w:hint="eastAsia"/>
          <w:color w:val="000000"/>
          <w:highlight w:val="none"/>
        </w:rPr>
        <w:t>；站前区布置应满足垃圾收集小车和垃圾运输车通行和安全作业的需要，提供</w:t>
      </w:r>
      <w:r>
        <w:rPr>
          <w:color w:val="000000"/>
          <w:highlight w:val="none"/>
        </w:rPr>
        <w:t xml:space="preserve"> 7.5m</w:t>
      </w:r>
      <w:r>
        <w:rPr>
          <w:rFonts w:hint="eastAsia"/>
          <w:color w:val="000000"/>
          <w:highlight w:val="none"/>
        </w:rPr>
        <w:t>*</w:t>
      </w:r>
      <w:r>
        <w:rPr>
          <w:color w:val="000000"/>
          <w:highlight w:val="none"/>
        </w:rPr>
        <w:t>2.5m</w:t>
      </w:r>
      <w:r>
        <w:rPr>
          <w:rFonts w:hint="eastAsia"/>
          <w:color w:val="000000"/>
          <w:highlight w:val="none"/>
        </w:rPr>
        <w:t>的垃圾桶清运车位</w:t>
      </w:r>
      <w:r>
        <w:rPr>
          <w:color w:val="000000"/>
          <w:highlight w:val="none"/>
        </w:rPr>
        <w:t xml:space="preserve"> 1</w:t>
      </w:r>
      <w:r>
        <w:rPr>
          <w:rFonts w:hint="eastAsia"/>
          <w:color w:val="000000"/>
          <w:highlight w:val="none"/>
        </w:rPr>
        <w:t>个；服务人口超过</w:t>
      </w:r>
      <w:r>
        <w:rPr>
          <w:color w:val="000000"/>
          <w:highlight w:val="none"/>
        </w:rPr>
        <w:t xml:space="preserve"> 1.5</w:t>
      </w:r>
      <w:r>
        <w:rPr>
          <w:rFonts w:hint="eastAsia"/>
          <w:color w:val="000000"/>
          <w:highlight w:val="none"/>
        </w:rPr>
        <w:t>万人，应提供垃圾清运车位</w:t>
      </w:r>
      <w:r>
        <w:rPr>
          <w:color w:val="000000"/>
          <w:highlight w:val="none"/>
        </w:rPr>
        <w:t xml:space="preserve"> 2</w:t>
      </w:r>
      <w:r>
        <w:rPr>
          <w:rFonts w:hint="eastAsia"/>
          <w:color w:val="000000"/>
          <w:highlight w:val="none"/>
        </w:rPr>
        <w:t>个，站内配备给排水设施。</w:t>
      </w:r>
      <w:r>
        <w:rPr>
          <w:color w:val="000000"/>
          <w:highlight w:val="none"/>
        </w:rPr>
        <w:t xml:space="preserve"> </w:t>
      </w:r>
    </w:p>
    <w:p w14:paraId="5F7F3C9C">
      <w:pPr>
        <w:ind w:firstLine="480" w:firstLineChars="200"/>
        <w:rPr>
          <w:color w:val="000000"/>
          <w:highlight w:val="none"/>
        </w:rPr>
      </w:pPr>
      <w:r>
        <w:rPr>
          <w:color w:val="000000"/>
          <w:highlight w:val="none"/>
        </w:rPr>
        <w:t>8</w:t>
      </w:r>
      <w:r>
        <w:rPr>
          <w:rFonts w:hint="eastAsia"/>
          <w:color w:val="000000"/>
          <w:highlight w:val="none"/>
        </w:rPr>
        <w:t>、餐饮建筑应预留集中排烟道，并采取高空排放；排烟道的高温与油渍不能对相邻住户产生影响，不得直接利用相邻住户砖墙做烟道壁，排烟道顶部应做防雨措施。</w:t>
      </w:r>
      <w:r>
        <w:rPr>
          <w:color w:val="000000"/>
          <w:highlight w:val="none"/>
        </w:rPr>
        <w:t xml:space="preserve"> </w:t>
      </w:r>
    </w:p>
    <w:p w14:paraId="705468CB">
      <w:pPr>
        <w:pStyle w:val="5"/>
        <w:rPr>
          <w:color w:val="000000"/>
          <w:highlight w:val="none"/>
        </w:rPr>
      </w:pPr>
      <w:bookmarkStart w:id="19" w:name="_Toc64660070"/>
      <w:r>
        <w:rPr>
          <w:rFonts w:hint="eastAsia"/>
          <w:color w:val="000000"/>
          <w:highlight w:val="none"/>
        </w:rPr>
        <w:t>道路交通组织</w:t>
      </w:r>
      <w:bookmarkEnd w:id="19"/>
      <w:r>
        <w:rPr>
          <w:color w:val="000000"/>
          <w:highlight w:val="none"/>
        </w:rPr>
        <w:t xml:space="preserve"> </w:t>
      </w:r>
    </w:p>
    <w:p w14:paraId="004C150E">
      <w:pPr>
        <w:ind w:firstLine="480" w:firstLineChars="200"/>
        <w:rPr>
          <w:color w:val="000000"/>
          <w:highlight w:val="none"/>
        </w:rPr>
      </w:pPr>
      <w:r>
        <w:rPr>
          <w:rFonts w:hint="eastAsia"/>
          <w:color w:val="000000"/>
          <w:highlight w:val="none"/>
        </w:rPr>
        <w:t>1、合理组织居住小区对外交通关系：注意协调住宅地块及周边道路的标高关系，处理好各类车流的出入口与城市道路的关系。</w:t>
      </w:r>
      <w:r>
        <w:rPr>
          <w:color w:val="000000"/>
          <w:highlight w:val="none"/>
        </w:rPr>
        <w:t xml:space="preserve"> </w:t>
      </w:r>
    </w:p>
    <w:p w14:paraId="23B33A4E">
      <w:pPr>
        <w:ind w:firstLine="480" w:firstLineChars="200"/>
        <w:rPr>
          <w:color w:val="000000"/>
          <w:highlight w:val="none"/>
        </w:rPr>
      </w:pPr>
      <w:r>
        <w:rPr>
          <w:rFonts w:hint="eastAsia"/>
          <w:color w:val="000000"/>
          <w:highlight w:val="none"/>
        </w:rPr>
        <w:t>2、居住小区内道路交通组织注意人车分流，组织好地块内交通流线，便捷通畅，并有利于居住小区封闭式物业管理。道路系统满足交通、消防等方面的要求，并符合无障碍设计原则。</w:t>
      </w:r>
      <w:r>
        <w:rPr>
          <w:color w:val="000000"/>
          <w:highlight w:val="none"/>
        </w:rPr>
        <w:t xml:space="preserve"> </w:t>
      </w:r>
    </w:p>
    <w:p w14:paraId="2FC099E7">
      <w:pPr>
        <w:ind w:firstLine="480" w:firstLineChars="200"/>
        <w:rPr>
          <w:color w:val="000000"/>
          <w:highlight w:val="none"/>
        </w:rPr>
      </w:pPr>
      <w:r>
        <w:rPr>
          <w:rFonts w:hint="eastAsia"/>
          <w:color w:val="000000"/>
          <w:highlight w:val="none"/>
        </w:rPr>
        <w:t>3、室内机动车和非机动车位宜按照需要集中设置。室外停车位可结合居住小区内道路停车带和其它场地设置。</w:t>
      </w:r>
      <w:r>
        <w:rPr>
          <w:color w:val="000000"/>
          <w:highlight w:val="none"/>
        </w:rPr>
        <w:t xml:space="preserve"> </w:t>
      </w:r>
    </w:p>
    <w:p w14:paraId="5B7C1353">
      <w:pPr>
        <w:ind w:firstLine="480" w:firstLineChars="200"/>
        <w:rPr>
          <w:color w:val="000000"/>
          <w:highlight w:val="none"/>
        </w:rPr>
      </w:pPr>
      <w:r>
        <w:rPr>
          <w:rFonts w:hint="eastAsia"/>
          <w:color w:val="000000"/>
          <w:highlight w:val="none"/>
        </w:rPr>
        <w:t>4、总图中应做好消防车道及消防登高面设计，在满足消防规范的同时，尽量减少对环境的影响。</w:t>
      </w:r>
      <w:r>
        <w:rPr>
          <w:color w:val="000000"/>
          <w:highlight w:val="none"/>
        </w:rPr>
        <w:t xml:space="preserve"> </w:t>
      </w:r>
    </w:p>
    <w:p w14:paraId="2351D3E8">
      <w:pPr>
        <w:ind w:firstLine="480" w:firstLineChars="200"/>
        <w:rPr>
          <w:color w:val="000000"/>
          <w:highlight w:val="none"/>
        </w:rPr>
      </w:pPr>
      <w:r>
        <w:rPr>
          <w:rFonts w:hint="eastAsia"/>
          <w:color w:val="000000"/>
          <w:highlight w:val="none"/>
        </w:rPr>
        <w:t>5、地下车库的出入口应选位适当，减少汽车行驶对上部建筑的影响，出入口坡道地面处理除符合行车需要外，还应避免表面过于粗糙引致的行车噪音对周边住宅产生不良影响。</w:t>
      </w:r>
      <w:r>
        <w:rPr>
          <w:color w:val="000000"/>
          <w:highlight w:val="none"/>
        </w:rPr>
        <w:t xml:space="preserve"> </w:t>
      </w:r>
    </w:p>
    <w:p w14:paraId="6E095420">
      <w:pPr>
        <w:ind w:firstLine="480" w:firstLineChars="200"/>
        <w:rPr>
          <w:color w:val="000000"/>
          <w:highlight w:val="none"/>
        </w:rPr>
      </w:pPr>
      <w:r>
        <w:rPr>
          <w:rFonts w:hint="eastAsia"/>
          <w:color w:val="000000"/>
          <w:highlight w:val="none"/>
        </w:rPr>
        <w:t>6、小区机动车出入口距城市主干道交叉口不应小于</w:t>
      </w:r>
      <w:r>
        <w:rPr>
          <w:color w:val="000000"/>
          <w:highlight w:val="none"/>
        </w:rPr>
        <w:t xml:space="preserve"> 70m</w:t>
      </w:r>
      <w:r>
        <w:rPr>
          <w:rFonts w:hint="eastAsia"/>
          <w:color w:val="000000"/>
          <w:highlight w:val="none"/>
        </w:rPr>
        <w:t>。宜将城市公共交通线路引入小区边缘地区，并设置相应停靠站。</w:t>
      </w:r>
    </w:p>
    <w:p w14:paraId="731D4C97">
      <w:pPr>
        <w:pStyle w:val="5"/>
        <w:rPr>
          <w:color w:val="000000"/>
          <w:highlight w:val="none"/>
        </w:rPr>
      </w:pPr>
      <w:bookmarkStart w:id="20" w:name="_Toc64660071"/>
      <w:r>
        <w:rPr>
          <w:color w:val="000000"/>
          <w:highlight w:val="none"/>
        </w:rPr>
        <w:t>竖向规划原则</w:t>
      </w:r>
      <w:bookmarkEnd w:id="20"/>
      <w:r>
        <w:rPr>
          <w:color w:val="000000"/>
          <w:highlight w:val="none"/>
        </w:rPr>
        <w:t xml:space="preserve"> </w:t>
      </w:r>
    </w:p>
    <w:p w14:paraId="03527563">
      <w:pPr>
        <w:ind w:firstLine="480" w:firstLineChars="200"/>
        <w:rPr>
          <w:color w:val="000000"/>
          <w:highlight w:val="none"/>
        </w:rPr>
      </w:pPr>
      <w:r>
        <w:rPr>
          <w:rFonts w:hint="eastAsia"/>
          <w:color w:val="000000"/>
          <w:highlight w:val="none"/>
        </w:rPr>
        <w:t>1、因地制宜地利用现状地形，结合居住小区中的景观水体填挖，尽量实现社区内或地块内土方平衡。对于地形复杂的场地，凡是地形变标高处，均应进行详细竖向设计。</w:t>
      </w:r>
      <w:r>
        <w:rPr>
          <w:color w:val="000000"/>
          <w:highlight w:val="none"/>
        </w:rPr>
        <w:t xml:space="preserve"> </w:t>
      </w:r>
    </w:p>
    <w:p w14:paraId="65AA4F32">
      <w:pPr>
        <w:ind w:firstLine="480" w:firstLineChars="200"/>
        <w:rPr>
          <w:color w:val="000000"/>
          <w:highlight w:val="none"/>
        </w:rPr>
      </w:pPr>
      <w:r>
        <w:rPr>
          <w:rFonts w:hint="eastAsia"/>
          <w:color w:val="000000"/>
          <w:highlight w:val="none"/>
        </w:rPr>
        <w:t>2、充分了解周围市政设施、综合管线规划和建设情况，对居住小区内综合管线（供水、雨水、污水、电力、燃气、电信）进行有机的组织和布局，并考虑合理的接驳位置。</w:t>
      </w:r>
      <w:r>
        <w:rPr>
          <w:color w:val="000000"/>
          <w:highlight w:val="none"/>
        </w:rPr>
        <w:t xml:space="preserve"> </w:t>
      </w:r>
    </w:p>
    <w:p w14:paraId="3A0091FC">
      <w:pPr>
        <w:ind w:firstLine="480" w:firstLineChars="200"/>
        <w:rPr>
          <w:color w:val="000000"/>
          <w:highlight w:val="none"/>
        </w:rPr>
      </w:pPr>
      <w:r>
        <w:rPr>
          <w:rFonts w:hint="eastAsia"/>
          <w:color w:val="000000"/>
          <w:highlight w:val="none"/>
        </w:rPr>
        <w:t>3、需对场地的标高进行详细的设计，结合地形及其他相关因素确定场地的标高，做到经济、合理。需对场地的排水进行综合设计，做到通畅简洁；尽量使用暗沟组织场地的排水系统，确需使用明沟时，需减少对环境的影响。</w:t>
      </w:r>
    </w:p>
    <w:p w14:paraId="440790AA">
      <w:pPr>
        <w:pStyle w:val="5"/>
        <w:rPr>
          <w:color w:val="000000"/>
          <w:highlight w:val="none"/>
        </w:rPr>
      </w:pPr>
      <w:bookmarkStart w:id="21" w:name="_Toc64660072"/>
      <w:r>
        <w:rPr>
          <w:color w:val="000000"/>
          <w:highlight w:val="none"/>
        </w:rPr>
        <w:t>控高要求</w:t>
      </w:r>
      <w:bookmarkEnd w:id="21"/>
    </w:p>
    <w:p w14:paraId="30F34D12">
      <w:pPr>
        <w:ind w:firstLine="480" w:firstLineChars="200"/>
        <w:rPr>
          <w:color w:val="000000"/>
          <w:highlight w:val="none"/>
        </w:rPr>
      </w:pPr>
      <w:r>
        <w:rPr>
          <w:rFonts w:hint="eastAsia"/>
          <w:color w:val="000000"/>
          <w:highlight w:val="none"/>
        </w:rPr>
        <w:t>根据《广州白云机场航行服务程序净空保护区域一体化图》，地块范围航空限高</w:t>
      </w:r>
      <w:r>
        <w:rPr>
          <w:color w:val="000000"/>
          <w:highlight w:val="none"/>
        </w:rPr>
        <w:t>150-163</w:t>
      </w:r>
      <w:r>
        <w:rPr>
          <w:rFonts w:hint="eastAsia"/>
          <w:color w:val="000000"/>
          <w:highlight w:val="none"/>
        </w:rPr>
        <w:t>米（85国家高程）。建筑物最高点（包括避雷针等任何构件）不得超过航空限高。</w:t>
      </w:r>
    </w:p>
    <w:p w14:paraId="0E30BC7E">
      <w:pPr>
        <w:pStyle w:val="5"/>
        <w:rPr>
          <w:color w:val="000000"/>
          <w:highlight w:val="none"/>
        </w:rPr>
      </w:pPr>
      <w:bookmarkStart w:id="22" w:name="_Toc64660073"/>
      <w:r>
        <w:rPr>
          <w:rFonts w:hint="eastAsia"/>
          <w:color w:val="000000"/>
          <w:highlight w:val="none"/>
        </w:rPr>
        <w:t>居住小区管理要求</w:t>
      </w:r>
      <w:bookmarkEnd w:id="22"/>
      <w:r>
        <w:rPr>
          <w:color w:val="000000"/>
          <w:highlight w:val="none"/>
        </w:rPr>
        <w:t xml:space="preserve"> </w:t>
      </w:r>
    </w:p>
    <w:p w14:paraId="40F9937F">
      <w:pPr>
        <w:ind w:firstLine="480" w:firstLineChars="200"/>
        <w:rPr>
          <w:color w:val="000000"/>
          <w:highlight w:val="none"/>
        </w:rPr>
      </w:pPr>
      <w:r>
        <w:rPr>
          <w:color w:val="000000"/>
          <w:highlight w:val="none"/>
        </w:rPr>
        <w:t>1</w:t>
      </w:r>
      <w:r>
        <w:rPr>
          <w:rFonts w:hint="eastAsia"/>
          <w:color w:val="000000"/>
          <w:highlight w:val="none"/>
        </w:rPr>
        <w:t>、居住小区按智能化标准规划，设置物业管理中心，建设设计应提供必要的管理用房。物业管理服务中心对居住小区进行智能化集中管理，包括设置居住小区火灾自动报警系统及保安监控管理中心。</w:t>
      </w:r>
      <w:r>
        <w:rPr>
          <w:color w:val="000000"/>
          <w:highlight w:val="none"/>
        </w:rPr>
        <w:t xml:space="preserve"> </w:t>
      </w:r>
    </w:p>
    <w:p w14:paraId="097B99C8">
      <w:pPr>
        <w:pStyle w:val="4"/>
        <w:rPr>
          <w:color w:val="000000"/>
          <w:highlight w:val="none"/>
        </w:rPr>
      </w:pPr>
      <w:r>
        <w:rPr>
          <w:color w:val="000000"/>
          <w:highlight w:val="none"/>
        </w:rPr>
        <w:t>建筑与室内装修设计要求</w:t>
      </w:r>
    </w:p>
    <w:p w14:paraId="6B892022">
      <w:pPr>
        <w:pStyle w:val="5"/>
        <w:rPr>
          <w:color w:val="000000"/>
          <w:highlight w:val="none"/>
        </w:rPr>
      </w:pPr>
      <w:r>
        <w:rPr>
          <w:rFonts w:hint="eastAsia"/>
          <w:color w:val="000000"/>
          <w:highlight w:val="none"/>
        </w:rPr>
        <w:t>总体要求</w:t>
      </w:r>
    </w:p>
    <w:p w14:paraId="6621E64D">
      <w:pPr>
        <w:rPr>
          <w:rFonts w:ascii="微软雅黑" w:hAnsi="微软雅黑" w:eastAsia="微软雅黑"/>
          <w:color w:val="000000"/>
          <w:szCs w:val="21"/>
          <w:highlight w:val="none"/>
        </w:rPr>
      </w:pPr>
      <w:r>
        <w:rPr>
          <w:color w:val="000000"/>
          <w:highlight w:val="none"/>
        </w:rPr>
        <w:t>1、住宅设计应符合国家相关规范规程的行业标准。单体建筑功能组织合理，应提高空间实用性和利用率，控制公共分摊面积，降低建筑经济能耗。</w:t>
      </w:r>
    </w:p>
    <w:p w14:paraId="517CAB55">
      <w:pPr>
        <w:rPr>
          <w:color w:val="000000"/>
          <w:highlight w:val="none"/>
        </w:rPr>
      </w:pPr>
      <w:r>
        <w:rPr>
          <w:color w:val="000000"/>
          <w:highlight w:val="none"/>
        </w:rPr>
        <w:t>2、户型设计应满足模数化和标准化的要求，空间尺寸宜满足建筑模数化的装配式建造要求。</w:t>
      </w:r>
    </w:p>
    <w:p w14:paraId="70644439">
      <w:pPr>
        <w:rPr>
          <w:color w:val="000000"/>
          <w:highlight w:val="none"/>
        </w:rPr>
      </w:pPr>
      <w:r>
        <w:rPr>
          <w:color w:val="000000"/>
          <w:highlight w:val="none"/>
        </w:rPr>
        <w:t>3、公共建筑的总体设计满足规划条件同时，应满足项目的具体地块设计要求，在功能组织上做到空间紧凑，经济合理，充分的体现其建筑功能属性。</w:t>
      </w:r>
    </w:p>
    <w:p w14:paraId="7B3BAA47">
      <w:pPr>
        <w:rPr>
          <w:rFonts w:ascii="微软雅黑" w:hAnsi="微软雅黑" w:eastAsia="微软雅黑"/>
          <w:color w:val="000000"/>
          <w:szCs w:val="21"/>
          <w:highlight w:val="none"/>
        </w:rPr>
      </w:pPr>
      <w:r>
        <w:rPr>
          <w:color w:val="000000"/>
          <w:highlight w:val="none"/>
        </w:rPr>
        <w:t>4、建筑风格设计应总体满足项目建设需要，尽量体现地域性的特征，展示独具特色的设计风貌和建筑空间。</w:t>
      </w:r>
    </w:p>
    <w:p w14:paraId="16D91669">
      <w:pPr>
        <w:rPr>
          <w:color w:val="000000"/>
          <w:highlight w:val="none"/>
        </w:rPr>
      </w:pPr>
      <w:r>
        <w:rPr>
          <w:color w:val="000000"/>
          <w:highlight w:val="none"/>
        </w:rPr>
        <w:t>5、充分考虑经济合理性以及绿色建筑要求，各功能房间应有直接采光通风，考虑加强各功能空间的合理性和舒适性。</w:t>
      </w:r>
    </w:p>
    <w:p w14:paraId="1A6C36E5">
      <w:pPr>
        <w:rPr>
          <w:color w:val="000000"/>
          <w:highlight w:val="none"/>
        </w:rPr>
      </w:pPr>
      <w:r>
        <w:rPr>
          <w:color w:val="000000"/>
          <w:highlight w:val="none"/>
        </w:rPr>
        <w:t>6、建筑构造做法应满足广州地区常规的做法运用，提倡使用有专业论证和市场良好反馈的新材料、新技术。尤其在建筑防水、耐久性、节能、绿建等方面满足项目需求和国家现行规范和行业标准。</w:t>
      </w:r>
    </w:p>
    <w:p w14:paraId="152EFC6B">
      <w:pPr>
        <w:rPr>
          <w:color w:val="000000"/>
          <w:highlight w:val="none"/>
        </w:rPr>
      </w:pPr>
      <w:r>
        <w:rPr>
          <w:color w:val="000000"/>
          <w:highlight w:val="none"/>
        </w:rPr>
        <w:t>7、建筑设计整体采用全装配式的设计标准，须满足国家及省内关于装配式建筑的评价标准，在设计上尽量采用有利于装配式建筑实施的形式，从平面、立面、构造等多维度满足建筑装配式的建设要求。</w:t>
      </w:r>
    </w:p>
    <w:p w14:paraId="218C95D5">
      <w:pPr>
        <w:pStyle w:val="5"/>
        <w:rPr>
          <w:color w:val="000000"/>
          <w:highlight w:val="none"/>
        </w:rPr>
      </w:pPr>
      <w:r>
        <w:rPr>
          <w:rFonts w:hint="eastAsia"/>
          <w:color w:val="000000"/>
          <w:highlight w:val="none"/>
        </w:rPr>
        <w:t>户型设计</w:t>
      </w:r>
    </w:p>
    <w:p w14:paraId="2B371B45">
      <w:pPr>
        <w:rPr>
          <w:rFonts w:ascii="微软雅黑" w:hAnsi="微软雅黑" w:eastAsia="微软雅黑"/>
          <w:color w:val="000000"/>
          <w:szCs w:val="21"/>
          <w:highlight w:val="none"/>
        </w:rPr>
      </w:pPr>
      <w:r>
        <w:rPr>
          <w:color w:val="000000"/>
          <w:highlight w:val="none"/>
        </w:rPr>
        <w:t>1、</w:t>
      </w:r>
      <w:r>
        <w:rPr>
          <w:rFonts w:hint="eastAsia"/>
          <w:color w:val="000000"/>
          <w:highlight w:val="none"/>
        </w:rPr>
        <w:t>功能要求：村民回迁户型需与首开区地块</w:t>
      </w:r>
      <w:r>
        <w:rPr>
          <w:color w:val="000000"/>
          <w:highlight w:val="none"/>
        </w:rPr>
        <w:t>10</w:t>
      </w:r>
      <w:r>
        <w:rPr>
          <w:rFonts w:hint="eastAsia"/>
          <w:color w:val="000000"/>
          <w:highlight w:val="none"/>
        </w:rPr>
        <w:t>（</w:t>
      </w:r>
      <w:r>
        <w:rPr>
          <w:color w:val="000000"/>
          <w:highlight w:val="none"/>
        </w:rPr>
        <w:t>AB3802021地块</w:t>
      </w:r>
      <w:r>
        <w:rPr>
          <w:rFonts w:hint="eastAsia"/>
          <w:color w:val="000000"/>
          <w:highlight w:val="none"/>
        </w:rPr>
        <w:t>）、</w:t>
      </w:r>
      <w:bookmarkStart w:id="23" w:name="_Hlk191975134"/>
      <w:r>
        <w:rPr>
          <w:color w:val="000000"/>
          <w:highlight w:val="none"/>
        </w:rPr>
        <w:t>AB3806001地块</w:t>
      </w:r>
      <w:bookmarkEnd w:id="23"/>
      <w:r>
        <w:rPr>
          <w:rFonts w:hint="eastAsia"/>
          <w:color w:val="000000"/>
          <w:highlight w:val="none"/>
        </w:rPr>
        <w:t>综合考虑，三个地块户型应最大化组成</w:t>
      </w:r>
      <w:r>
        <w:rPr>
          <w:color w:val="000000"/>
          <w:highlight w:val="none"/>
        </w:rPr>
        <w:t>280㎡</w:t>
      </w:r>
      <w:r>
        <w:rPr>
          <w:rFonts w:hint="eastAsia"/>
          <w:color w:val="000000"/>
          <w:highlight w:val="none"/>
        </w:rPr>
        <w:t>的组合</w:t>
      </w:r>
      <w:r>
        <w:rPr>
          <w:color w:val="000000"/>
          <w:highlight w:val="none"/>
        </w:rPr>
        <w:t>，满足</w:t>
      </w:r>
      <w:r>
        <w:rPr>
          <w:rFonts w:hint="eastAsia"/>
          <w:color w:val="000000"/>
          <w:highlight w:val="none"/>
        </w:rPr>
        <w:t>螺涌村</w:t>
      </w:r>
      <w:r>
        <w:rPr>
          <w:color w:val="000000"/>
          <w:highlight w:val="none"/>
        </w:rPr>
        <w:t>回迁需求。设计中根据修建性详细规划与回迁村民的回访摸查情况作适当调整。鼓励户型方案的多样性，同面积段户型平面可根据总图布局适</w:t>
      </w:r>
      <w:r>
        <w:rPr>
          <w:rFonts w:hint="eastAsia"/>
          <w:color w:val="000000"/>
          <w:highlight w:val="none"/>
        </w:rPr>
        <w:t>当调整，但考虑公平性原则，同标准户型面积不宜相差过大。</w:t>
      </w:r>
    </w:p>
    <w:p w14:paraId="046D4E52">
      <w:pPr>
        <w:rPr>
          <w:rFonts w:ascii="微软雅黑" w:hAnsi="微软雅黑" w:eastAsia="微软雅黑"/>
          <w:color w:val="000000"/>
          <w:szCs w:val="21"/>
          <w:highlight w:val="none"/>
        </w:rPr>
      </w:pPr>
      <w:r>
        <w:rPr>
          <w:color w:val="000000"/>
          <w:highlight w:val="none"/>
        </w:rPr>
        <w:t>2、户型设计应功能合理、空间灵活，模块标准化，在有限的空间里力求安全、紧凑、功能合一。注意城市常年风向与建筑朝向的关系。户型设计考虑动静分区、干湿分离，充分考虑空调、热水设备、燃气管线布置的合理性及隐蔽性。</w:t>
      </w:r>
    </w:p>
    <w:p w14:paraId="3CB8FBFD">
      <w:pPr>
        <w:rPr>
          <w:rFonts w:ascii="微软雅黑" w:hAnsi="微软雅黑" w:eastAsia="微软雅黑"/>
          <w:color w:val="000000"/>
          <w:szCs w:val="21"/>
          <w:highlight w:val="none"/>
        </w:rPr>
      </w:pPr>
      <w:r>
        <w:rPr>
          <w:color w:val="000000"/>
          <w:highlight w:val="none"/>
        </w:rPr>
        <w:t>3、应充分考虑老人及残疾人的使用要求，应按照国家现行相关规范规定进行无障碍设计。</w:t>
      </w:r>
    </w:p>
    <w:p w14:paraId="4D3A1D43">
      <w:pPr>
        <w:rPr>
          <w:rFonts w:ascii="微软雅黑" w:hAnsi="微软雅黑" w:eastAsia="微软雅黑"/>
          <w:color w:val="000000"/>
          <w:szCs w:val="21"/>
          <w:highlight w:val="none"/>
        </w:rPr>
      </w:pPr>
      <w:r>
        <w:rPr>
          <w:color w:val="000000"/>
          <w:highlight w:val="none"/>
        </w:rPr>
        <w:t>4、住房采用分体式空调；空调室外机位应尽量靠近窗洞口设置，方便安装及维修，外机安装空间尺寸得当，避免影响窗开启扇，无法满足正常安装导致影响建筑立面效果的情形出现。</w:t>
      </w:r>
    </w:p>
    <w:p w14:paraId="0907BFA1">
      <w:pPr>
        <w:pStyle w:val="5"/>
        <w:rPr>
          <w:color w:val="000000"/>
          <w:highlight w:val="none"/>
        </w:rPr>
      </w:pPr>
      <w:r>
        <w:rPr>
          <w:rFonts w:hint="eastAsia"/>
          <w:color w:val="000000"/>
          <w:highlight w:val="none"/>
        </w:rPr>
        <w:t>建筑风格</w:t>
      </w:r>
    </w:p>
    <w:p w14:paraId="0A97B0F8">
      <w:pPr>
        <w:rPr>
          <w:rFonts w:ascii="微软雅黑" w:hAnsi="微软雅黑" w:eastAsia="微软雅黑"/>
          <w:color w:val="000000"/>
          <w:szCs w:val="21"/>
          <w:highlight w:val="none"/>
        </w:rPr>
      </w:pPr>
      <w:r>
        <w:rPr>
          <w:color w:val="000000"/>
          <w:highlight w:val="none"/>
        </w:rPr>
        <w:t>1、 建筑造型宜简洁大方，富有现代气息，适当借鉴岭南建筑与亚热带建筑手法，提取具有岭南地域特色的设计元素，应用到建筑立面形态，赋予建筑外观的可识别性，突出建筑的地域性和人文氛围。</w:t>
      </w:r>
    </w:p>
    <w:p w14:paraId="3CC57E13">
      <w:pPr>
        <w:rPr>
          <w:rFonts w:ascii="微软雅黑" w:hAnsi="微软雅黑" w:eastAsia="微软雅黑"/>
          <w:color w:val="000000"/>
          <w:szCs w:val="21"/>
          <w:highlight w:val="none"/>
        </w:rPr>
      </w:pPr>
      <w:r>
        <w:rPr>
          <w:color w:val="000000"/>
          <w:highlight w:val="none"/>
        </w:rPr>
        <w:t>2、 建筑风格应结合所在地区的气候性特性，应结合绿色建筑和建筑节能要求，尽量减少造型要素中没有功能作用的装饰构件的应用。建筑构件与建筑空间、造型结合进行一体化设计，既可作为立面设计的造型元素，又满足遮阳隔热、通风降温的功能需求。</w:t>
      </w:r>
    </w:p>
    <w:p w14:paraId="65D5B338">
      <w:pPr>
        <w:rPr>
          <w:rFonts w:ascii="微软雅黑" w:hAnsi="微软雅黑" w:eastAsia="微软雅黑"/>
          <w:color w:val="000000"/>
          <w:szCs w:val="21"/>
          <w:highlight w:val="none"/>
        </w:rPr>
      </w:pPr>
      <w:r>
        <w:rPr>
          <w:color w:val="000000"/>
          <w:highlight w:val="none"/>
        </w:rPr>
        <w:t>3、 针对广州地区多雨的气候特征，建筑构件应考虑遮风挡雨及雨水疏导利用，并在易受风雨侵蚀的部位，选用合适的防水材料和构造，结合排水系统共同工作。</w:t>
      </w:r>
    </w:p>
    <w:p w14:paraId="6BC23EBF">
      <w:pPr>
        <w:rPr>
          <w:rFonts w:ascii="微软雅黑" w:hAnsi="微软雅黑" w:eastAsia="微软雅黑"/>
          <w:color w:val="000000"/>
          <w:szCs w:val="21"/>
          <w:highlight w:val="none"/>
        </w:rPr>
      </w:pPr>
      <w:r>
        <w:rPr>
          <w:color w:val="000000"/>
          <w:highlight w:val="none"/>
        </w:rPr>
        <w:t>4、针对广州地区炎热潮湿的气候，结合建筑空间通风系统的组织，选用合适的建筑外墙材料，同时注重色彩搭配和细节设计，鼓励在立面细部构造中创新设计，增强建筑的整体效果。</w:t>
      </w:r>
    </w:p>
    <w:p w14:paraId="6EF638FC">
      <w:pPr>
        <w:rPr>
          <w:rFonts w:ascii="微软雅黑" w:hAnsi="微软雅黑" w:eastAsia="微软雅黑"/>
          <w:color w:val="000000"/>
          <w:szCs w:val="21"/>
          <w:highlight w:val="none"/>
        </w:rPr>
      </w:pPr>
      <w:r>
        <w:rPr>
          <w:color w:val="000000"/>
          <w:highlight w:val="none"/>
        </w:rPr>
        <w:t>5、 独立公建配套建筑的设计风格应与居住建筑协调，同时又要有自身的特色，以适度变化的建筑色彩和文化内涵，丰富住区的整体效果。</w:t>
      </w:r>
    </w:p>
    <w:p w14:paraId="18F301A5">
      <w:pPr>
        <w:pStyle w:val="5"/>
        <w:rPr>
          <w:color w:val="000000"/>
          <w:highlight w:val="none"/>
        </w:rPr>
      </w:pPr>
      <w:r>
        <w:rPr>
          <w:rFonts w:hint="eastAsia"/>
          <w:color w:val="000000"/>
          <w:highlight w:val="none"/>
        </w:rPr>
        <w:t>装配式要求</w:t>
      </w:r>
    </w:p>
    <w:p w14:paraId="745489F8">
      <w:pPr>
        <w:rPr>
          <w:color w:val="000000"/>
          <w:highlight w:val="none"/>
        </w:rPr>
      </w:pPr>
      <w:r>
        <w:rPr>
          <w:color w:val="000000"/>
          <w:highlight w:val="none"/>
        </w:rPr>
        <w:t>1、</w:t>
      </w:r>
      <w:r>
        <w:rPr>
          <w:rFonts w:hint="eastAsia"/>
          <w:color w:val="000000"/>
          <w:highlight w:val="none"/>
        </w:rPr>
        <w:t>装配式建筑设计：应优先考虑功能布置、建筑造型、部品部件、结构构件等的统一性，提高项目的标准化、模数化和精细化水平。满足广州市最新相关装配式建筑政策要求，并通过装配式建筑技术预评价。</w:t>
      </w:r>
    </w:p>
    <w:p w14:paraId="7FBC0586">
      <w:pPr>
        <w:rPr>
          <w:color w:val="000000"/>
          <w:highlight w:val="none"/>
        </w:rPr>
      </w:pPr>
      <w:r>
        <w:rPr>
          <w:color w:val="000000"/>
          <w:highlight w:val="none"/>
        </w:rPr>
        <w:t>2、</w:t>
      </w:r>
      <w:r>
        <w:rPr>
          <w:rFonts w:hint="eastAsia"/>
          <w:color w:val="000000"/>
          <w:highlight w:val="none"/>
        </w:rPr>
        <w:t>设计需说明装配式建筑设计目标，采用的主要装配式建筑技术和措施。（如采用装配式时管材材质及接口方式，预留孔洞、沟槽做法要求，预埋套管、管道安装方式和原则等。）</w:t>
      </w:r>
    </w:p>
    <w:p w14:paraId="1B1FC2D2">
      <w:pPr>
        <w:rPr>
          <w:strike/>
          <w:color w:val="000000"/>
          <w:highlight w:val="none"/>
        </w:rPr>
      </w:pPr>
      <w:r>
        <w:rPr>
          <w:color w:val="000000"/>
          <w:highlight w:val="none"/>
        </w:rPr>
        <w:t>3、</w:t>
      </w:r>
      <w:r>
        <w:rPr>
          <w:rFonts w:hint="eastAsia"/>
          <w:color w:val="000000"/>
          <w:highlight w:val="none"/>
        </w:rPr>
        <w:t>按照“标准化设计、工厂化生产、装配化施工、一体化装修、信息化管理”的原则，进行装配式建造。</w:t>
      </w:r>
    </w:p>
    <w:p w14:paraId="007B7A56">
      <w:pPr>
        <w:rPr>
          <w:color w:val="000000"/>
          <w:highlight w:val="none"/>
        </w:rPr>
      </w:pPr>
      <w:r>
        <w:rPr>
          <w:color w:val="000000"/>
          <w:highlight w:val="none"/>
        </w:rPr>
        <w:t>3、</w:t>
      </w:r>
      <w:r>
        <w:rPr>
          <w:rFonts w:hint="eastAsia"/>
          <w:color w:val="000000"/>
          <w:highlight w:val="none"/>
        </w:rPr>
        <w:t>部品部件工厂化生产。本次设计应考虑采用装配式混凝土结构或钢结构配套部品构件。可以采用成品门窗、成品阳台栏杆、预制内隔墙条板、轻钢龙骨石膏板隔墙、保温隔热、橱柜收纳等装修装饰部品以及水、电、空调等专业集成部品的使用。</w:t>
      </w:r>
    </w:p>
    <w:p w14:paraId="46CFC7C5">
      <w:pPr>
        <w:rPr>
          <w:color w:val="000000"/>
          <w:highlight w:val="none"/>
        </w:rPr>
      </w:pPr>
      <w:r>
        <w:rPr>
          <w:color w:val="000000"/>
          <w:highlight w:val="none"/>
        </w:rPr>
        <w:t>4、</w:t>
      </w:r>
      <w:r>
        <w:rPr>
          <w:rFonts w:hint="eastAsia"/>
          <w:color w:val="000000"/>
          <w:highlight w:val="none"/>
        </w:rPr>
        <w:t>采用现场装配化施工。本项目需先进行实验楼施工，磨合熟悉拼装工艺。采用装配式混凝土结构、钢结构以及其它符合住宅产业化标准、技术规范的建筑体系。</w:t>
      </w:r>
    </w:p>
    <w:p w14:paraId="57F33277">
      <w:pPr>
        <w:rPr>
          <w:color w:val="000000"/>
          <w:highlight w:val="none"/>
        </w:rPr>
      </w:pPr>
      <w:r>
        <w:rPr>
          <w:color w:val="000000"/>
          <w:highlight w:val="none"/>
        </w:rPr>
        <w:t>5、</w:t>
      </w:r>
      <w:r>
        <w:rPr>
          <w:rFonts w:hint="eastAsia"/>
          <w:color w:val="000000"/>
          <w:highlight w:val="none"/>
        </w:rPr>
        <w:t>装配式设计内容</w:t>
      </w:r>
    </w:p>
    <w:p w14:paraId="5C6B5FF4">
      <w:pPr>
        <w:rPr>
          <w:color w:val="000000"/>
          <w:highlight w:val="none"/>
        </w:rPr>
      </w:pPr>
      <w:r>
        <w:rPr>
          <w:rFonts w:hint="eastAsia"/>
          <w:color w:val="000000"/>
          <w:highlight w:val="none"/>
        </w:rPr>
        <w:t>（1）装配式方案设计</w:t>
      </w:r>
    </w:p>
    <w:p w14:paraId="06C90BC5">
      <w:pPr>
        <w:rPr>
          <w:color w:val="000000"/>
          <w:highlight w:val="none"/>
        </w:rPr>
      </w:pPr>
      <w:r>
        <w:rPr>
          <w:rFonts w:hint="eastAsia"/>
          <w:color w:val="000000"/>
          <w:highlight w:val="none"/>
        </w:rPr>
        <w:t>①对常规设计的方案提出优化的建议；</w:t>
      </w:r>
    </w:p>
    <w:p w14:paraId="7EFA1C3C">
      <w:pPr>
        <w:rPr>
          <w:color w:val="000000"/>
          <w:highlight w:val="none"/>
        </w:rPr>
      </w:pPr>
      <w:r>
        <w:rPr>
          <w:rFonts w:hint="eastAsia"/>
          <w:color w:val="000000"/>
          <w:highlight w:val="none"/>
        </w:rPr>
        <w:t>②协助参与政策沟通；</w:t>
      </w:r>
    </w:p>
    <w:p w14:paraId="244B264D">
      <w:pPr>
        <w:rPr>
          <w:color w:val="000000"/>
          <w:highlight w:val="none"/>
        </w:rPr>
      </w:pPr>
      <w:r>
        <w:rPr>
          <w:rFonts w:hint="eastAsia"/>
          <w:color w:val="000000"/>
          <w:highlight w:val="none"/>
        </w:rPr>
        <w:t>③完成装配式的方案设计；</w:t>
      </w:r>
    </w:p>
    <w:p w14:paraId="78F7755F">
      <w:pPr>
        <w:rPr>
          <w:color w:val="000000"/>
          <w:highlight w:val="none"/>
        </w:rPr>
      </w:pPr>
      <w:r>
        <w:rPr>
          <w:rFonts w:hint="eastAsia"/>
          <w:color w:val="000000"/>
          <w:highlight w:val="none"/>
        </w:rPr>
        <w:t>（2）装配式初步设计</w:t>
      </w:r>
    </w:p>
    <w:p w14:paraId="74C8AABC">
      <w:pPr>
        <w:rPr>
          <w:color w:val="000000"/>
          <w:highlight w:val="none"/>
        </w:rPr>
      </w:pPr>
      <w:r>
        <w:rPr>
          <w:rFonts w:hint="eastAsia"/>
          <w:color w:val="000000"/>
          <w:highlight w:val="none"/>
        </w:rPr>
        <w:t>①完成装配式方案优化设计；</w:t>
      </w:r>
    </w:p>
    <w:p w14:paraId="620504BF">
      <w:pPr>
        <w:rPr>
          <w:color w:val="000000"/>
          <w:highlight w:val="none"/>
        </w:rPr>
      </w:pPr>
      <w:r>
        <w:rPr>
          <w:rFonts w:hint="eastAsia"/>
          <w:color w:val="000000"/>
          <w:highlight w:val="none"/>
        </w:rPr>
        <w:t>②确定装配式方案，提供装配式部分设计条件；</w:t>
      </w:r>
    </w:p>
    <w:p w14:paraId="71EB5D15">
      <w:pPr>
        <w:rPr>
          <w:color w:val="000000"/>
          <w:highlight w:val="none"/>
        </w:rPr>
      </w:pPr>
      <w:r>
        <w:rPr>
          <w:rFonts w:hint="eastAsia"/>
          <w:color w:val="000000"/>
          <w:highlight w:val="none"/>
        </w:rPr>
        <w:t>③完成装配式建筑技术认定文本的设计部分内容。</w:t>
      </w:r>
    </w:p>
    <w:p w14:paraId="418251C8">
      <w:pPr>
        <w:pStyle w:val="5"/>
        <w:rPr>
          <w:color w:val="000000"/>
          <w:highlight w:val="none"/>
        </w:rPr>
      </w:pPr>
      <w:r>
        <w:rPr>
          <w:rFonts w:hint="eastAsia"/>
          <w:color w:val="000000"/>
          <w:highlight w:val="none"/>
        </w:rPr>
        <w:t>室内装修要求</w:t>
      </w:r>
    </w:p>
    <w:p w14:paraId="6646A149">
      <w:pPr>
        <w:rPr>
          <w:rFonts w:ascii="微软雅黑" w:hAnsi="微软雅黑" w:eastAsia="微软雅黑"/>
          <w:color w:val="000000"/>
          <w:szCs w:val="21"/>
          <w:highlight w:val="none"/>
        </w:rPr>
      </w:pPr>
      <w:r>
        <w:rPr>
          <w:color w:val="000000"/>
          <w:highlight w:val="none"/>
        </w:rPr>
        <w:t>1、住宅室内装修</w:t>
      </w:r>
    </w:p>
    <w:p w14:paraId="675F39FF">
      <w:pPr>
        <w:rPr>
          <w:color w:val="000000"/>
          <w:highlight w:val="none"/>
        </w:rPr>
      </w:pPr>
      <w:r>
        <w:rPr>
          <w:color w:val="000000"/>
          <w:highlight w:val="none"/>
        </w:rPr>
        <w:t>1）土建和装修工程一体化设计施工，不得破坏和拆除已有的建筑构件及设施。</w:t>
      </w:r>
    </w:p>
    <w:p w14:paraId="7A42E72E">
      <w:pPr>
        <w:rPr>
          <w:color w:val="000000"/>
          <w:highlight w:val="none"/>
        </w:rPr>
      </w:pPr>
      <w:r>
        <w:rPr>
          <w:color w:val="000000"/>
          <w:highlight w:val="none"/>
        </w:rPr>
        <w:t>2）装修材料应符合安全、环保、节能、耐用、经济的原则。</w:t>
      </w:r>
    </w:p>
    <w:p w14:paraId="3382BB2C">
      <w:pPr>
        <w:rPr>
          <w:color w:val="000000"/>
          <w:highlight w:val="none"/>
        </w:rPr>
      </w:pPr>
      <w:r>
        <w:rPr>
          <w:color w:val="000000"/>
          <w:highlight w:val="none"/>
        </w:rPr>
        <w:t>3）室内装修标准具体实施方案</w:t>
      </w:r>
      <w:r>
        <w:rPr>
          <w:rFonts w:hint="eastAsia"/>
          <w:color w:val="000000"/>
          <w:highlight w:val="none"/>
        </w:rPr>
        <w:t>以项目设计标准为准</w:t>
      </w:r>
      <w:r>
        <w:rPr>
          <w:color w:val="000000"/>
          <w:highlight w:val="none"/>
        </w:rPr>
        <w:t>：</w:t>
      </w:r>
    </w:p>
    <w:p w14:paraId="251A09F1">
      <w:pPr>
        <w:rPr>
          <w:color w:val="000000"/>
          <w:highlight w:val="none"/>
        </w:rPr>
      </w:pPr>
      <w:r>
        <w:rPr>
          <w:color w:val="000000"/>
          <w:highlight w:val="none"/>
        </w:rPr>
        <w:t>A、公共部分参具体实施以项目设计标准为准</w:t>
      </w:r>
    </w:p>
    <w:p w14:paraId="02DB81E9">
      <w:pPr>
        <w:rPr>
          <w:color w:val="000000"/>
          <w:highlight w:val="none"/>
        </w:rPr>
      </w:pPr>
      <w:r>
        <w:rPr>
          <w:color w:val="000000"/>
          <w:highlight w:val="none"/>
        </w:rPr>
        <w:t>B、套内装修参具体实施以项目设计标准为准</w:t>
      </w:r>
    </w:p>
    <w:p w14:paraId="493394F6">
      <w:pPr>
        <w:pStyle w:val="4"/>
        <w:rPr>
          <w:rFonts w:ascii="微软雅黑" w:hAnsi="微软雅黑" w:eastAsia="微软雅黑"/>
          <w:color w:val="000000"/>
          <w:highlight w:val="none"/>
        </w:rPr>
      </w:pPr>
      <w:bookmarkStart w:id="24" w:name="_Toc64660076"/>
      <w:r>
        <w:rPr>
          <w:color w:val="000000"/>
          <w:highlight w:val="none"/>
        </w:rPr>
        <w:t>基坑支护设计</w:t>
      </w:r>
      <w:bookmarkEnd w:id="24"/>
    </w:p>
    <w:p w14:paraId="60EDABF7">
      <w:pPr>
        <w:pStyle w:val="5"/>
        <w:rPr>
          <w:color w:val="000000"/>
          <w:highlight w:val="none"/>
        </w:rPr>
      </w:pPr>
      <w:r>
        <w:rPr>
          <w:color w:val="000000"/>
          <w:highlight w:val="none"/>
        </w:rPr>
        <w:t>一般规定</w:t>
      </w:r>
    </w:p>
    <w:p w14:paraId="03E9BBE9">
      <w:pPr>
        <w:ind w:firstLine="480" w:firstLineChars="200"/>
        <w:rPr>
          <w:rFonts w:ascii="微软雅黑" w:hAnsi="微软雅黑" w:eastAsia="微软雅黑"/>
          <w:color w:val="000000"/>
          <w:szCs w:val="21"/>
          <w:highlight w:val="none"/>
        </w:rPr>
      </w:pPr>
      <w:r>
        <w:rPr>
          <w:color w:val="000000"/>
          <w:highlight w:val="none"/>
        </w:rPr>
        <w:t xml:space="preserve">1、在基坑设计前应到现场进行基坑周边的环境调查踏勘工作，以获取相关的资料作为设计的依据。环境调查的主要内容：基坑开挖影响范围内的建（构）筑物、道路、地下管线、施工场地布置、载重车辆行走路线等。 </w:t>
      </w:r>
    </w:p>
    <w:p w14:paraId="1DB49D82">
      <w:pPr>
        <w:ind w:firstLine="480" w:firstLineChars="200"/>
        <w:rPr>
          <w:rFonts w:ascii="微软雅黑" w:hAnsi="微软雅黑" w:eastAsia="微软雅黑"/>
          <w:color w:val="000000"/>
          <w:szCs w:val="21"/>
          <w:highlight w:val="none"/>
        </w:rPr>
      </w:pPr>
      <w:r>
        <w:rPr>
          <w:color w:val="000000"/>
          <w:highlight w:val="none"/>
        </w:rPr>
        <w:t xml:space="preserve">2、在基坑设计前应获得本工程的岩土工程勘察报告、地形图、管线图、红线图、建筑物规划总平面图、稳定的基础和地下室结构设计图等地下室相关图纸作为设计依据。 </w:t>
      </w:r>
    </w:p>
    <w:p w14:paraId="06D94E2E">
      <w:pPr>
        <w:ind w:firstLine="480" w:firstLineChars="200"/>
        <w:rPr>
          <w:rFonts w:ascii="微软雅黑" w:hAnsi="微软雅黑" w:eastAsia="微软雅黑"/>
          <w:color w:val="000000"/>
          <w:szCs w:val="21"/>
          <w:highlight w:val="none"/>
        </w:rPr>
      </w:pPr>
      <w:r>
        <w:rPr>
          <w:color w:val="000000"/>
          <w:highlight w:val="none"/>
        </w:rPr>
        <w:t xml:space="preserve">3、支护结构作为永久结构的一部分时应满足耐久性要求。 </w:t>
      </w:r>
    </w:p>
    <w:p w14:paraId="6B6D32AF">
      <w:pPr>
        <w:ind w:firstLine="480" w:firstLineChars="200"/>
        <w:rPr>
          <w:rFonts w:ascii="微软雅黑" w:hAnsi="微软雅黑" w:eastAsia="微软雅黑"/>
          <w:color w:val="000000"/>
          <w:szCs w:val="21"/>
          <w:highlight w:val="none"/>
        </w:rPr>
      </w:pPr>
      <w:r>
        <w:rPr>
          <w:color w:val="000000"/>
          <w:highlight w:val="none"/>
        </w:rPr>
        <w:t xml:space="preserve">4、支护结构平面布置应满足地下室边墙外界尺寸要求，且支护结构受力变形、施工误差等，均在规范允许的范围内，不影响地下室的正常施工。 </w:t>
      </w:r>
    </w:p>
    <w:p w14:paraId="2BC88BA2">
      <w:pPr>
        <w:ind w:firstLine="480" w:firstLineChars="200"/>
        <w:rPr>
          <w:rFonts w:ascii="微软雅黑" w:hAnsi="微软雅黑" w:eastAsia="微软雅黑"/>
          <w:color w:val="000000"/>
          <w:szCs w:val="21"/>
          <w:highlight w:val="none"/>
        </w:rPr>
      </w:pPr>
      <w:r>
        <w:rPr>
          <w:color w:val="000000"/>
          <w:highlight w:val="none"/>
        </w:rPr>
        <w:t xml:space="preserve">5、深度应满足地下室净空要求，应计入基坑开挖计算深度的地下室底板和基础承台下垫层或者软土换填厚度；注意电梯井、消防水池、集水井等坑中坑影响情况。 </w:t>
      </w:r>
    </w:p>
    <w:p w14:paraId="289D4934">
      <w:pPr>
        <w:ind w:firstLine="480" w:firstLineChars="200"/>
        <w:rPr>
          <w:rFonts w:ascii="微软雅黑" w:hAnsi="微软雅黑" w:eastAsia="微软雅黑"/>
          <w:color w:val="000000"/>
          <w:szCs w:val="21"/>
          <w:highlight w:val="none"/>
        </w:rPr>
      </w:pPr>
      <w:r>
        <w:rPr>
          <w:color w:val="000000"/>
          <w:highlight w:val="none"/>
        </w:rPr>
        <w:t xml:space="preserve">6、对基坑开挖边线处于地铁 50m控制保护范围内的需报送广州市地铁设施保护办公室进行审查，不在控制保护范围内的需到广州市地铁设施保护办公室出具该项目不在地铁控制保护区的核查意见。 </w:t>
      </w:r>
    </w:p>
    <w:p w14:paraId="7DEA6DBC">
      <w:pPr>
        <w:ind w:firstLine="480" w:firstLineChars="200"/>
        <w:rPr>
          <w:rFonts w:ascii="微软雅黑" w:hAnsi="微软雅黑" w:eastAsia="微软雅黑"/>
          <w:color w:val="000000"/>
          <w:szCs w:val="21"/>
          <w:highlight w:val="none"/>
        </w:rPr>
      </w:pPr>
      <w:r>
        <w:rPr>
          <w:color w:val="000000"/>
          <w:highlight w:val="none"/>
        </w:rPr>
        <w:t>7、凡开挖深度大于等于 7m或地质条件较复杂（如开挖深度范围内软弱土层厚度大于等于 4m）的基坑工程以及采用锚杆（含预应力锚索）、土钉墙或采用人工挖孔桩支护的基坑工程，其基坑支护工程设计文件必须经专项审查。</w:t>
      </w:r>
    </w:p>
    <w:p w14:paraId="4EE47C8E">
      <w:pPr>
        <w:pStyle w:val="5"/>
        <w:rPr>
          <w:color w:val="000000"/>
          <w:highlight w:val="none"/>
        </w:rPr>
      </w:pPr>
      <w:r>
        <w:rPr>
          <w:color w:val="000000"/>
          <w:highlight w:val="none"/>
        </w:rPr>
        <w:t>基坑支护设计</w:t>
      </w:r>
    </w:p>
    <w:p w14:paraId="695945FB">
      <w:pPr>
        <w:ind w:firstLine="480" w:firstLineChars="200"/>
        <w:rPr>
          <w:rFonts w:ascii="微软雅黑" w:hAnsi="微软雅黑" w:eastAsia="微软雅黑"/>
          <w:color w:val="000000"/>
          <w:szCs w:val="21"/>
          <w:highlight w:val="none"/>
        </w:rPr>
      </w:pPr>
      <w:r>
        <w:rPr>
          <w:color w:val="000000"/>
          <w:highlight w:val="none"/>
        </w:rPr>
        <w:t>1、据场地工程地质条件、基坑周边环境，从安全、经济、可行的原则出发，优化设计，选择出合理支护结构方案。</w:t>
      </w:r>
    </w:p>
    <w:p w14:paraId="5FFF835B">
      <w:pPr>
        <w:ind w:firstLine="480" w:firstLineChars="200"/>
        <w:rPr>
          <w:rFonts w:ascii="微软雅黑" w:hAnsi="微软雅黑" w:eastAsia="微软雅黑"/>
          <w:color w:val="000000"/>
          <w:szCs w:val="21"/>
          <w:highlight w:val="none"/>
        </w:rPr>
      </w:pPr>
      <w:r>
        <w:rPr>
          <w:color w:val="000000"/>
          <w:highlight w:val="none"/>
        </w:rPr>
        <w:t xml:space="preserve">2、当工程条件许可、周边环境简单时，应优先采用自然放坡；当开挖深度较浅、周边环境一般时，可采用柔性支护，如悬臂钢板桩、水泥土墙、钢板桩加撑 (锚)、土钉墙、复合土钉墙等支护型式；当周边环境要求高或开挖深度较深时，应采用刚性的支护型式，以控制水平位移，如桩锚、桩撑、墙锚、墙撑、逆作法、中心岛等支护型式。 </w:t>
      </w:r>
    </w:p>
    <w:p w14:paraId="541A422F">
      <w:pPr>
        <w:pStyle w:val="4"/>
        <w:rPr>
          <w:color w:val="000000"/>
          <w:highlight w:val="none"/>
        </w:rPr>
      </w:pPr>
      <w:r>
        <w:rPr>
          <w:color w:val="000000"/>
          <w:highlight w:val="none"/>
        </w:rPr>
        <w:t>结构设计要求</w:t>
      </w:r>
    </w:p>
    <w:p w14:paraId="66CA8F6E">
      <w:pPr>
        <w:pStyle w:val="5"/>
        <w:rPr>
          <w:color w:val="000000"/>
          <w:highlight w:val="none"/>
        </w:rPr>
      </w:pPr>
      <w:r>
        <w:rPr>
          <w:rFonts w:hint="eastAsia"/>
          <w:color w:val="000000"/>
          <w:highlight w:val="none"/>
        </w:rPr>
        <w:t>总体要求</w:t>
      </w:r>
    </w:p>
    <w:p w14:paraId="4A6982AF">
      <w:pPr>
        <w:rPr>
          <w:color w:val="000000"/>
          <w:highlight w:val="none"/>
        </w:rPr>
      </w:pPr>
      <w:r>
        <w:rPr>
          <w:color w:val="000000"/>
          <w:highlight w:val="none"/>
        </w:rPr>
        <w:t>1、结构设计应安全可靠，经济合理；应采用经过实践检验的新工艺、新材料，以节约资金；应满足国家及地方的相应规范、规程及要求，采用可靠的结构体系，先进的工艺和技术。</w:t>
      </w:r>
    </w:p>
    <w:p w14:paraId="797BBB5E">
      <w:pPr>
        <w:rPr>
          <w:color w:val="000000"/>
          <w:highlight w:val="none"/>
        </w:rPr>
      </w:pPr>
      <w:r>
        <w:rPr>
          <w:color w:val="000000"/>
          <w:highlight w:val="none"/>
        </w:rPr>
        <w:t>2、抗震设计</w:t>
      </w:r>
      <w:r>
        <w:rPr>
          <w:highlight w:val="none"/>
        </w:rPr>
        <w:fldChar w:fldCharType="begin"/>
      </w:r>
      <w:r>
        <w:rPr>
          <w:highlight w:val="none"/>
        </w:rPr>
        <w:instrText xml:space="preserve"> HYPERLINK \h </w:instrText>
      </w:r>
      <w:r>
        <w:rPr>
          <w:highlight w:val="none"/>
        </w:rPr>
        <w:fldChar w:fldCharType="separate"/>
      </w:r>
      <w:r>
        <w:rPr>
          <w:color w:val="000000"/>
          <w:highlight w:val="none"/>
          <w:u w:val="single"/>
        </w:rPr>
        <w:t>及结构安全等级</w:t>
      </w:r>
      <w:r>
        <w:rPr>
          <w:color w:val="000000"/>
          <w:highlight w:val="none"/>
          <w:u w:val="single"/>
        </w:rPr>
        <w:fldChar w:fldCharType="end"/>
      </w:r>
      <w:r>
        <w:rPr>
          <w:color w:val="000000"/>
          <w:highlight w:val="none"/>
        </w:rPr>
        <w:t>应遵循现行的国家规范、规程与广州市地方标准。</w:t>
      </w:r>
    </w:p>
    <w:p w14:paraId="6401176E">
      <w:pPr>
        <w:rPr>
          <w:color w:val="000000"/>
          <w:highlight w:val="none"/>
        </w:rPr>
      </w:pPr>
      <w:r>
        <w:rPr>
          <w:color w:val="000000"/>
          <w:highlight w:val="none"/>
        </w:rPr>
        <w:t>3、永久建筑的结构设计使用年限为50年。</w:t>
      </w:r>
    </w:p>
    <w:p w14:paraId="7134DAF5">
      <w:pPr>
        <w:rPr>
          <w:color w:val="000000"/>
          <w:highlight w:val="none"/>
        </w:rPr>
      </w:pPr>
      <w:r>
        <w:rPr>
          <w:color w:val="000000"/>
          <w:highlight w:val="none"/>
        </w:rPr>
        <w:t>4、永久建筑应以钢筋混凝土结构为主，临时建筑应以钢结构为主，考虑重复利用的可能性。</w:t>
      </w:r>
    </w:p>
    <w:p w14:paraId="43EE8646">
      <w:pPr>
        <w:rPr>
          <w:color w:val="000000"/>
          <w:highlight w:val="none"/>
        </w:rPr>
      </w:pPr>
      <w:r>
        <w:rPr>
          <w:color w:val="000000"/>
          <w:highlight w:val="none"/>
        </w:rPr>
        <w:t>5、地下室长、宽超出规范伸缩缝最大间距要求时，宜首选采用后浇带或加强带等抗裂措施，同时设计院应提交抗裂措施多方案比选报告。</w:t>
      </w:r>
    </w:p>
    <w:p w14:paraId="1F256DA9">
      <w:pPr>
        <w:rPr>
          <w:color w:val="000000"/>
          <w:highlight w:val="none"/>
        </w:rPr>
      </w:pPr>
      <w:r>
        <w:rPr>
          <w:color w:val="000000"/>
          <w:highlight w:val="none"/>
        </w:rPr>
        <w:t>6、多塔楼建筑群在±0.00m以上，各塔楼之间宜设置防震缝，做到结构各自独立。</w:t>
      </w:r>
    </w:p>
    <w:p w14:paraId="11A9F32F">
      <w:pPr>
        <w:rPr>
          <w:color w:val="000000"/>
          <w:highlight w:val="none"/>
        </w:rPr>
      </w:pPr>
      <w:r>
        <w:rPr>
          <w:color w:val="000000"/>
          <w:highlight w:val="none"/>
        </w:rPr>
        <w:t>7、塔楼结构宜避免做结构转换和超限结构。</w:t>
      </w:r>
    </w:p>
    <w:p w14:paraId="5B4EC542">
      <w:pPr>
        <w:pStyle w:val="5"/>
        <w:rPr>
          <w:color w:val="000000"/>
          <w:highlight w:val="none"/>
        </w:rPr>
      </w:pPr>
      <w:r>
        <w:rPr>
          <w:rFonts w:hint="eastAsia"/>
          <w:color w:val="000000"/>
          <w:highlight w:val="none"/>
        </w:rPr>
        <w:t>结构其他要求</w:t>
      </w:r>
    </w:p>
    <w:p w14:paraId="08F7CDE9">
      <w:pPr>
        <w:pStyle w:val="6"/>
        <w:numPr>
          <w:ilvl w:val="0"/>
          <w:numId w:val="7"/>
        </w:numPr>
        <w:ind w:left="0" w:firstLine="426" w:firstLineChars="0"/>
        <w:rPr>
          <w:color w:val="000000"/>
          <w:highlight w:val="none"/>
        </w:rPr>
      </w:pPr>
      <w:r>
        <w:rPr>
          <w:color w:val="000000"/>
          <w:highlight w:val="none"/>
        </w:rPr>
        <w:t>混凝土：主体结构混凝土强度等级不得低于C25。</w:t>
      </w:r>
    </w:p>
    <w:p w14:paraId="5A29D57F">
      <w:pPr>
        <w:pStyle w:val="6"/>
        <w:numPr>
          <w:ilvl w:val="0"/>
          <w:numId w:val="7"/>
        </w:numPr>
        <w:ind w:left="0" w:firstLine="426" w:firstLineChars="0"/>
        <w:rPr>
          <w:color w:val="000000"/>
          <w:highlight w:val="none"/>
        </w:rPr>
      </w:pPr>
      <w:r>
        <w:rPr>
          <w:color w:val="000000"/>
          <w:highlight w:val="none"/>
        </w:rPr>
        <w:t>钢筋：受力钢筋应采用HRB400（</w:t>
      </w:r>
      <w:r>
        <w:rPr>
          <w:rFonts w:hint="eastAsia" w:cs="宋体"/>
          <w:color w:val="000000"/>
          <w:highlight w:val="none"/>
        </w:rPr>
        <w:t>Ⅲ</w:t>
      </w:r>
      <w:r>
        <w:rPr>
          <w:color w:val="000000"/>
          <w:highlight w:val="none"/>
        </w:rPr>
        <w:t>级钢），fy=360N/mm2。非受力的构造钢筋，可采用HRB300（</w:t>
      </w:r>
      <w:r>
        <w:rPr>
          <w:rFonts w:hint="eastAsia" w:cs="宋体"/>
          <w:color w:val="000000"/>
          <w:highlight w:val="none"/>
        </w:rPr>
        <w:t>Ⅰ</w:t>
      </w:r>
      <w:r>
        <w:rPr>
          <w:color w:val="000000"/>
          <w:highlight w:val="none"/>
        </w:rPr>
        <w:t>级钢），fy=270N/mm2。住宅不得采用冷轧带肋钢筋和焊接钢筋网。</w:t>
      </w:r>
    </w:p>
    <w:p w14:paraId="2D939E9C">
      <w:pPr>
        <w:pStyle w:val="6"/>
        <w:numPr>
          <w:ilvl w:val="0"/>
          <w:numId w:val="7"/>
        </w:numPr>
        <w:ind w:left="0" w:firstLine="426" w:firstLineChars="0"/>
        <w:rPr>
          <w:color w:val="000000"/>
          <w:highlight w:val="none"/>
        </w:rPr>
      </w:pPr>
      <w:r>
        <w:rPr>
          <w:color w:val="000000"/>
          <w:highlight w:val="none"/>
        </w:rPr>
        <w:t>非承重墙体宜采用蒸压加气混凝土砌块，自重≤10KN/m³。外墙砌块强度不得小于A5.0，内墙砌块强度不得小于A3.5。砌体干燥收缩率应≤0.4mm/m。</w:t>
      </w:r>
    </w:p>
    <w:p w14:paraId="580433B7">
      <w:pPr>
        <w:pStyle w:val="6"/>
        <w:numPr>
          <w:ilvl w:val="0"/>
          <w:numId w:val="7"/>
        </w:numPr>
        <w:ind w:left="0" w:firstLine="426" w:firstLineChars="0"/>
        <w:rPr>
          <w:color w:val="000000"/>
          <w:highlight w:val="none"/>
        </w:rPr>
      </w:pPr>
      <w:r>
        <w:rPr>
          <w:color w:val="000000"/>
          <w:highlight w:val="none"/>
        </w:rPr>
        <w:t>柱子截面应由轴压比控制，截面形式按建筑要求。每次收缩截面时，每个方向一般一次收缩不宜超过100mm。</w:t>
      </w:r>
    </w:p>
    <w:p w14:paraId="4DD5A37C">
      <w:pPr>
        <w:pStyle w:val="6"/>
        <w:numPr>
          <w:ilvl w:val="0"/>
          <w:numId w:val="7"/>
        </w:numPr>
        <w:ind w:left="0" w:firstLine="426" w:firstLineChars="0"/>
        <w:rPr>
          <w:color w:val="000000"/>
          <w:highlight w:val="none"/>
        </w:rPr>
      </w:pPr>
      <w:r>
        <w:rPr>
          <w:color w:val="000000"/>
          <w:highlight w:val="none"/>
        </w:rPr>
        <w:t>住宅2层以上部分，剪力墙宽度宜尽量取200mm。</w:t>
      </w:r>
    </w:p>
    <w:p w14:paraId="4AD5BFD8">
      <w:pPr>
        <w:pStyle w:val="6"/>
        <w:numPr>
          <w:ilvl w:val="0"/>
          <w:numId w:val="7"/>
        </w:numPr>
        <w:ind w:left="0" w:firstLine="426" w:firstLineChars="0"/>
        <w:rPr>
          <w:color w:val="000000"/>
          <w:highlight w:val="none"/>
        </w:rPr>
      </w:pPr>
      <w:r>
        <w:rPr>
          <w:color w:val="000000"/>
          <w:highlight w:val="none"/>
        </w:rPr>
        <w:t>基础设计，应同时提交基础选型的经济技术多方案比选专题报告。</w:t>
      </w:r>
    </w:p>
    <w:p w14:paraId="321E52FB">
      <w:pPr>
        <w:pStyle w:val="6"/>
        <w:numPr>
          <w:ilvl w:val="0"/>
          <w:numId w:val="7"/>
        </w:numPr>
        <w:ind w:left="0" w:firstLine="426" w:firstLineChars="0"/>
        <w:rPr>
          <w:color w:val="000000"/>
          <w:highlight w:val="none"/>
        </w:rPr>
      </w:pPr>
      <w:r>
        <w:rPr>
          <w:color w:val="000000"/>
          <w:highlight w:val="none"/>
        </w:rPr>
        <w:t>选用静压预应力管桩基础形式时，应根据地质情况，采用复压等措施确保桩的承载力。预应力管桩桩端嵌入遇水易软化的强风化岩、全风化岩和非饱和土时，桩端应采用微膨胀砼填芯2m高。</w:t>
      </w:r>
    </w:p>
    <w:p w14:paraId="7D94F049">
      <w:pPr>
        <w:pStyle w:val="4"/>
        <w:rPr>
          <w:color w:val="000000"/>
          <w:highlight w:val="none"/>
        </w:rPr>
      </w:pPr>
      <w:r>
        <w:rPr>
          <w:color w:val="000000"/>
          <w:highlight w:val="none"/>
        </w:rPr>
        <w:t>室外工程设计要求</w:t>
      </w:r>
    </w:p>
    <w:p w14:paraId="6ABBE2B2">
      <w:pPr>
        <w:pStyle w:val="5"/>
        <w:rPr>
          <w:color w:val="000000"/>
          <w:highlight w:val="none"/>
        </w:rPr>
      </w:pPr>
      <w:r>
        <w:rPr>
          <w:color w:val="000000"/>
          <w:highlight w:val="none"/>
        </w:rPr>
        <w:t>室外广场</w:t>
      </w:r>
    </w:p>
    <w:p w14:paraId="7B2E33B8">
      <w:pPr>
        <w:rPr>
          <w:color w:val="000000"/>
          <w:highlight w:val="none"/>
        </w:rPr>
      </w:pPr>
      <w:r>
        <w:rPr>
          <w:color w:val="000000"/>
          <w:highlight w:val="none"/>
        </w:rPr>
        <w:t>室外广场石与侧平石等采用石材，按《广州市政府投资项目天然石材应用指引》和《广州市重点公共建设项目风景园林工程技术指引（铺装篇）》</w:t>
      </w:r>
      <w:bookmarkStart w:id="38" w:name="_GoBack"/>
      <w:bookmarkEnd w:id="38"/>
      <w:r>
        <w:rPr>
          <w:color w:val="000000"/>
          <w:highlight w:val="none"/>
        </w:rPr>
        <w:t>要求设计施工。广场石材铺贴方案要求大方、整体性强，不宜采用拼花形式；若采用非石材或采用拼花形式，应专题报招标人同意。室外铺装不宜采用密缝铺贴方式，设计单位应根据功能和材料具体情况设计铺装缝尺寸，出具详细完整的铺装图，室外铺装详细方案图须单独报招标人确认。</w:t>
      </w:r>
    </w:p>
    <w:p w14:paraId="22485143">
      <w:pPr>
        <w:pStyle w:val="5"/>
        <w:rPr>
          <w:color w:val="000000"/>
          <w:highlight w:val="none"/>
        </w:rPr>
      </w:pPr>
      <w:r>
        <w:rPr>
          <w:rFonts w:hint="eastAsia"/>
          <w:color w:val="000000"/>
          <w:highlight w:val="none"/>
        </w:rPr>
        <w:t>室外管网</w:t>
      </w:r>
    </w:p>
    <w:p w14:paraId="4D3C663D">
      <w:pPr>
        <w:rPr>
          <w:color w:val="000000"/>
          <w:highlight w:val="none"/>
        </w:rPr>
      </w:pPr>
      <w:r>
        <w:rPr>
          <w:rFonts w:hint="eastAsia"/>
          <w:color w:val="000000"/>
          <w:highlight w:val="none"/>
        </w:rPr>
        <w:t>红线内室外管网新建工程</w:t>
      </w:r>
      <w:r>
        <w:rPr>
          <w:color w:val="000000"/>
          <w:highlight w:val="none"/>
        </w:rPr>
        <w:t>,包括水、电、燃气等的接入工程。</w:t>
      </w:r>
    </w:p>
    <w:p w14:paraId="49F79CE7">
      <w:pPr>
        <w:rPr>
          <w:color w:val="000000"/>
          <w:highlight w:val="none"/>
        </w:rPr>
      </w:pPr>
      <w:r>
        <w:rPr>
          <w:color w:val="000000"/>
          <w:highlight w:val="none"/>
        </w:rPr>
        <w:t>道路照明按《广州市城市道路照明设施移交管理办法》和《广州市照明建设管理中心关于拟移交中心管养道路的照明项目有关要求的函(穗照明函[2015]44号)》的要求进行设计。</w:t>
      </w:r>
    </w:p>
    <w:p w14:paraId="26A07FF2">
      <w:pPr>
        <w:rPr>
          <w:color w:val="000000"/>
          <w:highlight w:val="none"/>
        </w:rPr>
      </w:pPr>
      <w:r>
        <w:rPr>
          <w:color w:val="000000"/>
          <w:highlight w:val="none"/>
        </w:rPr>
        <w:t>井盖设施的设计应当执行国家、省、市技术标准和规范，并满足《广州市井盖设施管理试行办法》、《广州城市道路井盖建设实施指引》的要求。井盖和井壁应当标明井盖设施权属单位名称和报修电话。</w:t>
      </w:r>
    </w:p>
    <w:p w14:paraId="3C028B18">
      <w:pPr>
        <w:pStyle w:val="5"/>
        <w:rPr>
          <w:color w:val="000000"/>
          <w:highlight w:val="none"/>
        </w:rPr>
      </w:pPr>
      <w:r>
        <w:rPr>
          <w:rFonts w:hint="eastAsia"/>
          <w:color w:val="000000"/>
          <w:highlight w:val="none"/>
        </w:rPr>
        <w:t>室外照明</w:t>
      </w:r>
    </w:p>
    <w:p w14:paraId="17289D9B">
      <w:pPr>
        <w:rPr>
          <w:color w:val="000000"/>
          <w:highlight w:val="none"/>
        </w:rPr>
      </w:pPr>
      <w:r>
        <w:rPr>
          <w:color w:val="000000"/>
          <w:highlight w:val="none"/>
        </w:rPr>
        <w:t>室外广场设高杆照明，道路照明采用马路弯灯，绿地设草坪灯及绿化景观灯，建筑物立面设泛光照明。泛光照明需进行方案比较，报招标人确认。</w:t>
      </w:r>
    </w:p>
    <w:p w14:paraId="265D307D">
      <w:pPr>
        <w:pStyle w:val="4"/>
        <w:rPr>
          <w:color w:val="000000"/>
          <w:highlight w:val="none"/>
        </w:rPr>
      </w:pPr>
      <w:r>
        <w:rPr>
          <w:color w:val="000000"/>
          <w:highlight w:val="none"/>
        </w:rPr>
        <w:t>给排水设计要求</w:t>
      </w:r>
    </w:p>
    <w:p w14:paraId="39D01C10">
      <w:pPr>
        <w:pStyle w:val="5"/>
        <w:rPr>
          <w:rFonts w:ascii="微软雅黑" w:hAnsi="微软雅黑" w:eastAsia="微软雅黑"/>
          <w:color w:val="000000"/>
          <w:szCs w:val="21"/>
          <w:highlight w:val="none"/>
        </w:rPr>
      </w:pPr>
      <w:r>
        <w:rPr>
          <w:color w:val="000000"/>
          <w:highlight w:val="none"/>
        </w:rPr>
        <w:t>一般规定</w:t>
      </w:r>
    </w:p>
    <w:p w14:paraId="47BB92FC">
      <w:pPr>
        <w:rPr>
          <w:rFonts w:ascii="微软雅黑" w:hAnsi="微软雅黑" w:eastAsia="微软雅黑"/>
          <w:color w:val="000000"/>
          <w:szCs w:val="21"/>
          <w:highlight w:val="none"/>
        </w:rPr>
      </w:pPr>
      <w:r>
        <w:rPr>
          <w:color w:val="000000"/>
          <w:highlight w:val="none"/>
        </w:rPr>
        <w:t>安置区的给排水系统及设备材料的选用，应以经济适用为原则。</w:t>
      </w:r>
    </w:p>
    <w:p w14:paraId="0CDEDE69">
      <w:pPr>
        <w:pStyle w:val="5"/>
        <w:rPr>
          <w:rFonts w:ascii="微软雅黑" w:hAnsi="微软雅黑" w:eastAsia="微软雅黑"/>
          <w:color w:val="000000"/>
          <w:szCs w:val="21"/>
          <w:highlight w:val="none"/>
        </w:rPr>
      </w:pPr>
      <w:r>
        <w:rPr>
          <w:color w:val="000000"/>
          <w:highlight w:val="none"/>
        </w:rPr>
        <w:t>生活给水系统</w:t>
      </w:r>
    </w:p>
    <w:p w14:paraId="79CCB603">
      <w:pPr>
        <w:rPr>
          <w:rFonts w:ascii="微软雅黑" w:hAnsi="微软雅黑" w:eastAsia="微软雅黑"/>
          <w:color w:val="000000"/>
          <w:szCs w:val="21"/>
          <w:highlight w:val="none"/>
        </w:rPr>
      </w:pPr>
      <w:r>
        <w:rPr>
          <w:color w:val="000000"/>
          <w:highlight w:val="none"/>
        </w:rPr>
        <w:t>（1）生活给水系统、绿化用水及消防给水系统的总进水管必须分别独立装表计量。居住建筑总水表的设置，应符合广州市自来水公司的要求。</w:t>
      </w:r>
    </w:p>
    <w:p w14:paraId="0A00EE4D">
      <w:pPr>
        <w:rPr>
          <w:rFonts w:ascii="微软雅黑" w:hAnsi="微软雅黑" w:eastAsia="微软雅黑"/>
          <w:color w:val="000000"/>
          <w:szCs w:val="21"/>
          <w:highlight w:val="none"/>
        </w:rPr>
      </w:pPr>
      <w:r>
        <w:rPr>
          <w:color w:val="000000"/>
          <w:highlight w:val="none"/>
        </w:rPr>
        <w:t>（2）住宅用水计量采用一户一水表，高层住宅每层住宅单元的水表集中安装于该楼层的水表间（兼水管井）内。</w:t>
      </w:r>
    </w:p>
    <w:p w14:paraId="7BF829A3">
      <w:pPr>
        <w:rPr>
          <w:rFonts w:ascii="微软雅黑" w:hAnsi="微软雅黑" w:eastAsia="微软雅黑"/>
          <w:color w:val="000000"/>
          <w:szCs w:val="21"/>
          <w:highlight w:val="none"/>
        </w:rPr>
      </w:pPr>
      <w:r>
        <w:rPr>
          <w:color w:val="000000"/>
          <w:highlight w:val="none"/>
        </w:rPr>
        <w:t>（3）居住建筑应尽量利用市政水压直接供水，超过自来水公司服务高程的楼层，建议采用储水箱加变频加压供水设备二次供水。如采用叠压供水设计方案应经当地供水行政主管部门及供水部门批准认可。</w:t>
      </w:r>
    </w:p>
    <w:p w14:paraId="20A093C9">
      <w:pPr>
        <w:rPr>
          <w:rFonts w:ascii="微软雅黑" w:hAnsi="微软雅黑" w:eastAsia="微软雅黑"/>
          <w:color w:val="000000"/>
          <w:szCs w:val="21"/>
          <w:highlight w:val="none"/>
        </w:rPr>
      </w:pPr>
      <w:r>
        <w:rPr>
          <w:color w:val="000000"/>
          <w:highlight w:val="none"/>
        </w:rPr>
        <w:t>（5）户内给水管全部暗装。从分户水表、热水器至户内厨房、卫生间等的冷水、热水管线，宜穿梁架空敷设。敷设在垫层或墙体管槽内的管材，不得有卡套式或卡环式接口，柔性管材宜采用分水器向各卫生器具配水，中途不得有连接配件，两端接口应明露。</w:t>
      </w:r>
    </w:p>
    <w:p w14:paraId="2FD1CC08">
      <w:pPr>
        <w:rPr>
          <w:rFonts w:ascii="微软雅黑" w:hAnsi="微软雅黑" w:eastAsia="微软雅黑"/>
          <w:color w:val="000000"/>
          <w:szCs w:val="21"/>
          <w:highlight w:val="none"/>
        </w:rPr>
      </w:pPr>
      <w:r>
        <w:rPr>
          <w:color w:val="000000"/>
          <w:highlight w:val="none"/>
        </w:rPr>
        <w:t>（6）住宅户内应设热水给水管，在生活阳台预留热水器进、出水接口，并同时预留电热水器电源插座及煤气热水器的煤气接口。洗脸盆、洗涤盆、淋浴器处均设冷热水接口。</w:t>
      </w:r>
    </w:p>
    <w:p w14:paraId="408F39B7">
      <w:pPr>
        <w:rPr>
          <w:rFonts w:ascii="微软雅黑" w:hAnsi="微软雅黑" w:eastAsia="微软雅黑"/>
          <w:color w:val="000000"/>
          <w:szCs w:val="21"/>
          <w:highlight w:val="none"/>
        </w:rPr>
      </w:pPr>
      <w:r>
        <w:rPr>
          <w:color w:val="000000"/>
          <w:highlight w:val="none"/>
        </w:rPr>
        <w:t>（7）生活阳台应设置洗衣机专用给水龙头，主阳台应设置取水龙头。</w:t>
      </w:r>
    </w:p>
    <w:p w14:paraId="301AE533">
      <w:pPr>
        <w:pStyle w:val="5"/>
        <w:rPr>
          <w:color w:val="000000"/>
          <w:highlight w:val="none"/>
        </w:rPr>
      </w:pPr>
      <w:r>
        <w:rPr>
          <w:color w:val="000000"/>
          <w:highlight w:val="none"/>
        </w:rPr>
        <w:t>排水系统</w:t>
      </w:r>
    </w:p>
    <w:p w14:paraId="4D8A72EF">
      <w:pPr>
        <w:rPr>
          <w:rFonts w:ascii="微软雅黑" w:hAnsi="微软雅黑" w:eastAsia="微软雅黑"/>
          <w:color w:val="000000"/>
          <w:szCs w:val="21"/>
          <w:highlight w:val="none"/>
        </w:rPr>
      </w:pPr>
      <w:r>
        <w:rPr>
          <w:color w:val="000000"/>
          <w:highlight w:val="none"/>
        </w:rPr>
        <w:t>1、住宅室内排水应采用雨、污、废水分流制排水系统。</w:t>
      </w:r>
    </w:p>
    <w:p w14:paraId="456E7275">
      <w:pPr>
        <w:rPr>
          <w:rFonts w:ascii="微软雅黑" w:hAnsi="微软雅黑" w:eastAsia="微软雅黑"/>
          <w:color w:val="000000"/>
          <w:szCs w:val="21"/>
          <w:highlight w:val="none"/>
        </w:rPr>
      </w:pPr>
      <w:r>
        <w:rPr>
          <w:color w:val="000000"/>
          <w:highlight w:val="none"/>
        </w:rPr>
        <w:t>2、生活阳台洗衣机排水及雨水排水应接入废水立管，设置洗衣机的部位应设置能防止溢流和防干涸的专用地漏。</w:t>
      </w:r>
    </w:p>
    <w:p w14:paraId="3EE00358">
      <w:pPr>
        <w:rPr>
          <w:rFonts w:ascii="微软雅黑" w:hAnsi="微软雅黑" w:eastAsia="微软雅黑"/>
          <w:color w:val="000000"/>
          <w:szCs w:val="21"/>
          <w:highlight w:val="none"/>
        </w:rPr>
      </w:pPr>
      <w:r>
        <w:rPr>
          <w:color w:val="000000"/>
          <w:highlight w:val="none"/>
        </w:rPr>
        <w:t>3、住宅阳台排水应接入废水系统。空调冷凝水 (设专用立管)排水、与屋面雨水分别独立排入室外雨水检查井。</w:t>
      </w:r>
    </w:p>
    <w:p w14:paraId="347B0CC9">
      <w:pPr>
        <w:rPr>
          <w:rFonts w:ascii="微软雅黑" w:hAnsi="微软雅黑" w:eastAsia="微软雅黑"/>
          <w:color w:val="000000"/>
          <w:szCs w:val="21"/>
          <w:highlight w:val="none"/>
        </w:rPr>
      </w:pPr>
      <w:r>
        <w:rPr>
          <w:color w:val="000000"/>
          <w:highlight w:val="none"/>
        </w:rPr>
        <w:t>4、粪便污水应经化粪池处理后排入市政污水排水管。</w:t>
      </w:r>
    </w:p>
    <w:p w14:paraId="6BBD5C06">
      <w:pPr>
        <w:rPr>
          <w:rFonts w:ascii="微软雅黑" w:hAnsi="微软雅黑" w:eastAsia="微软雅黑"/>
          <w:color w:val="000000"/>
          <w:szCs w:val="21"/>
          <w:highlight w:val="none"/>
        </w:rPr>
      </w:pPr>
      <w:r>
        <w:rPr>
          <w:color w:val="000000"/>
          <w:highlight w:val="none"/>
        </w:rPr>
        <w:t>5、在不影响建筑立面的情况下，排水立管宜安装在外墙面上，但排水管颜色宜与外墙面相同，且建筑主立面不得安装排水管。</w:t>
      </w:r>
    </w:p>
    <w:p w14:paraId="54C9C885">
      <w:pPr>
        <w:rPr>
          <w:rFonts w:ascii="微软雅黑" w:hAnsi="微软雅黑" w:eastAsia="微软雅黑"/>
          <w:color w:val="000000"/>
          <w:szCs w:val="21"/>
          <w:highlight w:val="none"/>
        </w:rPr>
      </w:pPr>
      <w:r>
        <w:rPr>
          <w:color w:val="000000"/>
          <w:highlight w:val="none"/>
        </w:rPr>
        <w:t>6、住宅卫生间排水横管应设在沉箱内，沉箱应设置二次排水设施。</w:t>
      </w:r>
    </w:p>
    <w:p w14:paraId="239AABD4">
      <w:pPr>
        <w:rPr>
          <w:rFonts w:ascii="微软雅黑" w:hAnsi="微软雅黑" w:eastAsia="微软雅黑"/>
          <w:color w:val="000000"/>
          <w:szCs w:val="21"/>
          <w:highlight w:val="none"/>
        </w:rPr>
      </w:pPr>
      <w:r>
        <w:rPr>
          <w:color w:val="000000"/>
          <w:highlight w:val="none"/>
        </w:rPr>
        <w:t>7、住宅的厨房和卫生间的排水立管应分别设置，厨房不设地漏，卫生间应设防干涸的专用地漏。</w:t>
      </w:r>
    </w:p>
    <w:p w14:paraId="21671AFE">
      <w:pPr>
        <w:pStyle w:val="5"/>
        <w:rPr>
          <w:color w:val="000000"/>
          <w:highlight w:val="none"/>
        </w:rPr>
      </w:pPr>
      <w:r>
        <w:rPr>
          <w:color w:val="000000"/>
          <w:highlight w:val="none"/>
        </w:rPr>
        <w:t>消防系统</w:t>
      </w:r>
    </w:p>
    <w:p w14:paraId="27DB9789">
      <w:pPr>
        <w:ind w:firstLine="424" w:firstLineChars="177"/>
        <w:rPr>
          <w:rFonts w:ascii="微软雅黑" w:hAnsi="微软雅黑" w:eastAsia="微软雅黑"/>
          <w:color w:val="000000"/>
          <w:szCs w:val="21"/>
          <w:highlight w:val="none"/>
        </w:rPr>
      </w:pPr>
      <w:r>
        <w:rPr>
          <w:color w:val="000000"/>
          <w:highlight w:val="none"/>
        </w:rPr>
        <w:t>1、住宅标准层的消火栓箱应暗装，灭火器优先布置在消火栓箱处，并选用带灭火器和消火栓的消防箱（灭火器单独设置的除外）。</w:t>
      </w:r>
    </w:p>
    <w:p w14:paraId="095516C2">
      <w:pPr>
        <w:ind w:firstLine="424" w:firstLineChars="177"/>
        <w:rPr>
          <w:rFonts w:ascii="微软雅黑" w:hAnsi="微软雅黑" w:eastAsia="微软雅黑"/>
          <w:color w:val="000000"/>
          <w:szCs w:val="21"/>
          <w:highlight w:val="none"/>
        </w:rPr>
      </w:pPr>
      <w:r>
        <w:rPr>
          <w:color w:val="000000"/>
          <w:highlight w:val="none"/>
        </w:rPr>
        <w:t>2、柴油发电机房应采用自动喷水灭火系统。</w:t>
      </w:r>
    </w:p>
    <w:p w14:paraId="3428EF7B">
      <w:pPr>
        <w:pStyle w:val="4"/>
        <w:rPr>
          <w:rFonts w:ascii="黑体" w:hAnsi="黑体" w:eastAsia="黑体"/>
          <w:color w:val="000000"/>
          <w:highlight w:val="none"/>
        </w:rPr>
      </w:pPr>
      <w:r>
        <w:rPr>
          <w:color w:val="000000"/>
          <w:highlight w:val="none"/>
        </w:rPr>
        <w:t>电气设计要求</w:t>
      </w:r>
    </w:p>
    <w:p w14:paraId="06AE7460">
      <w:pPr>
        <w:pStyle w:val="5"/>
        <w:rPr>
          <w:color w:val="000000"/>
          <w:highlight w:val="none"/>
        </w:rPr>
      </w:pPr>
      <w:r>
        <w:rPr>
          <w:color w:val="000000"/>
          <w:highlight w:val="none"/>
        </w:rPr>
        <w:t>变压器选择</w:t>
      </w:r>
    </w:p>
    <w:p w14:paraId="5C3DA6D8">
      <w:pPr>
        <w:rPr>
          <w:rFonts w:ascii="微软雅黑" w:hAnsi="微软雅黑" w:eastAsia="微软雅黑"/>
          <w:color w:val="000000"/>
          <w:szCs w:val="21"/>
          <w:highlight w:val="none"/>
        </w:rPr>
      </w:pPr>
      <w:r>
        <w:rPr>
          <w:color w:val="000000"/>
          <w:highlight w:val="none"/>
        </w:rPr>
        <w:t>1、变压器容量选择原则：</w:t>
      </w:r>
    </w:p>
    <w:p w14:paraId="4E3DE096">
      <w:pPr>
        <w:rPr>
          <w:rFonts w:ascii="微软雅黑" w:hAnsi="微软雅黑" w:eastAsia="微软雅黑"/>
          <w:color w:val="000000"/>
          <w:szCs w:val="21"/>
          <w:highlight w:val="none"/>
        </w:rPr>
      </w:pPr>
      <w:r>
        <w:rPr>
          <w:color w:val="000000"/>
          <w:highlight w:val="none"/>
        </w:rPr>
        <w:t>（1）公用变压器容量选择：原则上按照当地供电部门常规做法</w:t>
      </w:r>
    </w:p>
    <w:p w14:paraId="476D4D70">
      <w:pPr>
        <w:rPr>
          <w:rFonts w:ascii="微软雅黑" w:hAnsi="微软雅黑" w:eastAsia="微软雅黑"/>
          <w:color w:val="000000"/>
          <w:szCs w:val="21"/>
          <w:highlight w:val="none"/>
        </w:rPr>
      </w:pPr>
      <w:r>
        <w:rPr>
          <w:color w:val="000000"/>
          <w:highlight w:val="none"/>
        </w:rPr>
        <w:t>2、应选用干式配电变压器。</w:t>
      </w:r>
    </w:p>
    <w:p w14:paraId="640BB794">
      <w:pPr>
        <w:pStyle w:val="5"/>
        <w:rPr>
          <w:color w:val="000000"/>
          <w:highlight w:val="none"/>
        </w:rPr>
      </w:pPr>
      <w:r>
        <w:rPr>
          <w:color w:val="000000"/>
          <w:highlight w:val="none"/>
        </w:rPr>
        <w:t>电能计量</w:t>
      </w:r>
    </w:p>
    <w:p w14:paraId="13E3148B">
      <w:pPr>
        <w:rPr>
          <w:rFonts w:ascii="微软雅黑" w:hAnsi="微软雅黑" w:eastAsia="微软雅黑"/>
          <w:color w:val="000000"/>
          <w:szCs w:val="21"/>
          <w:highlight w:val="none"/>
        </w:rPr>
      </w:pPr>
      <w:r>
        <w:rPr>
          <w:color w:val="000000"/>
          <w:highlight w:val="none"/>
        </w:rPr>
        <w:t>1、住宅用电采用低压计量，实行一户一表，并安装集中抄表装置。</w:t>
      </w:r>
    </w:p>
    <w:p w14:paraId="72F317D5">
      <w:pPr>
        <w:rPr>
          <w:rFonts w:ascii="微软雅黑" w:hAnsi="微软雅黑" w:eastAsia="微软雅黑"/>
          <w:color w:val="000000"/>
          <w:szCs w:val="21"/>
          <w:highlight w:val="none"/>
        </w:rPr>
      </w:pPr>
      <w:r>
        <w:rPr>
          <w:color w:val="000000"/>
          <w:highlight w:val="none"/>
        </w:rPr>
        <w:t>2、电梯、生活水泵、公共照明（地下室照明除外）应各自独立设置电能计量装置。</w:t>
      </w:r>
    </w:p>
    <w:p w14:paraId="201FB869">
      <w:pPr>
        <w:pStyle w:val="5"/>
        <w:rPr>
          <w:rFonts w:ascii="微软雅黑" w:hAnsi="微软雅黑" w:eastAsia="微软雅黑"/>
          <w:color w:val="000000"/>
          <w:szCs w:val="21"/>
          <w:highlight w:val="none"/>
        </w:rPr>
      </w:pPr>
      <w:r>
        <w:rPr>
          <w:color w:val="000000"/>
          <w:highlight w:val="none"/>
        </w:rPr>
        <w:t>变配电所址选择</w:t>
      </w:r>
    </w:p>
    <w:p w14:paraId="649AA0E4">
      <w:pPr>
        <w:rPr>
          <w:rFonts w:ascii="微软雅黑" w:hAnsi="微软雅黑" w:eastAsia="微软雅黑"/>
          <w:color w:val="000000"/>
          <w:szCs w:val="21"/>
          <w:highlight w:val="none"/>
        </w:rPr>
      </w:pPr>
      <w:r>
        <w:rPr>
          <w:color w:val="000000"/>
          <w:highlight w:val="none"/>
        </w:rPr>
        <w:t>1、设计方应与当地供电部门协调永久电房设置要求。</w:t>
      </w:r>
    </w:p>
    <w:p w14:paraId="3DCD45FC">
      <w:pPr>
        <w:rPr>
          <w:rFonts w:ascii="微软雅黑" w:hAnsi="微软雅黑" w:eastAsia="微软雅黑"/>
          <w:color w:val="000000"/>
          <w:szCs w:val="21"/>
          <w:highlight w:val="none"/>
        </w:rPr>
      </w:pPr>
      <w:r>
        <w:rPr>
          <w:color w:val="000000"/>
          <w:highlight w:val="none"/>
        </w:rPr>
        <w:t>2、市政10kV开关房、公用综合房、公用变压房净空尺寸应满足供电部门以及实际使用要求；公用低压配电房、专用变压器房、专用低压配电房的尺寸根据变配电系统需要确定，</w:t>
      </w:r>
    </w:p>
    <w:p w14:paraId="7E78DC23">
      <w:pPr>
        <w:pStyle w:val="5"/>
        <w:rPr>
          <w:rFonts w:ascii="微软雅黑" w:hAnsi="微软雅黑" w:eastAsia="微软雅黑"/>
          <w:color w:val="000000"/>
          <w:szCs w:val="21"/>
          <w:highlight w:val="none"/>
        </w:rPr>
      </w:pPr>
      <w:r>
        <w:rPr>
          <w:color w:val="000000"/>
          <w:highlight w:val="none"/>
        </w:rPr>
        <w:t>住户配电系统</w:t>
      </w:r>
    </w:p>
    <w:p w14:paraId="3235A305">
      <w:pPr>
        <w:rPr>
          <w:rFonts w:ascii="微软雅黑" w:hAnsi="微软雅黑" w:eastAsia="微软雅黑"/>
          <w:color w:val="000000"/>
          <w:szCs w:val="21"/>
          <w:highlight w:val="none"/>
        </w:rPr>
      </w:pPr>
      <w:r>
        <w:rPr>
          <w:color w:val="000000"/>
          <w:highlight w:val="none"/>
        </w:rPr>
        <w:t>1、住户配电箱进线开关应能同时切断相线和中性线，不带剩余电流动作保护功能的出线开关采用单极断路器。</w:t>
      </w:r>
    </w:p>
    <w:p w14:paraId="3CD78682">
      <w:pPr>
        <w:rPr>
          <w:rFonts w:ascii="微软雅黑" w:hAnsi="微软雅黑" w:eastAsia="微软雅黑"/>
          <w:color w:val="000000"/>
          <w:szCs w:val="21"/>
          <w:highlight w:val="none"/>
        </w:rPr>
      </w:pPr>
      <w:r>
        <w:rPr>
          <w:color w:val="000000"/>
          <w:highlight w:val="none"/>
        </w:rPr>
        <w:t>2、套内空调、普通插座和照明应分回路配电，卫生间、厨房插座应设置独立回路。</w:t>
      </w:r>
    </w:p>
    <w:p w14:paraId="2A2A4DB0">
      <w:pPr>
        <w:rPr>
          <w:rFonts w:ascii="微软雅黑" w:hAnsi="微软雅黑" w:eastAsia="微软雅黑"/>
          <w:color w:val="000000"/>
          <w:szCs w:val="21"/>
          <w:highlight w:val="none"/>
        </w:rPr>
      </w:pPr>
      <w:r>
        <w:rPr>
          <w:color w:val="000000"/>
          <w:highlight w:val="none"/>
        </w:rPr>
        <w:t>3、柜式空调电源插座回路应装设剩余电流动作保护器。</w:t>
      </w:r>
    </w:p>
    <w:p w14:paraId="34D4F18C">
      <w:pPr>
        <w:rPr>
          <w:rFonts w:ascii="微软雅黑" w:hAnsi="微软雅黑" w:eastAsia="微软雅黑"/>
          <w:color w:val="000000"/>
          <w:szCs w:val="21"/>
          <w:highlight w:val="none"/>
        </w:rPr>
      </w:pPr>
      <w:r>
        <w:rPr>
          <w:color w:val="000000"/>
          <w:highlight w:val="none"/>
        </w:rPr>
        <w:t>4、普通插座（包括卫生间排气扇插座）应有剩余电流动作保护。</w:t>
      </w:r>
    </w:p>
    <w:p w14:paraId="6507430C">
      <w:pPr>
        <w:rPr>
          <w:rFonts w:ascii="微软雅黑" w:hAnsi="微软雅黑" w:eastAsia="微软雅黑"/>
          <w:color w:val="000000"/>
          <w:szCs w:val="21"/>
          <w:highlight w:val="none"/>
        </w:rPr>
      </w:pPr>
      <w:r>
        <w:rPr>
          <w:color w:val="000000"/>
          <w:highlight w:val="none"/>
        </w:rPr>
        <w:t>5、应预留家居配线箱（弱电箱）电源插座。</w:t>
      </w:r>
    </w:p>
    <w:p w14:paraId="2421CBB3">
      <w:pPr>
        <w:pStyle w:val="5"/>
        <w:rPr>
          <w:rFonts w:ascii="微软雅黑" w:hAnsi="微软雅黑" w:eastAsia="微软雅黑"/>
          <w:color w:val="000000"/>
          <w:szCs w:val="21"/>
          <w:highlight w:val="none"/>
        </w:rPr>
      </w:pPr>
      <w:r>
        <w:rPr>
          <w:color w:val="000000"/>
          <w:highlight w:val="none"/>
        </w:rPr>
        <w:t>线路敷设要求</w:t>
      </w:r>
    </w:p>
    <w:p w14:paraId="5C3E8FFD">
      <w:pPr>
        <w:rPr>
          <w:rFonts w:ascii="微软雅黑" w:hAnsi="微软雅黑" w:eastAsia="微软雅黑"/>
          <w:color w:val="000000"/>
          <w:szCs w:val="21"/>
          <w:highlight w:val="none"/>
        </w:rPr>
      </w:pPr>
      <w:r>
        <w:rPr>
          <w:color w:val="000000"/>
          <w:highlight w:val="none"/>
        </w:rPr>
        <w:t>1、住宅楼栋内应设强、弱电竖井，竖向电气干线应在管井内敷设。</w:t>
      </w:r>
    </w:p>
    <w:p w14:paraId="2A0A8267">
      <w:pPr>
        <w:rPr>
          <w:rFonts w:ascii="微软雅黑" w:hAnsi="微软雅黑" w:eastAsia="微软雅黑"/>
          <w:color w:val="000000"/>
          <w:szCs w:val="21"/>
          <w:highlight w:val="none"/>
        </w:rPr>
      </w:pPr>
      <w:r>
        <w:rPr>
          <w:color w:val="000000"/>
          <w:highlight w:val="none"/>
        </w:rPr>
        <w:t>2、住宅标准层电气线路原则上采用穿管暗敷方式，特殊情况可根据现场实际改用其它敷设方式。</w:t>
      </w:r>
    </w:p>
    <w:p w14:paraId="1CF3CCE6">
      <w:pPr>
        <w:pStyle w:val="5"/>
        <w:rPr>
          <w:rFonts w:ascii="微软雅黑" w:hAnsi="微软雅黑" w:eastAsia="微软雅黑"/>
          <w:color w:val="000000"/>
          <w:szCs w:val="21"/>
          <w:highlight w:val="none"/>
        </w:rPr>
      </w:pPr>
      <w:r>
        <w:rPr>
          <w:color w:val="000000"/>
          <w:highlight w:val="none"/>
        </w:rPr>
        <w:t>住宅套内电器设置要求及安装</w:t>
      </w:r>
    </w:p>
    <w:p w14:paraId="4B27D6AB">
      <w:pPr>
        <w:rPr>
          <w:rFonts w:ascii="微软雅黑" w:hAnsi="微软雅黑" w:eastAsia="微软雅黑"/>
          <w:color w:val="000000"/>
          <w:szCs w:val="21"/>
          <w:highlight w:val="none"/>
        </w:rPr>
      </w:pPr>
      <w:r>
        <w:rPr>
          <w:color w:val="000000"/>
          <w:highlight w:val="none"/>
        </w:rPr>
        <w:t>1、套内电器布置应遵循合理设置、方便使用、经济适用的原则。</w:t>
      </w:r>
    </w:p>
    <w:p w14:paraId="0A8C3C6C">
      <w:pPr>
        <w:rPr>
          <w:rFonts w:ascii="微软雅黑" w:hAnsi="微软雅黑" w:eastAsia="微软雅黑"/>
          <w:color w:val="000000"/>
          <w:szCs w:val="21"/>
          <w:highlight w:val="none"/>
        </w:rPr>
      </w:pPr>
      <w:r>
        <w:rPr>
          <w:color w:val="000000"/>
          <w:highlight w:val="none"/>
        </w:rPr>
        <w:t>2、每套住宅应设住户配电箱。住户配电箱安装位置在进户门后墙面上，如该位置为混凝土柱或剪力墙，可移至附近墙面上。</w:t>
      </w:r>
    </w:p>
    <w:p w14:paraId="4EADE3CC">
      <w:pPr>
        <w:pStyle w:val="5"/>
        <w:rPr>
          <w:rFonts w:ascii="微软雅黑" w:hAnsi="微软雅黑" w:eastAsia="微软雅黑"/>
          <w:color w:val="000000"/>
          <w:szCs w:val="21"/>
          <w:highlight w:val="none"/>
        </w:rPr>
      </w:pPr>
      <w:r>
        <w:rPr>
          <w:color w:val="000000"/>
          <w:highlight w:val="none"/>
        </w:rPr>
        <w:t>电气照明</w:t>
      </w:r>
    </w:p>
    <w:p w14:paraId="1E128B99">
      <w:pPr>
        <w:rPr>
          <w:rFonts w:ascii="微软雅黑" w:hAnsi="微软雅黑" w:eastAsia="微软雅黑"/>
          <w:color w:val="000000"/>
          <w:szCs w:val="21"/>
          <w:highlight w:val="none"/>
        </w:rPr>
      </w:pPr>
      <w:r>
        <w:rPr>
          <w:color w:val="000000"/>
          <w:highlight w:val="none"/>
        </w:rPr>
        <w:t>1、住宅标准层走道及楼梯间照明应采用高效节能的照明灯具和光源，并采用节能自熄开关控制。</w:t>
      </w:r>
    </w:p>
    <w:p w14:paraId="49E42744">
      <w:pPr>
        <w:rPr>
          <w:rFonts w:ascii="微软雅黑" w:hAnsi="微软雅黑" w:eastAsia="微软雅黑"/>
          <w:color w:val="000000"/>
          <w:szCs w:val="21"/>
          <w:highlight w:val="none"/>
        </w:rPr>
      </w:pPr>
      <w:r>
        <w:rPr>
          <w:color w:val="000000"/>
          <w:highlight w:val="none"/>
        </w:rPr>
        <w:t>2、当应急照明采用集中控制集中电源型，在应急情况下，设有应急照明应自动点亮；无火灾自动报警系统的应急照明可集中点亮。</w:t>
      </w:r>
    </w:p>
    <w:p w14:paraId="49403401">
      <w:pPr>
        <w:rPr>
          <w:rFonts w:ascii="微软雅黑" w:hAnsi="微软雅黑" w:eastAsia="微软雅黑"/>
          <w:color w:val="000000"/>
          <w:szCs w:val="21"/>
          <w:highlight w:val="none"/>
        </w:rPr>
      </w:pPr>
      <w:r>
        <w:rPr>
          <w:color w:val="000000"/>
          <w:highlight w:val="none"/>
        </w:rPr>
        <w:t>3、高层住宅应按照当地空管局规定设置航空障碍标志灯。</w:t>
      </w:r>
    </w:p>
    <w:p w14:paraId="3C81AA00">
      <w:pPr>
        <w:rPr>
          <w:rFonts w:ascii="微软雅黑" w:hAnsi="微软雅黑" w:eastAsia="微软雅黑"/>
          <w:color w:val="000000"/>
          <w:szCs w:val="21"/>
          <w:highlight w:val="none"/>
        </w:rPr>
      </w:pPr>
      <w:r>
        <w:rPr>
          <w:color w:val="000000"/>
          <w:highlight w:val="none"/>
        </w:rPr>
        <w:t>4、楼层设备间和强、弱电竖井应设照明和检修插座。</w:t>
      </w:r>
    </w:p>
    <w:p w14:paraId="6016B7F5">
      <w:pPr>
        <w:pStyle w:val="5"/>
        <w:rPr>
          <w:rFonts w:ascii="微软雅黑" w:hAnsi="微软雅黑" w:eastAsia="微软雅黑"/>
          <w:color w:val="000000"/>
          <w:szCs w:val="21"/>
          <w:highlight w:val="none"/>
        </w:rPr>
      </w:pPr>
      <w:r>
        <w:rPr>
          <w:color w:val="000000"/>
          <w:highlight w:val="none"/>
        </w:rPr>
        <w:t>火灾自动报警系统</w:t>
      </w:r>
    </w:p>
    <w:p w14:paraId="1BD10179">
      <w:pPr>
        <w:rPr>
          <w:rFonts w:ascii="微软雅黑" w:hAnsi="微软雅黑" w:eastAsia="微软雅黑"/>
          <w:color w:val="000000"/>
          <w:szCs w:val="21"/>
          <w:highlight w:val="none"/>
        </w:rPr>
      </w:pPr>
      <w:r>
        <w:rPr>
          <w:color w:val="000000"/>
          <w:highlight w:val="none"/>
        </w:rPr>
        <w:t>1、应作火灾自动报警系统的总体设计，并合理设置消防自动报警中心及分中心位置。</w:t>
      </w:r>
    </w:p>
    <w:p w14:paraId="7C737368">
      <w:pPr>
        <w:rPr>
          <w:rFonts w:ascii="微软雅黑" w:hAnsi="微软雅黑" w:eastAsia="微软雅黑"/>
          <w:color w:val="000000"/>
          <w:szCs w:val="21"/>
          <w:highlight w:val="none"/>
        </w:rPr>
      </w:pPr>
      <w:r>
        <w:rPr>
          <w:color w:val="000000"/>
          <w:highlight w:val="none"/>
        </w:rPr>
        <w:t>2、按《火灾自动报警设计规范》要求设置火灾探测器，消火栓按钮、消防广播及声光报警器等设施；并对消防水泵、消防风机、防火卷帘等消防设备进行相关联动控制设计。</w:t>
      </w:r>
    </w:p>
    <w:p w14:paraId="7321F8FB">
      <w:pPr>
        <w:pStyle w:val="4"/>
        <w:rPr>
          <w:color w:val="000000"/>
          <w:highlight w:val="none"/>
        </w:rPr>
      </w:pPr>
      <w:r>
        <w:rPr>
          <w:color w:val="000000"/>
          <w:highlight w:val="none"/>
        </w:rPr>
        <w:t>通风空调设计要求</w:t>
      </w:r>
    </w:p>
    <w:p w14:paraId="61628CDD">
      <w:pPr>
        <w:rPr>
          <w:rFonts w:ascii="微软雅黑" w:hAnsi="微软雅黑" w:eastAsia="微软雅黑"/>
          <w:color w:val="000000"/>
          <w:szCs w:val="21"/>
          <w:highlight w:val="none"/>
        </w:rPr>
      </w:pPr>
      <w:r>
        <w:rPr>
          <w:color w:val="000000"/>
          <w:highlight w:val="none"/>
        </w:rPr>
        <w:t>1、住宅分体式空调系统</w:t>
      </w:r>
    </w:p>
    <w:p w14:paraId="14044F87">
      <w:pPr>
        <w:rPr>
          <w:rFonts w:ascii="微软雅黑" w:hAnsi="微软雅黑" w:eastAsia="微软雅黑"/>
          <w:color w:val="000000"/>
          <w:szCs w:val="21"/>
          <w:highlight w:val="none"/>
        </w:rPr>
      </w:pPr>
      <w:r>
        <w:rPr>
          <w:color w:val="000000"/>
          <w:highlight w:val="none"/>
        </w:rPr>
        <w:t>住宅建筑原则上应按每单元户内每一室设置（预留）一套分体式空调机。</w:t>
      </w:r>
    </w:p>
    <w:p w14:paraId="65282253">
      <w:pPr>
        <w:rPr>
          <w:rFonts w:ascii="微软雅黑" w:hAnsi="微软雅黑" w:eastAsia="微软雅黑"/>
          <w:color w:val="000000"/>
          <w:szCs w:val="21"/>
          <w:highlight w:val="none"/>
        </w:rPr>
      </w:pPr>
      <w:r>
        <w:rPr>
          <w:color w:val="000000"/>
          <w:highlight w:val="none"/>
        </w:rPr>
        <w:t>2、</w:t>
      </w:r>
      <w:r>
        <w:rPr>
          <w:rFonts w:hint="eastAsia"/>
          <w:color w:val="000000"/>
          <w:highlight w:val="none"/>
        </w:rPr>
        <w:t>商业配套及</w:t>
      </w:r>
      <w:r>
        <w:rPr>
          <w:color w:val="000000"/>
          <w:highlight w:val="none"/>
        </w:rPr>
        <w:t>公建建筑的空调系统：</w:t>
      </w:r>
    </w:p>
    <w:p w14:paraId="153F0B30">
      <w:pPr>
        <w:rPr>
          <w:rFonts w:ascii="微软雅黑" w:hAnsi="微软雅黑" w:eastAsia="微软雅黑"/>
          <w:color w:val="000000"/>
          <w:szCs w:val="21"/>
          <w:highlight w:val="none"/>
        </w:rPr>
      </w:pPr>
      <w:r>
        <w:rPr>
          <w:color w:val="000000"/>
          <w:highlight w:val="none"/>
        </w:rPr>
        <w:t>（1）对于分步设计的项目，应预留</w:t>
      </w:r>
      <w:r>
        <w:rPr>
          <w:rFonts w:hint="eastAsia"/>
          <w:color w:val="000000"/>
          <w:highlight w:val="none"/>
        </w:rPr>
        <w:t>通风</w:t>
      </w:r>
      <w:r>
        <w:rPr>
          <w:color w:val="000000"/>
          <w:highlight w:val="none"/>
        </w:rPr>
        <w:t>空调设备的安装位置和条件，预留足够的</w:t>
      </w:r>
      <w:r>
        <w:rPr>
          <w:rFonts w:hint="eastAsia"/>
          <w:color w:val="000000"/>
          <w:highlight w:val="none"/>
        </w:rPr>
        <w:t>通风</w:t>
      </w:r>
      <w:r>
        <w:rPr>
          <w:color w:val="000000"/>
          <w:highlight w:val="none"/>
        </w:rPr>
        <w:t>空调用电负荷。</w:t>
      </w:r>
    </w:p>
    <w:p w14:paraId="79B0C90D">
      <w:pPr>
        <w:rPr>
          <w:rFonts w:ascii="微软雅黑" w:hAnsi="微软雅黑" w:eastAsia="微软雅黑"/>
          <w:color w:val="000000"/>
          <w:szCs w:val="21"/>
          <w:highlight w:val="none"/>
        </w:rPr>
      </w:pPr>
      <w:r>
        <w:rPr>
          <w:color w:val="000000"/>
          <w:highlight w:val="none"/>
        </w:rPr>
        <w:t>（2）对于商业配套用房和教育校舍用房等，应预留</w:t>
      </w:r>
      <w:r>
        <w:rPr>
          <w:rFonts w:hint="eastAsia"/>
          <w:color w:val="000000"/>
          <w:highlight w:val="none"/>
        </w:rPr>
        <w:t>分体</w:t>
      </w:r>
      <w:r>
        <w:rPr>
          <w:color w:val="000000"/>
          <w:highlight w:val="none"/>
        </w:rPr>
        <w:t>空调系统的安装位置和条件，预留足够的空调用电负荷。</w:t>
      </w:r>
    </w:p>
    <w:p w14:paraId="20CED226">
      <w:pPr>
        <w:rPr>
          <w:color w:val="000000"/>
          <w:highlight w:val="none"/>
        </w:rPr>
      </w:pPr>
      <w:r>
        <w:rPr>
          <w:color w:val="000000"/>
          <w:highlight w:val="none"/>
        </w:rPr>
        <w:t>（3）商业配套用房应具备良好的自然通风条件，必要时提供 CFD气流分析验证报告。</w:t>
      </w:r>
    </w:p>
    <w:p w14:paraId="1F409D02">
      <w:pPr>
        <w:rPr>
          <w:rFonts w:ascii="微软雅黑" w:hAnsi="微软雅黑" w:eastAsia="微软雅黑"/>
          <w:color w:val="000000"/>
          <w:szCs w:val="21"/>
          <w:highlight w:val="none"/>
        </w:rPr>
      </w:pPr>
      <w:r>
        <w:rPr>
          <w:color w:val="000000"/>
          <w:highlight w:val="none"/>
        </w:rPr>
        <w:t>3、公建空调系统： 应进行技术经济性分析，选择合理空调系统。</w:t>
      </w:r>
    </w:p>
    <w:p w14:paraId="698686A8">
      <w:pPr>
        <w:rPr>
          <w:rFonts w:ascii="微软雅黑" w:hAnsi="微软雅黑" w:eastAsia="微软雅黑"/>
          <w:color w:val="000000"/>
          <w:szCs w:val="21"/>
          <w:highlight w:val="none"/>
        </w:rPr>
      </w:pPr>
      <w:r>
        <w:rPr>
          <w:color w:val="000000"/>
          <w:highlight w:val="none"/>
        </w:rPr>
        <w:t>3、通风系统</w:t>
      </w:r>
    </w:p>
    <w:p w14:paraId="3961917E">
      <w:pPr>
        <w:rPr>
          <w:rFonts w:ascii="微软雅黑" w:hAnsi="微软雅黑" w:eastAsia="微软雅黑"/>
          <w:color w:val="000000"/>
          <w:szCs w:val="21"/>
          <w:highlight w:val="none"/>
        </w:rPr>
      </w:pPr>
      <w:r>
        <w:rPr>
          <w:color w:val="000000"/>
          <w:highlight w:val="none"/>
        </w:rPr>
        <w:t>地下车库应设置机械通风系统，并宜采用定时启停（台数）控制或根据空气中一氧化碳的浓度自动运行控制，通风系统宜和排烟系统合用一套管道设备。</w:t>
      </w:r>
    </w:p>
    <w:p w14:paraId="1BDB5835">
      <w:pPr>
        <w:rPr>
          <w:rFonts w:ascii="微软雅黑" w:hAnsi="微软雅黑" w:eastAsia="微软雅黑"/>
          <w:color w:val="000000"/>
          <w:szCs w:val="21"/>
          <w:highlight w:val="none"/>
        </w:rPr>
      </w:pPr>
      <w:r>
        <w:rPr>
          <w:color w:val="000000"/>
          <w:highlight w:val="none"/>
        </w:rPr>
        <w:t>4、人防地下室通风系统</w:t>
      </w:r>
    </w:p>
    <w:p w14:paraId="70513541">
      <w:pPr>
        <w:rPr>
          <w:rFonts w:ascii="微软雅黑" w:hAnsi="微软雅黑" w:eastAsia="微软雅黑"/>
          <w:color w:val="000000"/>
          <w:szCs w:val="21"/>
          <w:highlight w:val="none"/>
        </w:rPr>
      </w:pPr>
      <w:r>
        <w:rPr>
          <w:color w:val="000000"/>
          <w:highlight w:val="none"/>
        </w:rPr>
        <w:t>人防地下室的战时通风系统设计应符合相关的国家人防工程设计规范，并应考虑平战结合设计。</w:t>
      </w:r>
    </w:p>
    <w:p w14:paraId="3A7198D3">
      <w:pPr>
        <w:rPr>
          <w:rFonts w:ascii="微软雅黑" w:hAnsi="微软雅黑" w:eastAsia="微软雅黑"/>
          <w:color w:val="000000"/>
          <w:szCs w:val="21"/>
          <w:highlight w:val="none"/>
        </w:rPr>
      </w:pPr>
      <w:r>
        <w:rPr>
          <w:color w:val="000000"/>
          <w:highlight w:val="none"/>
        </w:rPr>
        <w:t>5、防烟、排烟与通风空调系统防火措施满足国家相关规范要求。</w:t>
      </w:r>
    </w:p>
    <w:p w14:paraId="708F36F5">
      <w:pPr>
        <w:rPr>
          <w:rFonts w:ascii="微软雅黑" w:hAnsi="微软雅黑" w:eastAsia="微软雅黑"/>
          <w:color w:val="000000"/>
          <w:szCs w:val="21"/>
          <w:highlight w:val="none"/>
        </w:rPr>
      </w:pPr>
      <w:r>
        <w:rPr>
          <w:color w:val="000000"/>
          <w:highlight w:val="none"/>
        </w:rPr>
        <w:t>6、空调通风设备应选用高效节能、低噪声、质量可靠、技术先进、维护、保养方便、使用寿命长和综合性价比优的产品。</w:t>
      </w:r>
    </w:p>
    <w:p w14:paraId="4B8722D3">
      <w:pPr>
        <w:pStyle w:val="4"/>
        <w:rPr>
          <w:color w:val="000000"/>
          <w:highlight w:val="none"/>
        </w:rPr>
      </w:pPr>
      <w:r>
        <w:rPr>
          <w:color w:val="000000"/>
          <w:highlight w:val="none"/>
        </w:rPr>
        <w:t>智能化工程设计要求</w:t>
      </w:r>
    </w:p>
    <w:p w14:paraId="7DA8082A">
      <w:pPr>
        <w:rPr>
          <w:color w:val="000000"/>
          <w:highlight w:val="none"/>
        </w:rPr>
      </w:pPr>
      <w:r>
        <w:rPr>
          <w:color w:val="000000"/>
          <w:highlight w:val="none"/>
        </w:rPr>
        <w:t>1、应遵循安全可靠、经济合理、安装维护方便的原则。</w:t>
      </w:r>
    </w:p>
    <w:p w14:paraId="4F4F2C81">
      <w:pPr>
        <w:rPr>
          <w:color w:val="000000"/>
          <w:highlight w:val="none"/>
        </w:rPr>
      </w:pPr>
      <w:r>
        <w:rPr>
          <w:color w:val="000000"/>
          <w:highlight w:val="none"/>
        </w:rPr>
        <w:t>2、设计单位按照《广东省安全技术防范管理条例》、《广东省安全技术防范管理条例实施办法》、《广东省公共安全视频图像信息系统管理办法》等规定进行安防设计和设备设施选用，若需按要求另行委托对应资质的单位进行设计的，必须报承建单位同意，且费用不另行计算。</w:t>
      </w:r>
    </w:p>
    <w:p w14:paraId="29C8460D">
      <w:pPr>
        <w:rPr>
          <w:rFonts w:ascii="微软雅黑" w:hAnsi="微软雅黑" w:eastAsia="微软雅黑"/>
          <w:color w:val="000000"/>
          <w:szCs w:val="21"/>
          <w:highlight w:val="none"/>
        </w:rPr>
      </w:pPr>
      <w:r>
        <w:rPr>
          <w:color w:val="000000"/>
          <w:highlight w:val="none"/>
        </w:rPr>
        <w:t>2、设计内容包括：有线电视系统、信息网络系统、综合布线系统、视频安防监控系统、访客对讲系统、停车场管理系统、智能卡应用系统及电梯五方对讲系统。</w:t>
      </w:r>
    </w:p>
    <w:p w14:paraId="4BF2673E">
      <w:pPr>
        <w:rPr>
          <w:rFonts w:ascii="微软雅黑" w:hAnsi="微软雅黑" w:eastAsia="微软雅黑"/>
          <w:color w:val="000000"/>
          <w:szCs w:val="21"/>
          <w:highlight w:val="none"/>
        </w:rPr>
      </w:pPr>
      <w:r>
        <w:rPr>
          <w:color w:val="000000"/>
          <w:highlight w:val="none"/>
        </w:rPr>
        <w:t>3、智能化系统管理中心（有线电视系统除外）宜与小区消防控制中心合并或紧邻设置。</w:t>
      </w:r>
    </w:p>
    <w:p w14:paraId="7E28402F">
      <w:pPr>
        <w:rPr>
          <w:rFonts w:ascii="微软雅黑" w:hAnsi="微软雅黑" w:eastAsia="微软雅黑"/>
          <w:color w:val="000000"/>
          <w:szCs w:val="21"/>
          <w:highlight w:val="none"/>
        </w:rPr>
      </w:pPr>
      <w:r>
        <w:rPr>
          <w:color w:val="000000"/>
          <w:highlight w:val="none"/>
        </w:rPr>
        <w:t>4、智能化系统的设计应充分考虑各专业的协调配合。</w:t>
      </w:r>
    </w:p>
    <w:p w14:paraId="487BD7B2">
      <w:pPr>
        <w:rPr>
          <w:rFonts w:ascii="微软雅黑" w:hAnsi="微软雅黑" w:eastAsia="微软雅黑"/>
          <w:color w:val="000000"/>
          <w:szCs w:val="21"/>
          <w:highlight w:val="none"/>
        </w:rPr>
      </w:pPr>
      <w:r>
        <w:rPr>
          <w:color w:val="000000"/>
          <w:highlight w:val="none"/>
        </w:rPr>
        <w:t>5、各功能区域、各智能化系统应作为一个整体进行统筹优化设计，既满足各功能区域智能化系统的有机联系，又满足各系统独立管理的要求。</w:t>
      </w:r>
    </w:p>
    <w:p w14:paraId="304555E5">
      <w:pPr>
        <w:rPr>
          <w:rFonts w:ascii="微软雅黑" w:hAnsi="微软雅黑" w:eastAsia="微软雅黑"/>
          <w:color w:val="000000"/>
          <w:szCs w:val="21"/>
          <w:highlight w:val="none"/>
        </w:rPr>
      </w:pPr>
      <w:r>
        <w:rPr>
          <w:color w:val="000000"/>
          <w:highlight w:val="none"/>
        </w:rPr>
        <w:t>6、系统设计与设备选型应采用先进成熟、稳定可靠的主流技术和主流产品，并已在国内工程得到成熟应用的技术和设备。</w:t>
      </w:r>
    </w:p>
    <w:p w14:paraId="7F7AEF00">
      <w:pPr>
        <w:rPr>
          <w:rFonts w:ascii="微软雅黑" w:hAnsi="微软雅黑" w:eastAsia="微软雅黑"/>
          <w:color w:val="000000"/>
          <w:szCs w:val="21"/>
          <w:highlight w:val="none"/>
        </w:rPr>
      </w:pPr>
      <w:r>
        <w:rPr>
          <w:color w:val="000000"/>
          <w:highlight w:val="none"/>
        </w:rPr>
        <w:t>7、所有系统设备应选用标准化产品，设备选型应与技术发展的趋势相适应。遵循开放性原则，软件、硬件、通信接口、网络操作系统和数据库管理系统等应符合国际标准，使系统具备良好的兼容性和扩展性。</w:t>
      </w:r>
    </w:p>
    <w:p w14:paraId="1D936BAF">
      <w:pPr>
        <w:rPr>
          <w:rFonts w:ascii="微软雅黑" w:hAnsi="微软雅黑" w:eastAsia="微软雅黑"/>
          <w:color w:val="000000"/>
          <w:szCs w:val="21"/>
          <w:highlight w:val="none"/>
        </w:rPr>
      </w:pPr>
      <w:r>
        <w:rPr>
          <w:color w:val="000000"/>
          <w:highlight w:val="none"/>
        </w:rPr>
        <w:t>8、系统软件应采用中文操作界面。</w:t>
      </w:r>
    </w:p>
    <w:p w14:paraId="2228974B">
      <w:pPr>
        <w:rPr>
          <w:rFonts w:ascii="微软雅黑" w:hAnsi="微软雅黑" w:eastAsia="微软雅黑"/>
          <w:color w:val="000000"/>
          <w:szCs w:val="21"/>
          <w:highlight w:val="none"/>
        </w:rPr>
      </w:pPr>
      <w:r>
        <w:rPr>
          <w:color w:val="000000"/>
          <w:highlight w:val="none"/>
        </w:rPr>
        <w:t>9、各建筑物应预埋一定数量的弱电进户管道与室外的管网相连。</w:t>
      </w:r>
    </w:p>
    <w:p w14:paraId="0DEE488C">
      <w:pPr>
        <w:rPr>
          <w:color w:val="000000"/>
          <w:highlight w:val="none"/>
        </w:rPr>
      </w:pPr>
      <w:r>
        <w:rPr>
          <w:color w:val="000000"/>
          <w:highlight w:val="none"/>
        </w:rPr>
        <w:t>10、住宅套内应设家居配线箱，并满足光纤转换器安装实际需要尺寸大小。家居配线箱应含有电源插座。</w:t>
      </w:r>
    </w:p>
    <w:p w14:paraId="092D6171">
      <w:pPr>
        <w:rPr>
          <w:color w:val="000000"/>
          <w:highlight w:val="none"/>
        </w:rPr>
      </w:pPr>
    </w:p>
    <w:p w14:paraId="21F5640D">
      <w:pPr>
        <w:pStyle w:val="4"/>
        <w:rPr>
          <w:highlight w:val="none"/>
        </w:rPr>
      </w:pPr>
      <w:r>
        <w:rPr>
          <w:highlight w:val="none"/>
        </w:rPr>
        <w:t>燃气工程设计要求</w:t>
      </w:r>
      <w:r>
        <w:rPr>
          <w:rFonts w:hint="eastAsia"/>
          <w:highlight w:val="none"/>
        </w:rPr>
        <w:t>（若有）</w:t>
      </w:r>
    </w:p>
    <w:p w14:paraId="506F9973">
      <w:pPr>
        <w:rPr>
          <w:highlight w:val="none"/>
        </w:rPr>
      </w:pPr>
      <w:r>
        <w:rPr>
          <w:highlight w:val="none"/>
        </w:rPr>
        <w:t>本项目的天然气气源取自市政天然气管网，由市政天然气管道提供。燃气管道与其它管道：道路、构造物等相互间最小距离应符合《城市工程管线综合规划规范》（GB50289-2016）的相关要求。做好与现有天然气管道的安全驳接、切换。</w:t>
      </w:r>
    </w:p>
    <w:p w14:paraId="23AD100F">
      <w:pPr>
        <w:rPr>
          <w:highlight w:val="none"/>
        </w:rPr>
      </w:pPr>
      <w:r>
        <w:rPr>
          <w:highlight w:val="none"/>
        </w:rPr>
        <w:t>住宅燃气：</w:t>
      </w:r>
    </w:p>
    <w:p w14:paraId="16824937">
      <w:pPr>
        <w:rPr>
          <w:rFonts w:ascii="微软雅黑" w:hAnsi="微软雅黑" w:eastAsia="微软雅黑"/>
          <w:szCs w:val="21"/>
          <w:highlight w:val="none"/>
        </w:rPr>
      </w:pPr>
      <w:r>
        <w:rPr>
          <w:highlight w:val="none"/>
        </w:rPr>
        <w:t>1、小区燃气工程设计应按总体建设规划同步进行。</w:t>
      </w:r>
    </w:p>
    <w:p w14:paraId="03C102A0">
      <w:pPr>
        <w:rPr>
          <w:rFonts w:ascii="微软雅黑" w:hAnsi="微软雅黑" w:eastAsia="微软雅黑"/>
          <w:szCs w:val="21"/>
          <w:highlight w:val="none"/>
        </w:rPr>
      </w:pPr>
      <w:r>
        <w:rPr>
          <w:highlight w:val="none"/>
        </w:rPr>
        <w:t>2、每户均应在合适位置安装燃气计量表，燃气计量表应优先选用智能安全型燃气表，实现远程集中抄表要求。</w:t>
      </w:r>
    </w:p>
    <w:p w14:paraId="723E3FF4">
      <w:pPr>
        <w:rPr>
          <w:rFonts w:ascii="微软雅黑" w:hAnsi="微软雅黑" w:eastAsia="微软雅黑"/>
          <w:szCs w:val="21"/>
          <w:highlight w:val="none"/>
        </w:rPr>
      </w:pPr>
      <w:r>
        <w:rPr>
          <w:highlight w:val="none"/>
        </w:rPr>
        <w:t>3、每单元住户分别设置（预留）一台 6升燃气热水器和一台双灶头燃气炉，用气设备应与供应的燃气种类相匹配。</w:t>
      </w:r>
    </w:p>
    <w:p w14:paraId="47267EAE">
      <w:pPr>
        <w:rPr>
          <w:rFonts w:ascii="微软雅黑" w:hAnsi="微软雅黑" w:eastAsia="微软雅黑"/>
          <w:szCs w:val="21"/>
          <w:highlight w:val="none"/>
        </w:rPr>
      </w:pPr>
      <w:r>
        <w:rPr>
          <w:highlight w:val="none"/>
        </w:rPr>
        <w:t>4、燃气热水器宜安装在阳台墙上合适的位置，热水管敷至卫生间淋浴位；热水器须预留排出室外的强排管。</w:t>
      </w:r>
    </w:p>
    <w:p w14:paraId="77F32A2A">
      <w:pPr>
        <w:rPr>
          <w:highlight w:val="none"/>
        </w:rPr>
      </w:pPr>
      <w:r>
        <w:rPr>
          <w:highlight w:val="none"/>
        </w:rPr>
        <w:t>5、双灶头燃气炉不宜安装在厨房靠近窗口容易受室外风吹干扰的位置。</w:t>
      </w:r>
    </w:p>
    <w:p w14:paraId="6F5FC4DE">
      <w:pPr>
        <w:rPr>
          <w:color w:val="000000"/>
          <w:highlight w:val="none"/>
        </w:rPr>
      </w:pPr>
    </w:p>
    <w:p w14:paraId="511DB371">
      <w:pPr>
        <w:pStyle w:val="4"/>
        <w:rPr>
          <w:color w:val="000000"/>
          <w:highlight w:val="none"/>
        </w:rPr>
      </w:pPr>
      <w:r>
        <w:rPr>
          <w:color w:val="000000"/>
          <w:highlight w:val="none"/>
        </w:rPr>
        <w:t>电梯设备设计要求</w:t>
      </w:r>
    </w:p>
    <w:p w14:paraId="3DE05916">
      <w:pPr>
        <w:rPr>
          <w:color w:val="000000"/>
          <w:highlight w:val="none"/>
        </w:rPr>
      </w:pPr>
      <w:r>
        <w:rPr>
          <w:color w:val="000000"/>
          <w:highlight w:val="none"/>
        </w:rPr>
        <w:t>1.本项目要根据工程方案中楼房的层高、层数和建筑面积、功能、人流状况设置电梯。</w:t>
      </w:r>
    </w:p>
    <w:p w14:paraId="5D285232">
      <w:pPr>
        <w:rPr>
          <w:color w:val="000000"/>
          <w:highlight w:val="none"/>
        </w:rPr>
      </w:pPr>
      <w:r>
        <w:rPr>
          <w:color w:val="000000"/>
          <w:highlight w:val="none"/>
        </w:rPr>
        <w:t>2.电梯的型号和厢门材料、结构、上升速度、设置数量，均应在规划设计阶段配合建筑类型和装饰标准考虑。</w:t>
      </w:r>
    </w:p>
    <w:p w14:paraId="60C05028">
      <w:pPr>
        <w:rPr>
          <w:color w:val="000000"/>
          <w:highlight w:val="none"/>
        </w:rPr>
      </w:pPr>
      <w:r>
        <w:rPr>
          <w:rFonts w:ascii="Calibri" w:hAnsi="Calibri" w:eastAsia="Calibri"/>
          <w:color w:val="000000"/>
          <w:highlight w:val="none"/>
        </w:rPr>
        <w:t>3.</w:t>
      </w:r>
      <w:r>
        <w:rPr>
          <w:color w:val="000000"/>
          <w:highlight w:val="none"/>
        </w:rPr>
        <w:t>结构井道预留需满足多数品牌电梯安装要求。</w:t>
      </w:r>
    </w:p>
    <w:p w14:paraId="6E2DDA71">
      <w:pPr>
        <w:pStyle w:val="4"/>
        <w:rPr>
          <w:color w:val="000000"/>
          <w:highlight w:val="none"/>
        </w:rPr>
      </w:pPr>
      <w:r>
        <w:rPr>
          <w:color w:val="000000"/>
          <w:highlight w:val="none"/>
        </w:rPr>
        <w:t>市政设计</w:t>
      </w:r>
    </w:p>
    <w:p w14:paraId="608B2350">
      <w:pPr>
        <w:pStyle w:val="5"/>
        <w:rPr>
          <w:color w:val="000000"/>
          <w:highlight w:val="none"/>
        </w:rPr>
      </w:pPr>
      <w:r>
        <w:rPr>
          <w:color w:val="000000"/>
          <w:highlight w:val="none"/>
        </w:rPr>
        <w:t>总体及道路工程</w:t>
      </w:r>
    </w:p>
    <w:p w14:paraId="11B9B7B4">
      <w:pPr>
        <w:rPr>
          <w:color w:val="000000"/>
          <w:highlight w:val="none"/>
        </w:rPr>
      </w:pPr>
      <w:r>
        <w:rPr>
          <w:color w:val="000000"/>
          <w:highlight w:val="none"/>
        </w:rPr>
        <w:t>根据道路的规划功能定位和现场实际条件，正确使用技术标准，妥善处理技术与经济、局部与整体、当前与长远的关系</w:t>
      </w:r>
      <w:r>
        <w:rPr>
          <w:rFonts w:hint="eastAsia"/>
          <w:color w:val="000000"/>
          <w:highlight w:val="none"/>
        </w:rPr>
        <w:t>，着重考虑好新建区域与周边环境近远期协调问题。</w:t>
      </w:r>
      <w:r>
        <w:rPr>
          <w:color w:val="000000"/>
          <w:highlight w:val="none"/>
        </w:rPr>
        <w:t>在造价增加不多的情况下，尽量选用较高的技术指标。</w:t>
      </w:r>
    </w:p>
    <w:p w14:paraId="73339949">
      <w:pPr>
        <w:rPr>
          <w:color w:val="000000"/>
          <w:highlight w:val="none"/>
        </w:rPr>
      </w:pPr>
      <w:r>
        <w:rPr>
          <w:color w:val="000000"/>
          <w:highlight w:val="none"/>
        </w:rPr>
        <w:t>域内的城市道路按道路在路网中的地位、交通功能以及对沿线的服务功能，划分为城市支路。设计需合理布置道路横断面，</w:t>
      </w:r>
      <w:r>
        <w:rPr>
          <w:rFonts w:hint="eastAsia"/>
          <w:color w:val="000000"/>
          <w:highlight w:val="none"/>
        </w:rPr>
        <w:t>重视非机动车路权，</w:t>
      </w:r>
      <w:r>
        <w:rPr>
          <w:color w:val="000000"/>
          <w:highlight w:val="none"/>
        </w:rPr>
        <w:t>车行道、人行道、绿化设施带等的布置需满足流量及绿化率的要求。</w:t>
      </w:r>
    </w:p>
    <w:p w14:paraId="5F03FC26">
      <w:pPr>
        <w:rPr>
          <w:color w:val="000000"/>
          <w:highlight w:val="none"/>
        </w:rPr>
      </w:pPr>
      <w:r>
        <w:rPr>
          <w:rFonts w:hint="eastAsia"/>
          <w:color w:val="000000"/>
          <w:highlight w:val="none"/>
        </w:rPr>
        <w:t>道路遵循规划控制标高，结合地块及临近河道需求做好平、纵衔接，满足桥下排水并与周边景观环境相协调。</w:t>
      </w:r>
    </w:p>
    <w:p w14:paraId="2A6C534E">
      <w:pPr>
        <w:rPr>
          <w:color w:val="000000"/>
          <w:highlight w:val="none"/>
        </w:rPr>
      </w:pPr>
      <w:r>
        <w:rPr>
          <w:color w:val="000000"/>
          <w:highlight w:val="none"/>
        </w:rPr>
        <w:t>设计包括但不限于路基、路面、人行</w:t>
      </w:r>
      <w:r>
        <w:rPr>
          <w:rFonts w:hint="eastAsia"/>
          <w:color w:val="000000"/>
          <w:highlight w:val="none"/>
        </w:rPr>
        <w:t>及非机动车道</w:t>
      </w:r>
      <w:r>
        <w:rPr>
          <w:color w:val="000000"/>
          <w:highlight w:val="none"/>
        </w:rPr>
        <w:t>道铺装、边坡防护等，且满足城市道路工程相关规范标准。</w:t>
      </w:r>
    </w:p>
    <w:p w14:paraId="56B4FEB7">
      <w:pPr>
        <w:pStyle w:val="5"/>
        <w:rPr>
          <w:color w:val="000000"/>
          <w:highlight w:val="none"/>
        </w:rPr>
      </w:pPr>
      <w:r>
        <w:rPr>
          <w:color w:val="000000"/>
          <w:highlight w:val="none"/>
        </w:rPr>
        <w:t>桥梁工程</w:t>
      </w:r>
      <w:r>
        <w:rPr>
          <w:rFonts w:hint="eastAsia"/>
          <w:color w:val="000000"/>
          <w:highlight w:val="none"/>
        </w:rPr>
        <w:t>（若有）</w:t>
      </w:r>
    </w:p>
    <w:p w14:paraId="58B5C107">
      <w:pPr>
        <w:rPr>
          <w:color w:val="000000"/>
          <w:highlight w:val="none"/>
        </w:rPr>
      </w:pPr>
      <w:r>
        <w:rPr>
          <w:color w:val="000000"/>
          <w:highlight w:val="none"/>
        </w:rPr>
        <w:t>1)桥梁设计洪水频率：百年一遇。桥梁结构的设计基准期为 100年。</w:t>
      </w:r>
    </w:p>
    <w:p w14:paraId="1B935F71">
      <w:pPr>
        <w:rPr>
          <w:rFonts w:ascii="微软雅黑" w:hAnsi="微软雅黑" w:eastAsia="微软雅黑"/>
          <w:color w:val="000000"/>
          <w:szCs w:val="21"/>
          <w:highlight w:val="none"/>
        </w:rPr>
      </w:pPr>
      <w:r>
        <w:rPr>
          <w:rFonts w:hint="eastAsia"/>
          <w:color w:val="000000"/>
          <w:highlight w:val="none"/>
        </w:rPr>
        <w:t>2</w:t>
      </w:r>
      <w:r>
        <w:rPr>
          <w:color w:val="000000"/>
          <w:highlight w:val="none"/>
        </w:rPr>
        <w:t>)桥梁净宽设计应以车流量计算为依据，</w:t>
      </w:r>
      <w:r>
        <w:rPr>
          <w:rFonts w:hint="eastAsia"/>
          <w:color w:val="000000"/>
          <w:highlight w:val="none"/>
        </w:rPr>
        <w:t>匹配近远期路口改造方案，</w:t>
      </w:r>
      <w:r>
        <w:rPr>
          <w:color w:val="000000"/>
          <w:highlight w:val="none"/>
        </w:rPr>
        <w:t>以满足通行要求。</w:t>
      </w:r>
    </w:p>
    <w:p w14:paraId="4B460EF3">
      <w:pPr>
        <w:rPr>
          <w:rFonts w:ascii="微软雅黑" w:hAnsi="微软雅黑" w:eastAsia="微软雅黑"/>
          <w:color w:val="000000"/>
          <w:szCs w:val="21"/>
          <w:highlight w:val="none"/>
        </w:rPr>
      </w:pPr>
      <w:r>
        <w:rPr>
          <w:rFonts w:hint="eastAsia"/>
          <w:color w:val="000000"/>
          <w:highlight w:val="none"/>
        </w:rPr>
        <w:t>3</w:t>
      </w:r>
      <w:r>
        <w:rPr>
          <w:color w:val="000000"/>
          <w:highlight w:val="none"/>
        </w:rPr>
        <w:t>)重视工程桥梁立面、栏杆及花槽的安全、美观、耐久和方便检修维护。</w:t>
      </w:r>
    </w:p>
    <w:p w14:paraId="1B725E4F">
      <w:pPr>
        <w:rPr>
          <w:rFonts w:ascii="微软雅黑" w:hAnsi="微软雅黑" w:eastAsia="微软雅黑"/>
          <w:color w:val="000000"/>
          <w:szCs w:val="21"/>
          <w:highlight w:val="none"/>
        </w:rPr>
      </w:pPr>
      <w:r>
        <w:rPr>
          <w:rFonts w:hint="eastAsia"/>
          <w:color w:val="000000"/>
          <w:highlight w:val="none"/>
        </w:rPr>
        <w:t>4</w:t>
      </w:r>
      <w:r>
        <w:rPr>
          <w:color w:val="000000"/>
          <w:highlight w:val="none"/>
        </w:rPr>
        <w:t>)面铺装应简洁、美观、防滑。</w:t>
      </w:r>
    </w:p>
    <w:p w14:paraId="0EDA4856">
      <w:pPr>
        <w:rPr>
          <w:rFonts w:ascii="微软雅黑" w:hAnsi="微软雅黑" w:eastAsia="微软雅黑"/>
          <w:color w:val="000000"/>
          <w:szCs w:val="21"/>
          <w:highlight w:val="none"/>
        </w:rPr>
      </w:pPr>
      <w:r>
        <w:rPr>
          <w:rFonts w:hint="eastAsia"/>
          <w:color w:val="000000"/>
          <w:highlight w:val="none"/>
        </w:rPr>
        <w:t>5</w:t>
      </w:r>
      <w:r>
        <w:rPr>
          <w:color w:val="000000"/>
          <w:highlight w:val="none"/>
        </w:rPr>
        <w:t>)应完善桥梁排水系统设计，如有花槽，还应完善花槽的给排水设施的设计。</w:t>
      </w:r>
    </w:p>
    <w:p w14:paraId="06DFD9E1">
      <w:pPr>
        <w:rPr>
          <w:rFonts w:ascii="微软雅黑" w:hAnsi="微软雅黑" w:eastAsia="微软雅黑"/>
          <w:color w:val="000000"/>
          <w:szCs w:val="21"/>
          <w:highlight w:val="none"/>
        </w:rPr>
      </w:pPr>
      <w:r>
        <w:rPr>
          <w:rFonts w:hint="eastAsia"/>
          <w:color w:val="000000"/>
          <w:highlight w:val="none"/>
        </w:rPr>
        <w:t>6</w:t>
      </w:r>
      <w:r>
        <w:rPr>
          <w:color w:val="000000"/>
          <w:highlight w:val="none"/>
        </w:rPr>
        <w:t>)桥梁设计中应注意上、下部结构的构造和外观，尽量采用轻盈、美观的桥型。</w:t>
      </w:r>
    </w:p>
    <w:p w14:paraId="7A923E28">
      <w:pPr>
        <w:rPr>
          <w:rFonts w:ascii="微软雅黑" w:hAnsi="微软雅黑" w:eastAsia="微软雅黑"/>
          <w:color w:val="000000"/>
          <w:szCs w:val="21"/>
          <w:highlight w:val="none"/>
        </w:rPr>
      </w:pPr>
      <w:r>
        <w:rPr>
          <w:rFonts w:hint="eastAsia"/>
          <w:color w:val="000000"/>
          <w:highlight w:val="none"/>
        </w:rPr>
        <w:t>7</w:t>
      </w:r>
      <w:r>
        <w:rPr>
          <w:color w:val="000000"/>
          <w:highlight w:val="none"/>
        </w:rPr>
        <w:t>)根据地形环境、桥高合理布置桥跨、墩（柱）数量，且墩体量合适；墩的造型、风格要协调；切忌各种不同型式、大小不一的桥墩杂乱堆砌的现象。</w:t>
      </w:r>
    </w:p>
    <w:p w14:paraId="1E3DAC83">
      <w:pPr>
        <w:rPr>
          <w:rFonts w:ascii="微软雅黑" w:hAnsi="微软雅黑" w:eastAsia="微软雅黑"/>
          <w:color w:val="000000"/>
          <w:szCs w:val="21"/>
          <w:highlight w:val="none"/>
        </w:rPr>
      </w:pPr>
      <w:r>
        <w:rPr>
          <w:rFonts w:hint="eastAsia"/>
          <w:color w:val="000000"/>
          <w:highlight w:val="none"/>
        </w:rPr>
        <w:t>8</w:t>
      </w:r>
      <w:r>
        <w:rPr>
          <w:color w:val="000000"/>
          <w:highlight w:val="none"/>
        </w:rPr>
        <w:t>)桥梁伸缩缝设计要求安装牢固、平顺，兼具防水、防积垃圾功能，应深化其细部设计。</w:t>
      </w:r>
    </w:p>
    <w:p w14:paraId="5ABCEF4E">
      <w:pPr>
        <w:rPr>
          <w:rFonts w:ascii="微软雅黑" w:hAnsi="微软雅黑" w:eastAsia="微软雅黑"/>
          <w:color w:val="000000"/>
          <w:szCs w:val="21"/>
          <w:highlight w:val="none"/>
        </w:rPr>
      </w:pPr>
      <w:r>
        <w:rPr>
          <w:rFonts w:hint="eastAsia"/>
          <w:color w:val="000000"/>
          <w:highlight w:val="none"/>
        </w:rPr>
        <w:t>9</w:t>
      </w:r>
      <w:r>
        <w:rPr>
          <w:color w:val="000000"/>
          <w:highlight w:val="none"/>
        </w:rPr>
        <w:t>)做好桥头填土的防沉降设计。</w:t>
      </w:r>
    </w:p>
    <w:p w14:paraId="538F8C7A">
      <w:pPr>
        <w:pStyle w:val="5"/>
        <w:rPr>
          <w:color w:val="000000"/>
          <w:highlight w:val="none"/>
        </w:rPr>
      </w:pPr>
      <w:r>
        <w:rPr>
          <w:color w:val="000000"/>
          <w:highlight w:val="none"/>
        </w:rPr>
        <w:t>交通工程</w:t>
      </w:r>
    </w:p>
    <w:p w14:paraId="723EF6C8">
      <w:pPr>
        <w:rPr>
          <w:color w:val="000000"/>
          <w:highlight w:val="none"/>
        </w:rPr>
      </w:pPr>
      <w:r>
        <w:rPr>
          <w:rFonts w:hint="eastAsia"/>
          <w:color w:val="000000"/>
          <w:highlight w:val="none"/>
        </w:rPr>
        <w:t>严格按国标</w:t>
      </w:r>
      <w:r>
        <w:rPr>
          <w:color w:val="000000"/>
          <w:highlight w:val="none"/>
        </w:rPr>
        <w:t>GB5768-2009《道路交通标志和标线》第1、2、3部分及广州市最新指引的规定设计，合理配置清楚明确的交通标志和标线，标志的内容力求简洁、清晰以及连续，给道路使用者提供正确、合理、及时的道路交通信息及安全、畅通、舒适的交通环境，保障行车安全与快捷，提高道路通行能力。</w:t>
      </w:r>
    </w:p>
    <w:p w14:paraId="7080FAFF">
      <w:pPr>
        <w:rPr>
          <w:color w:val="000000"/>
          <w:highlight w:val="none"/>
        </w:rPr>
      </w:pPr>
      <w:r>
        <w:rPr>
          <w:rFonts w:hint="eastAsia"/>
          <w:color w:val="000000"/>
          <w:highlight w:val="none"/>
        </w:rPr>
        <w:t>设计内容包括但不限于交通标线的设计、交通标志的布设、设置交通信号灯、电子警察及交通监控等。</w:t>
      </w:r>
    </w:p>
    <w:p w14:paraId="52526839">
      <w:pPr>
        <w:pStyle w:val="5"/>
        <w:rPr>
          <w:color w:val="000000"/>
          <w:highlight w:val="none"/>
        </w:rPr>
      </w:pPr>
      <w:r>
        <w:rPr>
          <w:color w:val="000000"/>
          <w:highlight w:val="none"/>
        </w:rPr>
        <w:t>排水工程</w:t>
      </w:r>
    </w:p>
    <w:p w14:paraId="745D8DBD">
      <w:pPr>
        <w:rPr>
          <w:color w:val="000000"/>
          <w:highlight w:val="none"/>
        </w:rPr>
      </w:pPr>
      <w:r>
        <w:rPr>
          <w:rFonts w:hint="eastAsia"/>
          <w:color w:val="000000"/>
          <w:highlight w:val="none"/>
        </w:rPr>
        <w:t>给水工程设计应以批准的城镇总体规划和给排水专业规划为主要依据，按远期规划、近远期结合、以近期为主的原则进行设计，设计使用年限宜为 50 年，并满足城市给水、生活饮用水相关规范标准。</w:t>
      </w:r>
    </w:p>
    <w:p w14:paraId="39228259">
      <w:pPr>
        <w:rPr>
          <w:color w:val="000000"/>
          <w:highlight w:val="none"/>
        </w:rPr>
      </w:pPr>
      <w:r>
        <w:rPr>
          <w:rFonts w:hint="eastAsia"/>
          <w:color w:val="000000"/>
          <w:highlight w:val="none"/>
        </w:rPr>
        <w:t>排水工程应根据城市规划、现状情况、道路坡向等进行设计，采用雨污分流制，雨水管材采用机制钢筋混凝土管，污水管材采用球墨铸铁管，过河管或者过桥管道采用钢管，雨污水检查井采用预制混凝土井，相关设计需满足排水工程相关规范标准。</w:t>
      </w:r>
    </w:p>
    <w:p w14:paraId="129A0F7A">
      <w:pPr>
        <w:pStyle w:val="5"/>
        <w:rPr>
          <w:color w:val="000000"/>
          <w:highlight w:val="none"/>
        </w:rPr>
      </w:pPr>
      <w:r>
        <w:rPr>
          <w:color w:val="000000"/>
          <w:highlight w:val="none"/>
        </w:rPr>
        <w:t>绿化工程</w:t>
      </w:r>
    </w:p>
    <w:p w14:paraId="67F510B6">
      <w:pPr>
        <w:rPr>
          <w:color w:val="000000"/>
          <w:highlight w:val="none"/>
        </w:rPr>
      </w:pPr>
      <w:r>
        <w:rPr>
          <w:rFonts w:hint="eastAsia"/>
          <w:color w:val="000000"/>
          <w:highlight w:val="none"/>
        </w:rPr>
        <w:t>市政道路绿化以市政道路红线内的行道树、绿化带及渠化岛为主，域内绿化设计需对路外的规划绿地、滨水绿地范围做景观提升设计，设计应结合当地气候环境合理选择绿植，按照《广州市行道树技术工作手册（修编）》、《广州市园林绿地树木支撑技术指引（试行）》等进行设计，并满足绿化相关规范标准。</w:t>
      </w:r>
    </w:p>
    <w:p w14:paraId="2B94D3F4">
      <w:pPr>
        <w:pStyle w:val="5"/>
        <w:rPr>
          <w:color w:val="000000"/>
          <w:highlight w:val="none"/>
        </w:rPr>
      </w:pPr>
      <w:r>
        <w:rPr>
          <w:color w:val="000000"/>
          <w:highlight w:val="none"/>
        </w:rPr>
        <w:t>照明工程</w:t>
      </w:r>
    </w:p>
    <w:p w14:paraId="37FD4075">
      <w:pPr>
        <w:rPr>
          <w:color w:val="000000"/>
          <w:highlight w:val="none"/>
        </w:rPr>
      </w:pPr>
      <w:r>
        <w:rPr>
          <w:rFonts w:hint="eastAsia"/>
          <w:color w:val="000000"/>
          <w:highlight w:val="none"/>
        </w:rPr>
        <w:t>照明设计应根据国家规范《城市道路照明设计标准》 （CJJ45-2015），结合道路和场所的特点及照明要求，应充分考虑道路的使用性能、通行能力、通行速度，以及路面使用材料的反射特性等方面的因素，选择常规合适的照明方式。</w:t>
      </w:r>
    </w:p>
    <w:p w14:paraId="6C6FF50C">
      <w:pPr>
        <w:rPr>
          <w:color w:val="000000"/>
          <w:highlight w:val="none"/>
        </w:rPr>
      </w:pPr>
      <w:r>
        <w:rPr>
          <w:rFonts w:hint="eastAsia"/>
          <w:color w:val="000000"/>
          <w:highlight w:val="none"/>
        </w:rPr>
        <w:t>为方便管理，道路照明灯具采用LED灯，路灯高度建议采用 8m、10m、12m（路口灯不超过 15m），大型道路交叉口可采用投光灯照明形式。</w:t>
      </w:r>
    </w:p>
    <w:p w14:paraId="6B2A6E8E">
      <w:pPr>
        <w:pStyle w:val="5"/>
        <w:rPr>
          <w:color w:val="000000"/>
          <w:highlight w:val="none"/>
        </w:rPr>
      </w:pPr>
      <w:r>
        <w:rPr>
          <w:color w:val="000000"/>
          <w:highlight w:val="none"/>
        </w:rPr>
        <w:t>电力</w:t>
      </w:r>
      <w:r>
        <w:rPr>
          <w:rFonts w:hint="eastAsia"/>
          <w:color w:val="000000"/>
          <w:highlight w:val="none"/>
        </w:rPr>
        <w:t>、通信</w:t>
      </w:r>
      <w:r>
        <w:rPr>
          <w:color w:val="000000"/>
          <w:highlight w:val="none"/>
        </w:rPr>
        <w:t>工程</w:t>
      </w:r>
    </w:p>
    <w:p w14:paraId="06D9F7C9">
      <w:pPr>
        <w:rPr>
          <w:color w:val="000000"/>
          <w:highlight w:val="none"/>
        </w:rPr>
      </w:pPr>
      <w:r>
        <w:rPr>
          <w:color w:val="000000"/>
          <w:highlight w:val="none"/>
        </w:rPr>
        <w:t>本项目缆线管廊包含电力管沟及通信</w:t>
      </w:r>
      <w:r>
        <w:rPr>
          <w:rFonts w:hint="eastAsia"/>
          <w:color w:val="000000"/>
          <w:highlight w:val="none"/>
        </w:rPr>
        <w:t>排管</w:t>
      </w:r>
      <w:r>
        <w:rPr>
          <w:color w:val="000000"/>
          <w:highlight w:val="none"/>
        </w:rPr>
        <w:t>，于道路人行道下全线</w:t>
      </w:r>
      <w:r>
        <w:rPr>
          <w:rFonts w:hint="eastAsia"/>
          <w:color w:val="000000"/>
          <w:highlight w:val="none"/>
        </w:rPr>
        <w:t>敷设电力管沟及通信排管，</w:t>
      </w:r>
      <w:r>
        <w:rPr>
          <w:color w:val="000000"/>
          <w:highlight w:val="none"/>
        </w:rPr>
        <w:t>设计仅包括土建及支架部分。</w:t>
      </w:r>
    </w:p>
    <w:p w14:paraId="1014BC95">
      <w:pPr>
        <w:rPr>
          <w:color w:val="000000"/>
          <w:highlight w:val="none"/>
        </w:rPr>
      </w:pPr>
      <w:r>
        <w:rPr>
          <w:color w:val="000000"/>
          <w:highlight w:val="none"/>
        </w:rPr>
        <w:t>缆线管廊应根据电力通信专项规划、道路等级及实际需求等制定建设规模，按照《广州市缆线管廊工程技术指引》进行设计，并满足电力及通信相关规范标准。</w:t>
      </w:r>
    </w:p>
    <w:p w14:paraId="451A435C">
      <w:pPr>
        <w:pStyle w:val="5"/>
        <w:rPr>
          <w:color w:val="000000"/>
          <w:highlight w:val="none"/>
        </w:rPr>
      </w:pPr>
      <w:r>
        <w:rPr>
          <w:color w:val="000000"/>
          <w:highlight w:val="none"/>
        </w:rPr>
        <w:t>其他</w:t>
      </w:r>
    </w:p>
    <w:p w14:paraId="22F8D9C2">
      <w:pPr>
        <w:rPr>
          <w:color w:val="000000"/>
          <w:highlight w:val="none"/>
        </w:rPr>
      </w:pPr>
      <w:r>
        <w:rPr>
          <w:color w:val="000000"/>
          <w:highlight w:val="none"/>
        </w:rPr>
        <w:t>市政设计应严格按照相关规范、标准进行，并根据广州当地相关指引标准完善设计，广州当地标准包括但不限于《广州市城市道路标准横断面设计指引（试行）》、《广州市道路工程路面结构设计指引》、</w:t>
      </w:r>
      <w:r>
        <w:rPr>
          <w:rFonts w:hint="eastAsia"/>
          <w:color w:val="000000"/>
          <w:highlight w:val="none"/>
        </w:rPr>
        <w:t>《广州市海绵型道路建设技术指引（修订）》、</w:t>
      </w:r>
      <w:r>
        <w:rPr>
          <w:color w:val="000000"/>
          <w:highlight w:val="none"/>
        </w:rPr>
        <w:t>《广州市城市家具建设指引》、《广州市行道树技术工作手册（修编）》、《广州市园林绿地树木支撑技术指引（试行）》、《广州市缆线管廊工程技术指引》等。</w:t>
      </w:r>
    </w:p>
    <w:p w14:paraId="7344F35D">
      <w:pPr>
        <w:pStyle w:val="4"/>
        <w:rPr>
          <w:color w:val="000000"/>
          <w:highlight w:val="none"/>
        </w:rPr>
      </w:pPr>
      <w:r>
        <w:rPr>
          <w:rFonts w:hint="eastAsia"/>
          <w:color w:val="000000"/>
          <w:highlight w:val="none"/>
        </w:rPr>
        <w:t>BIM和建筑模块化的设计要求</w:t>
      </w:r>
    </w:p>
    <w:p w14:paraId="05B6CD95">
      <w:pPr>
        <w:pStyle w:val="5"/>
        <w:rPr>
          <w:color w:val="000000"/>
          <w:highlight w:val="none"/>
        </w:rPr>
      </w:pPr>
      <w:r>
        <w:rPr>
          <w:rFonts w:cs="宋体"/>
          <w:color w:val="000000"/>
          <w:highlight w:val="none"/>
        </w:rPr>
        <w:t>总则</w:t>
      </w:r>
    </w:p>
    <w:p w14:paraId="22372614">
      <w:pPr>
        <w:rPr>
          <w:color w:val="000000"/>
          <w:highlight w:val="none"/>
        </w:rPr>
      </w:pPr>
      <w:r>
        <w:rPr>
          <w:rFonts w:cs="宋体"/>
          <w:color w:val="000000"/>
          <w:highlight w:val="none"/>
        </w:rPr>
        <w:t>1、结合本项目的工程特点和BIM实施需求优先制定BIM实施方案指引明确各参与单位设计BIM实施职责。在统一规范的实施标准下分阶段分主次实施BIM应用有序推行流程管理和综合图模管理充分发挥BIM管理平台优势，协同各投标人共同落实BIM实施的具体应用点，在阶段性BIM成果中体现BIM实施和应用价值。</w:t>
      </w:r>
    </w:p>
    <w:p w14:paraId="745F4390">
      <w:pPr>
        <w:rPr>
          <w:color w:val="000000"/>
          <w:highlight w:val="none"/>
        </w:rPr>
      </w:pPr>
      <w:r>
        <w:rPr>
          <w:rFonts w:cs="宋体"/>
          <w:color w:val="000000"/>
          <w:highlight w:val="none"/>
        </w:rPr>
        <w:t>2、将BIM技术与工程实际紧密结合，实现BIM技术落地应用，承担从正向设计全过程设计BIM应用的示范和验证作用，体现BIM技术在项目全生命周期中的应用价值。</w:t>
      </w:r>
    </w:p>
    <w:p w14:paraId="298D4416">
      <w:pPr>
        <w:rPr>
          <w:rFonts w:cs="宋体"/>
          <w:color w:val="000000"/>
          <w:highlight w:val="none"/>
        </w:rPr>
      </w:pPr>
      <w:r>
        <w:rPr>
          <w:rFonts w:cs="宋体"/>
          <w:color w:val="000000"/>
          <w:highlight w:val="none"/>
        </w:rPr>
        <w:t>3、采用BIM正向设计完成设计工作。</w:t>
      </w:r>
    </w:p>
    <w:p w14:paraId="1058EBB1">
      <w:pPr>
        <w:rPr>
          <w:rFonts w:cs="宋体"/>
          <w:color w:val="000000"/>
          <w:highlight w:val="none"/>
        </w:rPr>
      </w:pPr>
      <w:r>
        <w:rPr>
          <w:rFonts w:cs="宋体"/>
          <w:color w:val="000000"/>
          <w:highlight w:val="none"/>
        </w:rPr>
        <w:t>4、配合完成住建局等行政主管部门相关工作要求。</w:t>
      </w:r>
    </w:p>
    <w:p w14:paraId="30964F0B">
      <w:pPr>
        <w:pStyle w:val="5"/>
        <w:rPr>
          <w:rFonts w:cs="宋体"/>
          <w:color w:val="000000"/>
          <w:highlight w:val="none"/>
        </w:rPr>
      </w:pPr>
      <w:r>
        <w:rPr>
          <w:rFonts w:cs="宋体"/>
          <w:color w:val="000000"/>
          <w:highlight w:val="none"/>
        </w:rPr>
        <w:t>BIM</w:t>
      </w:r>
      <w:r>
        <w:rPr>
          <w:rFonts w:hint="eastAsia" w:cs="宋体"/>
          <w:color w:val="000000"/>
          <w:highlight w:val="none"/>
        </w:rPr>
        <w:t>的</w:t>
      </w:r>
      <w:r>
        <w:rPr>
          <w:rFonts w:cs="宋体"/>
          <w:color w:val="000000"/>
          <w:highlight w:val="none"/>
        </w:rPr>
        <w:t>应用要</w:t>
      </w:r>
      <w:r>
        <w:rPr>
          <w:rFonts w:hint="eastAsia" w:cs="宋体"/>
          <w:color w:val="000000"/>
          <w:highlight w:val="none"/>
        </w:rPr>
        <w:t>求</w:t>
      </w:r>
    </w:p>
    <w:p w14:paraId="3B193647">
      <w:pPr>
        <w:rPr>
          <w:color w:val="000000"/>
          <w:highlight w:val="none"/>
        </w:rPr>
      </w:pPr>
      <w:r>
        <w:rPr>
          <w:color w:val="000000"/>
          <w:highlight w:val="none"/>
        </w:rPr>
        <w:t>1、完成项目</w:t>
      </w:r>
      <w:r>
        <w:rPr>
          <w:rFonts w:hint="eastAsia"/>
          <w:color w:val="000000"/>
          <w:highlight w:val="none"/>
        </w:rPr>
        <w:t>正向</w:t>
      </w:r>
      <w:r>
        <w:rPr>
          <w:color w:val="000000"/>
          <w:highlight w:val="none"/>
        </w:rPr>
        <w:t>BIM实施方案，包括但不限于下列文件：</w:t>
      </w:r>
    </w:p>
    <w:p w14:paraId="268D6E9C">
      <w:pPr>
        <w:rPr>
          <w:color w:val="000000"/>
          <w:highlight w:val="none"/>
        </w:rPr>
      </w:pPr>
      <w:r>
        <w:rPr>
          <w:color w:val="000000"/>
          <w:highlight w:val="none"/>
        </w:rPr>
        <w:t>a)《BIM</w:t>
      </w:r>
      <w:r>
        <w:rPr>
          <w:rFonts w:hint="eastAsia"/>
          <w:color w:val="000000"/>
          <w:highlight w:val="none"/>
        </w:rPr>
        <w:t>正向</w:t>
      </w:r>
      <w:r>
        <w:rPr>
          <w:color w:val="000000"/>
          <w:highlight w:val="none"/>
        </w:rPr>
        <w:t>设计实施方案》；</w:t>
      </w:r>
    </w:p>
    <w:p w14:paraId="153B762C">
      <w:pPr>
        <w:rPr>
          <w:color w:val="000000"/>
          <w:highlight w:val="none"/>
        </w:rPr>
      </w:pPr>
      <w:r>
        <w:rPr>
          <w:color w:val="000000"/>
          <w:highlight w:val="none"/>
        </w:rPr>
        <w:t>b)《BIM实施过程管控方案》；</w:t>
      </w:r>
    </w:p>
    <w:p w14:paraId="0D2BA00E">
      <w:pPr>
        <w:rPr>
          <w:color w:val="000000"/>
          <w:highlight w:val="none"/>
        </w:rPr>
      </w:pPr>
      <w:r>
        <w:rPr>
          <w:color w:val="000000"/>
          <w:highlight w:val="none"/>
        </w:rPr>
        <w:t>2、方案设计阶段</w:t>
      </w:r>
    </w:p>
    <w:p w14:paraId="3EAC1EA1">
      <w:pPr>
        <w:rPr>
          <w:color w:val="000000"/>
          <w:highlight w:val="none"/>
        </w:rPr>
      </w:pPr>
      <w:r>
        <w:rPr>
          <w:color w:val="000000"/>
          <w:highlight w:val="none"/>
        </w:rPr>
        <w:t>a. 按照相关标准和要求，制定对应项目《方案设计阶段BIM实施方案》；</w:t>
      </w:r>
    </w:p>
    <w:p w14:paraId="471047B0">
      <w:pPr>
        <w:rPr>
          <w:color w:val="000000"/>
          <w:highlight w:val="none"/>
        </w:rPr>
      </w:pPr>
      <w:r>
        <w:rPr>
          <w:color w:val="000000"/>
          <w:highlight w:val="none"/>
        </w:rPr>
        <w:t>b. 根据《广东省建筑信息模型应用统一标准》和深度要求，创建方案设计阶段BIM模型；</w:t>
      </w:r>
    </w:p>
    <w:p w14:paraId="1E92EADE">
      <w:pPr>
        <w:rPr>
          <w:color w:val="000000"/>
          <w:highlight w:val="none"/>
        </w:rPr>
      </w:pPr>
      <w:r>
        <w:rPr>
          <w:color w:val="000000"/>
          <w:highlight w:val="none"/>
        </w:rPr>
        <w:t>c. 根据本阶段的BIM应用特点，进行项目设计方案比选；</w:t>
      </w:r>
    </w:p>
    <w:p w14:paraId="0CFC6EBE">
      <w:pPr>
        <w:rPr>
          <w:color w:val="000000"/>
          <w:highlight w:val="none"/>
        </w:rPr>
      </w:pPr>
      <w:r>
        <w:rPr>
          <w:color w:val="000000"/>
          <w:highlight w:val="none"/>
        </w:rPr>
        <w:t>d. 应用BIM技术进行项目建设条件分析；</w:t>
      </w:r>
    </w:p>
    <w:p w14:paraId="5F28FE5C">
      <w:pPr>
        <w:rPr>
          <w:color w:val="000000"/>
          <w:highlight w:val="none"/>
        </w:rPr>
      </w:pPr>
      <w:r>
        <w:rPr>
          <w:color w:val="000000"/>
          <w:highlight w:val="none"/>
        </w:rPr>
        <w:t>e. 进行场地分析等相关应用；</w:t>
      </w:r>
    </w:p>
    <w:p w14:paraId="49C7A6B0">
      <w:pPr>
        <w:rPr>
          <w:color w:val="000000"/>
          <w:highlight w:val="none"/>
        </w:rPr>
      </w:pPr>
      <w:r>
        <w:rPr>
          <w:color w:val="000000"/>
          <w:highlight w:val="none"/>
        </w:rPr>
        <w:t>f. 提交方案设计阶段BIM应用成果；</w:t>
      </w:r>
    </w:p>
    <w:p w14:paraId="57A164D2">
      <w:pPr>
        <w:rPr>
          <w:color w:val="000000"/>
          <w:highlight w:val="none"/>
        </w:rPr>
      </w:pPr>
      <w:r>
        <w:rPr>
          <w:color w:val="000000"/>
          <w:highlight w:val="none"/>
        </w:rPr>
        <w:t>g. 完成合同规定的BIM应用其他具体要求。</w:t>
      </w:r>
    </w:p>
    <w:p w14:paraId="1A099F78">
      <w:pPr>
        <w:rPr>
          <w:color w:val="000000"/>
          <w:highlight w:val="none"/>
        </w:rPr>
      </w:pPr>
      <w:r>
        <w:rPr>
          <w:color w:val="000000"/>
          <w:highlight w:val="none"/>
        </w:rPr>
        <w:t>3、初步设计阶段</w:t>
      </w:r>
    </w:p>
    <w:p w14:paraId="785EFA9B">
      <w:pPr>
        <w:rPr>
          <w:color w:val="000000"/>
          <w:highlight w:val="none"/>
        </w:rPr>
      </w:pPr>
      <w:r>
        <w:rPr>
          <w:color w:val="000000"/>
          <w:highlight w:val="none"/>
        </w:rPr>
        <w:t>a. 按照相关标准和要求，制定对应项目《初步设计阶段BIM实施方案》；</w:t>
      </w:r>
    </w:p>
    <w:p w14:paraId="1FECC9AC">
      <w:pPr>
        <w:rPr>
          <w:color w:val="000000"/>
          <w:highlight w:val="none"/>
        </w:rPr>
      </w:pPr>
      <w:r>
        <w:rPr>
          <w:color w:val="000000"/>
          <w:highlight w:val="none"/>
        </w:rPr>
        <w:t>b. 根据《广东省建筑信息模型应用统一标准》和深度要求，创建初步设计阶段BIM模型；</w:t>
      </w:r>
    </w:p>
    <w:p w14:paraId="381B912F">
      <w:pPr>
        <w:rPr>
          <w:color w:val="000000"/>
          <w:highlight w:val="none"/>
        </w:rPr>
      </w:pPr>
      <w:r>
        <w:rPr>
          <w:color w:val="000000"/>
          <w:highlight w:val="none"/>
        </w:rPr>
        <w:t>c. 根据本阶段的BIM应用特点，进行建筑性能模拟分析；</w:t>
      </w:r>
    </w:p>
    <w:p w14:paraId="129F2676">
      <w:pPr>
        <w:rPr>
          <w:color w:val="000000"/>
          <w:highlight w:val="none"/>
        </w:rPr>
      </w:pPr>
      <w:r>
        <w:rPr>
          <w:color w:val="000000"/>
          <w:highlight w:val="none"/>
        </w:rPr>
        <w:t>d. 利用BIM技术，进行设计方案比选；</w:t>
      </w:r>
    </w:p>
    <w:p w14:paraId="3862A361">
      <w:pPr>
        <w:rPr>
          <w:color w:val="000000"/>
          <w:highlight w:val="none"/>
        </w:rPr>
      </w:pPr>
      <w:r>
        <w:rPr>
          <w:color w:val="000000"/>
          <w:highlight w:val="none"/>
        </w:rPr>
        <w:t>e. 应用BIM技术支持对应项目报批报建工作；</w:t>
      </w:r>
    </w:p>
    <w:p w14:paraId="364466B3">
      <w:pPr>
        <w:rPr>
          <w:color w:val="000000"/>
          <w:highlight w:val="none"/>
        </w:rPr>
      </w:pPr>
      <w:r>
        <w:rPr>
          <w:color w:val="000000"/>
          <w:highlight w:val="none"/>
        </w:rPr>
        <w:t>f. 提交初步设计阶段BIM应用成果；</w:t>
      </w:r>
    </w:p>
    <w:p w14:paraId="13DF3D28">
      <w:pPr>
        <w:rPr>
          <w:color w:val="000000"/>
          <w:highlight w:val="none"/>
        </w:rPr>
      </w:pPr>
      <w:r>
        <w:rPr>
          <w:color w:val="000000"/>
          <w:highlight w:val="none"/>
        </w:rPr>
        <w:t>g. 完成合同规定的BIM应用其他具体要求；</w:t>
      </w:r>
    </w:p>
    <w:p w14:paraId="65FA6420">
      <w:pPr>
        <w:pStyle w:val="5"/>
        <w:rPr>
          <w:rFonts w:cs="宋体"/>
          <w:color w:val="000000"/>
          <w:highlight w:val="none"/>
        </w:rPr>
      </w:pPr>
      <w:r>
        <w:rPr>
          <w:rFonts w:hint="eastAsia" w:cs="宋体"/>
          <w:color w:val="000000"/>
          <w:highlight w:val="none"/>
        </w:rPr>
        <w:t>模块化建筑设计的工作</w:t>
      </w:r>
      <w:r>
        <w:rPr>
          <w:rFonts w:cs="宋体"/>
          <w:color w:val="000000"/>
          <w:highlight w:val="none"/>
        </w:rPr>
        <w:t>要</w:t>
      </w:r>
      <w:r>
        <w:rPr>
          <w:rFonts w:hint="eastAsia" w:cs="宋体"/>
          <w:color w:val="000000"/>
          <w:highlight w:val="none"/>
        </w:rPr>
        <w:t>求（若有）</w:t>
      </w:r>
    </w:p>
    <w:p w14:paraId="2A844C34">
      <w:pPr>
        <w:rPr>
          <w:color w:val="000000"/>
          <w:highlight w:val="none"/>
        </w:rPr>
      </w:pPr>
      <w:r>
        <w:rPr>
          <w:rFonts w:hint="eastAsia"/>
          <w:color w:val="000000"/>
          <w:highlight w:val="none"/>
        </w:rPr>
        <w:t>组合模块建筑的方案设计应满足广州市最新相关装配式建筑政策要求，应按照通用化、模数化、标准化的要求，并充分考虑材料选择、结构布置和加固措施等因素，每个模块都需要具备足够的承载能力和结构稳定性。组合模块化建筑宜采用建筑信息模型（BIM）技术，实现全专业、全过程的信息化管理。</w:t>
      </w:r>
    </w:p>
    <w:p w14:paraId="1787F22C">
      <w:pPr>
        <w:ind w:firstLine="0" w:firstLineChars="0"/>
        <w:rPr>
          <w:color w:val="000000"/>
          <w:highlight w:val="none"/>
        </w:rPr>
      </w:pPr>
    </w:p>
    <w:p w14:paraId="7E16060A">
      <w:pPr>
        <w:pStyle w:val="4"/>
        <w:rPr>
          <w:color w:val="000000"/>
          <w:highlight w:val="none"/>
        </w:rPr>
      </w:pPr>
      <w:r>
        <w:rPr>
          <w:color w:val="000000"/>
          <w:highlight w:val="none"/>
        </w:rPr>
        <w:t>绿色建筑设计</w:t>
      </w:r>
    </w:p>
    <w:p w14:paraId="39A0155F">
      <w:pPr>
        <w:pStyle w:val="5"/>
        <w:rPr>
          <w:color w:val="000000"/>
          <w:highlight w:val="none"/>
        </w:rPr>
      </w:pPr>
      <w:r>
        <w:rPr>
          <w:rFonts w:hint="eastAsia"/>
          <w:color w:val="000000"/>
          <w:highlight w:val="none"/>
        </w:rPr>
        <w:t>一般规定</w:t>
      </w:r>
    </w:p>
    <w:p w14:paraId="0067E083">
      <w:pPr>
        <w:rPr>
          <w:rFonts w:ascii="微软雅黑" w:hAnsi="微软雅黑" w:eastAsia="微软雅黑"/>
          <w:color w:val="000000"/>
          <w:szCs w:val="21"/>
          <w:highlight w:val="none"/>
        </w:rPr>
      </w:pPr>
      <w:r>
        <w:rPr>
          <w:color w:val="000000"/>
          <w:highlight w:val="none"/>
        </w:rPr>
        <w:t>1、设计均应满足国家和广东省节能相关规范要求，居住区规划应体现“绿色节能、生态宜居”的设计理念。本项目按国家绿色建筑评价标准一星绿色建筑标准规划设计。</w:t>
      </w:r>
    </w:p>
    <w:p w14:paraId="6AA1705B">
      <w:pPr>
        <w:rPr>
          <w:rFonts w:ascii="微软雅黑" w:hAnsi="微软雅黑" w:eastAsia="微软雅黑"/>
          <w:color w:val="000000"/>
          <w:szCs w:val="21"/>
          <w:highlight w:val="none"/>
        </w:rPr>
      </w:pPr>
      <w:r>
        <w:rPr>
          <w:color w:val="000000"/>
          <w:highlight w:val="none"/>
        </w:rPr>
        <w:t>2、绿色建筑应遵循因地制宜的原则，结合建筑所在地域的气候、资源、生态环境、经济、人文等特点进行。</w:t>
      </w:r>
    </w:p>
    <w:p w14:paraId="5526132F">
      <w:pPr>
        <w:rPr>
          <w:rFonts w:ascii="微软雅黑" w:hAnsi="微软雅黑" w:eastAsia="微软雅黑"/>
          <w:color w:val="000000"/>
          <w:szCs w:val="21"/>
          <w:highlight w:val="none"/>
        </w:rPr>
      </w:pPr>
      <w:r>
        <w:rPr>
          <w:color w:val="000000"/>
          <w:highlight w:val="none"/>
        </w:rPr>
        <w:t>3、建筑设计应按照被动措施优先的原则，优化建筑体型和内部空间布局，充分利用天然采光、自然通风，采用外围护结构保温、隔热、遮阳等措施，以达到降低建筑能耗的目的。</w:t>
      </w:r>
    </w:p>
    <w:p w14:paraId="368893EB">
      <w:pPr>
        <w:pStyle w:val="5"/>
        <w:rPr>
          <w:rFonts w:ascii="微软雅黑" w:hAnsi="微软雅黑" w:eastAsia="微软雅黑"/>
          <w:color w:val="000000"/>
          <w:szCs w:val="21"/>
          <w:highlight w:val="none"/>
        </w:rPr>
      </w:pPr>
      <w:r>
        <w:rPr>
          <w:color w:val="000000"/>
          <w:highlight w:val="none"/>
        </w:rPr>
        <w:t>规划专业</w:t>
      </w:r>
    </w:p>
    <w:p w14:paraId="04B591E9">
      <w:pPr>
        <w:rPr>
          <w:rFonts w:ascii="微软雅黑" w:hAnsi="微软雅黑" w:eastAsia="微软雅黑"/>
          <w:color w:val="000000"/>
          <w:szCs w:val="21"/>
          <w:highlight w:val="none"/>
        </w:rPr>
      </w:pPr>
      <w:r>
        <w:rPr>
          <w:color w:val="000000"/>
          <w:highlight w:val="none"/>
        </w:rPr>
        <w:t>1、规划阶段应制定水系统规划方案，统筹、综合利用各种水资源，增加水资源循环利用率，减少市政供水量和污水排放量。</w:t>
      </w:r>
    </w:p>
    <w:p w14:paraId="09310D5B">
      <w:pPr>
        <w:rPr>
          <w:rFonts w:ascii="微软雅黑" w:hAnsi="微软雅黑" w:eastAsia="微软雅黑"/>
          <w:color w:val="000000"/>
          <w:szCs w:val="21"/>
          <w:highlight w:val="none"/>
        </w:rPr>
      </w:pPr>
      <w:r>
        <w:rPr>
          <w:color w:val="000000"/>
          <w:highlight w:val="none"/>
        </w:rPr>
        <w:t>2、住区必须按《广州市城市生活垃圾分类管理暂行规定》要求，设置生活垃圾分类收集站和容器。垃圾收集站应设置于住区下风向及隐蔽处。</w:t>
      </w:r>
    </w:p>
    <w:p w14:paraId="0AE67D78">
      <w:pPr>
        <w:rPr>
          <w:rFonts w:ascii="微软雅黑" w:hAnsi="微软雅黑" w:eastAsia="微软雅黑"/>
          <w:color w:val="000000"/>
          <w:szCs w:val="21"/>
          <w:highlight w:val="none"/>
        </w:rPr>
      </w:pPr>
      <w:r>
        <w:rPr>
          <w:color w:val="000000"/>
          <w:highlight w:val="none"/>
        </w:rPr>
        <w:t>3、住区建筑布局应充分考虑对噪声的控制 , 当噪声无法通过规划设计改善时，应在交通干线两侧建筑的临街外窗和围护结构等方面采取有效的隔声措施。</w:t>
      </w:r>
    </w:p>
    <w:p w14:paraId="59F54B8E">
      <w:pPr>
        <w:rPr>
          <w:rFonts w:ascii="微软雅黑" w:hAnsi="微软雅黑" w:eastAsia="微软雅黑"/>
          <w:color w:val="000000"/>
          <w:szCs w:val="21"/>
          <w:highlight w:val="none"/>
        </w:rPr>
      </w:pPr>
      <w:r>
        <w:rPr>
          <w:color w:val="000000"/>
          <w:highlight w:val="none"/>
        </w:rPr>
        <w:t>4、建筑间距应符合《广州市城乡规划技术规定》中相关要求，住宅应在户型布置上对日照要求有所考虑，满足绝大多数的户型的日照要求。</w:t>
      </w:r>
    </w:p>
    <w:p w14:paraId="0E92D77A">
      <w:pPr>
        <w:rPr>
          <w:rFonts w:ascii="微软雅黑" w:hAnsi="微软雅黑" w:eastAsia="微软雅黑"/>
          <w:color w:val="000000"/>
          <w:szCs w:val="21"/>
          <w:highlight w:val="none"/>
        </w:rPr>
      </w:pPr>
      <w:r>
        <w:rPr>
          <w:color w:val="000000"/>
          <w:highlight w:val="none"/>
        </w:rPr>
        <w:t>5、公建配套热水系统的热源优先选用太阳能等可再生能源。太阳能热水系统应统一规划，与建筑工程同时投入使用。</w:t>
      </w:r>
    </w:p>
    <w:p w14:paraId="3A6D3E5A">
      <w:pPr>
        <w:rPr>
          <w:rFonts w:ascii="微软雅黑" w:hAnsi="微软雅黑" w:eastAsia="微软雅黑"/>
          <w:color w:val="000000"/>
          <w:szCs w:val="21"/>
          <w:highlight w:val="none"/>
        </w:rPr>
      </w:pPr>
      <w:r>
        <w:rPr>
          <w:color w:val="000000"/>
          <w:highlight w:val="none"/>
        </w:rPr>
        <w:t>6、选址和住区出入口的设置应方便居民利用公共交通网络。住区出入口 500m范围内应有公交站点或地铁站。</w:t>
      </w:r>
    </w:p>
    <w:p w14:paraId="46B4DB9D">
      <w:pPr>
        <w:pStyle w:val="5"/>
        <w:rPr>
          <w:rFonts w:ascii="微软雅黑" w:hAnsi="微软雅黑" w:eastAsia="微软雅黑"/>
          <w:color w:val="000000"/>
          <w:szCs w:val="21"/>
          <w:highlight w:val="none"/>
        </w:rPr>
      </w:pPr>
      <w:r>
        <w:rPr>
          <w:color w:val="000000"/>
          <w:highlight w:val="none"/>
        </w:rPr>
        <w:t>建筑专业</w:t>
      </w:r>
    </w:p>
    <w:p w14:paraId="7F1EA433">
      <w:pPr>
        <w:rPr>
          <w:rFonts w:ascii="微软雅黑" w:hAnsi="微软雅黑" w:eastAsia="微软雅黑"/>
          <w:color w:val="000000"/>
          <w:szCs w:val="21"/>
          <w:highlight w:val="none"/>
        </w:rPr>
      </w:pPr>
      <w:r>
        <w:rPr>
          <w:color w:val="000000"/>
          <w:highlight w:val="none"/>
        </w:rPr>
        <w:t>1、住宅建筑单体以南北朝向为主，卧室、起居室（厅）必须能自然通风、采光，明厨明厕；不宜将主要房间的门、窗设于东、西向或西北向；住宅平面布置结合外门窗洞口位置、房门、通道等组织好穿堂风。</w:t>
      </w:r>
    </w:p>
    <w:p w14:paraId="3EBBDC6F">
      <w:pPr>
        <w:rPr>
          <w:rFonts w:ascii="微软雅黑" w:hAnsi="微软雅黑" w:eastAsia="微软雅黑"/>
          <w:color w:val="000000"/>
          <w:szCs w:val="21"/>
          <w:highlight w:val="none"/>
        </w:rPr>
      </w:pPr>
      <w:r>
        <w:rPr>
          <w:color w:val="000000"/>
          <w:highlight w:val="none"/>
        </w:rPr>
        <w:t>2、每套住宅至少有一个居住空间满足日照标准的要求。</w:t>
      </w:r>
    </w:p>
    <w:p w14:paraId="7346753C">
      <w:pPr>
        <w:rPr>
          <w:rFonts w:ascii="微软雅黑" w:hAnsi="微软雅黑" w:eastAsia="微软雅黑"/>
          <w:color w:val="000000"/>
          <w:szCs w:val="21"/>
          <w:highlight w:val="none"/>
        </w:rPr>
      </w:pPr>
      <w:r>
        <w:rPr>
          <w:color w:val="000000"/>
          <w:highlight w:val="none"/>
        </w:rPr>
        <w:t>3、建筑立面造型要简约，无大量装饰性构件；装饰性构件的工程造价≤ 2%工程施工总造价。</w:t>
      </w:r>
    </w:p>
    <w:p w14:paraId="27CDC4A5">
      <w:pPr>
        <w:rPr>
          <w:rFonts w:ascii="微软雅黑" w:hAnsi="微软雅黑" w:eastAsia="微软雅黑"/>
          <w:color w:val="000000"/>
          <w:szCs w:val="21"/>
          <w:highlight w:val="none"/>
        </w:rPr>
      </w:pPr>
      <w:r>
        <w:rPr>
          <w:color w:val="000000"/>
          <w:highlight w:val="none"/>
        </w:rPr>
        <w:t>4、节能设计应采用计算机模拟手段进行精细化设计，合理选择经济实用的围护结构形式和材料，在满足节能要求的前提下，提高节能设计方案的性价比。</w:t>
      </w:r>
    </w:p>
    <w:p w14:paraId="0F61DBDB">
      <w:pPr>
        <w:rPr>
          <w:rFonts w:ascii="微软雅黑" w:hAnsi="微软雅黑" w:eastAsia="微软雅黑"/>
          <w:color w:val="000000"/>
          <w:szCs w:val="21"/>
          <w:highlight w:val="none"/>
        </w:rPr>
      </w:pPr>
      <w:r>
        <w:rPr>
          <w:color w:val="000000"/>
          <w:highlight w:val="none"/>
        </w:rPr>
        <w:t>5、规划设计时宜采用计算机模拟手段优化室外设计，采取相应措施改善室外热环境和风环境，确保室外日平均热岛强度不高于 1.5</w:t>
      </w:r>
      <w:r>
        <w:rPr>
          <w:rFonts w:hint="eastAsia" w:cs="宋体"/>
          <w:color w:val="000000"/>
          <w:highlight w:val="none"/>
        </w:rPr>
        <w:t>℃</w:t>
      </w:r>
      <w:r>
        <w:rPr>
          <w:color w:val="000000"/>
          <w:highlight w:val="none"/>
        </w:rPr>
        <w:t>，人行区距地 1.5m高处风速小于 5m/s。</w:t>
      </w:r>
    </w:p>
    <w:p w14:paraId="75D63961">
      <w:pPr>
        <w:rPr>
          <w:rFonts w:ascii="微软雅黑" w:hAnsi="微软雅黑" w:eastAsia="微软雅黑"/>
          <w:color w:val="000000"/>
          <w:szCs w:val="21"/>
          <w:highlight w:val="none"/>
        </w:rPr>
      </w:pPr>
      <w:r>
        <w:rPr>
          <w:color w:val="000000"/>
          <w:highlight w:val="none"/>
        </w:rPr>
        <w:t>6、居住建筑外窗开启面积不应小于该房间地板面积的 10%；卧室、书房、起居室等主要房间窗地面积比不应小于 1/7；公共建筑外窗可开启面积不应小于外窗总面积的 30%。</w:t>
      </w:r>
    </w:p>
    <w:p w14:paraId="0AE781A3">
      <w:pPr>
        <w:rPr>
          <w:rFonts w:ascii="微软雅黑" w:hAnsi="微软雅黑" w:eastAsia="微软雅黑"/>
          <w:color w:val="000000"/>
          <w:szCs w:val="21"/>
          <w:highlight w:val="none"/>
        </w:rPr>
      </w:pPr>
      <w:r>
        <w:rPr>
          <w:color w:val="000000"/>
          <w:highlight w:val="none"/>
        </w:rPr>
        <w:t>7、尽量减小住宅东西向外窗面积。</w:t>
      </w:r>
    </w:p>
    <w:p w14:paraId="6C616053">
      <w:pPr>
        <w:rPr>
          <w:rFonts w:ascii="微软雅黑" w:hAnsi="微软雅黑" w:eastAsia="微软雅黑"/>
          <w:color w:val="000000"/>
          <w:szCs w:val="21"/>
          <w:highlight w:val="none"/>
        </w:rPr>
      </w:pPr>
      <w:r>
        <w:rPr>
          <w:color w:val="000000"/>
          <w:highlight w:val="none"/>
        </w:rPr>
        <w:t>8、居住建筑的东、西向外窗必须采用建筑外遮阳措施，建筑外遮阳系数 SD不应大于 0.8。南北向也应采用外遮阳措施，建筑外遮阳系数 SD不应大于 0.9。</w:t>
      </w:r>
    </w:p>
    <w:p w14:paraId="7E99E37A">
      <w:pPr>
        <w:rPr>
          <w:color w:val="000000"/>
          <w:highlight w:val="none"/>
        </w:rPr>
      </w:pPr>
      <w:r>
        <w:rPr>
          <w:color w:val="000000"/>
          <w:highlight w:val="none"/>
        </w:rPr>
        <w:t>9、公建项目不宜设计大面积玻璃幕墙，各向窗墙面积比不大于 0.70；不宜设置大面积天窗，屋顶透明部分的面积不应大于屋顶总面积 20%。</w:t>
      </w:r>
    </w:p>
    <w:p w14:paraId="116665A4">
      <w:pPr>
        <w:pStyle w:val="5"/>
        <w:rPr>
          <w:color w:val="000000"/>
          <w:highlight w:val="none"/>
        </w:rPr>
      </w:pPr>
      <w:r>
        <w:rPr>
          <w:color w:val="000000"/>
          <w:highlight w:val="none"/>
        </w:rPr>
        <w:t>结构专业</w:t>
      </w:r>
    </w:p>
    <w:p w14:paraId="174208D6">
      <w:pPr>
        <w:rPr>
          <w:rFonts w:ascii="微软雅黑" w:hAnsi="微软雅黑" w:eastAsia="微软雅黑"/>
          <w:color w:val="000000"/>
          <w:szCs w:val="21"/>
          <w:highlight w:val="none"/>
        </w:rPr>
      </w:pPr>
      <w:r>
        <w:rPr>
          <w:color w:val="000000"/>
          <w:highlight w:val="none"/>
        </w:rPr>
        <w:t>1、现浇混凝土采用预拌混凝土。</w:t>
      </w:r>
    </w:p>
    <w:p w14:paraId="2DAADF53">
      <w:pPr>
        <w:rPr>
          <w:rFonts w:ascii="微软雅黑" w:hAnsi="微软雅黑" w:eastAsia="微软雅黑"/>
          <w:color w:val="000000"/>
          <w:szCs w:val="21"/>
          <w:highlight w:val="none"/>
        </w:rPr>
      </w:pPr>
      <w:r>
        <w:rPr>
          <w:color w:val="000000"/>
          <w:highlight w:val="none"/>
        </w:rPr>
        <w:t>2、建筑结构材料合理采用高性能混凝土、高强度钢。</w:t>
      </w:r>
    </w:p>
    <w:p w14:paraId="28E16395">
      <w:pPr>
        <w:pStyle w:val="5"/>
        <w:rPr>
          <w:rFonts w:ascii="微软雅黑" w:hAnsi="微软雅黑" w:eastAsia="微软雅黑"/>
          <w:color w:val="000000"/>
          <w:szCs w:val="21"/>
          <w:highlight w:val="none"/>
        </w:rPr>
      </w:pPr>
      <w:r>
        <w:rPr>
          <w:color w:val="000000"/>
          <w:highlight w:val="none"/>
        </w:rPr>
        <w:t>给排水专业</w:t>
      </w:r>
    </w:p>
    <w:p w14:paraId="60F81FC0">
      <w:pPr>
        <w:rPr>
          <w:rFonts w:ascii="微软雅黑" w:hAnsi="微软雅黑" w:eastAsia="微软雅黑"/>
          <w:color w:val="000000"/>
          <w:szCs w:val="21"/>
          <w:highlight w:val="none"/>
        </w:rPr>
      </w:pPr>
      <w:r>
        <w:rPr>
          <w:color w:val="000000"/>
          <w:highlight w:val="none"/>
        </w:rPr>
        <w:t>1、采取有效措施避免管网损漏。</w:t>
      </w:r>
    </w:p>
    <w:p w14:paraId="731B9558">
      <w:pPr>
        <w:rPr>
          <w:rFonts w:ascii="微软雅黑" w:hAnsi="微软雅黑" w:eastAsia="微软雅黑"/>
          <w:color w:val="000000"/>
          <w:szCs w:val="21"/>
          <w:highlight w:val="none"/>
        </w:rPr>
      </w:pPr>
      <w:r>
        <w:rPr>
          <w:color w:val="000000"/>
          <w:highlight w:val="none"/>
        </w:rPr>
        <w:t>2、采用节水器具和设备。</w:t>
      </w:r>
    </w:p>
    <w:p w14:paraId="6A4D5549">
      <w:pPr>
        <w:rPr>
          <w:rFonts w:ascii="微软雅黑" w:hAnsi="微软雅黑" w:eastAsia="微软雅黑"/>
          <w:color w:val="000000"/>
          <w:szCs w:val="21"/>
          <w:highlight w:val="none"/>
        </w:rPr>
      </w:pPr>
      <w:r>
        <w:rPr>
          <w:color w:val="000000"/>
          <w:highlight w:val="none"/>
        </w:rPr>
        <w:t>3、调速泵在额定转速时的工作点，应位于水泵高效区的末端。</w:t>
      </w:r>
    </w:p>
    <w:p w14:paraId="0FA737D0">
      <w:pPr>
        <w:rPr>
          <w:rFonts w:ascii="微软雅黑" w:hAnsi="微软雅黑" w:eastAsia="微软雅黑"/>
          <w:color w:val="000000"/>
          <w:szCs w:val="21"/>
          <w:highlight w:val="none"/>
        </w:rPr>
      </w:pPr>
      <w:r>
        <w:rPr>
          <w:color w:val="000000"/>
          <w:highlight w:val="none"/>
        </w:rPr>
        <w:t>4、合理设计雨水的径流控制利用途径，减少雨水受污染机率，削减雨洪峰流量。通过技术经济比较，合理确定雨水集蓄及利用方案。</w:t>
      </w:r>
    </w:p>
    <w:p w14:paraId="1A50D124">
      <w:pPr>
        <w:pStyle w:val="5"/>
        <w:rPr>
          <w:rFonts w:ascii="微软雅黑" w:hAnsi="微软雅黑" w:eastAsia="微软雅黑"/>
          <w:color w:val="000000"/>
          <w:szCs w:val="21"/>
          <w:highlight w:val="none"/>
        </w:rPr>
      </w:pPr>
      <w:r>
        <w:rPr>
          <w:color w:val="000000"/>
          <w:highlight w:val="none"/>
        </w:rPr>
        <w:t>电气专业</w:t>
      </w:r>
    </w:p>
    <w:p w14:paraId="0F76BAB0">
      <w:pPr>
        <w:rPr>
          <w:rFonts w:ascii="微软雅黑" w:hAnsi="微软雅黑" w:eastAsia="微软雅黑"/>
          <w:color w:val="000000"/>
          <w:szCs w:val="21"/>
          <w:highlight w:val="none"/>
        </w:rPr>
      </w:pPr>
      <w:r>
        <w:rPr>
          <w:color w:val="000000"/>
          <w:highlight w:val="none"/>
        </w:rPr>
        <w:t>1、供配电系统节能设计</w:t>
      </w:r>
    </w:p>
    <w:p w14:paraId="62319259">
      <w:pPr>
        <w:rPr>
          <w:rFonts w:ascii="微软雅黑" w:hAnsi="微软雅黑" w:eastAsia="微软雅黑"/>
          <w:color w:val="000000"/>
          <w:szCs w:val="21"/>
          <w:highlight w:val="none"/>
        </w:rPr>
      </w:pPr>
      <w:r>
        <w:rPr>
          <w:color w:val="000000"/>
          <w:highlight w:val="none"/>
        </w:rPr>
        <w:t>（1）变配电系统设备应采用节能、高效型设备，实现变配电系统的经济运行。</w:t>
      </w:r>
    </w:p>
    <w:p w14:paraId="040F1E8E">
      <w:pPr>
        <w:rPr>
          <w:rFonts w:ascii="微软雅黑" w:hAnsi="微软雅黑" w:eastAsia="微软雅黑"/>
          <w:color w:val="000000"/>
          <w:szCs w:val="21"/>
          <w:highlight w:val="none"/>
        </w:rPr>
      </w:pPr>
      <w:r>
        <w:rPr>
          <w:color w:val="000000"/>
          <w:highlight w:val="none"/>
        </w:rPr>
        <w:t>（2）变电所的位置应靠近负荷中心，低压配电级数不宜多于三级，减少正常运行时的线路损耗，降低配电系统自身的能耗。</w:t>
      </w:r>
    </w:p>
    <w:p w14:paraId="17325365">
      <w:pPr>
        <w:rPr>
          <w:rFonts w:ascii="微软雅黑" w:hAnsi="微软雅黑" w:eastAsia="微软雅黑"/>
          <w:color w:val="000000"/>
          <w:szCs w:val="21"/>
          <w:highlight w:val="none"/>
        </w:rPr>
      </w:pPr>
      <w:r>
        <w:rPr>
          <w:color w:val="000000"/>
          <w:highlight w:val="none"/>
        </w:rPr>
        <w:t>（3）应按照经济电流合理选择电缆截面，降低线路损耗。</w:t>
      </w:r>
    </w:p>
    <w:p w14:paraId="0789FEB5">
      <w:pPr>
        <w:rPr>
          <w:rFonts w:ascii="微软雅黑" w:hAnsi="微软雅黑" w:eastAsia="微软雅黑"/>
          <w:color w:val="000000"/>
          <w:szCs w:val="21"/>
          <w:highlight w:val="none"/>
        </w:rPr>
      </w:pPr>
      <w:r>
        <w:rPr>
          <w:color w:val="000000"/>
          <w:highlight w:val="none"/>
        </w:rPr>
        <w:t>（4）在低压配电系统设功率因数自动补偿装置，补偿后的功率因数大于 0.9，减少无功损耗。</w:t>
      </w:r>
    </w:p>
    <w:p w14:paraId="63286466">
      <w:pPr>
        <w:rPr>
          <w:rFonts w:ascii="微软雅黑" w:hAnsi="微软雅黑" w:eastAsia="微软雅黑"/>
          <w:color w:val="000000"/>
          <w:szCs w:val="21"/>
          <w:highlight w:val="none"/>
        </w:rPr>
      </w:pPr>
      <w:r>
        <w:rPr>
          <w:color w:val="000000"/>
          <w:highlight w:val="none"/>
        </w:rPr>
        <w:t>（5）空调器、水泵等采用节能型电动机，提高电动机的能效。</w:t>
      </w:r>
    </w:p>
    <w:p w14:paraId="58E42716">
      <w:pPr>
        <w:rPr>
          <w:rFonts w:ascii="微软雅黑" w:hAnsi="微软雅黑" w:eastAsia="微软雅黑"/>
          <w:color w:val="000000"/>
          <w:szCs w:val="21"/>
          <w:highlight w:val="none"/>
        </w:rPr>
      </w:pPr>
      <w:r>
        <w:rPr>
          <w:color w:val="000000"/>
          <w:highlight w:val="none"/>
        </w:rPr>
        <w:t>2、照明节能设计</w:t>
      </w:r>
    </w:p>
    <w:p w14:paraId="4183DB23">
      <w:pPr>
        <w:rPr>
          <w:rFonts w:ascii="微软雅黑" w:hAnsi="微软雅黑" w:eastAsia="微软雅黑"/>
          <w:color w:val="000000"/>
          <w:szCs w:val="21"/>
          <w:highlight w:val="none"/>
        </w:rPr>
      </w:pPr>
      <w:r>
        <w:rPr>
          <w:color w:val="000000"/>
          <w:highlight w:val="none"/>
        </w:rPr>
        <w:t>（1）应按照建筑照明设计标准，严格控制各个场所的照度标准值与照明功率密度值，并满足眩光值、效率、显指、色温要求。</w:t>
      </w:r>
    </w:p>
    <w:p w14:paraId="13F32A29">
      <w:pPr>
        <w:rPr>
          <w:rFonts w:ascii="微软雅黑" w:hAnsi="微软雅黑" w:eastAsia="微软雅黑"/>
          <w:color w:val="000000"/>
          <w:szCs w:val="21"/>
          <w:highlight w:val="none"/>
        </w:rPr>
      </w:pPr>
      <w:r>
        <w:rPr>
          <w:color w:val="000000"/>
          <w:highlight w:val="none"/>
        </w:rPr>
        <w:t>（2）一般照明应采用直接照明为主方式，所有照明灯具、光源、电气附件等均选用高效、节能型，提高照明效率。</w:t>
      </w:r>
    </w:p>
    <w:p w14:paraId="5A2F737E">
      <w:pPr>
        <w:rPr>
          <w:rFonts w:ascii="微软雅黑" w:hAnsi="微软雅黑" w:eastAsia="微软雅黑"/>
          <w:color w:val="000000"/>
          <w:szCs w:val="21"/>
          <w:highlight w:val="none"/>
        </w:rPr>
      </w:pPr>
      <w:r>
        <w:rPr>
          <w:color w:val="000000"/>
          <w:highlight w:val="none"/>
        </w:rPr>
        <w:t>（3）如采用荧光灯配电子镇流器，功率因数不小于 0.9</w:t>
      </w:r>
    </w:p>
    <w:p w14:paraId="37785BB7">
      <w:pPr>
        <w:rPr>
          <w:rFonts w:ascii="微软雅黑" w:hAnsi="微软雅黑" w:eastAsia="微软雅黑"/>
          <w:color w:val="000000"/>
          <w:szCs w:val="21"/>
          <w:highlight w:val="none"/>
        </w:rPr>
      </w:pPr>
      <w:r>
        <w:rPr>
          <w:color w:val="000000"/>
          <w:highlight w:val="none"/>
        </w:rPr>
        <w:t>（4）照明控制：住宅走廊、楼梯灯采用节能自熄开关控制；门厅灯采用就地控制；地下室车库照明采用集中控制。</w:t>
      </w:r>
    </w:p>
    <w:p w14:paraId="573C5EDE">
      <w:pPr>
        <w:pStyle w:val="5"/>
        <w:rPr>
          <w:rFonts w:ascii="微软雅黑" w:hAnsi="微软雅黑" w:eastAsia="微软雅黑"/>
          <w:color w:val="000000"/>
          <w:szCs w:val="21"/>
          <w:highlight w:val="none"/>
        </w:rPr>
      </w:pPr>
      <w:r>
        <w:rPr>
          <w:color w:val="000000"/>
          <w:highlight w:val="none"/>
        </w:rPr>
        <w:t>暖通空调专业</w:t>
      </w:r>
    </w:p>
    <w:p w14:paraId="167DAFB1">
      <w:pPr>
        <w:rPr>
          <w:rFonts w:ascii="微软雅黑" w:hAnsi="微软雅黑" w:eastAsia="微软雅黑"/>
          <w:color w:val="000000"/>
          <w:szCs w:val="21"/>
          <w:highlight w:val="none"/>
        </w:rPr>
      </w:pPr>
      <w:r>
        <w:rPr>
          <w:color w:val="000000"/>
          <w:highlight w:val="none"/>
        </w:rPr>
        <w:t>1、住宅房间空调器的能源效率等级指标应达到国家标准确定的节能型要求，所选产品能效应达到 2级以上。</w:t>
      </w:r>
    </w:p>
    <w:p w14:paraId="2AFEA2CC">
      <w:pPr>
        <w:rPr>
          <w:rFonts w:ascii="微软雅黑" w:hAnsi="微软雅黑" w:eastAsia="微软雅黑"/>
          <w:color w:val="000000"/>
          <w:szCs w:val="21"/>
          <w:highlight w:val="none"/>
        </w:rPr>
      </w:pPr>
      <w:r>
        <w:rPr>
          <w:color w:val="000000"/>
          <w:highlight w:val="none"/>
        </w:rPr>
        <w:t>2、配套公共建筑采用多联机或分体式空调机时，应考虑空调机的安放位置和搁板构造，设计安放位置时应避免多台相邻室外机排风气流的相互干扰，设计板构造时应有利于空调机吸入和排出气流的通畅，空调室外机的进、排风口不应遮挡，为美观而设的遮蔽百叶应采用水平百叶，且透气率应达到 80%上，不应将空调室外机设置在闭口天井内，或宽度小于 4m且进深大于 6m 的凹槽内。</w:t>
      </w:r>
    </w:p>
    <w:p w14:paraId="0B8B26FD">
      <w:pPr>
        <w:pStyle w:val="4"/>
        <w:rPr>
          <w:color w:val="000000"/>
          <w:highlight w:val="none"/>
        </w:rPr>
      </w:pPr>
      <w:r>
        <w:rPr>
          <w:color w:val="000000"/>
          <w:highlight w:val="none"/>
        </w:rPr>
        <w:t>其它设计要求</w:t>
      </w:r>
    </w:p>
    <w:p w14:paraId="2642410B">
      <w:pPr>
        <w:ind w:firstLine="564" w:firstLineChars="235"/>
        <w:rPr>
          <w:color w:val="000000"/>
          <w:highlight w:val="none"/>
        </w:rPr>
      </w:pPr>
      <w:r>
        <w:rPr>
          <w:color w:val="000000"/>
          <w:highlight w:val="none"/>
        </w:rPr>
        <w:t>1.项目前期摸查报告编制。报告包含但不限于项目概况、项目现状、周边市政条件、报批报建工作进展、勘察设计工作进展、建设工作界面、勘察设计工作计划、存在的问题及相关建议等内容，前期摸查报告需经甲方审核通过后视为完成。</w:t>
      </w:r>
    </w:p>
    <w:p w14:paraId="50FA6053">
      <w:pPr>
        <w:ind w:firstLine="564" w:firstLineChars="235"/>
        <w:rPr>
          <w:color w:val="000000"/>
          <w:highlight w:val="none"/>
        </w:rPr>
      </w:pPr>
      <w:r>
        <w:rPr>
          <w:color w:val="000000"/>
          <w:highlight w:val="none"/>
        </w:rPr>
        <w:t>2.幕墙设计：须进行技术方案比选分析</w:t>
      </w:r>
      <w:r>
        <w:rPr>
          <w:rFonts w:hint="eastAsia"/>
          <w:color w:val="000000"/>
          <w:highlight w:val="none"/>
        </w:rPr>
        <w:t>（</w:t>
      </w:r>
      <w:r>
        <w:rPr>
          <w:rFonts w:hint="eastAsia"/>
          <w:highlight w:val="none"/>
        </w:rPr>
        <w:t>若有</w:t>
      </w:r>
      <w:r>
        <w:rPr>
          <w:rFonts w:hint="eastAsia"/>
          <w:color w:val="000000"/>
          <w:highlight w:val="none"/>
        </w:rPr>
        <w:t>）</w:t>
      </w:r>
      <w:r>
        <w:rPr>
          <w:color w:val="000000"/>
          <w:highlight w:val="none"/>
        </w:rPr>
        <w:t>。</w:t>
      </w:r>
    </w:p>
    <w:p w14:paraId="6EE6554A">
      <w:pPr>
        <w:ind w:firstLine="564" w:firstLineChars="235"/>
        <w:rPr>
          <w:color w:val="000000"/>
          <w:highlight w:val="none"/>
        </w:rPr>
      </w:pPr>
      <w:r>
        <w:rPr>
          <w:color w:val="000000"/>
          <w:highlight w:val="none"/>
        </w:rPr>
        <w:t>3.防雷设计，进行技术方案比选分析。</w:t>
      </w:r>
    </w:p>
    <w:p w14:paraId="4F5DA5C8">
      <w:pPr>
        <w:ind w:firstLine="564" w:firstLineChars="235"/>
        <w:rPr>
          <w:color w:val="000000"/>
          <w:highlight w:val="none"/>
        </w:rPr>
      </w:pPr>
      <w:r>
        <w:rPr>
          <w:color w:val="000000"/>
          <w:highlight w:val="none"/>
        </w:rPr>
        <w:t>4.建筑节能新技术的应用及设计：进行技术方案比选分析。</w:t>
      </w:r>
    </w:p>
    <w:p w14:paraId="3FCE8009">
      <w:pPr>
        <w:ind w:firstLine="564" w:firstLineChars="235"/>
        <w:rPr>
          <w:color w:val="000000"/>
          <w:highlight w:val="none"/>
        </w:rPr>
      </w:pPr>
      <w:r>
        <w:rPr>
          <w:color w:val="000000"/>
          <w:highlight w:val="none"/>
        </w:rPr>
        <w:t>5.标识导引（按照任务书或项目承建单位制定的范围进行设计）：设计单位在方案、初步设计中以单独篇章提交标志标识系统设计成果。</w:t>
      </w:r>
    </w:p>
    <w:p w14:paraId="3724A0EB">
      <w:pPr>
        <w:ind w:firstLine="564" w:firstLineChars="235"/>
        <w:rPr>
          <w:color w:val="000000"/>
          <w:highlight w:val="none"/>
        </w:rPr>
      </w:pPr>
      <w:r>
        <w:rPr>
          <w:color w:val="000000"/>
          <w:highlight w:val="none"/>
        </w:rPr>
        <w:t>6.管线综合平衡设计：各种专业设备、系统的管线在建筑物内系统设计、外的路由平衡设计(要求小管线、线槽做穿梁设计)，进行技术方案比选分析，所有管线不同平面、剖面画出具体定位，画至末端。</w:t>
      </w:r>
    </w:p>
    <w:p w14:paraId="6BCAA6FB">
      <w:pPr>
        <w:ind w:firstLine="564" w:firstLineChars="235"/>
        <w:rPr>
          <w:color w:val="000000"/>
          <w:highlight w:val="none"/>
        </w:rPr>
      </w:pPr>
      <w:r>
        <w:rPr>
          <w:color w:val="000000"/>
          <w:highlight w:val="none"/>
        </w:rPr>
        <w:t>7.若采用自主创新、自主知识产权的新型产品，应在项目可行性研究报告报送前，提交专题方案比较论证报告报招标人确认，可行性研究报告中应有明确采购自主创新产品的具体要求。</w:t>
      </w:r>
    </w:p>
    <w:p w14:paraId="4B6C6A6F">
      <w:pPr>
        <w:pStyle w:val="4"/>
        <w:rPr>
          <w:color w:val="000000"/>
          <w:highlight w:val="none"/>
        </w:rPr>
      </w:pPr>
      <w:r>
        <w:rPr>
          <w:color w:val="000000"/>
          <w:highlight w:val="none"/>
        </w:rPr>
        <w:t>造价工作要求</w:t>
      </w:r>
    </w:p>
    <w:p w14:paraId="5F0F99AD">
      <w:pPr>
        <w:pStyle w:val="5"/>
        <w:rPr>
          <w:color w:val="000000"/>
          <w:highlight w:val="none"/>
        </w:rPr>
      </w:pPr>
      <w:r>
        <w:rPr>
          <w:rFonts w:hint="eastAsia"/>
          <w:color w:val="000000"/>
          <w:highlight w:val="none"/>
        </w:rPr>
        <w:t>造价文件编制及报审工作</w:t>
      </w:r>
    </w:p>
    <w:p w14:paraId="77E117F5">
      <w:pPr>
        <w:rPr>
          <w:color w:val="000000"/>
          <w:highlight w:val="none"/>
        </w:rPr>
      </w:pPr>
      <w:r>
        <w:rPr>
          <w:color w:val="000000"/>
          <w:highlight w:val="none"/>
        </w:rPr>
        <w:t>1.编制合同设计范围内方案估算（按分布分项进行限额控制）、初步设计概算；</w:t>
      </w:r>
    </w:p>
    <w:p w14:paraId="055C980E">
      <w:pPr>
        <w:rPr>
          <w:color w:val="000000"/>
          <w:highlight w:val="none"/>
        </w:rPr>
      </w:pPr>
      <w:r>
        <w:rPr>
          <w:color w:val="000000"/>
          <w:highlight w:val="none"/>
        </w:rPr>
        <w:t>2.负责配合初步设计概算送报审工作；</w:t>
      </w:r>
    </w:p>
    <w:p w14:paraId="20AC3CB9">
      <w:pPr>
        <w:rPr>
          <w:color w:val="000000"/>
          <w:highlight w:val="none"/>
        </w:rPr>
      </w:pPr>
      <w:r>
        <w:rPr>
          <w:color w:val="000000"/>
          <w:highlight w:val="none"/>
        </w:rPr>
        <w:t>3.各设计阶段进行各类方案比选时编制造价分析材料，给出造价分析结论。</w:t>
      </w:r>
    </w:p>
    <w:p w14:paraId="177183C9">
      <w:pPr>
        <w:pStyle w:val="5"/>
        <w:rPr>
          <w:color w:val="000000"/>
          <w:highlight w:val="none"/>
        </w:rPr>
      </w:pPr>
      <w:r>
        <w:rPr>
          <w:rFonts w:hint="eastAsia"/>
          <w:color w:val="000000"/>
          <w:highlight w:val="none"/>
        </w:rPr>
        <w:t>造价控制要求及工作要求</w:t>
      </w:r>
    </w:p>
    <w:p w14:paraId="7A9EF7C2">
      <w:pPr>
        <w:rPr>
          <w:color w:val="000000"/>
          <w:highlight w:val="none"/>
        </w:rPr>
      </w:pPr>
      <w:r>
        <w:rPr>
          <w:color w:val="000000"/>
          <w:highlight w:val="none"/>
        </w:rPr>
        <w:t>乙方除按合同要求做好工程投资控制外，概算成果资料需按《广州市财政局关于印发广州市本级政府投资建设项概算评审工作指引的通知》（穗财建〔2024〕46 号）要求进行编制</w:t>
      </w:r>
      <w:r>
        <w:rPr>
          <w:rFonts w:hint="eastAsia"/>
          <w:color w:val="000000"/>
          <w:highlight w:val="none"/>
        </w:rPr>
        <w:t>，同时</w:t>
      </w:r>
      <w:r>
        <w:rPr>
          <w:color w:val="000000"/>
          <w:highlight w:val="none"/>
        </w:rPr>
        <w:t>还要做到以下要求：</w:t>
      </w:r>
    </w:p>
    <w:p w14:paraId="362A0B78">
      <w:pPr>
        <w:rPr>
          <w:color w:val="000000"/>
          <w:highlight w:val="none"/>
        </w:rPr>
      </w:pPr>
      <w:r>
        <w:rPr>
          <w:color w:val="000000"/>
          <w:highlight w:val="none"/>
        </w:rPr>
        <w:t>1．各阶段的造价文件编制需满足对应阶段造价文件深度要求。各阶段造价成果文件误差控制不超过±10%。</w:t>
      </w:r>
    </w:p>
    <w:p w14:paraId="10E54A12">
      <w:pPr>
        <w:rPr>
          <w:color w:val="000000"/>
          <w:highlight w:val="none"/>
        </w:rPr>
      </w:pPr>
      <w:r>
        <w:rPr>
          <w:color w:val="000000"/>
          <w:highlight w:val="none"/>
        </w:rPr>
        <w:t>2.乙方须根据甲方的相关规定和要求进行工程设计概算的编制，概算文件中的开项必须齐全完整，造价指标必须准确，须满足工程投资控制的要求。乙方编制的工程概算须同时满足甲方信息化管理的相关要求。</w:t>
      </w:r>
    </w:p>
    <w:p w14:paraId="5ED5B07E">
      <w:pPr>
        <w:rPr>
          <w:color w:val="000000"/>
          <w:highlight w:val="none"/>
        </w:rPr>
      </w:pPr>
      <w:r>
        <w:rPr>
          <w:color w:val="000000"/>
          <w:highlight w:val="none"/>
        </w:rPr>
        <w:t>3. 如果乙方的概算编制质量和进度不能满足本合同约定或甲方要求，则甲方可从甲方公开征集的造价咨询单位库中另行委托专业造价咨询单位实施设计概算编制工作，所发生的费用根据《关于调整我省建设工程造价咨询服务收费的复函》（粤价函[2011]742号）规定并结合专业造价咨询单位实际工作比例计取，由乙方负责支付。</w:t>
      </w:r>
    </w:p>
    <w:p w14:paraId="404CD446">
      <w:pPr>
        <w:pStyle w:val="5"/>
        <w:rPr>
          <w:color w:val="000000"/>
          <w:highlight w:val="none"/>
        </w:rPr>
      </w:pPr>
      <w:r>
        <w:rPr>
          <w:rFonts w:hint="eastAsia"/>
          <w:color w:val="000000"/>
          <w:highlight w:val="none"/>
        </w:rPr>
        <w:t>项目周边环境设计工作要求（</w:t>
      </w:r>
      <w:r>
        <w:rPr>
          <w:rFonts w:hint="eastAsia"/>
          <w:highlight w:val="none"/>
        </w:rPr>
        <w:t>若有</w:t>
      </w:r>
      <w:r>
        <w:rPr>
          <w:rFonts w:hint="eastAsia"/>
          <w:color w:val="000000"/>
          <w:highlight w:val="none"/>
        </w:rPr>
        <w:t>）</w:t>
      </w:r>
    </w:p>
    <w:p w14:paraId="29B24CA2">
      <w:pPr>
        <w:rPr>
          <w:color w:val="000000"/>
          <w:highlight w:val="none"/>
        </w:rPr>
      </w:pPr>
      <w:r>
        <w:rPr>
          <w:color w:val="000000"/>
          <w:highlight w:val="none"/>
        </w:rPr>
        <w:t>项目周边环境设计（项目红线外西侧旁的绿地改造设计、项目红线外东侧水系河岸景观改造设计）</w:t>
      </w:r>
    </w:p>
    <w:p w14:paraId="065D543B">
      <w:pPr>
        <w:pStyle w:val="5"/>
        <w:rPr>
          <w:color w:val="000000"/>
          <w:highlight w:val="none"/>
        </w:rPr>
      </w:pPr>
      <w:r>
        <w:rPr>
          <w:rFonts w:hint="eastAsia"/>
          <w:color w:val="000000"/>
          <w:highlight w:val="none"/>
        </w:rPr>
        <w:t>通信室分系统设计工作要求（</w:t>
      </w:r>
      <w:r>
        <w:rPr>
          <w:rFonts w:hint="eastAsia"/>
          <w:highlight w:val="none"/>
        </w:rPr>
        <w:t>若有</w:t>
      </w:r>
      <w:r>
        <w:rPr>
          <w:rFonts w:hint="eastAsia"/>
          <w:color w:val="000000"/>
          <w:highlight w:val="none"/>
        </w:rPr>
        <w:t>）</w:t>
      </w:r>
    </w:p>
    <w:p w14:paraId="20D5103B">
      <w:pPr>
        <w:rPr>
          <w:color w:val="000000"/>
          <w:highlight w:val="none"/>
        </w:rPr>
      </w:pPr>
      <w:r>
        <w:rPr>
          <w:rFonts w:hint="eastAsia"/>
          <w:color w:val="000000"/>
          <w:highlight w:val="none"/>
        </w:rPr>
        <w:t>根据5G通信配套专项规划的要求，明确主体建筑物红线内所应该配置的通信基站及室内分布系统的数量、位置及具体配置。</w:t>
      </w:r>
    </w:p>
    <w:p w14:paraId="130B6835">
      <w:pPr>
        <w:rPr>
          <w:color w:val="000000"/>
          <w:highlight w:val="none"/>
        </w:rPr>
      </w:pPr>
    </w:p>
    <w:p w14:paraId="7B889F7A">
      <w:pPr>
        <w:rPr>
          <w:color w:val="000000"/>
          <w:highlight w:val="none"/>
        </w:rPr>
      </w:pPr>
    </w:p>
    <w:p w14:paraId="46AB34F3">
      <w:pPr>
        <w:rPr>
          <w:color w:val="000000"/>
          <w:highlight w:val="none"/>
        </w:rPr>
      </w:pPr>
      <w:r>
        <w:rPr>
          <w:color w:val="000000"/>
          <w:highlight w:val="none"/>
        </w:rPr>
        <w:br w:type="page"/>
      </w:r>
    </w:p>
    <w:p w14:paraId="3BD289F3">
      <w:pPr>
        <w:pStyle w:val="2"/>
        <w:rPr>
          <w:color w:val="000000"/>
          <w:highlight w:val="none"/>
        </w:rPr>
      </w:pPr>
      <w:bookmarkStart w:id="25" w:name="_Toc75504391"/>
      <w:r>
        <w:rPr>
          <w:color w:val="000000"/>
          <w:highlight w:val="none"/>
        </w:rPr>
        <w:t>勘察设计人员组织管理要求</w:t>
      </w:r>
      <w:bookmarkEnd w:id="25"/>
    </w:p>
    <w:p w14:paraId="5918161A">
      <w:pPr>
        <w:pStyle w:val="3"/>
        <w:rPr>
          <w:color w:val="000000"/>
          <w:highlight w:val="none"/>
        </w:rPr>
      </w:pPr>
      <w:bookmarkStart w:id="26" w:name="_Toc75504392"/>
      <w:r>
        <w:rPr>
          <w:color w:val="000000"/>
          <w:highlight w:val="none"/>
        </w:rPr>
        <w:t>设计人员组织管理</w:t>
      </w:r>
      <w:bookmarkEnd w:id="26"/>
    </w:p>
    <w:p w14:paraId="7A8EE625">
      <w:pPr>
        <w:rPr>
          <w:color w:val="000000"/>
          <w:highlight w:val="none"/>
        </w:rPr>
      </w:pPr>
      <w:r>
        <w:rPr>
          <w:color w:val="000000"/>
          <w:highlight w:val="none"/>
        </w:rPr>
        <w:t>1、为便于甲方与乙方及时沟通及协调，以保证乙方的设计成果文件能更好地体现甲方的建设意图，乙方应根据甲方的要求，分阶段在指定的地点投入本合同约定的专业人员、设备及设施，实施本合同工程的设计工作。</w:t>
      </w:r>
    </w:p>
    <w:p w14:paraId="6298B1BA">
      <w:pPr>
        <w:rPr>
          <w:color w:val="000000"/>
          <w:highlight w:val="none"/>
        </w:rPr>
      </w:pPr>
      <w:bookmarkStart w:id="27" w:name="_Hlk75250235"/>
      <w:r>
        <w:rPr>
          <w:color w:val="000000"/>
          <w:highlight w:val="none"/>
        </w:rPr>
        <w:t>乙方应根据项目设计任务及工期要求建立项目组</w:t>
      </w:r>
      <w:r>
        <w:rPr>
          <w:rFonts w:hint="eastAsia"/>
          <w:color w:val="000000"/>
          <w:highlight w:val="none"/>
        </w:rPr>
        <w:t>，具体见合同约定</w:t>
      </w:r>
      <w:r>
        <w:rPr>
          <w:color w:val="000000"/>
          <w:highlight w:val="none"/>
        </w:rPr>
        <w:t>。</w:t>
      </w:r>
    </w:p>
    <w:bookmarkEnd w:id="27"/>
    <w:p w14:paraId="49B40A2E">
      <w:pPr>
        <w:rPr>
          <w:color w:val="000000"/>
          <w:highlight w:val="none"/>
        </w:rPr>
      </w:pPr>
      <w:r>
        <w:rPr>
          <w:color w:val="000000"/>
          <w:highlight w:val="none"/>
        </w:rPr>
        <w:t>2、在设计高峰或项目承建单位认为有必要时，设计方必须集中力量确保设计进度。</w:t>
      </w:r>
    </w:p>
    <w:p w14:paraId="73E344B4">
      <w:pPr>
        <w:rPr>
          <w:color w:val="000000"/>
          <w:highlight w:val="none"/>
        </w:rPr>
      </w:pPr>
      <w:r>
        <w:rPr>
          <w:color w:val="000000"/>
          <w:highlight w:val="none"/>
        </w:rPr>
        <w:t>3、设计单位在明确分工各负其责的基础上，按照招标文件所列要求承诺为本项目合同约定项目指定的设计总负责人、各专业设计负责人、各专业设计人、报建协调人，并向建设管理单位出具相应的授权文件。</w:t>
      </w:r>
    </w:p>
    <w:p w14:paraId="66BFAAFC">
      <w:pPr>
        <w:rPr>
          <w:color w:val="000000"/>
          <w:highlight w:val="none"/>
        </w:rPr>
      </w:pPr>
      <w:r>
        <w:rPr>
          <w:color w:val="000000"/>
          <w:highlight w:val="none"/>
        </w:rPr>
        <w:t>4、项目设计总负责人，各专业设计负责人应能够胜任所承担任务的设计、组织、计划、协调工作。</w:t>
      </w:r>
    </w:p>
    <w:p w14:paraId="1A427531">
      <w:pPr>
        <w:rPr>
          <w:color w:val="000000"/>
          <w:highlight w:val="none"/>
        </w:rPr>
      </w:pPr>
      <w:r>
        <w:rPr>
          <w:color w:val="000000"/>
          <w:highlight w:val="none"/>
        </w:rPr>
        <w:t>5、须报送项目设计总负责人、各专业设计负责人、其他参与设计工作的人员姓名、年龄、学历、专业、职称、职务、相关经历和主要技术成果以及在本合同约定项目中负责的设计任务等资料。</w:t>
      </w:r>
    </w:p>
    <w:p w14:paraId="10810C7B">
      <w:pPr>
        <w:rPr>
          <w:color w:val="000000"/>
          <w:highlight w:val="none"/>
        </w:rPr>
      </w:pPr>
      <w:r>
        <w:rPr>
          <w:color w:val="000000"/>
          <w:highlight w:val="none"/>
        </w:rPr>
        <w:t>6、必须保证参与本项目各设计单位人员的稳定性，不可随意撤换，且短时离开本地须向项目承建单位请假并制定离开后的协调人，否则必须承担相应责任。</w:t>
      </w:r>
    </w:p>
    <w:p w14:paraId="521BBEAA">
      <w:pPr>
        <w:rPr>
          <w:color w:val="000000"/>
          <w:highlight w:val="none"/>
        </w:rPr>
      </w:pPr>
      <w:r>
        <w:rPr>
          <w:color w:val="000000"/>
          <w:highlight w:val="none"/>
        </w:rPr>
        <w:t>7、设计单位的设计人员数量、专业水平、专业配套等达不到设计所需时，需更换及补充设计人员；未能在指定时间内及时更换和补充的，将视为违约行为, 项目承建单位将根据项目设计(咨询)单位综合考评办法予以相应的处罚。</w:t>
      </w:r>
    </w:p>
    <w:p w14:paraId="47A3B9D3">
      <w:pPr>
        <w:rPr>
          <w:b/>
          <w:bCs/>
          <w:highlight w:val="none"/>
        </w:rPr>
      </w:pPr>
      <w:r>
        <w:rPr>
          <w:color w:val="000000"/>
          <w:highlight w:val="none"/>
        </w:rPr>
        <w:t>8、设计单位应安排专人全面配合跟进所有报审报建工作</w:t>
      </w:r>
      <w:r>
        <w:rPr>
          <w:highlight w:val="none"/>
        </w:rPr>
        <w:t>（包括</w:t>
      </w:r>
      <w:r>
        <w:rPr>
          <w:rFonts w:hint="eastAsia"/>
          <w:highlight w:val="none"/>
        </w:rPr>
        <w:t>但不限于</w:t>
      </w:r>
      <w:r>
        <w:rPr>
          <w:highlight w:val="none"/>
        </w:rPr>
        <w:t>提供项目承建单位报审报建及有关外出协调所需的交通便利，</w:t>
      </w:r>
      <w:r>
        <w:rPr>
          <w:kern w:val="0"/>
          <w:highlight w:val="none"/>
        </w:rPr>
        <w:t>包括购买地形图、管线图纸、加晒加印图纸资料等</w:t>
      </w:r>
      <w:r>
        <w:rPr>
          <w:highlight w:val="none"/>
        </w:rPr>
        <w:t>相关报建费用、</w:t>
      </w:r>
      <w:r>
        <w:rPr>
          <w:kern w:val="0"/>
          <w:highlight w:val="none"/>
        </w:rPr>
        <w:t>各阶段的汇报文件和送审文件晒制费用</w:t>
      </w:r>
      <w:r>
        <w:rPr>
          <w:highlight w:val="none"/>
        </w:rPr>
        <w:t>已包含在勘察设计费中）</w:t>
      </w:r>
      <w:r>
        <w:rPr>
          <w:b/>
          <w:bCs/>
          <w:highlight w:val="none"/>
        </w:rPr>
        <w:t>。</w:t>
      </w:r>
    </w:p>
    <w:p w14:paraId="752AB4E5">
      <w:pPr>
        <w:ind w:firstLine="564" w:firstLineChars="234"/>
        <w:rPr>
          <w:b/>
          <w:bCs/>
          <w:color w:val="000000"/>
          <w:highlight w:val="none"/>
        </w:rPr>
      </w:pPr>
    </w:p>
    <w:p w14:paraId="24D03024">
      <w:pPr>
        <w:ind w:firstLine="569"/>
        <w:rPr>
          <w:b/>
          <w:bCs/>
          <w:color w:val="000000"/>
          <w:highlight w:val="none"/>
        </w:rPr>
      </w:pPr>
      <w:r>
        <w:rPr>
          <w:b/>
          <w:bCs/>
          <w:color w:val="000000"/>
          <w:highlight w:val="none"/>
        </w:rPr>
        <w:br w:type="page"/>
      </w:r>
    </w:p>
    <w:p w14:paraId="6571A3D6">
      <w:pPr>
        <w:ind w:firstLine="569"/>
        <w:rPr>
          <w:b/>
          <w:bCs/>
          <w:color w:val="000000"/>
          <w:highlight w:val="none"/>
        </w:rPr>
      </w:pPr>
    </w:p>
    <w:p w14:paraId="2577BFAB">
      <w:pPr>
        <w:pStyle w:val="2"/>
        <w:rPr>
          <w:color w:val="000000"/>
          <w:highlight w:val="none"/>
        </w:rPr>
      </w:pPr>
      <w:bookmarkStart w:id="28" w:name="_Toc75504393"/>
      <w:r>
        <w:rPr>
          <w:color w:val="000000"/>
          <w:highlight w:val="none"/>
        </w:rPr>
        <w:t>勘察设计成果提交要求</w:t>
      </w:r>
      <w:bookmarkEnd w:id="28"/>
    </w:p>
    <w:p w14:paraId="1E679446">
      <w:pPr>
        <w:pStyle w:val="3"/>
        <w:rPr>
          <w:color w:val="000000"/>
          <w:highlight w:val="none"/>
        </w:rPr>
      </w:pPr>
      <w:bookmarkStart w:id="29" w:name="_Toc75504394"/>
      <w:r>
        <w:rPr>
          <w:color w:val="000000"/>
          <w:highlight w:val="none"/>
        </w:rPr>
        <w:t>通用要求</w:t>
      </w:r>
      <w:bookmarkEnd w:id="29"/>
    </w:p>
    <w:p w14:paraId="7AA7BB2A">
      <w:pPr>
        <w:rPr>
          <w:color w:val="000000"/>
          <w:highlight w:val="none"/>
        </w:rPr>
      </w:pPr>
      <w:r>
        <w:rPr>
          <w:color w:val="000000"/>
          <w:highlight w:val="none"/>
        </w:rPr>
        <w:t>一、设计成果文件要求齐全、完整，内容、深度应符合规定，文字说明、图纸要准确清晰,各阶段设计应达到中华人民共和国建设部颁发的《建筑工程设计文件编制深度规定》、《市政公用工程设计文件编制深度规定》设计阶段深度。</w:t>
      </w:r>
    </w:p>
    <w:p w14:paraId="4890728D">
      <w:pPr>
        <w:rPr>
          <w:color w:val="000000"/>
          <w:highlight w:val="none"/>
        </w:rPr>
      </w:pPr>
      <w:r>
        <w:rPr>
          <w:color w:val="000000"/>
          <w:highlight w:val="none"/>
        </w:rPr>
        <w:t>二、凡是涉及到报批报建图纸文件，均需要按专业主管部门的报审要求，按时报送，并负责通过审批。</w:t>
      </w:r>
    </w:p>
    <w:p w14:paraId="10D6D8CD">
      <w:pPr>
        <w:pStyle w:val="3"/>
        <w:rPr>
          <w:color w:val="000000"/>
          <w:highlight w:val="none"/>
        </w:rPr>
      </w:pPr>
      <w:bookmarkStart w:id="30" w:name="_Toc74837374"/>
      <w:bookmarkStart w:id="31" w:name="_Toc75504395"/>
      <w:r>
        <w:rPr>
          <w:color w:val="000000"/>
          <w:highlight w:val="none"/>
        </w:rPr>
        <w:t>设计成果要求</w:t>
      </w:r>
      <w:bookmarkEnd w:id="30"/>
      <w:bookmarkEnd w:id="31"/>
    </w:p>
    <w:p w14:paraId="6E8D863C">
      <w:pPr>
        <w:pStyle w:val="6"/>
        <w:numPr>
          <w:ilvl w:val="0"/>
          <w:numId w:val="8"/>
        </w:numPr>
        <w:ind w:firstLineChars="0"/>
        <w:rPr>
          <w:color w:val="000000"/>
          <w:highlight w:val="none"/>
        </w:rPr>
      </w:pPr>
      <w:r>
        <w:rPr>
          <w:color w:val="000000"/>
          <w:highlight w:val="none"/>
        </w:rPr>
        <w:t>设计</w:t>
      </w:r>
      <w:r>
        <w:rPr>
          <w:rFonts w:hint="eastAsia"/>
          <w:color w:val="000000"/>
          <w:highlight w:val="none"/>
        </w:rPr>
        <w:t>文件</w:t>
      </w:r>
      <w:r>
        <w:rPr>
          <w:color w:val="000000"/>
          <w:highlight w:val="none"/>
        </w:rPr>
        <w:t>要求（设计图纸包括且不限于以下内容）：</w:t>
      </w:r>
    </w:p>
    <w:p w14:paraId="55204DA3">
      <w:pPr>
        <w:rPr>
          <w:highlight w:val="none"/>
        </w:rPr>
      </w:pPr>
      <w:bookmarkStart w:id="32" w:name="_Hlk75250406"/>
      <w:r>
        <w:rPr>
          <w:highlight w:val="none"/>
        </w:rPr>
        <w:t>（1）方案设计</w:t>
      </w:r>
      <w:bookmarkStart w:id="33" w:name="_Hlk75250413"/>
      <w:r>
        <w:rPr>
          <w:rFonts w:hint="eastAsia"/>
          <w:highlight w:val="none"/>
        </w:rPr>
        <w:t>阶段</w:t>
      </w:r>
      <w:bookmarkEnd w:id="33"/>
    </w:p>
    <w:bookmarkEnd w:id="32"/>
    <w:p w14:paraId="06E0FDF0">
      <w:pPr>
        <w:pStyle w:val="6"/>
        <w:numPr>
          <w:ilvl w:val="0"/>
          <w:numId w:val="9"/>
        </w:numPr>
        <w:ind w:firstLineChars="0"/>
        <w:rPr>
          <w:highlight w:val="none"/>
        </w:rPr>
      </w:pPr>
      <w:r>
        <w:rPr>
          <w:highlight w:val="none"/>
        </w:rPr>
        <w:t>基地区位图</w:t>
      </w:r>
    </w:p>
    <w:p w14:paraId="7E36BB7D">
      <w:pPr>
        <w:pStyle w:val="6"/>
        <w:numPr>
          <w:ilvl w:val="0"/>
          <w:numId w:val="9"/>
        </w:numPr>
        <w:ind w:firstLineChars="0"/>
        <w:rPr>
          <w:highlight w:val="none"/>
        </w:rPr>
      </w:pPr>
      <w:r>
        <w:rPr>
          <w:highlight w:val="none"/>
        </w:rPr>
        <w:t>基地现状图</w:t>
      </w:r>
    </w:p>
    <w:p w14:paraId="36DE13D1">
      <w:pPr>
        <w:pStyle w:val="6"/>
        <w:numPr>
          <w:ilvl w:val="0"/>
          <w:numId w:val="9"/>
        </w:numPr>
        <w:ind w:firstLineChars="0"/>
        <w:rPr>
          <w:highlight w:val="none"/>
        </w:rPr>
      </w:pPr>
      <w:r>
        <w:rPr>
          <w:highlight w:val="none"/>
        </w:rPr>
        <w:t>与周边环境及空间关系分析图</w:t>
      </w:r>
    </w:p>
    <w:p w14:paraId="686E21DF">
      <w:pPr>
        <w:pStyle w:val="6"/>
        <w:numPr>
          <w:ilvl w:val="0"/>
          <w:numId w:val="9"/>
        </w:numPr>
        <w:ind w:firstLineChars="0"/>
        <w:rPr>
          <w:highlight w:val="none"/>
        </w:rPr>
      </w:pPr>
      <w:r>
        <w:rPr>
          <w:highlight w:val="none"/>
        </w:rPr>
        <w:t>交通系统分析图</w:t>
      </w:r>
    </w:p>
    <w:p w14:paraId="301B0E48">
      <w:pPr>
        <w:pStyle w:val="6"/>
        <w:numPr>
          <w:ilvl w:val="0"/>
          <w:numId w:val="9"/>
        </w:numPr>
        <w:ind w:firstLineChars="0"/>
        <w:rPr>
          <w:highlight w:val="none"/>
        </w:rPr>
      </w:pPr>
      <w:r>
        <w:rPr>
          <w:highlight w:val="none"/>
        </w:rPr>
        <w:t>出入口、联系通道、垂直交通、公共交通设施等分布图</w:t>
      </w:r>
    </w:p>
    <w:p w14:paraId="1E7EADC7">
      <w:pPr>
        <w:pStyle w:val="6"/>
        <w:numPr>
          <w:ilvl w:val="0"/>
          <w:numId w:val="9"/>
        </w:numPr>
        <w:ind w:firstLineChars="0"/>
        <w:rPr>
          <w:highlight w:val="none"/>
        </w:rPr>
      </w:pPr>
      <w:r>
        <w:rPr>
          <w:highlight w:val="none"/>
        </w:rPr>
        <w:t>总平面设计图 （建议明确比例）</w:t>
      </w:r>
    </w:p>
    <w:p w14:paraId="1F3BEC55">
      <w:pPr>
        <w:pStyle w:val="6"/>
        <w:numPr>
          <w:ilvl w:val="0"/>
          <w:numId w:val="9"/>
        </w:numPr>
        <w:ind w:firstLineChars="0"/>
        <w:rPr>
          <w:highlight w:val="none"/>
        </w:rPr>
      </w:pPr>
      <w:r>
        <w:rPr>
          <w:highlight w:val="none"/>
        </w:rPr>
        <w:t>各层平面图(电子制图比例为1：200)</w:t>
      </w:r>
    </w:p>
    <w:p w14:paraId="3FAE523B">
      <w:pPr>
        <w:pStyle w:val="6"/>
        <w:numPr>
          <w:ilvl w:val="0"/>
          <w:numId w:val="9"/>
        </w:numPr>
        <w:ind w:firstLineChars="0"/>
        <w:rPr>
          <w:highlight w:val="none"/>
        </w:rPr>
      </w:pPr>
      <w:r>
        <w:rPr>
          <w:highlight w:val="none"/>
        </w:rPr>
        <w:t>主要剖面和立面图(电子制图比例为1：200)</w:t>
      </w:r>
    </w:p>
    <w:p w14:paraId="03451B45">
      <w:pPr>
        <w:pStyle w:val="6"/>
        <w:numPr>
          <w:ilvl w:val="0"/>
          <w:numId w:val="9"/>
        </w:numPr>
        <w:ind w:firstLineChars="0"/>
        <w:rPr>
          <w:highlight w:val="none"/>
        </w:rPr>
      </w:pPr>
      <w:r>
        <w:rPr>
          <w:highlight w:val="none"/>
        </w:rPr>
        <w:t>主要出入口、广场、下沉空间等重要空间节点效果图</w:t>
      </w:r>
    </w:p>
    <w:p w14:paraId="5976D337">
      <w:pPr>
        <w:pStyle w:val="6"/>
        <w:numPr>
          <w:ilvl w:val="0"/>
          <w:numId w:val="9"/>
        </w:numPr>
        <w:ind w:firstLineChars="0"/>
        <w:rPr>
          <w:highlight w:val="none"/>
        </w:rPr>
      </w:pPr>
      <w:r>
        <w:rPr>
          <w:highlight w:val="none"/>
        </w:rPr>
        <w:t>主要空间节点透视图</w:t>
      </w:r>
    </w:p>
    <w:p w14:paraId="368719A2">
      <w:pPr>
        <w:pStyle w:val="6"/>
        <w:numPr>
          <w:ilvl w:val="0"/>
          <w:numId w:val="9"/>
        </w:numPr>
        <w:ind w:firstLineChars="0"/>
        <w:rPr>
          <w:highlight w:val="none"/>
        </w:rPr>
      </w:pPr>
      <w:r>
        <w:rPr>
          <w:highlight w:val="none"/>
        </w:rPr>
        <w:t>防灾系统方案图和相关分析图</w:t>
      </w:r>
    </w:p>
    <w:p w14:paraId="6511892C">
      <w:pPr>
        <w:pStyle w:val="6"/>
        <w:numPr>
          <w:ilvl w:val="0"/>
          <w:numId w:val="9"/>
        </w:numPr>
        <w:ind w:firstLineChars="0"/>
        <w:rPr>
          <w:highlight w:val="none"/>
        </w:rPr>
      </w:pPr>
      <w:r>
        <w:rPr>
          <w:highlight w:val="none"/>
        </w:rPr>
        <w:t>机电设备系统方案图</w:t>
      </w:r>
    </w:p>
    <w:p w14:paraId="274B4F44">
      <w:pPr>
        <w:pStyle w:val="6"/>
        <w:numPr>
          <w:ilvl w:val="0"/>
          <w:numId w:val="9"/>
        </w:numPr>
        <w:ind w:firstLineChars="0"/>
        <w:rPr>
          <w:highlight w:val="none"/>
        </w:rPr>
      </w:pPr>
      <w:r>
        <w:rPr>
          <w:highlight w:val="none"/>
        </w:rPr>
        <w:t>信息通信网络传输系统图</w:t>
      </w:r>
    </w:p>
    <w:p w14:paraId="3A25FF2E">
      <w:pPr>
        <w:pStyle w:val="6"/>
        <w:numPr>
          <w:ilvl w:val="0"/>
          <w:numId w:val="9"/>
        </w:numPr>
        <w:ind w:firstLineChars="0"/>
        <w:rPr>
          <w:highlight w:val="none"/>
        </w:rPr>
      </w:pPr>
      <w:r>
        <w:rPr>
          <w:highlight w:val="none"/>
        </w:rPr>
        <w:t>智能交通系统图</w:t>
      </w:r>
    </w:p>
    <w:p w14:paraId="63E39766">
      <w:pPr>
        <w:pStyle w:val="6"/>
        <w:numPr>
          <w:ilvl w:val="0"/>
          <w:numId w:val="9"/>
        </w:numPr>
        <w:ind w:firstLineChars="0"/>
        <w:rPr>
          <w:highlight w:val="none"/>
        </w:rPr>
      </w:pPr>
      <w:r>
        <w:rPr>
          <w:highlight w:val="none"/>
        </w:rPr>
        <w:t>综合管线系统方案图</w:t>
      </w:r>
    </w:p>
    <w:p w14:paraId="515A63BB">
      <w:pPr>
        <w:pStyle w:val="6"/>
        <w:numPr>
          <w:ilvl w:val="0"/>
          <w:numId w:val="9"/>
        </w:numPr>
        <w:ind w:firstLineChars="0"/>
        <w:rPr>
          <w:highlight w:val="none"/>
        </w:rPr>
      </w:pPr>
      <w:r>
        <w:rPr>
          <w:highlight w:val="none"/>
        </w:rPr>
        <w:t>给排水设计图</w:t>
      </w:r>
    </w:p>
    <w:p w14:paraId="15026B00">
      <w:pPr>
        <w:pStyle w:val="6"/>
        <w:numPr>
          <w:ilvl w:val="0"/>
          <w:numId w:val="9"/>
        </w:numPr>
        <w:ind w:firstLineChars="0"/>
        <w:rPr>
          <w:highlight w:val="none"/>
        </w:rPr>
      </w:pPr>
      <w:r>
        <w:rPr>
          <w:highlight w:val="none"/>
        </w:rPr>
        <w:t>相关竖向设计图</w:t>
      </w:r>
    </w:p>
    <w:p w14:paraId="15F49636">
      <w:pPr>
        <w:pStyle w:val="6"/>
        <w:numPr>
          <w:ilvl w:val="0"/>
          <w:numId w:val="9"/>
        </w:numPr>
        <w:ind w:firstLineChars="0"/>
        <w:rPr>
          <w:highlight w:val="none"/>
        </w:rPr>
      </w:pPr>
      <w:r>
        <w:rPr>
          <w:highlight w:val="none"/>
        </w:rPr>
        <w:t>景观设计图</w:t>
      </w:r>
    </w:p>
    <w:p w14:paraId="466E3A85">
      <w:pPr>
        <w:pStyle w:val="6"/>
        <w:numPr>
          <w:ilvl w:val="0"/>
          <w:numId w:val="9"/>
        </w:numPr>
        <w:ind w:firstLineChars="0"/>
        <w:rPr>
          <w:highlight w:val="none"/>
        </w:rPr>
      </w:pPr>
      <w:r>
        <w:rPr>
          <w:highlight w:val="none"/>
        </w:rPr>
        <w:t>相关分析图和鸟瞰图</w:t>
      </w:r>
    </w:p>
    <w:p w14:paraId="60C27036">
      <w:pPr>
        <w:pStyle w:val="6"/>
        <w:numPr>
          <w:ilvl w:val="0"/>
          <w:numId w:val="9"/>
        </w:numPr>
        <w:ind w:firstLineChars="0"/>
        <w:rPr>
          <w:highlight w:val="none"/>
        </w:rPr>
      </w:pPr>
      <w:r>
        <w:rPr>
          <w:highlight w:val="none"/>
        </w:rPr>
        <w:t>项目估算及投资分析报告</w:t>
      </w:r>
    </w:p>
    <w:p w14:paraId="2E171E92">
      <w:pPr>
        <w:pStyle w:val="6"/>
        <w:numPr>
          <w:ilvl w:val="0"/>
          <w:numId w:val="9"/>
        </w:numPr>
        <w:ind w:firstLineChars="0"/>
        <w:rPr>
          <w:highlight w:val="none"/>
        </w:rPr>
      </w:pPr>
      <w:r>
        <w:rPr>
          <w:highlight w:val="none"/>
        </w:rPr>
        <w:t>项目其它设计方案图</w:t>
      </w:r>
    </w:p>
    <w:p w14:paraId="1E73C020">
      <w:pPr>
        <w:rPr>
          <w:highlight w:val="none"/>
        </w:rPr>
      </w:pPr>
      <w:r>
        <w:rPr>
          <w:highlight w:val="none"/>
        </w:rPr>
        <w:t>（2）初步设计</w:t>
      </w:r>
      <w:r>
        <w:rPr>
          <w:rFonts w:hint="eastAsia"/>
          <w:highlight w:val="none"/>
        </w:rPr>
        <w:t>阶段</w:t>
      </w:r>
    </w:p>
    <w:p w14:paraId="7C522A8D">
      <w:pPr>
        <w:pStyle w:val="6"/>
        <w:numPr>
          <w:ilvl w:val="0"/>
          <w:numId w:val="10"/>
        </w:numPr>
        <w:ind w:firstLineChars="0"/>
        <w:rPr>
          <w:highlight w:val="none"/>
        </w:rPr>
      </w:pPr>
      <w:r>
        <w:rPr>
          <w:highlight w:val="none"/>
        </w:rPr>
        <w:t>建筑专业初步设计</w:t>
      </w:r>
    </w:p>
    <w:p w14:paraId="7D7008A0">
      <w:pPr>
        <w:pStyle w:val="6"/>
        <w:numPr>
          <w:ilvl w:val="0"/>
          <w:numId w:val="10"/>
        </w:numPr>
        <w:ind w:firstLineChars="0"/>
        <w:rPr>
          <w:highlight w:val="none"/>
        </w:rPr>
      </w:pPr>
      <w:r>
        <w:rPr>
          <w:highlight w:val="none"/>
        </w:rPr>
        <w:t>结构专业初步设计</w:t>
      </w:r>
      <w:bookmarkStart w:id="34" w:name="_Hlk75250453"/>
    </w:p>
    <w:p w14:paraId="4B15CF71">
      <w:pPr>
        <w:pStyle w:val="6"/>
        <w:numPr>
          <w:ilvl w:val="0"/>
          <w:numId w:val="10"/>
        </w:numPr>
        <w:ind w:firstLineChars="0"/>
        <w:rPr>
          <w:highlight w:val="none"/>
        </w:rPr>
      </w:pPr>
      <w:r>
        <w:rPr>
          <w:rFonts w:hint="eastAsia"/>
          <w:highlight w:val="none"/>
        </w:rPr>
        <w:t>基坑支护初步设计</w:t>
      </w:r>
      <w:bookmarkEnd w:id="34"/>
    </w:p>
    <w:p w14:paraId="282AF2F2">
      <w:pPr>
        <w:pStyle w:val="6"/>
        <w:numPr>
          <w:ilvl w:val="0"/>
          <w:numId w:val="10"/>
        </w:numPr>
        <w:ind w:firstLineChars="0"/>
        <w:rPr>
          <w:highlight w:val="none"/>
        </w:rPr>
      </w:pPr>
      <w:r>
        <w:rPr>
          <w:highlight w:val="none"/>
        </w:rPr>
        <w:t>给排水专业初步设计</w:t>
      </w:r>
    </w:p>
    <w:p w14:paraId="37448056">
      <w:pPr>
        <w:pStyle w:val="6"/>
        <w:numPr>
          <w:ilvl w:val="0"/>
          <w:numId w:val="10"/>
        </w:numPr>
        <w:ind w:firstLineChars="0"/>
        <w:rPr>
          <w:highlight w:val="none"/>
        </w:rPr>
      </w:pPr>
      <w:r>
        <w:rPr>
          <w:highlight w:val="none"/>
        </w:rPr>
        <w:t>电气及智能化专业初步设计</w:t>
      </w:r>
    </w:p>
    <w:p w14:paraId="783D4053">
      <w:pPr>
        <w:pStyle w:val="6"/>
        <w:numPr>
          <w:ilvl w:val="0"/>
          <w:numId w:val="10"/>
        </w:numPr>
        <w:ind w:firstLineChars="0"/>
        <w:rPr>
          <w:highlight w:val="none"/>
        </w:rPr>
      </w:pPr>
      <w:r>
        <w:rPr>
          <w:highlight w:val="none"/>
        </w:rPr>
        <w:t>暖通专业初步设计</w:t>
      </w:r>
    </w:p>
    <w:p w14:paraId="078E613F">
      <w:pPr>
        <w:pStyle w:val="6"/>
        <w:numPr>
          <w:ilvl w:val="0"/>
          <w:numId w:val="10"/>
        </w:numPr>
        <w:ind w:firstLineChars="0"/>
        <w:rPr>
          <w:highlight w:val="none"/>
        </w:rPr>
      </w:pPr>
      <w:r>
        <w:rPr>
          <w:highlight w:val="none"/>
        </w:rPr>
        <w:t>景观专业初步设计</w:t>
      </w:r>
    </w:p>
    <w:p w14:paraId="53943549">
      <w:pPr>
        <w:pStyle w:val="6"/>
        <w:numPr>
          <w:ilvl w:val="0"/>
          <w:numId w:val="10"/>
        </w:numPr>
        <w:ind w:firstLineChars="0"/>
        <w:rPr>
          <w:highlight w:val="none"/>
        </w:rPr>
      </w:pPr>
      <w:r>
        <w:rPr>
          <w:highlight w:val="none"/>
        </w:rPr>
        <w:t>市政专业初步设计</w:t>
      </w:r>
    </w:p>
    <w:p w14:paraId="410CECA9">
      <w:pPr>
        <w:pStyle w:val="6"/>
        <w:numPr>
          <w:ilvl w:val="0"/>
          <w:numId w:val="10"/>
        </w:numPr>
        <w:ind w:firstLineChars="0"/>
        <w:rPr>
          <w:highlight w:val="none"/>
        </w:rPr>
      </w:pPr>
      <w:r>
        <w:rPr>
          <w:highlight w:val="none"/>
        </w:rPr>
        <w:t>市政管线专业初步设计</w:t>
      </w:r>
    </w:p>
    <w:p w14:paraId="15EECF28">
      <w:pPr>
        <w:pStyle w:val="6"/>
        <w:numPr>
          <w:ilvl w:val="0"/>
          <w:numId w:val="10"/>
        </w:numPr>
        <w:ind w:firstLineChars="0"/>
        <w:rPr>
          <w:highlight w:val="none"/>
        </w:rPr>
      </w:pPr>
      <w:r>
        <w:rPr>
          <w:rFonts w:hint="eastAsia"/>
          <w:highlight w:val="none"/>
        </w:rPr>
        <w:t>装配式专业初步设计</w:t>
      </w:r>
    </w:p>
    <w:p w14:paraId="00EE195B">
      <w:pPr>
        <w:pStyle w:val="6"/>
        <w:numPr>
          <w:ilvl w:val="0"/>
          <w:numId w:val="10"/>
        </w:numPr>
        <w:ind w:firstLineChars="0"/>
        <w:rPr>
          <w:highlight w:val="none"/>
        </w:rPr>
      </w:pPr>
      <w:r>
        <w:rPr>
          <w:rFonts w:hint="eastAsia"/>
          <w:highlight w:val="none"/>
        </w:rPr>
        <w:t>绿色建筑、建筑节能初步设计</w:t>
      </w:r>
    </w:p>
    <w:p w14:paraId="46F17892">
      <w:pPr>
        <w:pStyle w:val="6"/>
        <w:numPr>
          <w:ilvl w:val="0"/>
          <w:numId w:val="10"/>
        </w:numPr>
        <w:ind w:firstLineChars="0"/>
        <w:rPr>
          <w:highlight w:val="none"/>
        </w:rPr>
      </w:pPr>
      <w:r>
        <w:rPr>
          <w:rFonts w:hint="eastAsia"/>
          <w:highlight w:val="none"/>
        </w:rPr>
        <w:t>海绵城市初步设计</w:t>
      </w:r>
    </w:p>
    <w:p w14:paraId="2D1DDAA6">
      <w:pPr>
        <w:pStyle w:val="6"/>
        <w:numPr>
          <w:ilvl w:val="0"/>
          <w:numId w:val="10"/>
        </w:numPr>
        <w:ind w:firstLineChars="0"/>
        <w:rPr>
          <w:highlight w:val="none"/>
        </w:rPr>
      </w:pPr>
      <w:r>
        <w:rPr>
          <w:rFonts w:hint="eastAsia"/>
          <w:highlight w:val="none"/>
        </w:rPr>
        <w:t>人防初步设计</w:t>
      </w:r>
    </w:p>
    <w:p w14:paraId="5046AFCF">
      <w:pPr>
        <w:pStyle w:val="6"/>
        <w:numPr>
          <w:ilvl w:val="0"/>
          <w:numId w:val="10"/>
        </w:numPr>
        <w:ind w:firstLineChars="0"/>
        <w:rPr>
          <w:highlight w:val="none"/>
        </w:rPr>
      </w:pPr>
      <w:r>
        <w:rPr>
          <w:rFonts w:hint="eastAsia"/>
          <w:highlight w:val="none"/>
        </w:rPr>
        <w:t>初步设计概算编制等</w:t>
      </w:r>
    </w:p>
    <w:p w14:paraId="54671632">
      <w:pPr>
        <w:pStyle w:val="6"/>
        <w:numPr>
          <w:ilvl w:val="0"/>
          <w:numId w:val="10"/>
        </w:numPr>
        <w:ind w:firstLineChars="0"/>
        <w:rPr>
          <w:highlight w:val="none"/>
        </w:rPr>
      </w:pPr>
      <w:r>
        <w:rPr>
          <w:rFonts w:hint="eastAsia"/>
          <w:highlight w:val="none"/>
        </w:rPr>
        <w:t>管线综合平衡图</w:t>
      </w:r>
    </w:p>
    <w:p w14:paraId="30CC9EF2">
      <w:pPr>
        <w:pStyle w:val="6"/>
        <w:numPr>
          <w:ilvl w:val="0"/>
          <w:numId w:val="10"/>
        </w:numPr>
        <w:ind w:firstLineChars="0"/>
        <w:rPr>
          <w:highlight w:val="none"/>
        </w:rPr>
      </w:pPr>
      <w:r>
        <w:rPr>
          <w:highlight w:val="none"/>
        </w:rPr>
        <w:t>其它专项</w:t>
      </w:r>
      <w:r>
        <w:rPr>
          <w:rFonts w:hint="eastAsia"/>
          <w:highlight w:val="none"/>
        </w:rPr>
        <w:t>初步</w:t>
      </w:r>
      <w:r>
        <w:rPr>
          <w:highlight w:val="none"/>
        </w:rPr>
        <w:t>设计（如需要）</w:t>
      </w:r>
    </w:p>
    <w:p w14:paraId="52725CC4">
      <w:pPr>
        <w:ind w:firstLine="0" w:firstLineChars="0"/>
        <w:rPr>
          <w:color w:val="000000"/>
          <w:highlight w:val="none"/>
        </w:rPr>
      </w:pPr>
      <w:r>
        <w:rPr>
          <w:color w:val="000000"/>
          <w:highlight w:val="none"/>
        </w:rPr>
        <w:t>2、三维数据模型：设计单位在中标后，设计方案通过确认后30天内提交三维数据模型（通用3ds max格式、revit格式</w:t>
      </w:r>
      <w:r>
        <w:rPr>
          <w:rFonts w:hint="eastAsia"/>
          <w:color w:val="000000"/>
          <w:highlight w:val="none"/>
        </w:rPr>
        <w:t>等</w:t>
      </w:r>
      <w:r>
        <w:rPr>
          <w:color w:val="000000"/>
          <w:highlight w:val="none"/>
        </w:rPr>
        <w:t>）。并有责任协助建设单位将其他设计单位提供的三维数据模型进行整合工作。</w:t>
      </w:r>
    </w:p>
    <w:p w14:paraId="211FD313">
      <w:pPr>
        <w:ind w:firstLine="0" w:firstLineChars="0"/>
        <w:rPr>
          <w:highlight w:val="none"/>
        </w:rPr>
      </w:pPr>
      <w:r>
        <w:rPr>
          <w:highlight w:val="none"/>
        </w:rPr>
        <w:t>3、工程勘察成果文件（包括但不限于）</w:t>
      </w:r>
    </w:p>
    <w:p w14:paraId="2BEFC446">
      <w:pPr>
        <w:ind w:firstLine="0" w:firstLineChars="0"/>
        <w:rPr>
          <w:highlight w:val="none"/>
        </w:rPr>
      </w:pPr>
      <w:r>
        <w:rPr>
          <w:highlight w:val="none"/>
        </w:rPr>
        <w:t>（1）工程可行性研究阶段</w:t>
      </w:r>
    </w:p>
    <w:p w14:paraId="51BF90F1">
      <w:pPr>
        <w:rPr>
          <w:highlight w:val="none"/>
        </w:rPr>
      </w:pPr>
      <w:r>
        <w:rPr>
          <w:highlight w:val="none"/>
        </w:rPr>
        <w:t>《岩土工程勘察大纲》</w:t>
      </w:r>
    </w:p>
    <w:p w14:paraId="27AB602B">
      <w:pPr>
        <w:ind w:firstLine="0" w:firstLineChars="0"/>
        <w:rPr>
          <w:highlight w:val="none"/>
        </w:rPr>
      </w:pPr>
      <w:r>
        <w:rPr>
          <w:highlight w:val="none"/>
        </w:rPr>
        <w:t>（2）</w:t>
      </w:r>
      <w:r>
        <w:rPr>
          <w:rFonts w:hint="eastAsia"/>
          <w:highlight w:val="none"/>
        </w:rPr>
        <w:t>勘察</w:t>
      </w:r>
      <w:r>
        <w:rPr>
          <w:highlight w:val="none"/>
        </w:rPr>
        <w:t>阶段</w:t>
      </w:r>
    </w:p>
    <w:p w14:paraId="35E9B72A">
      <w:pPr>
        <w:rPr>
          <w:highlight w:val="none"/>
        </w:rPr>
      </w:pPr>
      <w:r>
        <w:rPr>
          <w:highlight w:val="none"/>
        </w:rPr>
        <w:t>《初勘阶段岩土工程勘察技术要求及验收标准》</w:t>
      </w:r>
    </w:p>
    <w:p w14:paraId="4E6388F0">
      <w:pPr>
        <w:rPr>
          <w:highlight w:val="none"/>
        </w:rPr>
      </w:pPr>
      <w:r>
        <w:rPr>
          <w:highlight w:val="none"/>
        </w:rPr>
        <w:t>《初勘阶段岩土工程勘察大纲》</w:t>
      </w:r>
    </w:p>
    <w:p w14:paraId="3FDAE811">
      <w:pPr>
        <w:rPr>
          <w:highlight w:val="none"/>
        </w:rPr>
      </w:pPr>
      <w:r>
        <w:rPr>
          <w:highlight w:val="none"/>
        </w:rPr>
        <w:t>《初勘阶段岩土工程勘察报告》</w:t>
      </w:r>
    </w:p>
    <w:p w14:paraId="1061500B">
      <w:pPr>
        <w:rPr>
          <w:highlight w:val="none"/>
        </w:rPr>
      </w:pPr>
      <w:r>
        <w:rPr>
          <w:highlight w:val="none"/>
        </w:rPr>
        <w:t>《详勘阶段岩土工程勘察技术要求》</w:t>
      </w:r>
    </w:p>
    <w:p w14:paraId="63D8F33A">
      <w:pPr>
        <w:rPr>
          <w:highlight w:val="none"/>
        </w:rPr>
      </w:pPr>
      <w:r>
        <w:rPr>
          <w:highlight w:val="none"/>
        </w:rPr>
        <w:t>《详勘阶段岩土工程勘察大纲》</w:t>
      </w:r>
    </w:p>
    <w:p w14:paraId="65B6826E">
      <w:pPr>
        <w:rPr>
          <w:highlight w:val="none"/>
        </w:rPr>
      </w:pPr>
      <w:r>
        <w:rPr>
          <w:highlight w:val="none"/>
        </w:rPr>
        <w:t>《详勘阶段岩土工程勘察报告》</w:t>
      </w:r>
    </w:p>
    <w:p w14:paraId="0B4B0BA4">
      <w:pPr>
        <w:ind w:firstLine="0" w:firstLineChars="0"/>
        <w:rPr>
          <w:color w:val="000000"/>
          <w:highlight w:val="none"/>
        </w:rPr>
      </w:pPr>
      <w:r>
        <w:rPr>
          <w:color w:val="000000"/>
          <w:highlight w:val="none"/>
        </w:rPr>
        <w:t>4、造价成果文件（包括但不限于）</w:t>
      </w:r>
    </w:p>
    <w:p w14:paraId="6501EE1D">
      <w:pPr>
        <w:rPr>
          <w:color w:val="000000"/>
          <w:highlight w:val="none"/>
        </w:rPr>
      </w:pPr>
      <w:r>
        <w:rPr>
          <w:color w:val="000000"/>
          <w:highlight w:val="none"/>
        </w:rPr>
        <w:t>除按要求提交概算成果外，还需要依据《广州市财政局关于印发广州市本级政府投资建设项概算评宙工作指引的通知》（穗财建〔2024〕46 号），对照《财政投资评审送审资料清单》准备设计图纸等送审资料，填写《财政性资金投资项目评审预受理申请表》、《财政投资评审送审资料清单》，报送财政投资评审预受理资料。预受理通过后，办理或配合项目主管部门向市财政部门提交正式财政投资评审申请函，并配合市财政部门的核审工作。</w:t>
      </w:r>
    </w:p>
    <w:p w14:paraId="332E417E">
      <w:pPr>
        <w:pStyle w:val="3"/>
        <w:rPr>
          <w:color w:val="000000"/>
          <w:highlight w:val="none"/>
        </w:rPr>
      </w:pPr>
      <w:bookmarkStart w:id="35" w:name="_Toc75504396"/>
      <w:bookmarkStart w:id="36" w:name="_Toc74837375"/>
      <w:r>
        <w:rPr>
          <w:color w:val="000000"/>
          <w:highlight w:val="none"/>
        </w:rPr>
        <w:t>提交设计资料要求</w:t>
      </w:r>
      <w:bookmarkEnd w:id="35"/>
      <w:bookmarkEnd w:id="36"/>
    </w:p>
    <w:p w14:paraId="2790A582">
      <w:pPr>
        <w:rPr>
          <w:color w:val="000000"/>
          <w:highlight w:val="none"/>
        </w:rPr>
      </w:pPr>
      <w:r>
        <w:rPr>
          <w:color w:val="000000"/>
          <w:highlight w:val="none"/>
        </w:rPr>
        <w:t>1、中标设计单位设计成果文件的提交时间以符合合同约定质量的设计成果文件的提交时间为准。设计成果文件提交的时间及份数如下</w:t>
      </w:r>
    </w:p>
    <w:p w14:paraId="1F94B37B">
      <w:pPr>
        <w:rPr>
          <w:color w:val="000000"/>
          <w:highlight w:val="none"/>
        </w:rPr>
      </w:pPr>
      <w:r>
        <w:rPr>
          <w:color w:val="000000"/>
          <w:highlight w:val="none"/>
        </w:rPr>
        <w:t>表6-1 设计各阶段提交时间控制表</w:t>
      </w:r>
    </w:p>
    <w:tbl>
      <w:tblPr>
        <w:tblStyle w:val="1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10"/>
        <w:gridCol w:w="3575"/>
        <w:gridCol w:w="1701"/>
        <w:gridCol w:w="1639"/>
        <w:gridCol w:w="1800"/>
      </w:tblGrid>
      <w:tr w14:paraId="1943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87"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F3A0B75">
            <w:pPr>
              <w:ind w:firstLine="0" w:firstLineChars="0"/>
              <w:rPr>
                <w:rFonts w:eastAsiaTheme="minorEastAsia"/>
                <w:color w:val="000000"/>
                <w:highlight w:val="none"/>
              </w:rPr>
            </w:pPr>
            <w:r>
              <w:rPr>
                <w:rFonts w:eastAsiaTheme="minorEastAsia"/>
                <w:color w:val="000000"/>
                <w:highlight w:val="none"/>
              </w:rPr>
              <w:t>序号</w:t>
            </w:r>
          </w:p>
        </w:tc>
        <w:tc>
          <w:tcPr>
            <w:tcW w:w="3575" w:type="dxa"/>
            <w:tcBorders>
              <w:top w:val="single" w:color="000000" w:sz="8" w:space="0"/>
              <w:left w:val="single" w:color="000000" w:sz="8" w:space="0"/>
              <w:bottom w:val="single" w:color="000000" w:sz="8" w:space="0"/>
              <w:right w:val="single" w:color="000000" w:sz="8" w:space="0"/>
            </w:tcBorders>
            <w:vAlign w:val="center"/>
          </w:tcPr>
          <w:p w14:paraId="32F22976">
            <w:pPr>
              <w:ind w:leftChars="-13" w:hanging="31" w:hangingChars="13"/>
              <w:rPr>
                <w:rFonts w:eastAsiaTheme="minorEastAsia"/>
                <w:color w:val="000000"/>
                <w:highlight w:val="none"/>
              </w:rPr>
            </w:pPr>
            <w:r>
              <w:rPr>
                <w:rFonts w:eastAsiaTheme="minorEastAsia"/>
                <w:color w:val="000000"/>
                <w:highlight w:val="none"/>
              </w:rPr>
              <w:t>资料及文件名称</w:t>
            </w:r>
          </w:p>
        </w:tc>
        <w:tc>
          <w:tcPr>
            <w:tcW w:w="1701" w:type="dxa"/>
            <w:tcBorders>
              <w:top w:val="single" w:color="000000" w:sz="8" w:space="0"/>
              <w:left w:val="single" w:color="000000" w:sz="8" w:space="0"/>
              <w:bottom w:val="single" w:color="000000" w:sz="8" w:space="0"/>
              <w:right w:val="single" w:color="000000" w:sz="8" w:space="0"/>
            </w:tcBorders>
            <w:vAlign w:val="center"/>
          </w:tcPr>
          <w:p w14:paraId="52D5058D">
            <w:pPr>
              <w:ind w:leftChars="-24" w:hanging="57" w:hangingChars="24"/>
              <w:rPr>
                <w:rFonts w:eastAsiaTheme="minorEastAsia"/>
                <w:color w:val="000000"/>
                <w:highlight w:val="none"/>
              </w:rPr>
            </w:pPr>
            <w:r>
              <w:rPr>
                <w:rFonts w:eastAsiaTheme="minorEastAsia"/>
                <w:color w:val="000000"/>
                <w:highlight w:val="none"/>
              </w:rPr>
              <w:t>提交日期</w:t>
            </w:r>
          </w:p>
        </w:tc>
        <w:tc>
          <w:tcPr>
            <w:tcW w:w="1639" w:type="dxa"/>
            <w:tcBorders>
              <w:top w:val="single" w:color="000000" w:sz="8" w:space="0"/>
              <w:left w:val="single" w:color="000000" w:sz="8" w:space="0"/>
              <w:bottom w:val="single" w:color="000000" w:sz="8" w:space="0"/>
              <w:right w:val="single" w:color="000000" w:sz="8" w:space="0"/>
            </w:tcBorders>
            <w:vAlign w:val="center"/>
          </w:tcPr>
          <w:p w14:paraId="4C7EECA1">
            <w:pPr>
              <w:ind w:firstLine="86" w:firstLineChars="36"/>
              <w:rPr>
                <w:rFonts w:eastAsiaTheme="minorEastAsia"/>
                <w:color w:val="000000"/>
                <w:highlight w:val="none"/>
              </w:rPr>
            </w:pPr>
            <w:r>
              <w:rPr>
                <w:rFonts w:eastAsiaTheme="minorEastAsia"/>
                <w:color w:val="000000"/>
                <w:highlight w:val="none"/>
              </w:rPr>
              <w:t>份数</w:t>
            </w:r>
          </w:p>
        </w:tc>
        <w:tc>
          <w:tcPr>
            <w:tcW w:w="1800" w:type="dxa"/>
            <w:tcBorders>
              <w:top w:val="single" w:color="000000" w:sz="8" w:space="0"/>
              <w:left w:val="single" w:color="000000" w:sz="8" w:space="0"/>
              <w:bottom w:val="single" w:color="000000" w:sz="8" w:space="0"/>
              <w:right w:val="single" w:color="000000" w:sz="8" w:space="0"/>
            </w:tcBorders>
            <w:vAlign w:val="center"/>
          </w:tcPr>
          <w:p w14:paraId="108166D9">
            <w:pPr>
              <w:ind w:firstLine="0" w:firstLineChars="0"/>
              <w:rPr>
                <w:rFonts w:eastAsiaTheme="minorEastAsia"/>
                <w:color w:val="000000"/>
                <w:highlight w:val="none"/>
              </w:rPr>
            </w:pPr>
            <w:r>
              <w:rPr>
                <w:rFonts w:eastAsiaTheme="minorEastAsia"/>
                <w:color w:val="000000"/>
                <w:highlight w:val="none"/>
              </w:rPr>
              <w:t>备注</w:t>
            </w:r>
          </w:p>
        </w:tc>
      </w:tr>
      <w:tr w14:paraId="55CB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9"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5463F0A">
            <w:pPr>
              <w:ind w:firstLine="0" w:firstLineChars="0"/>
              <w:rPr>
                <w:rFonts w:eastAsiaTheme="minorEastAsia"/>
                <w:color w:val="000000"/>
                <w:highlight w:val="none"/>
              </w:rPr>
            </w:pPr>
            <w:r>
              <w:rPr>
                <w:rFonts w:eastAsiaTheme="minorEastAsia"/>
                <w:color w:val="000000"/>
                <w:highlight w:val="none"/>
              </w:rPr>
              <w:t>0</w:t>
            </w:r>
          </w:p>
        </w:tc>
        <w:tc>
          <w:tcPr>
            <w:tcW w:w="3575" w:type="dxa"/>
            <w:tcBorders>
              <w:top w:val="single" w:color="000000" w:sz="8" w:space="0"/>
              <w:left w:val="single" w:color="000000" w:sz="8" w:space="0"/>
              <w:bottom w:val="single" w:color="000000" w:sz="8" w:space="0"/>
              <w:right w:val="single" w:color="000000" w:sz="8" w:space="0"/>
            </w:tcBorders>
            <w:vAlign w:val="center"/>
          </w:tcPr>
          <w:p w14:paraId="7F5A09FB">
            <w:pPr>
              <w:ind w:leftChars="-13" w:hanging="31" w:hangingChars="13"/>
              <w:rPr>
                <w:rFonts w:eastAsiaTheme="minorEastAsia"/>
                <w:color w:val="000000"/>
                <w:highlight w:val="none"/>
              </w:rPr>
            </w:pPr>
            <w:r>
              <w:rPr>
                <w:rFonts w:eastAsiaTheme="minorEastAsia"/>
                <w:color w:val="000000"/>
                <w:highlight w:val="none"/>
              </w:rPr>
              <w:t>勘察成果文件</w:t>
            </w:r>
          </w:p>
        </w:tc>
        <w:tc>
          <w:tcPr>
            <w:tcW w:w="1701" w:type="dxa"/>
            <w:tcBorders>
              <w:top w:val="single" w:color="000000" w:sz="8" w:space="0"/>
              <w:left w:val="single" w:color="000000" w:sz="8" w:space="0"/>
              <w:bottom w:val="single" w:color="000000" w:sz="8" w:space="0"/>
              <w:right w:val="single" w:color="000000" w:sz="8" w:space="0"/>
            </w:tcBorders>
            <w:vAlign w:val="center"/>
          </w:tcPr>
          <w:p w14:paraId="6561EC3D">
            <w:pPr>
              <w:ind w:leftChars="-24" w:hanging="57" w:hangingChars="24"/>
              <w:rPr>
                <w:rFonts w:eastAsiaTheme="minorEastAsia"/>
                <w:color w:val="000000"/>
                <w:highlight w:val="none"/>
              </w:rPr>
            </w:pPr>
            <w:r>
              <w:rPr>
                <w:rFonts w:eastAsiaTheme="minorEastAsia"/>
                <w:color w:val="000000"/>
                <w:highlight w:val="none"/>
              </w:rPr>
              <w:t>中标后30天内</w:t>
            </w:r>
          </w:p>
        </w:tc>
        <w:tc>
          <w:tcPr>
            <w:tcW w:w="1639" w:type="dxa"/>
            <w:tcBorders>
              <w:top w:val="single" w:color="000000" w:sz="8" w:space="0"/>
              <w:left w:val="single" w:color="000000" w:sz="8" w:space="0"/>
              <w:bottom w:val="single" w:color="000000" w:sz="8" w:space="0"/>
              <w:right w:val="single" w:color="000000" w:sz="8" w:space="0"/>
            </w:tcBorders>
            <w:vAlign w:val="center"/>
          </w:tcPr>
          <w:p w14:paraId="77B79E61">
            <w:pPr>
              <w:ind w:firstLine="86" w:firstLineChars="36"/>
              <w:rPr>
                <w:rFonts w:eastAsiaTheme="minorEastAsia"/>
                <w:color w:val="000000"/>
                <w:highlight w:val="none"/>
              </w:rPr>
            </w:pPr>
            <w:r>
              <w:rPr>
                <w:rFonts w:hint="eastAsia" w:eastAsiaTheme="minorEastAsia"/>
                <w:color w:val="000000"/>
                <w:highlight w:val="none"/>
              </w:rPr>
              <w:t>20</w:t>
            </w:r>
            <w:r>
              <w:rPr>
                <w:rFonts w:eastAsiaTheme="minorEastAsia"/>
                <w:color w:val="000000"/>
                <w:highlight w:val="none"/>
              </w:rPr>
              <w:t>份</w:t>
            </w:r>
          </w:p>
        </w:tc>
        <w:tc>
          <w:tcPr>
            <w:tcW w:w="1800" w:type="dxa"/>
            <w:tcBorders>
              <w:top w:val="single" w:color="000000" w:sz="8" w:space="0"/>
              <w:left w:val="single" w:color="000000" w:sz="8" w:space="0"/>
              <w:bottom w:val="single" w:color="000000" w:sz="8" w:space="0"/>
              <w:right w:val="single" w:color="000000" w:sz="8" w:space="0"/>
            </w:tcBorders>
            <w:vAlign w:val="center"/>
          </w:tcPr>
          <w:p w14:paraId="43B2B0BE">
            <w:pPr>
              <w:ind w:firstLine="86" w:firstLineChars="36"/>
              <w:rPr>
                <w:rFonts w:eastAsiaTheme="minorEastAsia"/>
                <w:color w:val="000000"/>
                <w:highlight w:val="none"/>
              </w:rPr>
            </w:pPr>
            <w:r>
              <w:rPr>
                <w:rFonts w:eastAsiaTheme="minorEastAsia"/>
                <w:color w:val="000000"/>
                <w:highlight w:val="none"/>
              </w:rPr>
              <w:t>电子文档各2份</w:t>
            </w:r>
          </w:p>
        </w:tc>
      </w:tr>
      <w:tr w14:paraId="347F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8"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C9C688D">
            <w:pPr>
              <w:ind w:firstLine="0" w:firstLineChars="0"/>
              <w:rPr>
                <w:rFonts w:eastAsiaTheme="minorEastAsia"/>
                <w:color w:val="000000"/>
                <w:highlight w:val="none"/>
              </w:rPr>
            </w:pPr>
            <w:r>
              <w:rPr>
                <w:rFonts w:eastAsiaTheme="minorEastAsia"/>
                <w:color w:val="000000"/>
                <w:highlight w:val="none"/>
              </w:rPr>
              <w:t>1</w:t>
            </w:r>
          </w:p>
        </w:tc>
        <w:tc>
          <w:tcPr>
            <w:tcW w:w="3575" w:type="dxa"/>
            <w:tcBorders>
              <w:top w:val="single" w:color="000000" w:sz="8" w:space="0"/>
              <w:left w:val="single" w:color="000000" w:sz="8" w:space="0"/>
              <w:bottom w:val="single" w:color="000000" w:sz="8" w:space="0"/>
              <w:right w:val="single" w:color="000000" w:sz="8" w:space="0"/>
            </w:tcBorders>
            <w:vAlign w:val="center"/>
          </w:tcPr>
          <w:p w14:paraId="79F7009C">
            <w:pPr>
              <w:ind w:leftChars="-13" w:hanging="31" w:hangingChars="13"/>
              <w:rPr>
                <w:rFonts w:eastAsiaTheme="minorEastAsia"/>
                <w:color w:val="000000"/>
                <w:highlight w:val="none"/>
              </w:rPr>
            </w:pPr>
            <w:r>
              <w:rPr>
                <w:rFonts w:eastAsiaTheme="minorEastAsia"/>
                <w:color w:val="000000"/>
                <w:highlight w:val="none"/>
              </w:rPr>
              <w:t>深化方案设计成果文件（含总平面规划设计、工程估算）</w:t>
            </w:r>
          </w:p>
        </w:tc>
        <w:tc>
          <w:tcPr>
            <w:tcW w:w="1701" w:type="dxa"/>
            <w:tcBorders>
              <w:top w:val="single" w:color="000000" w:sz="8" w:space="0"/>
              <w:left w:val="single" w:color="000000" w:sz="8" w:space="0"/>
              <w:bottom w:val="single" w:color="000000" w:sz="8" w:space="0"/>
              <w:right w:val="single" w:color="000000" w:sz="8" w:space="0"/>
            </w:tcBorders>
            <w:vAlign w:val="center"/>
          </w:tcPr>
          <w:p w14:paraId="50181ABA">
            <w:pPr>
              <w:ind w:leftChars="-24" w:hanging="57" w:hangingChars="24"/>
              <w:rPr>
                <w:rFonts w:eastAsiaTheme="minorEastAsia"/>
                <w:color w:val="000000"/>
                <w:highlight w:val="none"/>
              </w:rPr>
            </w:pPr>
            <w:r>
              <w:rPr>
                <w:rFonts w:eastAsiaTheme="minorEastAsia"/>
                <w:color w:val="000000"/>
                <w:highlight w:val="none"/>
              </w:rPr>
              <w:t>中标后30天内</w:t>
            </w:r>
          </w:p>
        </w:tc>
        <w:tc>
          <w:tcPr>
            <w:tcW w:w="1639" w:type="dxa"/>
            <w:tcBorders>
              <w:top w:val="single" w:color="000000" w:sz="8" w:space="0"/>
              <w:left w:val="single" w:color="000000" w:sz="8" w:space="0"/>
              <w:bottom w:val="single" w:color="000000" w:sz="8" w:space="0"/>
              <w:right w:val="single" w:color="000000" w:sz="8" w:space="0"/>
            </w:tcBorders>
            <w:vAlign w:val="center"/>
          </w:tcPr>
          <w:p w14:paraId="096E9F99">
            <w:pPr>
              <w:ind w:firstLine="86" w:firstLineChars="36"/>
              <w:rPr>
                <w:rFonts w:eastAsiaTheme="minorEastAsia"/>
                <w:color w:val="000000"/>
                <w:highlight w:val="none"/>
              </w:rPr>
            </w:pPr>
            <w:r>
              <w:rPr>
                <w:rFonts w:hint="eastAsia" w:eastAsiaTheme="minorEastAsia"/>
                <w:color w:val="000000"/>
                <w:highlight w:val="none"/>
              </w:rPr>
              <w:t>20</w:t>
            </w:r>
            <w:r>
              <w:rPr>
                <w:rFonts w:eastAsiaTheme="minorEastAsia"/>
                <w:color w:val="000000"/>
                <w:highlight w:val="none"/>
              </w:rPr>
              <w:t>，或按甲方要求提供</w:t>
            </w:r>
          </w:p>
        </w:tc>
        <w:tc>
          <w:tcPr>
            <w:tcW w:w="1800" w:type="dxa"/>
            <w:tcBorders>
              <w:top w:val="single" w:color="000000" w:sz="8" w:space="0"/>
              <w:left w:val="single" w:color="000000" w:sz="8" w:space="0"/>
              <w:bottom w:val="single" w:color="000000" w:sz="8" w:space="0"/>
              <w:right w:val="single" w:color="000000" w:sz="8" w:space="0"/>
            </w:tcBorders>
            <w:vAlign w:val="center"/>
          </w:tcPr>
          <w:p w14:paraId="5BAB226B">
            <w:pPr>
              <w:ind w:firstLine="86" w:firstLineChars="36"/>
              <w:rPr>
                <w:rFonts w:eastAsiaTheme="minorEastAsia"/>
                <w:color w:val="000000"/>
                <w:highlight w:val="none"/>
              </w:rPr>
            </w:pPr>
            <w:r>
              <w:rPr>
                <w:rFonts w:eastAsiaTheme="minorEastAsia"/>
                <w:color w:val="000000"/>
                <w:highlight w:val="none"/>
              </w:rPr>
              <w:t>电子文档2份</w:t>
            </w:r>
          </w:p>
        </w:tc>
      </w:tr>
      <w:tr w14:paraId="51BB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84"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3E4C699">
            <w:pPr>
              <w:ind w:firstLine="0" w:firstLineChars="0"/>
              <w:rPr>
                <w:rFonts w:eastAsiaTheme="minorEastAsia"/>
                <w:color w:val="000000"/>
                <w:highlight w:val="none"/>
              </w:rPr>
            </w:pPr>
            <w:r>
              <w:rPr>
                <w:rFonts w:eastAsiaTheme="minorEastAsia"/>
                <w:color w:val="000000"/>
                <w:highlight w:val="none"/>
              </w:rPr>
              <w:t>2</w:t>
            </w:r>
          </w:p>
        </w:tc>
        <w:tc>
          <w:tcPr>
            <w:tcW w:w="3575" w:type="dxa"/>
            <w:tcBorders>
              <w:top w:val="single" w:color="000000" w:sz="8" w:space="0"/>
              <w:left w:val="single" w:color="000000" w:sz="8" w:space="0"/>
              <w:bottom w:val="single" w:color="000000" w:sz="8" w:space="0"/>
              <w:right w:val="single" w:color="000000" w:sz="8" w:space="0"/>
            </w:tcBorders>
            <w:vAlign w:val="center"/>
          </w:tcPr>
          <w:p w14:paraId="775E81FB">
            <w:pPr>
              <w:ind w:leftChars="-13" w:hanging="31" w:hangingChars="13"/>
              <w:rPr>
                <w:rFonts w:eastAsiaTheme="minorEastAsia"/>
                <w:color w:val="000000"/>
                <w:highlight w:val="none"/>
              </w:rPr>
            </w:pPr>
            <w:r>
              <w:rPr>
                <w:rFonts w:eastAsiaTheme="minorEastAsia"/>
                <w:color w:val="000000"/>
                <w:highlight w:val="none"/>
              </w:rPr>
              <w:t>规划报建相关设计成果文件</w:t>
            </w:r>
          </w:p>
        </w:tc>
        <w:tc>
          <w:tcPr>
            <w:tcW w:w="1701" w:type="dxa"/>
            <w:tcBorders>
              <w:top w:val="single" w:color="000000" w:sz="8" w:space="0"/>
              <w:left w:val="single" w:color="000000" w:sz="8" w:space="0"/>
              <w:bottom w:val="single" w:color="000000" w:sz="8" w:space="0"/>
              <w:right w:val="single" w:color="000000" w:sz="8" w:space="0"/>
            </w:tcBorders>
            <w:vAlign w:val="center"/>
          </w:tcPr>
          <w:p w14:paraId="20192298">
            <w:pPr>
              <w:ind w:leftChars="-24" w:hanging="57" w:hangingChars="24"/>
              <w:rPr>
                <w:rFonts w:eastAsiaTheme="minorEastAsia"/>
                <w:color w:val="000000"/>
                <w:highlight w:val="none"/>
              </w:rPr>
            </w:pPr>
            <w:r>
              <w:rPr>
                <w:rFonts w:eastAsiaTheme="minorEastAsia"/>
                <w:color w:val="000000"/>
                <w:highlight w:val="none"/>
              </w:rPr>
              <w:t>按工作计划</w:t>
            </w:r>
          </w:p>
        </w:tc>
        <w:tc>
          <w:tcPr>
            <w:tcW w:w="1639" w:type="dxa"/>
            <w:tcBorders>
              <w:top w:val="single" w:color="000000" w:sz="8" w:space="0"/>
              <w:left w:val="single" w:color="000000" w:sz="8" w:space="0"/>
              <w:bottom w:val="single" w:color="000000" w:sz="8" w:space="0"/>
              <w:right w:val="single" w:color="000000" w:sz="8" w:space="0"/>
            </w:tcBorders>
            <w:vAlign w:val="center"/>
          </w:tcPr>
          <w:p w14:paraId="34C307A5">
            <w:pPr>
              <w:ind w:firstLine="86" w:firstLineChars="36"/>
              <w:rPr>
                <w:rFonts w:eastAsiaTheme="minorEastAsia"/>
                <w:color w:val="000000"/>
                <w:highlight w:val="none"/>
              </w:rPr>
            </w:pPr>
            <w:r>
              <w:rPr>
                <w:rFonts w:eastAsiaTheme="minorEastAsia"/>
                <w:color w:val="000000"/>
                <w:highlight w:val="none"/>
              </w:rPr>
              <w:t>按报建要求或甲方要求提供</w:t>
            </w:r>
          </w:p>
        </w:tc>
        <w:tc>
          <w:tcPr>
            <w:tcW w:w="1800" w:type="dxa"/>
            <w:tcBorders>
              <w:top w:val="single" w:color="000000" w:sz="8" w:space="0"/>
              <w:left w:val="single" w:color="000000" w:sz="8" w:space="0"/>
              <w:bottom w:val="single" w:color="000000" w:sz="8" w:space="0"/>
              <w:right w:val="single" w:color="000000" w:sz="8" w:space="0"/>
            </w:tcBorders>
            <w:vAlign w:val="center"/>
          </w:tcPr>
          <w:p w14:paraId="20565E1D">
            <w:pPr>
              <w:ind w:firstLine="0" w:firstLineChars="0"/>
              <w:rPr>
                <w:rFonts w:eastAsiaTheme="minorEastAsia"/>
                <w:color w:val="000000"/>
                <w:highlight w:val="none"/>
              </w:rPr>
            </w:pPr>
            <w:r>
              <w:rPr>
                <w:rFonts w:eastAsiaTheme="minorEastAsia"/>
                <w:color w:val="000000"/>
                <w:highlight w:val="none"/>
              </w:rPr>
              <w:t>电子文档2份</w:t>
            </w:r>
          </w:p>
        </w:tc>
      </w:tr>
      <w:tr w14:paraId="7DD0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8"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0DC078B">
            <w:pPr>
              <w:ind w:firstLine="0" w:firstLineChars="0"/>
              <w:rPr>
                <w:rFonts w:eastAsiaTheme="minorEastAsia"/>
                <w:color w:val="000000"/>
                <w:highlight w:val="none"/>
              </w:rPr>
            </w:pPr>
            <w:r>
              <w:rPr>
                <w:rFonts w:eastAsiaTheme="minorEastAsia"/>
                <w:color w:val="000000"/>
                <w:highlight w:val="none"/>
              </w:rPr>
              <w:t>3</w:t>
            </w:r>
          </w:p>
        </w:tc>
        <w:tc>
          <w:tcPr>
            <w:tcW w:w="3575" w:type="dxa"/>
            <w:tcBorders>
              <w:top w:val="single" w:color="000000" w:sz="8" w:space="0"/>
              <w:left w:val="single" w:color="000000" w:sz="8" w:space="0"/>
              <w:bottom w:val="single" w:color="000000" w:sz="8" w:space="0"/>
              <w:right w:val="single" w:color="000000" w:sz="8" w:space="0"/>
            </w:tcBorders>
            <w:vAlign w:val="center"/>
          </w:tcPr>
          <w:p w14:paraId="43B7C37A">
            <w:pPr>
              <w:ind w:leftChars="-13" w:hanging="31" w:hangingChars="13"/>
              <w:rPr>
                <w:rFonts w:eastAsiaTheme="minorEastAsia"/>
                <w:color w:val="000000"/>
                <w:highlight w:val="none"/>
              </w:rPr>
            </w:pPr>
            <w:r>
              <w:rPr>
                <w:rFonts w:eastAsiaTheme="minorEastAsia"/>
                <w:color w:val="000000"/>
                <w:highlight w:val="none"/>
              </w:rPr>
              <w:t>方案</w:t>
            </w:r>
            <w:r>
              <w:rPr>
                <w:rFonts w:hint="eastAsia" w:eastAsiaTheme="minorEastAsia"/>
                <w:color w:val="000000"/>
                <w:highlight w:val="none"/>
              </w:rPr>
              <w:t>审批</w:t>
            </w:r>
            <w:r>
              <w:rPr>
                <w:rFonts w:eastAsiaTheme="minorEastAsia"/>
                <w:color w:val="000000"/>
                <w:highlight w:val="none"/>
              </w:rPr>
              <w:t>设计成果文件</w:t>
            </w:r>
          </w:p>
        </w:tc>
        <w:tc>
          <w:tcPr>
            <w:tcW w:w="1701" w:type="dxa"/>
            <w:tcBorders>
              <w:top w:val="single" w:color="000000" w:sz="8" w:space="0"/>
              <w:left w:val="single" w:color="000000" w:sz="8" w:space="0"/>
              <w:bottom w:val="single" w:color="000000" w:sz="8" w:space="0"/>
              <w:right w:val="single" w:color="000000" w:sz="8" w:space="0"/>
            </w:tcBorders>
            <w:vAlign w:val="center"/>
          </w:tcPr>
          <w:p w14:paraId="3C24A6FA">
            <w:pPr>
              <w:ind w:leftChars="-24" w:hanging="57" w:hangingChars="24"/>
              <w:rPr>
                <w:rFonts w:eastAsiaTheme="minorEastAsia"/>
                <w:color w:val="000000"/>
                <w:highlight w:val="none"/>
              </w:rPr>
            </w:pPr>
            <w:r>
              <w:rPr>
                <w:rFonts w:eastAsiaTheme="minorEastAsia"/>
                <w:color w:val="000000"/>
                <w:highlight w:val="none"/>
              </w:rPr>
              <w:t>按工作计划</w:t>
            </w:r>
          </w:p>
        </w:tc>
        <w:tc>
          <w:tcPr>
            <w:tcW w:w="1639" w:type="dxa"/>
            <w:tcBorders>
              <w:top w:val="single" w:color="000000" w:sz="8" w:space="0"/>
              <w:left w:val="single" w:color="000000" w:sz="8" w:space="0"/>
              <w:bottom w:val="single" w:color="000000" w:sz="8" w:space="0"/>
              <w:right w:val="single" w:color="000000" w:sz="8" w:space="0"/>
            </w:tcBorders>
            <w:vAlign w:val="center"/>
          </w:tcPr>
          <w:p w14:paraId="607CA620">
            <w:pPr>
              <w:ind w:firstLine="86" w:firstLineChars="36"/>
              <w:rPr>
                <w:rFonts w:eastAsiaTheme="minorEastAsia"/>
                <w:color w:val="000000"/>
                <w:highlight w:val="none"/>
              </w:rPr>
            </w:pPr>
            <w:r>
              <w:rPr>
                <w:rFonts w:eastAsiaTheme="minorEastAsia"/>
                <w:color w:val="000000"/>
                <w:highlight w:val="none"/>
              </w:rPr>
              <w:t>按报建要求或甲方要求提供</w:t>
            </w:r>
          </w:p>
        </w:tc>
        <w:tc>
          <w:tcPr>
            <w:tcW w:w="1800" w:type="dxa"/>
            <w:tcBorders>
              <w:top w:val="single" w:color="000000" w:sz="8" w:space="0"/>
              <w:left w:val="single" w:color="000000" w:sz="8" w:space="0"/>
              <w:bottom w:val="single" w:color="000000" w:sz="8" w:space="0"/>
              <w:right w:val="single" w:color="000000" w:sz="8" w:space="0"/>
            </w:tcBorders>
            <w:vAlign w:val="center"/>
          </w:tcPr>
          <w:p w14:paraId="16CA09F0">
            <w:pPr>
              <w:ind w:firstLine="0" w:firstLineChars="0"/>
              <w:rPr>
                <w:rFonts w:eastAsiaTheme="minorEastAsia"/>
                <w:color w:val="000000"/>
                <w:highlight w:val="none"/>
              </w:rPr>
            </w:pPr>
            <w:r>
              <w:rPr>
                <w:rFonts w:eastAsiaTheme="minorEastAsia"/>
                <w:color w:val="000000"/>
                <w:highlight w:val="none"/>
              </w:rPr>
              <w:t>电子文档2份</w:t>
            </w:r>
          </w:p>
        </w:tc>
      </w:tr>
      <w:tr w14:paraId="5C0C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42"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AAB9550">
            <w:pPr>
              <w:ind w:firstLine="0" w:firstLineChars="0"/>
              <w:rPr>
                <w:rFonts w:eastAsiaTheme="minorEastAsia"/>
                <w:color w:val="000000"/>
                <w:highlight w:val="none"/>
              </w:rPr>
            </w:pPr>
            <w:r>
              <w:rPr>
                <w:rFonts w:eastAsiaTheme="minorEastAsia"/>
                <w:color w:val="000000"/>
                <w:highlight w:val="none"/>
              </w:rPr>
              <w:t>4</w:t>
            </w:r>
          </w:p>
        </w:tc>
        <w:tc>
          <w:tcPr>
            <w:tcW w:w="3575" w:type="dxa"/>
            <w:tcBorders>
              <w:top w:val="single" w:color="000000" w:sz="8" w:space="0"/>
              <w:left w:val="single" w:color="000000" w:sz="8" w:space="0"/>
              <w:bottom w:val="single" w:color="000000" w:sz="8" w:space="0"/>
              <w:right w:val="single" w:color="000000" w:sz="8" w:space="0"/>
            </w:tcBorders>
            <w:vAlign w:val="center"/>
          </w:tcPr>
          <w:p w14:paraId="23512A06">
            <w:pPr>
              <w:ind w:leftChars="-13" w:hanging="31" w:hangingChars="13"/>
              <w:rPr>
                <w:rFonts w:eastAsiaTheme="minorEastAsia"/>
                <w:color w:val="000000"/>
                <w:highlight w:val="none"/>
              </w:rPr>
            </w:pPr>
            <w:r>
              <w:rPr>
                <w:rFonts w:eastAsiaTheme="minorEastAsia"/>
                <w:color w:val="000000"/>
                <w:highlight w:val="none"/>
              </w:rPr>
              <w:t>初步设计成果文件（含概算）</w:t>
            </w:r>
          </w:p>
        </w:tc>
        <w:tc>
          <w:tcPr>
            <w:tcW w:w="1701" w:type="dxa"/>
            <w:tcBorders>
              <w:top w:val="single" w:color="000000" w:sz="8" w:space="0"/>
              <w:left w:val="single" w:color="000000" w:sz="8" w:space="0"/>
              <w:bottom w:val="single" w:color="000000" w:sz="8" w:space="0"/>
              <w:right w:val="single" w:color="000000" w:sz="8" w:space="0"/>
            </w:tcBorders>
            <w:vAlign w:val="center"/>
          </w:tcPr>
          <w:p w14:paraId="6851B1A2">
            <w:pPr>
              <w:ind w:leftChars="-24" w:hanging="57" w:hangingChars="24"/>
              <w:rPr>
                <w:rFonts w:eastAsiaTheme="minorEastAsia"/>
                <w:color w:val="000000"/>
                <w:highlight w:val="none"/>
              </w:rPr>
            </w:pPr>
            <w:r>
              <w:rPr>
                <w:rFonts w:eastAsiaTheme="minorEastAsia"/>
                <w:color w:val="000000"/>
                <w:highlight w:val="none"/>
              </w:rPr>
              <w:t>按工作计划</w:t>
            </w:r>
          </w:p>
        </w:tc>
        <w:tc>
          <w:tcPr>
            <w:tcW w:w="1639" w:type="dxa"/>
            <w:tcBorders>
              <w:top w:val="single" w:color="000000" w:sz="8" w:space="0"/>
              <w:left w:val="single" w:color="000000" w:sz="8" w:space="0"/>
              <w:bottom w:val="single" w:color="000000" w:sz="8" w:space="0"/>
              <w:right w:val="single" w:color="000000" w:sz="8" w:space="0"/>
            </w:tcBorders>
            <w:vAlign w:val="center"/>
          </w:tcPr>
          <w:p w14:paraId="55AA569B">
            <w:pPr>
              <w:ind w:firstLine="86" w:firstLineChars="36"/>
              <w:rPr>
                <w:rFonts w:eastAsiaTheme="minorEastAsia"/>
                <w:color w:val="000000"/>
                <w:highlight w:val="none"/>
              </w:rPr>
            </w:pPr>
            <w:r>
              <w:rPr>
                <w:rFonts w:hint="eastAsia" w:eastAsiaTheme="minorEastAsia"/>
                <w:color w:val="000000"/>
                <w:highlight w:val="none"/>
              </w:rPr>
              <w:t>20</w:t>
            </w:r>
            <w:r>
              <w:rPr>
                <w:rFonts w:eastAsiaTheme="minorEastAsia"/>
                <w:color w:val="000000"/>
                <w:highlight w:val="none"/>
              </w:rPr>
              <w:t>份，或按甲方要求提供</w:t>
            </w:r>
          </w:p>
        </w:tc>
        <w:tc>
          <w:tcPr>
            <w:tcW w:w="1800" w:type="dxa"/>
            <w:tcBorders>
              <w:top w:val="single" w:color="000000" w:sz="8" w:space="0"/>
              <w:left w:val="single" w:color="000000" w:sz="8" w:space="0"/>
              <w:bottom w:val="single" w:color="000000" w:sz="8" w:space="0"/>
              <w:right w:val="single" w:color="000000" w:sz="8" w:space="0"/>
            </w:tcBorders>
            <w:vAlign w:val="center"/>
          </w:tcPr>
          <w:p w14:paraId="0FF3E91D">
            <w:pPr>
              <w:ind w:firstLine="0" w:firstLineChars="0"/>
              <w:rPr>
                <w:rFonts w:eastAsiaTheme="minorEastAsia"/>
                <w:color w:val="000000"/>
                <w:highlight w:val="none"/>
              </w:rPr>
            </w:pPr>
            <w:r>
              <w:rPr>
                <w:rFonts w:eastAsiaTheme="minorEastAsia"/>
                <w:color w:val="000000"/>
                <w:highlight w:val="none"/>
              </w:rPr>
              <w:t>电子文档2份（含符合评审要求的软件版）</w:t>
            </w:r>
          </w:p>
        </w:tc>
      </w:tr>
      <w:tr w14:paraId="47C0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3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D2CCD5E">
            <w:pPr>
              <w:ind w:firstLine="0" w:firstLineChars="0"/>
              <w:rPr>
                <w:rFonts w:eastAsiaTheme="minorEastAsia"/>
                <w:color w:val="000000"/>
                <w:highlight w:val="none"/>
              </w:rPr>
            </w:pPr>
            <w:r>
              <w:rPr>
                <w:rFonts w:eastAsiaTheme="minorEastAsia"/>
                <w:color w:val="000000"/>
                <w:highlight w:val="none"/>
              </w:rPr>
              <w:t>5</w:t>
            </w:r>
          </w:p>
        </w:tc>
        <w:tc>
          <w:tcPr>
            <w:tcW w:w="3575" w:type="dxa"/>
            <w:tcBorders>
              <w:top w:val="single" w:color="000000" w:sz="8" w:space="0"/>
              <w:left w:val="single" w:color="000000" w:sz="8" w:space="0"/>
              <w:bottom w:val="single" w:color="000000" w:sz="8" w:space="0"/>
              <w:right w:val="single" w:color="000000" w:sz="8" w:space="0"/>
            </w:tcBorders>
            <w:vAlign w:val="center"/>
          </w:tcPr>
          <w:p w14:paraId="0592DEB1">
            <w:pPr>
              <w:ind w:leftChars="-13" w:hanging="31" w:hangingChars="13"/>
              <w:rPr>
                <w:rFonts w:eastAsiaTheme="minorEastAsia"/>
                <w:color w:val="000000"/>
                <w:highlight w:val="none"/>
              </w:rPr>
            </w:pPr>
            <w:r>
              <w:rPr>
                <w:rFonts w:eastAsiaTheme="minorEastAsia"/>
                <w:color w:val="000000"/>
                <w:highlight w:val="none"/>
              </w:rPr>
              <w:t>初步设计阶段相关报批成果文件</w:t>
            </w:r>
          </w:p>
        </w:tc>
        <w:tc>
          <w:tcPr>
            <w:tcW w:w="1701" w:type="dxa"/>
            <w:tcBorders>
              <w:top w:val="single" w:color="000000" w:sz="8" w:space="0"/>
              <w:left w:val="single" w:color="000000" w:sz="8" w:space="0"/>
              <w:bottom w:val="single" w:color="000000" w:sz="8" w:space="0"/>
              <w:right w:val="single" w:color="000000" w:sz="8" w:space="0"/>
            </w:tcBorders>
            <w:vAlign w:val="center"/>
          </w:tcPr>
          <w:p w14:paraId="07D6CDC5">
            <w:pPr>
              <w:ind w:leftChars="-24" w:hanging="57" w:hangingChars="24"/>
              <w:rPr>
                <w:rFonts w:eastAsiaTheme="minorEastAsia"/>
                <w:color w:val="000000"/>
                <w:highlight w:val="none"/>
              </w:rPr>
            </w:pPr>
            <w:r>
              <w:rPr>
                <w:rFonts w:eastAsiaTheme="minorEastAsia"/>
                <w:color w:val="000000"/>
                <w:highlight w:val="none"/>
              </w:rPr>
              <w:t>按工作计划</w:t>
            </w:r>
          </w:p>
        </w:tc>
        <w:tc>
          <w:tcPr>
            <w:tcW w:w="1639" w:type="dxa"/>
            <w:tcBorders>
              <w:top w:val="single" w:color="000000" w:sz="8" w:space="0"/>
              <w:left w:val="single" w:color="000000" w:sz="8" w:space="0"/>
              <w:bottom w:val="single" w:color="000000" w:sz="8" w:space="0"/>
              <w:right w:val="single" w:color="000000" w:sz="8" w:space="0"/>
            </w:tcBorders>
            <w:vAlign w:val="center"/>
          </w:tcPr>
          <w:p w14:paraId="3C7814CA">
            <w:pPr>
              <w:ind w:firstLine="86" w:firstLineChars="36"/>
              <w:rPr>
                <w:rFonts w:eastAsiaTheme="minorEastAsia"/>
                <w:color w:val="000000"/>
                <w:highlight w:val="none"/>
              </w:rPr>
            </w:pPr>
            <w:r>
              <w:rPr>
                <w:rFonts w:eastAsiaTheme="minorEastAsia"/>
                <w:color w:val="000000"/>
                <w:highlight w:val="none"/>
              </w:rPr>
              <w:t>按报建要求或甲方要求提供</w:t>
            </w:r>
          </w:p>
        </w:tc>
        <w:tc>
          <w:tcPr>
            <w:tcW w:w="1800" w:type="dxa"/>
            <w:tcBorders>
              <w:top w:val="single" w:color="000000" w:sz="8" w:space="0"/>
              <w:left w:val="single" w:color="000000" w:sz="8" w:space="0"/>
              <w:bottom w:val="single" w:color="000000" w:sz="8" w:space="0"/>
              <w:right w:val="single" w:color="000000" w:sz="8" w:space="0"/>
            </w:tcBorders>
            <w:vAlign w:val="center"/>
          </w:tcPr>
          <w:p w14:paraId="4485DDA2">
            <w:pPr>
              <w:ind w:firstLine="0" w:firstLineChars="0"/>
              <w:rPr>
                <w:rFonts w:eastAsiaTheme="minorEastAsia"/>
                <w:color w:val="000000"/>
                <w:highlight w:val="none"/>
              </w:rPr>
            </w:pPr>
            <w:r>
              <w:rPr>
                <w:rFonts w:eastAsiaTheme="minorEastAsia"/>
                <w:color w:val="000000"/>
                <w:highlight w:val="none"/>
              </w:rPr>
              <w:t>电子文档2份</w:t>
            </w:r>
          </w:p>
        </w:tc>
      </w:tr>
      <w:tr w14:paraId="1751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5"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A2E1245">
            <w:pPr>
              <w:ind w:firstLine="0" w:firstLineChars="0"/>
              <w:rPr>
                <w:rFonts w:eastAsiaTheme="minorEastAsia"/>
                <w:color w:val="000000"/>
                <w:highlight w:val="none"/>
              </w:rPr>
            </w:pPr>
            <w:r>
              <w:rPr>
                <w:rFonts w:hint="eastAsia" w:eastAsiaTheme="minorEastAsia"/>
                <w:color w:val="000000"/>
                <w:highlight w:val="none"/>
              </w:rPr>
              <w:t>6</w:t>
            </w:r>
          </w:p>
        </w:tc>
        <w:tc>
          <w:tcPr>
            <w:tcW w:w="3575" w:type="dxa"/>
            <w:tcBorders>
              <w:top w:val="single" w:color="000000" w:sz="8" w:space="0"/>
              <w:left w:val="single" w:color="000000" w:sz="8" w:space="0"/>
              <w:bottom w:val="single" w:color="000000" w:sz="8" w:space="0"/>
              <w:right w:val="single" w:color="000000" w:sz="8" w:space="0"/>
            </w:tcBorders>
            <w:vAlign w:val="center"/>
          </w:tcPr>
          <w:p w14:paraId="6640D835">
            <w:pPr>
              <w:ind w:leftChars="-13" w:hanging="31" w:hangingChars="13"/>
              <w:rPr>
                <w:rFonts w:eastAsiaTheme="minorEastAsia"/>
                <w:color w:val="000000"/>
                <w:highlight w:val="none"/>
              </w:rPr>
            </w:pPr>
            <w:r>
              <w:rPr>
                <w:rFonts w:hint="eastAsia" w:eastAsiaTheme="minorEastAsia"/>
                <w:color w:val="000000"/>
                <w:highlight w:val="none"/>
              </w:rPr>
              <w:t>最终</w:t>
            </w:r>
            <w:r>
              <w:rPr>
                <w:rFonts w:eastAsiaTheme="minorEastAsia"/>
                <w:color w:val="000000"/>
                <w:highlight w:val="none"/>
              </w:rPr>
              <w:t>设计成果文件（包括区域内各相关专业、园林景观等</w:t>
            </w:r>
            <w:r>
              <w:rPr>
                <w:rFonts w:hint="eastAsia" w:eastAsiaTheme="minorEastAsia"/>
                <w:color w:val="000000"/>
                <w:highlight w:val="none"/>
              </w:rPr>
              <w:t>初步设计</w:t>
            </w:r>
            <w:r>
              <w:rPr>
                <w:rFonts w:eastAsiaTheme="minorEastAsia"/>
                <w:color w:val="000000"/>
                <w:highlight w:val="none"/>
              </w:rPr>
              <w:t>内容）</w:t>
            </w:r>
          </w:p>
        </w:tc>
        <w:tc>
          <w:tcPr>
            <w:tcW w:w="1701" w:type="dxa"/>
            <w:tcBorders>
              <w:top w:val="single" w:color="000000" w:sz="8" w:space="0"/>
              <w:left w:val="single" w:color="000000" w:sz="8" w:space="0"/>
              <w:bottom w:val="single" w:color="000000" w:sz="8" w:space="0"/>
              <w:right w:val="single" w:color="000000" w:sz="8" w:space="0"/>
            </w:tcBorders>
            <w:vAlign w:val="center"/>
          </w:tcPr>
          <w:p w14:paraId="4D6E9ABD">
            <w:pPr>
              <w:ind w:leftChars="-24" w:hanging="57" w:hangingChars="24"/>
              <w:rPr>
                <w:rFonts w:eastAsiaTheme="minorEastAsia"/>
                <w:color w:val="000000"/>
                <w:highlight w:val="none"/>
              </w:rPr>
            </w:pPr>
            <w:r>
              <w:rPr>
                <w:rFonts w:eastAsiaTheme="minorEastAsia"/>
                <w:color w:val="000000"/>
                <w:highlight w:val="none"/>
              </w:rPr>
              <w:t>根据实际情况，按工作计划</w:t>
            </w:r>
          </w:p>
        </w:tc>
        <w:tc>
          <w:tcPr>
            <w:tcW w:w="1639" w:type="dxa"/>
            <w:tcBorders>
              <w:top w:val="single" w:color="000000" w:sz="8" w:space="0"/>
              <w:left w:val="single" w:color="000000" w:sz="8" w:space="0"/>
              <w:bottom w:val="single" w:color="000000" w:sz="8" w:space="0"/>
              <w:right w:val="single" w:color="000000" w:sz="8" w:space="0"/>
            </w:tcBorders>
            <w:vAlign w:val="center"/>
          </w:tcPr>
          <w:p w14:paraId="0CEA44F6">
            <w:pPr>
              <w:ind w:firstLine="86" w:firstLineChars="36"/>
              <w:rPr>
                <w:rFonts w:eastAsiaTheme="minorEastAsia"/>
                <w:color w:val="000000"/>
                <w:highlight w:val="none"/>
              </w:rPr>
            </w:pPr>
            <w:r>
              <w:rPr>
                <w:rFonts w:eastAsiaTheme="minorEastAsia"/>
                <w:color w:val="000000"/>
                <w:highlight w:val="none"/>
              </w:rPr>
              <w:t>按甲方要求提供</w:t>
            </w:r>
          </w:p>
        </w:tc>
        <w:tc>
          <w:tcPr>
            <w:tcW w:w="1800" w:type="dxa"/>
            <w:tcBorders>
              <w:top w:val="single" w:color="000000" w:sz="8" w:space="0"/>
              <w:left w:val="single" w:color="000000" w:sz="8" w:space="0"/>
              <w:bottom w:val="single" w:color="000000" w:sz="8" w:space="0"/>
              <w:right w:val="single" w:color="000000" w:sz="8" w:space="0"/>
            </w:tcBorders>
            <w:vAlign w:val="center"/>
          </w:tcPr>
          <w:p w14:paraId="09E78E19">
            <w:pPr>
              <w:ind w:firstLine="0" w:firstLineChars="0"/>
              <w:rPr>
                <w:rFonts w:eastAsiaTheme="minorEastAsia"/>
                <w:color w:val="000000"/>
                <w:highlight w:val="none"/>
              </w:rPr>
            </w:pPr>
            <w:r>
              <w:rPr>
                <w:rFonts w:eastAsiaTheme="minorEastAsia"/>
                <w:color w:val="000000"/>
                <w:highlight w:val="none"/>
              </w:rPr>
              <w:t>电子文档2份</w:t>
            </w:r>
          </w:p>
        </w:tc>
      </w:tr>
    </w:tbl>
    <w:p w14:paraId="3B0C308B">
      <w:pPr>
        <w:rPr>
          <w:color w:val="000000"/>
          <w:highlight w:val="none"/>
        </w:rPr>
      </w:pPr>
      <w:r>
        <w:rPr>
          <w:color w:val="000000"/>
          <w:highlight w:val="none"/>
        </w:rPr>
        <w:t>（备注：上述各阶段成果提交时间由建设单位控制，可根据实际情况调整。）</w:t>
      </w:r>
    </w:p>
    <w:p w14:paraId="1BA010FF">
      <w:pPr>
        <w:rPr>
          <w:color w:val="000000"/>
          <w:highlight w:val="none"/>
        </w:rPr>
      </w:pPr>
      <w:r>
        <w:rPr>
          <w:color w:val="000000"/>
          <w:highlight w:val="none"/>
        </w:rPr>
        <w:t>2、各阶段所有提供的效果图必须同时提交PSD或PDF电子版文件，精度要求：分辨率不低于4kx4k。</w:t>
      </w:r>
    </w:p>
    <w:p w14:paraId="45F15471">
      <w:pPr>
        <w:rPr>
          <w:rFonts w:eastAsiaTheme="minorEastAsia"/>
          <w:color w:val="000000"/>
          <w:highlight w:val="none"/>
        </w:rPr>
      </w:pPr>
      <w:r>
        <w:rPr>
          <w:rFonts w:hint="eastAsia"/>
          <w:color w:val="000000"/>
          <w:highlight w:val="none"/>
        </w:rPr>
        <w:t>3</w:t>
      </w:r>
      <w:r>
        <w:rPr>
          <w:color w:val="000000"/>
          <w:highlight w:val="none"/>
        </w:rPr>
        <w:t>、</w:t>
      </w:r>
      <w:r>
        <w:rPr>
          <w:rFonts w:hint="eastAsia"/>
          <w:color w:val="000000"/>
          <w:highlight w:val="none"/>
        </w:rPr>
        <w:t>在规划红线范围内，设计人应保证按规划及建筑功能要求、配套设施要求完成本工程造价中包含的全部项目的专业专项设计。限于专业资质问题不能进行的专项设计（如10千伏高压供电、红线外市政给排水及供电工程、环保工程、燃气工程、幕墙、装修、园林景观、泛光照明等），由设计人报甲方同意后进行分包，专项分包设计费由设计人承担。建筑主体设计单位全面负责管理和协调专业分包单位。专项分包各阶段设计文件中，须设计人校核确认，并由项目负责人及专项分包方人员进行会签、盖章确认（设计图要求含有两个单位的图签，双图签出图）。</w:t>
      </w:r>
    </w:p>
    <w:p w14:paraId="27FA6B80">
      <w:pPr>
        <w:rPr>
          <w:color w:val="000000"/>
          <w:highlight w:val="none"/>
        </w:rPr>
      </w:pPr>
      <w:r>
        <w:rPr>
          <w:color w:val="000000"/>
          <w:highlight w:val="none"/>
        </w:rPr>
        <w:t>4、若中标设计单位为建筑主体设计单位，对整个项目的设计进行总体技术把控，由项目承建单位另行招标的设计内容，相关设计图须经过建筑主体设计单位全面审核确认（以建筑主体设计单位签名盖公章形式或项目承建单位指定方式确认）。</w:t>
      </w:r>
    </w:p>
    <w:p w14:paraId="4215CEC0">
      <w:pPr>
        <w:rPr>
          <w:color w:val="000000"/>
          <w:highlight w:val="none"/>
        </w:rPr>
      </w:pPr>
      <w:r>
        <w:rPr>
          <w:color w:val="000000"/>
          <w:highlight w:val="none"/>
        </w:rPr>
        <w:t>5、中标设计单位按合同约定的时限将设计成果文件或资料交付至本项目建设单位指定的地点，相关费用（包括运输、邮寄、电传、关税等费用</w:t>
      </w:r>
      <w:r>
        <w:rPr>
          <w:rFonts w:hint="eastAsia"/>
          <w:color w:val="000000"/>
          <w:highlight w:val="none"/>
        </w:rPr>
        <w:t>，包括但不限于以上</w:t>
      </w:r>
      <w:r>
        <w:rPr>
          <w:color w:val="000000"/>
          <w:highlight w:val="none"/>
        </w:rPr>
        <w:t>）已经含于设计费中。</w:t>
      </w:r>
    </w:p>
    <w:p w14:paraId="5C0B6623">
      <w:pPr>
        <w:rPr>
          <w:color w:val="000000"/>
          <w:highlight w:val="none"/>
        </w:rPr>
      </w:pPr>
      <w:r>
        <w:rPr>
          <w:color w:val="000000"/>
          <w:highlight w:val="none"/>
        </w:rPr>
        <w:t>6、在报建过程中需要提供设计成果文件或设计中间资料的电子文档的，中标设计单位应无偿提供。</w:t>
      </w:r>
      <w:r>
        <w:rPr>
          <w:rFonts w:hint="eastAsia"/>
          <w:color w:val="000000"/>
          <w:highlight w:val="none"/>
        </w:rPr>
        <w:t>报建费用（除行政事业性收费由甲方负责缴纳外）由设计单位负责，包括购买地形图、管线图纸、加晒加印图纸资料、修详通、报建通编制等，不再单独计取。</w:t>
      </w:r>
      <w:r>
        <w:rPr>
          <w:color w:val="000000"/>
          <w:highlight w:val="none"/>
        </w:rPr>
        <w:t>各阶段的汇报文件和送审文件晒制费用包含在设计费中，不再单独计取。</w:t>
      </w:r>
    </w:p>
    <w:p w14:paraId="4E963594">
      <w:pPr>
        <w:rPr>
          <w:color w:val="000000"/>
          <w:highlight w:val="none"/>
        </w:rPr>
      </w:pPr>
      <w:r>
        <w:rPr>
          <w:color w:val="000000"/>
          <w:highlight w:val="none"/>
        </w:rPr>
        <w:t>7、按照设计成果质量审核实施</w:t>
      </w:r>
      <w:r>
        <w:rPr>
          <w:rFonts w:hint="eastAsia"/>
          <w:color w:val="000000"/>
          <w:highlight w:val="none"/>
        </w:rPr>
        <w:t>的</w:t>
      </w:r>
      <w:r>
        <w:rPr>
          <w:color w:val="000000"/>
          <w:highlight w:val="none"/>
        </w:rPr>
        <w:t>要求，甲方可根据项目推进情况及重要性，组织相关专家对乙方提供的方案、初步设计（含概算）、节能和绿色建筑咨询及评估工作等设计成果进行评审。</w:t>
      </w:r>
      <w:r>
        <w:rPr>
          <w:rFonts w:hint="eastAsia"/>
          <w:color w:val="000000"/>
          <w:highlight w:val="none"/>
        </w:rPr>
        <w:t>甲方根据需要召开的各阶段设计成果（含概算）专家评审/审核会的场地费、专家费、交通费、餐费等相关费用已包含在本合同勘察设计收费里，不另外计取。</w:t>
      </w:r>
      <w:r>
        <w:rPr>
          <w:color w:val="000000"/>
          <w:highlight w:val="none"/>
        </w:rPr>
        <w:t>设计成果（含概算）必须经过乙方内部各专业总工审核（分包的单项设计由乙方统筹负责，所以也要由乙方内部各专业总工审核）方可提交专家评审/审核会。</w:t>
      </w:r>
    </w:p>
    <w:p w14:paraId="30B6EDF7">
      <w:pPr>
        <w:rPr>
          <w:color w:val="000000"/>
          <w:highlight w:val="none"/>
        </w:rPr>
      </w:pPr>
      <w:r>
        <w:rPr>
          <w:color w:val="000000"/>
          <w:highlight w:val="none"/>
        </w:rPr>
        <w:t>建筑节能新技术的应用及设计：包括节能、环保、绿色建筑等专项工程设计。乙方必须按照广州市绿色建筑和建筑节能管理规定开展设计工作提交绿色建筑设计专题报告（包括本项目采用</w:t>
      </w:r>
      <w:r>
        <w:rPr>
          <w:rFonts w:hint="eastAsia"/>
          <w:color w:val="000000"/>
          <w:highlight w:val="none"/>
        </w:rPr>
        <w:t>绿建标准</w:t>
      </w:r>
      <w:r>
        <w:rPr>
          <w:color w:val="000000"/>
          <w:highlight w:val="none"/>
        </w:rPr>
        <w:t>进行设计的论证报告及造价分析），确保达到甲方要求的星级标准设计。</w:t>
      </w:r>
    </w:p>
    <w:p w14:paraId="54F7CA51">
      <w:pPr>
        <w:rPr>
          <w:color w:val="000000"/>
          <w:highlight w:val="none"/>
        </w:rPr>
      </w:pPr>
      <w:r>
        <w:rPr>
          <w:rFonts w:hint="eastAsia"/>
          <w:color w:val="000000"/>
          <w:highlight w:val="none"/>
        </w:rPr>
        <w:t>如乙方未能在设计评审的最终意见发出之日起3日内积极响应或逾期未能完成相关设计成果文件的修改完善工作，乙方应按合同条款的相关约定承担违约责任。甲方有权直接按设计评审的最终评审意见实施（但不因此免除乙方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14:paraId="353C25E1">
      <w:pPr>
        <w:rPr>
          <w:color w:val="000000"/>
          <w:highlight w:val="none"/>
        </w:rPr>
      </w:pPr>
      <w:r>
        <w:rPr>
          <w:color w:val="000000"/>
          <w:highlight w:val="none"/>
        </w:rPr>
        <w:br w:type="page"/>
      </w:r>
    </w:p>
    <w:p w14:paraId="131E125D">
      <w:pPr>
        <w:pStyle w:val="2"/>
        <w:rPr>
          <w:color w:val="000000"/>
          <w:highlight w:val="none"/>
        </w:rPr>
      </w:pPr>
      <w:bookmarkStart w:id="37" w:name="_Toc75504397"/>
      <w:r>
        <w:rPr>
          <w:color w:val="000000"/>
          <w:highlight w:val="none"/>
        </w:rPr>
        <w:t>附则</w:t>
      </w:r>
      <w:bookmarkEnd w:id="37"/>
    </w:p>
    <w:p w14:paraId="53CAFB3D">
      <w:pPr>
        <w:rPr>
          <w:color w:val="000000"/>
          <w:highlight w:val="none"/>
        </w:rPr>
      </w:pPr>
      <w:r>
        <w:rPr>
          <w:color w:val="000000"/>
          <w:highlight w:val="none"/>
        </w:rPr>
        <w:t>1． 本设计任务书对于设计技术审查与评审办法、中标实施方案的规定、及相关法律责任等方面的规定参照设计招标文件相应内容执行。</w:t>
      </w:r>
    </w:p>
    <w:p w14:paraId="54C06F66">
      <w:pPr>
        <w:rPr>
          <w:color w:val="000000"/>
          <w:highlight w:val="none"/>
        </w:rPr>
      </w:pPr>
      <w:r>
        <w:rPr>
          <w:color w:val="000000"/>
          <w:highlight w:val="none"/>
        </w:rPr>
        <w:t>2． 设计成果评审后不予退回。</w:t>
      </w:r>
    </w:p>
    <w:p w14:paraId="25BF21D8">
      <w:pPr>
        <w:rPr>
          <w:color w:val="000000"/>
          <w:highlight w:val="none"/>
        </w:rPr>
      </w:pPr>
      <w:r>
        <w:rPr>
          <w:color w:val="000000"/>
          <w:highlight w:val="none"/>
        </w:rPr>
        <w:t>3． 甲方有权使用实施方案的设计成果，并根据需要要求设计方对选定的实施方案进行调整或修改。</w:t>
      </w:r>
    </w:p>
    <w:p w14:paraId="0B40E864">
      <w:pPr>
        <w:rPr>
          <w:color w:val="000000"/>
          <w:highlight w:val="none"/>
        </w:rPr>
      </w:pPr>
      <w:r>
        <w:rPr>
          <w:color w:val="000000"/>
          <w:highlight w:val="none"/>
        </w:rPr>
        <w:t>4． 投标单位在此前所收到的公告、邀请函、通知等文件内容与本技术文件有矛盾时，以技术文件为准；招标期间由招标组织单位发出的有关投标答疑文件与其它文件内容有矛盾时，以日期较晚的文件为准。</w:t>
      </w:r>
    </w:p>
    <w:p w14:paraId="3B2DE271">
      <w:pPr>
        <w:rPr>
          <w:color w:val="000000"/>
          <w:highlight w:val="none"/>
        </w:rPr>
      </w:pPr>
      <w:r>
        <w:rPr>
          <w:color w:val="000000"/>
          <w:highlight w:val="none"/>
        </w:rPr>
        <w:t>5．投标设计成果有下列情况之一者无效：提交的成果不符合本技术文件规定的成果内容和格式；逾期送达；图示和文字辨认不清、内容不全、深度不够或粗制滥造；投标方案经技术委员会和评审委员会鉴定有明显的抄袭行为；将设计任务转包其他单位；未经招标组织单位同意与其它单位或其他单位个人合作完成设计成果；提交成果未按要求密封。技术审查委员会、评审委员会、招标委员会任一委员会均可裁决投标设计成果无效。</w:t>
      </w:r>
    </w:p>
    <w:p w14:paraId="3A3A80E8">
      <w:pPr>
        <w:rPr>
          <w:color w:val="000000"/>
          <w:highlight w:val="none"/>
        </w:rPr>
      </w:pPr>
      <w:r>
        <w:rPr>
          <w:color w:val="000000"/>
          <w:highlight w:val="none"/>
        </w:rPr>
        <w:t>6．如对本任务书有疑问，按照招标文件的相关规定进行答疑。</w:t>
      </w:r>
    </w:p>
    <w:p w14:paraId="01F2F740">
      <w:pPr>
        <w:rPr>
          <w:color w:val="000000"/>
          <w:highlight w:val="none"/>
        </w:rPr>
      </w:pPr>
      <w:r>
        <w:rPr>
          <w:color w:val="000000"/>
          <w:highlight w:val="none"/>
        </w:rPr>
        <w:t>7． 本文件的解释权归本次招标委员会所有。本次招标提供的各种技术资料都只能在此次项目中使用，未经竞赛委员会允许，任何个人、公司及各种机构在任何其他方面的使用都将被视为违反技术文件要求行为，招标委员会将保留追究其法律责任的权利。</w:t>
      </w:r>
    </w:p>
    <w:p w14:paraId="1A0E493C">
      <w:pPr>
        <w:ind w:left="0" w:leftChars="0" w:firstLine="0" w:firstLineChars="0"/>
        <w:rPr>
          <w:color w:val="000000"/>
        </w:rPr>
      </w:pPr>
    </w:p>
    <w:p w14:paraId="107CA968">
      <w:pPr>
        <w:ind w:left="0" w:leftChars="0" w:firstLine="0" w:firstLineChars="0"/>
        <w:rPr>
          <w:color w:val="000000"/>
        </w:rPr>
      </w:pPr>
    </w:p>
    <w:sectPr>
      <w:headerReference r:id="rId12" w:type="default"/>
      <w:footerReference r:id="rId13" w:type="default"/>
      <w:pgSz w:w="11906" w:h="16838"/>
      <w:pgMar w:top="1440" w:right="1106" w:bottom="1244"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6"/>
      </w:pPr>
      <w:r>
        <w:separator/>
      </w:r>
    </w:p>
  </w:endnote>
  <w:endnote w:type="continuationSeparator" w:id="1">
    <w:p>
      <w:pPr>
        <w:spacing w:line="240" w:lineRule="auto"/>
        <w:ind w:firstLine="56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UI Gothic">
    <w:panose1 w:val="020B0600070205080204"/>
    <w:charset w:val="80"/>
    <w:family w:val="swiss"/>
    <w:pitch w:val="default"/>
    <w:sig w:usb0="E00002FF" w:usb1="6AC7FDFB" w:usb2="08000012" w:usb3="00000000" w:csb0="4002009F" w:csb1="DFD70000"/>
  </w:font>
  <w:font w:name="(使用中文字体)">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44CD">
    <w:pPr>
      <w:pStyle w:val="25"/>
      <w:ind w:firstLine="4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426E">
    <w:pPr>
      <w:pStyle w:val="25"/>
      <w:ind w:firstLine="425"/>
    </w:pPr>
    <w:r>
      <w:fldChar w:fldCharType="begin"/>
    </w:r>
    <w:r>
      <w:rPr>
        <w:rStyle w:val="42"/>
      </w:rPr>
      <w:instrText xml:space="preserve">PAGE  </w:instrText>
    </w:r>
    <w:r>
      <w:fldChar w:fldCharType="separate"/>
    </w:r>
    <w:r>
      <w:rPr>
        <w:rStyle w:val="42"/>
      </w:rPr>
      <w:t>1</w:t>
    </w:r>
    <w:r>
      <w:fldChar w:fldCharType="end"/>
    </w:r>
  </w:p>
  <w:p w14:paraId="152F469D">
    <w:pPr>
      <w:pStyle w:val="25"/>
      <w:ind w:firstLine="4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F9D4">
    <w:pPr>
      <w:pStyle w:val="25"/>
      <w:ind w:firstLine="4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3CE1D">
    <w:pPr>
      <w:pStyle w:val="25"/>
      <w:ind w:firstLine="425"/>
    </w:pPr>
    <w:r>
      <w:fldChar w:fldCharType="begin"/>
    </w:r>
    <w:r>
      <w:rPr>
        <w:rStyle w:val="42"/>
      </w:rPr>
      <w:instrText xml:space="preserve">PAGE  </w:instrText>
    </w:r>
    <w:r>
      <w:fldChar w:fldCharType="separate"/>
    </w:r>
    <w:r>
      <w:rPr>
        <w:rStyle w:val="42"/>
      </w:rPr>
      <w:t>2</w:t>
    </w:r>
    <w:r>
      <w:fldChar w:fldCharType="end"/>
    </w:r>
  </w:p>
  <w:p w14:paraId="0CFFCCC3">
    <w:pPr>
      <w:pStyle w:val="25"/>
      <w:ind w:firstLine="4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5EC48">
    <w:pPr>
      <w:pStyle w:val="25"/>
      <w:ind w:firstLine="425"/>
      <w:jc w:val="center"/>
    </w:pPr>
    <w:r>
      <w:fldChar w:fldCharType="begin"/>
    </w:r>
    <w:r>
      <w:rPr>
        <w:rStyle w:val="42"/>
      </w:rPr>
      <w:instrText xml:space="preserve">PAGE  </w:instrText>
    </w:r>
    <w:r>
      <w:fldChar w:fldCharType="separate"/>
    </w:r>
    <w:r>
      <w:rPr>
        <w:rStyle w:val="42"/>
      </w:rPr>
      <w:t>20</w:t>
    </w:r>
    <w:r>
      <w:fldChar w:fldCharType="end"/>
    </w:r>
  </w:p>
  <w:p w14:paraId="0C98F2BA">
    <w:pPr>
      <w:pStyle w:val="25"/>
      <w:ind w:firstLine="425"/>
    </w:pPr>
  </w:p>
  <w:p w14:paraId="5ED8511B">
    <w:pPr>
      <w:pStyle w:val="25"/>
      <w:ind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6"/>
      </w:pPr>
      <w:r>
        <w:separator/>
      </w:r>
    </w:p>
  </w:footnote>
  <w:footnote w:type="continuationSeparator" w:id="1">
    <w:p>
      <w:pPr>
        <w:spacing w:line="360" w:lineRule="auto"/>
        <w:ind w:firstLine="56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01AA">
    <w:pPr>
      <w:pStyle w:val="26"/>
      <w:pBdr>
        <w:bottom w:val="none" w:color="auto" w:sz="0" w:space="0"/>
      </w:pBdr>
      <w:ind w:firstLine="4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D36F">
    <w:pPr>
      <w:pStyle w:val="26"/>
      <w:ind w:firstLine="4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1BB10">
    <w:pPr>
      <w:pStyle w:val="26"/>
      <w:ind w:firstLine="4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312E6">
    <w:pPr>
      <w:pStyle w:val="26"/>
      <w:ind w:firstLine="4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D3292"/>
    <w:multiLevelType w:val="multilevel"/>
    <w:tmpl w:val="013D3292"/>
    <w:lvl w:ilvl="0" w:tentative="0">
      <w:start w:val="1"/>
      <w:numFmt w:val="decimal"/>
      <w:lvlText w:val="%1．"/>
      <w:lvlJc w:val="left"/>
      <w:pPr>
        <w:ind w:left="926" w:hanging="36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
    <w:nsid w:val="016645EC"/>
    <w:multiLevelType w:val="multilevel"/>
    <w:tmpl w:val="016645EC"/>
    <w:lvl w:ilvl="0" w:tentative="0">
      <w:start w:val="1"/>
      <w:numFmt w:val="decimal"/>
      <w:pStyle w:val="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06117BE3"/>
    <w:multiLevelType w:val="multilevel"/>
    <w:tmpl w:val="06117BE3"/>
    <w:lvl w:ilvl="0" w:tentative="0">
      <w:start w:val="1"/>
      <w:numFmt w:val="decimal"/>
      <w:lvlText w:val="（%1）"/>
      <w:lvlJc w:val="left"/>
      <w:pPr>
        <w:ind w:left="986" w:hanging="42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08875A58"/>
    <w:multiLevelType w:val="multilevel"/>
    <w:tmpl w:val="08875A58"/>
    <w:lvl w:ilvl="0" w:tentative="0">
      <w:start w:val="1"/>
      <w:numFmt w:val="upperLetter"/>
      <w:lvlText w:val="%1."/>
      <w:lvlJc w:val="left"/>
      <w:pPr>
        <w:ind w:left="420" w:hanging="420"/>
      </w:pPr>
      <w:rPr>
        <w:rFonts w:hint="default" w:ascii="宋体" w:hAnsi="宋体" w:eastAsia="宋体"/>
        <w:bCs/>
      </w:rPr>
    </w:lvl>
    <w:lvl w:ilvl="1" w:tentative="0">
      <w:start w:val="1"/>
      <w:numFmt w:val="lowerLetter"/>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abstractNum w:abstractNumId="4">
    <w:nsid w:val="0AF03E2A"/>
    <w:multiLevelType w:val="multilevel"/>
    <w:tmpl w:val="0AF03E2A"/>
    <w:lvl w:ilvl="0" w:tentative="0">
      <w:start w:val="1"/>
      <w:numFmt w:val="decimal"/>
      <w:lvlText w:val="（%1）"/>
      <w:lvlJc w:val="left"/>
      <w:pPr>
        <w:ind w:left="986" w:hanging="420"/>
      </w:pPr>
      <w:rPr>
        <w:rFonts w:hint="default" w:asciiTheme="minorEastAsia" w:hAnsiTheme="minorEastAsia" w:eastAsiaTheme="minorEastAsia"/>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2BC96E26"/>
    <w:multiLevelType w:val="multilevel"/>
    <w:tmpl w:val="2BC96E26"/>
    <w:lvl w:ilvl="0" w:tentative="0">
      <w:start w:val="1"/>
      <w:numFmt w:val="upperLetter"/>
      <w:lvlText w:val="%1."/>
      <w:lvlJc w:val="left"/>
      <w:pPr>
        <w:ind w:left="420" w:hanging="420"/>
      </w:pPr>
      <w:rPr>
        <w:rFonts w:hint="default" w:ascii="宋体" w:hAnsi="宋体" w:eastAsia="宋体"/>
        <w:bCs/>
      </w:rPr>
    </w:lvl>
    <w:lvl w:ilvl="1" w:tentative="0">
      <w:start w:val="1"/>
      <w:numFmt w:val="lowerLetter"/>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abstractNum w:abstractNumId="6">
    <w:nsid w:val="33521B68"/>
    <w:multiLevelType w:val="multilevel"/>
    <w:tmpl w:val="33521B68"/>
    <w:lvl w:ilvl="0" w:tentative="0">
      <w:start w:val="1"/>
      <w:numFmt w:val="decimal"/>
      <w:pStyle w:val="2"/>
      <w:lvlText w:val="第%1章"/>
      <w:lvlJc w:val="left"/>
      <w:pPr>
        <w:ind w:left="0" w:firstLine="0"/>
      </w:pPr>
      <w:rPr>
        <w:rFonts w:hint="eastAsia"/>
      </w:rPr>
    </w:lvl>
    <w:lvl w:ilvl="1" w:tentative="0">
      <w:start w:val="1"/>
      <w:numFmt w:val="decimal"/>
      <w:pStyle w:val="3"/>
      <w:lvlText w:val="%1.%2"/>
      <w:lvlJc w:val="left"/>
      <w:pPr>
        <w:ind w:left="0" w:firstLine="0"/>
      </w:pPr>
      <w:rPr>
        <w:rFonts w:hint="eastAsia" w:asciiTheme="minorEastAsia" w:hAnsiTheme="minorEastAsia" w:eastAsiaTheme="minorEastAsia"/>
      </w:rPr>
    </w:lvl>
    <w:lvl w:ilvl="2" w:tentative="0">
      <w:start w:val="1"/>
      <w:numFmt w:val="decimal"/>
      <w:pStyle w:val="4"/>
      <w:suff w:val="space"/>
      <w:lvlText w:val="%1.%2.%3"/>
      <w:lvlJc w:val="left"/>
      <w:pPr>
        <w:ind w:left="0" w:firstLine="0"/>
      </w:pPr>
      <w:rPr>
        <w:rFonts w:hint="eastAsia" w:asciiTheme="minorEastAsia" w:hAnsiTheme="minorEastAsia" w:eastAsiaTheme="minorEastAsia"/>
      </w:rPr>
    </w:lvl>
    <w:lvl w:ilvl="3" w:tentative="0">
      <w:start w:val="1"/>
      <w:numFmt w:val="decimal"/>
      <w:pStyle w:val="5"/>
      <w:lvlText w:val="%1.%2.%3.%4"/>
      <w:lvlJc w:val="left"/>
      <w:pPr>
        <w:ind w:left="4253" w:firstLine="0"/>
      </w:pPr>
      <w:rPr>
        <w:rFonts w:hint="eastAsia" w:asciiTheme="minorEastAsia" w:hAnsiTheme="minorEastAsia" w:eastAsiaTheme="minorEastAsia"/>
      </w:rPr>
    </w:lvl>
    <w:lvl w:ilvl="4" w:tentative="0">
      <w:start w:val="1"/>
      <w:numFmt w:val="decimal"/>
      <w:pStyle w:val="7"/>
      <w:lvlText w:val="%1.%2.%3.%4.%5"/>
      <w:lvlJc w:val="left"/>
      <w:pPr>
        <w:ind w:left="0" w:firstLine="0"/>
      </w:pPr>
      <w:rPr>
        <w:rFonts w:hint="eastAsia"/>
      </w:rPr>
    </w:lvl>
    <w:lvl w:ilvl="5" w:tentative="0">
      <w:start w:val="1"/>
      <w:numFmt w:val="decimal"/>
      <w:pStyle w:val="8"/>
      <w:lvlText w:val="%1.%2.%3.%4.%5.%6"/>
      <w:lvlJc w:val="left"/>
      <w:pPr>
        <w:ind w:left="0" w:firstLine="0"/>
      </w:pPr>
      <w:rPr>
        <w:rFonts w:hint="eastAsia"/>
      </w:rPr>
    </w:lvl>
    <w:lvl w:ilvl="6" w:tentative="0">
      <w:start w:val="1"/>
      <w:numFmt w:val="decimal"/>
      <w:pStyle w:val="9"/>
      <w:lvlText w:val="%1.%2.%3.%4.%5.%6.%7"/>
      <w:lvlJc w:val="left"/>
      <w:pPr>
        <w:ind w:left="0" w:firstLine="0"/>
      </w:pPr>
      <w:rPr>
        <w:rFonts w:hint="eastAsia"/>
      </w:rPr>
    </w:lvl>
    <w:lvl w:ilvl="7" w:tentative="0">
      <w:start w:val="1"/>
      <w:numFmt w:val="decimal"/>
      <w:pStyle w:val="10"/>
      <w:lvlText w:val="%1.%2.%3.%4.%5.%6.%7.%8"/>
      <w:lvlJc w:val="left"/>
      <w:pPr>
        <w:ind w:left="0" w:firstLine="0"/>
      </w:pPr>
      <w:rPr>
        <w:rFonts w:hint="eastAsia"/>
      </w:rPr>
    </w:lvl>
    <w:lvl w:ilvl="8" w:tentative="0">
      <w:start w:val="1"/>
      <w:numFmt w:val="decimal"/>
      <w:pStyle w:val="11"/>
      <w:lvlText w:val="%1.%2.%3.%4.%5.%6.%7.%8.%9"/>
      <w:lvlJc w:val="left"/>
      <w:pPr>
        <w:ind w:left="0" w:firstLine="0"/>
      </w:pPr>
      <w:rPr>
        <w:rFonts w:hint="eastAsia"/>
      </w:rPr>
    </w:lvl>
  </w:abstractNum>
  <w:abstractNum w:abstractNumId="7">
    <w:nsid w:val="39257ED6"/>
    <w:multiLevelType w:val="multilevel"/>
    <w:tmpl w:val="39257ED6"/>
    <w:lvl w:ilvl="0" w:tentative="0">
      <w:start w:val="1"/>
      <w:numFmt w:val="decimal"/>
      <w:lvlText w:val="%1、"/>
      <w:lvlJc w:val="left"/>
      <w:pPr>
        <w:ind w:left="420" w:hanging="420"/>
      </w:pPr>
      <w:rPr>
        <w:rFonts w:hint="default" w:ascii="宋体" w:hAnsi="宋体" w:eastAsia="宋体"/>
        <w:bC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751976"/>
    <w:multiLevelType w:val="multilevel"/>
    <w:tmpl w:val="4E751976"/>
    <w:lvl w:ilvl="0" w:tentative="0">
      <w:start w:val="1"/>
      <w:numFmt w:val="decimal"/>
      <w:lvlText w:val="%1)"/>
      <w:lvlJc w:val="left"/>
      <w:pPr>
        <w:ind w:left="984" w:hanging="420"/>
      </w:pPr>
    </w:lvl>
    <w:lvl w:ilvl="1" w:tentative="0">
      <w:start w:val="1"/>
      <w:numFmt w:val="lowerLetter"/>
      <w:lvlText w:val="%2)"/>
      <w:lvlJc w:val="left"/>
      <w:pPr>
        <w:ind w:left="1404" w:hanging="420"/>
      </w:pPr>
    </w:lvl>
    <w:lvl w:ilvl="2" w:tentative="0">
      <w:start w:val="1"/>
      <w:numFmt w:val="lowerRoman"/>
      <w:lvlText w:val="%3."/>
      <w:lvlJc w:val="right"/>
      <w:pPr>
        <w:ind w:left="1824" w:hanging="420"/>
      </w:pPr>
    </w:lvl>
    <w:lvl w:ilvl="3" w:tentative="0">
      <w:start w:val="1"/>
      <w:numFmt w:val="decimal"/>
      <w:lvlText w:val="%4."/>
      <w:lvlJc w:val="left"/>
      <w:pPr>
        <w:ind w:left="2244" w:hanging="420"/>
      </w:pPr>
    </w:lvl>
    <w:lvl w:ilvl="4" w:tentative="0">
      <w:start w:val="1"/>
      <w:numFmt w:val="lowerLetter"/>
      <w:lvlText w:val="%5)"/>
      <w:lvlJc w:val="left"/>
      <w:pPr>
        <w:ind w:left="2664" w:hanging="420"/>
      </w:pPr>
    </w:lvl>
    <w:lvl w:ilvl="5" w:tentative="0">
      <w:start w:val="1"/>
      <w:numFmt w:val="lowerRoman"/>
      <w:lvlText w:val="%6."/>
      <w:lvlJc w:val="right"/>
      <w:pPr>
        <w:ind w:left="3084" w:hanging="420"/>
      </w:pPr>
    </w:lvl>
    <w:lvl w:ilvl="6" w:tentative="0">
      <w:start w:val="1"/>
      <w:numFmt w:val="decimal"/>
      <w:lvlText w:val="%7."/>
      <w:lvlJc w:val="left"/>
      <w:pPr>
        <w:ind w:left="3504" w:hanging="420"/>
      </w:pPr>
    </w:lvl>
    <w:lvl w:ilvl="7" w:tentative="0">
      <w:start w:val="1"/>
      <w:numFmt w:val="lowerLetter"/>
      <w:lvlText w:val="%8)"/>
      <w:lvlJc w:val="left"/>
      <w:pPr>
        <w:ind w:left="3924" w:hanging="420"/>
      </w:pPr>
    </w:lvl>
    <w:lvl w:ilvl="8" w:tentative="0">
      <w:start w:val="1"/>
      <w:numFmt w:val="lowerRoman"/>
      <w:lvlText w:val="%9."/>
      <w:lvlJc w:val="right"/>
      <w:pPr>
        <w:ind w:left="4344" w:hanging="420"/>
      </w:pPr>
    </w:lvl>
  </w:abstractNum>
  <w:abstractNum w:abstractNumId="9">
    <w:nsid w:val="7B6772FC"/>
    <w:multiLevelType w:val="multilevel"/>
    <w:tmpl w:val="7B6772FC"/>
    <w:lvl w:ilvl="0" w:tentative="0">
      <w:start w:val="1"/>
      <w:numFmt w:val="decimal"/>
      <w:lvlText w:val="（%1）"/>
      <w:lvlJc w:val="left"/>
      <w:pPr>
        <w:ind w:left="986" w:hanging="420"/>
      </w:pPr>
      <w:rPr>
        <w:rFonts w:hint="default" w:asciiTheme="minorEastAsia" w:hAnsiTheme="minorEastAsia" w:eastAsiaTheme="minorEastAsia"/>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6"/>
  </w:num>
  <w:num w:numId="2">
    <w:abstractNumId w:val="1"/>
  </w:num>
  <w:num w:numId="3">
    <w:abstractNumId w:val="0"/>
  </w:num>
  <w:num w:numId="4">
    <w:abstractNumId w:val="9"/>
  </w:num>
  <w:num w:numId="5">
    <w:abstractNumId w:val="8"/>
  </w:num>
  <w:num w:numId="6">
    <w:abstractNumId w:val="4"/>
  </w:num>
  <w:num w:numId="7">
    <w:abstractNumId w:val="2"/>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kMTkzOGQ0NjZjOWM5ZWNiY2UzYzRhNDk0NmRjYWYifQ=="/>
  </w:docVars>
  <w:rsids>
    <w:rsidRoot w:val="00172A27"/>
    <w:rsid w:val="0000625F"/>
    <w:rsid w:val="0000771C"/>
    <w:rsid w:val="00010098"/>
    <w:rsid w:val="000145DD"/>
    <w:rsid w:val="00015B43"/>
    <w:rsid w:val="00015E1F"/>
    <w:rsid w:val="0001735F"/>
    <w:rsid w:val="0002068A"/>
    <w:rsid w:val="00022869"/>
    <w:rsid w:val="00022908"/>
    <w:rsid w:val="00023AC5"/>
    <w:rsid w:val="00023B01"/>
    <w:rsid w:val="0002463A"/>
    <w:rsid w:val="00025CFA"/>
    <w:rsid w:val="00026834"/>
    <w:rsid w:val="000272C3"/>
    <w:rsid w:val="00031D59"/>
    <w:rsid w:val="00033037"/>
    <w:rsid w:val="000406F3"/>
    <w:rsid w:val="000408B6"/>
    <w:rsid w:val="00040B5C"/>
    <w:rsid w:val="00041C5C"/>
    <w:rsid w:val="00044003"/>
    <w:rsid w:val="000526AB"/>
    <w:rsid w:val="000533B2"/>
    <w:rsid w:val="00053FF6"/>
    <w:rsid w:val="00054EA9"/>
    <w:rsid w:val="00054EFF"/>
    <w:rsid w:val="00062FFE"/>
    <w:rsid w:val="00063F73"/>
    <w:rsid w:val="00064673"/>
    <w:rsid w:val="00065433"/>
    <w:rsid w:val="000661CB"/>
    <w:rsid w:val="00070326"/>
    <w:rsid w:val="00070635"/>
    <w:rsid w:val="00070C65"/>
    <w:rsid w:val="000741A9"/>
    <w:rsid w:val="00074E3E"/>
    <w:rsid w:val="00076FBB"/>
    <w:rsid w:val="0008006F"/>
    <w:rsid w:val="00080F2B"/>
    <w:rsid w:val="000824D4"/>
    <w:rsid w:val="000845DB"/>
    <w:rsid w:val="000849AE"/>
    <w:rsid w:val="00087826"/>
    <w:rsid w:val="00090AD1"/>
    <w:rsid w:val="00091226"/>
    <w:rsid w:val="00092BA0"/>
    <w:rsid w:val="000941C4"/>
    <w:rsid w:val="0009430D"/>
    <w:rsid w:val="00094F6F"/>
    <w:rsid w:val="000A0C01"/>
    <w:rsid w:val="000A13F3"/>
    <w:rsid w:val="000A611E"/>
    <w:rsid w:val="000A7B00"/>
    <w:rsid w:val="000B0311"/>
    <w:rsid w:val="000B168D"/>
    <w:rsid w:val="000B22B5"/>
    <w:rsid w:val="000B3CE5"/>
    <w:rsid w:val="000B44C0"/>
    <w:rsid w:val="000B4AFC"/>
    <w:rsid w:val="000B60B1"/>
    <w:rsid w:val="000C38A7"/>
    <w:rsid w:val="000D30AF"/>
    <w:rsid w:val="000D3ACA"/>
    <w:rsid w:val="000D3F94"/>
    <w:rsid w:val="000D4A30"/>
    <w:rsid w:val="000D6F66"/>
    <w:rsid w:val="000E0CFA"/>
    <w:rsid w:val="000E1DE6"/>
    <w:rsid w:val="000E3D44"/>
    <w:rsid w:val="000E49DB"/>
    <w:rsid w:val="000E4F22"/>
    <w:rsid w:val="000F496D"/>
    <w:rsid w:val="000F7CFE"/>
    <w:rsid w:val="000F7F23"/>
    <w:rsid w:val="00104D08"/>
    <w:rsid w:val="0010666E"/>
    <w:rsid w:val="001115D8"/>
    <w:rsid w:val="001137C0"/>
    <w:rsid w:val="0011517F"/>
    <w:rsid w:val="0011563A"/>
    <w:rsid w:val="001158D4"/>
    <w:rsid w:val="0012242E"/>
    <w:rsid w:val="00122F31"/>
    <w:rsid w:val="001233E2"/>
    <w:rsid w:val="0012644F"/>
    <w:rsid w:val="00126C9F"/>
    <w:rsid w:val="00126E55"/>
    <w:rsid w:val="0013171D"/>
    <w:rsid w:val="00140C0A"/>
    <w:rsid w:val="00142DE1"/>
    <w:rsid w:val="00143E94"/>
    <w:rsid w:val="0014645E"/>
    <w:rsid w:val="0014648D"/>
    <w:rsid w:val="00146CC1"/>
    <w:rsid w:val="00150145"/>
    <w:rsid w:val="00150B87"/>
    <w:rsid w:val="00155418"/>
    <w:rsid w:val="00160976"/>
    <w:rsid w:val="0016300F"/>
    <w:rsid w:val="001631C6"/>
    <w:rsid w:val="00166AE5"/>
    <w:rsid w:val="00172358"/>
    <w:rsid w:val="00172A27"/>
    <w:rsid w:val="00177FF3"/>
    <w:rsid w:val="001805F4"/>
    <w:rsid w:val="001901BC"/>
    <w:rsid w:val="001918DC"/>
    <w:rsid w:val="001962AC"/>
    <w:rsid w:val="00197AE6"/>
    <w:rsid w:val="001A0727"/>
    <w:rsid w:val="001A195A"/>
    <w:rsid w:val="001A1BE1"/>
    <w:rsid w:val="001A2A19"/>
    <w:rsid w:val="001A457F"/>
    <w:rsid w:val="001A492A"/>
    <w:rsid w:val="001B1495"/>
    <w:rsid w:val="001B4C51"/>
    <w:rsid w:val="001B5BFC"/>
    <w:rsid w:val="001B74FA"/>
    <w:rsid w:val="001C1E0B"/>
    <w:rsid w:val="001C2C83"/>
    <w:rsid w:val="001D00CB"/>
    <w:rsid w:val="001D4F3A"/>
    <w:rsid w:val="001D605C"/>
    <w:rsid w:val="001E1752"/>
    <w:rsid w:val="001E4D3A"/>
    <w:rsid w:val="001E7388"/>
    <w:rsid w:val="001F53D6"/>
    <w:rsid w:val="002017F9"/>
    <w:rsid w:val="002028CC"/>
    <w:rsid w:val="00207C42"/>
    <w:rsid w:val="00210B94"/>
    <w:rsid w:val="00212611"/>
    <w:rsid w:val="002127CD"/>
    <w:rsid w:val="00212A5B"/>
    <w:rsid w:val="0021346C"/>
    <w:rsid w:val="00213ED6"/>
    <w:rsid w:val="002210C9"/>
    <w:rsid w:val="00223EC4"/>
    <w:rsid w:val="0023020E"/>
    <w:rsid w:val="0023174E"/>
    <w:rsid w:val="00233BEE"/>
    <w:rsid w:val="0023522E"/>
    <w:rsid w:val="0024563E"/>
    <w:rsid w:val="002475D1"/>
    <w:rsid w:val="00250B14"/>
    <w:rsid w:val="00253CDC"/>
    <w:rsid w:val="00260BA7"/>
    <w:rsid w:val="00261A6D"/>
    <w:rsid w:val="00263B37"/>
    <w:rsid w:val="002640D8"/>
    <w:rsid w:val="0026636E"/>
    <w:rsid w:val="0026648D"/>
    <w:rsid w:val="00266DE1"/>
    <w:rsid w:val="002722C7"/>
    <w:rsid w:val="00273799"/>
    <w:rsid w:val="00275A22"/>
    <w:rsid w:val="002774FD"/>
    <w:rsid w:val="002777E1"/>
    <w:rsid w:val="002779AB"/>
    <w:rsid w:val="00284339"/>
    <w:rsid w:val="002860A7"/>
    <w:rsid w:val="00290799"/>
    <w:rsid w:val="0029371F"/>
    <w:rsid w:val="002938B5"/>
    <w:rsid w:val="00293BA9"/>
    <w:rsid w:val="00293C94"/>
    <w:rsid w:val="002951A8"/>
    <w:rsid w:val="00297B4E"/>
    <w:rsid w:val="002A2983"/>
    <w:rsid w:val="002A35DB"/>
    <w:rsid w:val="002A530B"/>
    <w:rsid w:val="002A56A0"/>
    <w:rsid w:val="002A5A1A"/>
    <w:rsid w:val="002A6A1F"/>
    <w:rsid w:val="002B2BF2"/>
    <w:rsid w:val="002C0BA2"/>
    <w:rsid w:val="002C338E"/>
    <w:rsid w:val="002C5CB4"/>
    <w:rsid w:val="002C778F"/>
    <w:rsid w:val="002D0056"/>
    <w:rsid w:val="002D0CB1"/>
    <w:rsid w:val="002D1869"/>
    <w:rsid w:val="002D24A9"/>
    <w:rsid w:val="002D2908"/>
    <w:rsid w:val="002D3F61"/>
    <w:rsid w:val="002D41D4"/>
    <w:rsid w:val="002D4551"/>
    <w:rsid w:val="002D45EF"/>
    <w:rsid w:val="002D6200"/>
    <w:rsid w:val="002E03F2"/>
    <w:rsid w:val="002E047F"/>
    <w:rsid w:val="002E24ED"/>
    <w:rsid w:val="002E74E6"/>
    <w:rsid w:val="002F0D7E"/>
    <w:rsid w:val="002F45B9"/>
    <w:rsid w:val="002F4E2F"/>
    <w:rsid w:val="002F6288"/>
    <w:rsid w:val="002F76E0"/>
    <w:rsid w:val="0030394D"/>
    <w:rsid w:val="00305544"/>
    <w:rsid w:val="003060C1"/>
    <w:rsid w:val="0031343B"/>
    <w:rsid w:val="00313EF8"/>
    <w:rsid w:val="003142EA"/>
    <w:rsid w:val="00315C07"/>
    <w:rsid w:val="00315D92"/>
    <w:rsid w:val="00320DB3"/>
    <w:rsid w:val="00322D88"/>
    <w:rsid w:val="003234B3"/>
    <w:rsid w:val="0032460F"/>
    <w:rsid w:val="003303FB"/>
    <w:rsid w:val="003306FE"/>
    <w:rsid w:val="00331D3F"/>
    <w:rsid w:val="00334877"/>
    <w:rsid w:val="00337187"/>
    <w:rsid w:val="00341563"/>
    <w:rsid w:val="00341D3D"/>
    <w:rsid w:val="00345F0B"/>
    <w:rsid w:val="00355A3C"/>
    <w:rsid w:val="00360425"/>
    <w:rsid w:val="00360673"/>
    <w:rsid w:val="003708CD"/>
    <w:rsid w:val="00374C2C"/>
    <w:rsid w:val="0037570A"/>
    <w:rsid w:val="003776A1"/>
    <w:rsid w:val="0038151D"/>
    <w:rsid w:val="003816C9"/>
    <w:rsid w:val="003819BC"/>
    <w:rsid w:val="0038327F"/>
    <w:rsid w:val="00383B1D"/>
    <w:rsid w:val="00385E39"/>
    <w:rsid w:val="00386B9B"/>
    <w:rsid w:val="00387581"/>
    <w:rsid w:val="00390A36"/>
    <w:rsid w:val="00390ECB"/>
    <w:rsid w:val="003920D6"/>
    <w:rsid w:val="003939B9"/>
    <w:rsid w:val="00394FE7"/>
    <w:rsid w:val="0039605C"/>
    <w:rsid w:val="003A05A0"/>
    <w:rsid w:val="003A2E17"/>
    <w:rsid w:val="003A5282"/>
    <w:rsid w:val="003A65AB"/>
    <w:rsid w:val="003B33E9"/>
    <w:rsid w:val="003B3C9D"/>
    <w:rsid w:val="003B3D0F"/>
    <w:rsid w:val="003B567A"/>
    <w:rsid w:val="003B79BD"/>
    <w:rsid w:val="003C1414"/>
    <w:rsid w:val="003C4F81"/>
    <w:rsid w:val="003C67F8"/>
    <w:rsid w:val="003C68B0"/>
    <w:rsid w:val="003D0722"/>
    <w:rsid w:val="003D164F"/>
    <w:rsid w:val="003D7B71"/>
    <w:rsid w:val="003E1C2F"/>
    <w:rsid w:val="003E1F93"/>
    <w:rsid w:val="003E597F"/>
    <w:rsid w:val="003E658D"/>
    <w:rsid w:val="003E797F"/>
    <w:rsid w:val="003F08B2"/>
    <w:rsid w:val="003F6E14"/>
    <w:rsid w:val="003F7A43"/>
    <w:rsid w:val="003F7F10"/>
    <w:rsid w:val="00403018"/>
    <w:rsid w:val="00404F3C"/>
    <w:rsid w:val="00405683"/>
    <w:rsid w:val="0040602C"/>
    <w:rsid w:val="00406F6D"/>
    <w:rsid w:val="00411B0D"/>
    <w:rsid w:val="0041290E"/>
    <w:rsid w:val="00420683"/>
    <w:rsid w:val="004218A7"/>
    <w:rsid w:val="00422BF6"/>
    <w:rsid w:val="0042422D"/>
    <w:rsid w:val="004242D6"/>
    <w:rsid w:val="00425251"/>
    <w:rsid w:val="004255F2"/>
    <w:rsid w:val="004332FF"/>
    <w:rsid w:val="00435C0F"/>
    <w:rsid w:val="00437877"/>
    <w:rsid w:val="00437AF6"/>
    <w:rsid w:val="00446DE5"/>
    <w:rsid w:val="00447D82"/>
    <w:rsid w:val="00451254"/>
    <w:rsid w:val="0045297C"/>
    <w:rsid w:val="00452C63"/>
    <w:rsid w:val="00452E45"/>
    <w:rsid w:val="00453E28"/>
    <w:rsid w:val="00454FDA"/>
    <w:rsid w:val="00455F76"/>
    <w:rsid w:val="00460166"/>
    <w:rsid w:val="00463DCB"/>
    <w:rsid w:val="0046442C"/>
    <w:rsid w:val="00464954"/>
    <w:rsid w:val="00471B51"/>
    <w:rsid w:val="0047304A"/>
    <w:rsid w:val="00475440"/>
    <w:rsid w:val="004808A1"/>
    <w:rsid w:val="00483427"/>
    <w:rsid w:val="0048631C"/>
    <w:rsid w:val="00493837"/>
    <w:rsid w:val="00496138"/>
    <w:rsid w:val="004976FE"/>
    <w:rsid w:val="004A31A9"/>
    <w:rsid w:val="004A6C11"/>
    <w:rsid w:val="004A79FE"/>
    <w:rsid w:val="004B0381"/>
    <w:rsid w:val="004B0BF7"/>
    <w:rsid w:val="004B4534"/>
    <w:rsid w:val="004B5CBD"/>
    <w:rsid w:val="004C41FB"/>
    <w:rsid w:val="004C48ED"/>
    <w:rsid w:val="004C7568"/>
    <w:rsid w:val="004D01F6"/>
    <w:rsid w:val="004D3CCC"/>
    <w:rsid w:val="004D7EA9"/>
    <w:rsid w:val="004D7F7B"/>
    <w:rsid w:val="004E09C7"/>
    <w:rsid w:val="004E7797"/>
    <w:rsid w:val="004F1B39"/>
    <w:rsid w:val="004F1D81"/>
    <w:rsid w:val="004F23F5"/>
    <w:rsid w:val="004F2D40"/>
    <w:rsid w:val="0050145C"/>
    <w:rsid w:val="00503908"/>
    <w:rsid w:val="00504D6C"/>
    <w:rsid w:val="00510EC1"/>
    <w:rsid w:val="00512CCC"/>
    <w:rsid w:val="00515FF9"/>
    <w:rsid w:val="00521579"/>
    <w:rsid w:val="00521A09"/>
    <w:rsid w:val="00522F03"/>
    <w:rsid w:val="00523198"/>
    <w:rsid w:val="005233FC"/>
    <w:rsid w:val="00524C1E"/>
    <w:rsid w:val="0052641D"/>
    <w:rsid w:val="005348C1"/>
    <w:rsid w:val="005357C6"/>
    <w:rsid w:val="00536880"/>
    <w:rsid w:val="00540558"/>
    <w:rsid w:val="00541F39"/>
    <w:rsid w:val="00541F3B"/>
    <w:rsid w:val="00541FC4"/>
    <w:rsid w:val="00543FA8"/>
    <w:rsid w:val="0054791E"/>
    <w:rsid w:val="005550ED"/>
    <w:rsid w:val="00555623"/>
    <w:rsid w:val="005569EF"/>
    <w:rsid w:val="0055760F"/>
    <w:rsid w:val="00557A16"/>
    <w:rsid w:val="00560B6D"/>
    <w:rsid w:val="00566F49"/>
    <w:rsid w:val="00572E4F"/>
    <w:rsid w:val="00574D1A"/>
    <w:rsid w:val="00576E3C"/>
    <w:rsid w:val="005779EB"/>
    <w:rsid w:val="00581DE4"/>
    <w:rsid w:val="00585A28"/>
    <w:rsid w:val="00586A5E"/>
    <w:rsid w:val="005904FD"/>
    <w:rsid w:val="00592301"/>
    <w:rsid w:val="005935C4"/>
    <w:rsid w:val="005937EA"/>
    <w:rsid w:val="00593E6D"/>
    <w:rsid w:val="00596675"/>
    <w:rsid w:val="0059785D"/>
    <w:rsid w:val="005A2FE4"/>
    <w:rsid w:val="005A59DD"/>
    <w:rsid w:val="005A73E3"/>
    <w:rsid w:val="005A78A0"/>
    <w:rsid w:val="005B30E9"/>
    <w:rsid w:val="005C1D04"/>
    <w:rsid w:val="005C363F"/>
    <w:rsid w:val="005C3FB3"/>
    <w:rsid w:val="005D0924"/>
    <w:rsid w:val="005D3B45"/>
    <w:rsid w:val="005D5CBB"/>
    <w:rsid w:val="005D6784"/>
    <w:rsid w:val="005E0FFF"/>
    <w:rsid w:val="005E1125"/>
    <w:rsid w:val="005E4D06"/>
    <w:rsid w:val="005F0706"/>
    <w:rsid w:val="005F2C44"/>
    <w:rsid w:val="005F7CEF"/>
    <w:rsid w:val="00600682"/>
    <w:rsid w:val="006036F8"/>
    <w:rsid w:val="0060550C"/>
    <w:rsid w:val="00610252"/>
    <w:rsid w:val="00610F2A"/>
    <w:rsid w:val="0061208F"/>
    <w:rsid w:val="00613001"/>
    <w:rsid w:val="00614D05"/>
    <w:rsid w:val="00617145"/>
    <w:rsid w:val="00620875"/>
    <w:rsid w:val="006222A9"/>
    <w:rsid w:val="00625DE2"/>
    <w:rsid w:val="00626BAA"/>
    <w:rsid w:val="00626BE3"/>
    <w:rsid w:val="00626EF3"/>
    <w:rsid w:val="0063140E"/>
    <w:rsid w:val="0063341A"/>
    <w:rsid w:val="00633FB5"/>
    <w:rsid w:val="006375D3"/>
    <w:rsid w:val="006376DA"/>
    <w:rsid w:val="006403F6"/>
    <w:rsid w:val="0064180E"/>
    <w:rsid w:val="00641927"/>
    <w:rsid w:val="0064296F"/>
    <w:rsid w:val="0064628C"/>
    <w:rsid w:val="00650346"/>
    <w:rsid w:val="006521AC"/>
    <w:rsid w:val="0065555D"/>
    <w:rsid w:val="00656CD4"/>
    <w:rsid w:val="00661609"/>
    <w:rsid w:val="00663473"/>
    <w:rsid w:val="0066452E"/>
    <w:rsid w:val="00664824"/>
    <w:rsid w:val="00665432"/>
    <w:rsid w:val="00667AE6"/>
    <w:rsid w:val="00667BD2"/>
    <w:rsid w:val="00673EA9"/>
    <w:rsid w:val="0067493F"/>
    <w:rsid w:val="00675A44"/>
    <w:rsid w:val="00676DF0"/>
    <w:rsid w:val="00677AE3"/>
    <w:rsid w:val="006806B6"/>
    <w:rsid w:val="00680AA7"/>
    <w:rsid w:val="00682487"/>
    <w:rsid w:val="00684363"/>
    <w:rsid w:val="00686630"/>
    <w:rsid w:val="00687574"/>
    <w:rsid w:val="00692A6A"/>
    <w:rsid w:val="006951E8"/>
    <w:rsid w:val="006964AC"/>
    <w:rsid w:val="006A0256"/>
    <w:rsid w:val="006A2795"/>
    <w:rsid w:val="006A649D"/>
    <w:rsid w:val="006A7C17"/>
    <w:rsid w:val="006B1E4F"/>
    <w:rsid w:val="006B2A09"/>
    <w:rsid w:val="006B4418"/>
    <w:rsid w:val="006B65A3"/>
    <w:rsid w:val="006B7D25"/>
    <w:rsid w:val="006C1A9B"/>
    <w:rsid w:val="006C414C"/>
    <w:rsid w:val="006C5208"/>
    <w:rsid w:val="006C5867"/>
    <w:rsid w:val="006C6DAC"/>
    <w:rsid w:val="006D0D30"/>
    <w:rsid w:val="006E0705"/>
    <w:rsid w:val="006E1280"/>
    <w:rsid w:val="006E1A8B"/>
    <w:rsid w:val="006E1D2E"/>
    <w:rsid w:val="006E3466"/>
    <w:rsid w:val="006E4638"/>
    <w:rsid w:val="006E5E9D"/>
    <w:rsid w:val="006E60BF"/>
    <w:rsid w:val="006E7F1D"/>
    <w:rsid w:val="006F05D9"/>
    <w:rsid w:val="006F1415"/>
    <w:rsid w:val="006F1AE6"/>
    <w:rsid w:val="006F20C5"/>
    <w:rsid w:val="006F3293"/>
    <w:rsid w:val="006F39DD"/>
    <w:rsid w:val="006F4336"/>
    <w:rsid w:val="006F5AFA"/>
    <w:rsid w:val="006F6D06"/>
    <w:rsid w:val="00700890"/>
    <w:rsid w:val="00700C70"/>
    <w:rsid w:val="00700C7D"/>
    <w:rsid w:val="007030F2"/>
    <w:rsid w:val="007051C9"/>
    <w:rsid w:val="00707269"/>
    <w:rsid w:val="00707B19"/>
    <w:rsid w:val="00712028"/>
    <w:rsid w:val="007127C8"/>
    <w:rsid w:val="00712814"/>
    <w:rsid w:val="007138D6"/>
    <w:rsid w:val="00714900"/>
    <w:rsid w:val="007154C8"/>
    <w:rsid w:val="00715A35"/>
    <w:rsid w:val="0071650E"/>
    <w:rsid w:val="0072373C"/>
    <w:rsid w:val="00724212"/>
    <w:rsid w:val="00732030"/>
    <w:rsid w:val="0073651E"/>
    <w:rsid w:val="00737A5F"/>
    <w:rsid w:val="00741CE9"/>
    <w:rsid w:val="00741F60"/>
    <w:rsid w:val="007443AF"/>
    <w:rsid w:val="007457C4"/>
    <w:rsid w:val="007457D2"/>
    <w:rsid w:val="007461FC"/>
    <w:rsid w:val="007465D8"/>
    <w:rsid w:val="0074674C"/>
    <w:rsid w:val="00747E77"/>
    <w:rsid w:val="00747F12"/>
    <w:rsid w:val="00757B44"/>
    <w:rsid w:val="00762B45"/>
    <w:rsid w:val="00765060"/>
    <w:rsid w:val="007703BF"/>
    <w:rsid w:val="0077051F"/>
    <w:rsid w:val="00773C69"/>
    <w:rsid w:val="0077625A"/>
    <w:rsid w:val="007771B8"/>
    <w:rsid w:val="00780E0F"/>
    <w:rsid w:val="00781222"/>
    <w:rsid w:val="00781A27"/>
    <w:rsid w:val="007842EE"/>
    <w:rsid w:val="00784A84"/>
    <w:rsid w:val="007858F4"/>
    <w:rsid w:val="0079503E"/>
    <w:rsid w:val="007951A1"/>
    <w:rsid w:val="00795CD9"/>
    <w:rsid w:val="0079657D"/>
    <w:rsid w:val="007967D1"/>
    <w:rsid w:val="007975C8"/>
    <w:rsid w:val="007A651F"/>
    <w:rsid w:val="007A783B"/>
    <w:rsid w:val="007B0E1D"/>
    <w:rsid w:val="007B1E8D"/>
    <w:rsid w:val="007C256C"/>
    <w:rsid w:val="007C43AB"/>
    <w:rsid w:val="007C58A5"/>
    <w:rsid w:val="007C6F81"/>
    <w:rsid w:val="007C73D5"/>
    <w:rsid w:val="007D009C"/>
    <w:rsid w:val="007D3308"/>
    <w:rsid w:val="007D36C4"/>
    <w:rsid w:val="007D40A4"/>
    <w:rsid w:val="007D6500"/>
    <w:rsid w:val="007E05EC"/>
    <w:rsid w:val="007E23DA"/>
    <w:rsid w:val="007E2D66"/>
    <w:rsid w:val="007E37B3"/>
    <w:rsid w:val="007E3834"/>
    <w:rsid w:val="007E488D"/>
    <w:rsid w:val="007E5A15"/>
    <w:rsid w:val="007E7F3B"/>
    <w:rsid w:val="007F16F7"/>
    <w:rsid w:val="007F1D94"/>
    <w:rsid w:val="007F256F"/>
    <w:rsid w:val="007F4E2A"/>
    <w:rsid w:val="007F609F"/>
    <w:rsid w:val="007F65C2"/>
    <w:rsid w:val="00800AF8"/>
    <w:rsid w:val="0080354C"/>
    <w:rsid w:val="00804FDB"/>
    <w:rsid w:val="00805B8C"/>
    <w:rsid w:val="008069E9"/>
    <w:rsid w:val="00810716"/>
    <w:rsid w:val="00810F85"/>
    <w:rsid w:val="00811024"/>
    <w:rsid w:val="0081410C"/>
    <w:rsid w:val="008153EE"/>
    <w:rsid w:val="008211B1"/>
    <w:rsid w:val="00823FDF"/>
    <w:rsid w:val="00825ABB"/>
    <w:rsid w:val="00826D9D"/>
    <w:rsid w:val="008278BB"/>
    <w:rsid w:val="008301A4"/>
    <w:rsid w:val="00835C30"/>
    <w:rsid w:val="008366A2"/>
    <w:rsid w:val="008366A7"/>
    <w:rsid w:val="00836BD1"/>
    <w:rsid w:val="00836DFD"/>
    <w:rsid w:val="008417CA"/>
    <w:rsid w:val="00846148"/>
    <w:rsid w:val="008463F8"/>
    <w:rsid w:val="008526F7"/>
    <w:rsid w:val="00853D00"/>
    <w:rsid w:val="00856D38"/>
    <w:rsid w:val="00861281"/>
    <w:rsid w:val="00864A9E"/>
    <w:rsid w:val="00866360"/>
    <w:rsid w:val="008664AC"/>
    <w:rsid w:val="00871970"/>
    <w:rsid w:val="008749F2"/>
    <w:rsid w:val="008757E7"/>
    <w:rsid w:val="008767CF"/>
    <w:rsid w:val="00876ECA"/>
    <w:rsid w:val="008837F7"/>
    <w:rsid w:val="00883854"/>
    <w:rsid w:val="0088451F"/>
    <w:rsid w:val="008868DE"/>
    <w:rsid w:val="00886DF2"/>
    <w:rsid w:val="00893029"/>
    <w:rsid w:val="008931ED"/>
    <w:rsid w:val="008936AC"/>
    <w:rsid w:val="00896358"/>
    <w:rsid w:val="00896F93"/>
    <w:rsid w:val="008971CC"/>
    <w:rsid w:val="00897289"/>
    <w:rsid w:val="008A07C7"/>
    <w:rsid w:val="008A1094"/>
    <w:rsid w:val="008A30FA"/>
    <w:rsid w:val="008A62C3"/>
    <w:rsid w:val="008B2165"/>
    <w:rsid w:val="008B277E"/>
    <w:rsid w:val="008B436E"/>
    <w:rsid w:val="008B4FE1"/>
    <w:rsid w:val="008B50BF"/>
    <w:rsid w:val="008B661B"/>
    <w:rsid w:val="008B70F2"/>
    <w:rsid w:val="008C0786"/>
    <w:rsid w:val="008C0BF2"/>
    <w:rsid w:val="008C2D74"/>
    <w:rsid w:val="008C4C9E"/>
    <w:rsid w:val="008C5E11"/>
    <w:rsid w:val="008C7D3F"/>
    <w:rsid w:val="008D00D7"/>
    <w:rsid w:val="008D230A"/>
    <w:rsid w:val="008D2A8C"/>
    <w:rsid w:val="008D5BE2"/>
    <w:rsid w:val="008D693B"/>
    <w:rsid w:val="008E4E41"/>
    <w:rsid w:val="008E5759"/>
    <w:rsid w:val="008E5F48"/>
    <w:rsid w:val="008E6979"/>
    <w:rsid w:val="0090279B"/>
    <w:rsid w:val="009049D9"/>
    <w:rsid w:val="00905322"/>
    <w:rsid w:val="00910FD3"/>
    <w:rsid w:val="009134AC"/>
    <w:rsid w:val="00913F1B"/>
    <w:rsid w:val="0092086A"/>
    <w:rsid w:val="00921B73"/>
    <w:rsid w:val="0092204A"/>
    <w:rsid w:val="00922792"/>
    <w:rsid w:val="009230AF"/>
    <w:rsid w:val="0092440E"/>
    <w:rsid w:val="0092516C"/>
    <w:rsid w:val="009257E0"/>
    <w:rsid w:val="00932185"/>
    <w:rsid w:val="00933750"/>
    <w:rsid w:val="00935770"/>
    <w:rsid w:val="00936642"/>
    <w:rsid w:val="009413BB"/>
    <w:rsid w:val="00941EF0"/>
    <w:rsid w:val="00942B34"/>
    <w:rsid w:val="0094370F"/>
    <w:rsid w:val="00943E7E"/>
    <w:rsid w:val="009504D9"/>
    <w:rsid w:val="009520FE"/>
    <w:rsid w:val="009528BB"/>
    <w:rsid w:val="00954AE7"/>
    <w:rsid w:val="00966959"/>
    <w:rsid w:val="00972157"/>
    <w:rsid w:val="00972CA7"/>
    <w:rsid w:val="00975F59"/>
    <w:rsid w:val="009768A3"/>
    <w:rsid w:val="009768B7"/>
    <w:rsid w:val="0097767E"/>
    <w:rsid w:val="00980DF6"/>
    <w:rsid w:val="00982860"/>
    <w:rsid w:val="00984700"/>
    <w:rsid w:val="00986816"/>
    <w:rsid w:val="00992722"/>
    <w:rsid w:val="00993391"/>
    <w:rsid w:val="00993F14"/>
    <w:rsid w:val="00994CB7"/>
    <w:rsid w:val="00996AC5"/>
    <w:rsid w:val="009976EC"/>
    <w:rsid w:val="009A78AE"/>
    <w:rsid w:val="009B081C"/>
    <w:rsid w:val="009B2531"/>
    <w:rsid w:val="009B3EA6"/>
    <w:rsid w:val="009B43E6"/>
    <w:rsid w:val="009B4C1B"/>
    <w:rsid w:val="009B4E4C"/>
    <w:rsid w:val="009B7CD2"/>
    <w:rsid w:val="009C3124"/>
    <w:rsid w:val="009C3415"/>
    <w:rsid w:val="009C4DB7"/>
    <w:rsid w:val="009C5B5C"/>
    <w:rsid w:val="009C6454"/>
    <w:rsid w:val="009C6675"/>
    <w:rsid w:val="009D3E70"/>
    <w:rsid w:val="009D5943"/>
    <w:rsid w:val="009D6708"/>
    <w:rsid w:val="009E0EED"/>
    <w:rsid w:val="009E6BFF"/>
    <w:rsid w:val="009F1BB0"/>
    <w:rsid w:val="009F2955"/>
    <w:rsid w:val="009F2E4C"/>
    <w:rsid w:val="009F4167"/>
    <w:rsid w:val="009F6D93"/>
    <w:rsid w:val="00A01FFE"/>
    <w:rsid w:val="00A028AD"/>
    <w:rsid w:val="00A02CA0"/>
    <w:rsid w:val="00A04596"/>
    <w:rsid w:val="00A04605"/>
    <w:rsid w:val="00A04F48"/>
    <w:rsid w:val="00A06E84"/>
    <w:rsid w:val="00A12F97"/>
    <w:rsid w:val="00A1444B"/>
    <w:rsid w:val="00A14715"/>
    <w:rsid w:val="00A14959"/>
    <w:rsid w:val="00A15A20"/>
    <w:rsid w:val="00A1617B"/>
    <w:rsid w:val="00A23427"/>
    <w:rsid w:val="00A2345B"/>
    <w:rsid w:val="00A27B4F"/>
    <w:rsid w:val="00A3100C"/>
    <w:rsid w:val="00A32130"/>
    <w:rsid w:val="00A33180"/>
    <w:rsid w:val="00A37844"/>
    <w:rsid w:val="00A456C2"/>
    <w:rsid w:val="00A4627D"/>
    <w:rsid w:val="00A50DB1"/>
    <w:rsid w:val="00A51C7F"/>
    <w:rsid w:val="00A52535"/>
    <w:rsid w:val="00A543AF"/>
    <w:rsid w:val="00A543CA"/>
    <w:rsid w:val="00A605F4"/>
    <w:rsid w:val="00A60804"/>
    <w:rsid w:val="00A62EEB"/>
    <w:rsid w:val="00A631F5"/>
    <w:rsid w:val="00A6371F"/>
    <w:rsid w:val="00A65A96"/>
    <w:rsid w:val="00A66952"/>
    <w:rsid w:val="00A71123"/>
    <w:rsid w:val="00A722DC"/>
    <w:rsid w:val="00A726FF"/>
    <w:rsid w:val="00A7539F"/>
    <w:rsid w:val="00A77778"/>
    <w:rsid w:val="00A81BC5"/>
    <w:rsid w:val="00A8217D"/>
    <w:rsid w:val="00A83539"/>
    <w:rsid w:val="00A84009"/>
    <w:rsid w:val="00A8630C"/>
    <w:rsid w:val="00A865F7"/>
    <w:rsid w:val="00A94DEE"/>
    <w:rsid w:val="00A95AED"/>
    <w:rsid w:val="00AA1862"/>
    <w:rsid w:val="00AA319A"/>
    <w:rsid w:val="00AA57B4"/>
    <w:rsid w:val="00AA5A4B"/>
    <w:rsid w:val="00AA649E"/>
    <w:rsid w:val="00AA694C"/>
    <w:rsid w:val="00AA6C4F"/>
    <w:rsid w:val="00AB2C6F"/>
    <w:rsid w:val="00AC6573"/>
    <w:rsid w:val="00AC7A4A"/>
    <w:rsid w:val="00AC7E40"/>
    <w:rsid w:val="00AE0EE5"/>
    <w:rsid w:val="00AE2C0F"/>
    <w:rsid w:val="00AE6437"/>
    <w:rsid w:val="00AE7BE6"/>
    <w:rsid w:val="00AF2F0D"/>
    <w:rsid w:val="00AF4054"/>
    <w:rsid w:val="00AF45E9"/>
    <w:rsid w:val="00AF479F"/>
    <w:rsid w:val="00AF77E8"/>
    <w:rsid w:val="00B02B1D"/>
    <w:rsid w:val="00B03DD4"/>
    <w:rsid w:val="00B03E90"/>
    <w:rsid w:val="00B0453B"/>
    <w:rsid w:val="00B0682E"/>
    <w:rsid w:val="00B1049A"/>
    <w:rsid w:val="00B12D91"/>
    <w:rsid w:val="00B156A8"/>
    <w:rsid w:val="00B17330"/>
    <w:rsid w:val="00B205A4"/>
    <w:rsid w:val="00B2388A"/>
    <w:rsid w:val="00B2504B"/>
    <w:rsid w:val="00B2586A"/>
    <w:rsid w:val="00B26684"/>
    <w:rsid w:val="00B26A9B"/>
    <w:rsid w:val="00B40B8F"/>
    <w:rsid w:val="00B41E80"/>
    <w:rsid w:val="00B44B63"/>
    <w:rsid w:val="00B45860"/>
    <w:rsid w:val="00B460AE"/>
    <w:rsid w:val="00B47BC3"/>
    <w:rsid w:val="00B52256"/>
    <w:rsid w:val="00B5257A"/>
    <w:rsid w:val="00B530A5"/>
    <w:rsid w:val="00B54182"/>
    <w:rsid w:val="00B54A1D"/>
    <w:rsid w:val="00B60B75"/>
    <w:rsid w:val="00B62C72"/>
    <w:rsid w:val="00B640F9"/>
    <w:rsid w:val="00B64470"/>
    <w:rsid w:val="00B667B5"/>
    <w:rsid w:val="00B72DF1"/>
    <w:rsid w:val="00B739C3"/>
    <w:rsid w:val="00B73ED4"/>
    <w:rsid w:val="00B7495B"/>
    <w:rsid w:val="00B768C6"/>
    <w:rsid w:val="00B779E1"/>
    <w:rsid w:val="00B832C9"/>
    <w:rsid w:val="00B84135"/>
    <w:rsid w:val="00B86AF2"/>
    <w:rsid w:val="00B8751F"/>
    <w:rsid w:val="00B9069C"/>
    <w:rsid w:val="00B92475"/>
    <w:rsid w:val="00B936CA"/>
    <w:rsid w:val="00BA1EDE"/>
    <w:rsid w:val="00BA5712"/>
    <w:rsid w:val="00BA67B5"/>
    <w:rsid w:val="00BA7B16"/>
    <w:rsid w:val="00BB0930"/>
    <w:rsid w:val="00BB59E8"/>
    <w:rsid w:val="00BB6ACA"/>
    <w:rsid w:val="00BC1595"/>
    <w:rsid w:val="00BC20F8"/>
    <w:rsid w:val="00BC23D4"/>
    <w:rsid w:val="00BC51F8"/>
    <w:rsid w:val="00BC6493"/>
    <w:rsid w:val="00BD16B3"/>
    <w:rsid w:val="00BD3DAD"/>
    <w:rsid w:val="00BF0632"/>
    <w:rsid w:val="00BF6B9A"/>
    <w:rsid w:val="00C0157B"/>
    <w:rsid w:val="00C04270"/>
    <w:rsid w:val="00C07E32"/>
    <w:rsid w:val="00C13E16"/>
    <w:rsid w:val="00C15887"/>
    <w:rsid w:val="00C15D24"/>
    <w:rsid w:val="00C21132"/>
    <w:rsid w:val="00C213E2"/>
    <w:rsid w:val="00C21795"/>
    <w:rsid w:val="00C25305"/>
    <w:rsid w:val="00C25D75"/>
    <w:rsid w:val="00C268E6"/>
    <w:rsid w:val="00C3149C"/>
    <w:rsid w:val="00C32822"/>
    <w:rsid w:val="00C340A2"/>
    <w:rsid w:val="00C378EF"/>
    <w:rsid w:val="00C44923"/>
    <w:rsid w:val="00C464FE"/>
    <w:rsid w:val="00C47EC8"/>
    <w:rsid w:val="00C54006"/>
    <w:rsid w:val="00C54820"/>
    <w:rsid w:val="00C54B98"/>
    <w:rsid w:val="00C550ED"/>
    <w:rsid w:val="00C55547"/>
    <w:rsid w:val="00C55644"/>
    <w:rsid w:val="00C56BFB"/>
    <w:rsid w:val="00C656B8"/>
    <w:rsid w:val="00C67B8A"/>
    <w:rsid w:val="00C7357F"/>
    <w:rsid w:val="00C742A3"/>
    <w:rsid w:val="00C742DA"/>
    <w:rsid w:val="00C76741"/>
    <w:rsid w:val="00C811A8"/>
    <w:rsid w:val="00C838D5"/>
    <w:rsid w:val="00C84070"/>
    <w:rsid w:val="00C856AC"/>
    <w:rsid w:val="00C87C7A"/>
    <w:rsid w:val="00C96609"/>
    <w:rsid w:val="00CA576C"/>
    <w:rsid w:val="00CA6E48"/>
    <w:rsid w:val="00CA7D41"/>
    <w:rsid w:val="00CB6661"/>
    <w:rsid w:val="00CC0452"/>
    <w:rsid w:val="00CC3E42"/>
    <w:rsid w:val="00CD3F48"/>
    <w:rsid w:val="00CD79D0"/>
    <w:rsid w:val="00CE03C3"/>
    <w:rsid w:val="00CE09C2"/>
    <w:rsid w:val="00CE2F6A"/>
    <w:rsid w:val="00CE3B36"/>
    <w:rsid w:val="00CE4C03"/>
    <w:rsid w:val="00CE55CA"/>
    <w:rsid w:val="00CF17CA"/>
    <w:rsid w:val="00CF3712"/>
    <w:rsid w:val="00CF4581"/>
    <w:rsid w:val="00CF69A1"/>
    <w:rsid w:val="00CF71F6"/>
    <w:rsid w:val="00D059A3"/>
    <w:rsid w:val="00D06079"/>
    <w:rsid w:val="00D07F89"/>
    <w:rsid w:val="00D15E34"/>
    <w:rsid w:val="00D16C85"/>
    <w:rsid w:val="00D215C6"/>
    <w:rsid w:val="00D21696"/>
    <w:rsid w:val="00D221DA"/>
    <w:rsid w:val="00D2387E"/>
    <w:rsid w:val="00D26866"/>
    <w:rsid w:val="00D27837"/>
    <w:rsid w:val="00D31934"/>
    <w:rsid w:val="00D31BCE"/>
    <w:rsid w:val="00D37C2C"/>
    <w:rsid w:val="00D42A56"/>
    <w:rsid w:val="00D4347B"/>
    <w:rsid w:val="00D43DC8"/>
    <w:rsid w:val="00D456A3"/>
    <w:rsid w:val="00D45B91"/>
    <w:rsid w:val="00D51286"/>
    <w:rsid w:val="00D52F8F"/>
    <w:rsid w:val="00D53524"/>
    <w:rsid w:val="00D616E9"/>
    <w:rsid w:val="00D61A4B"/>
    <w:rsid w:val="00D63E9E"/>
    <w:rsid w:val="00D657FF"/>
    <w:rsid w:val="00D66689"/>
    <w:rsid w:val="00D71014"/>
    <w:rsid w:val="00D712D1"/>
    <w:rsid w:val="00D72EC1"/>
    <w:rsid w:val="00D8061B"/>
    <w:rsid w:val="00D80845"/>
    <w:rsid w:val="00D839D0"/>
    <w:rsid w:val="00D86DFE"/>
    <w:rsid w:val="00D876CF"/>
    <w:rsid w:val="00D91F9D"/>
    <w:rsid w:val="00D941CC"/>
    <w:rsid w:val="00D96E37"/>
    <w:rsid w:val="00DA0EBD"/>
    <w:rsid w:val="00DA173A"/>
    <w:rsid w:val="00DA41D9"/>
    <w:rsid w:val="00DA4C80"/>
    <w:rsid w:val="00DB2A69"/>
    <w:rsid w:val="00DB4204"/>
    <w:rsid w:val="00DB5156"/>
    <w:rsid w:val="00DB69A8"/>
    <w:rsid w:val="00DB7D86"/>
    <w:rsid w:val="00DC0015"/>
    <w:rsid w:val="00DC00E1"/>
    <w:rsid w:val="00DC130C"/>
    <w:rsid w:val="00DC7D0C"/>
    <w:rsid w:val="00DD1B64"/>
    <w:rsid w:val="00DD2A27"/>
    <w:rsid w:val="00DD422F"/>
    <w:rsid w:val="00DE6176"/>
    <w:rsid w:val="00DE74BA"/>
    <w:rsid w:val="00DF1196"/>
    <w:rsid w:val="00DF6D35"/>
    <w:rsid w:val="00E0206A"/>
    <w:rsid w:val="00E05907"/>
    <w:rsid w:val="00E173CA"/>
    <w:rsid w:val="00E17577"/>
    <w:rsid w:val="00E2289F"/>
    <w:rsid w:val="00E2474B"/>
    <w:rsid w:val="00E24765"/>
    <w:rsid w:val="00E33C85"/>
    <w:rsid w:val="00E36E59"/>
    <w:rsid w:val="00E44D0C"/>
    <w:rsid w:val="00E457F6"/>
    <w:rsid w:val="00E45B7F"/>
    <w:rsid w:val="00E512C7"/>
    <w:rsid w:val="00E51B05"/>
    <w:rsid w:val="00E520D6"/>
    <w:rsid w:val="00E52B5E"/>
    <w:rsid w:val="00E532D0"/>
    <w:rsid w:val="00E5481E"/>
    <w:rsid w:val="00E5573F"/>
    <w:rsid w:val="00E55864"/>
    <w:rsid w:val="00E5627F"/>
    <w:rsid w:val="00E6124C"/>
    <w:rsid w:val="00E61419"/>
    <w:rsid w:val="00E6209D"/>
    <w:rsid w:val="00E627DF"/>
    <w:rsid w:val="00E6286B"/>
    <w:rsid w:val="00E632B0"/>
    <w:rsid w:val="00E64F74"/>
    <w:rsid w:val="00E667C1"/>
    <w:rsid w:val="00E678F2"/>
    <w:rsid w:val="00E71A31"/>
    <w:rsid w:val="00E7283E"/>
    <w:rsid w:val="00E73207"/>
    <w:rsid w:val="00E737D8"/>
    <w:rsid w:val="00E80915"/>
    <w:rsid w:val="00E80EBD"/>
    <w:rsid w:val="00E80FC0"/>
    <w:rsid w:val="00E81A93"/>
    <w:rsid w:val="00E82716"/>
    <w:rsid w:val="00E829AE"/>
    <w:rsid w:val="00E8313F"/>
    <w:rsid w:val="00E83BDF"/>
    <w:rsid w:val="00E84FDA"/>
    <w:rsid w:val="00E86CED"/>
    <w:rsid w:val="00E92D92"/>
    <w:rsid w:val="00E977F8"/>
    <w:rsid w:val="00EA2B28"/>
    <w:rsid w:val="00EA5148"/>
    <w:rsid w:val="00EB02F0"/>
    <w:rsid w:val="00EB17D5"/>
    <w:rsid w:val="00EB6654"/>
    <w:rsid w:val="00EB7877"/>
    <w:rsid w:val="00EC379F"/>
    <w:rsid w:val="00EC488B"/>
    <w:rsid w:val="00EC6F98"/>
    <w:rsid w:val="00ED2977"/>
    <w:rsid w:val="00ED3428"/>
    <w:rsid w:val="00ED41C6"/>
    <w:rsid w:val="00ED4D2C"/>
    <w:rsid w:val="00ED75C3"/>
    <w:rsid w:val="00EE5E73"/>
    <w:rsid w:val="00EE7063"/>
    <w:rsid w:val="00EF0072"/>
    <w:rsid w:val="00EF2603"/>
    <w:rsid w:val="00EF3CC0"/>
    <w:rsid w:val="00EF65BC"/>
    <w:rsid w:val="00EF6679"/>
    <w:rsid w:val="00EF79FF"/>
    <w:rsid w:val="00F00979"/>
    <w:rsid w:val="00F00F50"/>
    <w:rsid w:val="00F02208"/>
    <w:rsid w:val="00F05223"/>
    <w:rsid w:val="00F077AD"/>
    <w:rsid w:val="00F1065B"/>
    <w:rsid w:val="00F11144"/>
    <w:rsid w:val="00F122B9"/>
    <w:rsid w:val="00F14335"/>
    <w:rsid w:val="00F14745"/>
    <w:rsid w:val="00F14F6F"/>
    <w:rsid w:val="00F15FD3"/>
    <w:rsid w:val="00F17694"/>
    <w:rsid w:val="00F21AFB"/>
    <w:rsid w:val="00F25033"/>
    <w:rsid w:val="00F30E13"/>
    <w:rsid w:val="00F30FC1"/>
    <w:rsid w:val="00F34AD8"/>
    <w:rsid w:val="00F36FCD"/>
    <w:rsid w:val="00F41B5C"/>
    <w:rsid w:val="00F423F6"/>
    <w:rsid w:val="00F42678"/>
    <w:rsid w:val="00F438AB"/>
    <w:rsid w:val="00F50A19"/>
    <w:rsid w:val="00F51A97"/>
    <w:rsid w:val="00F55CA1"/>
    <w:rsid w:val="00F57AE3"/>
    <w:rsid w:val="00F60788"/>
    <w:rsid w:val="00F62BE4"/>
    <w:rsid w:val="00F62E45"/>
    <w:rsid w:val="00F64853"/>
    <w:rsid w:val="00F654FE"/>
    <w:rsid w:val="00F66B4A"/>
    <w:rsid w:val="00F70704"/>
    <w:rsid w:val="00F72732"/>
    <w:rsid w:val="00F75BA9"/>
    <w:rsid w:val="00F7678F"/>
    <w:rsid w:val="00F770F0"/>
    <w:rsid w:val="00F77171"/>
    <w:rsid w:val="00F817BE"/>
    <w:rsid w:val="00F83A98"/>
    <w:rsid w:val="00F843AC"/>
    <w:rsid w:val="00F92978"/>
    <w:rsid w:val="00F957F5"/>
    <w:rsid w:val="00FA1EAC"/>
    <w:rsid w:val="00FA336C"/>
    <w:rsid w:val="00FA58AA"/>
    <w:rsid w:val="00FA68B6"/>
    <w:rsid w:val="00FA7593"/>
    <w:rsid w:val="00FB58CA"/>
    <w:rsid w:val="00FB5C72"/>
    <w:rsid w:val="00FC06FB"/>
    <w:rsid w:val="00FC1665"/>
    <w:rsid w:val="00FC2808"/>
    <w:rsid w:val="00FC3DAC"/>
    <w:rsid w:val="00FC492F"/>
    <w:rsid w:val="00FC7DC1"/>
    <w:rsid w:val="00FD0B0F"/>
    <w:rsid w:val="00FD474C"/>
    <w:rsid w:val="00FD6D5C"/>
    <w:rsid w:val="00FD6DF6"/>
    <w:rsid w:val="00FD71B1"/>
    <w:rsid w:val="00FD7DC5"/>
    <w:rsid w:val="00FE3A73"/>
    <w:rsid w:val="00FE5B35"/>
    <w:rsid w:val="00FF0F32"/>
    <w:rsid w:val="00FF3892"/>
    <w:rsid w:val="00FF3A63"/>
    <w:rsid w:val="00FF6660"/>
    <w:rsid w:val="016261B5"/>
    <w:rsid w:val="023A007E"/>
    <w:rsid w:val="045C47F2"/>
    <w:rsid w:val="049C0FAC"/>
    <w:rsid w:val="05706C17"/>
    <w:rsid w:val="057276DA"/>
    <w:rsid w:val="06C96D3A"/>
    <w:rsid w:val="09732517"/>
    <w:rsid w:val="0AE44154"/>
    <w:rsid w:val="0B3642AB"/>
    <w:rsid w:val="0BE562AA"/>
    <w:rsid w:val="0D5C2A8C"/>
    <w:rsid w:val="0EBE1C58"/>
    <w:rsid w:val="0ED7229C"/>
    <w:rsid w:val="0F713C26"/>
    <w:rsid w:val="101567DE"/>
    <w:rsid w:val="101E71A3"/>
    <w:rsid w:val="119875D6"/>
    <w:rsid w:val="16DD57FD"/>
    <w:rsid w:val="17FE3980"/>
    <w:rsid w:val="195C2DC2"/>
    <w:rsid w:val="1AD70069"/>
    <w:rsid w:val="1E8FE582"/>
    <w:rsid w:val="1F7C947E"/>
    <w:rsid w:val="1FF35E26"/>
    <w:rsid w:val="21D17D4A"/>
    <w:rsid w:val="247301F1"/>
    <w:rsid w:val="258E6009"/>
    <w:rsid w:val="25AB5AE9"/>
    <w:rsid w:val="268F7B68"/>
    <w:rsid w:val="27472AF0"/>
    <w:rsid w:val="29C56BF1"/>
    <w:rsid w:val="29F7F20B"/>
    <w:rsid w:val="2A705993"/>
    <w:rsid w:val="2BF74F6E"/>
    <w:rsid w:val="2F6E05AA"/>
    <w:rsid w:val="2FA95F24"/>
    <w:rsid w:val="30A01A7C"/>
    <w:rsid w:val="32B96EB0"/>
    <w:rsid w:val="33FD7206"/>
    <w:rsid w:val="34AA4909"/>
    <w:rsid w:val="34B7DDD1"/>
    <w:rsid w:val="34D97192"/>
    <w:rsid w:val="3650013F"/>
    <w:rsid w:val="37EA137D"/>
    <w:rsid w:val="37F9067C"/>
    <w:rsid w:val="38E74F91"/>
    <w:rsid w:val="39456707"/>
    <w:rsid w:val="39AC322E"/>
    <w:rsid w:val="39E56B05"/>
    <w:rsid w:val="3C3718B0"/>
    <w:rsid w:val="3DDA4EEF"/>
    <w:rsid w:val="3EFF30C6"/>
    <w:rsid w:val="3F6DF891"/>
    <w:rsid w:val="3FE068CB"/>
    <w:rsid w:val="3FFF0109"/>
    <w:rsid w:val="409A3052"/>
    <w:rsid w:val="43136904"/>
    <w:rsid w:val="46080139"/>
    <w:rsid w:val="494C15FF"/>
    <w:rsid w:val="49F70D92"/>
    <w:rsid w:val="4C0637FE"/>
    <w:rsid w:val="4DD12E39"/>
    <w:rsid w:val="4DDB0D6C"/>
    <w:rsid w:val="4EEE1C35"/>
    <w:rsid w:val="4EEE27B2"/>
    <w:rsid w:val="4F62AB33"/>
    <w:rsid w:val="4F747898"/>
    <w:rsid w:val="51D00ACA"/>
    <w:rsid w:val="53663A3E"/>
    <w:rsid w:val="557F8205"/>
    <w:rsid w:val="56394A84"/>
    <w:rsid w:val="57566F57"/>
    <w:rsid w:val="575F4F69"/>
    <w:rsid w:val="58E8087E"/>
    <w:rsid w:val="5A232020"/>
    <w:rsid w:val="5CB90D1A"/>
    <w:rsid w:val="5D6B3F86"/>
    <w:rsid w:val="5DA05277"/>
    <w:rsid w:val="5FA82319"/>
    <w:rsid w:val="5FCFD035"/>
    <w:rsid w:val="5FDADF98"/>
    <w:rsid w:val="5FEF0E7A"/>
    <w:rsid w:val="607544ED"/>
    <w:rsid w:val="60E93BAE"/>
    <w:rsid w:val="611E1168"/>
    <w:rsid w:val="622632A3"/>
    <w:rsid w:val="64890E3B"/>
    <w:rsid w:val="64C761FA"/>
    <w:rsid w:val="64FC47A9"/>
    <w:rsid w:val="65314277"/>
    <w:rsid w:val="65605E1C"/>
    <w:rsid w:val="67AC13E1"/>
    <w:rsid w:val="6903087C"/>
    <w:rsid w:val="69940937"/>
    <w:rsid w:val="6A567916"/>
    <w:rsid w:val="6ADD05F0"/>
    <w:rsid w:val="6C467BA2"/>
    <w:rsid w:val="6E4D0CCA"/>
    <w:rsid w:val="6E7F6715"/>
    <w:rsid w:val="6F25C683"/>
    <w:rsid w:val="6F6935B5"/>
    <w:rsid w:val="6FFFC934"/>
    <w:rsid w:val="71F746D6"/>
    <w:rsid w:val="73613864"/>
    <w:rsid w:val="73DE4CFF"/>
    <w:rsid w:val="73F63162"/>
    <w:rsid w:val="75EB135C"/>
    <w:rsid w:val="779A63ED"/>
    <w:rsid w:val="784921C2"/>
    <w:rsid w:val="78992031"/>
    <w:rsid w:val="79A427A0"/>
    <w:rsid w:val="7BF6F0E2"/>
    <w:rsid w:val="7BF96FB8"/>
    <w:rsid w:val="7CDF95A7"/>
    <w:rsid w:val="7D7B24E0"/>
    <w:rsid w:val="7E2FF0BD"/>
    <w:rsid w:val="7E6A2EBD"/>
    <w:rsid w:val="7E703657"/>
    <w:rsid w:val="7EFFC40D"/>
    <w:rsid w:val="7F35582C"/>
    <w:rsid w:val="7F7D5576"/>
    <w:rsid w:val="7F8F142A"/>
    <w:rsid w:val="7FBB3871"/>
    <w:rsid w:val="7FFF1283"/>
    <w:rsid w:val="9BBF2166"/>
    <w:rsid w:val="A66E9A4F"/>
    <w:rsid w:val="AF4786B8"/>
    <w:rsid w:val="AFF9568B"/>
    <w:rsid w:val="B57F9A43"/>
    <w:rsid w:val="B75A86AD"/>
    <w:rsid w:val="BBFC6C8D"/>
    <w:rsid w:val="BF6F08F6"/>
    <w:rsid w:val="BFB9BAF6"/>
    <w:rsid w:val="C337EE02"/>
    <w:rsid w:val="C7BF8F36"/>
    <w:rsid w:val="CFE6AB04"/>
    <w:rsid w:val="D6EF4C9C"/>
    <w:rsid w:val="D9EE67D0"/>
    <w:rsid w:val="DB7F9CE3"/>
    <w:rsid w:val="DDCF8AB7"/>
    <w:rsid w:val="DE973CD8"/>
    <w:rsid w:val="DEFDCB92"/>
    <w:rsid w:val="DF5E3019"/>
    <w:rsid w:val="DF7E0E47"/>
    <w:rsid w:val="DFBF048A"/>
    <w:rsid w:val="E49D65BA"/>
    <w:rsid w:val="E7ED4F2D"/>
    <w:rsid w:val="E7FF3C34"/>
    <w:rsid w:val="EEBF808B"/>
    <w:rsid w:val="F3F7AB85"/>
    <w:rsid w:val="F639A224"/>
    <w:rsid w:val="F67D9211"/>
    <w:rsid w:val="F77FC6E9"/>
    <w:rsid w:val="FD3FEFC5"/>
    <w:rsid w:val="FDE39731"/>
    <w:rsid w:val="FDFB88A9"/>
    <w:rsid w:val="FF454ED3"/>
    <w:rsid w:val="FF6FD279"/>
    <w:rsid w:val="FF7D88EC"/>
    <w:rsid w:val="FF9FBC88"/>
    <w:rsid w:val="FFD7569D"/>
    <w:rsid w:val="FFDA9F99"/>
    <w:rsid w:val="FFDACA98"/>
    <w:rsid w:val="FFF7C988"/>
    <w:rsid w:val="FFFE98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566" w:firstLineChars="236"/>
      <w:jc w:val="both"/>
    </w:pPr>
    <w:rPr>
      <w:rFonts w:ascii="宋体" w:hAnsi="宋体" w:eastAsia="宋体" w:cstheme="minorBidi"/>
      <w:kern w:val="2"/>
      <w:sz w:val="24"/>
      <w:szCs w:val="24"/>
      <w:lang w:val="en-US" w:eastAsia="zh-CN" w:bidi="ar-SA"/>
    </w:rPr>
  </w:style>
  <w:style w:type="paragraph" w:styleId="2">
    <w:name w:val="heading 1"/>
    <w:basedOn w:val="1"/>
    <w:next w:val="1"/>
    <w:link w:val="56"/>
    <w:qFormat/>
    <w:uiPriority w:val="9"/>
    <w:pPr>
      <w:keepNext/>
      <w:keepLines/>
      <w:numPr>
        <w:ilvl w:val="0"/>
        <w:numId w:val="1"/>
      </w:numPr>
      <w:tabs>
        <w:tab w:val="left" w:pos="0"/>
      </w:tabs>
      <w:ind w:firstLineChars="0"/>
      <w:jc w:val="center"/>
      <w:outlineLvl w:val="0"/>
    </w:pPr>
    <w:rPr>
      <w:b/>
      <w:kern w:val="44"/>
      <w:sz w:val="32"/>
    </w:rPr>
  </w:style>
  <w:style w:type="paragraph" w:styleId="3">
    <w:name w:val="heading 2"/>
    <w:basedOn w:val="1"/>
    <w:next w:val="1"/>
    <w:link w:val="117"/>
    <w:qFormat/>
    <w:uiPriority w:val="9"/>
    <w:pPr>
      <w:keepNext/>
      <w:keepLines/>
      <w:numPr>
        <w:ilvl w:val="1"/>
        <w:numId w:val="1"/>
      </w:numPr>
      <w:tabs>
        <w:tab w:val="left" w:pos="0"/>
      </w:tabs>
      <w:spacing w:before="260" w:after="260" w:line="415" w:lineRule="auto"/>
      <w:ind w:firstLineChars="0"/>
      <w:jc w:val="left"/>
      <w:outlineLvl w:val="1"/>
    </w:pPr>
    <w:rPr>
      <w:rFonts w:asciiTheme="majorEastAsia" w:hAnsiTheme="majorEastAsia" w:eastAsiaTheme="majorEastAsia"/>
      <w:b/>
      <w:sz w:val="28"/>
      <w:szCs w:val="22"/>
    </w:rPr>
  </w:style>
  <w:style w:type="paragraph" w:styleId="4">
    <w:name w:val="heading 3"/>
    <w:basedOn w:val="1"/>
    <w:next w:val="1"/>
    <w:link w:val="119"/>
    <w:qFormat/>
    <w:uiPriority w:val="0"/>
    <w:pPr>
      <w:keepNext/>
      <w:keepLines/>
      <w:numPr>
        <w:ilvl w:val="2"/>
        <w:numId w:val="1"/>
      </w:numPr>
      <w:tabs>
        <w:tab w:val="left" w:pos="284"/>
      </w:tabs>
      <w:spacing w:before="100" w:beforeAutospacing="1" w:after="100" w:afterAutospacing="1"/>
      <w:ind w:firstLineChars="0"/>
      <w:outlineLvl w:val="2"/>
    </w:pPr>
    <w:rPr>
      <w:b/>
      <w:sz w:val="28"/>
    </w:rPr>
  </w:style>
  <w:style w:type="paragraph" w:styleId="5">
    <w:name w:val="heading 4"/>
    <w:basedOn w:val="6"/>
    <w:next w:val="1"/>
    <w:qFormat/>
    <w:uiPriority w:val="0"/>
    <w:pPr>
      <w:numPr>
        <w:ilvl w:val="3"/>
        <w:numId w:val="1"/>
      </w:numPr>
      <w:ind w:left="0" w:firstLineChars="0"/>
      <w:outlineLvl w:val="3"/>
    </w:pPr>
    <w:rPr>
      <w:b/>
      <w:sz w:val="28"/>
    </w:rPr>
  </w:style>
  <w:style w:type="paragraph" w:styleId="7">
    <w:name w:val="heading 5"/>
    <w:basedOn w:val="1"/>
    <w:next w:val="1"/>
    <w:qFormat/>
    <w:uiPriority w:val="0"/>
    <w:pPr>
      <w:keepNext/>
      <w:keepLines/>
      <w:numPr>
        <w:ilvl w:val="4"/>
        <w:numId w:val="1"/>
      </w:numPr>
      <w:spacing w:before="280" w:after="290" w:line="374" w:lineRule="auto"/>
      <w:ind w:firstLineChars="0"/>
      <w:outlineLvl w:val="4"/>
    </w:pPr>
    <w:rPr>
      <w:b/>
      <w:sz w:val="28"/>
    </w:rPr>
  </w:style>
  <w:style w:type="paragraph" w:styleId="8">
    <w:name w:val="heading 6"/>
    <w:basedOn w:val="1"/>
    <w:next w:val="1"/>
    <w:qFormat/>
    <w:uiPriority w:val="0"/>
    <w:pPr>
      <w:keepNext/>
      <w:keepLines/>
      <w:numPr>
        <w:ilvl w:val="5"/>
        <w:numId w:val="1"/>
      </w:numPr>
      <w:tabs>
        <w:tab w:val="left" w:pos="1152"/>
      </w:tabs>
      <w:spacing w:before="240" w:after="64" w:line="319" w:lineRule="auto"/>
      <w:ind w:firstLineChars="0"/>
      <w:outlineLvl w:val="5"/>
    </w:pPr>
    <w:rPr>
      <w:rFonts w:ascii="Arial" w:hAnsi="Arial" w:eastAsia="黑体"/>
      <w:b/>
    </w:rPr>
  </w:style>
  <w:style w:type="paragraph" w:styleId="9">
    <w:name w:val="heading 7"/>
    <w:basedOn w:val="1"/>
    <w:next w:val="1"/>
    <w:qFormat/>
    <w:uiPriority w:val="9"/>
    <w:pPr>
      <w:keepNext/>
      <w:keepLines/>
      <w:numPr>
        <w:ilvl w:val="6"/>
        <w:numId w:val="1"/>
      </w:numPr>
      <w:tabs>
        <w:tab w:val="left" w:pos="1296"/>
      </w:tabs>
      <w:spacing w:before="240" w:after="64" w:line="319" w:lineRule="auto"/>
      <w:ind w:firstLineChars="0"/>
      <w:outlineLvl w:val="6"/>
    </w:pPr>
    <w:rPr>
      <w:b/>
    </w:rPr>
  </w:style>
  <w:style w:type="paragraph" w:styleId="10">
    <w:name w:val="heading 8"/>
    <w:basedOn w:val="1"/>
    <w:next w:val="1"/>
    <w:qFormat/>
    <w:uiPriority w:val="9"/>
    <w:pPr>
      <w:keepNext/>
      <w:keepLines/>
      <w:numPr>
        <w:ilvl w:val="7"/>
        <w:numId w:val="1"/>
      </w:numPr>
      <w:tabs>
        <w:tab w:val="left" w:pos="1440"/>
      </w:tabs>
      <w:spacing w:before="240" w:after="64" w:line="319" w:lineRule="auto"/>
      <w:ind w:firstLineChars="0"/>
      <w:outlineLvl w:val="7"/>
    </w:pPr>
    <w:rPr>
      <w:rFonts w:ascii="Arial" w:hAnsi="Arial" w:eastAsia="黑体"/>
    </w:rPr>
  </w:style>
  <w:style w:type="paragraph" w:styleId="11">
    <w:name w:val="heading 9"/>
    <w:basedOn w:val="1"/>
    <w:next w:val="1"/>
    <w:qFormat/>
    <w:uiPriority w:val="0"/>
    <w:pPr>
      <w:keepNext/>
      <w:keepLines/>
      <w:numPr>
        <w:ilvl w:val="8"/>
        <w:numId w:val="1"/>
      </w:numPr>
      <w:tabs>
        <w:tab w:val="left" w:pos="1584"/>
      </w:tabs>
      <w:spacing w:before="240" w:after="64" w:line="319" w:lineRule="auto"/>
      <w:ind w:firstLineChars="0"/>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paragraph" w:styleId="12">
    <w:name w:val="toc 7"/>
    <w:basedOn w:val="1"/>
    <w:next w:val="1"/>
    <w:qFormat/>
    <w:uiPriority w:val="39"/>
    <w:pPr>
      <w:ind w:left="1050"/>
      <w:jc w:val="left"/>
    </w:pPr>
    <w:rPr>
      <w:sz w:val="20"/>
    </w:rPr>
  </w:style>
  <w:style w:type="paragraph" w:styleId="13">
    <w:name w:val="Normal Indent"/>
    <w:basedOn w:val="1"/>
    <w:qFormat/>
    <w:uiPriority w:val="0"/>
    <w:pPr>
      <w:ind w:firstLine="420" w:firstLineChars="200"/>
    </w:pPr>
  </w:style>
  <w:style w:type="paragraph" w:styleId="14">
    <w:name w:val="Document Map"/>
    <w:basedOn w:val="1"/>
    <w:qFormat/>
    <w:uiPriority w:val="0"/>
    <w:pPr>
      <w:shd w:val="clear" w:color="auto" w:fill="000080"/>
    </w:pPr>
  </w:style>
  <w:style w:type="paragraph" w:styleId="15">
    <w:name w:val="annotation text"/>
    <w:basedOn w:val="1"/>
    <w:link w:val="65"/>
    <w:qFormat/>
    <w:uiPriority w:val="0"/>
    <w:pPr>
      <w:jc w:val="left"/>
    </w:pPr>
  </w:style>
  <w:style w:type="paragraph" w:styleId="16">
    <w:name w:val="Body Text 3"/>
    <w:basedOn w:val="1"/>
    <w:qFormat/>
    <w:uiPriority w:val="0"/>
    <w:pPr>
      <w:jc w:val="center"/>
    </w:pPr>
  </w:style>
  <w:style w:type="paragraph" w:styleId="17">
    <w:name w:val="Body Text"/>
    <w:basedOn w:val="1"/>
    <w:link w:val="71"/>
    <w:qFormat/>
    <w:uiPriority w:val="99"/>
    <w:pPr>
      <w:spacing w:after="120"/>
      <w:ind w:firstLine="758"/>
      <w:jc w:val="center"/>
    </w:pPr>
    <w:rPr>
      <w:rFonts w:ascii="黑体" w:hAnsi="黑体" w:eastAsia="黑体"/>
      <w:sz w:val="32"/>
      <w:szCs w:val="32"/>
    </w:rPr>
  </w:style>
  <w:style w:type="paragraph" w:styleId="18">
    <w:name w:val="Body Text Indent"/>
    <w:basedOn w:val="1"/>
    <w:qFormat/>
    <w:uiPriority w:val="0"/>
    <w:pPr>
      <w:spacing w:line="500" w:lineRule="exact"/>
      <w:ind w:firstLine="403" w:firstLineChars="168"/>
    </w:pPr>
    <w:rPr>
      <w:color w:val="000000"/>
    </w:rPr>
  </w:style>
  <w:style w:type="paragraph" w:styleId="19">
    <w:name w:val="toc 5"/>
    <w:basedOn w:val="1"/>
    <w:next w:val="1"/>
    <w:qFormat/>
    <w:uiPriority w:val="39"/>
    <w:pPr>
      <w:ind w:left="630"/>
      <w:jc w:val="left"/>
    </w:pPr>
    <w:rPr>
      <w:sz w:val="20"/>
    </w:rPr>
  </w:style>
  <w:style w:type="paragraph" w:styleId="20">
    <w:name w:val="toc 3"/>
    <w:basedOn w:val="1"/>
    <w:next w:val="1"/>
    <w:qFormat/>
    <w:uiPriority w:val="39"/>
    <w:pPr>
      <w:adjustRightInd w:val="0"/>
      <w:ind w:left="400" w:leftChars="400"/>
    </w:pPr>
  </w:style>
  <w:style w:type="paragraph" w:styleId="21">
    <w:name w:val="Plain Text"/>
    <w:basedOn w:val="1"/>
    <w:link w:val="72"/>
    <w:qFormat/>
    <w:uiPriority w:val="0"/>
    <w:rPr>
      <w:rFonts w:hAnsi="Courier New"/>
    </w:rPr>
  </w:style>
  <w:style w:type="paragraph" w:styleId="22">
    <w:name w:val="toc 8"/>
    <w:basedOn w:val="1"/>
    <w:next w:val="1"/>
    <w:qFormat/>
    <w:uiPriority w:val="39"/>
    <w:pPr>
      <w:ind w:left="1260"/>
      <w:jc w:val="left"/>
    </w:pPr>
    <w:rPr>
      <w:sz w:val="20"/>
    </w:rPr>
  </w:style>
  <w:style w:type="paragraph" w:styleId="23">
    <w:name w:val="Body Text Indent 2"/>
    <w:basedOn w:val="1"/>
    <w:qFormat/>
    <w:uiPriority w:val="0"/>
    <w:pPr>
      <w:spacing w:line="500" w:lineRule="exact"/>
      <w:ind w:firstLine="480" w:firstLineChars="200"/>
    </w:pPr>
  </w:style>
  <w:style w:type="paragraph" w:styleId="24">
    <w:name w:val="Balloon Text"/>
    <w:basedOn w:val="1"/>
    <w:qFormat/>
    <w:uiPriority w:val="0"/>
    <w:rPr>
      <w:sz w:val="18"/>
      <w:szCs w:val="18"/>
    </w:rPr>
  </w:style>
  <w:style w:type="paragraph" w:styleId="25">
    <w:name w:val="footer"/>
    <w:basedOn w:val="1"/>
    <w:link w:val="70"/>
    <w:qFormat/>
    <w:uiPriority w:val="99"/>
    <w:pPr>
      <w:tabs>
        <w:tab w:val="center" w:pos="4153"/>
        <w:tab w:val="right" w:pos="8306"/>
      </w:tabs>
      <w:jc w:val="left"/>
    </w:pPr>
    <w:rPr>
      <w:sz w:val="18"/>
    </w:rPr>
  </w:style>
  <w:style w:type="paragraph" w:styleId="26">
    <w:name w:val="header"/>
    <w:basedOn w:val="1"/>
    <w:link w:val="58"/>
    <w:qFormat/>
    <w:uiPriority w:val="99"/>
    <w:pPr>
      <w:pBdr>
        <w:bottom w:val="single" w:color="auto" w:sz="6" w:space="1"/>
      </w:pBdr>
      <w:tabs>
        <w:tab w:val="center" w:pos="4153"/>
        <w:tab w:val="right" w:pos="8306"/>
      </w:tabs>
      <w:jc w:val="center"/>
    </w:pPr>
    <w:rPr>
      <w:sz w:val="18"/>
    </w:rPr>
  </w:style>
  <w:style w:type="paragraph" w:styleId="27">
    <w:name w:val="toc 1"/>
    <w:basedOn w:val="1"/>
    <w:next w:val="1"/>
    <w:qFormat/>
    <w:uiPriority w:val="39"/>
    <w:pPr>
      <w:adjustRightInd w:val="0"/>
    </w:pPr>
    <w:rPr>
      <w:rFonts w:eastAsia="黑体"/>
      <w:sz w:val="30"/>
    </w:rPr>
  </w:style>
  <w:style w:type="paragraph" w:styleId="28">
    <w:name w:val="toc 4"/>
    <w:basedOn w:val="1"/>
    <w:next w:val="1"/>
    <w:qFormat/>
    <w:uiPriority w:val="39"/>
    <w:pPr>
      <w:ind w:left="420"/>
      <w:jc w:val="left"/>
    </w:pPr>
    <w:rPr>
      <w:sz w:val="20"/>
    </w:rPr>
  </w:style>
  <w:style w:type="paragraph" w:styleId="29">
    <w:name w:val="footnote text"/>
    <w:basedOn w:val="1"/>
    <w:qFormat/>
    <w:uiPriority w:val="0"/>
    <w:pPr>
      <w:jc w:val="left"/>
    </w:pPr>
    <w:rPr>
      <w:sz w:val="18"/>
    </w:rPr>
  </w:style>
  <w:style w:type="paragraph" w:styleId="30">
    <w:name w:val="toc 6"/>
    <w:basedOn w:val="1"/>
    <w:next w:val="1"/>
    <w:qFormat/>
    <w:uiPriority w:val="39"/>
    <w:pPr>
      <w:ind w:left="840"/>
      <w:jc w:val="left"/>
    </w:pPr>
    <w:rPr>
      <w:sz w:val="20"/>
    </w:rPr>
  </w:style>
  <w:style w:type="paragraph" w:styleId="31">
    <w:name w:val="toc 2"/>
    <w:basedOn w:val="1"/>
    <w:next w:val="1"/>
    <w:qFormat/>
    <w:uiPriority w:val="39"/>
    <w:pPr>
      <w:tabs>
        <w:tab w:val="left" w:pos="1260"/>
        <w:tab w:val="right" w:leader="dot" w:pos="8296"/>
      </w:tabs>
      <w:adjustRightInd w:val="0"/>
      <w:ind w:firstLine="280" w:firstLineChars="100"/>
    </w:pPr>
    <w:rPr>
      <w:color w:val="000000"/>
      <w:sz w:val="28"/>
    </w:rPr>
  </w:style>
  <w:style w:type="paragraph" w:styleId="32">
    <w:name w:val="toc 9"/>
    <w:basedOn w:val="1"/>
    <w:next w:val="1"/>
    <w:qFormat/>
    <w:uiPriority w:val="39"/>
    <w:pPr>
      <w:ind w:left="1470"/>
      <w:jc w:val="left"/>
    </w:pPr>
    <w:rPr>
      <w:sz w:val="20"/>
    </w:rPr>
  </w:style>
  <w:style w:type="paragraph" w:styleId="33">
    <w:name w:val="Body Text 2"/>
    <w:basedOn w:val="1"/>
    <w:qFormat/>
    <w:uiPriority w:val="0"/>
  </w:style>
  <w:style w:type="paragraph" w:styleId="34">
    <w:name w:val="Normal (Web)"/>
    <w:basedOn w:val="1"/>
    <w:qFormat/>
    <w:uiPriority w:val="0"/>
    <w:pPr>
      <w:widowControl/>
      <w:spacing w:before="100" w:beforeAutospacing="1" w:after="100" w:afterAutospacing="1"/>
      <w:jc w:val="left"/>
    </w:pPr>
    <w:rPr>
      <w:kern w:val="0"/>
    </w:rPr>
  </w:style>
  <w:style w:type="paragraph" w:styleId="35">
    <w:name w:val="Title"/>
    <w:basedOn w:val="1"/>
    <w:next w:val="1"/>
    <w:link w:val="89"/>
    <w:qFormat/>
    <w:uiPriority w:val="0"/>
    <w:pPr>
      <w:spacing w:before="240" w:after="60"/>
      <w:jc w:val="center"/>
      <w:outlineLvl w:val="0"/>
    </w:pPr>
    <w:rPr>
      <w:rFonts w:asciiTheme="majorHAnsi" w:hAnsiTheme="majorHAnsi" w:eastAsiaTheme="majorEastAsia" w:cstheme="majorBidi"/>
      <w:b/>
      <w:bCs/>
      <w:sz w:val="32"/>
      <w:szCs w:val="32"/>
    </w:rPr>
  </w:style>
  <w:style w:type="paragraph" w:styleId="36">
    <w:name w:val="annotation subject"/>
    <w:basedOn w:val="15"/>
    <w:next w:val="15"/>
    <w:link w:val="64"/>
    <w:semiHidden/>
    <w:unhideWhenUsed/>
    <w:qFormat/>
    <w:uiPriority w:val="0"/>
    <w:rPr>
      <w:b/>
      <w:bCs/>
    </w:rPr>
  </w:style>
  <w:style w:type="paragraph" w:styleId="37">
    <w:name w:val="Body Text First Indent"/>
    <w:basedOn w:val="17"/>
    <w:link w:val="87"/>
    <w:qFormat/>
    <w:uiPriority w:val="0"/>
    <w:pPr>
      <w:ind w:firstLine="420" w:firstLineChars="1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basedOn w:val="40"/>
    <w:qFormat/>
    <w:uiPriority w:val="0"/>
    <w:rPr>
      <w:color w:val="800080"/>
      <w:u w:val="single"/>
    </w:rPr>
  </w:style>
  <w:style w:type="character" w:styleId="44">
    <w:name w:val="Emphasis"/>
    <w:basedOn w:val="40"/>
    <w:qFormat/>
    <w:uiPriority w:val="0"/>
    <w:rPr>
      <w:i/>
      <w:iCs/>
    </w:rPr>
  </w:style>
  <w:style w:type="character" w:styleId="45">
    <w:name w:val="Hyperlink"/>
    <w:basedOn w:val="40"/>
    <w:qFormat/>
    <w:uiPriority w:val="99"/>
    <w:rPr>
      <w:color w:val="0000FF"/>
      <w:u w:val="single"/>
    </w:rPr>
  </w:style>
  <w:style w:type="character" w:styleId="46">
    <w:name w:val="annotation reference"/>
    <w:basedOn w:val="40"/>
    <w:qFormat/>
    <w:uiPriority w:val="0"/>
    <w:rPr>
      <w:sz w:val="21"/>
    </w:rPr>
  </w:style>
  <w:style w:type="character" w:styleId="47">
    <w:name w:val="footnote reference"/>
    <w:basedOn w:val="40"/>
    <w:qFormat/>
    <w:uiPriority w:val="0"/>
    <w:rPr>
      <w:vertAlign w:val="superscript"/>
    </w:rPr>
  </w:style>
  <w:style w:type="character" w:customStyle="1" w:styleId="48">
    <w:name w:val="A正文 Char Char"/>
    <w:link w:val="49"/>
    <w:qFormat/>
    <w:uiPriority w:val="0"/>
    <w:rPr>
      <w:kern w:val="2"/>
      <w:sz w:val="24"/>
      <w:szCs w:val="24"/>
      <w:lang w:val="zh-CN"/>
    </w:rPr>
  </w:style>
  <w:style w:type="paragraph" w:customStyle="1" w:styleId="49">
    <w:name w:val="A正文"/>
    <w:basedOn w:val="1"/>
    <w:link w:val="48"/>
    <w:qFormat/>
    <w:uiPriority w:val="0"/>
    <w:pPr>
      <w:ind w:firstLine="200" w:firstLineChars="200"/>
    </w:pPr>
    <w:rPr>
      <w:lang w:val="zh-CN"/>
    </w:rPr>
  </w:style>
  <w:style w:type="paragraph" w:customStyle="1" w:styleId="50">
    <w:name w:val="TOC 标题1"/>
    <w:basedOn w:val="2"/>
    <w:next w:val="1"/>
    <w:unhideWhenUsed/>
    <w:qFormat/>
    <w:uiPriority w:val="39"/>
    <w:pPr>
      <w:widowControl/>
      <w:numPr>
        <w:numId w:val="0"/>
      </w:numPr>
      <w:tabs>
        <w:tab w:val="clear" w:pos="0"/>
      </w:tabs>
      <w:snapToGrid/>
      <w:spacing w:before="240" w:line="259" w:lineRule="auto"/>
      <w:jc w:val="left"/>
      <w:outlineLvl w:val="9"/>
    </w:pPr>
    <w:rPr>
      <w:rFonts w:asciiTheme="majorHAnsi" w:hAnsiTheme="majorHAnsi" w:eastAsiaTheme="majorEastAsia" w:cstheme="majorBidi"/>
      <w:b w:val="0"/>
      <w:color w:val="376092" w:themeColor="accent1" w:themeShade="BF"/>
      <w:kern w:val="0"/>
      <w:szCs w:val="32"/>
    </w:rPr>
  </w:style>
  <w:style w:type="paragraph" w:customStyle="1" w:styleId="51">
    <w:name w:val="CM13"/>
    <w:basedOn w:val="52"/>
    <w:next w:val="52"/>
    <w:qFormat/>
    <w:uiPriority w:val="99"/>
    <w:pPr>
      <w:spacing w:line="320" w:lineRule="atLeast"/>
    </w:pPr>
    <w:rPr>
      <w:rFonts w:ascii="宋体" w:hAnsiTheme="minorHAnsi" w:cstheme="minorBidi"/>
      <w:color w:val="auto"/>
    </w:rPr>
  </w:style>
  <w:style w:type="paragraph" w:customStyle="1" w:styleId="5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53">
    <w:name w:val="CM10"/>
    <w:basedOn w:val="52"/>
    <w:next w:val="52"/>
    <w:qFormat/>
    <w:uiPriority w:val="99"/>
    <w:pPr>
      <w:spacing w:line="320" w:lineRule="atLeast"/>
    </w:pPr>
    <w:rPr>
      <w:rFonts w:ascii="宋体" w:hAnsiTheme="minorHAnsi" w:cstheme="minorBidi"/>
      <w:color w:val="auto"/>
    </w:rPr>
  </w:style>
  <w:style w:type="character" w:customStyle="1" w:styleId="54">
    <w:name w:val="未处理的提及1"/>
    <w:basedOn w:val="40"/>
    <w:semiHidden/>
    <w:unhideWhenUsed/>
    <w:qFormat/>
    <w:uiPriority w:val="99"/>
    <w:rPr>
      <w:color w:val="605E5C"/>
      <w:shd w:val="clear" w:color="auto" w:fill="E1DFDD"/>
    </w:rPr>
  </w:style>
  <w:style w:type="paragraph" w:customStyle="1" w:styleId="55">
    <w:name w:val="Normal_2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6">
    <w:name w:val="标题 1 字符"/>
    <w:basedOn w:val="40"/>
    <w:link w:val="2"/>
    <w:qFormat/>
    <w:uiPriority w:val="9"/>
    <w:rPr>
      <w:rFonts w:ascii="宋体" w:hAnsi="宋体" w:cstheme="minorBidi"/>
      <w:b/>
      <w:kern w:val="44"/>
      <w:sz w:val="32"/>
      <w:szCs w:val="24"/>
    </w:rPr>
  </w:style>
  <w:style w:type="paragraph" w:customStyle="1" w:styleId="57">
    <w:name w:val="CM20"/>
    <w:basedOn w:val="52"/>
    <w:next w:val="52"/>
    <w:qFormat/>
    <w:uiPriority w:val="99"/>
    <w:pPr>
      <w:spacing w:line="318" w:lineRule="atLeast"/>
    </w:pPr>
    <w:rPr>
      <w:rFonts w:ascii="宋体" w:hAnsiTheme="minorHAnsi" w:cstheme="minorBidi"/>
      <w:color w:val="auto"/>
    </w:rPr>
  </w:style>
  <w:style w:type="character" w:customStyle="1" w:styleId="58">
    <w:name w:val="页眉 字符"/>
    <w:basedOn w:val="40"/>
    <w:link w:val="26"/>
    <w:qFormat/>
    <w:uiPriority w:val="99"/>
    <w:rPr>
      <w:rFonts w:eastAsia="宋体"/>
      <w:kern w:val="2"/>
      <w:sz w:val="18"/>
      <w:lang w:val="en-US" w:eastAsia="zh-CN" w:bidi="ar-SA"/>
    </w:rPr>
  </w:style>
  <w:style w:type="character" w:customStyle="1" w:styleId="59">
    <w:name w:val="正文文本 字符"/>
    <w:basedOn w:val="40"/>
    <w:semiHidden/>
    <w:qFormat/>
    <w:uiPriority w:val="99"/>
    <w:rPr>
      <w:kern w:val="2"/>
      <w:sz w:val="21"/>
      <w:szCs w:val="22"/>
    </w:rPr>
  </w:style>
  <w:style w:type="paragraph" w:customStyle="1" w:styleId="60">
    <w:name w:val="投标正文"/>
    <w:basedOn w:val="1"/>
    <w:link w:val="86"/>
    <w:qFormat/>
    <w:uiPriority w:val="0"/>
    <w:pPr>
      <w:ind w:firstLine="200" w:firstLineChars="200"/>
    </w:pPr>
  </w:style>
  <w:style w:type="paragraph" w:customStyle="1" w:styleId="61">
    <w:name w:val="CM59"/>
    <w:basedOn w:val="1"/>
    <w:next w:val="1"/>
    <w:qFormat/>
    <w:uiPriority w:val="99"/>
    <w:pPr>
      <w:autoSpaceDE w:val="0"/>
      <w:autoSpaceDN w:val="0"/>
      <w:adjustRightInd w:val="0"/>
      <w:jc w:val="left"/>
    </w:pPr>
    <w:rPr>
      <w:rFonts w:hAnsiTheme="minorHAnsi"/>
      <w:kern w:val="0"/>
    </w:rPr>
  </w:style>
  <w:style w:type="paragraph" w:customStyle="1" w:styleId="62">
    <w:name w:val="默认段落字体 Para Char"/>
    <w:basedOn w:val="1"/>
    <w:qFormat/>
    <w:uiPriority w:val="0"/>
  </w:style>
  <w:style w:type="paragraph" w:customStyle="1" w:styleId="63">
    <w:name w:val="Table Paragraph"/>
    <w:basedOn w:val="1"/>
    <w:qFormat/>
    <w:uiPriority w:val="1"/>
    <w:pPr>
      <w:autoSpaceDE w:val="0"/>
      <w:autoSpaceDN w:val="0"/>
      <w:spacing w:before="16"/>
      <w:ind w:left="95"/>
      <w:jc w:val="center"/>
    </w:pPr>
    <w:rPr>
      <w:rFonts w:ascii="仿宋_GB2312" w:hAnsi="仿宋_GB2312" w:eastAsia="仿宋_GB2312" w:cs="仿宋_GB2312"/>
      <w:kern w:val="0"/>
      <w:sz w:val="22"/>
      <w:szCs w:val="22"/>
      <w:lang w:eastAsia="en-US"/>
    </w:rPr>
  </w:style>
  <w:style w:type="character" w:customStyle="1" w:styleId="64">
    <w:name w:val="批注主题 字符"/>
    <w:basedOn w:val="65"/>
    <w:link w:val="36"/>
    <w:semiHidden/>
    <w:qFormat/>
    <w:uiPriority w:val="0"/>
    <w:rPr>
      <w:b/>
      <w:bCs/>
      <w:kern w:val="2"/>
      <w:sz w:val="21"/>
    </w:rPr>
  </w:style>
  <w:style w:type="character" w:customStyle="1" w:styleId="65">
    <w:name w:val="批注文字 字符"/>
    <w:basedOn w:val="40"/>
    <w:link w:val="15"/>
    <w:qFormat/>
    <w:uiPriority w:val="0"/>
    <w:rPr>
      <w:kern w:val="2"/>
      <w:sz w:val="21"/>
    </w:rPr>
  </w:style>
  <w:style w:type="paragraph" w:customStyle="1" w:styleId="66">
    <w:name w:val="样式1"/>
    <w:basedOn w:val="1"/>
    <w:link w:val="82"/>
    <w:qFormat/>
    <w:uiPriority w:val="0"/>
    <w:rPr>
      <w:color w:val="ED41FD"/>
    </w:rPr>
  </w:style>
  <w:style w:type="paragraph" w:customStyle="1" w:styleId="67">
    <w:name w:val="CM32"/>
    <w:basedOn w:val="52"/>
    <w:next w:val="52"/>
    <w:qFormat/>
    <w:uiPriority w:val="99"/>
    <w:pPr>
      <w:spacing w:line="320" w:lineRule="atLeast"/>
    </w:pPr>
    <w:rPr>
      <w:rFonts w:ascii="宋体" w:hAnsiTheme="minorHAnsi" w:cstheme="minorBidi"/>
      <w:color w:val="auto"/>
    </w:rPr>
  </w:style>
  <w:style w:type="paragraph" w:customStyle="1" w:styleId="68">
    <w:name w:val="CM16"/>
    <w:basedOn w:val="52"/>
    <w:next w:val="52"/>
    <w:qFormat/>
    <w:uiPriority w:val="99"/>
    <w:pPr>
      <w:spacing w:line="316" w:lineRule="atLeast"/>
    </w:pPr>
    <w:rPr>
      <w:rFonts w:ascii="宋体" w:hAnsiTheme="minorHAnsi" w:cstheme="minorBidi"/>
      <w:color w:val="auto"/>
    </w:rPr>
  </w:style>
  <w:style w:type="paragraph" w:customStyle="1" w:styleId="69">
    <w:name w:val="标题4"/>
    <w:basedOn w:val="5"/>
    <w:qFormat/>
    <w:uiPriority w:val="0"/>
  </w:style>
  <w:style w:type="character" w:customStyle="1" w:styleId="70">
    <w:name w:val="页脚 字符"/>
    <w:basedOn w:val="40"/>
    <w:link w:val="25"/>
    <w:qFormat/>
    <w:uiPriority w:val="99"/>
    <w:rPr>
      <w:kern w:val="2"/>
      <w:sz w:val="18"/>
    </w:rPr>
  </w:style>
  <w:style w:type="character" w:customStyle="1" w:styleId="71">
    <w:name w:val="正文文本 字符1"/>
    <w:basedOn w:val="40"/>
    <w:link w:val="17"/>
    <w:qFormat/>
    <w:uiPriority w:val="99"/>
    <w:rPr>
      <w:rFonts w:ascii="黑体" w:hAnsi="黑体" w:eastAsia="黑体" w:cstheme="minorBidi"/>
      <w:kern w:val="2"/>
      <w:sz w:val="32"/>
      <w:szCs w:val="32"/>
    </w:rPr>
  </w:style>
  <w:style w:type="character" w:customStyle="1" w:styleId="72">
    <w:name w:val="纯文本 字符"/>
    <w:basedOn w:val="40"/>
    <w:link w:val="21"/>
    <w:qFormat/>
    <w:uiPriority w:val="0"/>
    <w:rPr>
      <w:rFonts w:ascii="宋体" w:hAnsi="Courier New" w:eastAsia="宋体"/>
      <w:kern w:val="2"/>
      <w:sz w:val="21"/>
      <w:lang w:val="en-US" w:eastAsia="zh-CN" w:bidi="ar-SA"/>
    </w:rPr>
  </w:style>
  <w:style w:type="paragraph" w:customStyle="1" w:styleId="73">
    <w:name w:val="CM11"/>
    <w:basedOn w:val="52"/>
    <w:next w:val="52"/>
    <w:qFormat/>
    <w:uiPriority w:val="99"/>
    <w:pPr>
      <w:spacing w:line="320" w:lineRule="atLeast"/>
    </w:pPr>
    <w:rPr>
      <w:rFonts w:ascii="宋体" w:hAnsiTheme="minorHAnsi" w:cstheme="minorBidi"/>
      <w:color w:val="auto"/>
    </w:rPr>
  </w:style>
  <w:style w:type="paragraph" w:customStyle="1" w:styleId="74">
    <w:name w:val="2"/>
    <w:basedOn w:val="1"/>
    <w:next w:val="75"/>
    <w:qFormat/>
    <w:uiPriority w:val="0"/>
    <w:rPr>
      <w:rFonts w:hAnsi="Courier New"/>
    </w:rPr>
  </w:style>
  <w:style w:type="paragraph" w:customStyle="1" w:styleId="75">
    <w:name w:val="纯文本1"/>
    <w:basedOn w:val="1"/>
    <w:qFormat/>
    <w:uiPriority w:val="0"/>
    <w:pPr>
      <w:spacing w:line="440" w:lineRule="exact"/>
      <w:ind w:right="340" w:firstLine="515" w:firstLineChars="250"/>
    </w:pPr>
    <w:rPr>
      <w:rFonts w:hAnsi="Courier New"/>
    </w:rPr>
  </w:style>
  <w:style w:type="paragraph" w:customStyle="1" w:styleId="76">
    <w:name w:val="TOC 标题11"/>
    <w:basedOn w:val="2"/>
    <w:next w:val="1"/>
    <w:unhideWhenUsed/>
    <w:qFormat/>
    <w:uiPriority w:val="39"/>
    <w:pPr>
      <w:widowControl/>
      <w:numPr>
        <w:numId w:val="0"/>
      </w:numPr>
      <w:tabs>
        <w:tab w:val="clear" w:pos="0"/>
      </w:tabs>
      <w:snapToGrid/>
      <w:spacing w:before="240" w:line="259" w:lineRule="auto"/>
      <w:jc w:val="left"/>
      <w:outlineLvl w:val="9"/>
    </w:pPr>
    <w:rPr>
      <w:rFonts w:asciiTheme="majorHAnsi" w:hAnsiTheme="majorHAnsi" w:eastAsiaTheme="majorEastAsia" w:cstheme="majorBidi"/>
      <w:b w:val="0"/>
      <w:color w:val="376092" w:themeColor="accent1" w:themeShade="BF"/>
      <w:kern w:val="0"/>
      <w:szCs w:val="32"/>
    </w:rPr>
  </w:style>
  <w:style w:type="paragraph" w:customStyle="1" w:styleId="77">
    <w:name w:val="Char1"/>
    <w:basedOn w:val="1"/>
    <w:qFormat/>
    <w:uiPriority w:val="0"/>
    <w:rPr>
      <w:sz w:val="30"/>
    </w:rPr>
  </w:style>
  <w:style w:type="paragraph" w:customStyle="1" w:styleId="78">
    <w:name w:val="CM26"/>
    <w:basedOn w:val="52"/>
    <w:next w:val="52"/>
    <w:qFormat/>
    <w:uiPriority w:val="99"/>
    <w:pPr>
      <w:spacing w:line="316" w:lineRule="atLeast"/>
    </w:pPr>
    <w:rPr>
      <w:rFonts w:ascii="宋体" w:hAnsiTheme="minorHAnsi" w:cstheme="minorBidi"/>
      <w:color w:val="auto"/>
    </w:rPr>
  </w:style>
  <w:style w:type="paragraph" w:customStyle="1" w:styleId="79">
    <w:name w:val="CM60"/>
    <w:basedOn w:val="52"/>
    <w:next w:val="52"/>
    <w:qFormat/>
    <w:uiPriority w:val="99"/>
    <w:rPr>
      <w:rFonts w:ascii="宋体" w:hAnsiTheme="minorHAnsi" w:cstheme="minorBidi"/>
      <w:color w:val="auto"/>
    </w:rPr>
  </w:style>
  <w:style w:type="paragraph" w:customStyle="1" w:styleId="80">
    <w:name w:val="CM3"/>
    <w:basedOn w:val="52"/>
    <w:next w:val="52"/>
    <w:qFormat/>
    <w:uiPriority w:val="99"/>
    <w:pPr>
      <w:spacing w:line="318" w:lineRule="atLeast"/>
    </w:pPr>
    <w:rPr>
      <w:rFonts w:ascii="宋体" w:hAnsiTheme="minorHAnsi" w:cstheme="minorBidi"/>
      <w:color w:val="auto"/>
    </w:rPr>
  </w:style>
  <w:style w:type="paragraph" w:customStyle="1" w:styleId="81">
    <w:name w:val="CM63"/>
    <w:basedOn w:val="52"/>
    <w:next w:val="52"/>
    <w:qFormat/>
    <w:uiPriority w:val="99"/>
    <w:rPr>
      <w:rFonts w:ascii="宋体" w:hAnsiTheme="minorHAnsi" w:cstheme="minorBidi"/>
      <w:color w:val="auto"/>
    </w:rPr>
  </w:style>
  <w:style w:type="character" w:customStyle="1" w:styleId="82">
    <w:name w:val="样式1 字符"/>
    <w:basedOn w:val="40"/>
    <w:link w:val="66"/>
    <w:qFormat/>
    <w:uiPriority w:val="0"/>
    <w:rPr>
      <w:rFonts w:ascii="宋体" w:hAnsi="宋体" w:cstheme="minorBidi"/>
      <w:color w:val="ED41FD"/>
      <w:kern w:val="2"/>
      <w:sz w:val="24"/>
      <w:szCs w:val="24"/>
    </w:rPr>
  </w:style>
  <w:style w:type="paragraph" w:customStyle="1" w:styleId="83">
    <w:name w:val="Char Char Char Char Char Char1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84">
    <w:name w:val="CM22"/>
    <w:basedOn w:val="52"/>
    <w:next w:val="52"/>
    <w:qFormat/>
    <w:uiPriority w:val="99"/>
    <w:pPr>
      <w:spacing w:line="318" w:lineRule="atLeast"/>
    </w:pPr>
    <w:rPr>
      <w:rFonts w:ascii="宋体" w:hAnsiTheme="minorHAnsi" w:cstheme="minorBidi"/>
      <w:color w:val="auto"/>
    </w:rPr>
  </w:style>
  <w:style w:type="paragraph" w:customStyle="1" w:styleId="85">
    <w:name w:val="CM2"/>
    <w:basedOn w:val="1"/>
    <w:next w:val="1"/>
    <w:qFormat/>
    <w:uiPriority w:val="99"/>
    <w:pPr>
      <w:autoSpaceDE w:val="0"/>
      <w:autoSpaceDN w:val="0"/>
      <w:adjustRightInd w:val="0"/>
      <w:spacing w:line="320" w:lineRule="atLeast"/>
      <w:jc w:val="left"/>
    </w:pPr>
    <w:rPr>
      <w:rFonts w:hAnsiTheme="minorHAnsi"/>
      <w:kern w:val="0"/>
    </w:rPr>
  </w:style>
  <w:style w:type="character" w:customStyle="1" w:styleId="86">
    <w:name w:val="投标正文 Char"/>
    <w:basedOn w:val="40"/>
    <w:link w:val="60"/>
    <w:qFormat/>
    <w:uiPriority w:val="0"/>
    <w:rPr>
      <w:kern w:val="2"/>
      <w:sz w:val="24"/>
      <w:szCs w:val="24"/>
    </w:rPr>
  </w:style>
  <w:style w:type="character" w:customStyle="1" w:styleId="87">
    <w:name w:val="正文文本首行缩进 字符"/>
    <w:basedOn w:val="71"/>
    <w:link w:val="37"/>
    <w:qFormat/>
    <w:uiPriority w:val="0"/>
    <w:rPr>
      <w:rFonts w:ascii="黑体" w:hAnsi="黑体" w:eastAsia="黑体" w:cstheme="minorBidi"/>
      <w:kern w:val="2"/>
      <w:sz w:val="21"/>
      <w:szCs w:val="32"/>
    </w:rPr>
  </w:style>
  <w:style w:type="paragraph" w:customStyle="1" w:styleId="88">
    <w:name w:val="CM1"/>
    <w:basedOn w:val="1"/>
    <w:next w:val="1"/>
    <w:qFormat/>
    <w:uiPriority w:val="99"/>
    <w:pPr>
      <w:autoSpaceDE w:val="0"/>
      <w:autoSpaceDN w:val="0"/>
      <w:adjustRightInd w:val="0"/>
      <w:jc w:val="left"/>
    </w:pPr>
    <w:rPr>
      <w:rFonts w:hAnsiTheme="minorHAnsi"/>
      <w:kern w:val="0"/>
    </w:rPr>
  </w:style>
  <w:style w:type="character" w:customStyle="1" w:styleId="89">
    <w:name w:val="标题 字符"/>
    <w:basedOn w:val="40"/>
    <w:link w:val="35"/>
    <w:qFormat/>
    <w:uiPriority w:val="0"/>
    <w:rPr>
      <w:rFonts w:asciiTheme="majorHAnsi" w:hAnsiTheme="majorHAnsi" w:eastAsiaTheme="majorEastAsia" w:cstheme="majorBidi"/>
      <w:b/>
      <w:bCs/>
      <w:kern w:val="2"/>
      <w:sz w:val="32"/>
      <w:szCs w:val="32"/>
    </w:rPr>
  </w:style>
  <w:style w:type="paragraph" w:customStyle="1" w:styleId="90">
    <w:name w:val="CM64"/>
    <w:basedOn w:val="52"/>
    <w:next w:val="52"/>
    <w:qFormat/>
    <w:uiPriority w:val="99"/>
    <w:rPr>
      <w:rFonts w:ascii="宋体" w:hAnsiTheme="minorHAnsi" w:cstheme="minorBidi"/>
      <w:color w:val="auto"/>
    </w:rPr>
  </w:style>
  <w:style w:type="paragraph" w:customStyle="1" w:styleId="91">
    <w:name w:val="标题5"/>
    <w:basedOn w:val="7"/>
    <w:qFormat/>
    <w:uiPriority w:val="0"/>
    <w:pPr>
      <w:spacing w:line="360" w:lineRule="auto"/>
    </w:pPr>
  </w:style>
  <w:style w:type="paragraph" w:customStyle="1" w:styleId="92">
    <w:name w:val="CM21"/>
    <w:basedOn w:val="52"/>
    <w:next w:val="52"/>
    <w:qFormat/>
    <w:uiPriority w:val="99"/>
    <w:pPr>
      <w:spacing w:line="320" w:lineRule="atLeast"/>
    </w:pPr>
    <w:rPr>
      <w:rFonts w:ascii="宋体" w:hAnsiTheme="minorHAnsi" w:cstheme="minorBidi"/>
      <w:color w:val="auto"/>
    </w:rPr>
  </w:style>
  <w:style w:type="paragraph" w:customStyle="1" w:styleId="93">
    <w:name w:val="修订1"/>
    <w:hidden/>
    <w:semiHidden/>
    <w:qFormat/>
    <w:uiPriority w:val="99"/>
    <w:rPr>
      <w:rFonts w:ascii="Times New Roman" w:hAnsi="Times New Roman" w:eastAsia="宋体" w:cs="Times New Roman"/>
      <w:kern w:val="2"/>
      <w:sz w:val="21"/>
      <w:lang w:val="en-US" w:eastAsia="zh-CN" w:bidi="ar-SA"/>
    </w:rPr>
  </w:style>
  <w:style w:type="paragraph" w:customStyle="1" w:styleId="94">
    <w:name w:val="CM41"/>
    <w:basedOn w:val="52"/>
    <w:next w:val="52"/>
    <w:qFormat/>
    <w:uiPriority w:val="99"/>
    <w:pPr>
      <w:spacing w:line="313" w:lineRule="atLeast"/>
    </w:pPr>
    <w:rPr>
      <w:rFonts w:ascii="宋体" w:hAnsiTheme="minorHAnsi" w:cstheme="minorBidi"/>
      <w:color w:val="auto"/>
    </w:rPr>
  </w:style>
  <w:style w:type="paragraph" w:customStyle="1" w:styleId="95">
    <w:name w:val="样式 标题 2 + 宋体"/>
    <w:basedOn w:val="3"/>
    <w:qFormat/>
    <w:uiPriority w:val="0"/>
    <w:pPr>
      <w:spacing w:before="100" w:beforeAutospacing="1" w:after="100" w:afterAutospacing="1" w:line="360" w:lineRule="auto"/>
    </w:pPr>
    <w:rPr>
      <w:rFonts w:ascii="宋体" w:hAnsi="宋体" w:eastAsia="宋体"/>
      <w:sz w:val="30"/>
    </w:rPr>
  </w:style>
  <w:style w:type="paragraph" w:customStyle="1" w:styleId="96">
    <w:name w:val="条文1"/>
    <w:basedOn w:val="1"/>
    <w:qFormat/>
    <w:uiPriority w:val="0"/>
    <w:pPr>
      <w:numPr>
        <w:ilvl w:val="0"/>
        <w:numId w:val="2"/>
      </w:numPr>
    </w:pPr>
    <w:rPr>
      <w:rFonts w:ascii="MS UI Gothic" w:hAnsi="MS UI Gothic"/>
      <w:kern w:val="44"/>
    </w:rPr>
  </w:style>
  <w:style w:type="paragraph" w:customStyle="1" w:styleId="97">
    <w:name w:val="CM62"/>
    <w:basedOn w:val="52"/>
    <w:next w:val="52"/>
    <w:qFormat/>
    <w:uiPriority w:val="99"/>
    <w:rPr>
      <w:rFonts w:ascii="宋体" w:hAnsiTheme="minorHAnsi" w:cstheme="minorBidi"/>
      <w:color w:val="auto"/>
    </w:rPr>
  </w:style>
  <w:style w:type="paragraph" w:customStyle="1" w:styleId="98">
    <w:name w:val="CM29"/>
    <w:basedOn w:val="52"/>
    <w:next w:val="52"/>
    <w:qFormat/>
    <w:uiPriority w:val="99"/>
    <w:pPr>
      <w:spacing w:line="318" w:lineRule="atLeast"/>
    </w:pPr>
    <w:rPr>
      <w:rFonts w:ascii="宋体" w:hAnsiTheme="minorHAnsi" w:cstheme="minorBidi"/>
      <w:color w:val="auto"/>
    </w:rPr>
  </w:style>
  <w:style w:type="paragraph" w:customStyle="1" w:styleId="99">
    <w:name w:val="CM61"/>
    <w:basedOn w:val="52"/>
    <w:next w:val="52"/>
    <w:qFormat/>
    <w:uiPriority w:val="99"/>
    <w:rPr>
      <w:rFonts w:ascii="宋体" w:hAnsiTheme="minorHAnsi" w:cstheme="minorBidi"/>
      <w:color w:val="auto"/>
    </w:rPr>
  </w:style>
  <w:style w:type="paragraph" w:customStyle="1" w:styleId="100">
    <w:name w:val="Char"/>
    <w:basedOn w:val="1"/>
    <w:qFormat/>
    <w:uiPriority w:val="0"/>
    <w:rPr>
      <w:sz w:val="30"/>
    </w:rPr>
  </w:style>
  <w:style w:type="table" w:customStyle="1" w:styleId="10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02">
    <w:name w:val="CM12"/>
    <w:basedOn w:val="52"/>
    <w:next w:val="52"/>
    <w:qFormat/>
    <w:uiPriority w:val="99"/>
    <w:pPr>
      <w:spacing w:line="318" w:lineRule="atLeast"/>
    </w:pPr>
    <w:rPr>
      <w:rFonts w:ascii="宋体" w:hAnsiTheme="minorHAnsi" w:cstheme="minorBidi"/>
      <w:color w:val="auto"/>
    </w:rPr>
  </w:style>
  <w:style w:type="paragraph" w:customStyle="1" w:styleId="103">
    <w:name w:val="标题 40"/>
    <w:basedOn w:val="5"/>
    <w:qFormat/>
    <w:uiPriority w:val="0"/>
  </w:style>
  <w:style w:type="character" w:customStyle="1" w:styleId="104">
    <w:name w:val="未处理的提及11"/>
    <w:basedOn w:val="40"/>
    <w:semiHidden/>
    <w:unhideWhenUsed/>
    <w:qFormat/>
    <w:uiPriority w:val="99"/>
    <w:rPr>
      <w:color w:val="605E5C"/>
      <w:shd w:val="clear" w:color="auto" w:fill="E1DFDD"/>
    </w:rPr>
  </w:style>
  <w:style w:type="paragraph" w:customStyle="1" w:styleId="105">
    <w:name w:val="CM4"/>
    <w:basedOn w:val="52"/>
    <w:next w:val="52"/>
    <w:qFormat/>
    <w:uiPriority w:val="99"/>
    <w:pPr>
      <w:spacing w:line="318" w:lineRule="atLeast"/>
    </w:pPr>
    <w:rPr>
      <w:rFonts w:ascii="宋体" w:hAnsiTheme="minorHAnsi" w:cstheme="minorBidi"/>
      <w:color w:val="auto"/>
    </w:rPr>
  </w:style>
  <w:style w:type="paragraph" w:customStyle="1" w:styleId="106">
    <w:name w:val="CM30"/>
    <w:basedOn w:val="52"/>
    <w:next w:val="52"/>
    <w:qFormat/>
    <w:uiPriority w:val="99"/>
    <w:pPr>
      <w:spacing w:line="320" w:lineRule="atLeast"/>
    </w:pPr>
    <w:rPr>
      <w:rFonts w:ascii="宋体" w:hAnsiTheme="minorHAnsi" w:cstheme="minorBidi"/>
      <w:color w:val="auto"/>
    </w:rPr>
  </w:style>
  <w:style w:type="paragraph" w:customStyle="1" w:styleId="107">
    <w:name w:val="CM39"/>
    <w:basedOn w:val="52"/>
    <w:next w:val="52"/>
    <w:qFormat/>
    <w:uiPriority w:val="99"/>
    <w:pPr>
      <w:spacing w:line="316" w:lineRule="atLeast"/>
    </w:pPr>
    <w:rPr>
      <w:rFonts w:ascii="宋体" w:hAnsiTheme="minorHAnsi" w:cstheme="minorBidi"/>
      <w:color w:val="auto"/>
    </w:rPr>
  </w:style>
  <w:style w:type="character" w:customStyle="1" w:styleId="108">
    <w:name w:val="lefter2"/>
    <w:basedOn w:val="40"/>
    <w:qFormat/>
    <w:uiPriority w:val="0"/>
  </w:style>
  <w:style w:type="paragraph" w:customStyle="1" w:styleId="109">
    <w:name w:val="CM44"/>
    <w:basedOn w:val="52"/>
    <w:next w:val="52"/>
    <w:qFormat/>
    <w:uiPriority w:val="99"/>
    <w:pPr>
      <w:spacing w:line="313" w:lineRule="atLeast"/>
    </w:pPr>
    <w:rPr>
      <w:rFonts w:ascii="宋体" w:hAnsiTheme="minorHAnsi" w:cstheme="minorBidi"/>
      <w:color w:val="auto"/>
    </w:rPr>
  </w:style>
  <w:style w:type="table" w:customStyle="1" w:styleId="110">
    <w:name w:val="网格型1"/>
    <w:basedOn w:val="38"/>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CM65"/>
    <w:basedOn w:val="52"/>
    <w:next w:val="52"/>
    <w:qFormat/>
    <w:uiPriority w:val="99"/>
    <w:rPr>
      <w:rFonts w:ascii="宋体" w:hAnsiTheme="minorHAnsi" w:cstheme="minorBidi"/>
      <w:color w:val="auto"/>
    </w:rPr>
  </w:style>
  <w:style w:type="paragraph" w:customStyle="1" w:styleId="112">
    <w:name w:val="修订2"/>
    <w:hidden/>
    <w:unhideWhenUsed/>
    <w:qFormat/>
    <w:uiPriority w:val="99"/>
    <w:rPr>
      <w:rFonts w:ascii="宋体" w:hAnsi="宋体" w:eastAsia="宋体" w:cstheme="minorBidi"/>
      <w:kern w:val="2"/>
      <w:sz w:val="24"/>
      <w:szCs w:val="24"/>
      <w:lang w:val="en-US" w:eastAsia="zh-CN" w:bidi="ar-SA"/>
    </w:rPr>
  </w:style>
  <w:style w:type="paragraph" w:customStyle="1" w:styleId="113">
    <w:name w:val="CM27"/>
    <w:basedOn w:val="52"/>
    <w:next w:val="52"/>
    <w:qFormat/>
    <w:uiPriority w:val="99"/>
    <w:pPr>
      <w:spacing w:line="320" w:lineRule="atLeast"/>
    </w:pPr>
    <w:rPr>
      <w:rFonts w:ascii="宋体" w:hAnsiTheme="minorHAnsi" w:cstheme="minorBidi"/>
      <w:color w:val="auto"/>
    </w:rPr>
  </w:style>
  <w:style w:type="paragraph" w:customStyle="1" w:styleId="114">
    <w:name w:val="CM31"/>
    <w:basedOn w:val="52"/>
    <w:next w:val="52"/>
    <w:qFormat/>
    <w:uiPriority w:val="99"/>
    <w:pPr>
      <w:spacing w:line="318" w:lineRule="atLeast"/>
    </w:pPr>
    <w:rPr>
      <w:rFonts w:ascii="宋体" w:hAnsiTheme="minorHAnsi" w:cstheme="minorBidi"/>
      <w:color w:val="auto"/>
    </w:rPr>
  </w:style>
  <w:style w:type="paragraph" w:customStyle="1" w:styleId="115">
    <w:name w:val="CM43"/>
    <w:basedOn w:val="52"/>
    <w:next w:val="52"/>
    <w:qFormat/>
    <w:uiPriority w:val="99"/>
    <w:pPr>
      <w:spacing w:line="313" w:lineRule="atLeast"/>
    </w:pPr>
    <w:rPr>
      <w:rFonts w:ascii="宋体" w:hAnsiTheme="minorHAnsi" w:cstheme="minorBidi"/>
      <w:color w:val="auto"/>
    </w:rPr>
  </w:style>
  <w:style w:type="paragraph" w:customStyle="1" w:styleId="116">
    <w:name w:val="CM42"/>
    <w:basedOn w:val="52"/>
    <w:next w:val="52"/>
    <w:qFormat/>
    <w:uiPriority w:val="99"/>
    <w:pPr>
      <w:spacing w:line="316" w:lineRule="atLeast"/>
    </w:pPr>
    <w:rPr>
      <w:rFonts w:ascii="宋体" w:hAnsiTheme="minorHAnsi" w:cstheme="minorBidi"/>
      <w:color w:val="auto"/>
    </w:rPr>
  </w:style>
  <w:style w:type="character" w:customStyle="1" w:styleId="117">
    <w:name w:val="标题 2 字符"/>
    <w:basedOn w:val="40"/>
    <w:link w:val="3"/>
    <w:qFormat/>
    <w:uiPriority w:val="9"/>
    <w:rPr>
      <w:rFonts w:asciiTheme="majorEastAsia" w:hAnsiTheme="majorEastAsia" w:eastAsiaTheme="majorEastAsia" w:cstheme="minorBidi"/>
      <w:b/>
      <w:kern w:val="2"/>
      <w:sz w:val="28"/>
      <w:szCs w:val="22"/>
    </w:rPr>
  </w:style>
  <w:style w:type="paragraph" w:customStyle="1" w:styleId="118">
    <w:name w:val="CM19"/>
    <w:basedOn w:val="52"/>
    <w:next w:val="52"/>
    <w:qFormat/>
    <w:uiPriority w:val="99"/>
    <w:pPr>
      <w:spacing w:line="318" w:lineRule="atLeast"/>
    </w:pPr>
    <w:rPr>
      <w:rFonts w:ascii="宋体" w:hAnsiTheme="minorHAnsi" w:cstheme="minorBidi"/>
      <w:color w:val="auto"/>
    </w:rPr>
  </w:style>
  <w:style w:type="character" w:customStyle="1" w:styleId="119">
    <w:name w:val="标题 3 字符"/>
    <w:basedOn w:val="40"/>
    <w:link w:val="4"/>
    <w:qFormat/>
    <w:uiPriority w:val="0"/>
    <w:rPr>
      <w:rFonts w:ascii="宋体" w:hAnsi="宋体" w:cstheme="minorBidi"/>
      <w:b/>
      <w:kern w:val="2"/>
      <w:sz w:val="28"/>
      <w:szCs w:val="24"/>
    </w:rPr>
  </w:style>
  <w:style w:type="paragraph" w:customStyle="1" w:styleId="120">
    <w:name w:val="正文2"/>
    <w:basedOn w:val="1"/>
    <w:qFormat/>
    <w:uiPriority w:val="0"/>
    <w:pPr>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20508-F847-4B93-899D-685A771F4239}">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19213</Words>
  <Characters>21735</Characters>
  <Lines>253</Lines>
  <Paragraphs>71</Paragraphs>
  <TotalTime>9</TotalTime>
  <ScaleCrop>false</ScaleCrop>
  <LinksUpToDate>false</LinksUpToDate>
  <CharactersWithSpaces>22289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2025-02-25T09:20:00Z</dcterms:created>
  <dc:creator>admin</dc:creator>
  <cp:lastModifiedBy>LL</cp:lastModifiedBy>
  <cp:lastPrinted>2024-07-10T01:45:00Z</cp:lastPrinted>
  <dcterms:modified xsi:type="dcterms:W3CDTF">2025-03-28T08:21:26Z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45002BD4C5A44DE0B46AD83D8BD1BB6D_13</vt:lpwstr>
  </property>
  <property fmtid="{D5CDD505-2E9C-101B-9397-08002B2CF9AE}" pid="4" name="KSOTemplateDocerSaveRecord">
    <vt:lpwstr>eyJoZGlkIjoiN2RjNmY1YWExOGVhYTI3NmMwNTljZDZkODE0MGRhNDEiLCJ1c2VySWQiOiI0OTA2MzcxMzIifQ==</vt:lpwstr>
  </property>
</Properties>
</file>